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wmf" ContentType="image/x-w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olors1.xml" ContentType="application/vnd.ms-office.chartcolorstyle+xml"/>
  <Override PartName="/word/charts/colors2.xml" ContentType="application/vnd.ms-office.chartcolorstyle+xml"/>
  <Override PartName="/word/charts/style1.xml" ContentType="application/vnd.ms-office.chartstyle+xml"/>
  <Override PartName="/word/charts/style2.xml" ContentType="application/vnd.ms-office.chartstyle+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theme/themeOverride1.xml" ContentType="application/vnd.openxmlformats-officedocument.themeOverride+xml"/>
  <Override PartName="/word/theme/themeOverride2.xml" ContentType="application/vnd.openxmlformats-officedocument.themeOverrid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58D1239">
      <w:pPr>
        <w:bidi w:val="0"/>
        <w:rPr>
          <w:rFonts w:hint="default"/>
          <w:highlight w:val="yellow"/>
          <w:lang w:val="en-US" w:eastAsia="zh-CN"/>
        </w:rPr>
      </w:pPr>
    </w:p>
    <w:p w14:paraId="76EBFEFB">
      <w:pPr>
        <w:bidi w:val="0"/>
        <w:rPr>
          <w:rFonts w:hint="default"/>
          <w:highlight w:val="yellow"/>
          <w:lang w:val="en-US" w:eastAsia="zh-CN"/>
        </w:rPr>
      </w:pPr>
    </w:p>
    <w:p w14:paraId="397ACA3E">
      <w:pPr>
        <w:bidi w:val="0"/>
        <w:rPr>
          <w:rFonts w:hint="default"/>
          <w:highlight w:val="yellow"/>
          <w:lang w:val="en-US" w:eastAsia="zh-CN"/>
        </w:rPr>
      </w:pPr>
    </w:p>
    <w:p w14:paraId="3C795784">
      <w:pPr>
        <w:keepNext w:val="0"/>
        <w:keepLines w:val="0"/>
        <w:pageBreakBefore w:val="0"/>
        <w:widowControl w:val="0"/>
        <w:kinsoku/>
        <w:wordWrap/>
        <w:overflowPunct/>
        <w:topLinePunct w:val="0"/>
        <w:autoSpaceDE/>
        <w:autoSpaceDN/>
        <w:bidi w:val="0"/>
        <w:adjustRightInd w:val="0"/>
        <w:snapToGrid/>
        <w:spacing w:line="840" w:lineRule="auto"/>
        <w:ind w:left="0" w:leftChars="0" w:firstLine="0" w:firstLineChars="0"/>
        <w:jc w:val="center"/>
        <w:textAlignment w:val="auto"/>
        <w:rPr>
          <w:rFonts w:hint="default"/>
          <w:b/>
          <w:bCs/>
          <w:sz w:val="40"/>
          <w:szCs w:val="40"/>
          <w:highlight w:val="none"/>
          <w:lang w:val="en-US" w:eastAsia="zh-CN"/>
        </w:rPr>
      </w:pPr>
      <w:r>
        <w:rPr>
          <w:rFonts w:hint="default"/>
          <w:b/>
          <w:bCs/>
          <w:sz w:val="40"/>
          <w:szCs w:val="40"/>
          <w:highlight w:val="none"/>
          <w:lang w:val="en-US" w:eastAsia="zh-CN"/>
        </w:rPr>
        <w:t>平江县三阳乡南尧村片区（垂拱组、仙人组）</w:t>
      </w:r>
    </w:p>
    <w:p w14:paraId="21A33770">
      <w:pPr>
        <w:keepNext w:val="0"/>
        <w:keepLines w:val="0"/>
        <w:pageBreakBefore w:val="0"/>
        <w:widowControl w:val="0"/>
        <w:kinsoku/>
        <w:wordWrap/>
        <w:overflowPunct/>
        <w:topLinePunct w:val="0"/>
        <w:autoSpaceDE/>
        <w:autoSpaceDN/>
        <w:bidi w:val="0"/>
        <w:adjustRightInd w:val="0"/>
        <w:snapToGrid/>
        <w:spacing w:line="840" w:lineRule="auto"/>
        <w:ind w:left="0" w:leftChars="0" w:firstLine="0" w:firstLineChars="0"/>
        <w:jc w:val="center"/>
        <w:textAlignment w:val="auto"/>
        <w:rPr>
          <w:rFonts w:hint="default"/>
          <w:b/>
          <w:bCs/>
          <w:sz w:val="40"/>
          <w:szCs w:val="40"/>
          <w:highlight w:val="none"/>
          <w:lang w:val="en-US" w:eastAsia="zh-CN"/>
        </w:rPr>
      </w:pPr>
      <w:r>
        <w:rPr>
          <w:rFonts w:hint="default"/>
          <w:b/>
          <w:bCs/>
          <w:sz w:val="40"/>
          <w:szCs w:val="40"/>
          <w:highlight w:val="none"/>
          <w:lang w:val="en-US" w:eastAsia="zh-CN"/>
        </w:rPr>
        <w:t>历史遗留重金属废渣整治项目</w:t>
      </w:r>
    </w:p>
    <w:p w14:paraId="2098ABB6">
      <w:pPr>
        <w:keepNext w:val="0"/>
        <w:keepLines w:val="0"/>
        <w:pageBreakBefore w:val="0"/>
        <w:widowControl w:val="0"/>
        <w:kinsoku/>
        <w:wordWrap/>
        <w:overflowPunct/>
        <w:topLinePunct w:val="0"/>
        <w:autoSpaceDE/>
        <w:autoSpaceDN/>
        <w:bidi w:val="0"/>
        <w:adjustRightInd w:val="0"/>
        <w:snapToGrid/>
        <w:spacing w:line="840" w:lineRule="auto"/>
        <w:ind w:left="0" w:leftChars="0" w:firstLine="0" w:firstLineChars="0"/>
        <w:jc w:val="center"/>
        <w:textAlignment w:val="auto"/>
        <w:rPr>
          <w:rFonts w:hint="eastAsia"/>
          <w:b/>
          <w:bCs/>
          <w:sz w:val="48"/>
          <w:szCs w:val="48"/>
          <w:highlight w:val="none"/>
          <w:lang w:val="en-US" w:eastAsia="zh-CN"/>
        </w:rPr>
      </w:pPr>
      <w:r>
        <w:rPr>
          <w:rFonts w:hint="eastAsia"/>
          <w:b/>
          <w:bCs/>
          <w:sz w:val="48"/>
          <w:szCs w:val="48"/>
          <w:highlight w:val="none"/>
          <w:lang w:val="en-US" w:eastAsia="zh-CN"/>
        </w:rPr>
        <w:t>环境影响报告书</w:t>
      </w:r>
    </w:p>
    <w:p w14:paraId="4B976AE5">
      <w:pPr>
        <w:bidi w:val="0"/>
        <w:ind w:left="0" w:leftChars="0" w:firstLine="0" w:firstLineChars="0"/>
        <w:jc w:val="center"/>
        <w:rPr>
          <w:rFonts w:hint="default"/>
          <w:b/>
          <w:bCs/>
          <w:sz w:val="32"/>
          <w:szCs w:val="32"/>
          <w:highlight w:val="none"/>
          <w:lang w:val="en-US" w:eastAsia="zh-CN"/>
        </w:rPr>
      </w:pPr>
      <w:r>
        <w:rPr>
          <w:rFonts w:hint="eastAsia"/>
          <w:b/>
          <w:bCs/>
          <w:sz w:val="32"/>
          <w:szCs w:val="32"/>
          <w:highlight w:val="none"/>
          <w:lang w:val="en-US" w:eastAsia="zh-CN"/>
        </w:rPr>
        <w:t>（送审稿）</w:t>
      </w:r>
    </w:p>
    <w:p w14:paraId="291AF7E1">
      <w:pPr>
        <w:bidi w:val="0"/>
        <w:rPr>
          <w:rFonts w:hint="eastAsia"/>
          <w:highlight w:val="yellow"/>
          <w:lang w:val="en-US" w:eastAsia="zh-CN"/>
        </w:rPr>
      </w:pPr>
    </w:p>
    <w:p w14:paraId="218C40E2">
      <w:pPr>
        <w:bidi w:val="0"/>
        <w:rPr>
          <w:rFonts w:hint="eastAsia"/>
          <w:highlight w:val="yellow"/>
          <w:lang w:val="en-US" w:eastAsia="zh-CN"/>
        </w:rPr>
      </w:pPr>
    </w:p>
    <w:p w14:paraId="48225B7B">
      <w:pPr>
        <w:bidi w:val="0"/>
        <w:rPr>
          <w:rFonts w:hint="eastAsia"/>
          <w:highlight w:val="yellow"/>
          <w:lang w:val="en-US" w:eastAsia="zh-CN"/>
        </w:rPr>
      </w:pPr>
    </w:p>
    <w:p w14:paraId="4414D1F3">
      <w:pPr>
        <w:bidi w:val="0"/>
        <w:rPr>
          <w:rFonts w:hint="eastAsia"/>
          <w:highlight w:val="yellow"/>
          <w:lang w:val="en-US" w:eastAsia="zh-CN"/>
        </w:rPr>
      </w:pPr>
    </w:p>
    <w:p w14:paraId="1A696BC1">
      <w:pPr>
        <w:bidi w:val="0"/>
        <w:rPr>
          <w:rFonts w:hint="eastAsia"/>
          <w:highlight w:val="yellow"/>
          <w:lang w:val="en-US" w:eastAsia="zh-CN"/>
        </w:rPr>
      </w:pPr>
    </w:p>
    <w:p w14:paraId="6DCD279C">
      <w:pPr>
        <w:bidi w:val="0"/>
        <w:rPr>
          <w:rFonts w:hint="eastAsia"/>
          <w:highlight w:val="yellow"/>
          <w:lang w:val="en-US" w:eastAsia="zh-CN"/>
        </w:rPr>
      </w:pPr>
    </w:p>
    <w:p w14:paraId="158BBAFA">
      <w:pPr>
        <w:bidi w:val="0"/>
        <w:rPr>
          <w:rFonts w:hint="eastAsia"/>
          <w:highlight w:val="yellow"/>
          <w:lang w:val="en-US" w:eastAsia="zh-CN"/>
        </w:rPr>
      </w:pPr>
    </w:p>
    <w:p w14:paraId="597D5141">
      <w:pPr>
        <w:bidi w:val="0"/>
        <w:rPr>
          <w:rFonts w:hint="eastAsia"/>
          <w:highlight w:val="yellow"/>
          <w:lang w:val="en-US" w:eastAsia="zh-CN"/>
        </w:rPr>
      </w:pPr>
    </w:p>
    <w:p w14:paraId="53F15855">
      <w:pPr>
        <w:bidi w:val="0"/>
        <w:rPr>
          <w:rFonts w:hint="eastAsia"/>
          <w:highlight w:val="yellow"/>
          <w:lang w:val="en-US" w:eastAsia="zh-CN"/>
        </w:rPr>
      </w:pPr>
    </w:p>
    <w:p w14:paraId="0681D5FD">
      <w:pPr>
        <w:bidi w:val="0"/>
        <w:rPr>
          <w:rFonts w:hint="eastAsia"/>
          <w:highlight w:val="yellow"/>
          <w:lang w:val="en-US" w:eastAsia="zh-CN"/>
        </w:rPr>
      </w:pPr>
    </w:p>
    <w:p w14:paraId="0CD2BC39">
      <w:pPr>
        <w:bidi w:val="0"/>
        <w:rPr>
          <w:rFonts w:hint="eastAsia"/>
          <w:highlight w:val="yellow"/>
          <w:lang w:val="en-US" w:eastAsia="zh-CN"/>
        </w:rPr>
      </w:pPr>
    </w:p>
    <w:p w14:paraId="05AA85E8">
      <w:pPr>
        <w:bidi w:val="0"/>
        <w:rPr>
          <w:rFonts w:hint="eastAsia"/>
          <w:highlight w:val="yellow"/>
          <w:lang w:val="en-US" w:eastAsia="zh-CN"/>
        </w:rPr>
      </w:pPr>
    </w:p>
    <w:p w14:paraId="777B5FAB">
      <w:pPr>
        <w:bidi w:val="0"/>
        <w:rPr>
          <w:rFonts w:hint="eastAsia"/>
          <w:highlight w:val="yellow"/>
          <w:lang w:val="en-US" w:eastAsia="zh-CN"/>
        </w:rPr>
      </w:pPr>
    </w:p>
    <w:p w14:paraId="5BA97A55">
      <w:pPr>
        <w:bidi w:val="0"/>
        <w:ind w:left="0" w:leftChars="0" w:firstLine="0" w:firstLineChars="0"/>
        <w:jc w:val="center"/>
        <w:rPr>
          <w:rFonts w:hint="default"/>
          <w:b/>
          <w:bCs/>
          <w:sz w:val="28"/>
          <w:szCs w:val="28"/>
          <w:highlight w:val="none"/>
          <w:lang w:val="en-US" w:eastAsia="zh-CN"/>
        </w:rPr>
      </w:pPr>
      <w:r>
        <w:rPr>
          <w:rFonts w:hint="eastAsia"/>
          <w:b/>
          <w:bCs/>
          <w:sz w:val="28"/>
          <w:szCs w:val="28"/>
          <w:highlight w:val="none"/>
          <w:lang w:val="en-US" w:eastAsia="zh-CN"/>
        </w:rPr>
        <w:t>建设单位：平江县三阳乡人民政府</w:t>
      </w:r>
    </w:p>
    <w:p w14:paraId="5CB0C406">
      <w:pPr>
        <w:bidi w:val="0"/>
        <w:ind w:left="0" w:leftChars="0" w:firstLine="0" w:firstLineChars="0"/>
        <w:jc w:val="center"/>
        <w:rPr>
          <w:rFonts w:hint="eastAsia"/>
          <w:b/>
          <w:bCs/>
          <w:sz w:val="28"/>
          <w:szCs w:val="28"/>
          <w:highlight w:val="none"/>
          <w:lang w:val="en-US" w:eastAsia="zh-CN"/>
        </w:rPr>
      </w:pPr>
      <w:r>
        <w:rPr>
          <w:rFonts w:hint="eastAsia"/>
          <w:b/>
          <w:bCs/>
          <w:sz w:val="28"/>
          <w:szCs w:val="28"/>
          <w:highlight w:val="none"/>
          <w:lang w:val="en-US" w:eastAsia="zh-CN"/>
        </w:rPr>
        <w:t>环评单位：长沙永宸环境科技有限公司</w:t>
      </w:r>
    </w:p>
    <w:p w14:paraId="791770D2">
      <w:pPr>
        <w:bidi w:val="0"/>
        <w:ind w:left="0" w:leftChars="0" w:firstLine="0" w:firstLineChars="0"/>
        <w:jc w:val="center"/>
        <w:rPr>
          <w:rFonts w:hint="eastAsia"/>
          <w:b/>
          <w:bCs/>
          <w:sz w:val="28"/>
          <w:szCs w:val="28"/>
          <w:highlight w:val="none"/>
          <w:lang w:val="en-US" w:eastAsia="zh-CN"/>
        </w:rPr>
      </w:pPr>
      <w:r>
        <w:rPr>
          <w:rFonts w:hint="eastAsia"/>
          <w:b/>
          <w:bCs/>
          <w:sz w:val="28"/>
          <w:szCs w:val="28"/>
          <w:highlight w:val="none"/>
          <w:lang w:val="en-US" w:eastAsia="zh-CN"/>
        </w:rPr>
        <w:t>二〇二五年十月</w:t>
      </w:r>
    </w:p>
    <w:p w14:paraId="6966EFB9">
      <w:pPr>
        <w:rPr>
          <w:rFonts w:hint="eastAsia"/>
          <w:b/>
          <w:bCs/>
          <w:sz w:val="28"/>
          <w:szCs w:val="28"/>
          <w:highlight w:val="yellow"/>
          <w:lang w:val="en-US" w:eastAsia="zh-CN"/>
        </w:rPr>
      </w:pPr>
      <w:r>
        <w:rPr>
          <w:rFonts w:hint="eastAsia"/>
          <w:b/>
          <w:bCs/>
          <w:sz w:val="28"/>
          <w:szCs w:val="28"/>
          <w:highlight w:val="yellow"/>
          <w:lang w:val="en-US" w:eastAsia="zh-CN"/>
        </w:rPr>
        <w:br w:type="page"/>
      </w:r>
    </w:p>
    <w:p w14:paraId="46F1B7FD">
      <w:pPr>
        <w:bidi w:val="0"/>
        <w:ind w:left="0" w:leftChars="0" w:firstLine="0" w:firstLineChars="0"/>
        <w:jc w:val="center"/>
        <w:rPr>
          <w:rFonts w:hint="eastAsia"/>
          <w:b/>
          <w:bCs/>
          <w:sz w:val="32"/>
          <w:szCs w:val="32"/>
          <w:highlight w:val="none"/>
          <w:lang w:val="en-US" w:eastAsia="zh-CN"/>
        </w:rPr>
      </w:pPr>
      <w:r>
        <w:rPr>
          <w:rFonts w:hint="eastAsia"/>
          <w:b/>
          <w:bCs/>
          <w:sz w:val="32"/>
          <w:szCs w:val="32"/>
          <w:highlight w:val="none"/>
          <w:lang w:val="en-US" w:eastAsia="zh-CN"/>
        </w:rPr>
        <w:t>目  录</w:t>
      </w:r>
    </w:p>
    <w:p w14:paraId="705A3BD8">
      <w:pPr>
        <w:pStyle w:val="26"/>
        <w:tabs>
          <w:tab w:val="right" w:leader="dot" w:pos="9016"/>
        </w:tabs>
        <w:rPr>
          <w:b/>
          <w:bCs/>
        </w:rPr>
      </w:pPr>
      <w:r>
        <w:rPr>
          <w:rFonts w:hint="eastAsia"/>
          <w:highlight w:val="yellow"/>
          <w:lang w:val="en-US" w:eastAsia="zh-CN"/>
        </w:rPr>
        <w:fldChar w:fldCharType="begin"/>
      </w:r>
      <w:r>
        <w:rPr>
          <w:rFonts w:hint="eastAsia"/>
          <w:highlight w:val="yellow"/>
          <w:lang w:val="en-US" w:eastAsia="zh-CN"/>
        </w:rPr>
        <w:instrText xml:space="preserve">TOC \o "1-2" \h \u </w:instrText>
      </w:r>
      <w:r>
        <w:rPr>
          <w:rFonts w:hint="eastAsia"/>
          <w:highlight w:val="yellow"/>
          <w:lang w:val="en-US" w:eastAsia="zh-CN"/>
        </w:rPr>
        <w:fldChar w:fldCharType="separate"/>
      </w:r>
      <w:r>
        <w:rPr>
          <w:rFonts w:hint="eastAsia"/>
          <w:b/>
          <w:bCs/>
          <w:highlight w:val="yellow"/>
          <w:lang w:val="en-US" w:eastAsia="zh-CN"/>
        </w:rPr>
        <w:fldChar w:fldCharType="begin"/>
      </w:r>
      <w:r>
        <w:rPr>
          <w:rFonts w:hint="eastAsia"/>
          <w:b/>
          <w:bCs/>
          <w:highlight w:val="yellow"/>
          <w:lang w:val="en-US" w:eastAsia="zh-CN"/>
        </w:rPr>
        <w:instrText xml:space="preserve"> HYPERLINK \l _Toc9794 </w:instrText>
      </w:r>
      <w:r>
        <w:rPr>
          <w:rFonts w:hint="eastAsia"/>
          <w:b/>
          <w:bCs/>
          <w:highlight w:val="yellow"/>
          <w:lang w:val="en-US" w:eastAsia="zh-CN"/>
        </w:rPr>
        <w:fldChar w:fldCharType="separate"/>
      </w:r>
      <w:r>
        <w:rPr>
          <w:rFonts w:hint="default" w:ascii="Times New Roman" w:hAnsi="Times New Roman" w:eastAsia="宋体" w:cs="Times New Roman"/>
          <w:b/>
          <w:bCs/>
          <w:szCs w:val="36"/>
          <w:lang w:val="en-US" w:eastAsia="zh-CN"/>
        </w:rPr>
        <w:t xml:space="preserve">1. </w:t>
      </w:r>
      <w:r>
        <w:rPr>
          <w:rFonts w:hint="eastAsia"/>
          <w:b/>
          <w:bCs/>
          <w:highlight w:val="none"/>
          <w:lang w:val="en-US" w:eastAsia="zh-CN"/>
        </w:rPr>
        <w:t>概述</w:t>
      </w:r>
      <w:r>
        <w:rPr>
          <w:b/>
          <w:bCs/>
        </w:rPr>
        <w:tab/>
      </w:r>
      <w:r>
        <w:rPr>
          <w:b/>
          <w:bCs/>
        </w:rPr>
        <w:fldChar w:fldCharType="begin"/>
      </w:r>
      <w:r>
        <w:rPr>
          <w:b/>
          <w:bCs/>
        </w:rPr>
        <w:instrText xml:space="preserve"> PAGEREF _Toc9794 \h </w:instrText>
      </w:r>
      <w:r>
        <w:rPr>
          <w:b/>
          <w:bCs/>
        </w:rPr>
        <w:fldChar w:fldCharType="separate"/>
      </w:r>
      <w:r>
        <w:rPr>
          <w:b/>
          <w:bCs/>
        </w:rPr>
        <w:t>1</w:t>
      </w:r>
      <w:r>
        <w:rPr>
          <w:b/>
          <w:bCs/>
        </w:rPr>
        <w:fldChar w:fldCharType="end"/>
      </w:r>
      <w:r>
        <w:rPr>
          <w:rFonts w:hint="eastAsia"/>
          <w:b/>
          <w:bCs/>
          <w:highlight w:val="yellow"/>
          <w:lang w:val="en-US" w:eastAsia="zh-CN"/>
        </w:rPr>
        <w:fldChar w:fldCharType="end"/>
      </w:r>
    </w:p>
    <w:p w14:paraId="0CFAD19F">
      <w:pPr>
        <w:pStyle w:val="32"/>
        <w:tabs>
          <w:tab w:val="right" w:leader="dot" w:pos="9016"/>
        </w:tabs>
      </w:pPr>
      <w:r>
        <w:rPr>
          <w:rFonts w:hint="eastAsia"/>
          <w:highlight w:val="yellow"/>
          <w:lang w:val="en-US" w:eastAsia="zh-CN"/>
        </w:rPr>
        <w:fldChar w:fldCharType="begin"/>
      </w:r>
      <w:r>
        <w:rPr>
          <w:rFonts w:hint="eastAsia"/>
          <w:highlight w:val="yellow"/>
          <w:lang w:val="en-US" w:eastAsia="zh-CN"/>
        </w:rPr>
        <w:instrText xml:space="preserve"> HYPERLINK \l _Toc26893 </w:instrText>
      </w:r>
      <w:r>
        <w:rPr>
          <w:rFonts w:hint="eastAsia"/>
          <w:highlight w:val="yellow"/>
          <w:lang w:val="en-US" w:eastAsia="zh-CN"/>
        </w:rPr>
        <w:fldChar w:fldCharType="separate"/>
      </w:r>
      <w:r>
        <w:rPr>
          <w:rFonts w:hint="default" w:ascii="Times New Roman" w:hAnsi="Times New Roman" w:eastAsia="宋体" w:cs="Times New Roman"/>
          <w:szCs w:val="30"/>
          <w:lang w:val="en-US" w:eastAsia="zh-CN"/>
        </w:rPr>
        <w:t xml:space="preserve">1.1 </w:t>
      </w:r>
      <w:r>
        <w:rPr>
          <w:rFonts w:hint="eastAsia"/>
          <w:highlight w:val="none"/>
          <w:lang w:val="en-US" w:eastAsia="zh-CN"/>
        </w:rPr>
        <w:t>项目背景</w:t>
      </w:r>
      <w:r>
        <w:tab/>
      </w:r>
      <w:r>
        <w:fldChar w:fldCharType="begin"/>
      </w:r>
      <w:r>
        <w:instrText xml:space="preserve"> PAGEREF _Toc26893 \h </w:instrText>
      </w:r>
      <w:r>
        <w:fldChar w:fldCharType="separate"/>
      </w:r>
      <w:r>
        <w:t>1</w:t>
      </w:r>
      <w:r>
        <w:fldChar w:fldCharType="end"/>
      </w:r>
      <w:r>
        <w:rPr>
          <w:rFonts w:hint="eastAsia"/>
          <w:highlight w:val="yellow"/>
          <w:lang w:val="en-US" w:eastAsia="zh-CN"/>
        </w:rPr>
        <w:fldChar w:fldCharType="end"/>
      </w:r>
    </w:p>
    <w:p w14:paraId="2C16BD25">
      <w:pPr>
        <w:pStyle w:val="32"/>
        <w:tabs>
          <w:tab w:val="right" w:leader="dot" w:pos="9016"/>
        </w:tabs>
      </w:pPr>
      <w:r>
        <w:rPr>
          <w:rFonts w:hint="eastAsia"/>
          <w:highlight w:val="yellow"/>
          <w:lang w:val="en-US" w:eastAsia="zh-CN"/>
        </w:rPr>
        <w:fldChar w:fldCharType="begin"/>
      </w:r>
      <w:r>
        <w:rPr>
          <w:rFonts w:hint="eastAsia"/>
          <w:highlight w:val="yellow"/>
          <w:lang w:val="en-US" w:eastAsia="zh-CN"/>
        </w:rPr>
        <w:instrText xml:space="preserve"> HYPERLINK \l _Toc28918 </w:instrText>
      </w:r>
      <w:r>
        <w:rPr>
          <w:rFonts w:hint="eastAsia"/>
          <w:highlight w:val="yellow"/>
          <w:lang w:val="en-US" w:eastAsia="zh-CN"/>
        </w:rPr>
        <w:fldChar w:fldCharType="separate"/>
      </w:r>
      <w:r>
        <w:rPr>
          <w:rFonts w:hint="default" w:ascii="Times New Roman" w:hAnsi="Times New Roman" w:eastAsia="宋体" w:cs="Times New Roman"/>
          <w:szCs w:val="30"/>
          <w:lang w:val="en-US" w:eastAsia="zh-CN"/>
        </w:rPr>
        <w:t xml:space="preserve">1.2 </w:t>
      </w:r>
      <w:r>
        <w:rPr>
          <w:rFonts w:hint="eastAsia"/>
          <w:highlight w:val="none"/>
          <w:lang w:val="en-US" w:eastAsia="zh-CN"/>
        </w:rPr>
        <w:t>环境影响评价工作过程</w:t>
      </w:r>
      <w:r>
        <w:tab/>
      </w:r>
      <w:r>
        <w:fldChar w:fldCharType="begin"/>
      </w:r>
      <w:r>
        <w:instrText xml:space="preserve"> PAGEREF _Toc28918 \h </w:instrText>
      </w:r>
      <w:r>
        <w:fldChar w:fldCharType="separate"/>
      </w:r>
      <w:r>
        <w:t>2</w:t>
      </w:r>
      <w:r>
        <w:fldChar w:fldCharType="end"/>
      </w:r>
      <w:r>
        <w:rPr>
          <w:rFonts w:hint="eastAsia"/>
          <w:highlight w:val="yellow"/>
          <w:lang w:val="en-US" w:eastAsia="zh-CN"/>
        </w:rPr>
        <w:fldChar w:fldCharType="end"/>
      </w:r>
    </w:p>
    <w:p w14:paraId="6C69F805">
      <w:pPr>
        <w:pStyle w:val="32"/>
        <w:tabs>
          <w:tab w:val="right" w:leader="dot" w:pos="9016"/>
        </w:tabs>
      </w:pPr>
      <w:r>
        <w:rPr>
          <w:rFonts w:hint="eastAsia"/>
          <w:highlight w:val="yellow"/>
          <w:lang w:val="en-US" w:eastAsia="zh-CN"/>
        </w:rPr>
        <w:fldChar w:fldCharType="begin"/>
      </w:r>
      <w:r>
        <w:rPr>
          <w:rFonts w:hint="eastAsia"/>
          <w:highlight w:val="yellow"/>
          <w:lang w:val="en-US" w:eastAsia="zh-CN"/>
        </w:rPr>
        <w:instrText xml:space="preserve"> HYPERLINK \l _Toc4175 </w:instrText>
      </w:r>
      <w:r>
        <w:rPr>
          <w:rFonts w:hint="eastAsia"/>
          <w:highlight w:val="yellow"/>
          <w:lang w:val="en-US" w:eastAsia="zh-CN"/>
        </w:rPr>
        <w:fldChar w:fldCharType="separate"/>
      </w:r>
      <w:r>
        <w:rPr>
          <w:rFonts w:hint="default" w:ascii="Times New Roman" w:hAnsi="Times New Roman" w:eastAsia="宋体" w:cs="Times New Roman"/>
          <w:szCs w:val="30"/>
          <w:lang w:val="en-US" w:eastAsia="zh-CN"/>
        </w:rPr>
        <w:t xml:space="preserve">1.3 </w:t>
      </w:r>
      <w:r>
        <w:rPr>
          <w:rFonts w:hint="eastAsia"/>
          <w:highlight w:val="none"/>
          <w:lang w:val="en-US" w:eastAsia="zh-CN"/>
        </w:rPr>
        <w:t>项目建设的必要性</w:t>
      </w:r>
      <w:r>
        <w:tab/>
      </w:r>
      <w:r>
        <w:fldChar w:fldCharType="begin"/>
      </w:r>
      <w:r>
        <w:instrText xml:space="preserve"> PAGEREF _Toc4175 \h </w:instrText>
      </w:r>
      <w:r>
        <w:fldChar w:fldCharType="separate"/>
      </w:r>
      <w:r>
        <w:t>4</w:t>
      </w:r>
      <w:r>
        <w:fldChar w:fldCharType="end"/>
      </w:r>
      <w:r>
        <w:rPr>
          <w:rFonts w:hint="eastAsia"/>
          <w:highlight w:val="yellow"/>
          <w:lang w:val="en-US" w:eastAsia="zh-CN"/>
        </w:rPr>
        <w:fldChar w:fldCharType="end"/>
      </w:r>
    </w:p>
    <w:p w14:paraId="009BA959">
      <w:pPr>
        <w:pStyle w:val="32"/>
        <w:tabs>
          <w:tab w:val="right" w:leader="dot" w:pos="9016"/>
        </w:tabs>
      </w:pPr>
      <w:r>
        <w:rPr>
          <w:rFonts w:hint="eastAsia"/>
          <w:highlight w:val="yellow"/>
          <w:lang w:val="en-US" w:eastAsia="zh-CN"/>
        </w:rPr>
        <w:fldChar w:fldCharType="begin"/>
      </w:r>
      <w:r>
        <w:rPr>
          <w:rFonts w:hint="eastAsia"/>
          <w:highlight w:val="yellow"/>
          <w:lang w:val="en-US" w:eastAsia="zh-CN"/>
        </w:rPr>
        <w:instrText xml:space="preserve"> HYPERLINK \l _Toc21816 </w:instrText>
      </w:r>
      <w:r>
        <w:rPr>
          <w:rFonts w:hint="eastAsia"/>
          <w:highlight w:val="yellow"/>
          <w:lang w:val="en-US" w:eastAsia="zh-CN"/>
        </w:rPr>
        <w:fldChar w:fldCharType="separate"/>
      </w:r>
      <w:r>
        <w:rPr>
          <w:rFonts w:hint="default" w:ascii="Times New Roman" w:hAnsi="Times New Roman" w:eastAsia="宋体" w:cs="Times New Roman"/>
          <w:szCs w:val="30"/>
          <w:lang w:val="en-US" w:eastAsia="zh-CN"/>
        </w:rPr>
        <w:t xml:space="preserve">1.4 </w:t>
      </w:r>
      <w:r>
        <w:rPr>
          <w:rFonts w:hint="eastAsia"/>
          <w:highlight w:val="none"/>
          <w:lang w:val="en-US" w:eastAsia="zh-CN"/>
        </w:rPr>
        <w:t>分析判定相关情况</w:t>
      </w:r>
      <w:r>
        <w:tab/>
      </w:r>
      <w:r>
        <w:fldChar w:fldCharType="begin"/>
      </w:r>
      <w:r>
        <w:instrText xml:space="preserve"> PAGEREF _Toc21816 \h </w:instrText>
      </w:r>
      <w:r>
        <w:fldChar w:fldCharType="separate"/>
      </w:r>
      <w:r>
        <w:t>6</w:t>
      </w:r>
      <w:r>
        <w:fldChar w:fldCharType="end"/>
      </w:r>
      <w:r>
        <w:rPr>
          <w:rFonts w:hint="eastAsia"/>
          <w:highlight w:val="yellow"/>
          <w:lang w:val="en-US" w:eastAsia="zh-CN"/>
        </w:rPr>
        <w:fldChar w:fldCharType="end"/>
      </w:r>
    </w:p>
    <w:p w14:paraId="6800B0D9">
      <w:pPr>
        <w:pStyle w:val="32"/>
        <w:tabs>
          <w:tab w:val="right" w:leader="dot" w:pos="9016"/>
        </w:tabs>
      </w:pPr>
      <w:r>
        <w:rPr>
          <w:rFonts w:hint="eastAsia"/>
          <w:highlight w:val="yellow"/>
          <w:lang w:val="en-US" w:eastAsia="zh-CN"/>
        </w:rPr>
        <w:fldChar w:fldCharType="begin"/>
      </w:r>
      <w:r>
        <w:rPr>
          <w:rFonts w:hint="eastAsia"/>
          <w:highlight w:val="yellow"/>
          <w:lang w:val="en-US" w:eastAsia="zh-CN"/>
        </w:rPr>
        <w:instrText xml:space="preserve"> HYPERLINK \l _Toc1298 </w:instrText>
      </w:r>
      <w:r>
        <w:rPr>
          <w:rFonts w:hint="eastAsia"/>
          <w:highlight w:val="yellow"/>
          <w:lang w:val="en-US" w:eastAsia="zh-CN"/>
        </w:rPr>
        <w:fldChar w:fldCharType="separate"/>
      </w:r>
      <w:r>
        <w:rPr>
          <w:rFonts w:hint="default" w:ascii="Times New Roman" w:hAnsi="Times New Roman" w:eastAsia="宋体" w:cs="Times New Roman"/>
          <w:szCs w:val="30"/>
          <w:lang w:val="en-US" w:eastAsia="zh-CN"/>
        </w:rPr>
        <w:t xml:space="preserve">1.5 </w:t>
      </w:r>
      <w:r>
        <w:rPr>
          <w:rFonts w:hint="eastAsia"/>
          <w:highlight w:val="none"/>
          <w:lang w:val="en-US" w:eastAsia="zh-CN"/>
        </w:rPr>
        <w:t>关注的主要环境问题</w:t>
      </w:r>
      <w:r>
        <w:tab/>
      </w:r>
      <w:r>
        <w:fldChar w:fldCharType="begin"/>
      </w:r>
      <w:r>
        <w:instrText xml:space="preserve"> PAGEREF _Toc1298 \h </w:instrText>
      </w:r>
      <w:r>
        <w:fldChar w:fldCharType="separate"/>
      </w:r>
      <w:r>
        <w:t>21</w:t>
      </w:r>
      <w:r>
        <w:fldChar w:fldCharType="end"/>
      </w:r>
      <w:r>
        <w:rPr>
          <w:rFonts w:hint="eastAsia"/>
          <w:highlight w:val="yellow"/>
          <w:lang w:val="en-US" w:eastAsia="zh-CN"/>
        </w:rPr>
        <w:fldChar w:fldCharType="end"/>
      </w:r>
    </w:p>
    <w:p w14:paraId="7FC0C72F">
      <w:pPr>
        <w:pStyle w:val="32"/>
        <w:tabs>
          <w:tab w:val="right" w:leader="dot" w:pos="9016"/>
        </w:tabs>
      </w:pPr>
      <w:r>
        <w:rPr>
          <w:rFonts w:hint="eastAsia"/>
          <w:highlight w:val="yellow"/>
          <w:lang w:val="en-US" w:eastAsia="zh-CN"/>
        </w:rPr>
        <w:fldChar w:fldCharType="begin"/>
      </w:r>
      <w:r>
        <w:rPr>
          <w:rFonts w:hint="eastAsia"/>
          <w:highlight w:val="yellow"/>
          <w:lang w:val="en-US" w:eastAsia="zh-CN"/>
        </w:rPr>
        <w:instrText xml:space="preserve"> HYPERLINK \l _Toc880 </w:instrText>
      </w:r>
      <w:r>
        <w:rPr>
          <w:rFonts w:hint="eastAsia"/>
          <w:highlight w:val="yellow"/>
          <w:lang w:val="en-US" w:eastAsia="zh-CN"/>
        </w:rPr>
        <w:fldChar w:fldCharType="separate"/>
      </w:r>
      <w:r>
        <w:rPr>
          <w:rFonts w:hint="default" w:ascii="Times New Roman" w:hAnsi="Times New Roman" w:eastAsia="宋体" w:cs="Times New Roman"/>
          <w:szCs w:val="30"/>
          <w:lang w:val="en-US" w:eastAsia="zh-CN"/>
        </w:rPr>
        <w:t xml:space="preserve">1.6 </w:t>
      </w:r>
      <w:r>
        <w:rPr>
          <w:rFonts w:hint="eastAsia"/>
          <w:highlight w:val="none"/>
          <w:lang w:val="en-US" w:eastAsia="zh-CN"/>
        </w:rPr>
        <w:t>报告书主要结论</w:t>
      </w:r>
      <w:r>
        <w:tab/>
      </w:r>
      <w:r>
        <w:fldChar w:fldCharType="begin"/>
      </w:r>
      <w:r>
        <w:instrText xml:space="preserve"> PAGEREF _Toc880 \h </w:instrText>
      </w:r>
      <w:r>
        <w:fldChar w:fldCharType="separate"/>
      </w:r>
      <w:r>
        <w:t>21</w:t>
      </w:r>
      <w:r>
        <w:fldChar w:fldCharType="end"/>
      </w:r>
      <w:r>
        <w:rPr>
          <w:rFonts w:hint="eastAsia"/>
          <w:highlight w:val="yellow"/>
          <w:lang w:val="en-US" w:eastAsia="zh-CN"/>
        </w:rPr>
        <w:fldChar w:fldCharType="end"/>
      </w:r>
    </w:p>
    <w:p w14:paraId="7ABE99A4">
      <w:pPr>
        <w:pStyle w:val="26"/>
        <w:tabs>
          <w:tab w:val="right" w:leader="dot" w:pos="9016"/>
        </w:tabs>
        <w:rPr>
          <w:b/>
          <w:bCs/>
        </w:rPr>
      </w:pPr>
      <w:r>
        <w:rPr>
          <w:rFonts w:hint="eastAsia"/>
          <w:b/>
          <w:bCs/>
          <w:highlight w:val="yellow"/>
          <w:lang w:val="en-US" w:eastAsia="zh-CN"/>
        </w:rPr>
        <w:fldChar w:fldCharType="begin"/>
      </w:r>
      <w:r>
        <w:rPr>
          <w:rFonts w:hint="eastAsia"/>
          <w:b/>
          <w:bCs/>
          <w:highlight w:val="yellow"/>
          <w:lang w:val="en-US" w:eastAsia="zh-CN"/>
        </w:rPr>
        <w:instrText xml:space="preserve"> HYPERLINK \l _Toc388 </w:instrText>
      </w:r>
      <w:r>
        <w:rPr>
          <w:rFonts w:hint="eastAsia"/>
          <w:b/>
          <w:bCs/>
          <w:highlight w:val="yellow"/>
          <w:lang w:val="en-US" w:eastAsia="zh-CN"/>
        </w:rPr>
        <w:fldChar w:fldCharType="separate"/>
      </w:r>
      <w:r>
        <w:rPr>
          <w:rFonts w:hint="default" w:ascii="Times New Roman" w:hAnsi="Times New Roman" w:eastAsia="宋体" w:cs="Times New Roman"/>
          <w:b/>
          <w:bCs/>
          <w:szCs w:val="36"/>
          <w:lang w:val="en-US" w:eastAsia="zh-CN"/>
        </w:rPr>
        <w:t xml:space="preserve">2. </w:t>
      </w:r>
      <w:r>
        <w:rPr>
          <w:rFonts w:hint="eastAsia"/>
          <w:b/>
          <w:bCs/>
          <w:highlight w:val="none"/>
          <w:lang w:val="en-US" w:eastAsia="zh-CN"/>
        </w:rPr>
        <w:t>总则</w:t>
      </w:r>
      <w:r>
        <w:rPr>
          <w:b/>
          <w:bCs/>
        </w:rPr>
        <w:tab/>
      </w:r>
      <w:r>
        <w:rPr>
          <w:b/>
          <w:bCs/>
        </w:rPr>
        <w:fldChar w:fldCharType="begin"/>
      </w:r>
      <w:r>
        <w:rPr>
          <w:b/>
          <w:bCs/>
        </w:rPr>
        <w:instrText xml:space="preserve"> PAGEREF _Toc388 \h </w:instrText>
      </w:r>
      <w:r>
        <w:rPr>
          <w:b/>
          <w:bCs/>
        </w:rPr>
        <w:fldChar w:fldCharType="separate"/>
      </w:r>
      <w:r>
        <w:rPr>
          <w:b/>
          <w:bCs/>
        </w:rPr>
        <w:t>22</w:t>
      </w:r>
      <w:r>
        <w:rPr>
          <w:b/>
          <w:bCs/>
        </w:rPr>
        <w:fldChar w:fldCharType="end"/>
      </w:r>
      <w:r>
        <w:rPr>
          <w:rFonts w:hint="eastAsia"/>
          <w:b/>
          <w:bCs/>
          <w:highlight w:val="yellow"/>
          <w:lang w:val="en-US" w:eastAsia="zh-CN"/>
        </w:rPr>
        <w:fldChar w:fldCharType="end"/>
      </w:r>
    </w:p>
    <w:p w14:paraId="1B973FED">
      <w:pPr>
        <w:pStyle w:val="32"/>
        <w:tabs>
          <w:tab w:val="right" w:leader="dot" w:pos="9016"/>
        </w:tabs>
      </w:pPr>
      <w:r>
        <w:rPr>
          <w:rFonts w:hint="eastAsia"/>
          <w:highlight w:val="yellow"/>
          <w:lang w:val="en-US" w:eastAsia="zh-CN"/>
        </w:rPr>
        <w:fldChar w:fldCharType="begin"/>
      </w:r>
      <w:r>
        <w:rPr>
          <w:rFonts w:hint="eastAsia"/>
          <w:highlight w:val="yellow"/>
          <w:lang w:val="en-US" w:eastAsia="zh-CN"/>
        </w:rPr>
        <w:instrText xml:space="preserve"> HYPERLINK \l _Toc29428 </w:instrText>
      </w:r>
      <w:r>
        <w:rPr>
          <w:rFonts w:hint="eastAsia"/>
          <w:highlight w:val="yellow"/>
          <w:lang w:val="en-US" w:eastAsia="zh-CN"/>
        </w:rPr>
        <w:fldChar w:fldCharType="separate"/>
      </w:r>
      <w:r>
        <w:rPr>
          <w:rFonts w:hint="default" w:ascii="Times New Roman" w:hAnsi="Times New Roman" w:eastAsia="宋体" w:cs="Times New Roman"/>
          <w:szCs w:val="30"/>
          <w:lang w:val="en-US" w:eastAsia="zh-CN"/>
        </w:rPr>
        <w:t xml:space="preserve">2.1 </w:t>
      </w:r>
      <w:r>
        <w:rPr>
          <w:rFonts w:hint="eastAsia"/>
          <w:highlight w:val="none"/>
          <w:lang w:val="en-US" w:eastAsia="zh-CN"/>
        </w:rPr>
        <w:t>编制依据</w:t>
      </w:r>
      <w:r>
        <w:tab/>
      </w:r>
      <w:r>
        <w:fldChar w:fldCharType="begin"/>
      </w:r>
      <w:r>
        <w:instrText xml:space="preserve"> PAGEREF _Toc29428 \h </w:instrText>
      </w:r>
      <w:r>
        <w:fldChar w:fldCharType="separate"/>
      </w:r>
      <w:r>
        <w:t>22</w:t>
      </w:r>
      <w:r>
        <w:fldChar w:fldCharType="end"/>
      </w:r>
      <w:r>
        <w:rPr>
          <w:rFonts w:hint="eastAsia"/>
          <w:highlight w:val="yellow"/>
          <w:lang w:val="en-US" w:eastAsia="zh-CN"/>
        </w:rPr>
        <w:fldChar w:fldCharType="end"/>
      </w:r>
    </w:p>
    <w:p w14:paraId="422D8E8C">
      <w:pPr>
        <w:pStyle w:val="32"/>
        <w:tabs>
          <w:tab w:val="right" w:leader="dot" w:pos="9016"/>
        </w:tabs>
      </w:pPr>
      <w:r>
        <w:rPr>
          <w:rFonts w:hint="eastAsia"/>
          <w:highlight w:val="yellow"/>
          <w:lang w:val="en-US" w:eastAsia="zh-CN"/>
        </w:rPr>
        <w:fldChar w:fldCharType="begin"/>
      </w:r>
      <w:r>
        <w:rPr>
          <w:rFonts w:hint="eastAsia"/>
          <w:highlight w:val="yellow"/>
          <w:lang w:val="en-US" w:eastAsia="zh-CN"/>
        </w:rPr>
        <w:instrText xml:space="preserve"> HYPERLINK \l _Toc5648 </w:instrText>
      </w:r>
      <w:r>
        <w:rPr>
          <w:rFonts w:hint="eastAsia"/>
          <w:highlight w:val="yellow"/>
          <w:lang w:val="en-US" w:eastAsia="zh-CN"/>
        </w:rPr>
        <w:fldChar w:fldCharType="separate"/>
      </w:r>
      <w:r>
        <w:rPr>
          <w:rFonts w:hint="default" w:ascii="Times New Roman" w:hAnsi="Times New Roman" w:eastAsia="宋体" w:cs="Times New Roman"/>
          <w:szCs w:val="30"/>
          <w:lang w:val="en-US" w:eastAsia="zh-CN"/>
        </w:rPr>
        <w:t xml:space="preserve">2.2 </w:t>
      </w:r>
      <w:r>
        <w:rPr>
          <w:rFonts w:hint="eastAsia"/>
          <w:highlight w:val="none"/>
          <w:lang w:val="en-US" w:eastAsia="zh-CN"/>
        </w:rPr>
        <w:t>评价目的与评价原则</w:t>
      </w:r>
      <w:r>
        <w:tab/>
      </w:r>
      <w:r>
        <w:fldChar w:fldCharType="begin"/>
      </w:r>
      <w:r>
        <w:instrText xml:space="preserve"> PAGEREF _Toc5648 \h </w:instrText>
      </w:r>
      <w:r>
        <w:fldChar w:fldCharType="separate"/>
      </w:r>
      <w:r>
        <w:t>26</w:t>
      </w:r>
      <w:r>
        <w:fldChar w:fldCharType="end"/>
      </w:r>
      <w:r>
        <w:rPr>
          <w:rFonts w:hint="eastAsia"/>
          <w:highlight w:val="yellow"/>
          <w:lang w:val="en-US" w:eastAsia="zh-CN"/>
        </w:rPr>
        <w:fldChar w:fldCharType="end"/>
      </w:r>
    </w:p>
    <w:p w14:paraId="6C8E7CC7">
      <w:pPr>
        <w:pStyle w:val="32"/>
        <w:tabs>
          <w:tab w:val="right" w:leader="dot" w:pos="9016"/>
        </w:tabs>
      </w:pPr>
      <w:r>
        <w:rPr>
          <w:rFonts w:hint="eastAsia"/>
          <w:highlight w:val="yellow"/>
          <w:lang w:val="en-US" w:eastAsia="zh-CN"/>
        </w:rPr>
        <w:fldChar w:fldCharType="begin"/>
      </w:r>
      <w:r>
        <w:rPr>
          <w:rFonts w:hint="eastAsia"/>
          <w:highlight w:val="yellow"/>
          <w:lang w:val="en-US" w:eastAsia="zh-CN"/>
        </w:rPr>
        <w:instrText xml:space="preserve"> HYPERLINK \l _Toc22311 </w:instrText>
      </w:r>
      <w:r>
        <w:rPr>
          <w:rFonts w:hint="eastAsia"/>
          <w:highlight w:val="yellow"/>
          <w:lang w:val="en-US" w:eastAsia="zh-CN"/>
        </w:rPr>
        <w:fldChar w:fldCharType="separate"/>
      </w:r>
      <w:r>
        <w:rPr>
          <w:rFonts w:hint="default" w:ascii="Times New Roman" w:hAnsi="Times New Roman" w:eastAsia="宋体" w:cs="Times New Roman"/>
          <w:szCs w:val="30"/>
          <w:lang w:val="en-US" w:eastAsia="zh-CN"/>
        </w:rPr>
        <w:t xml:space="preserve">2.3 </w:t>
      </w:r>
      <w:r>
        <w:rPr>
          <w:rFonts w:hint="eastAsia"/>
          <w:highlight w:val="none"/>
          <w:lang w:val="en-US" w:eastAsia="zh-CN"/>
        </w:rPr>
        <w:t>环境影响识别和评价因子筛选</w:t>
      </w:r>
      <w:r>
        <w:tab/>
      </w:r>
      <w:r>
        <w:fldChar w:fldCharType="begin"/>
      </w:r>
      <w:r>
        <w:instrText xml:space="preserve"> PAGEREF _Toc22311 \h </w:instrText>
      </w:r>
      <w:r>
        <w:fldChar w:fldCharType="separate"/>
      </w:r>
      <w:r>
        <w:t>28</w:t>
      </w:r>
      <w:r>
        <w:fldChar w:fldCharType="end"/>
      </w:r>
      <w:r>
        <w:rPr>
          <w:rFonts w:hint="eastAsia"/>
          <w:highlight w:val="yellow"/>
          <w:lang w:val="en-US" w:eastAsia="zh-CN"/>
        </w:rPr>
        <w:fldChar w:fldCharType="end"/>
      </w:r>
    </w:p>
    <w:p w14:paraId="73A9B49A">
      <w:pPr>
        <w:pStyle w:val="32"/>
        <w:tabs>
          <w:tab w:val="right" w:leader="dot" w:pos="9016"/>
        </w:tabs>
      </w:pPr>
      <w:r>
        <w:rPr>
          <w:rFonts w:hint="eastAsia"/>
          <w:highlight w:val="yellow"/>
          <w:lang w:val="en-US" w:eastAsia="zh-CN"/>
        </w:rPr>
        <w:fldChar w:fldCharType="begin"/>
      </w:r>
      <w:r>
        <w:rPr>
          <w:rFonts w:hint="eastAsia"/>
          <w:highlight w:val="yellow"/>
          <w:lang w:val="en-US" w:eastAsia="zh-CN"/>
        </w:rPr>
        <w:instrText xml:space="preserve"> HYPERLINK \l _Toc8849 </w:instrText>
      </w:r>
      <w:r>
        <w:rPr>
          <w:rFonts w:hint="eastAsia"/>
          <w:highlight w:val="yellow"/>
          <w:lang w:val="en-US" w:eastAsia="zh-CN"/>
        </w:rPr>
        <w:fldChar w:fldCharType="separate"/>
      </w:r>
      <w:r>
        <w:rPr>
          <w:rFonts w:hint="default" w:ascii="Times New Roman" w:hAnsi="Times New Roman" w:eastAsia="宋体" w:cs="Times New Roman"/>
          <w:szCs w:val="30"/>
          <w:lang w:val="en-US" w:eastAsia="zh-CN"/>
        </w:rPr>
        <w:t xml:space="preserve">2.4 </w:t>
      </w:r>
      <w:r>
        <w:rPr>
          <w:rFonts w:hint="eastAsia"/>
          <w:highlight w:val="none"/>
          <w:lang w:val="en-US" w:eastAsia="zh-CN"/>
        </w:rPr>
        <w:t>环境功能区划及评价标准</w:t>
      </w:r>
      <w:r>
        <w:tab/>
      </w:r>
      <w:r>
        <w:fldChar w:fldCharType="begin"/>
      </w:r>
      <w:r>
        <w:instrText xml:space="preserve"> PAGEREF _Toc8849 \h </w:instrText>
      </w:r>
      <w:r>
        <w:fldChar w:fldCharType="separate"/>
      </w:r>
      <w:r>
        <w:t>29</w:t>
      </w:r>
      <w:r>
        <w:fldChar w:fldCharType="end"/>
      </w:r>
      <w:r>
        <w:rPr>
          <w:rFonts w:hint="eastAsia"/>
          <w:highlight w:val="yellow"/>
          <w:lang w:val="en-US" w:eastAsia="zh-CN"/>
        </w:rPr>
        <w:fldChar w:fldCharType="end"/>
      </w:r>
    </w:p>
    <w:p w14:paraId="2D5E3990">
      <w:pPr>
        <w:pStyle w:val="32"/>
        <w:tabs>
          <w:tab w:val="right" w:leader="dot" w:pos="9016"/>
        </w:tabs>
      </w:pPr>
      <w:r>
        <w:rPr>
          <w:rFonts w:hint="eastAsia"/>
          <w:highlight w:val="yellow"/>
          <w:lang w:val="en-US" w:eastAsia="zh-CN"/>
        </w:rPr>
        <w:fldChar w:fldCharType="begin"/>
      </w:r>
      <w:r>
        <w:rPr>
          <w:rFonts w:hint="eastAsia"/>
          <w:highlight w:val="yellow"/>
          <w:lang w:val="en-US" w:eastAsia="zh-CN"/>
        </w:rPr>
        <w:instrText xml:space="preserve"> HYPERLINK \l _Toc10869 </w:instrText>
      </w:r>
      <w:r>
        <w:rPr>
          <w:rFonts w:hint="eastAsia"/>
          <w:highlight w:val="yellow"/>
          <w:lang w:val="en-US" w:eastAsia="zh-CN"/>
        </w:rPr>
        <w:fldChar w:fldCharType="separate"/>
      </w:r>
      <w:r>
        <w:rPr>
          <w:rFonts w:hint="default" w:ascii="Times New Roman" w:hAnsi="Times New Roman" w:eastAsia="宋体" w:cs="Times New Roman"/>
          <w:szCs w:val="30"/>
          <w:lang w:val="en-US" w:eastAsia="zh-CN"/>
        </w:rPr>
        <w:t xml:space="preserve">2.5 </w:t>
      </w:r>
      <w:r>
        <w:rPr>
          <w:rFonts w:hint="eastAsia"/>
          <w:highlight w:val="none"/>
          <w:lang w:val="en-US" w:eastAsia="zh-CN"/>
        </w:rPr>
        <w:t>评价工作等级及评价范围</w:t>
      </w:r>
      <w:r>
        <w:tab/>
      </w:r>
      <w:r>
        <w:fldChar w:fldCharType="begin"/>
      </w:r>
      <w:r>
        <w:instrText xml:space="preserve"> PAGEREF _Toc10869 \h </w:instrText>
      </w:r>
      <w:r>
        <w:fldChar w:fldCharType="separate"/>
      </w:r>
      <w:r>
        <w:t>35</w:t>
      </w:r>
      <w:r>
        <w:fldChar w:fldCharType="end"/>
      </w:r>
      <w:r>
        <w:rPr>
          <w:rFonts w:hint="eastAsia"/>
          <w:highlight w:val="yellow"/>
          <w:lang w:val="en-US" w:eastAsia="zh-CN"/>
        </w:rPr>
        <w:fldChar w:fldCharType="end"/>
      </w:r>
    </w:p>
    <w:p w14:paraId="07BA5723">
      <w:pPr>
        <w:pStyle w:val="32"/>
        <w:tabs>
          <w:tab w:val="right" w:leader="dot" w:pos="9016"/>
        </w:tabs>
      </w:pPr>
      <w:r>
        <w:rPr>
          <w:rFonts w:hint="eastAsia"/>
          <w:highlight w:val="yellow"/>
          <w:lang w:val="en-US" w:eastAsia="zh-CN"/>
        </w:rPr>
        <w:fldChar w:fldCharType="begin"/>
      </w:r>
      <w:r>
        <w:rPr>
          <w:rFonts w:hint="eastAsia"/>
          <w:highlight w:val="yellow"/>
          <w:lang w:val="en-US" w:eastAsia="zh-CN"/>
        </w:rPr>
        <w:instrText xml:space="preserve"> HYPERLINK \l _Toc20950 </w:instrText>
      </w:r>
      <w:r>
        <w:rPr>
          <w:rFonts w:hint="eastAsia"/>
          <w:highlight w:val="yellow"/>
          <w:lang w:val="en-US" w:eastAsia="zh-CN"/>
        </w:rPr>
        <w:fldChar w:fldCharType="separate"/>
      </w:r>
      <w:r>
        <w:rPr>
          <w:rFonts w:hint="default" w:ascii="Times New Roman" w:hAnsi="Times New Roman" w:eastAsia="宋体" w:cs="Times New Roman"/>
          <w:szCs w:val="30"/>
          <w:lang w:val="en-US" w:eastAsia="zh-CN"/>
        </w:rPr>
        <w:t xml:space="preserve">2.6 </w:t>
      </w:r>
      <w:r>
        <w:rPr>
          <w:rFonts w:hint="eastAsia"/>
          <w:highlight w:val="none"/>
          <w:lang w:val="en-US" w:eastAsia="zh-CN"/>
        </w:rPr>
        <w:t>环境保护目标</w:t>
      </w:r>
      <w:r>
        <w:tab/>
      </w:r>
      <w:r>
        <w:fldChar w:fldCharType="begin"/>
      </w:r>
      <w:r>
        <w:instrText xml:space="preserve"> PAGEREF _Toc20950 \h </w:instrText>
      </w:r>
      <w:r>
        <w:fldChar w:fldCharType="separate"/>
      </w:r>
      <w:r>
        <w:t>41</w:t>
      </w:r>
      <w:r>
        <w:fldChar w:fldCharType="end"/>
      </w:r>
      <w:r>
        <w:rPr>
          <w:rFonts w:hint="eastAsia"/>
          <w:highlight w:val="yellow"/>
          <w:lang w:val="en-US" w:eastAsia="zh-CN"/>
        </w:rPr>
        <w:fldChar w:fldCharType="end"/>
      </w:r>
    </w:p>
    <w:p w14:paraId="3CD28834">
      <w:pPr>
        <w:pStyle w:val="26"/>
        <w:tabs>
          <w:tab w:val="right" w:leader="dot" w:pos="9016"/>
        </w:tabs>
        <w:rPr>
          <w:b/>
          <w:bCs/>
        </w:rPr>
      </w:pPr>
      <w:r>
        <w:rPr>
          <w:rFonts w:hint="eastAsia"/>
          <w:b/>
          <w:bCs/>
          <w:highlight w:val="yellow"/>
          <w:lang w:val="en-US" w:eastAsia="zh-CN"/>
        </w:rPr>
        <w:fldChar w:fldCharType="begin"/>
      </w:r>
      <w:r>
        <w:rPr>
          <w:rFonts w:hint="eastAsia"/>
          <w:b/>
          <w:bCs/>
          <w:highlight w:val="yellow"/>
          <w:lang w:val="en-US" w:eastAsia="zh-CN"/>
        </w:rPr>
        <w:instrText xml:space="preserve"> HYPERLINK \l _Toc26167 </w:instrText>
      </w:r>
      <w:r>
        <w:rPr>
          <w:rFonts w:hint="eastAsia"/>
          <w:b/>
          <w:bCs/>
          <w:highlight w:val="yellow"/>
          <w:lang w:val="en-US" w:eastAsia="zh-CN"/>
        </w:rPr>
        <w:fldChar w:fldCharType="separate"/>
      </w:r>
      <w:r>
        <w:rPr>
          <w:rFonts w:hint="default" w:ascii="Times New Roman" w:hAnsi="Times New Roman" w:eastAsia="宋体" w:cs="Times New Roman"/>
          <w:b/>
          <w:bCs/>
          <w:szCs w:val="36"/>
          <w:lang w:val="en-US" w:eastAsia="zh-CN"/>
        </w:rPr>
        <w:t xml:space="preserve">3. </w:t>
      </w:r>
      <w:r>
        <w:rPr>
          <w:rFonts w:hint="eastAsia"/>
          <w:b/>
          <w:bCs/>
          <w:highlight w:val="none"/>
          <w:lang w:val="en-US" w:eastAsia="zh-CN"/>
        </w:rPr>
        <w:t>建设项目工程分析</w:t>
      </w:r>
      <w:r>
        <w:rPr>
          <w:b/>
          <w:bCs/>
        </w:rPr>
        <w:tab/>
      </w:r>
      <w:r>
        <w:rPr>
          <w:b/>
          <w:bCs/>
        </w:rPr>
        <w:fldChar w:fldCharType="begin"/>
      </w:r>
      <w:r>
        <w:rPr>
          <w:b/>
          <w:bCs/>
        </w:rPr>
        <w:instrText xml:space="preserve"> PAGEREF _Toc26167 \h </w:instrText>
      </w:r>
      <w:r>
        <w:rPr>
          <w:b/>
          <w:bCs/>
        </w:rPr>
        <w:fldChar w:fldCharType="separate"/>
      </w:r>
      <w:r>
        <w:rPr>
          <w:b/>
          <w:bCs/>
        </w:rPr>
        <w:t>44</w:t>
      </w:r>
      <w:r>
        <w:rPr>
          <w:b/>
          <w:bCs/>
        </w:rPr>
        <w:fldChar w:fldCharType="end"/>
      </w:r>
      <w:r>
        <w:rPr>
          <w:rFonts w:hint="eastAsia"/>
          <w:b/>
          <w:bCs/>
          <w:highlight w:val="yellow"/>
          <w:lang w:val="en-US" w:eastAsia="zh-CN"/>
        </w:rPr>
        <w:fldChar w:fldCharType="end"/>
      </w:r>
    </w:p>
    <w:p w14:paraId="6325A410">
      <w:pPr>
        <w:pStyle w:val="32"/>
        <w:tabs>
          <w:tab w:val="right" w:leader="dot" w:pos="9016"/>
        </w:tabs>
      </w:pPr>
      <w:r>
        <w:rPr>
          <w:rFonts w:hint="eastAsia"/>
          <w:highlight w:val="yellow"/>
          <w:lang w:val="en-US" w:eastAsia="zh-CN"/>
        </w:rPr>
        <w:fldChar w:fldCharType="begin"/>
      </w:r>
      <w:r>
        <w:rPr>
          <w:rFonts w:hint="eastAsia"/>
          <w:highlight w:val="yellow"/>
          <w:lang w:val="en-US" w:eastAsia="zh-CN"/>
        </w:rPr>
        <w:instrText xml:space="preserve"> HYPERLINK \l _Toc29300 </w:instrText>
      </w:r>
      <w:r>
        <w:rPr>
          <w:rFonts w:hint="eastAsia"/>
          <w:highlight w:val="yellow"/>
          <w:lang w:val="en-US" w:eastAsia="zh-CN"/>
        </w:rPr>
        <w:fldChar w:fldCharType="separate"/>
      </w:r>
      <w:r>
        <w:rPr>
          <w:rFonts w:hint="default" w:ascii="Times New Roman" w:hAnsi="Times New Roman" w:eastAsia="宋体" w:cs="Times New Roman"/>
          <w:szCs w:val="30"/>
          <w:lang w:val="en-US" w:eastAsia="zh-CN"/>
        </w:rPr>
        <w:t xml:space="preserve">3.1 </w:t>
      </w:r>
      <w:r>
        <w:rPr>
          <w:rFonts w:hint="eastAsia"/>
          <w:highlight w:val="none"/>
          <w:lang w:val="en-US" w:eastAsia="zh-CN"/>
        </w:rPr>
        <w:t>项目概况</w:t>
      </w:r>
      <w:r>
        <w:tab/>
      </w:r>
      <w:r>
        <w:fldChar w:fldCharType="begin"/>
      </w:r>
      <w:r>
        <w:instrText xml:space="preserve"> PAGEREF _Toc29300 \h </w:instrText>
      </w:r>
      <w:r>
        <w:fldChar w:fldCharType="separate"/>
      </w:r>
      <w:r>
        <w:t>44</w:t>
      </w:r>
      <w:r>
        <w:fldChar w:fldCharType="end"/>
      </w:r>
      <w:r>
        <w:rPr>
          <w:rFonts w:hint="eastAsia"/>
          <w:highlight w:val="yellow"/>
          <w:lang w:val="en-US" w:eastAsia="zh-CN"/>
        </w:rPr>
        <w:fldChar w:fldCharType="end"/>
      </w:r>
    </w:p>
    <w:p w14:paraId="21B4446A">
      <w:pPr>
        <w:pStyle w:val="32"/>
        <w:tabs>
          <w:tab w:val="right" w:leader="dot" w:pos="9016"/>
        </w:tabs>
      </w:pPr>
      <w:r>
        <w:rPr>
          <w:rFonts w:hint="eastAsia"/>
          <w:highlight w:val="yellow"/>
          <w:lang w:val="en-US" w:eastAsia="zh-CN"/>
        </w:rPr>
        <w:fldChar w:fldCharType="begin"/>
      </w:r>
      <w:r>
        <w:rPr>
          <w:rFonts w:hint="eastAsia"/>
          <w:highlight w:val="yellow"/>
          <w:lang w:val="en-US" w:eastAsia="zh-CN"/>
        </w:rPr>
        <w:instrText xml:space="preserve"> HYPERLINK \l _Toc30415 </w:instrText>
      </w:r>
      <w:r>
        <w:rPr>
          <w:rFonts w:hint="eastAsia"/>
          <w:highlight w:val="yellow"/>
          <w:lang w:val="en-US" w:eastAsia="zh-CN"/>
        </w:rPr>
        <w:fldChar w:fldCharType="separate"/>
      </w:r>
      <w:r>
        <w:rPr>
          <w:rFonts w:hint="default" w:ascii="Times New Roman" w:hAnsi="Times New Roman" w:eastAsia="宋体" w:cs="Times New Roman"/>
          <w:szCs w:val="30"/>
          <w:lang w:val="en-US" w:eastAsia="zh-CN"/>
        </w:rPr>
        <w:t xml:space="preserve">3.2 </w:t>
      </w:r>
      <w:r>
        <w:rPr>
          <w:rFonts w:hint="eastAsia"/>
          <w:highlight w:val="none"/>
          <w:lang w:val="en-US" w:eastAsia="zh-CN"/>
        </w:rPr>
        <w:t>工程分析</w:t>
      </w:r>
      <w:r>
        <w:tab/>
      </w:r>
      <w:r>
        <w:fldChar w:fldCharType="begin"/>
      </w:r>
      <w:r>
        <w:instrText xml:space="preserve"> PAGEREF _Toc30415 \h </w:instrText>
      </w:r>
      <w:r>
        <w:fldChar w:fldCharType="separate"/>
      </w:r>
      <w:r>
        <w:t>69</w:t>
      </w:r>
      <w:r>
        <w:fldChar w:fldCharType="end"/>
      </w:r>
      <w:r>
        <w:rPr>
          <w:rFonts w:hint="eastAsia"/>
          <w:highlight w:val="yellow"/>
          <w:lang w:val="en-US" w:eastAsia="zh-CN"/>
        </w:rPr>
        <w:fldChar w:fldCharType="end"/>
      </w:r>
    </w:p>
    <w:p w14:paraId="50D61A5A">
      <w:pPr>
        <w:pStyle w:val="32"/>
        <w:tabs>
          <w:tab w:val="right" w:leader="dot" w:pos="9016"/>
        </w:tabs>
      </w:pPr>
      <w:r>
        <w:rPr>
          <w:rFonts w:hint="eastAsia"/>
          <w:highlight w:val="yellow"/>
          <w:lang w:val="en-US" w:eastAsia="zh-CN"/>
        </w:rPr>
        <w:fldChar w:fldCharType="begin"/>
      </w:r>
      <w:r>
        <w:rPr>
          <w:rFonts w:hint="eastAsia"/>
          <w:highlight w:val="yellow"/>
          <w:lang w:val="en-US" w:eastAsia="zh-CN"/>
        </w:rPr>
        <w:instrText xml:space="preserve"> HYPERLINK \l _Toc7931 </w:instrText>
      </w:r>
      <w:r>
        <w:rPr>
          <w:rFonts w:hint="eastAsia"/>
          <w:highlight w:val="yellow"/>
          <w:lang w:val="en-US" w:eastAsia="zh-CN"/>
        </w:rPr>
        <w:fldChar w:fldCharType="separate"/>
      </w:r>
      <w:r>
        <w:rPr>
          <w:rFonts w:hint="default" w:ascii="Times New Roman" w:hAnsi="Times New Roman" w:eastAsia="宋体" w:cs="Times New Roman"/>
          <w:szCs w:val="30"/>
          <w:lang w:val="en-US" w:eastAsia="zh-CN"/>
        </w:rPr>
        <w:t xml:space="preserve">3.3 </w:t>
      </w:r>
      <w:r>
        <w:rPr>
          <w:rFonts w:hint="eastAsia"/>
          <w:highlight w:val="none"/>
          <w:lang w:val="en-US" w:eastAsia="zh-CN"/>
        </w:rPr>
        <w:t>污染源汇总</w:t>
      </w:r>
      <w:r>
        <w:tab/>
      </w:r>
      <w:r>
        <w:fldChar w:fldCharType="begin"/>
      </w:r>
      <w:r>
        <w:instrText xml:space="preserve"> PAGEREF _Toc7931 \h </w:instrText>
      </w:r>
      <w:r>
        <w:fldChar w:fldCharType="separate"/>
      </w:r>
      <w:r>
        <w:t>92</w:t>
      </w:r>
      <w:r>
        <w:fldChar w:fldCharType="end"/>
      </w:r>
      <w:r>
        <w:rPr>
          <w:rFonts w:hint="eastAsia"/>
          <w:highlight w:val="yellow"/>
          <w:lang w:val="en-US" w:eastAsia="zh-CN"/>
        </w:rPr>
        <w:fldChar w:fldCharType="end"/>
      </w:r>
    </w:p>
    <w:p w14:paraId="5E6CDF98">
      <w:pPr>
        <w:pStyle w:val="26"/>
        <w:tabs>
          <w:tab w:val="right" w:leader="dot" w:pos="9016"/>
        </w:tabs>
        <w:rPr>
          <w:b/>
          <w:bCs/>
        </w:rPr>
      </w:pPr>
      <w:r>
        <w:rPr>
          <w:rFonts w:hint="eastAsia"/>
          <w:b/>
          <w:bCs/>
          <w:highlight w:val="yellow"/>
          <w:lang w:val="en-US" w:eastAsia="zh-CN"/>
        </w:rPr>
        <w:fldChar w:fldCharType="begin"/>
      </w:r>
      <w:r>
        <w:rPr>
          <w:rFonts w:hint="eastAsia"/>
          <w:b/>
          <w:bCs/>
          <w:highlight w:val="yellow"/>
          <w:lang w:val="en-US" w:eastAsia="zh-CN"/>
        </w:rPr>
        <w:instrText xml:space="preserve"> HYPERLINK \l _Toc13681 </w:instrText>
      </w:r>
      <w:r>
        <w:rPr>
          <w:rFonts w:hint="eastAsia"/>
          <w:b/>
          <w:bCs/>
          <w:highlight w:val="yellow"/>
          <w:lang w:val="en-US" w:eastAsia="zh-CN"/>
        </w:rPr>
        <w:fldChar w:fldCharType="separate"/>
      </w:r>
      <w:r>
        <w:rPr>
          <w:rFonts w:hint="default" w:ascii="Times New Roman" w:hAnsi="Times New Roman" w:eastAsia="宋体" w:cs="Times New Roman"/>
          <w:b/>
          <w:bCs/>
          <w:szCs w:val="36"/>
          <w:lang w:val="en-US" w:eastAsia="zh-CN"/>
        </w:rPr>
        <w:t xml:space="preserve">4. </w:t>
      </w:r>
      <w:r>
        <w:rPr>
          <w:rFonts w:hint="default"/>
          <w:b/>
          <w:bCs/>
          <w:highlight w:val="none"/>
          <w:lang w:val="en-US" w:eastAsia="zh-CN"/>
        </w:rPr>
        <w:t>环境现状调查与评价</w:t>
      </w:r>
      <w:r>
        <w:rPr>
          <w:b/>
          <w:bCs/>
        </w:rPr>
        <w:tab/>
      </w:r>
      <w:r>
        <w:rPr>
          <w:b/>
          <w:bCs/>
        </w:rPr>
        <w:fldChar w:fldCharType="begin"/>
      </w:r>
      <w:r>
        <w:rPr>
          <w:b/>
          <w:bCs/>
        </w:rPr>
        <w:instrText xml:space="preserve"> PAGEREF _Toc13681 \h </w:instrText>
      </w:r>
      <w:r>
        <w:rPr>
          <w:b/>
          <w:bCs/>
        </w:rPr>
        <w:fldChar w:fldCharType="separate"/>
      </w:r>
      <w:r>
        <w:rPr>
          <w:b/>
          <w:bCs/>
        </w:rPr>
        <w:t>95</w:t>
      </w:r>
      <w:r>
        <w:rPr>
          <w:b/>
          <w:bCs/>
        </w:rPr>
        <w:fldChar w:fldCharType="end"/>
      </w:r>
      <w:r>
        <w:rPr>
          <w:rFonts w:hint="eastAsia"/>
          <w:b/>
          <w:bCs/>
          <w:highlight w:val="yellow"/>
          <w:lang w:val="en-US" w:eastAsia="zh-CN"/>
        </w:rPr>
        <w:fldChar w:fldCharType="end"/>
      </w:r>
    </w:p>
    <w:p w14:paraId="59E89975">
      <w:pPr>
        <w:pStyle w:val="32"/>
        <w:tabs>
          <w:tab w:val="right" w:leader="dot" w:pos="9016"/>
        </w:tabs>
      </w:pPr>
      <w:r>
        <w:rPr>
          <w:rFonts w:hint="eastAsia"/>
          <w:highlight w:val="yellow"/>
          <w:lang w:val="en-US" w:eastAsia="zh-CN"/>
        </w:rPr>
        <w:fldChar w:fldCharType="begin"/>
      </w:r>
      <w:r>
        <w:rPr>
          <w:rFonts w:hint="eastAsia"/>
          <w:highlight w:val="yellow"/>
          <w:lang w:val="en-US" w:eastAsia="zh-CN"/>
        </w:rPr>
        <w:instrText xml:space="preserve"> HYPERLINK \l _Toc30986 </w:instrText>
      </w:r>
      <w:r>
        <w:rPr>
          <w:rFonts w:hint="eastAsia"/>
          <w:highlight w:val="yellow"/>
          <w:lang w:val="en-US" w:eastAsia="zh-CN"/>
        </w:rPr>
        <w:fldChar w:fldCharType="separate"/>
      </w:r>
      <w:r>
        <w:rPr>
          <w:rFonts w:hint="default" w:ascii="Times New Roman" w:hAnsi="Times New Roman" w:eastAsia="宋体" w:cs="Times New Roman"/>
          <w:szCs w:val="30"/>
          <w:lang w:val="en-US" w:eastAsia="zh-CN"/>
        </w:rPr>
        <w:t xml:space="preserve">4.1 </w:t>
      </w:r>
      <w:r>
        <w:rPr>
          <w:rFonts w:hint="eastAsia"/>
          <w:highlight w:val="none"/>
          <w:lang w:val="en-US" w:eastAsia="zh-CN"/>
        </w:rPr>
        <w:t>自然环境概况</w:t>
      </w:r>
      <w:r>
        <w:tab/>
      </w:r>
      <w:r>
        <w:fldChar w:fldCharType="begin"/>
      </w:r>
      <w:r>
        <w:instrText xml:space="preserve"> PAGEREF _Toc30986 \h </w:instrText>
      </w:r>
      <w:r>
        <w:fldChar w:fldCharType="separate"/>
      </w:r>
      <w:r>
        <w:t>95</w:t>
      </w:r>
      <w:r>
        <w:fldChar w:fldCharType="end"/>
      </w:r>
      <w:r>
        <w:rPr>
          <w:rFonts w:hint="eastAsia"/>
          <w:highlight w:val="yellow"/>
          <w:lang w:val="en-US" w:eastAsia="zh-CN"/>
        </w:rPr>
        <w:fldChar w:fldCharType="end"/>
      </w:r>
    </w:p>
    <w:p w14:paraId="6CBA54F5">
      <w:pPr>
        <w:pStyle w:val="32"/>
        <w:tabs>
          <w:tab w:val="right" w:leader="dot" w:pos="9016"/>
        </w:tabs>
      </w:pPr>
      <w:r>
        <w:rPr>
          <w:rFonts w:hint="eastAsia"/>
          <w:highlight w:val="yellow"/>
          <w:lang w:val="en-US" w:eastAsia="zh-CN"/>
        </w:rPr>
        <w:fldChar w:fldCharType="begin"/>
      </w:r>
      <w:r>
        <w:rPr>
          <w:rFonts w:hint="eastAsia"/>
          <w:highlight w:val="yellow"/>
          <w:lang w:val="en-US" w:eastAsia="zh-CN"/>
        </w:rPr>
        <w:instrText xml:space="preserve"> HYPERLINK \l _Toc15741 </w:instrText>
      </w:r>
      <w:r>
        <w:rPr>
          <w:rFonts w:hint="eastAsia"/>
          <w:highlight w:val="yellow"/>
          <w:lang w:val="en-US" w:eastAsia="zh-CN"/>
        </w:rPr>
        <w:fldChar w:fldCharType="separate"/>
      </w:r>
      <w:r>
        <w:rPr>
          <w:rFonts w:hint="default" w:ascii="Times New Roman" w:hAnsi="Times New Roman" w:eastAsia="宋体" w:cs="Times New Roman"/>
          <w:szCs w:val="30"/>
          <w:lang w:val="en-US" w:eastAsia="zh-CN"/>
        </w:rPr>
        <w:t xml:space="preserve">4.2 </w:t>
      </w:r>
      <w:r>
        <w:rPr>
          <w:rFonts w:hint="eastAsia"/>
          <w:highlight w:val="none"/>
          <w:lang w:val="en-US" w:eastAsia="zh-CN"/>
        </w:rPr>
        <w:t>环境质量现状评价</w:t>
      </w:r>
      <w:r>
        <w:tab/>
      </w:r>
      <w:r>
        <w:fldChar w:fldCharType="begin"/>
      </w:r>
      <w:r>
        <w:instrText xml:space="preserve"> PAGEREF _Toc15741 \h </w:instrText>
      </w:r>
      <w:r>
        <w:fldChar w:fldCharType="separate"/>
      </w:r>
      <w:r>
        <w:t>97</w:t>
      </w:r>
      <w:r>
        <w:fldChar w:fldCharType="end"/>
      </w:r>
      <w:r>
        <w:rPr>
          <w:rFonts w:hint="eastAsia"/>
          <w:highlight w:val="yellow"/>
          <w:lang w:val="en-US" w:eastAsia="zh-CN"/>
        </w:rPr>
        <w:fldChar w:fldCharType="end"/>
      </w:r>
    </w:p>
    <w:p w14:paraId="4345C3B1">
      <w:pPr>
        <w:pStyle w:val="32"/>
        <w:tabs>
          <w:tab w:val="right" w:leader="dot" w:pos="9016"/>
        </w:tabs>
      </w:pPr>
      <w:r>
        <w:rPr>
          <w:rFonts w:hint="eastAsia"/>
          <w:highlight w:val="yellow"/>
          <w:lang w:val="en-US" w:eastAsia="zh-CN"/>
        </w:rPr>
        <w:fldChar w:fldCharType="begin"/>
      </w:r>
      <w:r>
        <w:rPr>
          <w:rFonts w:hint="eastAsia"/>
          <w:highlight w:val="yellow"/>
          <w:lang w:val="en-US" w:eastAsia="zh-CN"/>
        </w:rPr>
        <w:instrText xml:space="preserve"> HYPERLINK \l _Toc24913 </w:instrText>
      </w:r>
      <w:r>
        <w:rPr>
          <w:rFonts w:hint="eastAsia"/>
          <w:highlight w:val="yellow"/>
          <w:lang w:val="en-US" w:eastAsia="zh-CN"/>
        </w:rPr>
        <w:fldChar w:fldCharType="separate"/>
      </w:r>
      <w:r>
        <w:rPr>
          <w:rFonts w:hint="default" w:ascii="Times New Roman" w:hAnsi="Times New Roman" w:eastAsia="宋体" w:cs="Times New Roman"/>
          <w:szCs w:val="30"/>
          <w:lang w:val="en-US" w:eastAsia="zh-CN"/>
        </w:rPr>
        <w:t xml:space="preserve">4.3 </w:t>
      </w:r>
      <w:r>
        <w:rPr>
          <w:rFonts w:hint="eastAsia"/>
          <w:highlight w:val="none"/>
          <w:lang w:val="en-US" w:eastAsia="zh-CN"/>
        </w:rPr>
        <w:t>生态环境现状调查与评价</w:t>
      </w:r>
      <w:r>
        <w:tab/>
      </w:r>
      <w:r>
        <w:fldChar w:fldCharType="begin"/>
      </w:r>
      <w:r>
        <w:instrText xml:space="preserve"> PAGEREF _Toc24913 \h </w:instrText>
      </w:r>
      <w:r>
        <w:fldChar w:fldCharType="separate"/>
      </w:r>
      <w:r>
        <w:t>113</w:t>
      </w:r>
      <w:r>
        <w:fldChar w:fldCharType="end"/>
      </w:r>
      <w:r>
        <w:rPr>
          <w:rFonts w:hint="eastAsia"/>
          <w:highlight w:val="yellow"/>
          <w:lang w:val="en-US" w:eastAsia="zh-CN"/>
        </w:rPr>
        <w:fldChar w:fldCharType="end"/>
      </w:r>
    </w:p>
    <w:p w14:paraId="7ABECE16">
      <w:pPr>
        <w:pStyle w:val="26"/>
        <w:tabs>
          <w:tab w:val="right" w:leader="dot" w:pos="9016"/>
        </w:tabs>
        <w:rPr>
          <w:b/>
          <w:bCs/>
        </w:rPr>
      </w:pPr>
      <w:r>
        <w:rPr>
          <w:rFonts w:hint="eastAsia"/>
          <w:b/>
          <w:bCs/>
          <w:highlight w:val="yellow"/>
          <w:lang w:val="en-US" w:eastAsia="zh-CN"/>
        </w:rPr>
        <w:fldChar w:fldCharType="begin"/>
      </w:r>
      <w:r>
        <w:rPr>
          <w:rFonts w:hint="eastAsia"/>
          <w:b/>
          <w:bCs/>
          <w:highlight w:val="yellow"/>
          <w:lang w:val="en-US" w:eastAsia="zh-CN"/>
        </w:rPr>
        <w:instrText xml:space="preserve"> HYPERLINK \l _Toc28721 </w:instrText>
      </w:r>
      <w:r>
        <w:rPr>
          <w:rFonts w:hint="eastAsia"/>
          <w:b/>
          <w:bCs/>
          <w:highlight w:val="yellow"/>
          <w:lang w:val="en-US" w:eastAsia="zh-CN"/>
        </w:rPr>
        <w:fldChar w:fldCharType="separate"/>
      </w:r>
      <w:r>
        <w:rPr>
          <w:rFonts w:hint="default" w:ascii="Times New Roman" w:hAnsi="Times New Roman" w:eastAsia="宋体" w:cs="Times New Roman"/>
          <w:b/>
          <w:bCs/>
          <w:szCs w:val="36"/>
          <w:lang w:val="en-US" w:eastAsia="zh-CN"/>
        </w:rPr>
        <w:t xml:space="preserve">5. </w:t>
      </w:r>
      <w:r>
        <w:rPr>
          <w:rFonts w:hint="eastAsia"/>
          <w:b/>
          <w:bCs/>
          <w:highlight w:val="none"/>
          <w:lang w:val="en-US" w:eastAsia="zh-CN"/>
        </w:rPr>
        <w:t>环境影响预测与评价</w:t>
      </w:r>
      <w:r>
        <w:rPr>
          <w:b/>
          <w:bCs/>
        </w:rPr>
        <w:tab/>
      </w:r>
      <w:r>
        <w:rPr>
          <w:b/>
          <w:bCs/>
        </w:rPr>
        <w:fldChar w:fldCharType="begin"/>
      </w:r>
      <w:r>
        <w:rPr>
          <w:b/>
          <w:bCs/>
        </w:rPr>
        <w:instrText xml:space="preserve"> PAGEREF _Toc28721 \h </w:instrText>
      </w:r>
      <w:r>
        <w:rPr>
          <w:b/>
          <w:bCs/>
        </w:rPr>
        <w:fldChar w:fldCharType="separate"/>
      </w:r>
      <w:r>
        <w:rPr>
          <w:b/>
          <w:bCs/>
        </w:rPr>
        <w:t>128</w:t>
      </w:r>
      <w:r>
        <w:rPr>
          <w:b/>
          <w:bCs/>
        </w:rPr>
        <w:fldChar w:fldCharType="end"/>
      </w:r>
      <w:r>
        <w:rPr>
          <w:rFonts w:hint="eastAsia"/>
          <w:b/>
          <w:bCs/>
          <w:highlight w:val="yellow"/>
          <w:lang w:val="en-US" w:eastAsia="zh-CN"/>
        </w:rPr>
        <w:fldChar w:fldCharType="end"/>
      </w:r>
    </w:p>
    <w:p w14:paraId="24B37821">
      <w:pPr>
        <w:pStyle w:val="32"/>
        <w:tabs>
          <w:tab w:val="right" w:leader="dot" w:pos="9016"/>
        </w:tabs>
      </w:pPr>
      <w:r>
        <w:rPr>
          <w:rFonts w:hint="eastAsia"/>
          <w:highlight w:val="yellow"/>
          <w:lang w:val="en-US" w:eastAsia="zh-CN"/>
        </w:rPr>
        <w:fldChar w:fldCharType="begin"/>
      </w:r>
      <w:r>
        <w:rPr>
          <w:rFonts w:hint="eastAsia"/>
          <w:highlight w:val="yellow"/>
          <w:lang w:val="en-US" w:eastAsia="zh-CN"/>
        </w:rPr>
        <w:instrText xml:space="preserve"> HYPERLINK \l _Toc25337 </w:instrText>
      </w:r>
      <w:r>
        <w:rPr>
          <w:rFonts w:hint="eastAsia"/>
          <w:highlight w:val="yellow"/>
          <w:lang w:val="en-US" w:eastAsia="zh-CN"/>
        </w:rPr>
        <w:fldChar w:fldCharType="separate"/>
      </w:r>
      <w:r>
        <w:rPr>
          <w:rFonts w:hint="default" w:ascii="Times New Roman" w:hAnsi="Times New Roman" w:eastAsia="宋体" w:cs="Times New Roman"/>
          <w:szCs w:val="30"/>
          <w:lang w:val="en-US" w:eastAsia="zh-CN"/>
        </w:rPr>
        <w:t xml:space="preserve">5.1 </w:t>
      </w:r>
      <w:r>
        <w:rPr>
          <w:rFonts w:hint="eastAsia"/>
          <w:highlight w:val="none"/>
          <w:lang w:val="en-US" w:eastAsia="zh-CN"/>
        </w:rPr>
        <w:t>施工期环境影响分析</w:t>
      </w:r>
      <w:r>
        <w:tab/>
      </w:r>
      <w:r>
        <w:fldChar w:fldCharType="begin"/>
      </w:r>
      <w:r>
        <w:instrText xml:space="preserve"> PAGEREF _Toc25337 \h </w:instrText>
      </w:r>
      <w:r>
        <w:fldChar w:fldCharType="separate"/>
      </w:r>
      <w:r>
        <w:t>128</w:t>
      </w:r>
      <w:r>
        <w:fldChar w:fldCharType="end"/>
      </w:r>
      <w:r>
        <w:rPr>
          <w:rFonts w:hint="eastAsia"/>
          <w:highlight w:val="yellow"/>
          <w:lang w:val="en-US" w:eastAsia="zh-CN"/>
        </w:rPr>
        <w:fldChar w:fldCharType="end"/>
      </w:r>
    </w:p>
    <w:p w14:paraId="31D0B62A">
      <w:pPr>
        <w:pStyle w:val="32"/>
        <w:tabs>
          <w:tab w:val="right" w:leader="dot" w:pos="9016"/>
        </w:tabs>
      </w:pPr>
      <w:r>
        <w:rPr>
          <w:rFonts w:hint="eastAsia"/>
          <w:highlight w:val="yellow"/>
          <w:lang w:val="en-US" w:eastAsia="zh-CN"/>
        </w:rPr>
        <w:fldChar w:fldCharType="begin"/>
      </w:r>
      <w:r>
        <w:rPr>
          <w:rFonts w:hint="eastAsia"/>
          <w:highlight w:val="yellow"/>
          <w:lang w:val="en-US" w:eastAsia="zh-CN"/>
        </w:rPr>
        <w:instrText xml:space="preserve"> HYPERLINK \l _Toc4828 </w:instrText>
      </w:r>
      <w:r>
        <w:rPr>
          <w:rFonts w:hint="eastAsia"/>
          <w:highlight w:val="yellow"/>
          <w:lang w:val="en-US" w:eastAsia="zh-CN"/>
        </w:rPr>
        <w:fldChar w:fldCharType="separate"/>
      </w:r>
      <w:r>
        <w:rPr>
          <w:rFonts w:hint="default" w:ascii="Times New Roman" w:hAnsi="Times New Roman" w:eastAsia="宋体" w:cs="Times New Roman"/>
          <w:szCs w:val="30"/>
          <w:lang w:val="en-US" w:eastAsia="zh-CN"/>
        </w:rPr>
        <w:t xml:space="preserve">5.2 </w:t>
      </w:r>
      <w:r>
        <w:rPr>
          <w:rFonts w:hint="eastAsia"/>
          <w:highlight w:val="none"/>
          <w:lang w:val="en-US" w:eastAsia="zh-CN"/>
        </w:rPr>
        <w:t>封场后环境影响分析</w:t>
      </w:r>
      <w:r>
        <w:tab/>
      </w:r>
      <w:r>
        <w:fldChar w:fldCharType="begin"/>
      </w:r>
      <w:r>
        <w:instrText xml:space="preserve"> PAGEREF _Toc4828 \h </w:instrText>
      </w:r>
      <w:r>
        <w:fldChar w:fldCharType="separate"/>
      </w:r>
      <w:r>
        <w:t>140</w:t>
      </w:r>
      <w:r>
        <w:fldChar w:fldCharType="end"/>
      </w:r>
      <w:r>
        <w:rPr>
          <w:rFonts w:hint="eastAsia"/>
          <w:highlight w:val="yellow"/>
          <w:lang w:val="en-US" w:eastAsia="zh-CN"/>
        </w:rPr>
        <w:fldChar w:fldCharType="end"/>
      </w:r>
    </w:p>
    <w:p w14:paraId="69EFC5D4">
      <w:pPr>
        <w:pStyle w:val="26"/>
        <w:tabs>
          <w:tab w:val="right" w:leader="dot" w:pos="9016"/>
        </w:tabs>
        <w:rPr>
          <w:b/>
          <w:bCs/>
        </w:rPr>
      </w:pPr>
      <w:r>
        <w:rPr>
          <w:rFonts w:hint="eastAsia"/>
          <w:b/>
          <w:bCs/>
          <w:highlight w:val="yellow"/>
          <w:lang w:val="en-US" w:eastAsia="zh-CN"/>
        </w:rPr>
        <w:fldChar w:fldCharType="begin"/>
      </w:r>
      <w:r>
        <w:rPr>
          <w:rFonts w:hint="eastAsia"/>
          <w:b/>
          <w:bCs/>
          <w:highlight w:val="yellow"/>
          <w:lang w:val="en-US" w:eastAsia="zh-CN"/>
        </w:rPr>
        <w:instrText xml:space="preserve"> HYPERLINK \l _Toc30512 </w:instrText>
      </w:r>
      <w:r>
        <w:rPr>
          <w:rFonts w:hint="eastAsia"/>
          <w:b/>
          <w:bCs/>
          <w:highlight w:val="yellow"/>
          <w:lang w:val="en-US" w:eastAsia="zh-CN"/>
        </w:rPr>
        <w:fldChar w:fldCharType="separate"/>
      </w:r>
      <w:r>
        <w:rPr>
          <w:rFonts w:hint="default" w:ascii="Times New Roman" w:hAnsi="Times New Roman" w:eastAsia="宋体" w:cs="Times New Roman"/>
          <w:b/>
          <w:bCs/>
          <w:szCs w:val="36"/>
          <w:lang w:val="en-US" w:eastAsia="zh-CN"/>
        </w:rPr>
        <w:t xml:space="preserve">6. </w:t>
      </w:r>
      <w:r>
        <w:rPr>
          <w:rFonts w:hint="eastAsia"/>
          <w:b/>
          <w:bCs/>
          <w:highlight w:val="none"/>
          <w:lang w:val="en-US" w:eastAsia="zh-CN"/>
        </w:rPr>
        <w:t>环境风险分析</w:t>
      </w:r>
      <w:r>
        <w:rPr>
          <w:b/>
          <w:bCs/>
        </w:rPr>
        <w:tab/>
      </w:r>
      <w:r>
        <w:rPr>
          <w:b/>
          <w:bCs/>
        </w:rPr>
        <w:fldChar w:fldCharType="begin"/>
      </w:r>
      <w:r>
        <w:rPr>
          <w:b/>
          <w:bCs/>
        </w:rPr>
        <w:instrText xml:space="preserve"> PAGEREF _Toc30512 \h </w:instrText>
      </w:r>
      <w:r>
        <w:rPr>
          <w:b/>
          <w:bCs/>
        </w:rPr>
        <w:fldChar w:fldCharType="separate"/>
      </w:r>
      <w:r>
        <w:rPr>
          <w:b/>
          <w:bCs/>
        </w:rPr>
        <w:t>151</w:t>
      </w:r>
      <w:r>
        <w:rPr>
          <w:b/>
          <w:bCs/>
        </w:rPr>
        <w:fldChar w:fldCharType="end"/>
      </w:r>
      <w:r>
        <w:rPr>
          <w:rFonts w:hint="eastAsia"/>
          <w:b/>
          <w:bCs/>
          <w:highlight w:val="yellow"/>
          <w:lang w:val="en-US" w:eastAsia="zh-CN"/>
        </w:rPr>
        <w:fldChar w:fldCharType="end"/>
      </w:r>
    </w:p>
    <w:p w14:paraId="67F7A0D6">
      <w:pPr>
        <w:pStyle w:val="32"/>
        <w:tabs>
          <w:tab w:val="right" w:leader="dot" w:pos="9016"/>
        </w:tabs>
      </w:pPr>
      <w:r>
        <w:rPr>
          <w:rFonts w:hint="eastAsia"/>
          <w:highlight w:val="yellow"/>
          <w:lang w:val="en-US" w:eastAsia="zh-CN"/>
        </w:rPr>
        <w:fldChar w:fldCharType="begin"/>
      </w:r>
      <w:r>
        <w:rPr>
          <w:rFonts w:hint="eastAsia"/>
          <w:highlight w:val="yellow"/>
          <w:lang w:val="en-US" w:eastAsia="zh-CN"/>
        </w:rPr>
        <w:instrText xml:space="preserve"> HYPERLINK \l _Toc2089 </w:instrText>
      </w:r>
      <w:r>
        <w:rPr>
          <w:rFonts w:hint="eastAsia"/>
          <w:highlight w:val="yellow"/>
          <w:lang w:val="en-US" w:eastAsia="zh-CN"/>
        </w:rPr>
        <w:fldChar w:fldCharType="separate"/>
      </w:r>
      <w:r>
        <w:rPr>
          <w:rFonts w:hint="default" w:ascii="Times New Roman" w:hAnsi="Times New Roman" w:eastAsia="宋体" w:cs="Times New Roman"/>
          <w:szCs w:val="30"/>
          <w:lang w:val="en-US" w:eastAsia="zh-CN"/>
        </w:rPr>
        <w:t xml:space="preserve">6.1 </w:t>
      </w:r>
      <w:r>
        <w:rPr>
          <w:rFonts w:hint="eastAsia"/>
          <w:highlight w:val="none"/>
          <w:lang w:val="en-US" w:eastAsia="zh-CN"/>
        </w:rPr>
        <w:t>概述</w:t>
      </w:r>
      <w:r>
        <w:tab/>
      </w:r>
      <w:r>
        <w:fldChar w:fldCharType="begin"/>
      </w:r>
      <w:r>
        <w:instrText xml:space="preserve"> PAGEREF _Toc2089 \h </w:instrText>
      </w:r>
      <w:r>
        <w:fldChar w:fldCharType="separate"/>
      </w:r>
      <w:r>
        <w:t>151</w:t>
      </w:r>
      <w:r>
        <w:fldChar w:fldCharType="end"/>
      </w:r>
      <w:r>
        <w:rPr>
          <w:rFonts w:hint="eastAsia"/>
          <w:highlight w:val="yellow"/>
          <w:lang w:val="en-US" w:eastAsia="zh-CN"/>
        </w:rPr>
        <w:fldChar w:fldCharType="end"/>
      </w:r>
    </w:p>
    <w:p w14:paraId="2D659638">
      <w:pPr>
        <w:pStyle w:val="32"/>
        <w:tabs>
          <w:tab w:val="right" w:leader="dot" w:pos="9016"/>
        </w:tabs>
      </w:pPr>
      <w:r>
        <w:rPr>
          <w:rFonts w:hint="eastAsia"/>
          <w:highlight w:val="yellow"/>
          <w:lang w:val="en-US" w:eastAsia="zh-CN"/>
        </w:rPr>
        <w:fldChar w:fldCharType="begin"/>
      </w:r>
      <w:r>
        <w:rPr>
          <w:rFonts w:hint="eastAsia"/>
          <w:highlight w:val="yellow"/>
          <w:lang w:val="en-US" w:eastAsia="zh-CN"/>
        </w:rPr>
        <w:instrText xml:space="preserve"> HYPERLINK \l _Toc3466 </w:instrText>
      </w:r>
      <w:r>
        <w:rPr>
          <w:rFonts w:hint="eastAsia"/>
          <w:highlight w:val="yellow"/>
          <w:lang w:val="en-US" w:eastAsia="zh-CN"/>
        </w:rPr>
        <w:fldChar w:fldCharType="separate"/>
      </w:r>
      <w:r>
        <w:rPr>
          <w:rFonts w:hint="default" w:ascii="Times New Roman" w:hAnsi="Times New Roman" w:eastAsia="宋体" w:cs="Times New Roman"/>
          <w:szCs w:val="30"/>
          <w:lang w:val="en-US" w:eastAsia="zh-CN"/>
        </w:rPr>
        <w:t xml:space="preserve">6.2 </w:t>
      </w:r>
      <w:r>
        <w:rPr>
          <w:rFonts w:hint="eastAsia"/>
          <w:highlight w:val="none"/>
          <w:lang w:val="en-US" w:eastAsia="zh-CN"/>
        </w:rPr>
        <w:t>风险调查</w:t>
      </w:r>
      <w:r>
        <w:tab/>
      </w:r>
      <w:r>
        <w:fldChar w:fldCharType="begin"/>
      </w:r>
      <w:r>
        <w:instrText xml:space="preserve"> PAGEREF _Toc3466 \h </w:instrText>
      </w:r>
      <w:r>
        <w:fldChar w:fldCharType="separate"/>
      </w:r>
      <w:r>
        <w:t>153</w:t>
      </w:r>
      <w:r>
        <w:fldChar w:fldCharType="end"/>
      </w:r>
      <w:r>
        <w:rPr>
          <w:rFonts w:hint="eastAsia"/>
          <w:highlight w:val="yellow"/>
          <w:lang w:val="en-US" w:eastAsia="zh-CN"/>
        </w:rPr>
        <w:fldChar w:fldCharType="end"/>
      </w:r>
    </w:p>
    <w:p w14:paraId="5E4BE02A">
      <w:pPr>
        <w:pStyle w:val="32"/>
        <w:tabs>
          <w:tab w:val="right" w:leader="dot" w:pos="9016"/>
        </w:tabs>
      </w:pPr>
      <w:r>
        <w:rPr>
          <w:rFonts w:hint="eastAsia"/>
          <w:highlight w:val="yellow"/>
          <w:lang w:val="en-US" w:eastAsia="zh-CN"/>
        </w:rPr>
        <w:fldChar w:fldCharType="begin"/>
      </w:r>
      <w:r>
        <w:rPr>
          <w:rFonts w:hint="eastAsia"/>
          <w:highlight w:val="yellow"/>
          <w:lang w:val="en-US" w:eastAsia="zh-CN"/>
        </w:rPr>
        <w:instrText xml:space="preserve"> HYPERLINK \l _Toc15862 </w:instrText>
      </w:r>
      <w:r>
        <w:rPr>
          <w:rFonts w:hint="eastAsia"/>
          <w:highlight w:val="yellow"/>
          <w:lang w:val="en-US" w:eastAsia="zh-CN"/>
        </w:rPr>
        <w:fldChar w:fldCharType="separate"/>
      </w:r>
      <w:r>
        <w:rPr>
          <w:rFonts w:hint="default" w:ascii="Times New Roman" w:hAnsi="Times New Roman" w:eastAsia="宋体" w:cs="Times New Roman"/>
          <w:szCs w:val="30"/>
          <w:lang w:val="en-US" w:eastAsia="zh-CN"/>
        </w:rPr>
        <w:t xml:space="preserve">6.3 </w:t>
      </w:r>
      <w:r>
        <w:rPr>
          <w:rFonts w:hint="default"/>
          <w:highlight w:val="none"/>
          <w:lang w:val="en-US" w:eastAsia="zh-CN"/>
        </w:rPr>
        <w:t>环境风险潜势初判</w:t>
      </w:r>
      <w:r>
        <w:tab/>
      </w:r>
      <w:r>
        <w:fldChar w:fldCharType="begin"/>
      </w:r>
      <w:r>
        <w:instrText xml:space="preserve"> PAGEREF _Toc15862 \h </w:instrText>
      </w:r>
      <w:r>
        <w:fldChar w:fldCharType="separate"/>
      </w:r>
      <w:r>
        <w:t>153</w:t>
      </w:r>
      <w:r>
        <w:fldChar w:fldCharType="end"/>
      </w:r>
      <w:r>
        <w:rPr>
          <w:rFonts w:hint="eastAsia"/>
          <w:highlight w:val="yellow"/>
          <w:lang w:val="en-US" w:eastAsia="zh-CN"/>
        </w:rPr>
        <w:fldChar w:fldCharType="end"/>
      </w:r>
    </w:p>
    <w:p w14:paraId="48EF537B">
      <w:pPr>
        <w:pStyle w:val="32"/>
        <w:tabs>
          <w:tab w:val="right" w:leader="dot" w:pos="9016"/>
        </w:tabs>
      </w:pPr>
      <w:r>
        <w:rPr>
          <w:rFonts w:hint="eastAsia"/>
          <w:highlight w:val="yellow"/>
          <w:lang w:val="en-US" w:eastAsia="zh-CN"/>
        </w:rPr>
        <w:fldChar w:fldCharType="begin"/>
      </w:r>
      <w:r>
        <w:rPr>
          <w:rFonts w:hint="eastAsia"/>
          <w:highlight w:val="yellow"/>
          <w:lang w:val="en-US" w:eastAsia="zh-CN"/>
        </w:rPr>
        <w:instrText xml:space="preserve"> HYPERLINK \l _Toc28347 </w:instrText>
      </w:r>
      <w:r>
        <w:rPr>
          <w:rFonts w:hint="eastAsia"/>
          <w:highlight w:val="yellow"/>
          <w:lang w:val="en-US" w:eastAsia="zh-CN"/>
        </w:rPr>
        <w:fldChar w:fldCharType="separate"/>
      </w:r>
      <w:r>
        <w:rPr>
          <w:rFonts w:hint="default" w:ascii="Times New Roman" w:hAnsi="Times New Roman" w:eastAsia="宋体" w:cs="Times New Roman"/>
          <w:szCs w:val="30"/>
          <w:lang w:val="en-US" w:eastAsia="zh-CN"/>
        </w:rPr>
        <w:t xml:space="preserve">6.4 </w:t>
      </w:r>
      <w:r>
        <w:rPr>
          <w:rFonts w:hint="eastAsia"/>
          <w:highlight w:val="none"/>
          <w:lang w:val="en-US" w:eastAsia="zh-CN"/>
        </w:rPr>
        <w:t>环境风险评价工作等级划分及评价范围</w:t>
      </w:r>
      <w:r>
        <w:tab/>
      </w:r>
      <w:r>
        <w:fldChar w:fldCharType="begin"/>
      </w:r>
      <w:r>
        <w:instrText xml:space="preserve"> PAGEREF _Toc28347 \h </w:instrText>
      </w:r>
      <w:r>
        <w:fldChar w:fldCharType="separate"/>
      </w:r>
      <w:r>
        <w:t>155</w:t>
      </w:r>
      <w:r>
        <w:fldChar w:fldCharType="end"/>
      </w:r>
      <w:r>
        <w:rPr>
          <w:rFonts w:hint="eastAsia"/>
          <w:highlight w:val="yellow"/>
          <w:lang w:val="en-US" w:eastAsia="zh-CN"/>
        </w:rPr>
        <w:fldChar w:fldCharType="end"/>
      </w:r>
    </w:p>
    <w:p w14:paraId="2F1CA6EC">
      <w:pPr>
        <w:pStyle w:val="32"/>
        <w:tabs>
          <w:tab w:val="right" w:leader="dot" w:pos="9016"/>
        </w:tabs>
      </w:pPr>
      <w:r>
        <w:rPr>
          <w:rFonts w:hint="eastAsia"/>
          <w:highlight w:val="yellow"/>
          <w:lang w:val="en-US" w:eastAsia="zh-CN"/>
        </w:rPr>
        <w:fldChar w:fldCharType="begin"/>
      </w:r>
      <w:r>
        <w:rPr>
          <w:rFonts w:hint="eastAsia"/>
          <w:highlight w:val="yellow"/>
          <w:lang w:val="en-US" w:eastAsia="zh-CN"/>
        </w:rPr>
        <w:instrText xml:space="preserve"> HYPERLINK \l _Toc19265 </w:instrText>
      </w:r>
      <w:r>
        <w:rPr>
          <w:rFonts w:hint="eastAsia"/>
          <w:highlight w:val="yellow"/>
          <w:lang w:val="en-US" w:eastAsia="zh-CN"/>
        </w:rPr>
        <w:fldChar w:fldCharType="separate"/>
      </w:r>
      <w:r>
        <w:rPr>
          <w:rFonts w:hint="default" w:ascii="Times New Roman" w:hAnsi="Times New Roman" w:eastAsia="宋体" w:cs="Times New Roman"/>
          <w:szCs w:val="30"/>
          <w:lang w:val="en-US" w:eastAsia="zh-CN"/>
        </w:rPr>
        <w:t xml:space="preserve">6.5 </w:t>
      </w:r>
      <w:r>
        <w:rPr>
          <w:rFonts w:hint="eastAsia"/>
          <w:highlight w:val="none"/>
          <w:lang w:val="en-US" w:eastAsia="zh-CN"/>
        </w:rPr>
        <w:t>环境风险识别</w:t>
      </w:r>
      <w:r>
        <w:tab/>
      </w:r>
      <w:r>
        <w:fldChar w:fldCharType="begin"/>
      </w:r>
      <w:r>
        <w:instrText xml:space="preserve"> PAGEREF _Toc19265 \h </w:instrText>
      </w:r>
      <w:r>
        <w:fldChar w:fldCharType="separate"/>
      </w:r>
      <w:r>
        <w:t>155</w:t>
      </w:r>
      <w:r>
        <w:fldChar w:fldCharType="end"/>
      </w:r>
      <w:r>
        <w:rPr>
          <w:rFonts w:hint="eastAsia"/>
          <w:highlight w:val="yellow"/>
          <w:lang w:val="en-US" w:eastAsia="zh-CN"/>
        </w:rPr>
        <w:fldChar w:fldCharType="end"/>
      </w:r>
    </w:p>
    <w:p w14:paraId="3F2F4590">
      <w:pPr>
        <w:pStyle w:val="32"/>
        <w:tabs>
          <w:tab w:val="right" w:leader="dot" w:pos="9016"/>
        </w:tabs>
      </w:pPr>
      <w:r>
        <w:rPr>
          <w:rFonts w:hint="eastAsia"/>
          <w:highlight w:val="yellow"/>
          <w:lang w:val="en-US" w:eastAsia="zh-CN"/>
        </w:rPr>
        <w:fldChar w:fldCharType="begin"/>
      </w:r>
      <w:r>
        <w:rPr>
          <w:rFonts w:hint="eastAsia"/>
          <w:highlight w:val="yellow"/>
          <w:lang w:val="en-US" w:eastAsia="zh-CN"/>
        </w:rPr>
        <w:instrText xml:space="preserve"> HYPERLINK \l _Toc2653 </w:instrText>
      </w:r>
      <w:r>
        <w:rPr>
          <w:rFonts w:hint="eastAsia"/>
          <w:highlight w:val="yellow"/>
          <w:lang w:val="en-US" w:eastAsia="zh-CN"/>
        </w:rPr>
        <w:fldChar w:fldCharType="separate"/>
      </w:r>
      <w:r>
        <w:rPr>
          <w:rFonts w:hint="default" w:ascii="Times New Roman" w:hAnsi="Times New Roman" w:eastAsia="宋体" w:cs="Times New Roman"/>
          <w:szCs w:val="30"/>
          <w:lang w:val="en-US" w:eastAsia="zh-CN"/>
        </w:rPr>
        <w:t xml:space="preserve">6.6 </w:t>
      </w:r>
      <w:r>
        <w:rPr>
          <w:rFonts w:hint="eastAsia"/>
          <w:highlight w:val="none"/>
          <w:lang w:val="en-US" w:eastAsia="zh-CN"/>
        </w:rPr>
        <w:t>风险影响分析</w:t>
      </w:r>
      <w:r>
        <w:tab/>
      </w:r>
      <w:r>
        <w:fldChar w:fldCharType="begin"/>
      </w:r>
      <w:r>
        <w:instrText xml:space="preserve"> PAGEREF _Toc2653 \h </w:instrText>
      </w:r>
      <w:r>
        <w:fldChar w:fldCharType="separate"/>
      </w:r>
      <w:r>
        <w:t>157</w:t>
      </w:r>
      <w:r>
        <w:fldChar w:fldCharType="end"/>
      </w:r>
      <w:r>
        <w:rPr>
          <w:rFonts w:hint="eastAsia"/>
          <w:highlight w:val="yellow"/>
          <w:lang w:val="en-US" w:eastAsia="zh-CN"/>
        </w:rPr>
        <w:fldChar w:fldCharType="end"/>
      </w:r>
    </w:p>
    <w:p w14:paraId="4F688014">
      <w:pPr>
        <w:pStyle w:val="32"/>
        <w:tabs>
          <w:tab w:val="right" w:leader="dot" w:pos="9016"/>
        </w:tabs>
      </w:pPr>
      <w:r>
        <w:rPr>
          <w:rFonts w:hint="eastAsia"/>
          <w:highlight w:val="yellow"/>
          <w:lang w:val="en-US" w:eastAsia="zh-CN"/>
        </w:rPr>
        <w:fldChar w:fldCharType="begin"/>
      </w:r>
      <w:r>
        <w:rPr>
          <w:rFonts w:hint="eastAsia"/>
          <w:highlight w:val="yellow"/>
          <w:lang w:val="en-US" w:eastAsia="zh-CN"/>
        </w:rPr>
        <w:instrText xml:space="preserve"> HYPERLINK \l _Toc11122 </w:instrText>
      </w:r>
      <w:r>
        <w:rPr>
          <w:rFonts w:hint="eastAsia"/>
          <w:highlight w:val="yellow"/>
          <w:lang w:val="en-US" w:eastAsia="zh-CN"/>
        </w:rPr>
        <w:fldChar w:fldCharType="separate"/>
      </w:r>
      <w:r>
        <w:rPr>
          <w:rFonts w:hint="default" w:ascii="Times New Roman" w:hAnsi="Times New Roman" w:eastAsia="宋体" w:cs="Times New Roman"/>
          <w:szCs w:val="30"/>
          <w:lang w:val="en-US" w:eastAsia="zh-CN"/>
        </w:rPr>
        <w:t xml:space="preserve">6.7 </w:t>
      </w:r>
      <w:r>
        <w:rPr>
          <w:rFonts w:hint="eastAsia"/>
          <w:highlight w:val="none"/>
          <w:lang w:val="en-US" w:eastAsia="zh-CN"/>
        </w:rPr>
        <w:t>环境风险防范措施</w:t>
      </w:r>
      <w:r>
        <w:tab/>
      </w:r>
      <w:r>
        <w:fldChar w:fldCharType="begin"/>
      </w:r>
      <w:r>
        <w:instrText xml:space="preserve"> PAGEREF _Toc11122 \h </w:instrText>
      </w:r>
      <w:r>
        <w:fldChar w:fldCharType="separate"/>
      </w:r>
      <w:r>
        <w:t>158</w:t>
      </w:r>
      <w:r>
        <w:fldChar w:fldCharType="end"/>
      </w:r>
      <w:r>
        <w:rPr>
          <w:rFonts w:hint="eastAsia"/>
          <w:highlight w:val="yellow"/>
          <w:lang w:val="en-US" w:eastAsia="zh-CN"/>
        </w:rPr>
        <w:fldChar w:fldCharType="end"/>
      </w:r>
    </w:p>
    <w:p w14:paraId="5CA98247">
      <w:pPr>
        <w:pStyle w:val="32"/>
        <w:tabs>
          <w:tab w:val="right" w:leader="dot" w:pos="9016"/>
        </w:tabs>
      </w:pPr>
      <w:r>
        <w:rPr>
          <w:rFonts w:hint="eastAsia"/>
          <w:highlight w:val="yellow"/>
          <w:lang w:val="en-US" w:eastAsia="zh-CN"/>
        </w:rPr>
        <w:fldChar w:fldCharType="begin"/>
      </w:r>
      <w:r>
        <w:rPr>
          <w:rFonts w:hint="eastAsia"/>
          <w:highlight w:val="yellow"/>
          <w:lang w:val="en-US" w:eastAsia="zh-CN"/>
        </w:rPr>
        <w:instrText xml:space="preserve"> HYPERLINK \l _Toc22436 </w:instrText>
      </w:r>
      <w:r>
        <w:rPr>
          <w:rFonts w:hint="eastAsia"/>
          <w:highlight w:val="yellow"/>
          <w:lang w:val="en-US" w:eastAsia="zh-CN"/>
        </w:rPr>
        <w:fldChar w:fldCharType="separate"/>
      </w:r>
      <w:r>
        <w:rPr>
          <w:rFonts w:hint="default" w:ascii="Times New Roman" w:hAnsi="Times New Roman" w:eastAsia="宋体" w:cs="Times New Roman"/>
          <w:szCs w:val="30"/>
          <w:lang w:val="en-US" w:eastAsia="zh-CN"/>
        </w:rPr>
        <w:t xml:space="preserve">6.8 </w:t>
      </w:r>
      <w:r>
        <w:rPr>
          <w:rFonts w:hint="eastAsia"/>
          <w:highlight w:val="none"/>
          <w:lang w:val="en-US" w:eastAsia="zh-CN"/>
        </w:rPr>
        <w:t>应急预案</w:t>
      </w:r>
      <w:r>
        <w:tab/>
      </w:r>
      <w:r>
        <w:fldChar w:fldCharType="begin"/>
      </w:r>
      <w:r>
        <w:instrText xml:space="preserve"> PAGEREF _Toc22436 \h </w:instrText>
      </w:r>
      <w:r>
        <w:fldChar w:fldCharType="separate"/>
      </w:r>
      <w:r>
        <w:t>160</w:t>
      </w:r>
      <w:r>
        <w:fldChar w:fldCharType="end"/>
      </w:r>
      <w:r>
        <w:rPr>
          <w:rFonts w:hint="eastAsia"/>
          <w:highlight w:val="yellow"/>
          <w:lang w:val="en-US" w:eastAsia="zh-CN"/>
        </w:rPr>
        <w:fldChar w:fldCharType="end"/>
      </w:r>
    </w:p>
    <w:p w14:paraId="396BA685">
      <w:pPr>
        <w:pStyle w:val="32"/>
        <w:tabs>
          <w:tab w:val="right" w:leader="dot" w:pos="9016"/>
        </w:tabs>
      </w:pPr>
      <w:r>
        <w:rPr>
          <w:rFonts w:hint="eastAsia"/>
          <w:highlight w:val="yellow"/>
          <w:lang w:val="en-US" w:eastAsia="zh-CN"/>
        </w:rPr>
        <w:fldChar w:fldCharType="begin"/>
      </w:r>
      <w:r>
        <w:rPr>
          <w:rFonts w:hint="eastAsia"/>
          <w:highlight w:val="yellow"/>
          <w:lang w:val="en-US" w:eastAsia="zh-CN"/>
        </w:rPr>
        <w:instrText xml:space="preserve"> HYPERLINK \l _Toc25775 </w:instrText>
      </w:r>
      <w:r>
        <w:rPr>
          <w:rFonts w:hint="eastAsia"/>
          <w:highlight w:val="yellow"/>
          <w:lang w:val="en-US" w:eastAsia="zh-CN"/>
        </w:rPr>
        <w:fldChar w:fldCharType="separate"/>
      </w:r>
      <w:r>
        <w:rPr>
          <w:rFonts w:hint="default" w:ascii="Times New Roman" w:hAnsi="Times New Roman" w:eastAsia="宋体" w:cs="Times New Roman"/>
          <w:szCs w:val="30"/>
          <w:lang w:val="en-US" w:eastAsia="zh-CN"/>
        </w:rPr>
        <w:t xml:space="preserve">6.9 </w:t>
      </w:r>
      <w:r>
        <w:rPr>
          <w:rFonts w:hint="eastAsia"/>
          <w:highlight w:val="none"/>
          <w:lang w:val="en-US" w:eastAsia="zh-CN"/>
        </w:rPr>
        <w:t>结论</w:t>
      </w:r>
      <w:r>
        <w:tab/>
      </w:r>
      <w:r>
        <w:fldChar w:fldCharType="begin"/>
      </w:r>
      <w:r>
        <w:instrText xml:space="preserve"> PAGEREF _Toc25775 \h </w:instrText>
      </w:r>
      <w:r>
        <w:fldChar w:fldCharType="separate"/>
      </w:r>
      <w:r>
        <w:t>161</w:t>
      </w:r>
      <w:r>
        <w:fldChar w:fldCharType="end"/>
      </w:r>
      <w:r>
        <w:rPr>
          <w:rFonts w:hint="eastAsia"/>
          <w:highlight w:val="yellow"/>
          <w:lang w:val="en-US" w:eastAsia="zh-CN"/>
        </w:rPr>
        <w:fldChar w:fldCharType="end"/>
      </w:r>
    </w:p>
    <w:p w14:paraId="45853068">
      <w:pPr>
        <w:pStyle w:val="26"/>
        <w:tabs>
          <w:tab w:val="right" w:leader="dot" w:pos="9016"/>
        </w:tabs>
        <w:rPr>
          <w:b/>
          <w:bCs/>
        </w:rPr>
      </w:pPr>
      <w:r>
        <w:rPr>
          <w:rFonts w:hint="eastAsia"/>
          <w:b/>
          <w:bCs/>
          <w:highlight w:val="yellow"/>
          <w:lang w:val="en-US" w:eastAsia="zh-CN"/>
        </w:rPr>
        <w:fldChar w:fldCharType="begin"/>
      </w:r>
      <w:r>
        <w:rPr>
          <w:rFonts w:hint="eastAsia"/>
          <w:b/>
          <w:bCs/>
          <w:highlight w:val="yellow"/>
          <w:lang w:val="en-US" w:eastAsia="zh-CN"/>
        </w:rPr>
        <w:instrText xml:space="preserve"> HYPERLINK \l _Toc2264 </w:instrText>
      </w:r>
      <w:r>
        <w:rPr>
          <w:rFonts w:hint="eastAsia"/>
          <w:b/>
          <w:bCs/>
          <w:highlight w:val="yellow"/>
          <w:lang w:val="en-US" w:eastAsia="zh-CN"/>
        </w:rPr>
        <w:fldChar w:fldCharType="separate"/>
      </w:r>
      <w:r>
        <w:rPr>
          <w:rFonts w:hint="default" w:ascii="Times New Roman" w:hAnsi="Times New Roman" w:eastAsia="宋体" w:cs="Times New Roman"/>
          <w:b/>
          <w:bCs/>
          <w:szCs w:val="36"/>
          <w:lang w:val="en-US" w:eastAsia="zh-CN"/>
        </w:rPr>
        <w:t xml:space="preserve">7. </w:t>
      </w:r>
      <w:r>
        <w:rPr>
          <w:rFonts w:hint="eastAsia"/>
          <w:b/>
          <w:bCs/>
          <w:highlight w:val="none"/>
          <w:lang w:val="en-US" w:eastAsia="zh-CN"/>
        </w:rPr>
        <w:t>环境保护措施及其技术经济论证</w:t>
      </w:r>
      <w:r>
        <w:rPr>
          <w:b/>
          <w:bCs/>
        </w:rPr>
        <w:tab/>
      </w:r>
      <w:r>
        <w:rPr>
          <w:b/>
          <w:bCs/>
        </w:rPr>
        <w:fldChar w:fldCharType="begin"/>
      </w:r>
      <w:r>
        <w:rPr>
          <w:b/>
          <w:bCs/>
        </w:rPr>
        <w:instrText xml:space="preserve"> PAGEREF _Toc2264 \h </w:instrText>
      </w:r>
      <w:r>
        <w:rPr>
          <w:b/>
          <w:bCs/>
        </w:rPr>
        <w:fldChar w:fldCharType="separate"/>
      </w:r>
      <w:r>
        <w:rPr>
          <w:b/>
          <w:bCs/>
        </w:rPr>
        <w:t>162</w:t>
      </w:r>
      <w:r>
        <w:rPr>
          <w:b/>
          <w:bCs/>
        </w:rPr>
        <w:fldChar w:fldCharType="end"/>
      </w:r>
      <w:r>
        <w:rPr>
          <w:rFonts w:hint="eastAsia"/>
          <w:b/>
          <w:bCs/>
          <w:highlight w:val="yellow"/>
          <w:lang w:val="en-US" w:eastAsia="zh-CN"/>
        </w:rPr>
        <w:fldChar w:fldCharType="end"/>
      </w:r>
    </w:p>
    <w:p w14:paraId="38458EB5">
      <w:pPr>
        <w:pStyle w:val="32"/>
        <w:tabs>
          <w:tab w:val="right" w:leader="dot" w:pos="9016"/>
        </w:tabs>
      </w:pPr>
      <w:r>
        <w:rPr>
          <w:rFonts w:hint="eastAsia"/>
          <w:highlight w:val="yellow"/>
          <w:lang w:val="en-US" w:eastAsia="zh-CN"/>
        </w:rPr>
        <w:fldChar w:fldCharType="begin"/>
      </w:r>
      <w:r>
        <w:rPr>
          <w:rFonts w:hint="eastAsia"/>
          <w:highlight w:val="yellow"/>
          <w:lang w:val="en-US" w:eastAsia="zh-CN"/>
        </w:rPr>
        <w:instrText xml:space="preserve"> HYPERLINK \l _Toc31217 </w:instrText>
      </w:r>
      <w:r>
        <w:rPr>
          <w:rFonts w:hint="eastAsia"/>
          <w:highlight w:val="yellow"/>
          <w:lang w:val="en-US" w:eastAsia="zh-CN"/>
        </w:rPr>
        <w:fldChar w:fldCharType="separate"/>
      </w:r>
      <w:r>
        <w:rPr>
          <w:rFonts w:hint="default" w:ascii="Times New Roman" w:hAnsi="Times New Roman" w:eastAsia="宋体" w:cs="Times New Roman"/>
          <w:szCs w:val="30"/>
          <w:lang w:val="en-US" w:eastAsia="zh-CN"/>
        </w:rPr>
        <w:t xml:space="preserve">7.1 </w:t>
      </w:r>
      <w:r>
        <w:rPr>
          <w:rFonts w:hint="eastAsia"/>
          <w:highlight w:val="none"/>
          <w:lang w:val="en-US" w:eastAsia="zh-CN"/>
        </w:rPr>
        <w:t>施工期环境保护措施</w:t>
      </w:r>
      <w:r>
        <w:tab/>
      </w:r>
      <w:r>
        <w:fldChar w:fldCharType="begin"/>
      </w:r>
      <w:r>
        <w:instrText xml:space="preserve"> PAGEREF _Toc31217 \h </w:instrText>
      </w:r>
      <w:r>
        <w:fldChar w:fldCharType="separate"/>
      </w:r>
      <w:r>
        <w:t>162</w:t>
      </w:r>
      <w:r>
        <w:fldChar w:fldCharType="end"/>
      </w:r>
      <w:r>
        <w:rPr>
          <w:rFonts w:hint="eastAsia"/>
          <w:highlight w:val="yellow"/>
          <w:lang w:val="en-US" w:eastAsia="zh-CN"/>
        </w:rPr>
        <w:fldChar w:fldCharType="end"/>
      </w:r>
    </w:p>
    <w:p w14:paraId="2E37A302">
      <w:pPr>
        <w:pStyle w:val="32"/>
        <w:tabs>
          <w:tab w:val="right" w:leader="dot" w:pos="9016"/>
        </w:tabs>
      </w:pPr>
      <w:r>
        <w:rPr>
          <w:rFonts w:hint="eastAsia"/>
          <w:highlight w:val="yellow"/>
          <w:lang w:val="en-US" w:eastAsia="zh-CN"/>
        </w:rPr>
        <w:fldChar w:fldCharType="begin"/>
      </w:r>
      <w:r>
        <w:rPr>
          <w:rFonts w:hint="eastAsia"/>
          <w:highlight w:val="yellow"/>
          <w:lang w:val="en-US" w:eastAsia="zh-CN"/>
        </w:rPr>
        <w:instrText xml:space="preserve"> HYPERLINK \l _Toc3992 </w:instrText>
      </w:r>
      <w:r>
        <w:rPr>
          <w:rFonts w:hint="eastAsia"/>
          <w:highlight w:val="yellow"/>
          <w:lang w:val="en-US" w:eastAsia="zh-CN"/>
        </w:rPr>
        <w:fldChar w:fldCharType="separate"/>
      </w:r>
      <w:r>
        <w:rPr>
          <w:rFonts w:hint="default" w:ascii="Times New Roman" w:hAnsi="Times New Roman" w:eastAsia="宋体" w:cs="Times New Roman"/>
          <w:szCs w:val="30"/>
          <w:lang w:val="en-US" w:eastAsia="zh-CN"/>
        </w:rPr>
        <w:t xml:space="preserve">7.2 </w:t>
      </w:r>
      <w:r>
        <w:rPr>
          <w:rFonts w:hint="eastAsia"/>
          <w:highlight w:val="none"/>
          <w:lang w:val="en-US" w:eastAsia="zh-CN"/>
        </w:rPr>
        <w:t>封场后环境保护措施</w:t>
      </w:r>
      <w:r>
        <w:tab/>
      </w:r>
      <w:r>
        <w:fldChar w:fldCharType="begin"/>
      </w:r>
      <w:r>
        <w:instrText xml:space="preserve"> PAGEREF _Toc3992 \h </w:instrText>
      </w:r>
      <w:r>
        <w:fldChar w:fldCharType="separate"/>
      </w:r>
      <w:r>
        <w:t>168</w:t>
      </w:r>
      <w:r>
        <w:fldChar w:fldCharType="end"/>
      </w:r>
      <w:r>
        <w:rPr>
          <w:rFonts w:hint="eastAsia"/>
          <w:highlight w:val="yellow"/>
          <w:lang w:val="en-US" w:eastAsia="zh-CN"/>
        </w:rPr>
        <w:fldChar w:fldCharType="end"/>
      </w:r>
    </w:p>
    <w:p w14:paraId="3535A878">
      <w:pPr>
        <w:pStyle w:val="26"/>
        <w:tabs>
          <w:tab w:val="right" w:leader="dot" w:pos="9016"/>
        </w:tabs>
        <w:rPr>
          <w:b/>
          <w:bCs/>
        </w:rPr>
      </w:pPr>
      <w:r>
        <w:rPr>
          <w:rFonts w:hint="eastAsia"/>
          <w:b/>
          <w:bCs/>
          <w:highlight w:val="yellow"/>
          <w:lang w:val="en-US" w:eastAsia="zh-CN"/>
        </w:rPr>
        <w:fldChar w:fldCharType="begin"/>
      </w:r>
      <w:r>
        <w:rPr>
          <w:rFonts w:hint="eastAsia"/>
          <w:b/>
          <w:bCs/>
          <w:highlight w:val="yellow"/>
          <w:lang w:val="en-US" w:eastAsia="zh-CN"/>
        </w:rPr>
        <w:instrText xml:space="preserve"> HYPERLINK \l _Toc20159 </w:instrText>
      </w:r>
      <w:r>
        <w:rPr>
          <w:rFonts w:hint="eastAsia"/>
          <w:b/>
          <w:bCs/>
          <w:highlight w:val="yellow"/>
          <w:lang w:val="en-US" w:eastAsia="zh-CN"/>
        </w:rPr>
        <w:fldChar w:fldCharType="separate"/>
      </w:r>
      <w:r>
        <w:rPr>
          <w:rFonts w:hint="default" w:ascii="Times New Roman" w:hAnsi="Times New Roman" w:eastAsia="宋体" w:cs="Times New Roman"/>
          <w:b/>
          <w:bCs/>
          <w:szCs w:val="36"/>
          <w:lang w:val="en-US" w:eastAsia="zh-CN"/>
        </w:rPr>
        <w:t xml:space="preserve">8. </w:t>
      </w:r>
      <w:r>
        <w:rPr>
          <w:rFonts w:hint="eastAsia"/>
          <w:b/>
          <w:bCs/>
          <w:highlight w:val="none"/>
          <w:lang w:val="en-US" w:eastAsia="zh-CN"/>
        </w:rPr>
        <w:t>环境影响经济损益分析</w:t>
      </w:r>
      <w:r>
        <w:rPr>
          <w:b/>
          <w:bCs/>
        </w:rPr>
        <w:tab/>
      </w:r>
      <w:r>
        <w:rPr>
          <w:b/>
          <w:bCs/>
        </w:rPr>
        <w:fldChar w:fldCharType="begin"/>
      </w:r>
      <w:r>
        <w:rPr>
          <w:b/>
          <w:bCs/>
        </w:rPr>
        <w:instrText xml:space="preserve"> PAGEREF _Toc20159 \h </w:instrText>
      </w:r>
      <w:r>
        <w:rPr>
          <w:b/>
          <w:bCs/>
        </w:rPr>
        <w:fldChar w:fldCharType="separate"/>
      </w:r>
      <w:r>
        <w:rPr>
          <w:b/>
          <w:bCs/>
        </w:rPr>
        <w:t>177</w:t>
      </w:r>
      <w:r>
        <w:rPr>
          <w:b/>
          <w:bCs/>
        </w:rPr>
        <w:fldChar w:fldCharType="end"/>
      </w:r>
      <w:r>
        <w:rPr>
          <w:rFonts w:hint="eastAsia"/>
          <w:b/>
          <w:bCs/>
          <w:highlight w:val="yellow"/>
          <w:lang w:val="en-US" w:eastAsia="zh-CN"/>
        </w:rPr>
        <w:fldChar w:fldCharType="end"/>
      </w:r>
    </w:p>
    <w:p w14:paraId="1933727E">
      <w:pPr>
        <w:pStyle w:val="32"/>
        <w:tabs>
          <w:tab w:val="right" w:leader="dot" w:pos="9016"/>
        </w:tabs>
      </w:pPr>
      <w:r>
        <w:rPr>
          <w:rFonts w:hint="eastAsia"/>
          <w:highlight w:val="yellow"/>
          <w:lang w:val="en-US" w:eastAsia="zh-CN"/>
        </w:rPr>
        <w:fldChar w:fldCharType="begin"/>
      </w:r>
      <w:r>
        <w:rPr>
          <w:rFonts w:hint="eastAsia"/>
          <w:highlight w:val="yellow"/>
          <w:lang w:val="en-US" w:eastAsia="zh-CN"/>
        </w:rPr>
        <w:instrText xml:space="preserve"> HYPERLINK \l _Toc8235 </w:instrText>
      </w:r>
      <w:r>
        <w:rPr>
          <w:rFonts w:hint="eastAsia"/>
          <w:highlight w:val="yellow"/>
          <w:lang w:val="en-US" w:eastAsia="zh-CN"/>
        </w:rPr>
        <w:fldChar w:fldCharType="separate"/>
      </w:r>
      <w:r>
        <w:rPr>
          <w:rFonts w:hint="default" w:ascii="Times New Roman" w:hAnsi="Times New Roman" w:eastAsia="宋体" w:cs="Times New Roman"/>
          <w:szCs w:val="30"/>
          <w:lang w:val="en-US" w:eastAsia="zh-CN"/>
        </w:rPr>
        <w:t xml:space="preserve">8.1 </w:t>
      </w:r>
      <w:r>
        <w:rPr>
          <w:rFonts w:hint="eastAsia"/>
          <w:highlight w:val="none"/>
          <w:lang w:val="en-US" w:eastAsia="zh-CN"/>
        </w:rPr>
        <w:t>环境保护投资估算</w:t>
      </w:r>
      <w:r>
        <w:tab/>
      </w:r>
      <w:r>
        <w:fldChar w:fldCharType="begin"/>
      </w:r>
      <w:r>
        <w:instrText xml:space="preserve"> PAGEREF _Toc8235 \h </w:instrText>
      </w:r>
      <w:r>
        <w:fldChar w:fldCharType="separate"/>
      </w:r>
      <w:r>
        <w:t>177</w:t>
      </w:r>
      <w:r>
        <w:fldChar w:fldCharType="end"/>
      </w:r>
      <w:r>
        <w:rPr>
          <w:rFonts w:hint="eastAsia"/>
          <w:highlight w:val="yellow"/>
          <w:lang w:val="en-US" w:eastAsia="zh-CN"/>
        </w:rPr>
        <w:fldChar w:fldCharType="end"/>
      </w:r>
    </w:p>
    <w:p w14:paraId="25AB0966">
      <w:pPr>
        <w:pStyle w:val="32"/>
        <w:tabs>
          <w:tab w:val="right" w:leader="dot" w:pos="9016"/>
        </w:tabs>
      </w:pPr>
      <w:r>
        <w:rPr>
          <w:rFonts w:hint="eastAsia"/>
          <w:highlight w:val="yellow"/>
          <w:lang w:val="en-US" w:eastAsia="zh-CN"/>
        </w:rPr>
        <w:fldChar w:fldCharType="begin"/>
      </w:r>
      <w:r>
        <w:rPr>
          <w:rFonts w:hint="eastAsia"/>
          <w:highlight w:val="yellow"/>
          <w:lang w:val="en-US" w:eastAsia="zh-CN"/>
        </w:rPr>
        <w:instrText xml:space="preserve"> HYPERLINK \l _Toc4529 </w:instrText>
      </w:r>
      <w:r>
        <w:rPr>
          <w:rFonts w:hint="eastAsia"/>
          <w:highlight w:val="yellow"/>
          <w:lang w:val="en-US" w:eastAsia="zh-CN"/>
        </w:rPr>
        <w:fldChar w:fldCharType="separate"/>
      </w:r>
      <w:r>
        <w:rPr>
          <w:rFonts w:hint="default" w:ascii="Times New Roman" w:hAnsi="Times New Roman" w:eastAsia="宋体" w:cs="Times New Roman"/>
          <w:szCs w:val="30"/>
          <w:lang w:val="en-US" w:eastAsia="zh-CN"/>
        </w:rPr>
        <w:t xml:space="preserve">8.2 </w:t>
      </w:r>
      <w:r>
        <w:rPr>
          <w:rFonts w:hint="eastAsia"/>
          <w:highlight w:val="none"/>
          <w:lang w:val="en-US" w:eastAsia="zh-CN"/>
        </w:rPr>
        <w:t>环境经济损益分析</w:t>
      </w:r>
      <w:r>
        <w:tab/>
      </w:r>
      <w:r>
        <w:fldChar w:fldCharType="begin"/>
      </w:r>
      <w:r>
        <w:instrText xml:space="preserve"> PAGEREF _Toc4529 \h </w:instrText>
      </w:r>
      <w:r>
        <w:fldChar w:fldCharType="separate"/>
      </w:r>
      <w:r>
        <w:t>178</w:t>
      </w:r>
      <w:r>
        <w:fldChar w:fldCharType="end"/>
      </w:r>
      <w:r>
        <w:rPr>
          <w:rFonts w:hint="eastAsia"/>
          <w:highlight w:val="yellow"/>
          <w:lang w:val="en-US" w:eastAsia="zh-CN"/>
        </w:rPr>
        <w:fldChar w:fldCharType="end"/>
      </w:r>
    </w:p>
    <w:p w14:paraId="618D96C0">
      <w:pPr>
        <w:pStyle w:val="32"/>
        <w:tabs>
          <w:tab w:val="right" w:leader="dot" w:pos="9016"/>
        </w:tabs>
      </w:pPr>
      <w:r>
        <w:rPr>
          <w:rFonts w:hint="eastAsia"/>
          <w:highlight w:val="yellow"/>
          <w:lang w:val="en-US" w:eastAsia="zh-CN"/>
        </w:rPr>
        <w:fldChar w:fldCharType="begin"/>
      </w:r>
      <w:r>
        <w:rPr>
          <w:rFonts w:hint="eastAsia"/>
          <w:highlight w:val="yellow"/>
          <w:lang w:val="en-US" w:eastAsia="zh-CN"/>
        </w:rPr>
        <w:instrText xml:space="preserve"> HYPERLINK \l _Toc5232 </w:instrText>
      </w:r>
      <w:r>
        <w:rPr>
          <w:rFonts w:hint="eastAsia"/>
          <w:highlight w:val="yellow"/>
          <w:lang w:val="en-US" w:eastAsia="zh-CN"/>
        </w:rPr>
        <w:fldChar w:fldCharType="separate"/>
      </w:r>
      <w:r>
        <w:rPr>
          <w:rFonts w:hint="default" w:ascii="Times New Roman" w:hAnsi="Times New Roman" w:eastAsia="宋体" w:cs="Times New Roman"/>
          <w:szCs w:val="30"/>
          <w:lang w:val="en-US" w:eastAsia="zh-CN"/>
        </w:rPr>
        <w:t xml:space="preserve">8.3 </w:t>
      </w:r>
      <w:r>
        <w:rPr>
          <w:rFonts w:hint="eastAsia"/>
          <w:highlight w:val="none"/>
          <w:lang w:val="en-US" w:eastAsia="zh-CN"/>
        </w:rPr>
        <w:t>环境影响经济损益分析小结</w:t>
      </w:r>
      <w:r>
        <w:tab/>
      </w:r>
      <w:r>
        <w:fldChar w:fldCharType="begin"/>
      </w:r>
      <w:r>
        <w:instrText xml:space="preserve"> PAGEREF _Toc5232 \h </w:instrText>
      </w:r>
      <w:r>
        <w:fldChar w:fldCharType="separate"/>
      </w:r>
      <w:r>
        <w:t>179</w:t>
      </w:r>
      <w:r>
        <w:fldChar w:fldCharType="end"/>
      </w:r>
      <w:r>
        <w:rPr>
          <w:rFonts w:hint="eastAsia"/>
          <w:highlight w:val="yellow"/>
          <w:lang w:val="en-US" w:eastAsia="zh-CN"/>
        </w:rPr>
        <w:fldChar w:fldCharType="end"/>
      </w:r>
    </w:p>
    <w:p w14:paraId="79ECB85D">
      <w:pPr>
        <w:pStyle w:val="26"/>
        <w:tabs>
          <w:tab w:val="right" w:leader="dot" w:pos="9016"/>
        </w:tabs>
        <w:rPr>
          <w:b/>
          <w:bCs/>
        </w:rPr>
      </w:pPr>
      <w:r>
        <w:rPr>
          <w:rFonts w:hint="eastAsia"/>
          <w:b/>
          <w:bCs/>
          <w:highlight w:val="yellow"/>
          <w:lang w:val="en-US" w:eastAsia="zh-CN"/>
        </w:rPr>
        <w:fldChar w:fldCharType="begin"/>
      </w:r>
      <w:r>
        <w:rPr>
          <w:rFonts w:hint="eastAsia"/>
          <w:b/>
          <w:bCs/>
          <w:highlight w:val="yellow"/>
          <w:lang w:val="en-US" w:eastAsia="zh-CN"/>
        </w:rPr>
        <w:instrText xml:space="preserve"> HYPERLINK \l _Toc11312 </w:instrText>
      </w:r>
      <w:r>
        <w:rPr>
          <w:rFonts w:hint="eastAsia"/>
          <w:b/>
          <w:bCs/>
          <w:highlight w:val="yellow"/>
          <w:lang w:val="en-US" w:eastAsia="zh-CN"/>
        </w:rPr>
        <w:fldChar w:fldCharType="separate"/>
      </w:r>
      <w:r>
        <w:rPr>
          <w:rFonts w:hint="default" w:ascii="Times New Roman" w:hAnsi="Times New Roman" w:eastAsia="宋体" w:cs="Times New Roman"/>
          <w:b/>
          <w:bCs/>
          <w:szCs w:val="36"/>
          <w:lang w:val="en-US" w:eastAsia="zh-CN"/>
        </w:rPr>
        <w:t xml:space="preserve">9. </w:t>
      </w:r>
      <w:r>
        <w:rPr>
          <w:rFonts w:hint="eastAsia"/>
          <w:b/>
          <w:bCs/>
          <w:highlight w:val="none"/>
          <w:lang w:val="en-US" w:eastAsia="zh-CN"/>
        </w:rPr>
        <w:t>环境管理与环境监测</w:t>
      </w:r>
      <w:r>
        <w:rPr>
          <w:b/>
          <w:bCs/>
        </w:rPr>
        <w:tab/>
      </w:r>
      <w:r>
        <w:rPr>
          <w:b/>
          <w:bCs/>
        </w:rPr>
        <w:fldChar w:fldCharType="begin"/>
      </w:r>
      <w:r>
        <w:rPr>
          <w:b/>
          <w:bCs/>
        </w:rPr>
        <w:instrText xml:space="preserve"> PAGEREF _Toc11312 \h </w:instrText>
      </w:r>
      <w:r>
        <w:rPr>
          <w:b/>
          <w:bCs/>
        </w:rPr>
        <w:fldChar w:fldCharType="separate"/>
      </w:r>
      <w:r>
        <w:rPr>
          <w:b/>
          <w:bCs/>
        </w:rPr>
        <w:t>180</w:t>
      </w:r>
      <w:r>
        <w:rPr>
          <w:b/>
          <w:bCs/>
        </w:rPr>
        <w:fldChar w:fldCharType="end"/>
      </w:r>
      <w:r>
        <w:rPr>
          <w:rFonts w:hint="eastAsia"/>
          <w:b/>
          <w:bCs/>
          <w:highlight w:val="yellow"/>
          <w:lang w:val="en-US" w:eastAsia="zh-CN"/>
        </w:rPr>
        <w:fldChar w:fldCharType="end"/>
      </w:r>
    </w:p>
    <w:p w14:paraId="1257F68C">
      <w:pPr>
        <w:pStyle w:val="32"/>
        <w:tabs>
          <w:tab w:val="right" w:leader="dot" w:pos="9016"/>
        </w:tabs>
      </w:pPr>
      <w:r>
        <w:rPr>
          <w:rFonts w:hint="eastAsia"/>
          <w:highlight w:val="yellow"/>
          <w:lang w:val="en-US" w:eastAsia="zh-CN"/>
        </w:rPr>
        <w:fldChar w:fldCharType="begin"/>
      </w:r>
      <w:r>
        <w:rPr>
          <w:rFonts w:hint="eastAsia"/>
          <w:highlight w:val="yellow"/>
          <w:lang w:val="en-US" w:eastAsia="zh-CN"/>
        </w:rPr>
        <w:instrText xml:space="preserve"> HYPERLINK \l _Toc21288 </w:instrText>
      </w:r>
      <w:r>
        <w:rPr>
          <w:rFonts w:hint="eastAsia"/>
          <w:highlight w:val="yellow"/>
          <w:lang w:val="en-US" w:eastAsia="zh-CN"/>
        </w:rPr>
        <w:fldChar w:fldCharType="separate"/>
      </w:r>
      <w:r>
        <w:rPr>
          <w:rFonts w:hint="default" w:ascii="Times New Roman" w:hAnsi="Times New Roman" w:eastAsia="宋体" w:cs="Times New Roman"/>
          <w:szCs w:val="30"/>
          <w:lang w:val="en-US" w:eastAsia="zh-CN"/>
        </w:rPr>
        <w:t xml:space="preserve">9.1 </w:t>
      </w:r>
      <w:r>
        <w:rPr>
          <w:rFonts w:hint="eastAsia"/>
          <w:highlight w:val="none"/>
          <w:lang w:val="en-US" w:eastAsia="zh-CN"/>
        </w:rPr>
        <w:t>环境管理</w:t>
      </w:r>
      <w:r>
        <w:tab/>
      </w:r>
      <w:r>
        <w:fldChar w:fldCharType="begin"/>
      </w:r>
      <w:r>
        <w:instrText xml:space="preserve"> PAGEREF _Toc21288 \h </w:instrText>
      </w:r>
      <w:r>
        <w:fldChar w:fldCharType="separate"/>
      </w:r>
      <w:r>
        <w:t>180</w:t>
      </w:r>
      <w:r>
        <w:fldChar w:fldCharType="end"/>
      </w:r>
      <w:r>
        <w:rPr>
          <w:rFonts w:hint="eastAsia"/>
          <w:highlight w:val="yellow"/>
          <w:lang w:val="en-US" w:eastAsia="zh-CN"/>
        </w:rPr>
        <w:fldChar w:fldCharType="end"/>
      </w:r>
    </w:p>
    <w:p w14:paraId="51B0561F">
      <w:pPr>
        <w:pStyle w:val="32"/>
        <w:tabs>
          <w:tab w:val="right" w:leader="dot" w:pos="9016"/>
        </w:tabs>
      </w:pPr>
      <w:r>
        <w:rPr>
          <w:rFonts w:hint="eastAsia"/>
          <w:highlight w:val="yellow"/>
          <w:lang w:val="en-US" w:eastAsia="zh-CN"/>
        </w:rPr>
        <w:fldChar w:fldCharType="begin"/>
      </w:r>
      <w:r>
        <w:rPr>
          <w:rFonts w:hint="eastAsia"/>
          <w:highlight w:val="yellow"/>
          <w:lang w:val="en-US" w:eastAsia="zh-CN"/>
        </w:rPr>
        <w:instrText xml:space="preserve"> HYPERLINK \l _Toc26892 </w:instrText>
      </w:r>
      <w:r>
        <w:rPr>
          <w:rFonts w:hint="eastAsia"/>
          <w:highlight w:val="yellow"/>
          <w:lang w:val="en-US" w:eastAsia="zh-CN"/>
        </w:rPr>
        <w:fldChar w:fldCharType="separate"/>
      </w:r>
      <w:r>
        <w:rPr>
          <w:rFonts w:hint="default" w:ascii="Times New Roman" w:hAnsi="Times New Roman" w:eastAsia="宋体" w:cs="Times New Roman"/>
          <w:szCs w:val="30"/>
          <w:lang w:val="en-US" w:eastAsia="zh-CN"/>
        </w:rPr>
        <w:t xml:space="preserve">9.2 </w:t>
      </w:r>
      <w:r>
        <w:rPr>
          <w:rFonts w:hint="eastAsia"/>
          <w:highlight w:val="none"/>
          <w:lang w:val="en-US" w:eastAsia="zh-CN"/>
        </w:rPr>
        <w:t>环境监测</w:t>
      </w:r>
      <w:r>
        <w:tab/>
      </w:r>
      <w:r>
        <w:fldChar w:fldCharType="begin"/>
      </w:r>
      <w:r>
        <w:instrText xml:space="preserve"> PAGEREF _Toc26892 \h </w:instrText>
      </w:r>
      <w:r>
        <w:fldChar w:fldCharType="separate"/>
      </w:r>
      <w:r>
        <w:t>182</w:t>
      </w:r>
      <w:r>
        <w:fldChar w:fldCharType="end"/>
      </w:r>
      <w:r>
        <w:rPr>
          <w:rFonts w:hint="eastAsia"/>
          <w:highlight w:val="yellow"/>
          <w:lang w:val="en-US" w:eastAsia="zh-CN"/>
        </w:rPr>
        <w:fldChar w:fldCharType="end"/>
      </w:r>
    </w:p>
    <w:p w14:paraId="1DDF0EB2">
      <w:pPr>
        <w:pStyle w:val="32"/>
        <w:tabs>
          <w:tab w:val="right" w:leader="dot" w:pos="9016"/>
        </w:tabs>
      </w:pPr>
      <w:r>
        <w:rPr>
          <w:rFonts w:hint="eastAsia"/>
          <w:highlight w:val="yellow"/>
          <w:lang w:val="en-US" w:eastAsia="zh-CN"/>
        </w:rPr>
        <w:fldChar w:fldCharType="begin"/>
      </w:r>
      <w:r>
        <w:rPr>
          <w:rFonts w:hint="eastAsia"/>
          <w:highlight w:val="yellow"/>
          <w:lang w:val="en-US" w:eastAsia="zh-CN"/>
        </w:rPr>
        <w:instrText xml:space="preserve"> HYPERLINK \l _Toc18091 </w:instrText>
      </w:r>
      <w:r>
        <w:rPr>
          <w:rFonts w:hint="eastAsia"/>
          <w:highlight w:val="yellow"/>
          <w:lang w:val="en-US" w:eastAsia="zh-CN"/>
        </w:rPr>
        <w:fldChar w:fldCharType="separate"/>
      </w:r>
      <w:r>
        <w:rPr>
          <w:rFonts w:hint="default" w:ascii="Times New Roman" w:hAnsi="Times New Roman" w:eastAsia="宋体" w:cs="Times New Roman"/>
          <w:szCs w:val="30"/>
          <w:lang w:val="en-US" w:eastAsia="zh-CN"/>
        </w:rPr>
        <w:t xml:space="preserve">9.3 </w:t>
      </w:r>
      <w:r>
        <w:rPr>
          <w:rFonts w:hint="default"/>
          <w:highlight w:val="none"/>
          <w:lang w:val="en-US" w:eastAsia="zh-CN"/>
        </w:rPr>
        <w:t>环境监理</w:t>
      </w:r>
      <w:r>
        <w:tab/>
      </w:r>
      <w:r>
        <w:fldChar w:fldCharType="begin"/>
      </w:r>
      <w:r>
        <w:instrText xml:space="preserve"> PAGEREF _Toc18091 \h </w:instrText>
      </w:r>
      <w:r>
        <w:fldChar w:fldCharType="separate"/>
      </w:r>
      <w:r>
        <w:t>184</w:t>
      </w:r>
      <w:r>
        <w:fldChar w:fldCharType="end"/>
      </w:r>
      <w:r>
        <w:rPr>
          <w:rFonts w:hint="eastAsia"/>
          <w:highlight w:val="yellow"/>
          <w:lang w:val="en-US" w:eastAsia="zh-CN"/>
        </w:rPr>
        <w:fldChar w:fldCharType="end"/>
      </w:r>
    </w:p>
    <w:p w14:paraId="55E50757">
      <w:pPr>
        <w:pStyle w:val="32"/>
        <w:tabs>
          <w:tab w:val="right" w:leader="dot" w:pos="9016"/>
        </w:tabs>
      </w:pPr>
      <w:r>
        <w:rPr>
          <w:rFonts w:hint="eastAsia"/>
          <w:highlight w:val="yellow"/>
          <w:lang w:val="en-US" w:eastAsia="zh-CN"/>
        </w:rPr>
        <w:fldChar w:fldCharType="begin"/>
      </w:r>
      <w:r>
        <w:rPr>
          <w:rFonts w:hint="eastAsia"/>
          <w:highlight w:val="yellow"/>
          <w:lang w:val="en-US" w:eastAsia="zh-CN"/>
        </w:rPr>
        <w:instrText xml:space="preserve"> HYPERLINK \l _Toc20698 </w:instrText>
      </w:r>
      <w:r>
        <w:rPr>
          <w:rFonts w:hint="eastAsia"/>
          <w:highlight w:val="yellow"/>
          <w:lang w:val="en-US" w:eastAsia="zh-CN"/>
        </w:rPr>
        <w:fldChar w:fldCharType="separate"/>
      </w:r>
      <w:r>
        <w:rPr>
          <w:rFonts w:hint="default" w:ascii="Times New Roman" w:hAnsi="Times New Roman" w:eastAsia="宋体" w:cs="Times New Roman"/>
          <w:szCs w:val="30"/>
          <w:lang w:val="en-US" w:eastAsia="zh-CN"/>
        </w:rPr>
        <w:t xml:space="preserve">9.4 </w:t>
      </w:r>
      <w:r>
        <w:rPr>
          <w:rFonts w:hint="eastAsia"/>
          <w:highlight w:val="none"/>
          <w:lang w:val="en-US" w:eastAsia="zh-CN"/>
        </w:rPr>
        <w:t>排污口设置及规范化管理</w:t>
      </w:r>
      <w:r>
        <w:tab/>
      </w:r>
      <w:r>
        <w:fldChar w:fldCharType="begin"/>
      </w:r>
      <w:r>
        <w:instrText xml:space="preserve"> PAGEREF _Toc20698 \h </w:instrText>
      </w:r>
      <w:r>
        <w:fldChar w:fldCharType="separate"/>
      </w:r>
      <w:r>
        <w:t>188</w:t>
      </w:r>
      <w:r>
        <w:fldChar w:fldCharType="end"/>
      </w:r>
      <w:r>
        <w:rPr>
          <w:rFonts w:hint="eastAsia"/>
          <w:highlight w:val="yellow"/>
          <w:lang w:val="en-US" w:eastAsia="zh-CN"/>
        </w:rPr>
        <w:fldChar w:fldCharType="end"/>
      </w:r>
    </w:p>
    <w:p w14:paraId="502D0619">
      <w:pPr>
        <w:pStyle w:val="32"/>
        <w:tabs>
          <w:tab w:val="right" w:leader="dot" w:pos="9016"/>
        </w:tabs>
      </w:pPr>
      <w:r>
        <w:rPr>
          <w:rFonts w:hint="eastAsia"/>
          <w:highlight w:val="yellow"/>
          <w:lang w:val="en-US" w:eastAsia="zh-CN"/>
        </w:rPr>
        <w:fldChar w:fldCharType="begin"/>
      </w:r>
      <w:r>
        <w:rPr>
          <w:rFonts w:hint="eastAsia"/>
          <w:highlight w:val="yellow"/>
          <w:lang w:val="en-US" w:eastAsia="zh-CN"/>
        </w:rPr>
        <w:instrText xml:space="preserve"> HYPERLINK \l _Toc1620 </w:instrText>
      </w:r>
      <w:r>
        <w:rPr>
          <w:rFonts w:hint="eastAsia"/>
          <w:highlight w:val="yellow"/>
          <w:lang w:val="en-US" w:eastAsia="zh-CN"/>
        </w:rPr>
        <w:fldChar w:fldCharType="separate"/>
      </w:r>
      <w:r>
        <w:rPr>
          <w:rFonts w:hint="default" w:ascii="Times New Roman" w:hAnsi="Times New Roman" w:eastAsia="宋体" w:cs="Times New Roman"/>
          <w:szCs w:val="30"/>
          <w:lang w:val="en-US" w:eastAsia="zh-CN"/>
        </w:rPr>
        <w:t xml:space="preserve">9.5 </w:t>
      </w:r>
      <w:r>
        <w:rPr>
          <w:rFonts w:hint="eastAsia"/>
          <w:highlight w:val="none"/>
          <w:lang w:val="en-US" w:eastAsia="zh-CN"/>
        </w:rPr>
        <w:t>竣工环境保护验收</w:t>
      </w:r>
      <w:r>
        <w:tab/>
      </w:r>
      <w:r>
        <w:fldChar w:fldCharType="begin"/>
      </w:r>
      <w:r>
        <w:instrText xml:space="preserve"> PAGEREF _Toc1620 \h </w:instrText>
      </w:r>
      <w:r>
        <w:fldChar w:fldCharType="separate"/>
      </w:r>
      <w:r>
        <w:t>189</w:t>
      </w:r>
      <w:r>
        <w:fldChar w:fldCharType="end"/>
      </w:r>
      <w:r>
        <w:rPr>
          <w:rFonts w:hint="eastAsia"/>
          <w:highlight w:val="yellow"/>
          <w:lang w:val="en-US" w:eastAsia="zh-CN"/>
        </w:rPr>
        <w:fldChar w:fldCharType="end"/>
      </w:r>
    </w:p>
    <w:p w14:paraId="6655C0B4">
      <w:pPr>
        <w:pStyle w:val="32"/>
        <w:tabs>
          <w:tab w:val="right" w:leader="dot" w:pos="9016"/>
        </w:tabs>
      </w:pPr>
      <w:r>
        <w:rPr>
          <w:rFonts w:hint="eastAsia"/>
          <w:highlight w:val="yellow"/>
          <w:lang w:val="en-US" w:eastAsia="zh-CN"/>
        </w:rPr>
        <w:fldChar w:fldCharType="begin"/>
      </w:r>
      <w:r>
        <w:rPr>
          <w:rFonts w:hint="eastAsia"/>
          <w:highlight w:val="yellow"/>
          <w:lang w:val="en-US" w:eastAsia="zh-CN"/>
        </w:rPr>
        <w:instrText xml:space="preserve"> HYPERLINK \l _Toc29249 </w:instrText>
      </w:r>
      <w:r>
        <w:rPr>
          <w:rFonts w:hint="eastAsia"/>
          <w:highlight w:val="yellow"/>
          <w:lang w:val="en-US" w:eastAsia="zh-CN"/>
        </w:rPr>
        <w:fldChar w:fldCharType="separate"/>
      </w:r>
      <w:r>
        <w:rPr>
          <w:rFonts w:hint="default" w:ascii="Times New Roman" w:hAnsi="Times New Roman" w:eastAsia="宋体" w:cs="Times New Roman"/>
          <w:szCs w:val="30"/>
          <w:lang w:val="en-US" w:eastAsia="zh-CN"/>
        </w:rPr>
        <w:t xml:space="preserve">9.6 </w:t>
      </w:r>
      <w:r>
        <w:rPr>
          <w:rFonts w:hint="eastAsia"/>
          <w:highlight w:val="none"/>
          <w:lang w:val="en-US" w:eastAsia="zh-CN"/>
        </w:rPr>
        <w:t>总量控制指标</w:t>
      </w:r>
      <w:r>
        <w:tab/>
      </w:r>
      <w:r>
        <w:fldChar w:fldCharType="begin"/>
      </w:r>
      <w:r>
        <w:instrText xml:space="preserve"> PAGEREF _Toc29249 \h </w:instrText>
      </w:r>
      <w:r>
        <w:fldChar w:fldCharType="separate"/>
      </w:r>
      <w:r>
        <w:t>190</w:t>
      </w:r>
      <w:r>
        <w:fldChar w:fldCharType="end"/>
      </w:r>
      <w:r>
        <w:rPr>
          <w:rFonts w:hint="eastAsia"/>
          <w:highlight w:val="yellow"/>
          <w:lang w:val="en-US" w:eastAsia="zh-CN"/>
        </w:rPr>
        <w:fldChar w:fldCharType="end"/>
      </w:r>
    </w:p>
    <w:p w14:paraId="46F0E48B">
      <w:pPr>
        <w:pStyle w:val="26"/>
        <w:tabs>
          <w:tab w:val="right" w:leader="dot" w:pos="9016"/>
        </w:tabs>
        <w:rPr>
          <w:b/>
          <w:bCs/>
        </w:rPr>
      </w:pPr>
      <w:r>
        <w:rPr>
          <w:rFonts w:hint="eastAsia"/>
          <w:b/>
          <w:bCs/>
          <w:highlight w:val="yellow"/>
          <w:lang w:val="en-US" w:eastAsia="zh-CN"/>
        </w:rPr>
        <w:fldChar w:fldCharType="begin"/>
      </w:r>
      <w:r>
        <w:rPr>
          <w:rFonts w:hint="eastAsia"/>
          <w:b/>
          <w:bCs/>
          <w:highlight w:val="yellow"/>
          <w:lang w:val="en-US" w:eastAsia="zh-CN"/>
        </w:rPr>
        <w:instrText xml:space="preserve"> HYPERLINK \l _Toc12316 </w:instrText>
      </w:r>
      <w:r>
        <w:rPr>
          <w:rFonts w:hint="eastAsia"/>
          <w:b/>
          <w:bCs/>
          <w:highlight w:val="yellow"/>
          <w:lang w:val="en-US" w:eastAsia="zh-CN"/>
        </w:rPr>
        <w:fldChar w:fldCharType="separate"/>
      </w:r>
      <w:r>
        <w:rPr>
          <w:rFonts w:hint="default" w:ascii="Times New Roman" w:hAnsi="Times New Roman" w:eastAsia="宋体" w:cs="Times New Roman"/>
          <w:b/>
          <w:bCs/>
          <w:szCs w:val="36"/>
          <w:lang w:val="en-US" w:eastAsia="zh-CN"/>
        </w:rPr>
        <w:t xml:space="preserve">10. </w:t>
      </w:r>
      <w:r>
        <w:rPr>
          <w:rFonts w:hint="eastAsia"/>
          <w:b/>
          <w:bCs/>
          <w:highlight w:val="none"/>
          <w:lang w:val="en-US" w:eastAsia="zh-CN"/>
        </w:rPr>
        <w:t>环境影响评价结论</w:t>
      </w:r>
      <w:r>
        <w:rPr>
          <w:b/>
          <w:bCs/>
        </w:rPr>
        <w:tab/>
      </w:r>
      <w:r>
        <w:rPr>
          <w:b/>
          <w:bCs/>
        </w:rPr>
        <w:fldChar w:fldCharType="begin"/>
      </w:r>
      <w:r>
        <w:rPr>
          <w:b/>
          <w:bCs/>
        </w:rPr>
        <w:instrText xml:space="preserve"> PAGEREF _Toc12316 \h </w:instrText>
      </w:r>
      <w:r>
        <w:rPr>
          <w:b/>
          <w:bCs/>
        </w:rPr>
        <w:fldChar w:fldCharType="separate"/>
      </w:r>
      <w:r>
        <w:rPr>
          <w:b/>
          <w:bCs/>
        </w:rPr>
        <w:t>192</w:t>
      </w:r>
      <w:r>
        <w:rPr>
          <w:b/>
          <w:bCs/>
        </w:rPr>
        <w:fldChar w:fldCharType="end"/>
      </w:r>
      <w:r>
        <w:rPr>
          <w:rFonts w:hint="eastAsia"/>
          <w:b/>
          <w:bCs/>
          <w:highlight w:val="yellow"/>
          <w:lang w:val="en-US" w:eastAsia="zh-CN"/>
        </w:rPr>
        <w:fldChar w:fldCharType="end"/>
      </w:r>
    </w:p>
    <w:p w14:paraId="64EADD04">
      <w:pPr>
        <w:pStyle w:val="32"/>
        <w:tabs>
          <w:tab w:val="right" w:leader="dot" w:pos="9016"/>
        </w:tabs>
      </w:pPr>
      <w:r>
        <w:rPr>
          <w:rFonts w:hint="eastAsia"/>
          <w:highlight w:val="yellow"/>
          <w:lang w:val="en-US" w:eastAsia="zh-CN"/>
        </w:rPr>
        <w:fldChar w:fldCharType="begin"/>
      </w:r>
      <w:r>
        <w:rPr>
          <w:rFonts w:hint="eastAsia"/>
          <w:highlight w:val="yellow"/>
          <w:lang w:val="en-US" w:eastAsia="zh-CN"/>
        </w:rPr>
        <w:instrText xml:space="preserve"> HYPERLINK \l _Toc15765 </w:instrText>
      </w:r>
      <w:r>
        <w:rPr>
          <w:rFonts w:hint="eastAsia"/>
          <w:highlight w:val="yellow"/>
          <w:lang w:val="en-US" w:eastAsia="zh-CN"/>
        </w:rPr>
        <w:fldChar w:fldCharType="separate"/>
      </w:r>
      <w:r>
        <w:rPr>
          <w:rFonts w:hint="default" w:ascii="Times New Roman" w:hAnsi="Times New Roman" w:eastAsia="宋体" w:cs="Times New Roman"/>
          <w:szCs w:val="30"/>
          <w:lang w:val="en-US" w:eastAsia="zh-CN"/>
        </w:rPr>
        <w:t xml:space="preserve">10.1 </w:t>
      </w:r>
      <w:r>
        <w:rPr>
          <w:rFonts w:hint="eastAsia"/>
          <w:highlight w:val="none"/>
          <w:lang w:val="en-US" w:eastAsia="zh-CN"/>
        </w:rPr>
        <w:t>结论</w:t>
      </w:r>
      <w:r>
        <w:tab/>
      </w:r>
      <w:r>
        <w:fldChar w:fldCharType="begin"/>
      </w:r>
      <w:r>
        <w:instrText xml:space="preserve"> PAGEREF _Toc15765 \h </w:instrText>
      </w:r>
      <w:r>
        <w:fldChar w:fldCharType="separate"/>
      </w:r>
      <w:r>
        <w:t>192</w:t>
      </w:r>
      <w:r>
        <w:fldChar w:fldCharType="end"/>
      </w:r>
      <w:r>
        <w:rPr>
          <w:rFonts w:hint="eastAsia"/>
          <w:highlight w:val="yellow"/>
          <w:lang w:val="en-US" w:eastAsia="zh-CN"/>
        </w:rPr>
        <w:fldChar w:fldCharType="end"/>
      </w:r>
    </w:p>
    <w:p w14:paraId="263CC2F2">
      <w:pPr>
        <w:pStyle w:val="32"/>
        <w:tabs>
          <w:tab w:val="right" w:leader="dot" w:pos="9016"/>
        </w:tabs>
      </w:pPr>
      <w:r>
        <w:rPr>
          <w:rFonts w:hint="eastAsia"/>
          <w:highlight w:val="yellow"/>
          <w:lang w:val="en-US" w:eastAsia="zh-CN"/>
        </w:rPr>
        <w:fldChar w:fldCharType="begin"/>
      </w:r>
      <w:r>
        <w:rPr>
          <w:rFonts w:hint="eastAsia"/>
          <w:highlight w:val="yellow"/>
          <w:lang w:val="en-US" w:eastAsia="zh-CN"/>
        </w:rPr>
        <w:instrText xml:space="preserve"> HYPERLINK \l _Toc7230 </w:instrText>
      </w:r>
      <w:r>
        <w:rPr>
          <w:rFonts w:hint="eastAsia"/>
          <w:highlight w:val="yellow"/>
          <w:lang w:val="en-US" w:eastAsia="zh-CN"/>
        </w:rPr>
        <w:fldChar w:fldCharType="separate"/>
      </w:r>
      <w:r>
        <w:rPr>
          <w:rFonts w:hint="default" w:ascii="Times New Roman" w:hAnsi="Times New Roman" w:eastAsia="宋体" w:cs="Times New Roman"/>
          <w:szCs w:val="30"/>
          <w:lang w:val="en-US" w:eastAsia="zh-CN"/>
        </w:rPr>
        <w:t xml:space="preserve">10.2 </w:t>
      </w:r>
      <w:r>
        <w:rPr>
          <w:rFonts w:hint="eastAsia"/>
          <w:highlight w:val="none"/>
          <w:lang w:val="en-US" w:eastAsia="zh-CN"/>
        </w:rPr>
        <w:t>建议</w:t>
      </w:r>
      <w:r>
        <w:tab/>
      </w:r>
      <w:r>
        <w:fldChar w:fldCharType="begin"/>
      </w:r>
      <w:r>
        <w:instrText xml:space="preserve"> PAGEREF _Toc7230 \h </w:instrText>
      </w:r>
      <w:r>
        <w:fldChar w:fldCharType="separate"/>
      </w:r>
      <w:r>
        <w:t>196</w:t>
      </w:r>
      <w:r>
        <w:fldChar w:fldCharType="end"/>
      </w:r>
      <w:r>
        <w:rPr>
          <w:rFonts w:hint="eastAsia"/>
          <w:highlight w:val="yellow"/>
          <w:lang w:val="en-US" w:eastAsia="zh-CN"/>
        </w:rPr>
        <w:fldChar w:fldCharType="end"/>
      </w:r>
    </w:p>
    <w:p w14:paraId="163007E8">
      <w:pPr>
        <w:bidi w:val="0"/>
        <w:rPr>
          <w:rFonts w:hint="eastAsia"/>
          <w:highlight w:val="yellow"/>
          <w:lang w:val="en-US" w:eastAsia="zh-CN"/>
        </w:rPr>
      </w:pPr>
      <w:r>
        <w:rPr>
          <w:rFonts w:hint="eastAsia"/>
          <w:highlight w:val="yellow"/>
          <w:lang w:val="en-US" w:eastAsia="zh-CN"/>
        </w:rPr>
        <w:fldChar w:fldCharType="end"/>
      </w:r>
    </w:p>
    <w:p w14:paraId="1552BDBE">
      <w:pPr>
        <w:bidi w:val="0"/>
        <w:ind w:left="0" w:leftChars="0" w:firstLine="0" w:firstLineChars="0"/>
        <w:rPr>
          <w:rFonts w:hint="default"/>
          <w:b/>
          <w:bCs/>
          <w:sz w:val="28"/>
          <w:szCs w:val="28"/>
          <w:highlight w:val="none"/>
          <w:lang w:val="en-US" w:eastAsia="zh-CN"/>
        </w:rPr>
      </w:pPr>
      <w:r>
        <w:rPr>
          <w:rFonts w:hint="eastAsia"/>
          <w:b/>
          <w:bCs/>
          <w:sz w:val="28"/>
          <w:szCs w:val="28"/>
          <w:highlight w:val="none"/>
          <w:lang w:val="en-US" w:eastAsia="zh-CN"/>
        </w:rPr>
        <w:t>附件：</w:t>
      </w:r>
    </w:p>
    <w:p w14:paraId="3F19A6A0">
      <w:pPr>
        <w:bidi w:val="0"/>
        <w:rPr>
          <w:rFonts w:hint="eastAsia"/>
          <w:highlight w:val="none"/>
          <w:lang w:val="en-US" w:eastAsia="zh-CN"/>
        </w:rPr>
      </w:pPr>
      <w:r>
        <w:rPr>
          <w:rFonts w:hint="eastAsia"/>
          <w:highlight w:val="none"/>
          <w:lang w:val="en-US" w:eastAsia="zh-CN"/>
        </w:rPr>
        <w:t>附件1：环评委托书</w:t>
      </w:r>
    </w:p>
    <w:p w14:paraId="2130D56B">
      <w:pPr>
        <w:bidi w:val="0"/>
        <w:rPr>
          <w:rFonts w:hint="eastAsia"/>
          <w:highlight w:val="none"/>
          <w:lang w:val="en-US" w:eastAsia="zh-CN"/>
        </w:rPr>
      </w:pPr>
      <w:r>
        <w:rPr>
          <w:rFonts w:hint="eastAsia"/>
          <w:highlight w:val="none"/>
          <w:lang w:val="en-US" w:eastAsia="zh-CN"/>
        </w:rPr>
        <w:t>附件2：平江县人民政府关于《明确</w:t>
      </w:r>
      <w:bookmarkStart w:id="134" w:name="_GoBack"/>
      <w:bookmarkEnd w:id="134"/>
      <w:r>
        <w:rPr>
          <w:rFonts w:hint="eastAsia"/>
          <w:highlight w:val="none"/>
          <w:lang w:val="en-US" w:eastAsia="zh-CN"/>
        </w:rPr>
        <w:t>平江县三阳乡南尧村片区（垂拱组、仙人组）历史遗留重金属废渣整治项目业主》的通知</w:t>
      </w:r>
    </w:p>
    <w:p w14:paraId="2BADE132">
      <w:pPr>
        <w:bidi w:val="0"/>
        <w:rPr>
          <w:rFonts w:hint="eastAsia"/>
          <w:highlight w:val="yellow"/>
          <w:lang w:val="en-US" w:eastAsia="zh-CN"/>
        </w:rPr>
      </w:pPr>
      <w:r>
        <w:rPr>
          <w:rFonts w:hint="eastAsia"/>
          <w:highlight w:val="none"/>
          <w:lang w:val="en-US" w:eastAsia="zh-CN"/>
        </w:rPr>
        <w:t>附件3：岳阳市生态环境局《关于平江县三阳乡南尧村片区（垂拱组、仙人组）历史遗留重金属废渣整治项目实施方案》的初步审查意见</w:t>
      </w:r>
    </w:p>
    <w:p w14:paraId="1E7C7717">
      <w:pPr>
        <w:bidi w:val="0"/>
        <w:rPr>
          <w:rFonts w:hint="eastAsia"/>
          <w:highlight w:val="none"/>
          <w:lang w:val="en-US" w:eastAsia="zh-CN"/>
        </w:rPr>
      </w:pPr>
      <w:r>
        <w:rPr>
          <w:rFonts w:hint="eastAsia"/>
          <w:highlight w:val="none"/>
          <w:lang w:val="en-US" w:eastAsia="zh-CN"/>
        </w:rPr>
        <w:t>附件4：平江县发展和改革局关于《平江县三阳乡南尧村片区（垂拱组、仙人组）历史遗留重金属废渣整治项目可行性研究报告的批复》（平发改审〔2024〕208号）</w:t>
      </w:r>
    </w:p>
    <w:p w14:paraId="53877F40">
      <w:pPr>
        <w:bidi w:val="0"/>
        <w:rPr>
          <w:rFonts w:hint="eastAsia"/>
          <w:highlight w:val="none"/>
          <w:lang w:val="en-US" w:eastAsia="zh-CN"/>
        </w:rPr>
      </w:pPr>
      <w:r>
        <w:rPr>
          <w:rFonts w:hint="eastAsia"/>
          <w:highlight w:val="none"/>
          <w:lang w:val="en-US" w:eastAsia="zh-CN"/>
        </w:rPr>
        <w:t>附件5：平江县发展和改革局关于《平江县三阳乡南尧村片区（垂拱组、仙人组）历史遗留重金属废渣整治项目概算总投资的批复》（平发改审〔2025〕65号）</w:t>
      </w:r>
    </w:p>
    <w:p w14:paraId="53B6C65A">
      <w:pPr>
        <w:bidi w:val="0"/>
        <w:rPr>
          <w:rFonts w:hint="eastAsia"/>
          <w:highlight w:val="none"/>
          <w:lang w:val="en-US" w:eastAsia="zh-CN"/>
        </w:rPr>
      </w:pPr>
      <w:r>
        <w:rPr>
          <w:rFonts w:hint="eastAsia"/>
          <w:highlight w:val="none"/>
          <w:lang w:val="en-US" w:eastAsia="zh-CN"/>
        </w:rPr>
        <w:t>附件6：</w:t>
      </w:r>
      <w:r>
        <w:rPr>
          <w:rFonts w:hint="eastAsia"/>
          <w:lang w:val="en-US" w:eastAsia="zh-CN"/>
        </w:rPr>
        <w:t>初设专家评审意见</w:t>
      </w:r>
    </w:p>
    <w:p w14:paraId="10D7F59E">
      <w:pPr>
        <w:bidi w:val="0"/>
        <w:rPr>
          <w:rFonts w:hint="eastAsia"/>
          <w:highlight w:val="none"/>
          <w:lang w:val="en-US" w:eastAsia="zh-CN"/>
        </w:rPr>
      </w:pPr>
      <w:r>
        <w:rPr>
          <w:rFonts w:hint="eastAsia"/>
          <w:highlight w:val="none"/>
          <w:lang w:val="en-US" w:eastAsia="zh-CN"/>
        </w:rPr>
        <w:t>附件7：</w:t>
      </w:r>
      <w:r>
        <w:rPr>
          <w:rFonts w:hint="eastAsia"/>
          <w:lang w:val="en-US" w:eastAsia="zh-CN"/>
        </w:rPr>
        <w:t>项目林地属性查询说明</w:t>
      </w:r>
    </w:p>
    <w:p w14:paraId="5A9DB745">
      <w:pPr>
        <w:bidi w:val="0"/>
        <w:rPr>
          <w:rFonts w:hint="eastAsia"/>
          <w:highlight w:val="none"/>
          <w:lang w:val="en-US" w:eastAsia="zh-CN"/>
        </w:rPr>
      </w:pPr>
      <w:r>
        <w:rPr>
          <w:rFonts w:hint="eastAsia"/>
          <w:lang w:val="en-US" w:eastAsia="zh-CN"/>
        </w:rPr>
        <w:t>附件8：平江县林业局准予行政许可决定书（平林地许准</w:t>
      </w:r>
      <w:r>
        <w:rPr>
          <w:rFonts w:hint="eastAsia" w:ascii="宋体" w:hAnsi="宋体" w:eastAsia="宋体" w:cs="宋体"/>
          <w:lang w:val="en-US" w:eastAsia="zh-CN"/>
        </w:rPr>
        <w:t>〔</w:t>
      </w:r>
      <w:r>
        <w:rPr>
          <w:rFonts w:hint="eastAsia"/>
          <w:lang w:val="en-US" w:eastAsia="zh-CN"/>
        </w:rPr>
        <w:t>2025</w:t>
      </w:r>
      <w:r>
        <w:rPr>
          <w:rFonts w:hint="eastAsia" w:ascii="宋体" w:hAnsi="宋体" w:eastAsia="宋体" w:cs="宋体"/>
          <w:lang w:val="en-US" w:eastAsia="zh-CN"/>
        </w:rPr>
        <w:t>〕</w:t>
      </w:r>
      <w:r>
        <w:rPr>
          <w:rFonts w:hint="eastAsia"/>
          <w:lang w:val="en-US" w:eastAsia="zh-CN"/>
        </w:rPr>
        <w:t>009号）</w:t>
      </w:r>
    </w:p>
    <w:p w14:paraId="2EBDC308">
      <w:pPr>
        <w:bidi w:val="0"/>
        <w:rPr>
          <w:rFonts w:hint="eastAsia"/>
          <w:highlight w:val="none"/>
          <w:lang w:val="en-US" w:eastAsia="zh-CN"/>
        </w:rPr>
      </w:pPr>
      <w:r>
        <w:rPr>
          <w:rFonts w:hint="eastAsia"/>
          <w:highlight w:val="none"/>
          <w:lang w:val="en-US" w:eastAsia="zh-CN"/>
        </w:rPr>
        <w:t>附件9：渗滤液接收协议</w:t>
      </w:r>
    </w:p>
    <w:p w14:paraId="0FB6A1DC">
      <w:pPr>
        <w:bidi w:val="0"/>
        <w:rPr>
          <w:rFonts w:hint="eastAsia"/>
          <w:highlight w:val="none"/>
          <w:lang w:val="en-US" w:eastAsia="zh-CN"/>
        </w:rPr>
      </w:pPr>
      <w:r>
        <w:rPr>
          <w:rFonts w:hint="eastAsia"/>
          <w:lang w:val="en-US" w:eastAsia="zh-CN"/>
        </w:rPr>
        <w:t>附件10：现状监测报告及质保单</w:t>
      </w:r>
    </w:p>
    <w:p w14:paraId="26A1D108">
      <w:pPr>
        <w:bidi w:val="0"/>
        <w:rPr>
          <w:rFonts w:hint="eastAsia"/>
          <w:highlight w:val="yellow"/>
          <w:lang w:val="en-US" w:eastAsia="zh-CN"/>
        </w:rPr>
      </w:pPr>
    </w:p>
    <w:p w14:paraId="198B9BD0">
      <w:pPr>
        <w:bidi w:val="0"/>
        <w:ind w:left="0" w:leftChars="0" w:firstLine="0" w:firstLineChars="0"/>
        <w:rPr>
          <w:rFonts w:hint="default"/>
          <w:b/>
          <w:bCs/>
          <w:sz w:val="28"/>
          <w:szCs w:val="28"/>
          <w:highlight w:val="none"/>
          <w:lang w:val="en-US" w:eastAsia="zh-CN"/>
        </w:rPr>
      </w:pPr>
      <w:r>
        <w:rPr>
          <w:rFonts w:hint="eastAsia"/>
          <w:b/>
          <w:bCs/>
          <w:sz w:val="28"/>
          <w:szCs w:val="28"/>
          <w:highlight w:val="none"/>
          <w:lang w:val="en-US" w:eastAsia="zh-CN"/>
        </w:rPr>
        <w:t>附图：</w:t>
      </w:r>
    </w:p>
    <w:p w14:paraId="35293BFD">
      <w:pPr>
        <w:bidi w:val="0"/>
        <w:rPr>
          <w:rFonts w:hint="default"/>
          <w:highlight w:val="none"/>
          <w:lang w:val="en-US" w:eastAsia="zh-CN"/>
        </w:rPr>
      </w:pPr>
      <w:r>
        <w:rPr>
          <w:rFonts w:hint="eastAsia"/>
          <w:highlight w:val="none"/>
          <w:lang w:val="en-US" w:eastAsia="zh-CN"/>
        </w:rPr>
        <w:t>附图1：项目地理位置图</w:t>
      </w:r>
    </w:p>
    <w:p w14:paraId="66535F48">
      <w:pPr>
        <w:bidi w:val="0"/>
        <w:rPr>
          <w:rFonts w:hint="eastAsia"/>
          <w:highlight w:val="none"/>
          <w:lang w:val="en-US" w:eastAsia="zh-CN"/>
        </w:rPr>
      </w:pPr>
      <w:r>
        <w:rPr>
          <w:rFonts w:hint="eastAsia"/>
          <w:highlight w:val="none"/>
          <w:lang w:val="en-US" w:eastAsia="zh-CN"/>
        </w:rPr>
        <w:t>附图2：项目总平面布置图</w:t>
      </w:r>
    </w:p>
    <w:p w14:paraId="4523A2B1">
      <w:pPr>
        <w:bidi w:val="0"/>
        <w:rPr>
          <w:rFonts w:hint="eastAsia"/>
          <w:highlight w:val="none"/>
          <w:lang w:val="en-US" w:eastAsia="zh-CN"/>
        </w:rPr>
      </w:pPr>
      <w:r>
        <w:rPr>
          <w:rFonts w:hint="eastAsia"/>
          <w:highlight w:val="none"/>
          <w:lang w:val="en-US" w:eastAsia="zh-CN"/>
        </w:rPr>
        <w:t>附图3：填埋场平面布置图</w:t>
      </w:r>
    </w:p>
    <w:p w14:paraId="658F4E88">
      <w:pPr>
        <w:bidi w:val="0"/>
        <w:rPr>
          <w:rFonts w:hint="eastAsia"/>
          <w:highlight w:val="none"/>
          <w:lang w:val="en-US" w:eastAsia="zh-CN"/>
        </w:rPr>
      </w:pPr>
      <w:r>
        <w:rPr>
          <w:rFonts w:hint="eastAsia"/>
          <w:highlight w:val="none"/>
          <w:lang w:val="en-US" w:eastAsia="zh-CN"/>
        </w:rPr>
        <w:t>附图4：取土场与项目运输路线图</w:t>
      </w:r>
    </w:p>
    <w:p w14:paraId="50EB86A4">
      <w:pPr>
        <w:bidi w:val="0"/>
        <w:rPr>
          <w:rFonts w:hint="default"/>
          <w:highlight w:val="none"/>
          <w:lang w:val="en-US" w:eastAsia="zh-CN"/>
        </w:rPr>
      </w:pPr>
      <w:r>
        <w:rPr>
          <w:rFonts w:hint="eastAsia"/>
          <w:highlight w:val="none"/>
          <w:lang w:val="en-US" w:eastAsia="zh-CN"/>
        </w:rPr>
        <w:t>附图5：</w:t>
      </w:r>
      <w:r>
        <w:rPr>
          <w:rFonts w:hint="eastAsia"/>
          <w:lang w:val="en-US" w:eastAsia="zh-CN"/>
        </w:rPr>
        <w:t>项目环境</w:t>
      </w:r>
      <w:r>
        <w:rPr>
          <w:rFonts w:hint="eastAsia"/>
          <w:highlight w:val="none"/>
          <w:lang w:val="en-US" w:eastAsia="zh-CN"/>
        </w:rPr>
        <w:t>环保目标图（</w:t>
      </w:r>
      <w:r>
        <w:rPr>
          <w:rFonts w:hint="eastAsia"/>
          <w:lang w:val="en-US" w:eastAsia="zh-CN"/>
        </w:rPr>
        <w:t>填埋场</w:t>
      </w:r>
      <w:r>
        <w:rPr>
          <w:rFonts w:hint="eastAsia"/>
          <w:highlight w:val="none"/>
          <w:lang w:val="en-US" w:eastAsia="zh-CN"/>
        </w:rPr>
        <w:t>）</w:t>
      </w:r>
    </w:p>
    <w:p w14:paraId="3CB88B5E">
      <w:pPr>
        <w:bidi w:val="0"/>
        <w:rPr>
          <w:rFonts w:hint="default"/>
          <w:highlight w:val="none"/>
          <w:lang w:val="en-US" w:eastAsia="zh-CN"/>
        </w:rPr>
      </w:pPr>
      <w:r>
        <w:rPr>
          <w:rFonts w:hint="eastAsia"/>
          <w:highlight w:val="none"/>
          <w:lang w:val="en-US" w:eastAsia="zh-CN"/>
        </w:rPr>
        <w:t>附图6：</w:t>
      </w:r>
      <w:r>
        <w:rPr>
          <w:rFonts w:hint="eastAsia"/>
          <w:lang w:val="en-US" w:eastAsia="zh-CN"/>
        </w:rPr>
        <w:t>项目环境</w:t>
      </w:r>
      <w:r>
        <w:rPr>
          <w:rFonts w:hint="eastAsia"/>
          <w:highlight w:val="none"/>
          <w:lang w:val="en-US" w:eastAsia="zh-CN"/>
        </w:rPr>
        <w:t>环保目标图（</w:t>
      </w:r>
      <w:r>
        <w:rPr>
          <w:rFonts w:hint="eastAsia"/>
          <w:lang w:val="en-US" w:eastAsia="zh-CN"/>
        </w:rPr>
        <w:t>取土场</w:t>
      </w:r>
      <w:r>
        <w:rPr>
          <w:rFonts w:hint="eastAsia"/>
          <w:highlight w:val="none"/>
          <w:lang w:val="en-US" w:eastAsia="zh-CN"/>
        </w:rPr>
        <w:t>）</w:t>
      </w:r>
    </w:p>
    <w:p w14:paraId="55F82A54">
      <w:pPr>
        <w:bidi w:val="0"/>
        <w:rPr>
          <w:rFonts w:hint="default"/>
          <w:highlight w:val="none"/>
          <w:lang w:val="en-US" w:eastAsia="zh-CN"/>
        </w:rPr>
      </w:pPr>
      <w:r>
        <w:rPr>
          <w:rFonts w:hint="eastAsia"/>
          <w:highlight w:val="none"/>
          <w:lang w:val="en-US" w:eastAsia="zh-CN"/>
        </w:rPr>
        <w:t>附图7：</w:t>
      </w:r>
      <w:r>
        <w:rPr>
          <w:rFonts w:hint="eastAsia"/>
          <w:lang w:val="en-US" w:eastAsia="zh-CN"/>
        </w:rPr>
        <w:t>项目环境</w:t>
      </w:r>
      <w:r>
        <w:rPr>
          <w:rFonts w:hint="eastAsia"/>
          <w:highlight w:val="none"/>
          <w:lang w:val="en-US" w:eastAsia="zh-CN"/>
        </w:rPr>
        <w:t>环保目标图（</w:t>
      </w:r>
      <w:r>
        <w:rPr>
          <w:rFonts w:hint="eastAsia"/>
          <w:lang w:val="en-US" w:eastAsia="zh-CN"/>
        </w:rPr>
        <w:t>运输道路</w:t>
      </w:r>
      <w:r>
        <w:rPr>
          <w:rFonts w:hint="eastAsia"/>
          <w:highlight w:val="none"/>
          <w:lang w:val="en-US" w:eastAsia="zh-CN"/>
        </w:rPr>
        <w:t>）</w:t>
      </w:r>
    </w:p>
    <w:p w14:paraId="270F72C6">
      <w:pPr>
        <w:bidi w:val="0"/>
        <w:rPr>
          <w:rFonts w:hint="eastAsia"/>
          <w:highlight w:val="none"/>
          <w:lang w:val="en-US" w:eastAsia="zh-CN"/>
        </w:rPr>
      </w:pPr>
      <w:r>
        <w:rPr>
          <w:rFonts w:hint="eastAsia"/>
          <w:highlight w:val="none"/>
          <w:lang w:val="en-US" w:eastAsia="zh-CN"/>
        </w:rPr>
        <w:t>附图8：项目监测布点图</w:t>
      </w:r>
    </w:p>
    <w:p w14:paraId="1D5F2CDA">
      <w:pPr>
        <w:bidi w:val="0"/>
        <w:rPr>
          <w:rFonts w:hint="default"/>
          <w:highlight w:val="none"/>
          <w:lang w:val="en-US" w:eastAsia="zh-CN"/>
        </w:rPr>
      </w:pPr>
      <w:r>
        <w:rPr>
          <w:rFonts w:hint="eastAsia"/>
          <w:highlight w:val="none"/>
          <w:lang w:val="en-US" w:eastAsia="zh-CN"/>
        </w:rPr>
        <w:t>附图9：项目填埋场与“三区三线”位置关系图</w:t>
      </w:r>
    </w:p>
    <w:p w14:paraId="12940A30">
      <w:pPr>
        <w:bidi w:val="0"/>
        <w:rPr>
          <w:rFonts w:hint="eastAsia"/>
          <w:highlight w:val="none"/>
          <w:lang w:val="en-US" w:eastAsia="zh-CN"/>
        </w:rPr>
      </w:pPr>
      <w:r>
        <w:rPr>
          <w:rFonts w:hint="eastAsia"/>
          <w:highlight w:val="none"/>
          <w:lang w:val="en-US" w:eastAsia="zh-CN"/>
        </w:rPr>
        <w:t>附图10：项目临时道路与“三区三线”位置关系图</w:t>
      </w:r>
    </w:p>
    <w:p w14:paraId="1F556B9D">
      <w:pPr>
        <w:bidi w:val="0"/>
        <w:rPr>
          <w:rFonts w:hint="eastAsia"/>
          <w:highlight w:val="none"/>
          <w:lang w:val="en-US" w:eastAsia="zh-CN"/>
        </w:rPr>
      </w:pPr>
      <w:r>
        <w:rPr>
          <w:rFonts w:hint="eastAsia"/>
          <w:highlight w:val="none"/>
          <w:lang w:val="en-US" w:eastAsia="zh-CN"/>
        </w:rPr>
        <w:t>附图11：项目取土场与“三区三线”位置关系图</w:t>
      </w:r>
    </w:p>
    <w:p w14:paraId="106FC7FA">
      <w:pPr>
        <w:bidi w:val="0"/>
        <w:rPr>
          <w:rFonts w:hint="eastAsia"/>
          <w:highlight w:val="none"/>
          <w:lang w:val="en-US" w:eastAsia="zh-CN"/>
        </w:rPr>
      </w:pPr>
      <w:r>
        <w:rPr>
          <w:rFonts w:hint="eastAsia"/>
          <w:highlight w:val="none"/>
          <w:lang w:val="en-US" w:eastAsia="zh-CN"/>
        </w:rPr>
        <w:t>附图12：样方设置与项目取土场位置关系图</w:t>
      </w:r>
    </w:p>
    <w:p w14:paraId="7FAD082F">
      <w:pPr>
        <w:bidi w:val="0"/>
        <w:rPr>
          <w:rFonts w:hint="eastAsia"/>
          <w:highlight w:val="none"/>
          <w:lang w:val="en-US" w:eastAsia="zh-CN"/>
        </w:rPr>
      </w:pPr>
      <w:r>
        <w:rPr>
          <w:rFonts w:hint="eastAsia"/>
          <w:highlight w:val="none"/>
          <w:lang w:val="en-US" w:eastAsia="zh-CN"/>
        </w:rPr>
        <w:t>附图13：样方设置与项目临时道路、填埋场位置关系图</w:t>
      </w:r>
    </w:p>
    <w:p w14:paraId="0E8EF87B">
      <w:pPr>
        <w:bidi w:val="0"/>
        <w:rPr>
          <w:rFonts w:hint="eastAsia"/>
          <w:highlight w:val="none"/>
          <w:lang w:val="en-US" w:eastAsia="zh-CN"/>
        </w:rPr>
      </w:pPr>
      <w:r>
        <w:rPr>
          <w:rFonts w:hint="eastAsia"/>
          <w:highlight w:val="none"/>
          <w:lang w:val="en-US" w:eastAsia="zh-CN"/>
        </w:rPr>
        <w:t>附图14：样线设置与项目取土场位置关系图</w:t>
      </w:r>
    </w:p>
    <w:p w14:paraId="5199BB8C">
      <w:pPr>
        <w:bidi w:val="0"/>
        <w:rPr>
          <w:rFonts w:hint="eastAsia"/>
          <w:highlight w:val="none"/>
          <w:lang w:val="en-US" w:eastAsia="zh-CN"/>
        </w:rPr>
      </w:pPr>
      <w:r>
        <w:rPr>
          <w:rFonts w:hint="eastAsia"/>
          <w:highlight w:val="none"/>
          <w:lang w:val="en-US" w:eastAsia="zh-CN"/>
        </w:rPr>
        <w:t>附图15：样线设置与项目临时道路、填埋场位置关系图</w:t>
      </w:r>
    </w:p>
    <w:p w14:paraId="6687A5B8">
      <w:pPr>
        <w:bidi w:val="0"/>
        <w:rPr>
          <w:rFonts w:hint="eastAsia"/>
          <w:highlight w:val="none"/>
          <w:lang w:val="en-US" w:eastAsia="zh-CN"/>
        </w:rPr>
      </w:pPr>
      <w:r>
        <w:rPr>
          <w:rFonts w:hint="eastAsia"/>
          <w:highlight w:val="none"/>
          <w:lang w:val="en-US" w:eastAsia="zh-CN"/>
        </w:rPr>
        <w:t>附图16：取土场生态评价范围内植被类型及植被覆盖度空间分布图</w:t>
      </w:r>
    </w:p>
    <w:p w14:paraId="5CC88F57">
      <w:pPr>
        <w:bidi w:val="0"/>
        <w:rPr>
          <w:rFonts w:hint="eastAsia"/>
          <w:highlight w:val="none"/>
          <w:lang w:val="en-US" w:eastAsia="zh-CN"/>
        </w:rPr>
      </w:pPr>
      <w:r>
        <w:rPr>
          <w:rFonts w:hint="eastAsia"/>
          <w:highlight w:val="none"/>
          <w:lang w:val="en-US" w:eastAsia="zh-CN"/>
        </w:rPr>
        <w:t>附图17：临时道路、填埋场生态评价范围内植被类型及植被覆盖度空间分布图</w:t>
      </w:r>
    </w:p>
    <w:p w14:paraId="055AA970">
      <w:pPr>
        <w:bidi w:val="0"/>
        <w:rPr>
          <w:rFonts w:hint="eastAsia"/>
          <w:highlight w:val="none"/>
          <w:lang w:val="en-US" w:eastAsia="zh-CN"/>
        </w:rPr>
      </w:pPr>
      <w:r>
        <w:rPr>
          <w:rFonts w:hint="eastAsia"/>
          <w:highlight w:val="none"/>
          <w:lang w:val="en-US" w:eastAsia="zh-CN"/>
        </w:rPr>
        <w:t>附图18：取土场生态评价范围内土地利用现状图</w:t>
      </w:r>
    </w:p>
    <w:p w14:paraId="027724E8">
      <w:pPr>
        <w:bidi w:val="0"/>
        <w:rPr>
          <w:rFonts w:hint="eastAsia"/>
          <w:highlight w:val="none"/>
          <w:lang w:val="en-US" w:eastAsia="zh-CN"/>
        </w:rPr>
      </w:pPr>
      <w:r>
        <w:rPr>
          <w:rFonts w:hint="eastAsia"/>
          <w:highlight w:val="none"/>
          <w:lang w:val="en-US" w:eastAsia="zh-CN"/>
        </w:rPr>
        <w:t>附图19：临时道路、填埋场生态评价范围内土地利用现状图</w:t>
      </w:r>
    </w:p>
    <w:p w14:paraId="3FEF70E1">
      <w:pPr>
        <w:bidi w:val="0"/>
        <w:rPr>
          <w:rFonts w:hint="eastAsia"/>
          <w:highlight w:val="none"/>
          <w:lang w:val="en-US" w:eastAsia="zh-CN"/>
        </w:rPr>
      </w:pPr>
      <w:r>
        <w:rPr>
          <w:rFonts w:hint="eastAsia"/>
          <w:highlight w:val="none"/>
          <w:lang w:val="en-US" w:eastAsia="zh-CN"/>
        </w:rPr>
        <w:t>附图20：取土场生态评价范围内生态系统类型图（生态保护目标：无重要物种等）</w:t>
      </w:r>
    </w:p>
    <w:p w14:paraId="3BED893B">
      <w:pPr>
        <w:bidi w:val="0"/>
        <w:rPr>
          <w:rFonts w:hint="eastAsia"/>
          <w:highlight w:val="none"/>
          <w:lang w:val="en-US" w:eastAsia="zh-CN"/>
        </w:rPr>
      </w:pPr>
      <w:r>
        <w:rPr>
          <w:rFonts w:hint="eastAsia"/>
          <w:highlight w:val="none"/>
          <w:lang w:val="en-US" w:eastAsia="zh-CN"/>
        </w:rPr>
        <w:t>附图21：临时</w:t>
      </w:r>
      <w:r>
        <w:rPr>
          <w:rFonts w:hint="eastAsia"/>
          <w:lang w:val="en-US" w:eastAsia="zh-CN"/>
        </w:rPr>
        <w:t>道路、填埋场生态评价范围内生态系统类型图（生态保护目标：无重要物种等）</w:t>
      </w:r>
    </w:p>
    <w:p w14:paraId="561BB94F">
      <w:pPr>
        <w:bidi w:val="0"/>
        <w:rPr>
          <w:rFonts w:hint="default"/>
          <w:highlight w:val="none"/>
          <w:lang w:val="en-US" w:eastAsia="zh-CN"/>
        </w:rPr>
      </w:pPr>
      <w:r>
        <w:rPr>
          <w:rFonts w:hint="eastAsia"/>
          <w:highlight w:val="none"/>
          <w:lang w:val="en-US" w:eastAsia="zh-CN"/>
        </w:rPr>
        <w:t>附图22：项目生态保护措施示意图</w:t>
      </w:r>
    </w:p>
    <w:p w14:paraId="3F970BAE">
      <w:pPr>
        <w:bidi w:val="0"/>
        <w:rPr>
          <w:rFonts w:hint="default"/>
          <w:highlight w:val="none"/>
          <w:lang w:val="en-US" w:eastAsia="zh-CN"/>
        </w:rPr>
      </w:pPr>
    </w:p>
    <w:p w14:paraId="16005413">
      <w:pPr>
        <w:bidi w:val="0"/>
        <w:ind w:left="0" w:leftChars="0" w:firstLine="0" w:firstLineChars="0"/>
        <w:rPr>
          <w:rFonts w:hint="eastAsia"/>
          <w:b/>
          <w:bCs/>
          <w:sz w:val="28"/>
          <w:szCs w:val="28"/>
          <w:highlight w:val="none"/>
          <w:lang w:val="en-US" w:eastAsia="zh-CN"/>
        </w:rPr>
      </w:pPr>
      <w:r>
        <w:rPr>
          <w:rFonts w:hint="eastAsia"/>
          <w:b/>
          <w:bCs/>
          <w:sz w:val="28"/>
          <w:szCs w:val="28"/>
          <w:highlight w:val="none"/>
          <w:lang w:val="en-US" w:eastAsia="zh-CN"/>
        </w:rPr>
        <w:t>附表：</w:t>
      </w:r>
    </w:p>
    <w:p w14:paraId="0B9EFB0C">
      <w:pPr>
        <w:bidi w:val="0"/>
        <w:rPr>
          <w:rFonts w:hint="eastAsia"/>
          <w:color w:val="auto"/>
          <w:highlight w:val="none"/>
          <w:lang w:val="en-US" w:eastAsia="zh-CN"/>
        </w:rPr>
      </w:pPr>
      <w:r>
        <w:rPr>
          <w:rFonts w:hint="eastAsia"/>
          <w:color w:val="auto"/>
          <w:highlight w:val="none"/>
          <w:lang w:val="en-US" w:eastAsia="zh-CN"/>
        </w:rPr>
        <w:t>附表1~6：环境影响评价自查表</w:t>
      </w:r>
    </w:p>
    <w:p w14:paraId="6DB33234">
      <w:pPr>
        <w:bidi w:val="0"/>
        <w:rPr>
          <w:rFonts w:hint="eastAsia"/>
          <w:highlight w:val="none"/>
          <w:lang w:val="en-US" w:eastAsia="zh-CN"/>
        </w:rPr>
      </w:pPr>
      <w:r>
        <w:rPr>
          <w:rFonts w:hint="eastAsia"/>
          <w:highlight w:val="none"/>
          <w:lang w:val="en-US" w:eastAsia="zh-CN"/>
        </w:rPr>
        <w:t>附表7：建设项目环评审批基础信息表</w:t>
      </w:r>
    </w:p>
    <w:p w14:paraId="6CEE4AAA">
      <w:pPr>
        <w:pStyle w:val="8"/>
        <w:rPr>
          <w:rFonts w:hint="default"/>
          <w:highlight w:val="yellow"/>
          <w:lang w:val="en-US" w:eastAsia="zh-CN"/>
        </w:rPr>
        <w:sectPr>
          <w:footerReference r:id="rId5" w:type="default"/>
          <w:pgSz w:w="11850" w:h="16783"/>
          <w:pgMar w:top="1417" w:right="1417" w:bottom="1417" w:left="1417" w:header="851" w:footer="992" w:gutter="0"/>
          <w:pgNumType w:fmt="decimal"/>
          <w:cols w:space="425" w:num="1"/>
          <w:docGrid w:type="lines" w:linePitch="312" w:charSpace="0"/>
        </w:sectPr>
      </w:pPr>
    </w:p>
    <w:p w14:paraId="6B01B404">
      <w:pPr>
        <w:pStyle w:val="7"/>
        <w:bidi w:val="0"/>
        <w:jc w:val="center"/>
        <w:rPr>
          <w:rFonts w:hint="default"/>
          <w:highlight w:val="none"/>
          <w:lang w:val="en-US" w:eastAsia="zh-CN"/>
        </w:rPr>
      </w:pPr>
      <w:bookmarkStart w:id="0" w:name="_Toc9794"/>
      <w:r>
        <w:rPr>
          <w:rFonts w:hint="eastAsia"/>
          <w:highlight w:val="none"/>
          <w:lang w:val="en-US" w:eastAsia="zh-CN"/>
        </w:rPr>
        <w:t>概述</w:t>
      </w:r>
      <w:bookmarkEnd w:id="0"/>
    </w:p>
    <w:p w14:paraId="2E2867B4">
      <w:pPr>
        <w:pStyle w:val="8"/>
        <w:bidi w:val="0"/>
        <w:rPr>
          <w:rFonts w:hint="default"/>
          <w:highlight w:val="none"/>
          <w:lang w:val="en-US" w:eastAsia="zh-CN"/>
        </w:rPr>
      </w:pPr>
      <w:bookmarkStart w:id="1" w:name="_Toc26893"/>
      <w:r>
        <w:rPr>
          <w:rFonts w:hint="eastAsia"/>
          <w:highlight w:val="none"/>
          <w:lang w:val="en-US" w:eastAsia="zh-CN"/>
        </w:rPr>
        <w:t>项目背景</w:t>
      </w:r>
      <w:bookmarkEnd w:id="1"/>
    </w:p>
    <w:p w14:paraId="5B6368E0">
      <w:pPr>
        <w:rPr>
          <w:rFonts w:hint="default"/>
          <w:highlight w:val="none"/>
          <w:lang w:val="en-US" w:eastAsia="zh-CN"/>
        </w:rPr>
      </w:pPr>
      <w:r>
        <w:rPr>
          <w:rFonts w:hint="default"/>
          <w:highlight w:val="none"/>
          <w:lang w:val="en-US" w:eastAsia="zh-CN"/>
        </w:rPr>
        <w:t>湖南省是闻名的</w:t>
      </w:r>
      <w:r>
        <w:rPr>
          <w:rFonts w:hint="eastAsia" w:ascii="宋体" w:hAnsi="宋体" w:eastAsia="宋体" w:cs="宋体"/>
          <w:highlight w:val="none"/>
          <w:lang w:val="en-US" w:eastAsia="zh-CN"/>
        </w:rPr>
        <w:t>“有色金属”</w:t>
      </w:r>
      <w:r>
        <w:rPr>
          <w:rFonts w:hint="default"/>
          <w:highlight w:val="none"/>
          <w:lang w:val="en-US" w:eastAsia="zh-CN"/>
        </w:rPr>
        <w:t>之乡，矿产资源丰富，历史上矿业经济活跃，但也造成了大量的生态环境问题。岳阳市位于湖南省东北部，环抱洞庭，濒临长江，北部是大平原，东临赣鄂两省，北与江汉平原隔江相望，西与湖北石首毗邻。境内地貌多种多样，丘岗与盆地相穿插、平原与湖泊犬牙交错。山地、丘陵、岗地、平原、水面的比例大致为15：24：17：27：17。境内地势东高西低，呈阶梯状向洞庭湖盆地倾斜。</w:t>
      </w:r>
    </w:p>
    <w:p w14:paraId="4F84C184">
      <w:pPr>
        <w:rPr>
          <w:rFonts w:hint="default"/>
          <w:highlight w:val="none"/>
          <w:lang w:val="en-US" w:eastAsia="zh-CN"/>
        </w:rPr>
      </w:pPr>
      <w:r>
        <w:rPr>
          <w:rFonts w:hint="default"/>
          <w:highlight w:val="none"/>
          <w:lang w:val="en-US" w:eastAsia="zh-CN"/>
        </w:rPr>
        <w:t>平江县矿产资源较为丰富，具有矿种多，分布相对集中的特点，黄金资源丰富，属湖南省第二大产金县。全县共发现矿产地152处，矿产41种，其中探明储量的有23种有色金属矿产：铜矿产于献冲、童市、三墩等地；铅锌矿集中分布于梅树湾、秦家坊、象鼻洞、芦洞胡家大屋等地；岩金，集中分布在黄金洞乡的金枚、金塘、杨山庄金矿和万古、大洞、指泉岭一带，形成了万古和黄金洞两个金矿集中区。黄金资源保有量一万公斤左右；砂金矿，沿汨罗江分布，探明长寿国富和伍市三和2个矿床。</w:t>
      </w:r>
    </w:p>
    <w:p w14:paraId="6A5A7D7A">
      <w:pPr>
        <w:rPr>
          <w:rFonts w:hint="default"/>
          <w:highlight w:val="none"/>
          <w:lang w:val="en-US" w:eastAsia="zh-CN"/>
        </w:rPr>
      </w:pPr>
      <w:r>
        <w:rPr>
          <w:rFonts w:hint="default"/>
          <w:highlight w:val="none"/>
          <w:lang w:val="en-US" w:eastAsia="zh-CN"/>
        </w:rPr>
        <w:t>平江县自明、清朝开始即探出零星金矿，并伴随有采金选金活动；至上世纪90年代，随着县域境内金矿储量的探明，三阳乡南尧村出现大规模的采金选金活动，并引发了金矿的乱采滥挖；加之当初矿山管理不规范、村民及乡办企业缺乏环境保护意识，村民私自采矿选矿产生的废渣随意堆积在矿区内；更为严重的是，由于受当时选矿技术水平，村民私自选矿更多的是采用氰化淘金工艺，选矿产生的废渣属于氰化废渣，其对环境的污染较为严重。</w:t>
      </w:r>
    </w:p>
    <w:p w14:paraId="3A9051A1">
      <w:pPr>
        <w:rPr>
          <w:rFonts w:hint="default"/>
          <w:highlight w:val="none"/>
          <w:lang w:val="en-US" w:eastAsia="zh-CN"/>
        </w:rPr>
      </w:pPr>
      <w:r>
        <w:rPr>
          <w:rFonts w:hint="default"/>
          <w:highlight w:val="none"/>
          <w:lang w:val="en-US" w:eastAsia="zh-CN"/>
        </w:rPr>
        <w:t>为了解决平江县三阳乡南尧村金矿废渣重金属污染问题，2022年2月25日，平江县三阳乡南尧村委会提出</w:t>
      </w:r>
      <w:r>
        <w:rPr>
          <w:rFonts w:hint="eastAsia" w:ascii="宋体" w:hAnsi="宋体" w:eastAsia="宋体" w:cs="宋体"/>
          <w:highlight w:val="none"/>
          <w:lang w:val="en-US" w:eastAsia="zh-CN"/>
        </w:rPr>
        <w:t>“请求将南尧村遗留废渣进行安全处理的请愿书”</w:t>
      </w:r>
      <w:r>
        <w:rPr>
          <w:rFonts w:hint="default"/>
          <w:highlight w:val="none"/>
          <w:lang w:val="en-US" w:eastAsia="zh-CN"/>
        </w:rPr>
        <w:t>。</w:t>
      </w:r>
    </w:p>
    <w:p w14:paraId="71D5325B">
      <w:pPr>
        <w:rPr>
          <w:rFonts w:hint="eastAsia"/>
          <w:highlight w:val="none"/>
          <w:lang w:val="en-US" w:eastAsia="zh-CN"/>
        </w:rPr>
      </w:pPr>
      <w:r>
        <w:rPr>
          <w:rFonts w:hint="default"/>
          <w:highlight w:val="none"/>
          <w:lang w:val="en-US" w:eastAsia="zh-CN"/>
        </w:rPr>
        <w:t>根据现场调查，目前三阳乡境南尧村垂拱组、仙人组区域存在废渣堆体2处</w:t>
      </w:r>
      <w:r>
        <w:rPr>
          <w:rFonts w:hint="eastAsia"/>
          <w:highlight w:val="none"/>
          <w:lang w:val="en-US" w:eastAsia="zh-CN"/>
        </w:rPr>
        <w:t>（南尧村1#废渣堆和2#废渣堆）</w:t>
      </w:r>
      <w:r>
        <w:rPr>
          <w:rFonts w:hint="default"/>
          <w:highlight w:val="none"/>
          <w:lang w:val="en-US" w:eastAsia="zh-CN"/>
        </w:rPr>
        <w:t>。这些废渣堆体在地表径流的冲刷作用下，部分废渣向废渣堆体下游迁移，废渣受降水淋洗产生的渗滤液也最终随地表径流入附近小溪，污染周边地表水、地下水、土壤。本项目的场地修复工作是消除场地污染物对人体健康潜在威胁的需要，是确保附近居民饮用水、农田土壤安全的需要，是保护平江县生态环境、实现可持续发展的需要</w:t>
      </w:r>
      <w:r>
        <w:rPr>
          <w:rFonts w:hint="eastAsia"/>
          <w:highlight w:val="none"/>
          <w:lang w:val="en-US" w:eastAsia="zh-CN"/>
        </w:rPr>
        <w:t>。</w:t>
      </w:r>
    </w:p>
    <w:p w14:paraId="79E0ECFF">
      <w:pPr>
        <w:rPr>
          <w:rFonts w:hint="default"/>
          <w:highlight w:val="none"/>
          <w:lang w:val="en-US" w:eastAsia="zh-CN"/>
        </w:rPr>
      </w:pPr>
      <w:r>
        <w:rPr>
          <w:rFonts w:hint="default"/>
          <w:highlight w:val="none"/>
          <w:lang w:val="en-US" w:eastAsia="zh-CN"/>
        </w:rPr>
        <w:t>为消除该区域历史遗留</w:t>
      </w:r>
      <w:r>
        <w:rPr>
          <w:rFonts w:hint="eastAsia"/>
          <w:highlight w:val="none"/>
          <w:lang w:val="en-US" w:eastAsia="zh-CN"/>
        </w:rPr>
        <w:t>重金属</w:t>
      </w:r>
      <w:r>
        <w:rPr>
          <w:rFonts w:hint="default"/>
          <w:highlight w:val="none"/>
          <w:lang w:val="en-US" w:eastAsia="zh-CN"/>
        </w:rPr>
        <w:t>废渣对周边环境的污染隐患，保障周边水质安全，保护周边居民生活环境，平江县三阳乡人民政府拟投资</w:t>
      </w:r>
      <w:r>
        <w:rPr>
          <w:rFonts w:hint="eastAsia"/>
          <w:highlight w:val="none"/>
          <w:lang w:val="en-US" w:eastAsia="zh-CN"/>
        </w:rPr>
        <w:t>985.88</w:t>
      </w:r>
      <w:r>
        <w:rPr>
          <w:rFonts w:hint="default"/>
          <w:highlight w:val="none"/>
          <w:lang w:val="en-US" w:eastAsia="zh-CN"/>
        </w:rPr>
        <w:t>万元，在项目污染场地开展平江县三阳乡南尧村片区（垂拱组、仙人组）历史遗留重金属废渣整治项目。</w:t>
      </w:r>
    </w:p>
    <w:p w14:paraId="399F4FDD">
      <w:pPr>
        <w:rPr>
          <w:rFonts w:hint="default"/>
          <w:highlight w:val="none"/>
          <w:lang w:val="en-US" w:eastAsia="zh-CN"/>
        </w:rPr>
      </w:pPr>
      <w:r>
        <w:rPr>
          <w:rFonts w:hint="default"/>
          <w:highlight w:val="none"/>
          <w:lang w:val="en-US" w:eastAsia="zh-CN"/>
        </w:rPr>
        <w:t>平江县三阳乡人民政府</w:t>
      </w:r>
      <w:r>
        <w:rPr>
          <w:rFonts w:hint="eastAsia"/>
          <w:highlight w:val="none"/>
          <w:lang w:val="en-US" w:eastAsia="zh-CN"/>
        </w:rPr>
        <w:t>于</w:t>
      </w:r>
      <w:r>
        <w:rPr>
          <w:rFonts w:hint="default"/>
          <w:highlight w:val="none"/>
          <w:lang w:val="en-US" w:eastAsia="zh-CN"/>
        </w:rPr>
        <w:t>202</w:t>
      </w:r>
      <w:r>
        <w:rPr>
          <w:rFonts w:hint="eastAsia"/>
          <w:highlight w:val="none"/>
          <w:lang w:val="en-US" w:eastAsia="zh-CN"/>
        </w:rPr>
        <w:t>2</w:t>
      </w:r>
      <w:r>
        <w:rPr>
          <w:rFonts w:hint="default"/>
          <w:highlight w:val="none"/>
          <w:lang w:val="en-US" w:eastAsia="zh-CN"/>
        </w:rPr>
        <w:t>年</w:t>
      </w:r>
      <w:r>
        <w:rPr>
          <w:rFonts w:hint="eastAsia"/>
          <w:highlight w:val="none"/>
          <w:lang w:val="en-US" w:eastAsia="zh-CN"/>
        </w:rPr>
        <w:t>8</w:t>
      </w:r>
      <w:r>
        <w:rPr>
          <w:rFonts w:hint="default"/>
          <w:highlight w:val="none"/>
          <w:lang w:val="en-US" w:eastAsia="zh-CN"/>
        </w:rPr>
        <w:t>月委托</w:t>
      </w:r>
      <w:r>
        <w:rPr>
          <w:rFonts w:hint="eastAsia"/>
          <w:highlight w:val="none"/>
          <w:lang w:val="en-US" w:eastAsia="zh-CN"/>
        </w:rPr>
        <w:t>湖南安博检测有限公司</w:t>
      </w:r>
      <w:r>
        <w:rPr>
          <w:rFonts w:hint="default"/>
          <w:highlight w:val="none"/>
          <w:lang w:val="en-US" w:eastAsia="zh-CN"/>
        </w:rPr>
        <w:t>编制了《平江县三阳乡南尧村片区（垂拱组、仙人组）历史遗留重金属废渣</w:t>
      </w:r>
      <w:r>
        <w:rPr>
          <w:rFonts w:hint="eastAsia"/>
          <w:highlight w:val="none"/>
          <w:lang w:val="en-US" w:eastAsia="zh-CN"/>
        </w:rPr>
        <w:t>污染状况调查报告</w:t>
      </w:r>
      <w:r>
        <w:rPr>
          <w:rFonts w:hint="default"/>
          <w:highlight w:val="none"/>
          <w:lang w:val="en-US" w:eastAsia="zh-CN"/>
        </w:rPr>
        <w:t>》</w:t>
      </w:r>
      <w:r>
        <w:rPr>
          <w:rFonts w:hint="eastAsia"/>
          <w:highlight w:val="none"/>
          <w:lang w:val="en-US" w:eastAsia="zh-CN"/>
        </w:rPr>
        <w:t>并通过专家评审会；2022年8月</w:t>
      </w:r>
      <w:r>
        <w:rPr>
          <w:rFonts w:hint="default"/>
          <w:highlight w:val="none"/>
          <w:lang w:val="en-US" w:eastAsia="zh-CN"/>
        </w:rPr>
        <w:t>委托长沙宸甄环保科技有限公司编制了《平江县三阳乡南尧村片区（垂拱组、仙人组）历史遗留重金属废渣</w:t>
      </w:r>
      <w:r>
        <w:rPr>
          <w:rFonts w:hint="eastAsia"/>
          <w:highlight w:val="none"/>
          <w:lang w:val="en-US" w:eastAsia="zh-CN"/>
        </w:rPr>
        <w:t>整治项目</w:t>
      </w:r>
      <w:r>
        <w:rPr>
          <w:rFonts w:hint="default"/>
          <w:highlight w:val="none"/>
          <w:lang w:val="en-US" w:eastAsia="zh-CN"/>
        </w:rPr>
        <w:t>实施方案》并通过</w:t>
      </w:r>
      <w:r>
        <w:rPr>
          <w:rFonts w:hint="eastAsia"/>
          <w:highlight w:val="none"/>
          <w:lang w:val="en-US" w:eastAsia="zh-CN"/>
        </w:rPr>
        <w:t>了</w:t>
      </w:r>
      <w:r>
        <w:rPr>
          <w:rFonts w:hint="default"/>
          <w:highlight w:val="none"/>
          <w:lang w:val="en-US" w:eastAsia="zh-CN"/>
        </w:rPr>
        <w:t>专家评审会，202</w:t>
      </w:r>
      <w:r>
        <w:rPr>
          <w:rFonts w:hint="eastAsia"/>
          <w:highlight w:val="none"/>
          <w:lang w:val="en-US" w:eastAsia="zh-CN"/>
        </w:rPr>
        <w:t>2</w:t>
      </w:r>
      <w:r>
        <w:rPr>
          <w:rFonts w:hint="default"/>
          <w:highlight w:val="none"/>
          <w:lang w:val="en-US" w:eastAsia="zh-CN"/>
        </w:rPr>
        <w:t>年</w:t>
      </w:r>
      <w:r>
        <w:rPr>
          <w:rFonts w:hint="eastAsia"/>
          <w:highlight w:val="none"/>
          <w:lang w:val="en-US" w:eastAsia="zh-CN"/>
        </w:rPr>
        <w:t>9</w:t>
      </w:r>
      <w:r>
        <w:rPr>
          <w:rFonts w:hint="default"/>
          <w:highlight w:val="none"/>
          <w:lang w:val="en-US" w:eastAsia="zh-CN"/>
        </w:rPr>
        <w:t>月</w:t>
      </w:r>
      <w:r>
        <w:rPr>
          <w:rFonts w:hint="eastAsia"/>
          <w:highlight w:val="none"/>
          <w:lang w:val="en-US" w:eastAsia="zh-CN"/>
        </w:rPr>
        <w:t>14</w:t>
      </w:r>
      <w:r>
        <w:rPr>
          <w:rFonts w:hint="default"/>
          <w:highlight w:val="none"/>
          <w:lang w:val="en-US" w:eastAsia="zh-CN"/>
        </w:rPr>
        <w:t>日</w:t>
      </w:r>
      <w:r>
        <w:rPr>
          <w:rFonts w:hint="eastAsia"/>
          <w:highlight w:val="none"/>
          <w:lang w:val="en-US" w:eastAsia="zh-CN"/>
        </w:rPr>
        <w:t>岳阳</w:t>
      </w:r>
      <w:r>
        <w:rPr>
          <w:rFonts w:hint="default"/>
          <w:highlight w:val="none"/>
          <w:lang w:val="en-US" w:eastAsia="zh-CN"/>
        </w:rPr>
        <w:t>市生态环境局出具了关于《平江县三阳乡南尧村片区（垂拱组、仙人组）历史遗留重金属废渣</w:t>
      </w:r>
      <w:r>
        <w:rPr>
          <w:rFonts w:hint="eastAsia"/>
          <w:highlight w:val="none"/>
          <w:lang w:val="en-US" w:eastAsia="zh-CN"/>
        </w:rPr>
        <w:t>整治项目</w:t>
      </w:r>
      <w:r>
        <w:rPr>
          <w:rFonts w:hint="default"/>
          <w:highlight w:val="none"/>
          <w:lang w:val="en-US" w:eastAsia="zh-CN"/>
        </w:rPr>
        <w:t>实施方案》的</w:t>
      </w:r>
      <w:r>
        <w:rPr>
          <w:rFonts w:hint="eastAsia"/>
          <w:highlight w:val="none"/>
          <w:lang w:val="en-US" w:eastAsia="zh-CN"/>
        </w:rPr>
        <w:t>初步</w:t>
      </w:r>
      <w:r>
        <w:rPr>
          <w:rFonts w:hint="default"/>
          <w:highlight w:val="none"/>
          <w:lang w:val="en-US" w:eastAsia="zh-CN"/>
        </w:rPr>
        <w:t>审查意见</w:t>
      </w:r>
      <w:r>
        <w:rPr>
          <w:rFonts w:hint="eastAsia"/>
          <w:highlight w:val="none"/>
          <w:lang w:val="en-US" w:eastAsia="zh-CN"/>
        </w:rPr>
        <w:t>；2024年6月委托盈创筑业工程科技有限公司编制了《</w:t>
      </w:r>
      <w:r>
        <w:rPr>
          <w:rFonts w:hint="default"/>
          <w:highlight w:val="none"/>
          <w:lang w:val="en-US" w:eastAsia="zh-CN"/>
        </w:rPr>
        <w:t>平江县三阳乡南尧村片区（垂拱组、仙人组）历史遗留重金属废渣</w:t>
      </w:r>
      <w:r>
        <w:rPr>
          <w:rFonts w:hint="eastAsia"/>
          <w:highlight w:val="none"/>
          <w:lang w:val="en-US" w:eastAsia="zh-CN"/>
        </w:rPr>
        <w:t>整治项目可行性研究报告</w:t>
      </w:r>
      <w:r>
        <w:rPr>
          <w:rFonts w:hint="default"/>
          <w:highlight w:val="none"/>
          <w:lang w:val="en-US" w:eastAsia="zh-CN"/>
        </w:rPr>
        <w:t>》</w:t>
      </w:r>
      <w:r>
        <w:rPr>
          <w:rFonts w:hint="eastAsia"/>
          <w:highlight w:val="none"/>
          <w:lang w:val="en-US" w:eastAsia="zh-CN"/>
        </w:rPr>
        <w:t>，2024年6月19日取得了平江县发展和改革局《关于</w:t>
      </w:r>
      <w:r>
        <w:rPr>
          <w:rFonts w:hint="default"/>
          <w:highlight w:val="none"/>
          <w:lang w:val="en-US" w:eastAsia="zh-CN"/>
        </w:rPr>
        <w:t>平江县三阳乡南尧村片区（垂拱组、仙人组）历史遗留重金属废渣</w:t>
      </w:r>
      <w:r>
        <w:rPr>
          <w:rFonts w:hint="eastAsia"/>
          <w:highlight w:val="none"/>
          <w:lang w:val="en-US" w:eastAsia="zh-CN"/>
        </w:rPr>
        <w:t>整治项目可行性研究报告</w:t>
      </w:r>
      <w:r>
        <w:rPr>
          <w:rFonts w:hint="default"/>
          <w:highlight w:val="none"/>
          <w:lang w:val="en-US" w:eastAsia="zh-CN"/>
        </w:rPr>
        <w:t>》</w:t>
      </w:r>
      <w:r>
        <w:rPr>
          <w:rFonts w:hint="eastAsia"/>
          <w:highlight w:val="none"/>
          <w:lang w:val="en-US" w:eastAsia="zh-CN"/>
        </w:rPr>
        <w:t>的批复；2024年6月委托中蓝长化工程科技有限公司编制了《</w:t>
      </w:r>
      <w:r>
        <w:rPr>
          <w:rFonts w:hint="default"/>
          <w:highlight w:val="none"/>
          <w:lang w:val="en-US" w:eastAsia="zh-CN"/>
        </w:rPr>
        <w:t>平江县三阳乡南尧村片区（垂拱组、仙人组）历史遗留重金属废渣</w:t>
      </w:r>
      <w:r>
        <w:rPr>
          <w:rFonts w:hint="eastAsia"/>
          <w:highlight w:val="none"/>
          <w:lang w:val="en-US" w:eastAsia="zh-CN"/>
        </w:rPr>
        <w:t>整治项目初步设计</w:t>
      </w:r>
      <w:r>
        <w:rPr>
          <w:rFonts w:hint="default"/>
          <w:highlight w:val="none"/>
          <w:lang w:val="en-US" w:eastAsia="zh-CN"/>
        </w:rPr>
        <w:t>》</w:t>
      </w:r>
      <w:r>
        <w:rPr>
          <w:rFonts w:hint="eastAsia"/>
          <w:highlight w:val="none"/>
          <w:lang w:val="en-US" w:eastAsia="zh-CN"/>
        </w:rPr>
        <w:t>并通过了专家评审会。</w:t>
      </w:r>
    </w:p>
    <w:p w14:paraId="4493EFA0">
      <w:pPr>
        <w:rPr>
          <w:rFonts w:hint="default"/>
          <w:highlight w:val="yellow"/>
          <w:lang w:val="en-US" w:eastAsia="zh-CN"/>
        </w:rPr>
      </w:pPr>
      <w:r>
        <w:rPr>
          <w:rFonts w:hint="eastAsia"/>
          <w:highlight w:val="none"/>
          <w:u w:val="none" w:color="auto"/>
        </w:rPr>
        <w:t>根据《建设项目环</w:t>
      </w:r>
      <w:r>
        <w:rPr>
          <w:highlight w:val="none"/>
          <w:u w:val="none" w:color="auto"/>
        </w:rPr>
        <w:t>境保护管理条例》（国务院第682号令）、</w:t>
      </w:r>
      <w:r>
        <w:rPr>
          <w:rFonts w:hint="eastAsia"/>
          <w:highlight w:val="none"/>
          <w:u w:val="none" w:color="auto"/>
          <w:lang w:eastAsia="zh-CN"/>
        </w:rPr>
        <w:t>《</w:t>
      </w:r>
      <w:r>
        <w:rPr>
          <w:highlight w:val="none"/>
          <w:u w:val="none" w:color="auto"/>
        </w:rPr>
        <w:t>建设项目环境影响评价分类管理名录</w:t>
      </w:r>
      <w:r>
        <w:rPr>
          <w:rFonts w:hint="eastAsia"/>
          <w:highlight w:val="none"/>
          <w:u w:val="none" w:color="auto"/>
          <w:lang w:eastAsia="zh-CN"/>
        </w:rPr>
        <w:t>》</w:t>
      </w:r>
      <w:r>
        <w:rPr>
          <w:highlight w:val="none"/>
          <w:u w:val="none" w:color="auto"/>
        </w:rPr>
        <w:t>（</w:t>
      </w:r>
      <w:r>
        <w:rPr>
          <w:rFonts w:hint="eastAsia"/>
          <w:highlight w:val="none"/>
          <w:u w:val="none" w:color="auto"/>
        </w:rPr>
        <w:t>2021版，</w:t>
      </w:r>
      <w:r>
        <w:rPr>
          <w:highlight w:val="none"/>
          <w:u w:val="none" w:color="auto"/>
        </w:rPr>
        <w:t>环保部令第</w:t>
      </w:r>
      <w:r>
        <w:rPr>
          <w:rFonts w:hint="eastAsia"/>
          <w:highlight w:val="none"/>
          <w:u w:val="none" w:color="auto"/>
        </w:rPr>
        <w:t>16</w:t>
      </w:r>
      <w:r>
        <w:rPr>
          <w:highlight w:val="none"/>
          <w:u w:val="none" w:color="auto"/>
        </w:rPr>
        <w:t>号）等有关文件的规定，本项目属于</w:t>
      </w:r>
      <w:r>
        <w:rPr>
          <w:rFonts w:hint="eastAsia"/>
          <w:highlight w:val="none"/>
          <w:u w:val="none" w:color="auto"/>
        </w:rPr>
        <w:t>“四十七、生态保护和环境治理业”中的“103一般工业固体废物（含污水处理污泥）、建筑施工废弃物处置及综合利用”中的“一般工业固体废弃物（含污水处理污泥）采取填埋、焚烧（水泥窑协同处置的改造项目除外）方式的”</w:t>
      </w:r>
      <w:r>
        <w:rPr>
          <w:rFonts w:hint="default"/>
          <w:highlight w:val="none"/>
          <w:u w:val="none" w:color="auto"/>
        </w:rPr>
        <w:t>，</w:t>
      </w:r>
      <w:r>
        <w:rPr>
          <w:highlight w:val="none"/>
          <w:u w:val="none" w:color="auto"/>
        </w:rPr>
        <w:t>本项目</w:t>
      </w:r>
      <w:r>
        <w:rPr>
          <w:rFonts w:hint="eastAsia"/>
          <w:highlight w:val="none"/>
          <w:u w:val="none" w:color="auto"/>
          <w:lang w:val="en-US" w:eastAsia="zh-CN"/>
        </w:rPr>
        <w:t>需</w:t>
      </w:r>
      <w:r>
        <w:rPr>
          <w:highlight w:val="none"/>
          <w:u w:val="none" w:color="auto"/>
        </w:rPr>
        <w:t>编写环境影响报告书，阐明项目建设对周边环境的影响及污染防治措施的可靠性和稳定性，以确保社会、经济与环境同步的可持续发展的战略目标。为此，</w:t>
      </w:r>
      <w:r>
        <w:rPr>
          <w:rFonts w:hint="eastAsia"/>
          <w:highlight w:val="none"/>
          <w:u w:val="none" w:color="auto"/>
          <w:lang w:val="en-US" w:eastAsia="zh-CN"/>
        </w:rPr>
        <w:t>平江县三阳乡人民政府（以下简称“建设单位”）</w:t>
      </w:r>
      <w:r>
        <w:rPr>
          <w:highlight w:val="none"/>
          <w:u w:val="none" w:color="auto"/>
        </w:rPr>
        <w:t>委托</w:t>
      </w:r>
      <w:r>
        <w:rPr>
          <w:rFonts w:hint="eastAsia"/>
          <w:highlight w:val="none"/>
          <w:u w:val="none" w:color="auto"/>
          <w:lang w:val="en-US" w:eastAsia="zh-CN"/>
        </w:rPr>
        <w:t>长沙永宸环境科技有限公司</w:t>
      </w:r>
      <w:r>
        <w:rPr>
          <w:rFonts w:hint="eastAsia"/>
          <w:highlight w:val="none"/>
          <w:u w:val="none" w:color="auto"/>
          <w:lang w:eastAsia="zh-CN"/>
        </w:rPr>
        <w:t>（</w:t>
      </w:r>
      <w:r>
        <w:rPr>
          <w:rFonts w:hint="eastAsia"/>
          <w:highlight w:val="none"/>
          <w:u w:val="none" w:color="auto"/>
          <w:lang w:val="en-US" w:eastAsia="zh-CN"/>
        </w:rPr>
        <w:t>以下简称“</w:t>
      </w:r>
      <w:r>
        <w:rPr>
          <w:rFonts w:hint="eastAsia"/>
          <w:highlight w:val="none"/>
          <w:u w:val="none" w:color="auto"/>
        </w:rPr>
        <w:t>我公司</w:t>
      </w:r>
      <w:r>
        <w:rPr>
          <w:rFonts w:hint="eastAsia"/>
          <w:highlight w:val="none"/>
          <w:u w:val="none" w:color="auto"/>
          <w:lang w:val="en-US" w:eastAsia="zh-CN"/>
        </w:rPr>
        <w:t>”</w:t>
      </w:r>
      <w:r>
        <w:rPr>
          <w:rFonts w:hint="eastAsia"/>
          <w:highlight w:val="none"/>
          <w:u w:val="none" w:color="auto"/>
          <w:lang w:eastAsia="zh-CN"/>
        </w:rPr>
        <w:t>）</w:t>
      </w:r>
      <w:r>
        <w:rPr>
          <w:highlight w:val="none"/>
          <w:u w:val="none" w:color="auto"/>
        </w:rPr>
        <w:t>开展本项目的环境影响评价工作。接受任务委托后，</w:t>
      </w:r>
      <w:r>
        <w:rPr>
          <w:rFonts w:hint="eastAsia"/>
          <w:highlight w:val="none"/>
          <w:u w:val="none" w:color="auto"/>
          <w:lang w:val="en-US" w:eastAsia="zh-CN"/>
        </w:rPr>
        <w:t>我公司</w:t>
      </w:r>
      <w:r>
        <w:rPr>
          <w:highlight w:val="none"/>
          <w:u w:val="none" w:color="auto"/>
        </w:rPr>
        <w:t>的有关成员在熟悉资料、踏勘拟建地现场的基础上，根据本项目的特点和项目地区环境特征，按照环评技术导则要求，开展环境影响评价工作，编制了该项目的环境影响报告书，报请审查。</w:t>
      </w:r>
    </w:p>
    <w:p w14:paraId="4C6EC1AB">
      <w:pPr>
        <w:pStyle w:val="8"/>
        <w:bidi w:val="0"/>
        <w:rPr>
          <w:rFonts w:hint="eastAsia"/>
          <w:highlight w:val="none"/>
          <w:lang w:val="en-US" w:eastAsia="zh-CN"/>
        </w:rPr>
      </w:pPr>
      <w:bookmarkStart w:id="2" w:name="_Toc28918"/>
      <w:r>
        <w:rPr>
          <w:rFonts w:hint="eastAsia"/>
          <w:highlight w:val="none"/>
          <w:lang w:val="en-US" w:eastAsia="zh-CN"/>
        </w:rPr>
        <w:t>环境影响评价工作过程</w:t>
      </w:r>
      <w:bookmarkEnd w:id="2"/>
    </w:p>
    <w:p w14:paraId="5275DC3B">
      <w:pPr>
        <w:bidi w:val="0"/>
        <w:rPr>
          <w:rFonts w:hint="default"/>
          <w:highlight w:val="none"/>
          <w:lang w:eastAsia="zh-CN"/>
        </w:rPr>
      </w:pPr>
      <w:r>
        <w:rPr>
          <w:rFonts w:hint="default"/>
          <w:highlight w:val="none"/>
          <w:lang w:eastAsia="zh-CN"/>
        </w:rPr>
        <w:t>我公司接受建设单位委托后，在项目所在地开展了现场踏勘、调研，向建设单位收集了项目所采用的工艺技术资料及污染防治措施技术参数等。对照国家和地方有关环境保护法律法规、标准、政策、规范及规划，分析了开展环评的必要性，进而核实了项目的废气、废水、固体废物等污染物的产生和排放情况，以及各项环保治理措施的可达性。在此基础上，编制了项目的环境影响报告书，为项目建设提供环保技术支持，为</w:t>
      </w:r>
      <w:r>
        <w:rPr>
          <w:rFonts w:hint="eastAsia"/>
          <w:highlight w:val="none"/>
          <w:lang w:val="en-US" w:eastAsia="zh-CN"/>
        </w:rPr>
        <w:t>生态环境</w:t>
      </w:r>
      <w:r>
        <w:rPr>
          <w:rFonts w:hint="default"/>
          <w:highlight w:val="none"/>
          <w:lang w:eastAsia="zh-CN"/>
        </w:rPr>
        <w:t>主管部门提供审批依据。</w:t>
      </w:r>
    </w:p>
    <w:p w14:paraId="79F083AD">
      <w:pPr>
        <w:bidi w:val="0"/>
        <w:rPr>
          <w:rFonts w:hint="default"/>
          <w:highlight w:val="none"/>
          <w:u w:val="none" w:color="auto"/>
          <w:lang w:eastAsia="zh-CN"/>
        </w:rPr>
      </w:pPr>
      <w:r>
        <w:rPr>
          <w:rFonts w:hint="default"/>
          <w:highlight w:val="none"/>
          <w:u w:val="none" w:color="auto"/>
          <w:lang w:val="en-US" w:eastAsia="zh-CN"/>
        </w:rPr>
        <w:t xml:space="preserve">根据《建设项目环境影响评价技术导则 </w:t>
      </w:r>
      <w:r>
        <w:rPr>
          <w:rFonts w:hint="eastAsia"/>
          <w:highlight w:val="none"/>
          <w:u w:val="none" w:color="auto"/>
          <w:lang w:val="en-US" w:eastAsia="zh-CN"/>
        </w:rPr>
        <w:t xml:space="preserve"> </w:t>
      </w:r>
      <w:r>
        <w:rPr>
          <w:rFonts w:hint="default"/>
          <w:highlight w:val="none"/>
          <w:u w:val="none" w:color="auto"/>
          <w:lang w:val="en-US" w:eastAsia="zh-CN"/>
        </w:rPr>
        <w:t>总纲》（HJ2.1-2016）</w:t>
      </w:r>
      <w:r>
        <w:rPr>
          <w:rFonts w:hint="eastAsia"/>
          <w:highlight w:val="none"/>
          <w:u w:val="none" w:color="auto"/>
          <w:lang w:val="en-US" w:eastAsia="zh-CN"/>
        </w:rPr>
        <w:t>，</w:t>
      </w:r>
      <w:r>
        <w:rPr>
          <w:rFonts w:hint="default"/>
          <w:highlight w:val="none"/>
          <w:u w:val="none" w:color="auto"/>
          <w:lang w:eastAsia="zh-CN"/>
        </w:rPr>
        <w:t>本次环境影响评价工作分为三个阶段：</w:t>
      </w:r>
    </w:p>
    <w:p w14:paraId="1762DEC3">
      <w:pPr>
        <w:bidi w:val="0"/>
        <w:rPr>
          <w:rFonts w:hint="default"/>
          <w:highlight w:val="none"/>
          <w:u w:val="none" w:color="auto"/>
          <w:lang w:eastAsia="zh-CN"/>
        </w:rPr>
      </w:pPr>
      <w:r>
        <w:rPr>
          <w:rFonts w:hint="default"/>
          <w:highlight w:val="none"/>
          <w:u w:val="none" w:color="auto"/>
          <w:lang w:eastAsia="zh-CN"/>
        </w:rPr>
        <w:t>第一阶段的主要工作为前期准备、调研。具体工作内容是研究国家和地方有关环境保护的法律法规、政策、标准及相关规划，并在此基础上进行环境影响因素的识别与评价因子筛选，明确评价工作的重点和环境保护目标，确定大气、水、噪声等专项评价的工作等级、评价范围和评价基础，制定本次评价的工作方案。</w:t>
      </w:r>
    </w:p>
    <w:p w14:paraId="4720012E">
      <w:pPr>
        <w:bidi w:val="0"/>
        <w:rPr>
          <w:rFonts w:hint="default"/>
          <w:highlight w:val="none"/>
          <w:u w:val="none" w:color="auto"/>
          <w:lang w:eastAsia="zh-CN"/>
        </w:rPr>
      </w:pPr>
      <w:r>
        <w:rPr>
          <w:rFonts w:hint="default"/>
          <w:highlight w:val="none"/>
          <w:u w:val="none" w:color="auto"/>
          <w:lang w:eastAsia="zh-CN"/>
        </w:rPr>
        <w:t>第二阶段的工作是根据评价工作方案完成评价范围内的环境状况的调查、监测和建设项目的工程分析，在此基础上对各环境要素进行环境影响预测与评价。</w:t>
      </w:r>
    </w:p>
    <w:p w14:paraId="45C862B8">
      <w:pPr>
        <w:bidi w:val="0"/>
        <w:rPr>
          <w:rFonts w:hint="default"/>
          <w:highlight w:val="none"/>
          <w:u w:val="none" w:color="auto"/>
          <w:lang w:eastAsia="zh-CN"/>
        </w:rPr>
      </w:pPr>
      <w:r>
        <w:rPr>
          <w:rFonts w:hint="default"/>
          <w:highlight w:val="none"/>
          <w:u w:val="none" w:color="auto"/>
          <w:lang w:eastAsia="zh-CN"/>
        </w:rPr>
        <w:t>第三阶段的工作是提出环境保护措施，进行技术经济论证，给出建设项目环境可行性的评价结论，最终完成环境影响报告书的编制。</w:t>
      </w:r>
    </w:p>
    <w:p w14:paraId="343862E1">
      <w:pPr>
        <w:bidi w:val="0"/>
        <w:rPr>
          <w:rFonts w:hint="default"/>
          <w:highlight w:val="none"/>
          <w:u w:val="none" w:color="auto"/>
          <w:lang w:eastAsia="zh-CN"/>
        </w:rPr>
      </w:pPr>
      <w:r>
        <w:rPr>
          <w:rFonts w:hint="default"/>
          <w:highlight w:val="none"/>
          <w:u w:val="none" w:color="auto"/>
          <w:lang w:eastAsia="zh-CN"/>
        </w:rPr>
        <w:t>评价过程见评价工作程序图</w:t>
      </w:r>
      <w:r>
        <w:rPr>
          <w:rFonts w:hint="eastAsia"/>
          <w:highlight w:val="none"/>
          <w:u w:val="none" w:color="auto"/>
          <w:lang w:val="en-US" w:eastAsia="zh-CN"/>
        </w:rPr>
        <w:t>1.2-1</w:t>
      </w:r>
      <w:r>
        <w:rPr>
          <w:rFonts w:hint="default"/>
          <w:highlight w:val="none"/>
          <w:u w:val="none" w:color="auto"/>
          <w:lang w:eastAsia="zh-CN"/>
        </w:rPr>
        <w:t>。</w:t>
      </w:r>
    </w:p>
    <w:p w14:paraId="21608EC7">
      <w:pPr>
        <w:bidi w:val="0"/>
        <w:ind w:left="0" w:leftChars="0" w:firstLine="0" w:firstLineChars="0"/>
        <w:jc w:val="center"/>
        <w:rPr>
          <w:highlight w:val="none"/>
          <w:u w:val="none" w:color="auto"/>
        </w:rPr>
      </w:pPr>
      <w:r>
        <w:rPr>
          <w:highlight w:val="none"/>
          <w:u w:val="none" w:color="auto"/>
        </w:rPr>
        <w:drawing>
          <wp:inline distT="0" distB="0" distL="114300" distR="114300">
            <wp:extent cx="4968240" cy="5939790"/>
            <wp:effectExtent l="0" t="0" r="3810" b="3810"/>
            <wp:docPr id="1" name="图片 13"/>
            <wp:cNvGraphicFramePr/>
            <a:graphic xmlns:a="http://schemas.openxmlformats.org/drawingml/2006/main">
              <a:graphicData uri="http://schemas.openxmlformats.org/drawingml/2006/picture">
                <pic:pic xmlns:pic="http://schemas.openxmlformats.org/drawingml/2006/picture">
                  <pic:nvPicPr>
                    <pic:cNvPr id="1" name="图片 13"/>
                    <pic:cNvPicPr/>
                  </pic:nvPicPr>
                  <pic:blipFill>
                    <a:blip r:embed="rId9"/>
                    <a:stretch>
                      <a:fillRect/>
                    </a:stretch>
                  </pic:blipFill>
                  <pic:spPr>
                    <a:xfrm>
                      <a:off x="0" y="0"/>
                      <a:ext cx="4968240" cy="5939790"/>
                    </a:xfrm>
                    <a:prstGeom prst="rect">
                      <a:avLst/>
                    </a:prstGeom>
                    <a:noFill/>
                    <a:ln>
                      <a:noFill/>
                    </a:ln>
                  </pic:spPr>
                </pic:pic>
              </a:graphicData>
            </a:graphic>
          </wp:inline>
        </w:drawing>
      </w:r>
    </w:p>
    <w:p w14:paraId="7199B4C3">
      <w:pPr>
        <w:ind w:left="0" w:leftChars="0" w:firstLine="0" w:firstLineChars="0"/>
        <w:jc w:val="center"/>
        <w:rPr>
          <w:rFonts w:hint="eastAsia"/>
          <w:highlight w:val="none"/>
          <w:lang w:val="en-US" w:eastAsia="zh-CN"/>
        </w:rPr>
      </w:pPr>
      <w:r>
        <w:rPr>
          <w:rFonts w:hint="default"/>
          <w:b/>
          <w:bCs/>
          <w:sz w:val="21"/>
          <w:szCs w:val="21"/>
          <w:highlight w:val="none"/>
          <w:u w:val="none" w:color="auto"/>
          <w:lang w:eastAsia="zh-CN"/>
        </w:rPr>
        <w:t>图1.</w:t>
      </w:r>
      <w:r>
        <w:rPr>
          <w:rFonts w:hint="eastAsia"/>
          <w:b/>
          <w:bCs/>
          <w:sz w:val="21"/>
          <w:szCs w:val="21"/>
          <w:highlight w:val="none"/>
          <w:u w:val="none" w:color="auto"/>
          <w:lang w:val="en-US" w:eastAsia="zh-CN"/>
        </w:rPr>
        <w:t>2</w:t>
      </w:r>
      <w:r>
        <w:rPr>
          <w:rFonts w:hint="default"/>
          <w:b/>
          <w:bCs/>
          <w:sz w:val="21"/>
          <w:szCs w:val="21"/>
          <w:highlight w:val="none"/>
          <w:u w:val="none" w:color="auto"/>
          <w:lang w:eastAsia="zh-CN"/>
        </w:rPr>
        <w:t>-</w:t>
      </w:r>
      <w:r>
        <w:rPr>
          <w:rFonts w:hint="eastAsia"/>
          <w:b/>
          <w:bCs/>
          <w:sz w:val="21"/>
          <w:szCs w:val="21"/>
          <w:highlight w:val="none"/>
          <w:u w:val="none" w:color="auto"/>
          <w:lang w:val="en-US" w:eastAsia="zh-CN"/>
        </w:rPr>
        <w:t xml:space="preserve">1  </w:t>
      </w:r>
      <w:r>
        <w:rPr>
          <w:rFonts w:hint="default"/>
          <w:b/>
          <w:bCs/>
          <w:sz w:val="21"/>
          <w:szCs w:val="21"/>
          <w:highlight w:val="none"/>
          <w:u w:val="none" w:color="auto"/>
          <w:lang w:eastAsia="zh-CN"/>
        </w:rPr>
        <w:t>环境影响评价工作程序</w:t>
      </w:r>
    </w:p>
    <w:p w14:paraId="3243759F">
      <w:pPr>
        <w:pStyle w:val="8"/>
        <w:bidi w:val="0"/>
        <w:rPr>
          <w:rFonts w:hint="eastAsia"/>
          <w:highlight w:val="none"/>
          <w:lang w:val="en-US" w:eastAsia="zh-CN"/>
        </w:rPr>
      </w:pPr>
      <w:bookmarkStart w:id="3" w:name="_Toc4175"/>
      <w:r>
        <w:rPr>
          <w:rFonts w:hint="eastAsia"/>
          <w:highlight w:val="none"/>
          <w:lang w:val="en-US" w:eastAsia="zh-CN"/>
        </w:rPr>
        <w:t>项目建设的必要性</w:t>
      </w:r>
      <w:bookmarkEnd w:id="3"/>
    </w:p>
    <w:p w14:paraId="16EA112E">
      <w:pPr>
        <w:bidi w:val="0"/>
        <w:rPr>
          <w:rFonts w:hint="eastAsia"/>
          <w:b/>
          <w:bCs/>
          <w:lang w:val="en-US" w:eastAsia="zh-CN"/>
        </w:rPr>
      </w:pPr>
      <w:r>
        <w:rPr>
          <w:rFonts w:hint="eastAsia"/>
          <w:b/>
          <w:bCs/>
          <w:lang w:val="en-US" w:eastAsia="zh-CN"/>
        </w:rPr>
        <w:t>（1）解决历史遗留重金属污染问题、维护生态环境的需要</w:t>
      </w:r>
    </w:p>
    <w:p w14:paraId="74264314">
      <w:pPr>
        <w:rPr>
          <w:rFonts w:hint="eastAsia"/>
          <w:highlight w:val="none"/>
          <w:lang w:val="en-US" w:eastAsia="zh-CN"/>
        </w:rPr>
      </w:pPr>
      <w:r>
        <w:rPr>
          <w:rFonts w:hint="eastAsia"/>
          <w:highlight w:val="none"/>
          <w:lang w:val="en-US" w:eastAsia="zh-CN"/>
        </w:rPr>
        <w:t>根据《平江县三阳乡南尧村片区（垂拱组、仙人组）历史遗留重金属废渣污染状况调查报告》固废检测数据结论得出，本项目南尧村2#废渣堆I区、</w:t>
      </w:r>
      <w:r>
        <w:rPr>
          <w:rFonts w:hint="default" w:ascii="Times New Roman" w:hAnsi="Times New Roman" w:cs="Times New Roman"/>
          <w:highlight w:val="none"/>
          <w:lang w:val="en-US" w:eastAsia="zh-CN"/>
        </w:rPr>
        <w:t>Ⅱ</w:t>
      </w:r>
      <w:r>
        <w:rPr>
          <w:rFonts w:hint="eastAsia"/>
          <w:highlight w:val="none"/>
          <w:lang w:val="en-US" w:eastAsia="zh-CN"/>
        </w:rPr>
        <w:t>区所在范围内废渣为第I类一般工业固体废物，南尧村1#废渣堆及南尧村2#废渣堆其他区域范围内废渣为第</w:t>
      </w:r>
      <w:r>
        <w:rPr>
          <w:rFonts w:hint="default" w:ascii="Times New Roman" w:hAnsi="Times New Roman" w:cs="Times New Roman"/>
          <w:highlight w:val="none"/>
          <w:lang w:val="en-US" w:eastAsia="zh-CN"/>
        </w:rPr>
        <w:t>Ⅱ</w:t>
      </w:r>
      <w:r>
        <w:rPr>
          <w:rFonts w:hint="eastAsia"/>
          <w:highlight w:val="none"/>
          <w:lang w:val="en-US" w:eastAsia="zh-CN"/>
        </w:rPr>
        <w:t>类一般工业固体废物。</w:t>
      </w:r>
    </w:p>
    <w:p w14:paraId="03C7E061">
      <w:pPr>
        <w:rPr>
          <w:rFonts w:hint="eastAsia"/>
          <w:highlight w:val="none"/>
          <w:lang w:val="en-US" w:eastAsia="zh-CN"/>
        </w:rPr>
      </w:pPr>
      <w:r>
        <w:rPr>
          <w:rFonts w:hint="eastAsia"/>
          <w:highlight w:val="none"/>
          <w:lang w:val="en-US" w:eastAsia="zh-CN"/>
        </w:rPr>
        <w:t>平江县三阳乡南尧村片区（垂拱组、仙人组）历史遗留重金属废渣占压大片林地，由于在开采时未采取任何环保及水土保持措施，导致区域内植被遭到严重破坏。矿区的滥采乱挖加剧了水土流失，每逢暴雨季节，遗留废渣中的重金属污染随雨水进入到周边环境。</w:t>
      </w:r>
    </w:p>
    <w:p w14:paraId="54694F9E">
      <w:pPr>
        <w:rPr>
          <w:rFonts w:hint="default"/>
          <w:highlight w:val="none"/>
          <w:lang w:val="en-US" w:eastAsia="zh-CN"/>
        </w:rPr>
      </w:pPr>
      <w:r>
        <w:rPr>
          <w:rFonts w:hint="eastAsia"/>
          <w:highlight w:val="none"/>
          <w:lang w:val="en-US" w:eastAsia="zh-CN"/>
        </w:rPr>
        <w:t>本项目的实施，可以防止南尧村片区（垂拱组、仙人组）废渣继续随降雨淋溶向下游转移并释放重金属，有效控制污染源的扩散，最大限度减少历史遗留废渣对地表水及下游农田的影响，并因此减少历史遗留废渣对当地居民生活环境的影响，是“资源节约、环境友好”社会建立的基础，也是实现社会可持续发展的需要，具有显著的社会效益和环境效益。</w:t>
      </w:r>
    </w:p>
    <w:p w14:paraId="3A642854">
      <w:pPr>
        <w:rPr>
          <w:rFonts w:hint="default"/>
          <w:b/>
          <w:bCs/>
          <w:highlight w:val="none"/>
          <w:lang w:val="en-US" w:eastAsia="zh-CN"/>
        </w:rPr>
      </w:pPr>
      <w:r>
        <w:rPr>
          <w:rFonts w:hint="eastAsia"/>
          <w:b/>
          <w:bCs/>
          <w:highlight w:val="none"/>
          <w:lang w:val="en-US" w:eastAsia="zh-CN"/>
        </w:rPr>
        <w:t>（2）缓和民众矛盾、促进社会和谐发展的需要</w:t>
      </w:r>
    </w:p>
    <w:p w14:paraId="4A1016EF">
      <w:pPr>
        <w:rPr>
          <w:rFonts w:hint="default"/>
          <w:highlight w:val="none"/>
          <w:lang w:val="en-US" w:eastAsia="zh-CN"/>
        </w:rPr>
      </w:pPr>
      <w:r>
        <w:rPr>
          <w:rFonts w:hint="default"/>
          <w:highlight w:val="none"/>
          <w:lang w:val="en-US" w:eastAsia="zh-CN"/>
        </w:rPr>
        <w:t>项目区内砷等重金属污染问题突出，对村民饮用水和生活造成很大影响，同时威胁到下游农田种植农产品的安全。废渣堆范围内主要的地表水系为地块内山涧小溪，附近居民区多年受废渣污染的影响，当地村民请愿治理的呼声非常强烈。解决遗留废渣污染问题，能消除当地重金属污染隐患，控制和防止污染扩散，避免造成更大范围及更深层次的土壤污染，以及对地表水的污染，安抚周边民众的担忧情绪，缓和民众矛盾，为社会持续稳定和谐发展起到积极推动作用。</w:t>
      </w:r>
    </w:p>
    <w:p w14:paraId="2F6738F3">
      <w:pPr>
        <w:rPr>
          <w:rFonts w:hint="default"/>
          <w:b/>
          <w:bCs/>
          <w:highlight w:val="none"/>
          <w:lang w:val="en-US" w:eastAsia="zh-CN"/>
        </w:rPr>
      </w:pPr>
      <w:r>
        <w:rPr>
          <w:rFonts w:hint="eastAsia"/>
          <w:b/>
          <w:bCs/>
          <w:highlight w:val="none"/>
          <w:lang w:val="en-US" w:eastAsia="zh-CN"/>
        </w:rPr>
        <w:t>（3）改善生态环境、落实平江县建设规划的需要</w:t>
      </w:r>
    </w:p>
    <w:p w14:paraId="03B36769">
      <w:pPr>
        <w:rPr>
          <w:rFonts w:hint="eastAsia"/>
          <w:highlight w:val="none"/>
          <w:lang w:val="en-US" w:eastAsia="zh-CN"/>
        </w:rPr>
      </w:pPr>
      <w:r>
        <w:rPr>
          <w:rFonts w:hint="eastAsia"/>
          <w:highlight w:val="none"/>
          <w:lang w:val="en-US" w:eastAsia="zh-CN"/>
        </w:rPr>
        <w:t>根据平江县“十四五”规划着力构建以“重金属治理”为核心的“绿色发展”新格局目标要求，推进平江县土壤污染治理及生态修复工程，加强废弃矿山生态修复治理，持续推进乡镇矿区植被修复治理工程。解决平江县三阳乡南尧村片区（垂拱组、仙人组）的砷等重金属污染，对污染源进行一系列整治措施，防止区域生态环境进一步恶化，能有效解决因遗留废渣污染而造成的生态破坏，恢复土地生态功能。为恢复“绿水青山”打下坚实的基础。</w:t>
      </w:r>
    </w:p>
    <w:p w14:paraId="32F597BC">
      <w:pPr>
        <w:rPr>
          <w:rFonts w:hint="default"/>
          <w:b/>
          <w:bCs/>
          <w:highlight w:val="none"/>
          <w:lang w:val="en-US" w:eastAsia="zh-CN"/>
        </w:rPr>
      </w:pPr>
      <w:r>
        <w:rPr>
          <w:rFonts w:hint="eastAsia"/>
          <w:b/>
          <w:bCs/>
          <w:highlight w:val="none"/>
          <w:lang w:val="en-US" w:eastAsia="zh-CN"/>
        </w:rPr>
        <w:t>（4）保护下游农田土壤环境及农产品安全的需要</w:t>
      </w:r>
    </w:p>
    <w:p w14:paraId="70713CEB">
      <w:pPr>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根据《平江县三阳乡南尧村片区（垂拱组、仙人组）历史遗留重金属废渣污染状况调查报告》区域地表水检测结果表明，南尧村1</w:t>
      </w:r>
      <w:r>
        <w:rPr>
          <w:rFonts w:hint="eastAsia" w:cs="Times New Roman"/>
          <w:highlight w:val="none"/>
          <w:lang w:val="en-US" w:eastAsia="zh-CN"/>
        </w:rPr>
        <w:t>#</w:t>
      </w:r>
      <w:r>
        <w:rPr>
          <w:rFonts w:hint="default" w:ascii="Times New Roman" w:hAnsi="Times New Roman" w:cs="Times New Roman"/>
          <w:highlight w:val="none"/>
          <w:lang w:val="en-US" w:eastAsia="zh-CN"/>
        </w:rPr>
        <w:t>（鲁沅洞）废渣</w:t>
      </w:r>
      <w:r>
        <w:rPr>
          <w:rFonts w:hint="eastAsia" w:cs="Times New Roman"/>
          <w:highlight w:val="none"/>
          <w:lang w:val="en-US" w:eastAsia="zh-CN"/>
        </w:rPr>
        <w:t>堆</w:t>
      </w:r>
      <w:r>
        <w:rPr>
          <w:rFonts w:hint="default" w:ascii="Times New Roman" w:hAnsi="Times New Roman" w:cs="Times New Roman"/>
          <w:highlight w:val="none"/>
          <w:lang w:val="en-US" w:eastAsia="zh-CN"/>
        </w:rPr>
        <w:t>无名小溪、南尧村1</w:t>
      </w:r>
      <w:r>
        <w:rPr>
          <w:rFonts w:hint="eastAsia" w:cs="Times New Roman"/>
          <w:highlight w:val="none"/>
          <w:lang w:val="en-US" w:eastAsia="zh-CN"/>
        </w:rPr>
        <w:t>#</w:t>
      </w:r>
      <w:r>
        <w:rPr>
          <w:rFonts w:hint="default" w:ascii="Times New Roman" w:hAnsi="Times New Roman" w:cs="Times New Roman"/>
          <w:highlight w:val="none"/>
          <w:lang w:val="en-US" w:eastAsia="zh-CN"/>
        </w:rPr>
        <w:t>（鲁沅洞）废渣</w:t>
      </w:r>
      <w:r>
        <w:rPr>
          <w:rFonts w:hint="eastAsia" w:cs="Times New Roman"/>
          <w:highlight w:val="none"/>
          <w:lang w:val="en-US" w:eastAsia="zh-CN"/>
        </w:rPr>
        <w:t>堆</w:t>
      </w:r>
      <w:r>
        <w:rPr>
          <w:rFonts w:hint="default" w:ascii="Times New Roman" w:hAnsi="Times New Roman" w:cs="Times New Roman"/>
          <w:highlight w:val="none"/>
          <w:lang w:val="en-US" w:eastAsia="zh-CN"/>
        </w:rPr>
        <w:t>旁水塘中砷的含量略高于地表水Ⅲ级，南尧村2</w:t>
      </w:r>
      <w:r>
        <w:rPr>
          <w:rFonts w:hint="eastAsia" w:cs="Times New Roman"/>
          <w:highlight w:val="none"/>
          <w:lang w:val="en-US" w:eastAsia="zh-CN"/>
        </w:rPr>
        <w:t>#</w:t>
      </w:r>
      <w:r>
        <w:rPr>
          <w:rFonts w:hint="default" w:ascii="Times New Roman" w:hAnsi="Times New Roman" w:cs="Times New Roman"/>
          <w:highlight w:val="none"/>
          <w:lang w:val="en-US" w:eastAsia="zh-CN"/>
        </w:rPr>
        <w:t>废渣</w:t>
      </w:r>
      <w:r>
        <w:rPr>
          <w:rFonts w:hint="eastAsia" w:cs="Times New Roman"/>
          <w:highlight w:val="none"/>
          <w:lang w:val="en-US" w:eastAsia="zh-CN"/>
        </w:rPr>
        <w:t>堆</w:t>
      </w:r>
      <w:r>
        <w:rPr>
          <w:rFonts w:hint="default" w:ascii="Times New Roman" w:hAnsi="Times New Roman" w:cs="Times New Roman"/>
          <w:highlight w:val="none"/>
          <w:lang w:val="en-US" w:eastAsia="zh-CN"/>
        </w:rPr>
        <w:t>无名小溪水质检测指标浓度均符合《地表水质量标准》（GB3838-2002）Ⅲ级，废渣堆在常年雨水冲刷下，产生的重金属浸出液对流经废渣堆内地表径流水质有影响。</w:t>
      </w:r>
    </w:p>
    <w:p w14:paraId="64B18649">
      <w:pPr>
        <w:rPr>
          <w:rFonts w:hint="eastAsia"/>
          <w:highlight w:val="none"/>
          <w:lang w:val="en-US" w:eastAsia="zh-CN"/>
        </w:rPr>
      </w:pPr>
      <w:r>
        <w:rPr>
          <w:rFonts w:hint="eastAsia"/>
          <w:highlight w:val="none"/>
          <w:lang w:val="en-US" w:eastAsia="zh-CN"/>
        </w:rPr>
        <w:t>“民以食为天，食以土为本”。土壤是农业生产最基本的生产资料，它不仅为作物提供适宜的生存环境，而且还是作物各种必需营养元素的主要来源。本项目区内砷等重金属污染土壤污染对人类的危害性极大，它不仅直接导致粮食减产，而且通过该区域内食用生长在农田土地上的植物及其产品会影响人体健康。我省的“十四五”环境保护规划中，特别强调要加大土壤污染治理和修复力度。</w:t>
      </w:r>
    </w:p>
    <w:p w14:paraId="4D1A4D1F">
      <w:pPr>
        <w:pStyle w:val="8"/>
        <w:bidi w:val="0"/>
        <w:rPr>
          <w:rFonts w:hint="eastAsia"/>
          <w:highlight w:val="none"/>
          <w:lang w:val="en-US" w:eastAsia="zh-CN"/>
        </w:rPr>
      </w:pPr>
      <w:bookmarkStart w:id="4" w:name="_Toc21816"/>
      <w:r>
        <w:rPr>
          <w:rFonts w:hint="eastAsia"/>
          <w:highlight w:val="none"/>
          <w:lang w:val="en-US" w:eastAsia="zh-CN"/>
        </w:rPr>
        <w:t>分析判定相关情况</w:t>
      </w:r>
      <w:bookmarkEnd w:id="4"/>
    </w:p>
    <w:p w14:paraId="56C7E3FB">
      <w:pPr>
        <w:pStyle w:val="9"/>
        <w:numPr>
          <w:ilvl w:val="2"/>
          <w:numId w:val="2"/>
        </w:numPr>
        <w:bidi w:val="0"/>
        <w:ind w:left="709" w:leftChars="0" w:hanging="709" w:firstLineChars="0"/>
        <w:rPr>
          <w:rFonts w:hint="default"/>
          <w:highlight w:val="none"/>
          <w:lang w:val="en-US" w:eastAsia="zh-CN"/>
        </w:rPr>
      </w:pPr>
      <w:r>
        <w:rPr>
          <w:rFonts w:hint="eastAsia"/>
          <w:highlight w:val="none"/>
          <w:lang w:val="en-US" w:eastAsia="zh-CN"/>
        </w:rPr>
        <w:t>产业政策相符性分析</w:t>
      </w:r>
    </w:p>
    <w:p w14:paraId="65765A92">
      <w:pPr>
        <w:rPr>
          <w:rFonts w:hint="eastAsia"/>
          <w:highlight w:val="none"/>
          <w:lang w:val="en-US" w:eastAsia="zh-CN"/>
        </w:rPr>
      </w:pPr>
      <w:r>
        <w:rPr>
          <w:rFonts w:hint="eastAsia"/>
          <w:highlight w:val="none"/>
          <w:lang w:val="en-US" w:eastAsia="zh-CN"/>
        </w:rPr>
        <w:t>本项目为环保治理类项目，主要目的是通过对平江县三阳乡南尧村片区（垂拱组、仙人组）历史遗留重金属废渣进行安全处置和生态恢复，以减少重金属污染物对本区域周边环境的污染，改善生态环境，本项目属于《产业结构调整指导目录（2024年本）》中的鼓励类项目，即鼓励类中第四十二项“环境保护与资源节约综合利用”的第2项“生态环境修复和资源利用”。</w:t>
      </w:r>
    </w:p>
    <w:p w14:paraId="5E7776F9">
      <w:pPr>
        <w:rPr>
          <w:rFonts w:hint="eastAsia"/>
          <w:highlight w:val="none"/>
          <w:lang w:val="en-US" w:eastAsia="zh-CN"/>
        </w:rPr>
      </w:pPr>
      <w:r>
        <w:rPr>
          <w:rFonts w:hint="eastAsia"/>
          <w:highlight w:val="none"/>
          <w:lang w:val="en-US" w:eastAsia="zh-CN"/>
        </w:rPr>
        <w:t>综上，拟建项目的建设符合国家现行产业政策要求。</w:t>
      </w:r>
    </w:p>
    <w:p w14:paraId="759CCA4B">
      <w:pPr>
        <w:pStyle w:val="9"/>
        <w:numPr>
          <w:ilvl w:val="2"/>
          <w:numId w:val="2"/>
        </w:numPr>
        <w:bidi w:val="0"/>
        <w:ind w:left="709" w:leftChars="0" w:hanging="709" w:firstLineChars="0"/>
        <w:rPr>
          <w:rFonts w:hint="eastAsia"/>
          <w:highlight w:val="none"/>
          <w:lang w:val="en-US" w:eastAsia="zh-CN"/>
        </w:rPr>
      </w:pPr>
      <w:r>
        <w:rPr>
          <w:rFonts w:hint="eastAsia"/>
          <w:highlight w:val="none"/>
          <w:lang w:val="en-US" w:eastAsia="zh-CN"/>
        </w:rPr>
        <w:t>相关法律法规相符性分析</w:t>
      </w:r>
    </w:p>
    <w:p w14:paraId="7482147F">
      <w:pPr>
        <w:pStyle w:val="10"/>
        <w:numPr>
          <w:ilvl w:val="3"/>
          <w:numId w:val="2"/>
        </w:numPr>
        <w:bidi w:val="0"/>
        <w:ind w:left="0" w:leftChars="0" w:firstLine="0" w:firstLineChars="0"/>
        <w:rPr>
          <w:rFonts w:hint="eastAsia"/>
          <w:highlight w:val="none"/>
          <w:lang w:val="en-US" w:eastAsia="zh-CN"/>
        </w:rPr>
      </w:pPr>
      <w:r>
        <w:rPr>
          <w:rFonts w:hint="eastAsia"/>
          <w:highlight w:val="none"/>
          <w:lang w:val="en-US" w:eastAsia="zh-CN"/>
        </w:rPr>
        <w:t>与《中华人民共和国森林法》（2019年12月18日修订）符合性分析</w:t>
      </w:r>
    </w:p>
    <w:p w14:paraId="03D8B127">
      <w:pPr>
        <w:bidi w:val="0"/>
        <w:rPr>
          <w:rFonts w:hint="eastAsia"/>
          <w:highlight w:val="none"/>
          <w:lang w:val="en-US" w:eastAsia="zh-CN"/>
        </w:rPr>
      </w:pPr>
      <w:r>
        <w:rPr>
          <w:rFonts w:hint="eastAsia"/>
          <w:highlight w:val="none"/>
          <w:lang w:val="en-US" w:eastAsia="zh-CN"/>
        </w:rPr>
        <w:t>拟建项目与《中华人民共和国森林法》（2019年12月18日修订）的符合性见下表所示。</w:t>
      </w:r>
    </w:p>
    <w:p w14:paraId="6EBA688C">
      <w:pPr>
        <w:bidi w:val="0"/>
        <w:ind w:left="0" w:leftChars="0" w:firstLine="0" w:firstLineChars="0"/>
        <w:jc w:val="center"/>
        <w:rPr>
          <w:rFonts w:hint="default"/>
          <w:b/>
          <w:bCs/>
          <w:sz w:val="21"/>
          <w:szCs w:val="21"/>
          <w:highlight w:val="none"/>
          <w:lang w:val="en-US" w:eastAsia="zh-CN"/>
        </w:rPr>
      </w:pPr>
      <w:r>
        <w:rPr>
          <w:rFonts w:hint="eastAsia"/>
          <w:b/>
          <w:bCs/>
          <w:sz w:val="21"/>
          <w:szCs w:val="21"/>
          <w:highlight w:val="none"/>
          <w:lang w:val="en-US" w:eastAsia="zh-CN"/>
        </w:rPr>
        <w:t>表1.4-1  与《中华人民共和国森林法》（2019年12月18日修订）符合性分析</w:t>
      </w:r>
    </w:p>
    <w:tbl>
      <w:tblPr>
        <w:tblStyle w:val="106"/>
        <w:tblW w:w="5062" w:type="pct"/>
        <w:tblInd w:w="0" w:type="dxa"/>
        <w:tblBorders>
          <w:top w:val="single" w:color="auto" w:sz="12" w:space="0"/>
          <w:left w:val="single" w:color="auto" w:sz="12" w:space="0"/>
          <w:bottom w:val="single" w:color="auto" w:sz="12" w:space="0"/>
          <w:right w:val="single" w:color="auto" w:sz="12" w:space="0"/>
          <w:insideH w:val="single" w:color="000000" w:sz="2" w:space="0"/>
          <w:insideV w:val="single" w:color="000000" w:sz="2" w:space="0"/>
        </w:tblBorders>
        <w:tblLayout w:type="autofit"/>
        <w:tblCellMar>
          <w:top w:w="0" w:type="dxa"/>
          <w:left w:w="0" w:type="dxa"/>
          <w:bottom w:w="0" w:type="dxa"/>
          <w:right w:w="0" w:type="dxa"/>
        </w:tblCellMar>
      </w:tblPr>
      <w:tblGrid>
        <w:gridCol w:w="627"/>
        <w:gridCol w:w="4957"/>
        <w:gridCol w:w="2722"/>
        <w:gridCol w:w="852"/>
      </w:tblGrid>
      <w:tr w14:paraId="1F8E5AFC">
        <w:tblPrEx>
          <w:tblBorders>
            <w:top w:val="single" w:color="auto" w:sz="12" w:space="0"/>
            <w:left w:val="single" w:color="auto" w:sz="12" w:space="0"/>
            <w:bottom w:val="single" w:color="auto" w:sz="12" w:space="0"/>
            <w:right w:val="single" w:color="auto" w:sz="12" w:space="0"/>
            <w:insideH w:val="single" w:color="000000" w:sz="2" w:space="0"/>
            <w:insideV w:val="single" w:color="000000" w:sz="2" w:space="0"/>
          </w:tblBorders>
          <w:tblCellMar>
            <w:top w:w="0" w:type="dxa"/>
            <w:left w:w="0" w:type="dxa"/>
            <w:bottom w:w="0" w:type="dxa"/>
            <w:right w:w="0" w:type="dxa"/>
          </w:tblCellMar>
        </w:tblPrEx>
        <w:trPr>
          <w:trHeight w:val="23" w:hRule="atLeast"/>
          <w:tblHeader/>
        </w:trPr>
        <w:tc>
          <w:tcPr>
            <w:tcW w:w="342" w:type="pct"/>
            <w:vAlign w:val="center"/>
          </w:tcPr>
          <w:p w14:paraId="67ED6CD2">
            <w:pPr>
              <w:spacing w:line="360" w:lineRule="auto"/>
              <w:ind w:left="0" w:leftChars="0" w:firstLine="0" w:firstLineChars="0"/>
              <w:jc w:val="center"/>
              <w:rPr>
                <w:rFonts w:hint="eastAsia"/>
                <w:b/>
                <w:bCs/>
                <w:sz w:val="21"/>
                <w:szCs w:val="21"/>
                <w:highlight w:val="none"/>
                <w:lang w:val="en-US" w:eastAsia="zh-CN"/>
              </w:rPr>
            </w:pPr>
            <w:r>
              <w:rPr>
                <w:rFonts w:hint="eastAsia"/>
                <w:b/>
                <w:bCs/>
                <w:sz w:val="21"/>
                <w:szCs w:val="21"/>
                <w:highlight w:val="none"/>
                <w:lang w:val="en-US" w:eastAsia="zh-CN"/>
              </w:rPr>
              <w:t>序号</w:t>
            </w:r>
          </w:p>
        </w:tc>
        <w:tc>
          <w:tcPr>
            <w:tcW w:w="2706" w:type="pct"/>
            <w:vAlign w:val="center"/>
          </w:tcPr>
          <w:p w14:paraId="0088CBBE">
            <w:pPr>
              <w:spacing w:line="360" w:lineRule="auto"/>
              <w:ind w:left="0" w:leftChars="0" w:firstLine="0" w:firstLineChars="0"/>
              <w:jc w:val="center"/>
              <w:rPr>
                <w:rFonts w:hint="eastAsia"/>
                <w:b/>
                <w:bCs/>
                <w:sz w:val="21"/>
                <w:szCs w:val="21"/>
                <w:highlight w:val="none"/>
                <w:lang w:val="en-US" w:eastAsia="zh-CN"/>
              </w:rPr>
            </w:pPr>
            <w:r>
              <w:rPr>
                <w:rFonts w:hint="eastAsia"/>
                <w:b/>
                <w:bCs/>
                <w:sz w:val="21"/>
                <w:szCs w:val="21"/>
                <w:highlight w:val="none"/>
                <w:lang w:val="en-US" w:eastAsia="zh-CN"/>
              </w:rPr>
              <w:t>文件要求</w:t>
            </w:r>
          </w:p>
        </w:tc>
        <w:tc>
          <w:tcPr>
            <w:tcW w:w="1486" w:type="pct"/>
            <w:vAlign w:val="center"/>
          </w:tcPr>
          <w:p w14:paraId="061A0BDD">
            <w:pPr>
              <w:spacing w:line="360" w:lineRule="auto"/>
              <w:ind w:left="0" w:leftChars="0" w:firstLine="0" w:firstLineChars="0"/>
              <w:jc w:val="center"/>
              <w:rPr>
                <w:rFonts w:hint="eastAsia"/>
                <w:b/>
                <w:bCs/>
                <w:sz w:val="21"/>
                <w:szCs w:val="21"/>
                <w:highlight w:val="none"/>
                <w:lang w:val="en-US" w:eastAsia="zh-CN"/>
              </w:rPr>
            </w:pPr>
            <w:r>
              <w:rPr>
                <w:rFonts w:hint="eastAsia"/>
                <w:b/>
                <w:bCs/>
                <w:sz w:val="21"/>
                <w:szCs w:val="21"/>
                <w:highlight w:val="none"/>
                <w:lang w:val="en-US" w:eastAsia="zh-CN"/>
              </w:rPr>
              <w:t>拟建项目情况</w:t>
            </w:r>
          </w:p>
        </w:tc>
        <w:tc>
          <w:tcPr>
            <w:tcW w:w="465" w:type="pct"/>
            <w:vAlign w:val="center"/>
          </w:tcPr>
          <w:p w14:paraId="748FE4E2">
            <w:pPr>
              <w:spacing w:line="360" w:lineRule="auto"/>
              <w:ind w:left="0" w:leftChars="0" w:firstLine="0" w:firstLineChars="0"/>
              <w:jc w:val="center"/>
              <w:rPr>
                <w:rFonts w:hint="eastAsia"/>
                <w:b/>
                <w:bCs/>
                <w:sz w:val="21"/>
                <w:szCs w:val="21"/>
                <w:highlight w:val="none"/>
                <w:lang w:val="en-US" w:eastAsia="zh-CN"/>
              </w:rPr>
            </w:pPr>
            <w:r>
              <w:rPr>
                <w:rFonts w:hint="eastAsia"/>
                <w:b/>
                <w:bCs/>
                <w:sz w:val="21"/>
                <w:szCs w:val="21"/>
                <w:highlight w:val="none"/>
                <w:lang w:val="en-US" w:eastAsia="zh-CN"/>
              </w:rPr>
              <w:t>符合性</w:t>
            </w:r>
          </w:p>
        </w:tc>
      </w:tr>
      <w:tr w14:paraId="5DD3F2A3">
        <w:tblPrEx>
          <w:tblBorders>
            <w:top w:val="single" w:color="auto" w:sz="12" w:space="0"/>
            <w:left w:val="single" w:color="auto" w:sz="12" w:space="0"/>
            <w:bottom w:val="single" w:color="auto" w:sz="12" w:space="0"/>
            <w:right w:val="single" w:color="auto" w:sz="12" w:space="0"/>
            <w:insideH w:val="single" w:color="000000" w:sz="2" w:space="0"/>
            <w:insideV w:val="single" w:color="000000" w:sz="2" w:space="0"/>
          </w:tblBorders>
          <w:tblCellMar>
            <w:top w:w="0" w:type="dxa"/>
            <w:left w:w="0" w:type="dxa"/>
            <w:bottom w:w="0" w:type="dxa"/>
            <w:right w:w="0" w:type="dxa"/>
          </w:tblCellMar>
        </w:tblPrEx>
        <w:trPr>
          <w:trHeight w:val="23" w:hRule="atLeast"/>
        </w:trPr>
        <w:tc>
          <w:tcPr>
            <w:tcW w:w="342" w:type="pct"/>
            <w:vAlign w:val="center"/>
          </w:tcPr>
          <w:p w14:paraId="44EECE18">
            <w:pPr>
              <w:spacing w:line="240" w:lineRule="auto"/>
              <w:ind w:left="0" w:leftChars="0" w:firstLine="0" w:firstLineChars="0"/>
              <w:jc w:val="center"/>
              <w:rPr>
                <w:rFonts w:hint="eastAsia"/>
                <w:sz w:val="21"/>
                <w:szCs w:val="21"/>
                <w:highlight w:val="none"/>
                <w:lang w:val="en-US" w:eastAsia="zh-CN"/>
              </w:rPr>
            </w:pPr>
            <w:r>
              <w:rPr>
                <w:rFonts w:hint="eastAsia"/>
                <w:sz w:val="21"/>
                <w:szCs w:val="21"/>
                <w:highlight w:val="none"/>
                <w:lang w:val="en-US" w:eastAsia="zh-CN"/>
              </w:rPr>
              <w:t>1</w:t>
            </w:r>
          </w:p>
        </w:tc>
        <w:tc>
          <w:tcPr>
            <w:tcW w:w="2706" w:type="pct"/>
            <w:vAlign w:val="center"/>
          </w:tcPr>
          <w:p w14:paraId="1BD8D163">
            <w:pPr>
              <w:spacing w:line="240" w:lineRule="auto"/>
              <w:ind w:left="0" w:leftChars="0" w:firstLine="0" w:firstLineChars="0"/>
              <w:jc w:val="center"/>
              <w:rPr>
                <w:rFonts w:hint="eastAsia"/>
                <w:sz w:val="21"/>
                <w:szCs w:val="21"/>
                <w:highlight w:val="none"/>
                <w:lang w:val="en-US" w:eastAsia="zh-CN"/>
              </w:rPr>
            </w:pPr>
            <w:r>
              <w:rPr>
                <w:rFonts w:hint="eastAsia"/>
                <w:sz w:val="21"/>
                <w:szCs w:val="21"/>
                <w:highlight w:val="none"/>
                <w:lang w:val="en-US" w:eastAsia="zh-CN"/>
              </w:rPr>
              <w:t>第三十七条  矿藏勘查、开采以及其他各类工程建设，应当不占或者少占林地；确需占用林地的，应当经县级以上人民政府林业主管部门审核同意，依法办理建设用地审批手续。</w:t>
            </w:r>
          </w:p>
        </w:tc>
        <w:tc>
          <w:tcPr>
            <w:tcW w:w="1486" w:type="pct"/>
            <w:vAlign w:val="center"/>
          </w:tcPr>
          <w:p w14:paraId="54983B87">
            <w:pPr>
              <w:spacing w:line="240" w:lineRule="auto"/>
              <w:ind w:left="0" w:leftChars="0" w:firstLine="0" w:firstLineChars="0"/>
              <w:jc w:val="center"/>
              <w:rPr>
                <w:rFonts w:hint="default"/>
                <w:sz w:val="21"/>
                <w:szCs w:val="21"/>
                <w:highlight w:val="none"/>
                <w:lang w:val="en-US" w:eastAsia="zh-CN"/>
              </w:rPr>
            </w:pPr>
            <w:r>
              <w:rPr>
                <w:rFonts w:hint="eastAsia"/>
                <w:sz w:val="21"/>
                <w:szCs w:val="21"/>
                <w:highlight w:val="none"/>
                <w:lang w:val="en-US" w:eastAsia="zh-CN"/>
              </w:rPr>
              <w:t>本项目为采取填埋方式对固体废物进行治理的项目，已取得平江县林业局的准予行政许可决定书（平林地许准〔2025〕009号）。</w:t>
            </w:r>
          </w:p>
        </w:tc>
        <w:tc>
          <w:tcPr>
            <w:tcW w:w="465" w:type="pct"/>
            <w:vAlign w:val="center"/>
          </w:tcPr>
          <w:p w14:paraId="188143E8">
            <w:pPr>
              <w:spacing w:line="240" w:lineRule="auto"/>
              <w:ind w:left="0" w:leftChars="0" w:firstLine="0" w:firstLineChars="0"/>
              <w:jc w:val="center"/>
              <w:rPr>
                <w:rFonts w:hint="eastAsia"/>
                <w:sz w:val="21"/>
                <w:szCs w:val="21"/>
                <w:highlight w:val="none"/>
                <w:lang w:val="en-US" w:eastAsia="zh-CN"/>
              </w:rPr>
            </w:pPr>
            <w:r>
              <w:rPr>
                <w:rFonts w:hint="eastAsia"/>
                <w:sz w:val="21"/>
                <w:szCs w:val="21"/>
                <w:highlight w:val="none"/>
                <w:lang w:val="en-US" w:eastAsia="zh-CN"/>
              </w:rPr>
              <w:t>符合</w:t>
            </w:r>
          </w:p>
        </w:tc>
      </w:tr>
      <w:tr w14:paraId="38B1CE35">
        <w:tblPrEx>
          <w:tblBorders>
            <w:top w:val="single" w:color="auto" w:sz="12" w:space="0"/>
            <w:left w:val="single" w:color="auto" w:sz="12" w:space="0"/>
            <w:bottom w:val="single" w:color="auto" w:sz="12" w:space="0"/>
            <w:right w:val="single" w:color="auto" w:sz="12" w:space="0"/>
            <w:insideH w:val="single" w:color="000000" w:sz="2" w:space="0"/>
            <w:insideV w:val="single" w:color="000000" w:sz="2" w:space="0"/>
          </w:tblBorders>
          <w:tblCellMar>
            <w:top w:w="0" w:type="dxa"/>
            <w:left w:w="0" w:type="dxa"/>
            <w:bottom w:w="0" w:type="dxa"/>
            <w:right w:w="0" w:type="dxa"/>
          </w:tblCellMar>
        </w:tblPrEx>
        <w:trPr>
          <w:trHeight w:val="23" w:hRule="atLeast"/>
        </w:trPr>
        <w:tc>
          <w:tcPr>
            <w:tcW w:w="342" w:type="pct"/>
            <w:vAlign w:val="center"/>
          </w:tcPr>
          <w:p w14:paraId="2EC2FB81">
            <w:pPr>
              <w:spacing w:line="240" w:lineRule="auto"/>
              <w:ind w:left="0" w:leftChars="0" w:firstLine="0" w:firstLineChars="0"/>
              <w:jc w:val="center"/>
              <w:rPr>
                <w:rFonts w:hint="eastAsia"/>
                <w:sz w:val="21"/>
                <w:szCs w:val="21"/>
                <w:highlight w:val="none"/>
                <w:lang w:val="en-US" w:eastAsia="zh-CN"/>
              </w:rPr>
            </w:pPr>
            <w:r>
              <w:rPr>
                <w:rFonts w:hint="eastAsia"/>
                <w:sz w:val="21"/>
                <w:szCs w:val="21"/>
                <w:highlight w:val="none"/>
                <w:lang w:val="en-US" w:eastAsia="zh-CN"/>
              </w:rPr>
              <w:t>2</w:t>
            </w:r>
          </w:p>
        </w:tc>
        <w:tc>
          <w:tcPr>
            <w:tcW w:w="2706" w:type="pct"/>
            <w:vAlign w:val="center"/>
          </w:tcPr>
          <w:p w14:paraId="4FF624F5">
            <w:pPr>
              <w:spacing w:line="240" w:lineRule="auto"/>
              <w:ind w:left="0" w:leftChars="0" w:firstLine="0" w:firstLineChars="0"/>
              <w:jc w:val="center"/>
              <w:rPr>
                <w:rFonts w:hint="eastAsia"/>
                <w:sz w:val="21"/>
                <w:szCs w:val="21"/>
                <w:highlight w:val="none"/>
                <w:lang w:val="en-US" w:eastAsia="zh-CN"/>
              </w:rPr>
            </w:pPr>
            <w:r>
              <w:rPr>
                <w:rFonts w:hint="eastAsia"/>
                <w:sz w:val="21"/>
                <w:szCs w:val="21"/>
                <w:highlight w:val="none"/>
                <w:lang w:val="en-US" w:eastAsia="zh-CN"/>
              </w:rPr>
              <w:t>第三十八条　需要临时使用林地的，应当经县级以上人民政府林业主管部门批准；临时使用林地的期限一般不超过二年，并不得在临时使用的林地上修建永久性建筑物。</w:t>
            </w:r>
          </w:p>
        </w:tc>
        <w:tc>
          <w:tcPr>
            <w:tcW w:w="1486" w:type="pct"/>
            <w:vAlign w:val="center"/>
          </w:tcPr>
          <w:p w14:paraId="793B2623">
            <w:pPr>
              <w:spacing w:line="240" w:lineRule="auto"/>
              <w:ind w:left="0" w:leftChars="0" w:firstLine="0" w:firstLineChars="0"/>
              <w:jc w:val="center"/>
              <w:rPr>
                <w:rFonts w:hint="default"/>
                <w:sz w:val="21"/>
                <w:szCs w:val="21"/>
                <w:highlight w:val="none"/>
                <w:lang w:val="en-US" w:eastAsia="zh-CN"/>
              </w:rPr>
            </w:pPr>
            <w:r>
              <w:rPr>
                <w:rFonts w:hint="eastAsia"/>
                <w:sz w:val="21"/>
                <w:szCs w:val="21"/>
                <w:highlight w:val="none"/>
                <w:lang w:val="en-US" w:eastAsia="zh-CN"/>
              </w:rPr>
              <w:t>本项目已取得平江县林业局的准予行政许可决定书（平林地许准〔2025〕009号），项目施工期为6个月，施工完成后即进行封场和生态恢复，未在林地上修建永久性建筑。</w:t>
            </w:r>
          </w:p>
        </w:tc>
        <w:tc>
          <w:tcPr>
            <w:tcW w:w="465" w:type="pct"/>
            <w:vAlign w:val="center"/>
          </w:tcPr>
          <w:p w14:paraId="6FF8C18F">
            <w:pPr>
              <w:spacing w:line="240" w:lineRule="auto"/>
              <w:ind w:left="0" w:leftChars="0" w:firstLine="0" w:firstLineChars="0"/>
              <w:jc w:val="center"/>
              <w:rPr>
                <w:rFonts w:hint="eastAsia"/>
                <w:sz w:val="21"/>
                <w:szCs w:val="21"/>
                <w:highlight w:val="none"/>
                <w:lang w:val="en-US" w:eastAsia="zh-CN"/>
              </w:rPr>
            </w:pPr>
            <w:r>
              <w:rPr>
                <w:rFonts w:hint="eastAsia"/>
                <w:sz w:val="21"/>
                <w:szCs w:val="21"/>
                <w:highlight w:val="none"/>
                <w:lang w:val="en-US" w:eastAsia="zh-CN"/>
              </w:rPr>
              <w:t>符合</w:t>
            </w:r>
          </w:p>
        </w:tc>
      </w:tr>
      <w:tr w14:paraId="2FEF6E87">
        <w:tblPrEx>
          <w:tblBorders>
            <w:top w:val="single" w:color="auto" w:sz="12" w:space="0"/>
            <w:left w:val="single" w:color="auto" w:sz="12" w:space="0"/>
            <w:bottom w:val="single" w:color="auto" w:sz="12" w:space="0"/>
            <w:right w:val="single" w:color="auto" w:sz="12" w:space="0"/>
            <w:insideH w:val="single" w:color="000000" w:sz="2" w:space="0"/>
            <w:insideV w:val="single" w:color="000000" w:sz="2" w:space="0"/>
          </w:tblBorders>
          <w:tblCellMar>
            <w:top w:w="0" w:type="dxa"/>
            <w:left w:w="0" w:type="dxa"/>
            <w:bottom w:w="0" w:type="dxa"/>
            <w:right w:w="0" w:type="dxa"/>
          </w:tblCellMar>
        </w:tblPrEx>
        <w:trPr>
          <w:trHeight w:val="23" w:hRule="atLeast"/>
        </w:trPr>
        <w:tc>
          <w:tcPr>
            <w:tcW w:w="342" w:type="pct"/>
            <w:shd w:val="clear" w:color="auto" w:fill="auto"/>
            <w:vAlign w:val="center"/>
          </w:tcPr>
          <w:p w14:paraId="40394516">
            <w:pPr>
              <w:spacing w:line="240" w:lineRule="auto"/>
              <w:ind w:left="0" w:leftChars="0" w:firstLine="0" w:firstLineChars="0"/>
              <w:jc w:val="center"/>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3</w:t>
            </w:r>
          </w:p>
        </w:tc>
        <w:tc>
          <w:tcPr>
            <w:tcW w:w="2706" w:type="pct"/>
            <w:shd w:val="clear" w:color="auto" w:fill="auto"/>
            <w:vAlign w:val="center"/>
          </w:tcPr>
          <w:p w14:paraId="689F9BC0">
            <w:pPr>
              <w:spacing w:line="240" w:lineRule="auto"/>
              <w:ind w:left="0" w:leftChars="0" w:firstLine="0" w:firstLineChars="0"/>
              <w:jc w:val="both"/>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第三十九条　禁止毁林开垦、采石、采砂、采土以及其他毁坏林木和林地的行为。禁止向林地排放重金属或者其他有毒有害物质含量超标的污水、污泥，以及可能造成林地污染的清淤底泥、尾矿、矿渣等。禁止在幼林地砍柴、毁苗、放牧。禁止擅自移动或者损坏森林保护标志。</w:t>
            </w:r>
          </w:p>
        </w:tc>
        <w:tc>
          <w:tcPr>
            <w:tcW w:w="1486" w:type="pct"/>
            <w:shd w:val="clear" w:color="auto" w:fill="auto"/>
            <w:vAlign w:val="center"/>
          </w:tcPr>
          <w:p w14:paraId="1B500307">
            <w:pPr>
              <w:spacing w:line="240" w:lineRule="auto"/>
              <w:ind w:left="0" w:leftChars="0" w:firstLine="0" w:firstLineChars="0"/>
              <w:jc w:val="center"/>
              <w:rPr>
                <w:rFonts w:hint="default" w:ascii="Times New Roman" w:hAnsi="Times New Roman" w:eastAsia="宋体" w:cs="Times New Roman"/>
                <w:sz w:val="21"/>
                <w:szCs w:val="21"/>
                <w:highlight w:val="none"/>
                <w:lang w:val="en-US" w:eastAsia="zh-CN"/>
              </w:rPr>
            </w:pPr>
            <w:r>
              <w:rPr>
                <w:rFonts w:hint="eastAsia"/>
                <w:sz w:val="21"/>
                <w:szCs w:val="21"/>
                <w:highlight w:val="none"/>
                <w:lang w:val="en-US" w:eastAsia="zh-CN"/>
              </w:rPr>
              <w:t>本项目为采取填埋方式对固体废物进行治理的项目，不属于左述禁止项目。</w:t>
            </w:r>
          </w:p>
        </w:tc>
        <w:tc>
          <w:tcPr>
            <w:tcW w:w="465" w:type="pct"/>
            <w:shd w:val="clear" w:color="auto" w:fill="auto"/>
            <w:vAlign w:val="center"/>
          </w:tcPr>
          <w:p w14:paraId="1258011E">
            <w:pPr>
              <w:spacing w:line="240" w:lineRule="auto"/>
              <w:ind w:left="0" w:leftChars="0" w:firstLine="0" w:firstLineChars="0"/>
              <w:jc w:val="center"/>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符合</w:t>
            </w:r>
          </w:p>
        </w:tc>
      </w:tr>
    </w:tbl>
    <w:p w14:paraId="122E4A80">
      <w:pPr>
        <w:bidi w:val="0"/>
        <w:rPr>
          <w:rFonts w:hint="eastAsia"/>
          <w:lang w:val="en-US" w:eastAsia="zh-CN"/>
        </w:rPr>
      </w:pPr>
      <w:r>
        <w:rPr>
          <w:rFonts w:hint="eastAsia"/>
          <w:highlight w:val="none"/>
          <w:lang w:val="en-US" w:eastAsia="zh-CN"/>
        </w:rPr>
        <w:t>综上所述，本项目符合《中华人民共和国森林法》（2019年12月18日修订）中相关要求。</w:t>
      </w:r>
    </w:p>
    <w:p w14:paraId="6DFADC6A">
      <w:pPr>
        <w:pStyle w:val="10"/>
        <w:numPr>
          <w:ilvl w:val="3"/>
          <w:numId w:val="2"/>
        </w:numPr>
        <w:bidi w:val="0"/>
        <w:ind w:left="0" w:leftChars="0" w:firstLine="0" w:firstLineChars="0"/>
        <w:rPr>
          <w:rFonts w:hint="eastAsia"/>
          <w:highlight w:val="none"/>
          <w:lang w:val="en-US" w:eastAsia="zh-CN"/>
        </w:rPr>
      </w:pPr>
      <w:r>
        <w:rPr>
          <w:rFonts w:hint="eastAsia"/>
          <w:highlight w:val="none"/>
          <w:lang w:val="en-US" w:eastAsia="zh-CN"/>
        </w:rPr>
        <w:t>与《土壤污染防治行动计划》（国发</w:t>
      </w:r>
      <w:r>
        <w:rPr>
          <w:rFonts w:hint="eastAsia" w:ascii="宋体" w:hAnsi="宋体" w:eastAsia="宋体" w:cs="宋体"/>
          <w:highlight w:val="none"/>
          <w:lang w:val="en-US" w:eastAsia="zh-CN"/>
        </w:rPr>
        <w:t>〔</w:t>
      </w:r>
      <w:r>
        <w:rPr>
          <w:rFonts w:hint="eastAsia"/>
          <w:highlight w:val="none"/>
          <w:lang w:val="en-US" w:eastAsia="zh-CN"/>
        </w:rPr>
        <w:t>2016</w:t>
      </w:r>
      <w:r>
        <w:rPr>
          <w:rFonts w:hint="eastAsia" w:ascii="宋体" w:hAnsi="宋体" w:eastAsia="宋体" w:cs="宋体"/>
          <w:highlight w:val="none"/>
          <w:lang w:val="en-US" w:eastAsia="zh-CN"/>
        </w:rPr>
        <w:t>〕</w:t>
      </w:r>
      <w:r>
        <w:rPr>
          <w:rFonts w:hint="eastAsia"/>
          <w:highlight w:val="none"/>
          <w:lang w:val="en-US" w:eastAsia="zh-CN"/>
        </w:rPr>
        <w:t>31号）符合性分析</w:t>
      </w:r>
    </w:p>
    <w:p w14:paraId="092BBCAF">
      <w:pPr>
        <w:rPr>
          <w:rFonts w:hint="eastAsia"/>
          <w:highlight w:val="none"/>
          <w:lang w:val="en-US" w:eastAsia="zh-CN"/>
        </w:rPr>
      </w:pPr>
      <w:r>
        <w:rPr>
          <w:rFonts w:hint="eastAsia"/>
          <w:highlight w:val="none"/>
          <w:lang w:val="en-US" w:eastAsia="zh-CN"/>
        </w:rPr>
        <w:t>拟建项目与《土壤污染防治行动计划》（国发</w:t>
      </w:r>
      <w:r>
        <w:rPr>
          <w:rFonts w:hint="eastAsia" w:ascii="宋体" w:hAnsi="宋体" w:eastAsia="宋体" w:cs="宋体"/>
          <w:highlight w:val="none"/>
          <w:lang w:val="en-US" w:eastAsia="zh-CN"/>
        </w:rPr>
        <w:t>〔</w:t>
      </w:r>
      <w:r>
        <w:rPr>
          <w:rFonts w:hint="eastAsia"/>
          <w:highlight w:val="none"/>
          <w:lang w:val="en-US" w:eastAsia="zh-CN"/>
        </w:rPr>
        <w:t>2016</w:t>
      </w:r>
      <w:r>
        <w:rPr>
          <w:rFonts w:hint="eastAsia" w:ascii="宋体" w:hAnsi="宋体" w:eastAsia="宋体" w:cs="宋体"/>
          <w:highlight w:val="none"/>
          <w:lang w:val="en-US" w:eastAsia="zh-CN"/>
        </w:rPr>
        <w:t>〕</w:t>
      </w:r>
      <w:r>
        <w:rPr>
          <w:rFonts w:hint="eastAsia"/>
          <w:highlight w:val="none"/>
          <w:lang w:val="en-US" w:eastAsia="zh-CN"/>
        </w:rPr>
        <w:t>31号）的符合性见下表所示。</w:t>
      </w:r>
    </w:p>
    <w:p w14:paraId="1D106BD1">
      <w:pPr>
        <w:bidi w:val="0"/>
        <w:ind w:left="0" w:leftChars="0" w:firstLine="0" w:firstLineChars="0"/>
        <w:jc w:val="center"/>
        <w:rPr>
          <w:rFonts w:hint="default"/>
          <w:b/>
          <w:bCs/>
          <w:sz w:val="21"/>
          <w:szCs w:val="21"/>
          <w:lang w:val="en-US" w:eastAsia="zh-CN"/>
        </w:rPr>
      </w:pPr>
      <w:r>
        <w:rPr>
          <w:rFonts w:hint="eastAsia"/>
          <w:b/>
          <w:bCs/>
          <w:sz w:val="21"/>
          <w:szCs w:val="21"/>
          <w:lang w:val="en-US" w:eastAsia="zh-CN"/>
        </w:rPr>
        <w:t>表1.4-2  与《土壤污染防治行动计划》（国发〔2016〕31号）符合性分析</w:t>
      </w:r>
    </w:p>
    <w:tbl>
      <w:tblPr>
        <w:tblStyle w:val="106"/>
        <w:tblW w:w="5078" w:type="pct"/>
        <w:tblInd w:w="0" w:type="dxa"/>
        <w:tblBorders>
          <w:top w:val="single" w:color="auto" w:sz="12" w:space="0"/>
          <w:left w:val="single" w:color="auto" w:sz="12" w:space="0"/>
          <w:bottom w:val="single" w:color="auto" w:sz="12" w:space="0"/>
          <w:right w:val="single" w:color="auto" w:sz="12" w:space="0"/>
          <w:insideH w:val="single" w:color="000000" w:sz="2" w:space="0"/>
          <w:insideV w:val="single" w:color="000000" w:sz="2" w:space="0"/>
        </w:tblBorders>
        <w:tblLayout w:type="autofit"/>
        <w:tblCellMar>
          <w:top w:w="0" w:type="dxa"/>
          <w:left w:w="0" w:type="dxa"/>
          <w:bottom w:w="0" w:type="dxa"/>
          <w:right w:w="0" w:type="dxa"/>
        </w:tblCellMar>
      </w:tblPr>
      <w:tblGrid>
        <w:gridCol w:w="625"/>
        <w:gridCol w:w="6048"/>
        <w:gridCol w:w="1656"/>
        <w:gridCol w:w="858"/>
      </w:tblGrid>
      <w:tr w14:paraId="38CDE2BF">
        <w:tblPrEx>
          <w:tblBorders>
            <w:top w:val="single" w:color="auto" w:sz="12" w:space="0"/>
            <w:left w:val="single" w:color="auto" w:sz="12" w:space="0"/>
            <w:bottom w:val="single" w:color="auto" w:sz="12" w:space="0"/>
            <w:right w:val="single" w:color="auto" w:sz="12" w:space="0"/>
            <w:insideH w:val="single" w:color="000000" w:sz="2" w:space="0"/>
            <w:insideV w:val="single" w:color="000000" w:sz="2" w:space="0"/>
          </w:tblBorders>
          <w:tblCellMar>
            <w:top w:w="0" w:type="dxa"/>
            <w:left w:w="0" w:type="dxa"/>
            <w:bottom w:w="0" w:type="dxa"/>
            <w:right w:w="0" w:type="dxa"/>
          </w:tblCellMar>
        </w:tblPrEx>
        <w:trPr>
          <w:trHeight w:val="23" w:hRule="atLeast"/>
          <w:tblHeader/>
        </w:trPr>
        <w:tc>
          <w:tcPr>
            <w:tcW w:w="340" w:type="pct"/>
            <w:vAlign w:val="center"/>
          </w:tcPr>
          <w:p w14:paraId="0A328D58">
            <w:pPr>
              <w:spacing w:line="360" w:lineRule="auto"/>
              <w:ind w:left="0" w:leftChars="0" w:firstLine="0" w:firstLineChars="0"/>
              <w:jc w:val="center"/>
              <w:rPr>
                <w:rFonts w:hint="eastAsia"/>
                <w:b/>
                <w:bCs/>
                <w:sz w:val="21"/>
                <w:szCs w:val="21"/>
                <w:highlight w:val="none"/>
                <w:lang w:val="en-US" w:eastAsia="zh-CN"/>
              </w:rPr>
            </w:pPr>
            <w:r>
              <w:rPr>
                <w:rFonts w:hint="eastAsia"/>
                <w:b/>
                <w:bCs/>
                <w:sz w:val="21"/>
                <w:szCs w:val="21"/>
                <w:highlight w:val="none"/>
                <w:lang w:val="en-US" w:eastAsia="zh-CN"/>
              </w:rPr>
              <w:t>序号</w:t>
            </w:r>
          </w:p>
        </w:tc>
        <w:tc>
          <w:tcPr>
            <w:tcW w:w="3290" w:type="pct"/>
            <w:vAlign w:val="center"/>
          </w:tcPr>
          <w:p w14:paraId="5657BE93">
            <w:pPr>
              <w:spacing w:line="360" w:lineRule="auto"/>
              <w:ind w:left="0" w:leftChars="0" w:firstLine="0" w:firstLineChars="0"/>
              <w:jc w:val="center"/>
              <w:rPr>
                <w:rFonts w:hint="eastAsia"/>
                <w:b/>
                <w:bCs/>
                <w:sz w:val="21"/>
                <w:szCs w:val="21"/>
                <w:highlight w:val="none"/>
                <w:lang w:val="en-US" w:eastAsia="zh-CN"/>
              </w:rPr>
            </w:pPr>
            <w:r>
              <w:rPr>
                <w:rFonts w:hint="eastAsia"/>
                <w:b/>
                <w:bCs/>
                <w:sz w:val="21"/>
                <w:szCs w:val="21"/>
                <w:highlight w:val="none"/>
                <w:lang w:val="en-US" w:eastAsia="zh-CN"/>
              </w:rPr>
              <w:t>文件要求</w:t>
            </w:r>
          </w:p>
        </w:tc>
        <w:tc>
          <w:tcPr>
            <w:tcW w:w="901" w:type="pct"/>
            <w:vAlign w:val="center"/>
          </w:tcPr>
          <w:p w14:paraId="2E7292B6">
            <w:pPr>
              <w:spacing w:line="360" w:lineRule="auto"/>
              <w:ind w:left="0" w:leftChars="0" w:firstLine="0" w:firstLineChars="0"/>
              <w:jc w:val="center"/>
              <w:rPr>
                <w:rFonts w:hint="eastAsia"/>
                <w:b/>
                <w:bCs/>
                <w:sz w:val="21"/>
                <w:szCs w:val="21"/>
                <w:highlight w:val="none"/>
                <w:lang w:val="en-US" w:eastAsia="zh-CN"/>
              </w:rPr>
            </w:pPr>
            <w:r>
              <w:rPr>
                <w:rFonts w:hint="eastAsia"/>
                <w:b/>
                <w:bCs/>
                <w:sz w:val="21"/>
                <w:szCs w:val="21"/>
                <w:highlight w:val="none"/>
                <w:lang w:val="en-US" w:eastAsia="zh-CN"/>
              </w:rPr>
              <w:t>拟建项目情况</w:t>
            </w:r>
          </w:p>
        </w:tc>
        <w:tc>
          <w:tcPr>
            <w:tcW w:w="467" w:type="pct"/>
            <w:vAlign w:val="center"/>
          </w:tcPr>
          <w:p w14:paraId="4866AC42">
            <w:pPr>
              <w:spacing w:line="360" w:lineRule="auto"/>
              <w:ind w:left="0" w:leftChars="0" w:firstLine="0" w:firstLineChars="0"/>
              <w:jc w:val="center"/>
              <w:rPr>
                <w:rFonts w:hint="eastAsia"/>
                <w:b/>
                <w:bCs/>
                <w:sz w:val="21"/>
                <w:szCs w:val="21"/>
                <w:highlight w:val="none"/>
                <w:lang w:val="en-US" w:eastAsia="zh-CN"/>
              </w:rPr>
            </w:pPr>
            <w:r>
              <w:rPr>
                <w:rFonts w:hint="eastAsia"/>
                <w:b/>
                <w:bCs/>
                <w:sz w:val="21"/>
                <w:szCs w:val="21"/>
                <w:highlight w:val="none"/>
                <w:lang w:val="en-US" w:eastAsia="zh-CN"/>
              </w:rPr>
              <w:t>符合性</w:t>
            </w:r>
          </w:p>
        </w:tc>
      </w:tr>
      <w:tr w14:paraId="11884A62">
        <w:tblPrEx>
          <w:tblBorders>
            <w:top w:val="single" w:color="auto" w:sz="12" w:space="0"/>
            <w:left w:val="single" w:color="auto" w:sz="12" w:space="0"/>
            <w:bottom w:val="single" w:color="auto" w:sz="12" w:space="0"/>
            <w:right w:val="single" w:color="auto" w:sz="12" w:space="0"/>
            <w:insideH w:val="single" w:color="000000" w:sz="2" w:space="0"/>
            <w:insideV w:val="single" w:color="000000" w:sz="2" w:space="0"/>
          </w:tblBorders>
          <w:tblCellMar>
            <w:top w:w="0" w:type="dxa"/>
            <w:left w:w="0" w:type="dxa"/>
            <w:bottom w:w="0" w:type="dxa"/>
            <w:right w:w="0" w:type="dxa"/>
          </w:tblCellMar>
        </w:tblPrEx>
        <w:trPr>
          <w:trHeight w:val="23" w:hRule="atLeast"/>
        </w:trPr>
        <w:tc>
          <w:tcPr>
            <w:tcW w:w="340" w:type="pct"/>
            <w:vAlign w:val="center"/>
          </w:tcPr>
          <w:p w14:paraId="798FB067">
            <w:pPr>
              <w:spacing w:line="240" w:lineRule="auto"/>
              <w:ind w:left="0" w:leftChars="0" w:firstLine="0" w:firstLineChars="0"/>
              <w:jc w:val="center"/>
              <w:rPr>
                <w:rFonts w:hint="eastAsia"/>
                <w:sz w:val="21"/>
                <w:szCs w:val="21"/>
                <w:highlight w:val="none"/>
                <w:lang w:val="en-US" w:eastAsia="zh-CN"/>
              </w:rPr>
            </w:pPr>
            <w:r>
              <w:rPr>
                <w:rFonts w:hint="eastAsia"/>
                <w:sz w:val="21"/>
                <w:szCs w:val="21"/>
                <w:highlight w:val="none"/>
                <w:lang w:val="en-US" w:eastAsia="zh-CN"/>
              </w:rPr>
              <w:t>1</w:t>
            </w:r>
          </w:p>
        </w:tc>
        <w:tc>
          <w:tcPr>
            <w:tcW w:w="3290" w:type="pct"/>
            <w:vAlign w:val="center"/>
          </w:tcPr>
          <w:p w14:paraId="126C5430">
            <w:pPr>
              <w:spacing w:line="240" w:lineRule="auto"/>
              <w:ind w:left="0" w:leftChars="0" w:firstLine="0" w:firstLineChars="0"/>
              <w:jc w:val="both"/>
              <w:rPr>
                <w:rFonts w:hint="eastAsia"/>
                <w:sz w:val="21"/>
                <w:szCs w:val="21"/>
                <w:highlight w:val="none"/>
                <w:lang w:val="en-US" w:eastAsia="zh-CN"/>
              </w:rPr>
            </w:pPr>
            <w:r>
              <w:rPr>
                <w:rFonts w:hint="eastAsia"/>
                <w:sz w:val="21"/>
                <w:szCs w:val="21"/>
                <w:highlight w:val="none"/>
                <w:lang w:val="en-US" w:eastAsia="zh-CN"/>
              </w:rPr>
              <w:t>加强工业废物处理处置。全面整治尾矿、煤矸石、工业副产石膏、粉煤灰、赤泥、冶炼渣、电石渣、铬渣、砷渣以及脱硫、脱硝、除尘产生固体废物的堆存场所，完善防扬散、防流失、防渗漏等设施，制定整治方案并有序实施。</w:t>
            </w:r>
          </w:p>
        </w:tc>
        <w:tc>
          <w:tcPr>
            <w:tcW w:w="901" w:type="pct"/>
            <w:vMerge w:val="restart"/>
            <w:vAlign w:val="center"/>
          </w:tcPr>
          <w:p w14:paraId="2130DF85">
            <w:pPr>
              <w:spacing w:line="240" w:lineRule="auto"/>
              <w:ind w:left="0" w:leftChars="0" w:firstLine="0" w:firstLineChars="0"/>
              <w:jc w:val="center"/>
              <w:rPr>
                <w:rFonts w:hint="eastAsia"/>
                <w:sz w:val="21"/>
                <w:szCs w:val="21"/>
                <w:highlight w:val="none"/>
                <w:lang w:val="en-US" w:eastAsia="zh-CN"/>
              </w:rPr>
            </w:pPr>
            <w:r>
              <w:rPr>
                <w:rFonts w:hint="eastAsia"/>
                <w:sz w:val="21"/>
                <w:szCs w:val="21"/>
                <w:highlight w:val="none"/>
                <w:lang w:val="en-US" w:eastAsia="zh-CN"/>
              </w:rPr>
              <w:t>本项目作为历史遗留重金属废渣整治项目，能有效解决历史遗留污染问题。</w:t>
            </w:r>
          </w:p>
        </w:tc>
        <w:tc>
          <w:tcPr>
            <w:tcW w:w="467" w:type="pct"/>
            <w:vAlign w:val="center"/>
          </w:tcPr>
          <w:p w14:paraId="5C03488B">
            <w:pPr>
              <w:spacing w:line="240" w:lineRule="auto"/>
              <w:ind w:left="0" w:leftChars="0" w:firstLine="0" w:firstLineChars="0"/>
              <w:jc w:val="center"/>
              <w:rPr>
                <w:rFonts w:hint="eastAsia"/>
                <w:sz w:val="21"/>
                <w:szCs w:val="21"/>
                <w:highlight w:val="none"/>
                <w:lang w:val="en-US" w:eastAsia="zh-CN"/>
              </w:rPr>
            </w:pPr>
            <w:r>
              <w:rPr>
                <w:rFonts w:hint="eastAsia"/>
                <w:sz w:val="21"/>
                <w:szCs w:val="21"/>
                <w:highlight w:val="none"/>
                <w:lang w:val="en-US" w:eastAsia="zh-CN"/>
              </w:rPr>
              <w:t>符合</w:t>
            </w:r>
          </w:p>
        </w:tc>
      </w:tr>
      <w:tr w14:paraId="10ED909E">
        <w:tblPrEx>
          <w:tblBorders>
            <w:top w:val="single" w:color="auto" w:sz="12" w:space="0"/>
            <w:left w:val="single" w:color="auto" w:sz="12" w:space="0"/>
            <w:bottom w:val="single" w:color="auto" w:sz="12" w:space="0"/>
            <w:right w:val="single" w:color="auto" w:sz="12" w:space="0"/>
            <w:insideH w:val="single" w:color="000000" w:sz="2" w:space="0"/>
            <w:insideV w:val="single" w:color="000000" w:sz="2" w:space="0"/>
          </w:tblBorders>
          <w:tblCellMar>
            <w:top w:w="0" w:type="dxa"/>
            <w:left w:w="0" w:type="dxa"/>
            <w:bottom w:w="0" w:type="dxa"/>
            <w:right w:w="0" w:type="dxa"/>
          </w:tblCellMar>
        </w:tblPrEx>
        <w:trPr>
          <w:trHeight w:val="23" w:hRule="atLeast"/>
        </w:trPr>
        <w:tc>
          <w:tcPr>
            <w:tcW w:w="340" w:type="pct"/>
            <w:vAlign w:val="center"/>
          </w:tcPr>
          <w:p w14:paraId="4AE89433">
            <w:pPr>
              <w:spacing w:line="240" w:lineRule="auto"/>
              <w:ind w:left="0" w:leftChars="0" w:firstLine="0" w:firstLineChars="0"/>
              <w:jc w:val="center"/>
              <w:rPr>
                <w:rFonts w:hint="eastAsia"/>
                <w:sz w:val="21"/>
                <w:szCs w:val="21"/>
                <w:highlight w:val="none"/>
                <w:lang w:val="en-US" w:eastAsia="zh-CN"/>
              </w:rPr>
            </w:pPr>
            <w:r>
              <w:rPr>
                <w:rFonts w:hint="eastAsia"/>
                <w:sz w:val="21"/>
                <w:szCs w:val="21"/>
                <w:highlight w:val="none"/>
                <w:lang w:val="en-US" w:eastAsia="zh-CN"/>
              </w:rPr>
              <w:t>2</w:t>
            </w:r>
          </w:p>
        </w:tc>
        <w:tc>
          <w:tcPr>
            <w:tcW w:w="3290" w:type="pct"/>
            <w:vAlign w:val="center"/>
          </w:tcPr>
          <w:p w14:paraId="2D7965FA">
            <w:pPr>
              <w:spacing w:line="240" w:lineRule="auto"/>
              <w:ind w:left="0" w:leftChars="0" w:firstLine="0" w:firstLineChars="0"/>
              <w:jc w:val="both"/>
              <w:rPr>
                <w:rFonts w:hint="eastAsia"/>
                <w:sz w:val="21"/>
                <w:szCs w:val="21"/>
                <w:highlight w:val="none"/>
                <w:lang w:val="en-US" w:eastAsia="zh-CN"/>
              </w:rPr>
            </w:pPr>
            <w:r>
              <w:rPr>
                <w:rFonts w:hint="eastAsia"/>
                <w:sz w:val="21"/>
                <w:szCs w:val="21"/>
                <w:highlight w:val="none"/>
                <w:lang w:val="en-US" w:eastAsia="zh-CN"/>
              </w:rPr>
              <w:t>强化治理与修复工程监管。治理与修复工程原则上在原址进行，并采取必要措施防止污染土壤挖掘、堆存等造成二次污染；需要转运污染土壤的，有关责任单位要将运输时间、方式、线路和污染土壤数量、去向、最终处置措施等，提前向所在地和接收地环境保护部门报告。工程施工期间，责任单位要设立公告牌，公开工程基本情况、环境影响及其防范措施；所在地环境保护部门要对各项环境保护措施落实情况进行检查。工程完工后，责任单位要委托第三方机构对治理与修复效果进行评估，结果向社会公开。</w:t>
            </w:r>
          </w:p>
          <w:p w14:paraId="6175AE17">
            <w:pPr>
              <w:spacing w:line="240" w:lineRule="auto"/>
              <w:ind w:left="0" w:leftChars="0" w:firstLine="0" w:firstLineChars="0"/>
              <w:jc w:val="both"/>
              <w:rPr>
                <w:rFonts w:hint="eastAsia"/>
                <w:sz w:val="21"/>
                <w:szCs w:val="21"/>
                <w:highlight w:val="none"/>
                <w:lang w:val="en-US" w:eastAsia="zh-CN"/>
              </w:rPr>
            </w:pPr>
            <w:r>
              <w:rPr>
                <w:rFonts w:hint="eastAsia"/>
                <w:sz w:val="21"/>
                <w:szCs w:val="21"/>
                <w:highlight w:val="none"/>
                <w:lang w:val="en-US" w:eastAsia="zh-CN"/>
              </w:rPr>
              <w:t>实行土壤污染治理与修复终身责任制，2017年底前，出台有关责任追究办法。</w:t>
            </w:r>
          </w:p>
        </w:tc>
        <w:tc>
          <w:tcPr>
            <w:tcW w:w="901" w:type="pct"/>
            <w:vMerge w:val="continue"/>
            <w:vAlign w:val="center"/>
          </w:tcPr>
          <w:p w14:paraId="31408A00">
            <w:pPr>
              <w:spacing w:line="240" w:lineRule="auto"/>
              <w:ind w:left="0" w:leftChars="0" w:firstLine="0" w:firstLineChars="0"/>
              <w:jc w:val="center"/>
              <w:rPr>
                <w:rFonts w:hint="eastAsia"/>
                <w:sz w:val="21"/>
                <w:szCs w:val="21"/>
                <w:highlight w:val="none"/>
                <w:lang w:val="en-US" w:eastAsia="zh-CN"/>
              </w:rPr>
            </w:pPr>
          </w:p>
        </w:tc>
        <w:tc>
          <w:tcPr>
            <w:tcW w:w="467" w:type="pct"/>
            <w:vAlign w:val="center"/>
          </w:tcPr>
          <w:p w14:paraId="370CC1C1">
            <w:pPr>
              <w:spacing w:line="240" w:lineRule="auto"/>
              <w:ind w:left="0" w:leftChars="0" w:firstLine="0" w:firstLineChars="0"/>
              <w:jc w:val="center"/>
              <w:rPr>
                <w:rFonts w:hint="eastAsia"/>
                <w:sz w:val="21"/>
                <w:szCs w:val="21"/>
                <w:highlight w:val="none"/>
                <w:lang w:val="en-US" w:eastAsia="zh-CN"/>
              </w:rPr>
            </w:pPr>
            <w:r>
              <w:rPr>
                <w:rFonts w:hint="eastAsia"/>
                <w:sz w:val="21"/>
                <w:szCs w:val="21"/>
                <w:highlight w:val="none"/>
                <w:lang w:val="en-US" w:eastAsia="zh-CN"/>
              </w:rPr>
              <w:t>符合</w:t>
            </w:r>
          </w:p>
        </w:tc>
      </w:tr>
    </w:tbl>
    <w:p w14:paraId="6F5D071D">
      <w:pPr>
        <w:bidi w:val="0"/>
        <w:rPr>
          <w:rFonts w:hint="eastAsia"/>
          <w:highlight w:val="none"/>
          <w:lang w:val="en-US" w:eastAsia="zh-CN"/>
        </w:rPr>
      </w:pPr>
      <w:r>
        <w:rPr>
          <w:rFonts w:hint="eastAsia"/>
          <w:highlight w:val="none"/>
          <w:lang w:val="en-US" w:eastAsia="zh-CN"/>
        </w:rPr>
        <w:t>综上所述，本项目符合《土壤污染防治行动计划》（国发〔2016〕31号）中相关要求。</w:t>
      </w:r>
    </w:p>
    <w:p w14:paraId="6BAE1B9B">
      <w:pPr>
        <w:pStyle w:val="10"/>
        <w:numPr>
          <w:ilvl w:val="3"/>
          <w:numId w:val="2"/>
        </w:numPr>
        <w:bidi w:val="0"/>
        <w:ind w:left="0" w:leftChars="0" w:firstLine="0" w:firstLineChars="0"/>
        <w:rPr>
          <w:rFonts w:hint="eastAsia"/>
          <w:highlight w:val="none"/>
          <w:lang w:val="en-US" w:eastAsia="zh-CN"/>
        </w:rPr>
      </w:pPr>
      <w:r>
        <w:rPr>
          <w:rFonts w:hint="eastAsia"/>
          <w:highlight w:val="none"/>
          <w:lang w:val="en-US" w:eastAsia="zh-CN"/>
        </w:rPr>
        <w:t>与《长江经济带发展负面清单指南（试行，2022年版）》符合性分析</w:t>
      </w:r>
    </w:p>
    <w:p w14:paraId="3DB67B81">
      <w:pPr>
        <w:rPr>
          <w:rFonts w:hint="eastAsia"/>
          <w:highlight w:val="none"/>
          <w:lang w:val="en-US" w:eastAsia="zh-CN"/>
        </w:rPr>
      </w:pPr>
      <w:r>
        <w:rPr>
          <w:rFonts w:hint="eastAsia"/>
          <w:highlight w:val="none"/>
          <w:lang w:val="en-US" w:eastAsia="zh-CN"/>
        </w:rPr>
        <w:t>拟建项目与《长江经济带发展负面清单指南（试行，2022年版）》的符合性见下表所示。</w:t>
      </w:r>
    </w:p>
    <w:p w14:paraId="4B119D9C">
      <w:pPr>
        <w:ind w:left="0" w:leftChars="0" w:firstLine="0" w:firstLineChars="0"/>
        <w:jc w:val="center"/>
        <w:rPr>
          <w:rFonts w:hint="eastAsia"/>
          <w:b/>
          <w:bCs/>
          <w:sz w:val="21"/>
          <w:szCs w:val="21"/>
          <w:highlight w:val="none"/>
          <w:lang w:val="en-US" w:eastAsia="zh-CN"/>
        </w:rPr>
      </w:pPr>
      <w:r>
        <w:rPr>
          <w:rFonts w:hint="eastAsia"/>
          <w:b/>
          <w:bCs/>
          <w:sz w:val="21"/>
          <w:szCs w:val="21"/>
          <w:highlight w:val="none"/>
          <w:lang w:val="en-US" w:eastAsia="zh-CN"/>
        </w:rPr>
        <w:t>表1.4-3  与长江经济带发展负面清单符合性分析</w:t>
      </w:r>
    </w:p>
    <w:tbl>
      <w:tblPr>
        <w:tblStyle w:val="106"/>
        <w:tblW w:w="5126" w:type="pct"/>
        <w:tblInd w:w="0" w:type="dxa"/>
        <w:tblBorders>
          <w:top w:val="single" w:color="auto" w:sz="12" w:space="0"/>
          <w:left w:val="single" w:color="auto" w:sz="12" w:space="0"/>
          <w:bottom w:val="single" w:color="auto" w:sz="12" w:space="0"/>
          <w:right w:val="single" w:color="auto" w:sz="12" w:space="0"/>
          <w:insideH w:val="single" w:color="000000" w:sz="2" w:space="0"/>
          <w:insideV w:val="single" w:color="000000" w:sz="2" w:space="0"/>
        </w:tblBorders>
        <w:tblLayout w:type="autofit"/>
        <w:tblCellMar>
          <w:top w:w="0" w:type="dxa"/>
          <w:left w:w="0" w:type="dxa"/>
          <w:bottom w:w="0" w:type="dxa"/>
          <w:right w:w="0" w:type="dxa"/>
        </w:tblCellMar>
      </w:tblPr>
      <w:tblGrid>
        <w:gridCol w:w="630"/>
        <w:gridCol w:w="5545"/>
        <w:gridCol w:w="2234"/>
        <w:gridCol w:w="865"/>
      </w:tblGrid>
      <w:tr w14:paraId="75012061">
        <w:tblPrEx>
          <w:tblBorders>
            <w:top w:val="single" w:color="auto" w:sz="12" w:space="0"/>
            <w:left w:val="single" w:color="auto" w:sz="12" w:space="0"/>
            <w:bottom w:val="single" w:color="auto" w:sz="12" w:space="0"/>
            <w:right w:val="single" w:color="auto" w:sz="12" w:space="0"/>
            <w:insideH w:val="single" w:color="000000" w:sz="2" w:space="0"/>
            <w:insideV w:val="single" w:color="000000" w:sz="2" w:space="0"/>
          </w:tblBorders>
          <w:tblCellMar>
            <w:top w:w="0" w:type="dxa"/>
            <w:left w:w="0" w:type="dxa"/>
            <w:bottom w:w="0" w:type="dxa"/>
            <w:right w:w="0" w:type="dxa"/>
          </w:tblCellMar>
        </w:tblPrEx>
        <w:trPr>
          <w:trHeight w:val="23" w:hRule="atLeast"/>
          <w:tblHeader/>
        </w:trPr>
        <w:tc>
          <w:tcPr>
            <w:tcW w:w="340" w:type="pct"/>
            <w:vAlign w:val="center"/>
          </w:tcPr>
          <w:p w14:paraId="3C097109">
            <w:pPr>
              <w:spacing w:line="360" w:lineRule="auto"/>
              <w:ind w:left="0" w:leftChars="0" w:firstLine="0" w:firstLineChars="0"/>
              <w:jc w:val="center"/>
              <w:rPr>
                <w:rFonts w:hint="eastAsia"/>
                <w:b/>
                <w:bCs/>
                <w:sz w:val="21"/>
                <w:szCs w:val="21"/>
                <w:highlight w:val="none"/>
                <w:lang w:val="en-US" w:eastAsia="zh-CN"/>
              </w:rPr>
            </w:pPr>
            <w:r>
              <w:rPr>
                <w:rFonts w:hint="eastAsia"/>
                <w:b/>
                <w:bCs/>
                <w:sz w:val="21"/>
                <w:szCs w:val="21"/>
                <w:highlight w:val="none"/>
                <w:lang w:val="en-US" w:eastAsia="zh-CN"/>
              </w:rPr>
              <w:t>序号</w:t>
            </w:r>
          </w:p>
        </w:tc>
        <w:tc>
          <w:tcPr>
            <w:tcW w:w="2988" w:type="pct"/>
            <w:vAlign w:val="center"/>
          </w:tcPr>
          <w:p w14:paraId="035A28B2">
            <w:pPr>
              <w:spacing w:line="360" w:lineRule="auto"/>
              <w:ind w:left="0" w:leftChars="0" w:firstLine="0" w:firstLineChars="0"/>
              <w:jc w:val="center"/>
              <w:rPr>
                <w:rFonts w:hint="eastAsia"/>
                <w:b/>
                <w:bCs/>
                <w:sz w:val="21"/>
                <w:szCs w:val="21"/>
                <w:highlight w:val="none"/>
                <w:lang w:val="en-US" w:eastAsia="zh-CN"/>
              </w:rPr>
            </w:pPr>
            <w:r>
              <w:rPr>
                <w:rFonts w:hint="eastAsia"/>
                <w:b/>
                <w:bCs/>
                <w:sz w:val="21"/>
                <w:szCs w:val="21"/>
                <w:highlight w:val="none"/>
                <w:lang w:val="en-US" w:eastAsia="zh-CN"/>
              </w:rPr>
              <w:t>指南要求</w:t>
            </w:r>
          </w:p>
        </w:tc>
        <w:tc>
          <w:tcPr>
            <w:tcW w:w="1204" w:type="pct"/>
            <w:vAlign w:val="center"/>
          </w:tcPr>
          <w:p w14:paraId="5274A37A">
            <w:pPr>
              <w:spacing w:line="360" w:lineRule="auto"/>
              <w:ind w:left="0" w:leftChars="0" w:firstLine="0" w:firstLineChars="0"/>
              <w:jc w:val="center"/>
              <w:rPr>
                <w:rFonts w:hint="eastAsia"/>
                <w:b/>
                <w:bCs/>
                <w:sz w:val="21"/>
                <w:szCs w:val="21"/>
                <w:highlight w:val="none"/>
                <w:lang w:val="en-US" w:eastAsia="zh-CN"/>
              </w:rPr>
            </w:pPr>
            <w:r>
              <w:rPr>
                <w:rFonts w:hint="eastAsia"/>
                <w:b/>
                <w:bCs/>
                <w:sz w:val="21"/>
                <w:szCs w:val="21"/>
                <w:highlight w:val="none"/>
                <w:lang w:val="en-US" w:eastAsia="zh-CN"/>
              </w:rPr>
              <w:t>拟建项目情况</w:t>
            </w:r>
          </w:p>
        </w:tc>
        <w:tc>
          <w:tcPr>
            <w:tcW w:w="466" w:type="pct"/>
            <w:vAlign w:val="center"/>
          </w:tcPr>
          <w:p w14:paraId="46B370B7">
            <w:pPr>
              <w:spacing w:line="360" w:lineRule="auto"/>
              <w:ind w:left="0" w:leftChars="0" w:firstLine="0" w:firstLineChars="0"/>
              <w:jc w:val="center"/>
              <w:rPr>
                <w:rFonts w:hint="eastAsia"/>
                <w:b/>
                <w:bCs/>
                <w:sz w:val="21"/>
                <w:szCs w:val="21"/>
                <w:highlight w:val="none"/>
                <w:lang w:val="en-US" w:eastAsia="zh-CN"/>
              </w:rPr>
            </w:pPr>
            <w:r>
              <w:rPr>
                <w:rFonts w:hint="eastAsia"/>
                <w:b/>
                <w:bCs/>
                <w:sz w:val="21"/>
                <w:szCs w:val="21"/>
                <w:highlight w:val="none"/>
                <w:lang w:val="en-US" w:eastAsia="zh-CN"/>
              </w:rPr>
              <w:t>符合性</w:t>
            </w:r>
          </w:p>
        </w:tc>
      </w:tr>
      <w:tr w14:paraId="4035444E">
        <w:tblPrEx>
          <w:tblBorders>
            <w:top w:val="single" w:color="auto" w:sz="12" w:space="0"/>
            <w:left w:val="single" w:color="auto" w:sz="12" w:space="0"/>
            <w:bottom w:val="single" w:color="auto" w:sz="12" w:space="0"/>
            <w:right w:val="single" w:color="auto" w:sz="12" w:space="0"/>
            <w:insideH w:val="single" w:color="000000" w:sz="2" w:space="0"/>
            <w:insideV w:val="single" w:color="000000" w:sz="2" w:space="0"/>
          </w:tblBorders>
          <w:tblCellMar>
            <w:top w:w="0" w:type="dxa"/>
            <w:left w:w="0" w:type="dxa"/>
            <w:bottom w:w="0" w:type="dxa"/>
            <w:right w:w="0" w:type="dxa"/>
          </w:tblCellMar>
        </w:tblPrEx>
        <w:trPr>
          <w:trHeight w:val="23" w:hRule="atLeast"/>
        </w:trPr>
        <w:tc>
          <w:tcPr>
            <w:tcW w:w="340" w:type="pct"/>
            <w:vAlign w:val="center"/>
          </w:tcPr>
          <w:p w14:paraId="445D7184">
            <w:pPr>
              <w:spacing w:line="240" w:lineRule="auto"/>
              <w:ind w:left="0" w:leftChars="0" w:firstLine="0" w:firstLineChars="0"/>
              <w:jc w:val="center"/>
              <w:rPr>
                <w:rFonts w:hint="eastAsia"/>
                <w:sz w:val="21"/>
                <w:szCs w:val="21"/>
                <w:highlight w:val="none"/>
                <w:lang w:val="en-US" w:eastAsia="zh-CN"/>
              </w:rPr>
            </w:pPr>
            <w:r>
              <w:rPr>
                <w:rFonts w:hint="eastAsia"/>
                <w:sz w:val="21"/>
                <w:szCs w:val="21"/>
                <w:highlight w:val="none"/>
                <w:lang w:val="en-US" w:eastAsia="zh-CN"/>
              </w:rPr>
              <w:t>1</w:t>
            </w:r>
          </w:p>
        </w:tc>
        <w:tc>
          <w:tcPr>
            <w:tcW w:w="2988" w:type="pct"/>
            <w:vAlign w:val="center"/>
          </w:tcPr>
          <w:p w14:paraId="1D3D6003">
            <w:pPr>
              <w:spacing w:line="240" w:lineRule="auto"/>
              <w:ind w:left="0" w:leftChars="0" w:firstLine="0" w:firstLineChars="0"/>
              <w:jc w:val="center"/>
              <w:rPr>
                <w:rFonts w:hint="eastAsia"/>
                <w:sz w:val="21"/>
                <w:szCs w:val="21"/>
                <w:highlight w:val="none"/>
                <w:lang w:val="en-US" w:eastAsia="zh-CN"/>
              </w:rPr>
            </w:pPr>
            <w:r>
              <w:rPr>
                <w:rFonts w:hint="eastAsia"/>
                <w:sz w:val="21"/>
                <w:szCs w:val="21"/>
                <w:highlight w:val="none"/>
                <w:lang w:val="en-US" w:eastAsia="zh-CN"/>
              </w:rPr>
              <w:t>禁止建设不符合全国和省级港口布局规划以及港口总体规划的码头项目，禁止建设不符合《长江干线过江通道布局规划》的过长江通道项目。</w:t>
            </w:r>
          </w:p>
        </w:tc>
        <w:tc>
          <w:tcPr>
            <w:tcW w:w="1204" w:type="pct"/>
            <w:vAlign w:val="center"/>
          </w:tcPr>
          <w:p w14:paraId="38CF6F03">
            <w:pPr>
              <w:spacing w:line="240" w:lineRule="auto"/>
              <w:ind w:left="0" w:leftChars="0" w:firstLine="0" w:firstLineChars="0"/>
              <w:jc w:val="center"/>
              <w:rPr>
                <w:rFonts w:hint="eastAsia"/>
                <w:sz w:val="21"/>
                <w:szCs w:val="21"/>
                <w:highlight w:val="none"/>
                <w:lang w:val="en-US" w:eastAsia="zh-CN"/>
              </w:rPr>
            </w:pPr>
            <w:r>
              <w:rPr>
                <w:rFonts w:hint="eastAsia"/>
                <w:sz w:val="21"/>
                <w:szCs w:val="21"/>
                <w:highlight w:val="none"/>
                <w:lang w:val="en-US" w:eastAsia="zh-CN"/>
              </w:rPr>
              <w:t>拟建项目不属于码头建设项目。</w:t>
            </w:r>
          </w:p>
        </w:tc>
        <w:tc>
          <w:tcPr>
            <w:tcW w:w="466" w:type="pct"/>
            <w:vAlign w:val="center"/>
          </w:tcPr>
          <w:p w14:paraId="27F3F3C2">
            <w:pPr>
              <w:spacing w:line="240" w:lineRule="auto"/>
              <w:ind w:left="0" w:leftChars="0" w:firstLine="0" w:firstLineChars="0"/>
              <w:jc w:val="center"/>
              <w:rPr>
                <w:rFonts w:hint="eastAsia"/>
                <w:sz w:val="21"/>
                <w:szCs w:val="21"/>
                <w:highlight w:val="none"/>
                <w:lang w:val="en-US" w:eastAsia="zh-CN"/>
              </w:rPr>
            </w:pPr>
            <w:r>
              <w:rPr>
                <w:rFonts w:hint="eastAsia"/>
                <w:sz w:val="21"/>
                <w:szCs w:val="21"/>
                <w:highlight w:val="none"/>
                <w:lang w:val="en-US" w:eastAsia="zh-CN"/>
              </w:rPr>
              <w:t>符合</w:t>
            </w:r>
          </w:p>
        </w:tc>
      </w:tr>
      <w:tr w14:paraId="53A2F36E">
        <w:tblPrEx>
          <w:tblBorders>
            <w:top w:val="single" w:color="auto" w:sz="12" w:space="0"/>
            <w:left w:val="single" w:color="auto" w:sz="12" w:space="0"/>
            <w:bottom w:val="single" w:color="auto" w:sz="12" w:space="0"/>
            <w:right w:val="single" w:color="auto" w:sz="12" w:space="0"/>
            <w:insideH w:val="single" w:color="000000" w:sz="2" w:space="0"/>
            <w:insideV w:val="single" w:color="000000" w:sz="2" w:space="0"/>
          </w:tblBorders>
          <w:tblCellMar>
            <w:top w:w="0" w:type="dxa"/>
            <w:left w:w="0" w:type="dxa"/>
            <w:bottom w:w="0" w:type="dxa"/>
            <w:right w:w="0" w:type="dxa"/>
          </w:tblCellMar>
        </w:tblPrEx>
        <w:trPr>
          <w:trHeight w:val="23" w:hRule="atLeast"/>
        </w:trPr>
        <w:tc>
          <w:tcPr>
            <w:tcW w:w="340" w:type="pct"/>
            <w:vAlign w:val="center"/>
          </w:tcPr>
          <w:p w14:paraId="7A8E865E">
            <w:pPr>
              <w:spacing w:line="240" w:lineRule="auto"/>
              <w:ind w:left="0" w:leftChars="0" w:firstLine="0" w:firstLineChars="0"/>
              <w:jc w:val="center"/>
              <w:rPr>
                <w:rFonts w:hint="eastAsia"/>
                <w:sz w:val="21"/>
                <w:szCs w:val="21"/>
                <w:highlight w:val="none"/>
                <w:lang w:val="en-US" w:eastAsia="zh-CN"/>
              </w:rPr>
            </w:pPr>
            <w:r>
              <w:rPr>
                <w:rFonts w:hint="eastAsia"/>
                <w:sz w:val="21"/>
                <w:szCs w:val="21"/>
                <w:highlight w:val="none"/>
                <w:lang w:val="en-US" w:eastAsia="zh-CN"/>
              </w:rPr>
              <w:t>2</w:t>
            </w:r>
          </w:p>
        </w:tc>
        <w:tc>
          <w:tcPr>
            <w:tcW w:w="2988" w:type="pct"/>
            <w:vAlign w:val="center"/>
          </w:tcPr>
          <w:p w14:paraId="12AEA390">
            <w:pPr>
              <w:spacing w:line="240" w:lineRule="auto"/>
              <w:ind w:left="0" w:leftChars="0" w:firstLine="0" w:firstLineChars="0"/>
              <w:jc w:val="center"/>
              <w:rPr>
                <w:rFonts w:hint="eastAsia"/>
                <w:sz w:val="21"/>
                <w:szCs w:val="21"/>
                <w:highlight w:val="none"/>
                <w:lang w:val="en-US" w:eastAsia="zh-CN"/>
              </w:rPr>
            </w:pPr>
            <w:r>
              <w:rPr>
                <w:rFonts w:hint="eastAsia"/>
                <w:sz w:val="21"/>
                <w:szCs w:val="21"/>
                <w:highlight w:val="none"/>
                <w:lang w:val="en-US" w:eastAsia="zh-CN"/>
              </w:rPr>
              <w:t>禁止在自然保护区核心区、缓冲区的岸线和河段范围内投资建设旅游和生产经营项目。禁止在风景名胜区核心景区的岸线和河段范围内投资建设与风景名胜资源保护无关的项目。</w:t>
            </w:r>
          </w:p>
        </w:tc>
        <w:tc>
          <w:tcPr>
            <w:tcW w:w="1204" w:type="pct"/>
            <w:vAlign w:val="center"/>
          </w:tcPr>
          <w:p w14:paraId="57AB246A">
            <w:pPr>
              <w:spacing w:line="240" w:lineRule="auto"/>
              <w:ind w:left="0" w:leftChars="0" w:firstLine="0" w:firstLineChars="0"/>
              <w:jc w:val="center"/>
              <w:rPr>
                <w:rFonts w:hint="eastAsia"/>
                <w:sz w:val="21"/>
                <w:szCs w:val="21"/>
                <w:highlight w:val="none"/>
                <w:lang w:val="en-US" w:eastAsia="zh-CN"/>
              </w:rPr>
            </w:pPr>
            <w:r>
              <w:rPr>
                <w:rFonts w:hint="eastAsia"/>
                <w:sz w:val="21"/>
                <w:szCs w:val="21"/>
                <w:highlight w:val="none"/>
                <w:lang w:val="en-US" w:eastAsia="zh-CN"/>
              </w:rPr>
              <w:t>拟建项目不涉及自然保护区和风景名胜区。</w:t>
            </w:r>
          </w:p>
        </w:tc>
        <w:tc>
          <w:tcPr>
            <w:tcW w:w="466" w:type="pct"/>
            <w:vAlign w:val="center"/>
          </w:tcPr>
          <w:p w14:paraId="14AFD95B">
            <w:pPr>
              <w:spacing w:line="240" w:lineRule="auto"/>
              <w:ind w:left="0" w:leftChars="0" w:firstLine="0" w:firstLineChars="0"/>
              <w:jc w:val="center"/>
              <w:rPr>
                <w:rFonts w:hint="eastAsia"/>
                <w:sz w:val="21"/>
                <w:szCs w:val="21"/>
                <w:highlight w:val="none"/>
                <w:lang w:val="en-US" w:eastAsia="zh-CN"/>
              </w:rPr>
            </w:pPr>
            <w:r>
              <w:rPr>
                <w:rFonts w:hint="eastAsia"/>
                <w:sz w:val="21"/>
                <w:szCs w:val="21"/>
                <w:highlight w:val="none"/>
                <w:lang w:val="en-US" w:eastAsia="zh-CN"/>
              </w:rPr>
              <w:t>符合</w:t>
            </w:r>
          </w:p>
        </w:tc>
      </w:tr>
      <w:tr w14:paraId="46056CAB">
        <w:tblPrEx>
          <w:tblBorders>
            <w:top w:val="single" w:color="auto" w:sz="12" w:space="0"/>
            <w:left w:val="single" w:color="auto" w:sz="12" w:space="0"/>
            <w:bottom w:val="single" w:color="auto" w:sz="12" w:space="0"/>
            <w:right w:val="single" w:color="auto" w:sz="12" w:space="0"/>
            <w:insideH w:val="single" w:color="000000" w:sz="2" w:space="0"/>
            <w:insideV w:val="single" w:color="000000" w:sz="2" w:space="0"/>
          </w:tblBorders>
          <w:tblCellMar>
            <w:top w:w="0" w:type="dxa"/>
            <w:left w:w="0" w:type="dxa"/>
            <w:bottom w:w="0" w:type="dxa"/>
            <w:right w:w="0" w:type="dxa"/>
          </w:tblCellMar>
        </w:tblPrEx>
        <w:trPr>
          <w:trHeight w:val="23" w:hRule="atLeast"/>
        </w:trPr>
        <w:tc>
          <w:tcPr>
            <w:tcW w:w="340" w:type="pct"/>
            <w:shd w:val="clear" w:color="auto" w:fill="auto"/>
            <w:vAlign w:val="center"/>
          </w:tcPr>
          <w:p w14:paraId="57FA90E5">
            <w:pPr>
              <w:spacing w:line="240" w:lineRule="auto"/>
              <w:ind w:left="0" w:leftChars="0" w:firstLine="0" w:firstLineChars="0"/>
              <w:jc w:val="center"/>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3</w:t>
            </w:r>
          </w:p>
        </w:tc>
        <w:tc>
          <w:tcPr>
            <w:tcW w:w="2988" w:type="pct"/>
            <w:shd w:val="clear" w:color="auto" w:fill="auto"/>
            <w:vAlign w:val="center"/>
          </w:tcPr>
          <w:p w14:paraId="4D18D8BE">
            <w:pPr>
              <w:spacing w:line="240" w:lineRule="auto"/>
              <w:ind w:left="0" w:leftChars="0" w:firstLine="0" w:firstLineChars="0"/>
              <w:jc w:val="center"/>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禁止在饮用水水源一级保护区的岸线和河段范围内新建、改建、扩建与供水设施和保护水源无关的项目，以及网箱养殖、畜禽养殖、旅游等可能污染饮用水水体的投资建设项目。禁止在饮用水水源二级保护区的岸线和河段范围内新建、改建、扩建排放污染物的投资建设项目。</w:t>
            </w:r>
          </w:p>
        </w:tc>
        <w:tc>
          <w:tcPr>
            <w:tcW w:w="1204" w:type="pct"/>
            <w:shd w:val="clear" w:color="auto" w:fill="auto"/>
            <w:vAlign w:val="center"/>
          </w:tcPr>
          <w:p w14:paraId="2DAAED18">
            <w:pPr>
              <w:spacing w:line="240" w:lineRule="auto"/>
              <w:ind w:left="0" w:leftChars="0" w:firstLine="0" w:firstLineChars="0"/>
              <w:jc w:val="center"/>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拟建项目不涉及饮用水源保护区。</w:t>
            </w:r>
          </w:p>
        </w:tc>
        <w:tc>
          <w:tcPr>
            <w:tcW w:w="466" w:type="pct"/>
            <w:shd w:val="clear" w:color="auto" w:fill="auto"/>
            <w:vAlign w:val="center"/>
          </w:tcPr>
          <w:p w14:paraId="4FBF5B8E">
            <w:pPr>
              <w:spacing w:line="240" w:lineRule="auto"/>
              <w:ind w:left="0" w:leftChars="0" w:firstLine="0" w:firstLineChars="0"/>
              <w:jc w:val="center"/>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符合</w:t>
            </w:r>
          </w:p>
        </w:tc>
      </w:tr>
      <w:tr w14:paraId="63F48BB5">
        <w:tblPrEx>
          <w:tblBorders>
            <w:top w:val="single" w:color="auto" w:sz="12" w:space="0"/>
            <w:left w:val="single" w:color="auto" w:sz="12" w:space="0"/>
            <w:bottom w:val="single" w:color="auto" w:sz="12" w:space="0"/>
            <w:right w:val="single" w:color="auto" w:sz="12" w:space="0"/>
            <w:insideH w:val="single" w:color="000000" w:sz="2" w:space="0"/>
            <w:insideV w:val="single" w:color="000000" w:sz="2" w:space="0"/>
          </w:tblBorders>
          <w:tblCellMar>
            <w:top w:w="0" w:type="dxa"/>
            <w:left w:w="0" w:type="dxa"/>
            <w:bottom w:w="0" w:type="dxa"/>
            <w:right w:w="0" w:type="dxa"/>
          </w:tblCellMar>
        </w:tblPrEx>
        <w:trPr>
          <w:trHeight w:val="23" w:hRule="atLeast"/>
        </w:trPr>
        <w:tc>
          <w:tcPr>
            <w:tcW w:w="340" w:type="pct"/>
            <w:shd w:val="clear" w:color="auto" w:fill="auto"/>
            <w:vAlign w:val="center"/>
          </w:tcPr>
          <w:p w14:paraId="32D9CF47">
            <w:pPr>
              <w:spacing w:line="240" w:lineRule="auto"/>
              <w:ind w:left="0" w:leftChars="0" w:firstLine="0" w:firstLineChars="0"/>
              <w:jc w:val="center"/>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4</w:t>
            </w:r>
          </w:p>
        </w:tc>
        <w:tc>
          <w:tcPr>
            <w:tcW w:w="2988" w:type="pct"/>
            <w:shd w:val="clear" w:color="auto" w:fill="auto"/>
            <w:vAlign w:val="center"/>
          </w:tcPr>
          <w:p w14:paraId="2106A310">
            <w:pPr>
              <w:spacing w:line="240" w:lineRule="auto"/>
              <w:ind w:left="0" w:leftChars="0" w:firstLine="0" w:firstLineChars="0"/>
              <w:jc w:val="center"/>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禁止在水产种质资源保护区的岸线和河段范围内新建围湖造田、围海造地或围填海等投资建设项目。禁止在国家湿地公园的岸线和河段范围内挖沙、采矿，以及任何不符合主体功能定位的投资建设项目。</w:t>
            </w:r>
          </w:p>
        </w:tc>
        <w:tc>
          <w:tcPr>
            <w:tcW w:w="1204" w:type="pct"/>
            <w:shd w:val="clear" w:color="auto" w:fill="auto"/>
            <w:vAlign w:val="center"/>
          </w:tcPr>
          <w:p w14:paraId="7C29B177">
            <w:pPr>
              <w:spacing w:line="240" w:lineRule="auto"/>
              <w:ind w:left="0" w:leftChars="0" w:firstLine="0" w:firstLineChars="0"/>
              <w:jc w:val="center"/>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拟建项目不涉及水产种质资源保护区和国家湿地公园河段。</w:t>
            </w:r>
          </w:p>
        </w:tc>
        <w:tc>
          <w:tcPr>
            <w:tcW w:w="466" w:type="pct"/>
            <w:shd w:val="clear" w:color="auto" w:fill="auto"/>
            <w:vAlign w:val="center"/>
          </w:tcPr>
          <w:p w14:paraId="0C56D854">
            <w:pPr>
              <w:spacing w:line="240" w:lineRule="auto"/>
              <w:ind w:left="0" w:leftChars="0" w:firstLine="0" w:firstLineChars="0"/>
              <w:jc w:val="center"/>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符合</w:t>
            </w:r>
          </w:p>
        </w:tc>
      </w:tr>
      <w:tr w14:paraId="3210B4D7">
        <w:tblPrEx>
          <w:tblBorders>
            <w:top w:val="single" w:color="auto" w:sz="12" w:space="0"/>
            <w:left w:val="single" w:color="auto" w:sz="12" w:space="0"/>
            <w:bottom w:val="single" w:color="auto" w:sz="12" w:space="0"/>
            <w:right w:val="single" w:color="auto" w:sz="12" w:space="0"/>
            <w:insideH w:val="single" w:color="000000" w:sz="2" w:space="0"/>
            <w:insideV w:val="single" w:color="000000" w:sz="2" w:space="0"/>
          </w:tblBorders>
          <w:tblCellMar>
            <w:top w:w="0" w:type="dxa"/>
            <w:left w:w="0" w:type="dxa"/>
            <w:bottom w:w="0" w:type="dxa"/>
            <w:right w:w="0" w:type="dxa"/>
          </w:tblCellMar>
        </w:tblPrEx>
        <w:trPr>
          <w:trHeight w:val="23" w:hRule="atLeast"/>
        </w:trPr>
        <w:tc>
          <w:tcPr>
            <w:tcW w:w="340" w:type="pct"/>
            <w:shd w:val="clear" w:color="auto" w:fill="auto"/>
            <w:vAlign w:val="center"/>
          </w:tcPr>
          <w:p w14:paraId="2B1E7E36">
            <w:pPr>
              <w:spacing w:line="240" w:lineRule="auto"/>
              <w:ind w:left="0" w:leftChars="0" w:firstLine="0" w:firstLineChars="0"/>
              <w:jc w:val="center"/>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5</w:t>
            </w:r>
          </w:p>
        </w:tc>
        <w:tc>
          <w:tcPr>
            <w:tcW w:w="2988" w:type="pct"/>
            <w:shd w:val="clear" w:color="auto" w:fill="auto"/>
            <w:vAlign w:val="center"/>
          </w:tcPr>
          <w:p w14:paraId="6162F403">
            <w:pPr>
              <w:spacing w:line="240" w:lineRule="auto"/>
              <w:ind w:left="0" w:leftChars="0" w:firstLine="0" w:firstLineChars="0"/>
              <w:jc w:val="center"/>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禁止违法利用、占用长江流域河湖岸线。禁止在《长江岸线保护和开发利用总体规划》划定的岸线保护区和保留区内投资建设除事关公共安全及公众利益的防洪护岸、河道治理、供水、生态环境保护、航道整治、国家重要基础设施以外的项目。禁止在《全国重要江河湖泊水功能区划》划定的河段及湖泊保护区、保留区内投资建设不利于水资源及自然生态保护的项目。</w:t>
            </w:r>
          </w:p>
        </w:tc>
        <w:tc>
          <w:tcPr>
            <w:tcW w:w="1204" w:type="pct"/>
            <w:shd w:val="clear" w:color="auto" w:fill="auto"/>
            <w:vAlign w:val="center"/>
          </w:tcPr>
          <w:p w14:paraId="66A4B853">
            <w:pPr>
              <w:spacing w:line="240" w:lineRule="auto"/>
              <w:ind w:left="0" w:leftChars="0" w:firstLine="0" w:firstLineChars="0"/>
              <w:jc w:val="center"/>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拟建项目选址不在《长江岸线保护和开发利用总体规划》划定的岸线保护区和保留区内；不在《全国重要江河湖泊水功能区划》划定的河段及湖泊保护区保留区内。</w:t>
            </w:r>
          </w:p>
        </w:tc>
        <w:tc>
          <w:tcPr>
            <w:tcW w:w="466" w:type="pct"/>
            <w:shd w:val="clear" w:color="auto" w:fill="auto"/>
            <w:vAlign w:val="center"/>
          </w:tcPr>
          <w:p w14:paraId="1B3FCE75">
            <w:pPr>
              <w:spacing w:line="240" w:lineRule="auto"/>
              <w:ind w:left="0" w:leftChars="0" w:firstLine="0" w:firstLineChars="0"/>
              <w:jc w:val="center"/>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符合</w:t>
            </w:r>
          </w:p>
        </w:tc>
      </w:tr>
      <w:tr w14:paraId="739A74EF">
        <w:tblPrEx>
          <w:tblBorders>
            <w:top w:val="single" w:color="auto" w:sz="12" w:space="0"/>
            <w:left w:val="single" w:color="auto" w:sz="12" w:space="0"/>
            <w:bottom w:val="single" w:color="auto" w:sz="12" w:space="0"/>
            <w:right w:val="single" w:color="auto" w:sz="12" w:space="0"/>
            <w:insideH w:val="single" w:color="000000" w:sz="2" w:space="0"/>
            <w:insideV w:val="single" w:color="000000" w:sz="2" w:space="0"/>
          </w:tblBorders>
          <w:tblCellMar>
            <w:top w:w="0" w:type="dxa"/>
            <w:left w:w="0" w:type="dxa"/>
            <w:bottom w:w="0" w:type="dxa"/>
            <w:right w:w="0" w:type="dxa"/>
          </w:tblCellMar>
        </w:tblPrEx>
        <w:trPr>
          <w:trHeight w:val="23" w:hRule="atLeast"/>
        </w:trPr>
        <w:tc>
          <w:tcPr>
            <w:tcW w:w="340" w:type="pct"/>
            <w:shd w:val="clear" w:color="auto" w:fill="auto"/>
            <w:vAlign w:val="center"/>
          </w:tcPr>
          <w:p w14:paraId="1A737EF8">
            <w:pPr>
              <w:spacing w:line="240" w:lineRule="auto"/>
              <w:ind w:left="0" w:leftChars="0" w:firstLine="0" w:firstLineChars="0"/>
              <w:jc w:val="center"/>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6</w:t>
            </w:r>
          </w:p>
        </w:tc>
        <w:tc>
          <w:tcPr>
            <w:tcW w:w="2988" w:type="pct"/>
            <w:shd w:val="clear" w:color="auto" w:fill="auto"/>
            <w:vAlign w:val="center"/>
          </w:tcPr>
          <w:p w14:paraId="14080E8E">
            <w:pPr>
              <w:spacing w:line="240" w:lineRule="auto"/>
              <w:ind w:left="0" w:leftChars="0" w:firstLine="0" w:firstLineChars="0"/>
              <w:jc w:val="center"/>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禁止未经许可在长江干支流及湖泊新设、改设或扩大排污口。</w:t>
            </w:r>
          </w:p>
        </w:tc>
        <w:tc>
          <w:tcPr>
            <w:tcW w:w="1204" w:type="pct"/>
            <w:shd w:val="clear" w:color="auto" w:fill="auto"/>
            <w:vAlign w:val="center"/>
          </w:tcPr>
          <w:p w14:paraId="29CF2496">
            <w:pPr>
              <w:spacing w:line="240" w:lineRule="auto"/>
              <w:ind w:left="0" w:leftChars="0" w:firstLine="0" w:firstLineChars="0"/>
              <w:jc w:val="center"/>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拟建项目运营期</w:t>
            </w:r>
            <w:r>
              <w:rPr>
                <w:rFonts w:hint="eastAsia" w:cs="Times New Roman"/>
                <w:sz w:val="21"/>
                <w:szCs w:val="21"/>
                <w:highlight w:val="none"/>
                <w:lang w:val="en-US" w:eastAsia="zh-CN"/>
              </w:rPr>
              <w:t>废水均外委处置，</w:t>
            </w:r>
            <w:r>
              <w:rPr>
                <w:rFonts w:hint="eastAsia" w:ascii="Times New Roman" w:hAnsi="Times New Roman" w:eastAsia="宋体" w:cs="Times New Roman"/>
                <w:sz w:val="21"/>
                <w:szCs w:val="21"/>
                <w:highlight w:val="none"/>
                <w:lang w:val="en-US" w:eastAsia="zh-CN"/>
              </w:rPr>
              <w:t>不新设、改设或扩大排污口。</w:t>
            </w:r>
          </w:p>
        </w:tc>
        <w:tc>
          <w:tcPr>
            <w:tcW w:w="466" w:type="pct"/>
            <w:shd w:val="clear" w:color="auto" w:fill="auto"/>
            <w:vAlign w:val="center"/>
          </w:tcPr>
          <w:p w14:paraId="00330619">
            <w:pPr>
              <w:spacing w:line="240" w:lineRule="auto"/>
              <w:ind w:left="0" w:leftChars="0" w:firstLine="0" w:firstLineChars="0"/>
              <w:jc w:val="center"/>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符合</w:t>
            </w:r>
          </w:p>
        </w:tc>
      </w:tr>
      <w:tr w14:paraId="135D3AA6">
        <w:tblPrEx>
          <w:tblBorders>
            <w:top w:val="single" w:color="auto" w:sz="12" w:space="0"/>
            <w:left w:val="single" w:color="auto" w:sz="12" w:space="0"/>
            <w:bottom w:val="single" w:color="auto" w:sz="12" w:space="0"/>
            <w:right w:val="single" w:color="auto" w:sz="12" w:space="0"/>
            <w:insideH w:val="single" w:color="000000" w:sz="2" w:space="0"/>
            <w:insideV w:val="single" w:color="000000" w:sz="2" w:space="0"/>
          </w:tblBorders>
          <w:tblCellMar>
            <w:top w:w="0" w:type="dxa"/>
            <w:left w:w="0" w:type="dxa"/>
            <w:bottom w:w="0" w:type="dxa"/>
            <w:right w:w="0" w:type="dxa"/>
          </w:tblCellMar>
        </w:tblPrEx>
        <w:trPr>
          <w:trHeight w:val="23" w:hRule="atLeast"/>
        </w:trPr>
        <w:tc>
          <w:tcPr>
            <w:tcW w:w="340" w:type="pct"/>
            <w:shd w:val="clear" w:color="auto" w:fill="auto"/>
            <w:vAlign w:val="center"/>
          </w:tcPr>
          <w:p w14:paraId="15DB967B">
            <w:pPr>
              <w:spacing w:line="240" w:lineRule="auto"/>
              <w:ind w:left="0" w:leftChars="0" w:firstLine="0" w:firstLineChars="0"/>
              <w:jc w:val="center"/>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7</w:t>
            </w:r>
          </w:p>
        </w:tc>
        <w:tc>
          <w:tcPr>
            <w:tcW w:w="2988" w:type="pct"/>
            <w:shd w:val="clear" w:color="auto" w:fill="auto"/>
            <w:vAlign w:val="center"/>
          </w:tcPr>
          <w:p w14:paraId="3972F9AD">
            <w:pPr>
              <w:spacing w:line="240" w:lineRule="auto"/>
              <w:ind w:left="0" w:leftChars="0" w:firstLine="0" w:firstLineChars="0"/>
              <w:jc w:val="center"/>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禁止在“一江一口两湖七河”和332个水生生物保护区开展生产性捕捞。</w:t>
            </w:r>
          </w:p>
        </w:tc>
        <w:tc>
          <w:tcPr>
            <w:tcW w:w="1204" w:type="pct"/>
            <w:shd w:val="clear" w:color="auto" w:fill="auto"/>
            <w:vAlign w:val="center"/>
          </w:tcPr>
          <w:p w14:paraId="2FC57D06">
            <w:pPr>
              <w:spacing w:line="240" w:lineRule="auto"/>
              <w:ind w:left="0" w:leftChars="0" w:firstLine="0" w:firstLineChars="0"/>
              <w:jc w:val="center"/>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拟建项目不开展捕捞河流水生动物活动。</w:t>
            </w:r>
          </w:p>
        </w:tc>
        <w:tc>
          <w:tcPr>
            <w:tcW w:w="466" w:type="pct"/>
            <w:shd w:val="clear" w:color="auto" w:fill="auto"/>
            <w:vAlign w:val="center"/>
          </w:tcPr>
          <w:p w14:paraId="0068CEF6">
            <w:pPr>
              <w:spacing w:line="240" w:lineRule="auto"/>
              <w:ind w:left="0" w:leftChars="0" w:firstLine="0" w:firstLineChars="0"/>
              <w:jc w:val="center"/>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符合</w:t>
            </w:r>
          </w:p>
        </w:tc>
      </w:tr>
      <w:tr w14:paraId="1BBEE0BD">
        <w:tblPrEx>
          <w:tblBorders>
            <w:top w:val="single" w:color="auto" w:sz="12" w:space="0"/>
            <w:left w:val="single" w:color="auto" w:sz="12" w:space="0"/>
            <w:bottom w:val="single" w:color="auto" w:sz="12" w:space="0"/>
            <w:right w:val="single" w:color="auto" w:sz="12" w:space="0"/>
            <w:insideH w:val="single" w:color="000000" w:sz="2" w:space="0"/>
            <w:insideV w:val="single" w:color="000000" w:sz="2" w:space="0"/>
          </w:tblBorders>
          <w:tblCellMar>
            <w:top w:w="0" w:type="dxa"/>
            <w:left w:w="0" w:type="dxa"/>
            <w:bottom w:w="0" w:type="dxa"/>
            <w:right w:w="0" w:type="dxa"/>
          </w:tblCellMar>
        </w:tblPrEx>
        <w:trPr>
          <w:trHeight w:val="23" w:hRule="atLeast"/>
        </w:trPr>
        <w:tc>
          <w:tcPr>
            <w:tcW w:w="340" w:type="pct"/>
            <w:shd w:val="clear" w:color="auto" w:fill="auto"/>
            <w:vAlign w:val="center"/>
          </w:tcPr>
          <w:p w14:paraId="29C4FB65">
            <w:pPr>
              <w:spacing w:line="240" w:lineRule="auto"/>
              <w:ind w:left="0" w:leftChars="0" w:firstLine="0" w:firstLineChars="0"/>
              <w:jc w:val="center"/>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8</w:t>
            </w:r>
          </w:p>
        </w:tc>
        <w:tc>
          <w:tcPr>
            <w:tcW w:w="2988" w:type="pct"/>
            <w:shd w:val="clear" w:color="auto" w:fill="auto"/>
            <w:vAlign w:val="center"/>
          </w:tcPr>
          <w:p w14:paraId="4B96D914">
            <w:pPr>
              <w:spacing w:line="240" w:lineRule="auto"/>
              <w:ind w:left="0" w:leftChars="0" w:firstLine="0" w:firstLineChars="0"/>
              <w:jc w:val="center"/>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禁止在长江干支流、重要湖泊岸线一公里范围内新建、扩建化工园区和化工项目。禁止在长江干流岸线三公里范围内和重要支流岸线一公里范围内新建、改建、扩建尾矿库、冶炼渣库和磷石膏库，以提升安全、生态环境保护水平为目的的改建除外。</w:t>
            </w:r>
          </w:p>
        </w:tc>
        <w:tc>
          <w:tcPr>
            <w:tcW w:w="1204" w:type="pct"/>
            <w:shd w:val="clear" w:color="auto" w:fill="auto"/>
            <w:vAlign w:val="center"/>
          </w:tcPr>
          <w:p w14:paraId="58E4D336">
            <w:pPr>
              <w:spacing w:line="240" w:lineRule="auto"/>
              <w:ind w:left="0" w:leftChars="0" w:firstLine="0" w:firstLineChars="0"/>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拟建项目不属于化工项目，不涉及新建、改建、扩建尾矿库、冶炼渣库和磷石膏库。</w:t>
            </w:r>
          </w:p>
        </w:tc>
        <w:tc>
          <w:tcPr>
            <w:tcW w:w="466" w:type="pct"/>
            <w:shd w:val="clear" w:color="auto" w:fill="auto"/>
            <w:vAlign w:val="center"/>
          </w:tcPr>
          <w:p w14:paraId="1C38A759">
            <w:pPr>
              <w:spacing w:line="240" w:lineRule="auto"/>
              <w:ind w:left="0" w:leftChars="0" w:firstLine="0" w:firstLineChars="0"/>
              <w:jc w:val="center"/>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符合</w:t>
            </w:r>
          </w:p>
        </w:tc>
      </w:tr>
      <w:tr w14:paraId="58FE2E4A">
        <w:tblPrEx>
          <w:tblBorders>
            <w:top w:val="single" w:color="auto" w:sz="12" w:space="0"/>
            <w:left w:val="single" w:color="auto" w:sz="12" w:space="0"/>
            <w:bottom w:val="single" w:color="auto" w:sz="12" w:space="0"/>
            <w:right w:val="single" w:color="auto" w:sz="12" w:space="0"/>
            <w:insideH w:val="single" w:color="000000" w:sz="2" w:space="0"/>
            <w:insideV w:val="single" w:color="000000" w:sz="2" w:space="0"/>
          </w:tblBorders>
          <w:tblCellMar>
            <w:top w:w="0" w:type="dxa"/>
            <w:left w:w="0" w:type="dxa"/>
            <w:bottom w:w="0" w:type="dxa"/>
            <w:right w:w="0" w:type="dxa"/>
          </w:tblCellMar>
        </w:tblPrEx>
        <w:trPr>
          <w:trHeight w:val="23" w:hRule="atLeast"/>
        </w:trPr>
        <w:tc>
          <w:tcPr>
            <w:tcW w:w="340" w:type="pct"/>
            <w:shd w:val="clear" w:color="auto" w:fill="auto"/>
            <w:vAlign w:val="center"/>
          </w:tcPr>
          <w:p w14:paraId="3CE9DBE8">
            <w:pPr>
              <w:spacing w:line="240" w:lineRule="auto"/>
              <w:ind w:left="0" w:leftChars="0" w:firstLine="0" w:firstLineChars="0"/>
              <w:jc w:val="center"/>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9</w:t>
            </w:r>
          </w:p>
        </w:tc>
        <w:tc>
          <w:tcPr>
            <w:tcW w:w="2988" w:type="pct"/>
            <w:shd w:val="clear" w:color="auto" w:fill="auto"/>
            <w:vAlign w:val="center"/>
          </w:tcPr>
          <w:p w14:paraId="53667027">
            <w:pPr>
              <w:spacing w:line="240" w:lineRule="auto"/>
              <w:ind w:left="0" w:leftChars="0" w:firstLine="0" w:firstLineChars="0"/>
              <w:jc w:val="center"/>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禁止在合规园区外新建、扩建钢铁、石化、化工、焦化、建材、有色、制浆造纸等高污染项目。</w:t>
            </w:r>
          </w:p>
        </w:tc>
        <w:tc>
          <w:tcPr>
            <w:tcW w:w="1204" w:type="pct"/>
            <w:shd w:val="clear" w:color="auto" w:fill="auto"/>
            <w:vAlign w:val="center"/>
          </w:tcPr>
          <w:p w14:paraId="4FC61051">
            <w:pPr>
              <w:spacing w:line="240" w:lineRule="auto"/>
              <w:ind w:left="0" w:leftChars="0" w:firstLine="0" w:firstLineChars="0"/>
              <w:jc w:val="center"/>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拟建项目位于</w:t>
            </w:r>
            <w:r>
              <w:rPr>
                <w:rFonts w:hint="eastAsia" w:cs="Times New Roman"/>
                <w:sz w:val="21"/>
                <w:szCs w:val="21"/>
                <w:highlight w:val="none"/>
                <w:lang w:val="en-US" w:eastAsia="zh-CN"/>
              </w:rPr>
              <w:t>平江县三阳乡</w:t>
            </w:r>
            <w:r>
              <w:rPr>
                <w:rFonts w:hint="eastAsia" w:ascii="Times New Roman" w:hAnsi="Times New Roman" w:eastAsia="宋体" w:cs="Times New Roman"/>
                <w:sz w:val="21"/>
                <w:szCs w:val="21"/>
                <w:highlight w:val="none"/>
                <w:lang w:val="en-US" w:eastAsia="zh-CN"/>
              </w:rPr>
              <w:t>，</w:t>
            </w:r>
            <w:r>
              <w:rPr>
                <w:rFonts w:hint="eastAsia" w:cs="Times New Roman"/>
                <w:sz w:val="21"/>
                <w:szCs w:val="21"/>
                <w:highlight w:val="none"/>
                <w:lang w:val="en-US" w:eastAsia="zh-CN"/>
              </w:rPr>
              <w:t>为固体废物治理</w:t>
            </w:r>
            <w:r>
              <w:rPr>
                <w:rFonts w:hint="eastAsia" w:ascii="Times New Roman" w:hAnsi="Times New Roman" w:eastAsia="宋体" w:cs="Times New Roman"/>
                <w:sz w:val="21"/>
                <w:szCs w:val="21"/>
                <w:highlight w:val="none"/>
                <w:lang w:val="en-US" w:eastAsia="zh-CN"/>
              </w:rPr>
              <w:t>项目，不属于上述禁止类高污染项目。</w:t>
            </w:r>
          </w:p>
        </w:tc>
        <w:tc>
          <w:tcPr>
            <w:tcW w:w="466" w:type="pct"/>
            <w:shd w:val="clear" w:color="auto" w:fill="auto"/>
            <w:vAlign w:val="center"/>
          </w:tcPr>
          <w:p w14:paraId="6E58FBF5">
            <w:pPr>
              <w:spacing w:line="240" w:lineRule="auto"/>
              <w:ind w:left="0" w:leftChars="0" w:firstLine="0" w:firstLineChars="0"/>
              <w:jc w:val="center"/>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符合</w:t>
            </w:r>
          </w:p>
        </w:tc>
      </w:tr>
      <w:tr w14:paraId="5BB396A0">
        <w:tblPrEx>
          <w:tblBorders>
            <w:top w:val="single" w:color="auto" w:sz="12" w:space="0"/>
            <w:left w:val="single" w:color="auto" w:sz="12" w:space="0"/>
            <w:bottom w:val="single" w:color="auto" w:sz="12" w:space="0"/>
            <w:right w:val="single" w:color="auto" w:sz="12" w:space="0"/>
            <w:insideH w:val="single" w:color="000000" w:sz="2" w:space="0"/>
            <w:insideV w:val="single" w:color="000000" w:sz="2" w:space="0"/>
          </w:tblBorders>
          <w:tblCellMar>
            <w:top w:w="0" w:type="dxa"/>
            <w:left w:w="0" w:type="dxa"/>
            <w:bottom w:w="0" w:type="dxa"/>
            <w:right w:w="0" w:type="dxa"/>
          </w:tblCellMar>
        </w:tblPrEx>
        <w:trPr>
          <w:trHeight w:val="23" w:hRule="atLeast"/>
        </w:trPr>
        <w:tc>
          <w:tcPr>
            <w:tcW w:w="340" w:type="pct"/>
            <w:shd w:val="clear" w:color="auto" w:fill="auto"/>
            <w:vAlign w:val="center"/>
          </w:tcPr>
          <w:p w14:paraId="3C9151F9">
            <w:pPr>
              <w:spacing w:line="240" w:lineRule="auto"/>
              <w:ind w:left="0" w:leftChars="0" w:firstLine="0" w:firstLineChars="0"/>
              <w:jc w:val="center"/>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10</w:t>
            </w:r>
          </w:p>
        </w:tc>
        <w:tc>
          <w:tcPr>
            <w:tcW w:w="2988" w:type="pct"/>
            <w:shd w:val="clear" w:color="auto" w:fill="auto"/>
            <w:vAlign w:val="center"/>
          </w:tcPr>
          <w:p w14:paraId="255D8A67">
            <w:pPr>
              <w:spacing w:line="240" w:lineRule="auto"/>
              <w:ind w:left="0" w:leftChars="0" w:firstLine="0" w:firstLineChars="0"/>
              <w:jc w:val="center"/>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禁止新建、扩建不符合国家石化、现代煤化工等产业布局规划的项目。</w:t>
            </w:r>
          </w:p>
        </w:tc>
        <w:tc>
          <w:tcPr>
            <w:tcW w:w="1204" w:type="pct"/>
            <w:shd w:val="clear" w:color="auto" w:fill="auto"/>
            <w:vAlign w:val="center"/>
          </w:tcPr>
          <w:p w14:paraId="32C90F4D">
            <w:pPr>
              <w:spacing w:line="240" w:lineRule="auto"/>
              <w:ind w:left="0" w:leftChars="0" w:firstLine="0" w:firstLineChars="0"/>
              <w:jc w:val="center"/>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拟建项目不属于石化、煤化工项目。</w:t>
            </w:r>
          </w:p>
        </w:tc>
        <w:tc>
          <w:tcPr>
            <w:tcW w:w="466" w:type="pct"/>
            <w:shd w:val="clear" w:color="auto" w:fill="auto"/>
            <w:vAlign w:val="center"/>
          </w:tcPr>
          <w:p w14:paraId="29A595EF">
            <w:pPr>
              <w:spacing w:line="240" w:lineRule="auto"/>
              <w:ind w:left="0" w:leftChars="0" w:firstLine="0" w:firstLineChars="0"/>
              <w:jc w:val="center"/>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符合</w:t>
            </w:r>
          </w:p>
        </w:tc>
      </w:tr>
      <w:tr w14:paraId="724915EB">
        <w:tblPrEx>
          <w:tblBorders>
            <w:top w:val="single" w:color="auto" w:sz="12" w:space="0"/>
            <w:left w:val="single" w:color="auto" w:sz="12" w:space="0"/>
            <w:bottom w:val="single" w:color="auto" w:sz="12" w:space="0"/>
            <w:right w:val="single" w:color="auto" w:sz="12" w:space="0"/>
            <w:insideH w:val="single" w:color="000000" w:sz="2" w:space="0"/>
            <w:insideV w:val="single" w:color="000000" w:sz="2" w:space="0"/>
          </w:tblBorders>
          <w:tblCellMar>
            <w:top w:w="0" w:type="dxa"/>
            <w:left w:w="0" w:type="dxa"/>
            <w:bottom w:w="0" w:type="dxa"/>
            <w:right w:w="0" w:type="dxa"/>
          </w:tblCellMar>
        </w:tblPrEx>
        <w:trPr>
          <w:trHeight w:val="23" w:hRule="atLeast"/>
        </w:trPr>
        <w:tc>
          <w:tcPr>
            <w:tcW w:w="340" w:type="pct"/>
            <w:shd w:val="clear" w:color="auto" w:fill="auto"/>
            <w:vAlign w:val="center"/>
          </w:tcPr>
          <w:p w14:paraId="3D73279B">
            <w:pPr>
              <w:spacing w:line="240" w:lineRule="auto"/>
              <w:ind w:left="0" w:leftChars="0" w:firstLine="0" w:firstLineChars="0"/>
              <w:jc w:val="center"/>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11</w:t>
            </w:r>
          </w:p>
        </w:tc>
        <w:tc>
          <w:tcPr>
            <w:tcW w:w="2988" w:type="pct"/>
            <w:shd w:val="clear" w:color="auto" w:fill="auto"/>
            <w:vAlign w:val="center"/>
          </w:tcPr>
          <w:p w14:paraId="7EFD818E">
            <w:pPr>
              <w:spacing w:line="240" w:lineRule="auto"/>
              <w:ind w:left="0" w:leftChars="0" w:firstLine="0" w:firstLineChars="0"/>
              <w:jc w:val="center"/>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禁止新建、扩建法律法规和相关政策明令禁止的落后产能项目。禁止新建、扩建不符合国家产能置换要求的严重过剩产能行业的项目。禁止新建、扩建不符合要求的高耗能高排放项目。</w:t>
            </w:r>
          </w:p>
        </w:tc>
        <w:tc>
          <w:tcPr>
            <w:tcW w:w="1204" w:type="pct"/>
            <w:shd w:val="clear" w:color="auto" w:fill="auto"/>
            <w:vAlign w:val="center"/>
          </w:tcPr>
          <w:p w14:paraId="3D274D39">
            <w:pPr>
              <w:spacing w:line="240" w:lineRule="auto"/>
              <w:ind w:left="0" w:leftChars="0" w:firstLine="0" w:firstLineChars="0"/>
              <w:jc w:val="center"/>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拟建项目不属于落后产能、过剩产能、高耗能高排放项目。</w:t>
            </w:r>
          </w:p>
        </w:tc>
        <w:tc>
          <w:tcPr>
            <w:tcW w:w="466" w:type="pct"/>
            <w:shd w:val="clear" w:color="auto" w:fill="auto"/>
            <w:vAlign w:val="center"/>
          </w:tcPr>
          <w:p w14:paraId="7EC78FAB">
            <w:pPr>
              <w:spacing w:line="240" w:lineRule="auto"/>
              <w:ind w:left="0" w:leftChars="0" w:firstLine="0" w:firstLineChars="0"/>
              <w:jc w:val="center"/>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符合</w:t>
            </w:r>
          </w:p>
        </w:tc>
      </w:tr>
    </w:tbl>
    <w:p w14:paraId="59A930EE">
      <w:pPr>
        <w:bidi w:val="0"/>
      </w:pPr>
      <w:r>
        <w:rPr>
          <w:rFonts w:hint="eastAsia"/>
          <w:highlight w:val="none"/>
          <w:lang w:val="en-US" w:eastAsia="zh-CN"/>
        </w:rPr>
        <w:t>综上所述，本项目符合《长江经济带发展负面清单指南（试行，2022年版）》中相关要求。</w:t>
      </w:r>
    </w:p>
    <w:p w14:paraId="2933BDF5">
      <w:pPr>
        <w:pStyle w:val="10"/>
        <w:numPr>
          <w:ilvl w:val="3"/>
          <w:numId w:val="2"/>
        </w:numPr>
        <w:bidi w:val="0"/>
        <w:ind w:left="0" w:leftChars="0" w:firstLine="0" w:firstLineChars="0"/>
        <w:rPr>
          <w:sz w:val="24"/>
          <w:szCs w:val="24"/>
          <w:highlight w:val="none"/>
        </w:rPr>
      </w:pPr>
      <w:r>
        <w:rPr>
          <w:b/>
          <w:bCs/>
          <w:spacing w:val="-5"/>
          <w:sz w:val="24"/>
          <w:szCs w:val="24"/>
          <w:highlight w:val="none"/>
        </w:rPr>
        <w:t>与《湖南省长江经济带发展负面清单实施细则（试行，</w:t>
      </w:r>
      <w:r>
        <w:rPr>
          <w:rFonts w:ascii="Times New Roman" w:hAnsi="Times New Roman" w:eastAsia="Times New Roman" w:cs="Times New Roman"/>
          <w:b/>
          <w:bCs/>
          <w:spacing w:val="-5"/>
          <w:sz w:val="24"/>
          <w:szCs w:val="24"/>
          <w:highlight w:val="none"/>
        </w:rPr>
        <w:t>2022</w:t>
      </w:r>
      <w:r>
        <w:rPr>
          <w:b/>
          <w:bCs/>
          <w:spacing w:val="-5"/>
          <w:sz w:val="24"/>
          <w:szCs w:val="24"/>
          <w:highlight w:val="none"/>
        </w:rPr>
        <w:t>年版）》符合</w:t>
      </w:r>
      <w:r>
        <w:rPr>
          <w:b/>
          <w:bCs/>
          <w:spacing w:val="-4"/>
          <w:sz w:val="24"/>
          <w:szCs w:val="24"/>
          <w:highlight w:val="none"/>
        </w:rPr>
        <w:t>性分析</w:t>
      </w:r>
    </w:p>
    <w:p w14:paraId="45EFBFF4">
      <w:pPr>
        <w:bidi w:val="0"/>
        <w:rPr>
          <w:rFonts w:hint="eastAsia"/>
          <w:highlight w:val="none"/>
          <w:lang w:val="en-US" w:eastAsia="zh-CN"/>
        </w:rPr>
      </w:pPr>
      <w:r>
        <w:rPr>
          <w:rFonts w:hint="eastAsia"/>
          <w:highlight w:val="none"/>
          <w:lang w:val="en-US" w:eastAsia="zh-CN"/>
        </w:rPr>
        <w:t>拟建项目与《湖南省长江经济带发展负面清单实施细则（试行，2022年版）》符合性分析见下表。</w:t>
      </w:r>
    </w:p>
    <w:p w14:paraId="70B563C0">
      <w:pPr>
        <w:bidi w:val="0"/>
        <w:ind w:left="0" w:leftChars="0" w:firstLine="0" w:firstLineChars="0"/>
        <w:jc w:val="center"/>
        <w:rPr>
          <w:rFonts w:hint="eastAsia"/>
          <w:b/>
          <w:bCs/>
          <w:sz w:val="21"/>
          <w:szCs w:val="21"/>
          <w:highlight w:val="none"/>
          <w:lang w:val="en-US" w:eastAsia="zh-CN"/>
        </w:rPr>
      </w:pPr>
    </w:p>
    <w:p w14:paraId="591C832A">
      <w:pPr>
        <w:bidi w:val="0"/>
        <w:ind w:left="0" w:leftChars="0" w:firstLine="0" w:firstLineChars="0"/>
        <w:jc w:val="center"/>
        <w:rPr>
          <w:rFonts w:hint="eastAsia"/>
          <w:b/>
          <w:bCs/>
          <w:sz w:val="21"/>
          <w:szCs w:val="21"/>
          <w:highlight w:val="none"/>
          <w:lang w:val="en-US" w:eastAsia="zh-CN"/>
        </w:rPr>
      </w:pPr>
      <w:r>
        <w:rPr>
          <w:rFonts w:hint="eastAsia"/>
          <w:b/>
          <w:bCs/>
          <w:sz w:val="21"/>
          <w:szCs w:val="21"/>
          <w:highlight w:val="none"/>
          <w:lang w:val="en-US" w:eastAsia="zh-CN"/>
        </w:rPr>
        <w:t>表1.4-4  与湖南省长江经济带发展负面清单实施细则的符合性分析</w:t>
      </w:r>
    </w:p>
    <w:tbl>
      <w:tblPr>
        <w:tblStyle w:val="106"/>
        <w:tblW w:w="5079" w:type="pct"/>
        <w:tblInd w:w="0" w:type="dxa"/>
        <w:tblBorders>
          <w:top w:val="single" w:color="auto" w:sz="12" w:space="0"/>
          <w:left w:val="single" w:color="auto" w:sz="12" w:space="0"/>
          <w:bottom w:val="single" w:color="auto" w:sz="12" w:space="0"/>
          <w:right w:val="single" w:color="auto" w:sz="12" w:space="0"/>
          <w:insideH w:val="single" w:color="000000" w:sz="2" w:space="0"/>
          <w:insideV w:val="single" w:color="000000" w:sz="2" w:space="0"/>
        </w:tblBorders>
        <w:tblLayout w:type="autofit"/>
        <w:tblCellMar>
          <w:top w:w="0" w:type="dxa"/>
          <w:left w:w="0" w:type="dxa"/>
          <w:bottom w:w="0" w:type="dxa"/>
          <w:right w:w="0" w:type="dxa"/>
        </w:tblCellMar>
      </w:tblPr>
      <w:tblGrid>
        <w:gridCol w:w="759"/>
        <w:gridCol w:w="5461"/>
        <w:gridCol w:w="2041"/>
        <w:gridCol w:w="928"/>
      </w:tblGrid>
      <w:tr w14:paraId="5807CDBF">
        <w:tblPrEx>
          <w:tblBorders>
            <w:top w:val="single" w:color="auto" w:sz="12" w:space="0"/>
            <w:left w:val="single" w:color="auto" w:sz="12" w:space="0"/>
            <w:bottom w:val="single" w:color="auto" w:sz="12" w:space="0"/>
            <w:right w:val="single" w:color="auto" w:sz="12" w:space="0"/>
            <w:insideH w:val="single" w:color="000000" w:sz="2" w:space="0"/>
            <w:insideV w:val="single" w:color="000000" w:sz="2" w:space="0"/>
          </w:tblBorders>
          <w:tblCellMar>
            <w:top w:w="0" w:type="dxa"/>
            <w:left w:w="0" w:type="dxa"/>
            <w:bottom w:w="0" w:type="dxa"/>
            <w:right w:w="0" w:type="dxa"/>
          </w:tblCellMar>
        </w:tblPrEx>
        <w:trPr>
          <w:trHeight w:val="23" w:hRule="atLeast"/>
          <w:tblHeader/>
        </w:trPr>
        <w:tc>
          <w:tcPr>
            <w:tcW w:w="413" w:type="pct"/>
            <w:vAlign w:val="center"/>
          </w:tcPr>
          <w:p w14:paraId="00899F12">
            <w:pPr>
              <w:spacing w:line="360" w:lineRule="auto"/>
              <w:ind w:left="0" w:leftChars="0" w:firstLine="0" w:firstLineChars="0"/>
              <w:jc w:val="center"/>
              <w:rPr>
                <w:rFonts w:hint="eastAsia"/>
                <w:b/>
                <w:bCs/>
                <w:sz w:val="21"/>
                <w:szCs w:val="21"/>
                <w:highlight w:val="none"/>
                <w:lang w:val="en-US" w:eastAsia="zh-CN"/>
              </w:rPr>
            </w:pPr>
            <w:r>
              <w:rPr>
                <w:rFonts w:hint="eastAsia"/>
                <w:b/>
                <w:bCs/>
                <w:sz w:val="21"/>
                <w:szCs w:val="21"/>
                <w:highlight w:val="none"/>
                <w:lang w:val="en-US" w:eastAsia="zh-CN"/>
              </w:rPr>
              <w:t>序号</w:t>
            </w:r>
          </w:p>
        </w:tc>
        <w:tc>
          <w:tcPr>
            <w:tcW w:w="2970" w:type="pct"/>
            <w:vAlign w:val="center"/>
          </w:tcPr>
          <w:p w14:paraId="58CCA92E">
            <w:pPr>
              <w:spacing w:line="360" w:lineRule="auto"/>
              <w:ind w:left="0" w:leftChars="0" w:firstLine="0" w:firstLineChars="0"/>
              <w:jc w:val="center"/>
              <w:rPr>
                <w:rFonts w:hint="eastAsia"/>
                <w:b/>
                <w:bCs/>
                <w:sz w:val="21"/>
                <w:szCs w:val="21"/>
                <w:highlight w:val="none"/>
                <w:lang w:val="en-US" w:eastAsia="zh-CN"/>
              </w:rPr>
            </w:pPr>
            <w:r>
              <w:rPr>
                <w:rFonts w:hint="eastAsia"/>
                <w:b/>
                <w:bCs/>
                <w:sz w:val="21"/>
                <w:szCs w:val="21"/>
                <w:highlight w:val="none"/>
                <w:lang w:val="en-US" w:eastAsia="zh-CN"/>
              </w:rPr>
              <w:t>负面清单</w:t>
            </w:r>
          </w:p>
        </w:tc>
        <w:tc>
          <w:tcPr>
            <w:tcW w:w="1110" w:type="pct"/>
            <w:vAlign w:val="center"/>
          </w:tcPr>
          <w:p w14:paraId="23326199">
            <w:pPr>
              <w:spacing w:line="360" w:lineRule="auto"/>
              <w:ind w:left="0" w:leftChars="0" w:firstLine="0" w:firstLineChars="0"/>
              <w:jc w:val="center"/>
              <w:rPr>
                <w:rFonts w:hint="eastAsia"/>
                <w:b/>
                <w:bCs/>
                <w:sz w:val="21"/>
                <w:szCs w:val="21"/>
                <w:highlight w:val="none"/>
                <w:lang w:val="en-US" w:eastAsia="zh-CN"/>
              </w:rPr>
            </w:pPr>
            <w:r>
              <w:rPr>
                <w:rFonts w:hint="eastAsia"/>
                <w:b/>
                <w:bCs/>
                <w:sz w:val="21"/>
                <w:szCs w:val="21"/>
                <w:highlight w:val="none"/>
                <w:lang w:val="en-US" w:eastAsia="zh-CN"/>
              </w:rPr>
              <w:t>拟建项目情况</w:t>
            </w:r>
          </w:p>
        </w:tc>
        <w:tc>
          <w:tcPr>
            <w:tcW w:w="505" w:type="pct"/>
            <w:vAlign w:val="center"/>
          </w:tcPr>
          <w:p w14:paraId="7B93DE45">
            <w:pPr>
              <w:spacing w:line="360" w:lineRule="auto"/>
              <w:ind w:left="0" w:leftChars="0" w:firstLine="0" w:firstLineChars="0"/>
              <w:jc w:val="center"/>
              <w:rPr>
                <w:rFonts w:hint="eastAsia"/>
                <w:b/>
                <w:bCs/>
                <w:sz w:val="21"/>
                <w:szCs w:val="21"/>
                <w:highlight w:val="none"/>
                <w:lang w:val="en-US" w:eastAsia="zh-CN"/>
              </w:rPr>
            </w:pPr>
            <w:r>
              <w:rPr>
                <w:rFonts w:hint="eastAsia"/>
                <w:b/>
                <w:bCs/>
                <w:sz w:val="21"/>
                <w:szCs w:val="21"/>
                <w:highlight w:val="none"/>
                <w:lang w:val="en-US" w:eastAsia="zh-CN"/>
              </w:rPr>
              <w:t>符合性</w:t>
            </w:r>
          </w:p>
        </w:tc>
      </w:tr>
      <w:tr w14:paraId="14F1C317">
        <w:tblPrEx>
          <w:tblBorders>
            <w:top w:val="single" w:color="auto" w:sz="12" w:space="0"/>
            <w:left w:val="single" w:color="auto" w:sz="12" w:space="0"/>
            <w:bottom w:val="single" w:color="auto" w:sz="12" w:space="0"/>
            <w:right w:val="single" w:color="auto" w:sz="12" w:space="0"/>
            <w:insideH w:val="single" w:color="000000" w:sz="2" w:space="0"/>
            <w:insideV w:val="single" w:color="000000" w:sz="2" w:space="0"/>
          </w:tblBorders>
          <w:tblCellMar>
            <w:top w:w="0" w:type="dxa"/>
            <w:left w:w="0" w:type="dxa"/>
            <w:bottom w:w="0" w:type="dxa"/>
            <w:right w:w="0" w:type="dxa"/>
          </w:tblCellMar>
        </w:tblPrEx>
        <w:trPr>
          <w:trHeight w:val="23" w:hRule="atLeast"/>
        </w:trPr>
        <w:tc>
          <w:tcPr>
            <w:tcW w:w="413" w:type="pct"/>
            <w:vAlign w:val="center"/>
          </w:tcPr>
          <w:p w14:paraId="335A181C">
            <w:pPr>
              <w:spacing w:line="240" w:lineRule="auto"/>
              <w:ind w:left="0" w:leftChars="0" w:firstLine="0" w:firstLineChars="0"/>
              <w:jc w:val="center"/>
              <w:rPr>
                <w:rFonts w:hint="eastAsia"/>
                <w:sz w:val="21"/>
                <w:szCs w:val="21"/>
                <w:highlight w:val="none"/>
                <w:lang w:val="en-US" w:eastAsia="zh-CN"/>
              </w:rPr>
            </w:pPr>
            <w:r>
              <w:rPr>
                <w:rFonts w:hint="eastAsia"/>
                <w:sz w:val="21"/>
                <w:szCs w:val="21"/>
                <w:highlight w:val="none"/>
                <w:lang w:val="en-US" w:eastAsia="zh-CN"/>
              </w:rPr>
              <w:t>1</w:t>
            </w:r>
          </w:p>
        </w:tc>
        <w:tc>
          <w:tcPr>
            <w:tcW w:w="2970" w:type="pct"/>
            <w:vAlign w:val="center"/>
          </w:tcPr>
          <w:p w14:paraId="7BCF5878">
            <w:pPr>
              <w:spacing w:line="240" w:lineRule="auto"/>
              <w:ind w:left="0" w:leftChars="0" w:firstLine="0" w:firstLineChars="0"/>
              <w:jc w:val="both"/>
              <w:rPr>
                <w:rFonts w:hint="eastAsia"/>
                <w:sz w:val="21"/>
                <w:szCs w:val="21"/>
                <w:highlight w:val="none"/>
                <w:lang w:val="en-US" w:eastAsia="zh-CN"/>
              </w:rPr>
            </w:pPr>
            <w:r>
              <w:rPr>
                <w:rFonts w:hint="eastAsia"/>
                <w:sz w:val="21"/>
                <w:szCs w:val="21"/>
                <w:highlight w:val="none"/>
                <w:lang w:val="en-US" w:eastAsia="zh-CN"/>
              </w:rPr>
              <w:t>第十五条：禁止在长江湖南段和洞庭湖、湘江、资江、沅江、澧水岸线一公里范围内新、扩建化工园区和化工项目。禁止在长江湖南段岸线三公里范围内和湘江、资江、沅江、澧水岸线1公里范围内新建、改建、扩建尾矿库、冶炼渣库和磷石膏库，以提升安全、生态环境保护水平为目的的改建除外。</w:t>
            </w:r>
          </w:p>
        </w:tc>
        <w:tc>
          <w:tcPr>
            <w:tcW w:w="1110" w:type="pct"/>
            <w:vAlign w:val="center"/>
          </w:tcPr>
          <w:p w14:paraId="788F7B81">
            <w:pPr>
              <w:spacing w:line="240" w:lineRule="auto"/>
              <w:ind w:left="0" w:leftChars="0" w:firstLine="0" w:firstLineChars="0"/>
              <w:jc w:val="center"/>
              <w:rPr>
                <w:rFonts w:hint="eastAsia"/>
                <w:sz w:val="21"/>
                <w:szCs w:val="21"/>
                <w:highlight w:val="none"/>
                <w:lang w:val="en-US" w:eastAsia="zh-CN"/>
              </w:rPr>
            </w:pPr>
            <w:r>
              <w:rPr>
                <w:rFonts w:hint="eastAsia"/>
                <w:sz w:val="21"/>
                <w:szCs w:val="21"/>
                <w:highlight w:val="none"/>
                <w:lang w:val="en-US" w:eastAsia="zh-CN"/>
              </w:rPr>
              <w:t>拟建项目不属于化工项目，不涉及新建、改建、扩建尾矿库、冶炼渣库和磷石膏库。</w:t>
            </w:r>
          </w:p>
        </w:tc>
        <w:tc>
          <w:tcPr>
            <w:tcW w:w="505" w:type="pct"/>
            <w:vAlign w:val="center"/>
          </w:tcPr>
          <w:p w14:paraId="08C42243">
            <w:pPr>
              <w:spacing w:line="240" w:lineRule="auto"/>
              <w:ind w:left="0" w:leftChars="0" w:firstLine="0" w:firstLineChars="0"/>
              <w:jc w:val="center"/>
              <w:rPr>
                <w:rFonts w:hint="eastAsia"/>
                <w:sz w:val="21"/>
                <w:szCs w:val="21"/>
                <w:highlight w:val="none"/>
                <w:lang w:val="en-US" w:eastAsia="zh-CN"/>
              </w:rPr>
            </w:pPr>
            <w:r>
              <w:rPr>
                <w:rFonts w:hint="eastAsia"/>
                <w:sz w:val="21"/>
                <w:szCs w:val="21"/>
                <w:highlight w:val="none"/>
                <w:lang w:val="en-US" w:eastAsia="zh-CN"/>
              </w:rPr>
              <w:t>符合</w:t>
            </w:r>
          </w:p>
        </w:tc>
      </w:tr>
      <w:tr w14:paraId="52403A2F">
        <w:tblPrEx>
          <w:tblBorders>
            <w:top w:val="single" w:color="auto" w:sz="12" w:space="0"/>
            <w:left w:val="single" w:color="auto" w:sz="12" w:space="0"/>
            <w:bottom w:val="single" w:color="auto" w:sz="12" w:space="0"/>
            <w:right w:val="single" w:color="auto" w:sz="12" w:space="0"/>
            <w:insideH w:val="single" w:color="000000" w:sz="2" w:space="0"/>
            <w:insideV w:val="single" w:color="000000" w:sz="2" w:space="0"/>
          </w:tblBorders>
          <w:tblCellMar>
            <w:top w:w="0" w:type="dxa"/>
            <w:left w:w="0" w:type="dxa"/>
            <w:bottom w:w="0" w:type="dxa"/>
            <w:right w:w="0" w:type="dxa"/>
          </w:tblCellMar>
        </w:tblPrEx>
        <w:trPr>
          <w:trHeight w:val="23" w:hRule="atLeast"/>
        </w:trPr>
        <w:tc>
          <w:tcPr>
            <w:tcW w:w="413" w:type="pct"/>
            <w:vAlign w:val="center"/>
          </w:tcPr>
          <w:p w14:paraId="37C3C9D4">
            <w:pPr>
              <w:spacing w:line="240" w:lineRule="auto"/>
              <w:ind w:left="0" w:leftChars="0" w:firstLine="0" w:firstLineChars="0"/>
              <w:jc w:val="center"/>
              <w:rPr>
                <w:rFonts w:hint="eastAsia"/>
                <w:sz w:val="21"/>
                <w:szCs w:val="21"/>
                <w:highlight w:val="none"/>
                <w:lang w:val="en-US" w:eastAsia="zh-CN"/>
              </w:rPr>
            </w:pPr>
            <w:r>
              <w:rPr>
                <w:rFonts w:hint="eastAsia"/>
                <w:sz w:val="21"/>
                <w:szCs w:val="21"/>
                <w:highlight w:val="none"/>
                <w:lang w:val="en-US" w:eastAsia="zh-CN"/>
              </w:rPr>
              <w:t>2</w:t>
            </w:r>
          </w:p>
        </w:tc>
        <w:tc>
          <w:tcPr>
            <w:tcW w:w="2970" w:type="pct"/>
            <w:vAlign w:val="center"/>
          </w:tcPr>
          <w:p w14:paraId="0B5F6164">
            <w:pPr>
              <w:spacing w:line="240" w:lineRule="auto"/>
              <w:ind w:left="0" w:leftChars="0" w:firstLine="0" w:firstLineChars="0"/>
              <w:jc w:val="center"/>
              <w:rPr>
                <w:rFonts w:hint="eastAsia"/>
                <w:sz w:val="21"/>
                <w:szCs w:val="21"/>
                <w:highlight w:val="none"/>
                <w:lang w:val="en-US" w:eastAsia="zh-CN"/>
              </w:rPr>
            </w:pPr>
            <w:r>
              <w:rPr>
                <w:rFonts w:hint="eastAsia"/>
                <w:sz w:val="21"/>
                <w:szCs w:val="21"/>
                <w:highlight w:val="none"/>
                <w:lang w:val="en-US" w:eastAsia="zh-CN"/>
              </w:rPr>
              <w:t>第十六条：禁止在合规园区外新建、扩建钢铁、石化、化工、焦化、建材、有色、制浆造纸等高污染项目。高污染项目严格按照生态环境部《环境保护综合名录（2021年版）》有关要求执行。</w:t>
            </w:r>
          </w:p>
        </w:tc>
        <w:tc>
          <w:tcPr>
            <w:tcW w:w="1110" w:type="pct"/>
            <w:vAlign w:val="center"/>
          </w:tcPr>
          <w:p w14:paraId="2359DB57">
            <w:pPr>
              <w:spacing w:line="240" w:lineRule="auto"/>
              <w:ind w:left="0" w:leftChars="0" w:firstLine="0" w:firstLineChars="0"/>
              <w:jc w:val="center"/>
              <w:rPr>
                <w:rFonts w:hint="eastAsia"/>
                <w:sz w:val="21"/>
                <w:szCs w:val="21"/>
                <w:highlight w:val="none"/>
                <w:lang w:val="en-US" w:eastAsia="zh-CN"/>
              </w:rPr>
            </w:pPr>
            <w:r>
              <w:rPr>
                <w:rFonts w:hint="eastAsia"/>
                <w:sz w:val="21"/>
                <w:szCs w:val="21"/>
                <w:highlight w:val="none"/>
                <w:lang w:val="en-US" w:eastAsia="zh-CN"/>
              </w:rPr>
              <w:t>拟建项目行业为N7723固体废物治理项目，不属于高污染项目；不涉及《环境保护综合名录（2021年版）》规定的“高污染、高环境风险”产品。</w:t>
            </w:r>
          </w:p>
        </w:tc>
        <w:tc>
          <w:tcPr>
            <w:tcW w:w="505" w:type="pct"/>
            <w:vAlign w:val="center"/>
          </w:tcPr>
          <w:p w14:paraId="5A4317A0">
            <w:pPr>
              <w:spacing w:line="240" w:lineRule="auto"/>
              <w:ind w:left="0" w:leftChars="0" w:firstLine="0" w:firstLineChars="0"/>
              <w:jc w:val="center"/>
              <w:rPr>
                <w:rFonts w:hint="eastAsia"/>
                <w:sz w:val="21"/>
                <w:szCs w:val="21"/>
                <w:highlight w:val="none"/>
                <w:lang w:val="en-US" w:eastAsia="zh-CN"/>
              </w:rPr>
            </w:pPr>
            <w:r>
              <w:rPr>
                <w:rFonts w:hint="eastAsia"/>
                <w:sz w:val="21"/>
                <w:szCs w:val="21"/>
                <w:highlight w:val="none"/>
                <w:lang w:val="en-US" w:eastAsia="zh-CN"/>
              </w:rPr>
              <w:t>符合</w:t>
            </w:r>
          </w:p>
        </w:tc>
      </w:tr>
      <w:tr w14:paraId="3DAA5ACA">
        <w:tblPrEx>
          <w:tblBorders>
            <w:top w:val="single" w:color="auto" w:sz="12" w:space="0"/>
            <w:left w:val="single" w:color="auto" w:sz="12" w:space="0"/>
            <w:bottom w:val="single" w:color="auto" w:sz="12" w:space="0"/>
            <w:right w:val="single" w:color="auto" w:sz="12" w:space="0"/>
            <w:insideH w:val="single" w:color="000000" w:sz="2" w:space="0"/>
            <w:insideV w:val="single" w:color="000000" w:sz="2" w:space="0"/>
          </w:tblBorders>
          <w:tblCellMar>
            <w:top w:w="0" w:type="dxa"/>
            <w:left w:w="0" w:type="dxa"/>
            <w:bottom w:w="0" w:type="dxa"/>
            <w:right w:w="0" w:type="dxa"/>
          </w:tblCellMar>
        </w:tblPrEx>
        <w:trPr>
          <w:trHeight w:val="23" w:hRule="atLeast"/>
        </w:trPr>
        <w:tc>
          <w:tcPr>
            <w:tcW w:w="413" w:type="pct"/>
            <w:vAlign w:val="center"/>
          </w:tcPr>
          <w:p w14:paraId="349C5EC0">
            <w:pPr>
              <w:spacing w:line="240" w:lineRule="auto"/>
              <w:ind w:left="0" w:leftChars="0" w:firstLine="0" w:firstLineChars="0"/>
              <w:jc w:val="center"/>
              <w:rPr>
                <w:rFonts w:hint="eastAsia"/>
                <w:sz w:val="21"/>
                <w:szCs w:val="21"/>
                <w:highlight w:val="none"/>
                <w:lang w:val="en-US" w:eastAsia="zh-CN"/>
              </w:rPr>
            </w:pPr>
            <w:r>
              <w:rPr>
                <w:rFonts w:hint="eastAsia"/>
                <w:sz w:val="21"/>
                <w:szCs w:val="21"/>
                <w:highlight w:val="none"/>
                <w:lang w:val="en-US" w:eastAsia="zh-CN"/>
              </w:rPr>
              <w:t>3</w:t>
            </w:r>
          </w:p>
        </w:tc>
        <w:tc>
          <w:tcPr>
            <w:tcW w:w="2970" w:type="pct"/>
            <w:vAlign w:val="center"/>
          </w:tcPr>
          <w:p w14:paraId="3BC602EF">
            <w:pPr>
              <w:spacing w:line="240" w:lineRule="auto"/>
              <w:ind w:left="0" w:leftChars="0" w:firstLine="0" w:firstLineChars="0"/>
              <w:jc w:val="center"/>
              <w:rPr>
                <w:rFonts w:hint="eastAsia"/>
                <w:sz w:val="21"/>
                <w:szCs w:val="21"/>
                <w:highlight w:val="none"/>
                <w:lang w:val="en-US" w:eastAsia="zh-CN"/>
              </w:rPr>
            </w:pPr>
            <w:r>
              <w:rPr>
                <w:rFonts w:hint="eastAsia"/>
                <w:sz w:val="21"/>
                <w:szCs w:val="21"/>
                <w:highlight w:val="none"/>
                <w:lang w:val="en-US" w:eastAsia="zh-CN"/>
              </w:rPr>
              <w:t>第十七条：禁止新建、扩建不符合国家石化、现代煤化工等产业布局规划的项目。未通过认定的化工园区，不得新建、改扩建化工项目（安全、环保、节能和智能化改造项目除外）。</w:t>
            </w:r>
          </w:p>
        </w:tc>
        <w:tc>
          <w:tcPr>
            <w:tcW w:w="1110" w:type="pct"/>
            <w:vAlign w:val="center"/>
          </w:tcPr>
          <w:p w14:paraId="1143E5B7">
            <w:pPr>
              <w:spacing w:line="240" w:lineRule="auto"/>
              <w:ind w:left="0" w:leftChars="0" w:firstLine="0" w:firstLineChars="0"/>
              <w:jc w:val="center"/>
              <w:rPr>
                <w:rFonts w:hint="eastAsia"/>
                <w:sz w:val="21"/>
                <w:szCs w:val="21"/>
                <w:highlight w:val="none"/>
                <w:lang w:val="en-US" w:eastAsia="zh-CN"/>
              </w:rPr>
            </w:pPr>
            <w:r>
              <w:rPr>
                <w:rFonts w:hint="eastAsia"/>
                <w:sz w:val="21"/>
                <w:szCs w:val="21"/>
                <w:highlight w:val="none"/>
                <w:lang w:val="en-US" w:eastAsia="zh-CN"/>
              </w:rPr>
              <w:t>拟建项目不属于石化、煤化工项目。</w:t>
            </w:r>
          </w:p>
        </w:tc>
        <w:tc>
          <w:tcPr>
            <w:tcW w:w="505" w:type="pct"/>
            <w:vAlign w:val="center"/>
          </w:tcPr>
          <w:p w14:paraId="0C87DA0D">
            <w:pPr>
              <w:spacing w:line="240" w:lineRule="auto"/>
              <w:ind w:left="0" w:leftChars="0" w:firstLine="0" w:firstLineChars="0"/>
              <w:jc w:val="center"/>
              <w:rPr>
                <w:rFonts w:hint="eastAsia"/>
                <w:sz w:val="21"/>
                <w:szCs w:val="21"/>
                <w:highlight w:val="none"/>
                <w:lang w:val="en-US" w:eastAsia="zh-CN"/>
              </w:rPr>
            </w:pPr>
            <w:r>
              <w:rPr>
                <w:rFonts w:hint="eastAsia"/>
                <w:sz w:val="21"/>
                <w:szCs w:val="21"/>
                <w:highlight w:val="none"/>
                <w:lang w:val="en-US" w:eastAsia="zh-CN"/>
              </w:rPr>
              <w:t>符合</w:t>
            </w:r>
          </w:p>
        </w:tc>
      </w:tr>
      <w:tr w14:paraId="7F8EAEFC">
        <w:tblPrEx>
          <w:tblBorders>
            <w:top w:val="single" w:color="auto" w:sz="12" w:space="0"/>
            <w:left w:val="single" w:color="auto" w:sz="12" w:space="0"/>
            <w:bottom w:val="single" w:color="auto" w:sz="12" w:space="0"/>
            <w:right w:val="single" w:color="auto" w:sz="12" w:space="0"/>
            <w:insideH w:val="single" w:color="000000" w:sz="2" w:space="0"/>
            <w:insideV w:val="single" w:color="000000" w:sz="2" w:space="0"/>
          </w:tblBorders>
          <w:tblCellMar>
            <w:top w:w="0" w:type="dxa"/>
            <w:left w:w="0" w:type="dxa"/>
            <w:bottom w:w="0" w:type="dxa"/>
            <w:right w:w="0" w:type="dxa"/>
          </w:tblCellMar>
        </w:tblPrEx>
        <w:trPr>
          <w:trHeight w:val="23" w:hRule="atLeast"/>
        </w:trPr>
        <w:tc>
          <w:tcPr>
            <w:tcW w:w="413" w:type="pct"/>
            <w:vAlign w:val="center"/>
          </w:tcPr>
          <w:p w14:paraId="114E4B1E">
            <w:pPr>
              <w:spacing w:line="240" w:lineRule="auto"/>
              <w:ind w:left="0" w:leftChars="0" w:firstLine="0" w:firstLineChars="0"/>
              <w:jc w:val="center"/>
              <w:rPr>
                <w:rFonts w:hint="eastAsia"/>
                <w:sz w:val="21"/>
                <w:szCs w:val="21"/>
                <w:highlight w:val="none"/>
                <w:lang w:val="en-US" w:eastAsia="zh-CN"/>
              </w:rPr>
            </w:pPr>
            <w:r>
              <w:rPr>
                <w:rFonts w:hint="eastAsia"/>
                <w:sz w:val="21"/>
                <w:szCs w:val="21"/>
                <w:highlight w:val="none"/>
                <w:lang w:val="en-US" w:eastAsia="zh-CN"/>
              </w:rPr>
              <w:t>4</w:t>
            </w:r>
          </w:p>
        </w:tc>
        <w:tc>
          <w:tcPr>
            <w:tcW w:w="2970" w:type="pct"/>
            <w:vAlign w:val="center"/>
          </w:tcPr>
          <w:p w14:paraId="4CF044BB">
            <w:pPr>
              <w:spacing w:line="240" w:lineRule="auto"/>
              <w:ind w:left="0" w:leftChars="0" w:firstLine="0" w:firstLineChars="0"/>
              <w:jc w:val="center"/>
              <w:rPr>
                <w:rFonts w:hint="eastAsia"/>
                <w:sz w:val="21"/>
                <w:szCs w:val="21"/>
                <w:highlight w:val="none"/>
                <w:lang w:val="en-US" w:eastAsia="zh-CN"/>
              </w:rPr>
            </w:pPr>
            <w:r>
              <w:rPr>
                <w:rFonts w:hint="eastAsia"/>
                <w:sz w:val="21"/>
                <w:szCs w:val="21"/>
                <w:highlight w:val="none"/>
                <w:lang w:val="en-US" w:eastAsia="zh-CN"/>
              </w:rPr>
              <w:t>第十八条、禁止新建、扩建法律法规和相关政策明令禁止的落后产能项目；对不符合要求的落后产能存量项目依法依规退出。禁止新建、扩建不符合国家产能置换要求的严重过剩产能行业（钢铁、水泥、电解铝、平板玻璃、船舶等行业）的项目。对确有必要新建、扩建的，必须严格执行产能置换实施办法，实施减量或等量置换，依法依规办理有关手续。禁止新建、扩建不符合要求的高耗能高排放项目。</w:t>
            </w:r>
          </w:p>
        </w:tc>
        <w:tc>
          <w:tcPr>
            <w:tcW w:w="1110" w:type="pct"/>
            <w:vAlign w:val="center"/>
          </w:tcPr>
          <w:p w14:paraId="76A5157A">
            <w:pPr>
              <w:spacing w:line="240" w:lineRule="auto"/>
              <w:ind w:left="0" w:leftChars="0" w:firstLine="0" w:firstLineChars="0"/>
              <w:jc w:val="center"/>
              <w:rPr>
                <w:rFonts w:hint="eastAsia"/>
                <w:sz w:val="21"/>
                <w:szCs w:val="21"/>
                <w:highlight w:val="none"/>
                <w:lang w:val="en-US" w:eastAsia="zh-CN"/>
              </w:rPr>
            </w:pPr>
            <w:r>
              <w:rPr>
                <w:rFonts w:hint="eastAsia"/>
                <w:sz w:val="21"/>
                <w:szCs w:val="21"/>
                <w:highlight w:val="none"/>
                <w:lang w:val="en-US" w:eastAsia="zh-CN"/>
              </w:rPr>
              <w:t>拟建项目不属于落后产能项目、严重过剩产能行业项目和高耗能高排放项目。</w:t>
            </w:r>
          </w:p>
        </w:tc>
        <w:tc>
          <w:tcPr>
            <w:tcW w:w="505" w:type="pct"/>
            <w:vAlign w:val="center"/>
          </w:tcPr>
          <w:p w14:paraId="407C6C28">
            <w:pPr>
              <w:spacing w:line="240" w:lineRule="auto"/>
              <w:ind w:left="0" w:leftChars="0" w:firstLine="0" w:firstLineChars="0"/>
              <w:jc w:val="center"/>
              <w:rPr>
                <w:rFonts w:hint="eastAsia"/>
                <w:sz w:val="21"/>
                <w:szCs w:val="21"/>
                <w:highlight w:val="none"/>
                <w:lang w:val="en-US" w:eastAsia="zh-CN"/>
              </w:rPr>
            </w:pPr>
            <w:r>
              <w:rPr>
                <w:rFonts w:hint="eastAsia"/>
                <w:sz w:val="21"/>
                <w:szCs w:val="21"/>
                <w:highlight w:val="none"/>
                <w:lang w:val="en-US" w:eastAsia="zh-CN"/>
              </w:rPr>
              <w:t>符合</w:t>
            </w:r>
          </w:p>
        </w:tc>
      </w:tr>
    </w:tbl>
    <w:p w14:paraId="2748AC48">
      <w:pPr>
        <w:bidi w:val="0"/>
        <w:rPr>
          <w:rFonts w:hint="eastAsia"/>
          <w:lang w:val="en-US" w:eastAsia="zh-CN"/>
        </w:rPr>
      </w:pPr>
      <w:bookmarkStart w:id="5" w:name="_Toc9554"/>
      <w:bookmarkStart w:id="6" w:name="_Toc27534"/>
      <w:r>
        <w:rPr>
          <w:rFonts w:hint="eastAsia"/>
          <w:highlight w:val="none"/>
          <w:lang w:val="en-US" w:eastAsia="zh-CN"/>
        </w:rPr>
        <w:t>综上所述，本项目符合《湖南省长江经济带发展负面清单实施细则（试行，2022年版）》中相关要求。</w:t>
      </w:r>
    </w:p>
    <w:p w14:paraId="2F619168">
      <w:pPr>
        <w:pStyle w:val="10"/>
        <w:numPr>
          <w:ilvl w:val="3"/>
          <w:numId w:val="2"/>
        </w:numPr>
        <w:bidi w:val="0"/>
        <w:ind w:left="0" w:leftChars="0" w:firstLine="0" w:firstLineChars="0"/>
        <w:rPr>
          <w:rFonts w:hint="eastAsia"/>
          <w:highlight w:val="none"/>
          <w:lang w:val="en-US" w:eastAsia="zh-CN"/>
        </w:rPr>
      </w:pPr>
      <w:r>
        <w:rPr>
          <w:rFonts w:hint="eastAsia"/>
          <w:highlight w:val="none"/>
          <w:lang w:val="en-US" w:eastAsia="zh-CN"/>
        </w:rPr>
        <w:t>与《湖南省“十四五”生态生态环境保护规划》相符性</w:t>
      </w:r>
      <w:bookmarkEnd w:id="5"/>
    </w:p>
    <w:p w14:paraId="602DE719">
      <w:pPr>
        <w:rPr>
          <w:rFonts w:hint="eastAsia"/>
          <w:highlight w:val="none"/>
          <w:lang w:val="en-US" w:eastAsia="zh-CN"/>
        </w:rPr>
      </w:pPr>
      <w:r>
        <w:rPr>
          <w:rFonts w:hint="eastAsia"/>
          <w:highlight w:val="none"/>
          <w:lang w:val="en-US" w:eastAsia="zh-CN"/>
        </w:rPr>
        <w:t>根据湖南省人民政府办公厅2021年9月30日关于印发《湖南省“十四五”生态环境保护规划》的通知（湘政办发</w:t>
      </w:r>
      <w:r>
        <w:rPr>
          <w:rFonts w:hint="eastAsia" w:ascii="宋体" w:hAnsi="宋体" w:eastAsia="宋体" w:cs="宋体"/>
          <w:highlight w:val="none"/>
          <w:lang w:val="en-US" w:eastAsia="zh-CN"/>
        </w:rPr>
        <w:t>〔</w:t>
      </w:r>
      <w:r>
        <w:rPr>
          <w:rFonts w:hint="eastAsia"/>
          <w:highlight w:val="none"/>
          <w:lang w:val="en-US" w:eastAsia="zh-CN"/>
        </w:rPr>
        <w:t>2021</w:t>
      </w:r>
      <w:r>
        <w:rPr>
          <w:rFonts w:hint="eastAsia" w:ascii="宋体" w:hAnsi="宋体" w:eastAsia="宋体" w:cs="宋体"/>
          <w:highlight w:val="none"/>
          <w:lang w:val="en-US" w:eastAsia="zh-CN"/>
        </w:rPr>
        <w:t>〕</w:t>
      </w:r>
      <w:r>
        <w:rPr>
          <w:rFonts w:hint="eastAsia"/>
          <w:highlight w:val="none"/>
          <w:lang w:val="en-US" w:eastAsia="zh-CN"/>
        </w:rPr>
        <w:t>61号），该规划中提出：</w:t>
      </w:r>
      <w:r>
        <w:rPr>
          <w:rFonts w:hint="eastAsia"/>
          <w:highlight w:val="none"/>
        </w:rPr>
        <w:t>保障“一江一湖三山四水”生态安全，推动“长株潭、洞庭湖、湘南、大湘西”区域协调发展。长株潭区域加快推动生态环境同建和高质量发展，加强大气联防联控，强化污染物排放控制和环境风险防控；洞庭湖区域突出抓好农业结构升级，减少农业面源污染，优化化工产业布局，提升水环境容量，加强湿地生物多样性保护；湘南区域在承接产业转移示范区建设中，严格控制涉重金属新增产能扩张，优化产业布局，加快行业转型升级，加快解决历史遗留污染问题；大湘西区域严禁高耗能、高排放等产业转入，以生态产业为导向承接产业转移，维护和加强生态安全屏障，加强生态治理与修复，强化“四水”源头污染防控和流域重金属污染治理。</w:t>
      </w:r>
    </w:p>
    <w:p w14:paraId="1F5609A4">
      <w:pPr>
        <w:rPr>
          <w:rFonts w:hint="eastAsia"/>
          <w:highlight w:val="none"/>
          <w:lang w:val="en-US" w:eastAsia="zh-CN"/>
        </w:rPr>
      </w:pPr>
      <w:r>
        <w:rPr>
          <w:rFonts w:hint="eastAsia"/>
          <w:b/>
          <w:bCs/>
          <w:highlight w:val="none"/>
          <w:lang w:val="en-US" w:eastAsia="zh-CN"/>
        </w:rPr>
        <w:t>符合性分析：</w:t>
      </w:r>
      <w:r>
        <w:rPr>
          <w:rFonts w:hint="eastAsia"/>
          <w:highlight w:val="none"/>
          <w:lang w:val="en-US" w:eastAsia="zh-CN"/>
        </w:rPr>
        <w:t>本项目位于岳阳市平江县三阳乡南尧村，本</w:t>
      </w:r>
      <w:r>
        <w:rPr>
          <w:rFonts w:hint="eastAsia"/>
          <w:highlight w:val="none"/>
        </w:rPr>
        <w:t>项目作为历史遗留</w:t>
      </w:r>
      <w:r>
        <w:rPr>
          <w:rFonts w:hint="eastAsia"/>
          <w:highlight w:val="none"/>
          <w:lang w:val="en-US" w:eastAsia="zh-CN"/>
        </w:rPr>
        <w:t>重金属废渣整治</w:t>
      </w:r>
      <w:r>
        <w:rPr>
          <w:rFonts w:hint="eastAsia"/>
          <w:highlight w:val="none"/>
        </w:rPr>
        <w:t>项目</w:t>
      </w:r>
      <w:r>
        <w:rPr>
          <w:rFonts w:hint="eastAsia"/>
          <w:highlight w:val="none"/>
          <w:lang w:eastAsia="zh-CN"/>
        </w:rPr>
        <w:t>，</w:t>
      </w:r>
      <w:r>
        <w:rPr>
          <w:rFonts w:hint="eastAsia"/>
          <w:highlight w:val="none"/>
          <w:lang w:val="en-US" w:eastAsia="zh-CN"/>
        </w:rPr>
        <w:t>能有效</w:t>
      </w:r>
      <w:r>
        <w:rPr>
          <w:rFonts w:hint="eastAsia"/>
          <w:highlight w:val="none"/>
        </w:rPr>
        <w:t>解决历史遗留污染问题</w:t>
      </w:r>
      <w:r>
        <w:rPr>
          <w:rFonts w:hint="eastAsia"/>
          <w:highlight w:val="none"/>
          <w:lang w:eastAsia="zh-CN"/>
        </w:rPr>
        <w:t>，</w:t>
      </w:r>
      <w:r>
        <w:rPr>
          <w:rFonts w:hint="eastAsia"/>
          <w:highlight w:val="none"/>
          <w:lang w:val="en-US" w:eastAsia="zh-CN"/>
        </w:rPr>
        <w:t>故本项目的建设符合《湖南省“十四五”生态环境保护规划》的要求。</w:t>
      </w:r>
    </w:p>
    <w:p w14:paraId="7C7EEC4C">
      <w:pPr>
        <w:pStyle w:val="10"/>
        <w:numPr>
          <w:ilvl w:val="3"/>
          <w:numId w:val="2"/>
        </w:numPr>
        <w:bidi w:val="0"/>
        <w:ind w:left="0" w:leftChars="0" w:firstLine="0" w:firstLineChars="0"/>
        <w:rPr>
          <w:rFonts w:hint="eastAsia"/>
          <w:highlight w:val="none"/>
          <w:lang w:val="en-US" w:eastAsia="zh-CN"/>
        </w:rPr>
      </w:pPr>
      <w:r>
        <w:rPr>
          <w:rFonts w:hint="eastAsia"/>
          <w:highlight w:val="none"/>
          <w:lang w:val="en-US" w:eastAsia="zh-CN"/>
        </w:rPr>
        <w:t>与《关于进一步加强重金属污染防控的意见》（环固体〔2022〕17号）的符合性分析</w:t>
      </w:r>
      <w:bookmarkEnd w:id="6"/>
    </w:p>
    <w:p w14:paraId="45AC154F">
      <w:pPr>
        <w:bidi w:val="0"/>
        <w:rPr>
          <w:rFonts w:hint="eastAsia"/>
          <w:highlight w:val="none"/>
          <w:lang w:val="en-US" w:eastAsia="zh-CN"/>
        </w:rPr>
      </w:pPr>
      <w:r>
        <w:rPr>
          <w:rFonts w:hint="eastAsia"/>
          <w:highlight w:val="none"/>
          <w:lang w:val="en-US" w:eastAsia="zh-CN"/>
        </w:rPr>
        <w:t>2022年3月7日，根据生态环境部制定的《关于进一步加强重金属污染防控的意见》（环固体〔2022〕17号），本项目与其相符性分析见下表。</w:t>
      </w:r>
    </w:p>
    <w:p w14:paraId="15CD24C0">
      <w:pPr>
        <w:bidi w:val="0"/>
        <w:ind w:left="0" w:leftChars="0" w:firstLine="0" w:firstLineChars="0"/>
        <w:jc w:val="center"/>
        <w:rPr>
          <w:rFonts w:hint="eastAsia"/>
          <w:b/>
          <w:bCs/>
          <w:sz w:val="21"/>
          <w:szCs w:val="21"/>
          <w:highlight w:val="none"/>
          <w:lang w:val="en-US" w:eastAsia="zh-CN"/>
        </w:rPr>
      </w:pPr>
      <w:r>
        <w:rPr>
          <w:rFonts w:hint="eastAsia"/>
          <w:b/>
          <w:bCs/>
          <w:sz w:val="21"/>
          <w:szCs w:val="21"/>
          <w:highlight w:val="none"/>
          <w:lang w:val="en-US" w:eastAsia="zh-CN"/>
        </w:rPr>
        <w:t>表1.4-5  《关于进一步加强重金属污染防控的意见》符合性分析</w:t>
      </w:r>
    </w:p>
    <w:tbl>
      <w:tblPr>
        <w:tblStyle w:val="36"/>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969"/>
        <w:gridCol w:w="4815"/>
        <w:gridCol w:w="2539"/>
        <w:gridCol w:w="909"/>
      </w:tblGrid>
      <w:tr w14:paraId="1C9AA4B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23" w:hRule="atLeast"/>
          <w:tblHeader/>
          <w:jc w:val="center"/>
        </w:trPr>
        <w:tc>
          <w:tcPr>
            <w:tcW w:w="3132" w:type="pct"/>
            <w:gridSpan w:val="2"/>
            <w:tcBorders>
              <w:tl2br w:val="nil"/>
              <w:tr2bl w:val="nil"/>
            </w:tcBorders>
            <w:noWrap w:val="0"/>
            <w:vAlign w:val="center"/>
          </w:tcPr>
          <w:p w14:paraId="59473B39">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b/>
                <w:bCs/>
                <w:sz w:val="21"/>
                <w:szCs w:val="21"/>
                <w:highlight w:val="none"/>
                <w:lang w:val="en-US" w:eastAsia="zh-CN"/>
              </w:rPr>
            </w:pPr>
            <w:r>
              <w:rPr>
                <w:rFonts w:hint="eastAsia"/>
                <w:b/>
                <w:bCs/>
                <w:sz w:val="21"/>
                <w:szCs w:val="21"/>
                <w:highlight w:val="none"/>
                <w:lang w:val="en-US" w:eastAsia="zh-CN"/>
              </w:rPr>
              <w:t>防控要求</w:t>
            </w:r>
          </w:p>
        </w:tc>
        <w:tc>
          <w:tcPr>
            <w:tcW w:w="1375" w:type="pct"/>
            <w:tcBorders>
              <w:tl2br w:val="nil"/>
              <w:tr2bl w:val="nil"/>
            </w:tcBorders>
            <w:noWrap w:val="0"/>
            <w:vAlign w:val="center"/>
          </w:tcPr>
          <w:p w14:paraId="3E384C9F">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b/>
                <w:bCs/>
                <w:sz w:val="21"/>
                <w:szCs w:val="21"/>
                <w:highlight w:val="none"/>
                <w:lang w:val="en-US" w:eastAsia="zh-CN"/>
              </w:rPr>
            </w:pPr>
            <w:r>
              <w:rPr>
                <w:rFonts w:hint="eastAsia"/>
                <w:b/>
                <w:bCs/>
                <w:sz w:val="21"/>
                <w:szCs w:val="21"/>
                <w:highlight w:val="none"/>
                <w:lang w:val="en-US" w:eastAsia="zh-CN"/>
              </w:rPr>
              <w:t>拟建项目情况</w:t>
            </w:r>
          </w:p>
        </w:tc>
        <w:tc>
          <w:tcPr>
            <w:tcW w:w="492" w:type="pct"/>
            <w:tcBorders>
              <w:tl2br w:val="nil"/>
              <w:tr2bl w:val="nil"/>
            </w:tcBorders>
            <w:noWrap w:val="0"/>
            <w:vAlign w:val="center"/>
          </w:tcPr>
          <w:p w14:paraId="1FDC74B6">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b/>
                <w:bCs/>
                <w:sz w:val="21"/>
                <w:szCs w:val="21"/>
                <w:highlight w:val="none"/>
                <w:lang w:val="en-US" w:eastAsia="zh-CN"/>
              </w:rPr>
            </w:pPr>
            <w:r>
              <w:rPr>
                <w:rFonts w:hint="eastAsia"/>
                <w:b/>
                <w:bCs/>
                <w:sz w:val="21"/>
                <w:szCs w:val="21"/>
                <w:highlight w:val="none"/>
                <w:lang w:val="en-US" w:eastAsia="zh-CN"/>
              </w:rPr>
              <w:t>符合性</w:t>
            </w:r>
          </w:p>
        </w:tc>
      </w:tr>
      <w:tr w14:paraId="775AB60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25" w:type="pct"/>
            <w:vMerge w:val="restart"/>
            <w:tcBorders>
              <w:tl2br w:val="nil"/>
              <w:tr2bl w:val="nil"/>
            </w:tcBorders>
            <w:noWrap w:val="0"/>
            <w:vAlign w:val="center"/>
          </w:tcPr>
          <w:p w14:paraId="6188146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防控</w:t>
            </w:r>
          </w:p>
          <w:p w14:paraId="3F86CA3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重点</w:t>
            </w:r>
          </w:p>
        </w:tc>
        <w:tc>
          <w:tcPr>
            <w:tcW w:w="2606" w:type="pct"/>
            <w:tcBorders>
              <w:tl2br w:val="nil"/>
              <w:tr2bl w:val="nil"/>
            </w:tcBorders>
            <w:noWrap w:val="0"/>
            <w:vAlign w:val="center"/>
          </w:tcPr>
          <w:p w14:paraId="5B8884E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重点重金属污染物。重点防控的重金属污染物是铅、汞、镉、铬、砷、铊和锑，并对铅、汞、镉、铬和砷五种重点重金属污染物排放量实施总量控制。</w:t>
            </w:r>
          </w:p>
        </w:tc>
        <w:tc>
          <w:tcPr>
            <w:tcW w:w="1375" w:type="pct"/>
            <w:tcBorders>
              <w:tl2br w:val="nil"/>
              <w:tr2bl w:val="nil"/>
            </w:tcBorders>
            <w:noWrap w:val="0"/>
            <w:vAlign w:val="center"/>
          </w:tcPr>
          <w:p w14:paraId="1A4077C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lang w:val="en-US" w:eastAsia="zh-CN"/>
              </w:rPr>
            </w:pPr>
            <w:r>
              <w:rPr>
                <w:rFonts w:hint="eastAsia"/>
                <w:sz w:val="21"/>
                <w:szCs w:val="21"/>
                <w:highlight w:val="none"/>
                <w:lang w:val="en-US" w:eastAsia="zh-CN"/>
              </w:rPr>
              <w:t>本项目渗滤液含砷、铅等重金属污染物，根据《湖南省主要污染物排污权有偿使用和交易实施细则》（湘环发〔2024〕3号），本项目一般固废填埋场，属于公共基础设施，不纳入排污权有偿使用和交易管理范围。</w:t>
            </w:r>
          </w:p>
        </w:tc>
        <w:tc>
          <w:tcPr>
            <w:tcW w:w="492" w:type="pct"/>
            <w:tcBorders>
              <w:tl2br w:val="nil"/>
              <w:tr2bl w:val="nil"/>
            </w:tcBorders>
            <w:noWrap w:val="0"/>
            <w:vAlign w:val="center"/>
          </w:tcPr>
          <w:p w14:paraId="4E81E36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符合</w:t>
            </w:r>
          </w:p>
        </w:tc>
      </w:tr>
      <w:tr w14:paraId="2C6FFA5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25" w:type="pct"/>
            <w:vMerge w:val="continue"/>
            <w:tcBorders>
              <w:tl2br w:val="nil"/>
              <w:tr2bl w:val="nil"/>
            </w:tcBorders>
            <w:noWrap w:val="0"/>
            <w:vAlign w:val="center"/>
          </w:tcPr>
          <w:p w14:paraId="4432387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lang w:val="en-US" w:eastAsia="zh-CN"/>
              </w:rPr>
            </w:pPr>
          </w:p>
        </w:tc>
        <w:tc>
          <w:tcPr>
            <w:tcW w:w="2606" w:type="pct"/>
            <w:tcBorders>
              <w:tl2br w:val="nil"/>
              <w:tr2bl w:val="nil"/>
            </w:tcBorders>
            <w:noWrap w:val="0"/>
            <w:vAlign w:val="center"/>
          </w:tcPr>
          <w:p w14:paraId="0FA6004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重点行业。包括重有色金属矿采选业（铜、铅锌、镍钴、锡、锑和汞矿采选），重有色金属冶炼业（铜、铅锌、镍钴、锡、锑和汞冶炼），铅蓄电池制造业，电镀行业，化学原料及化学制品制造业（电石法（聚）氯乙烯制造、铬盐制造、以工业固体废物为原料的锌无机化合物工业），皮革鞣制加工业等6个行业。</w:t>
            </w:r>
          </w:p>
        </w:tc>
        <w:tc>
          <w:tcPr>
            <w:tcW w:w="1375" w:type="pct"/>
            <w:tcBorders>
              <w:tl2br w:val="nil"/>
              <w:tr2bl w:val="nil"/>
            </w:tcBorders>
            <w:noWrap w:val="0"/>
            <w:vAlign w:val="center"/>
          </w:tcPr>
          <w:p w14:paraId="124392A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本项目固体废物治理项目，不属于重点行业。</w:t>
            </w:r>
          </w:p>
        </w:tc>
        <w:tc>
          <w:tcPr>
            <w:tcW w:w="492" w:type="pct"/>
            <w:tcBorders>
              <w:tl2br w:val="nil"/>
              <w:tr2bl w:val="nil"/>
            </w:tcBorders>
            <w:noWrap w:val="0"/>
            <w:vAlign w:val="center"/>
          </w:tcPr>
          <w:p w14:paraId="58B0561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符合</w:t>
            </w:r>
          </w:p>
        </w:tc>
      </w:tr>
      <w:tr w14:paraId="20DF027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25" w:type="pct"/>
            <w:vMerge w:val="continue"/>
            <w:tcBorders>
              <w:tl2br w:val="nil"/>
              <w:tr2bl w:val="nil"/>
            </w:tcBorders>
            <w:noWrap w:val="0"/>
            <w:vAlign w:val="center"/>
          </w:tcPr>
          <w:p w14:paraId="77C5653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lang w:val="en-US" w:eastAsia="zh-CN"/>
              </w:rPr>
            </w:pPr>
          </w:p>
        </w:tc>
        <w:tc>
          <w:tcPr>
            <w:tcW w:w="2606" w:type="pct"/>
            <w:tcBorders>
              <w:tl2br w:val="nil"/>
              <w:tr2bl w:val="nil"/>
            </w:tcBorders>
            <w:noWrap w:val="0"/>
            <w:vAlign w:val="center"/>
          </w:tcPr>
          <w:p w14:paraId="37E13D1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重点区域。依据重金属污染物排放状况、环境质量改善和环境风险防控需求，划定重金属污染防控重点区域。</w:t>
            </w:r>
          </w:p>
        </w:tc>
        <w:tc>
          <w:tcPr>
            <w:tcW w:w="1375" w:type="pct"/>
            <w:tcBorders>
              <w:tl2br w:val="nil"/>
              <w:tr2bl w:val="nil"/>
            </w:tcBorders>
            <w:noWrap w:val="0"/>
            <w:vAlign w:val="center"/>
          </w:tcPr>
          <w:p w14:paraId="7EE40BF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本项目位于岳阳市平江县三阳乡，不属于重点区域。</w:t>
            </w:r>
          </w:p>
        </w:tc>
        <w:tc>
          <w:tcPr>
            <w:tcW w:w="492" w:type="pct"/>
            <w:tcBorders>
              <w:tl2br w:val="nil"/>
              <w:tr2bl w:val="nil"/>
            </w:tcBorders>
            <w:noWrap w:val="0"/>
            <w:vAlign w:val="center"/>
          </w:tcPr>
          <w:p w14:paraId="4BA1DD6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符合</w:t>
            </w:r>
          </w:p>
        </w:tc>
      </w:tr>
      <w:tr w14:paraId="499EBA2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25" w:type="pct"/>
            <w:vMerge w:val="continue"/>
            <w:tcBorders>
              <w:tl2br w:val="nil"/>
              <w:tr2bl w:val="nil"/>
            </w:tcBorders>
            <w:noWrap w:val="0"/>
            <w:vAlign w:val="center"/>
          </w:tcPr>
          <w:p w14:paraId="629A22F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lang w:val="en-US" w:eastAsia="zh-CN"/>
              </w:rPr>
            </w:pPr>
          </w:p>
        </w:tc>
        <w:tc>
          <w:tcPr>
            <w:tcW w:w="2606" w:type="pct"/>
            <w:tcBorders>
              <w:tl2br w:val="nil"/>
              <w:tr2bl w:val="nil"/>
            </w:tcBorders>
            <w:noWrap w:val="0"/>
            <w:vAlign w:val="center"/>
          </w:tcPr>
          <w:p w14:paraId="7E1A129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鼓励地方根据本地生态环境质量改善目标和重金属污染状况，确定上述要求以外的重点重金属污染物、重点行业和重点区域。</w:t>
            </w:r>
          </w:p>
        </w:tc>
        <w:tc>
          <w:tcPr>
            <w:tcW w:w="1375" w:type="pct"/>
            <w:tcBorders>
              <w:tl2br w:val="nil"/>
              <w:tr2bl w:val="nil"/>
            </w:tcBorders>
            <w:noWrap w:val="0"/>
            <w:vAlign w:val="center"/>
          </w:tcPr>
          <w:p w14:paraId="166F544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本项目渗滤液涉及重金属污染物，项目属于固体废物治理，可以改善本地生态环境质量和减轻项目区域重金属污染状况。</w:t>
            </w:r>
          </w:p>
        </w:tc>
        <w:tc>
          <w:tcPr>
            <w:tcW w:w="492" w:type="pct"/>
            <w:tcBorders>
              <w:tl2br w:val="nil"/>
              <w:tr2bl w:val="nil"/>
            </w:tcBorders>
            <w:noWrap w:val="0"/>
            <w:vAlign w:val="center"/>
          </w:tcPr>
          <w:p w14:paraId="17E8ED7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符合</w:t>
            </w:r>
          </w:p>
        </w:tc>
      </w:tr>
      <w:tr w14:paraId="08B44A2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25" w:type="pct"/>
            <w:tcBorders>
              <w:tl2br w:val="nil"/>
              <w:tr2bl w:val="nil"/>
            </w:tcBorders>
            <w:noWrap w:val="0"/>
            <w:vAlign w:val="center"/>
          </w:tcPr>
          <w:p w14:paraId="6014483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分类管理，完善重金属污染物排放管理制度</w:t>
            </w:r>
          </w:p>
        </w:tc>
        <w:tc>
          <w:tcPr>
            <w:tcW w:w="2606" w:type="pct"/>
            <w:tcBorders>
              <w:tl2br w:val="nil"/>
              <w:tr2bl w:val="nil"/>
            </w:tcBorders>
            <w:noWrap w:val="0"/>
            <w:vAlign w:val="center"/>
          </w:tcPr>
          <w:p w14:paraId="6D12076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推行企业重金属污染物排放总量控制制度。依法将重点行业企业纳入排污许可管理。对于实施排污许可重点管理的企业，排污许可证应当明确重金属污染物排放种类、许可排放浓度、许可排放量等。各地生态环境部门探索将重点行业减排企业重金属污染物排放总量要求落实到排污许可证，减排企业在执行国家和地方污染物排放标准的同时，应当遵守分解落实到本单位的重金属排放总量控制要求。重点行业企业适用的污染物排放标准、重点污染物总量控制要求发生变化，需要对排污许可证进行变更的，审批部门可以依法对排污许可证相应事项进行变更，并载明削减措施、减排量，作为总量替代来源的还应载明出让量和出让去向。</w:t>
            </w:r>
          </w:p>
        </w:tc>
        <w:tc>
          <w:tcPr>
            <w:tcW w:w="1375" w:type="pct"/>
            <w:tcBorders>
              <w:tl2br w:val="nil"/>
              <w:tr2bl w:val="nil"/>
            </w:tcBorders>
            <w:noWrap w:val="0"/>
            <w:vAlign w:val="center"/>
          </w:tcPr>
          <w:p w14:paraId="412AF22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项目含重金属废水全部外委处理；填埋场封场后无废气排放。</w:t>
            </w:r>
          </w:p>
        </w:tc>
        <w:tc>
          <w:tcPr>
            <w:tcW w:w="492" w:type="pct"/>
            <w:tcBorders>
              <w:tl2br w:val="nil"/>
              <w:tr2bl w:val="nil"/>
            </w:tcBorders>
            <w:noWrap w:val="0"/>
            <w:vAlign w:val="center"/>
          </w:tcPr>
          <w:p w14:paraId="27A446D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符合</w:t>
            </w:r>
          </w:p>
        </w:tc>
      </w:tr>
      <w:tr w14:paraId="5740CC7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25" w:type="pct"/>
            <w:vMerge w:val="restart"/>
            <w:tcBorders>
              <w:tl2br w:val="nil"/>
              <w:tr2bl w:val="nil"/>
            </w:tcBorders>
            <w:noWrap w:val="0"/>
            <w:vAlign w:val="center"/>
          </w:tcPr>
          <w:p w14:paraId="3B80FCE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严格准入，优化涉重金属产业结构和布局</w:t>
            </w:r>
          </w:p>
        </w:tc>
        <w:tc>
          <w:tcPr>
            <w:tcW w:w="2606" w:type="pct"/>
            <w:tcBorders>
              <w:tl2br w:val="nil"/>
              <w:tr2bl w:val="nil"/>
            </w:tcBorders>
            <w:noWrap w:val="0"/>
            <w:vAlign w:val="center"/>
          </w:tcPr>
          <w:p w14:paraId="52BB882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严格重点行业企业准入管理。新、改、扩建重点行业建设项目应符合“三线一单”、产业政策、区域环评、规划环评和行业环境准入管控要求。重点区域的新、改、扩建重点行业建设项目应遵循重点重金属污染物排放“减量替代”原则，减量替代比例不低于1.2：1；其他区域遵循“等量替代”原则。建设单位在提交环境影响评价文件时应明确重点重金属污染物排放总量及来源。无明确具体总量来源的，各级生态环境部门不得批准相关环境影响评价文件。总量来源原则上应是同一重点行业内企业削减的重点重金属污染物排放量，当同一重点行业内企业削减量无法满足时可从其他重点行业调剂。严格重点行业建设项目环境影响评价审批，审慎下放审批权限，不得以改革试点为名降低审批要求。</w:t>
            </w:r>
          </w:p>
        </w:tc>
        <w:tc>
          <w:tcPr>
            <w:tcW w:w="1375" w:type="pct"/>
            <w:tcBorders>
              <w:tl2br w:val="nil"/>
              <w:tr2bl w:val="nil"/>
            </w:tcBorders>
            <w:noWrap w:val="0"/>
            <w:vAlign w:val="center"/>
          </w:tcPr>
          <w:p w14:paraId="0EB88AF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yellow"/>
                <w:lang w:val="en-US" w:eastAsia="zh-CN"/>
              </w:rPr>
            </w:pPr>
            <w:r>
              <w:rPr>
                <w:rFonts w:hint="eastAsia"/>
                <w:sz w:val="21"/>
                <w:szCs w:val="21"/>
                <w:highlight w:val="none"/>
                <w:lang w:val="en-US" w:eastAsia="zh-CN"/>
              </w:rPr>
              <w:t>本项目属于固体废物治理项目，项目符合“三线一单”、产业政策、区域环评、规划环评和行业环境准入管控要求，根据《湖南省主要污染物排污权有偿使用和交易实施细则》（湘环发〔2024〕3号），本项目一般固废填埋场，属于公共基础设施，不纳入排污权有偿使用和交易管理范围。</w:t>
            </w:r>
          </w:p>
        </w:tc>
        <w:tc>
          <w:tcPr>
            <w:tcW w:w="492" w:type="pct"/>
            <w:tcBorders>
              <w:tl2br w:val="nil"/>
              <w:tr2bl w:val="nil"/>
            </w:tcBorders>
            <w:noWrap w:val="0"/>
            <w:vAlign w:val="center"/>
          </w:tcPr>
          <w:p w14:paraId="21A1037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yellow"/>
                <w:lang w:val="en-US" w:eastAsia="zh-CN"/>
              </w:rPr>
            </w:pPr>
            <w:r>
              <w:rPr>
                <w:rFonts w:hint="eastAsia"/>
                <w:sz w:val="21"/>
                <w:szCs w:val="21"/>
                <w:highlight w:val="none"/>
                <w:lang w:val="en-US" w:eastAsia="zh-CN"/>
              </w:rPr>
              <w:t>符合</w:t>
            </w:r>
          </w:p>
        </w:tc>
      </w:tr>
      <w:tr w14:paraId="70606D8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25" w:type="pct"/>
            <w:vMerge w:val="continue"/>
            <w:tcBorders>
              <w:tl2br w:val="nil"/>
              <w:tr2bl w:val="nil"/>
            </w:tcBorders>
            <w:noWrap w:val="0"/>
            <w:vAlign w:val="center"/>
          </w:tcPr>
          <w:p w14:paraId="1BA4286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lang w:val="en-US" w:eastAsia="zh-CN"/>
              </w:rPr>
            </w:pPr>
          </w:p>
        </w:tc>
        <w:tc>
          <w:tcPr>
            <w:tcW w:w="2606" w:type="pct"/>
            <w:tcBorders>
              <w:tl2br w:val="nil"/>
              <w:tr2bl w:val="nil"/>
            </w:tcBorders>
            <w:noWrap w:val="0"/>
            <w:vAlign w:val="center"/>
          </w:tcPr>
          <w:p w14:paraId="2FF60EE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优化重点行业企业布局。推动涉重金属产业集中优化发展，禁止低端落后产能向长江、黄河中上游地区转移。禁止新建用汞的电石法（聚）氯乙烯生产工艺。新建、扩建的重有色金属冶炼、电镀、制革企业优先选择布设在依法合规设立并经规划环评的产业园区。</w:t>
            </w:r>
          </w:p>
        </w:tc>
        <w:tc>
          <w:tcPr>
            <w:tcW w:w="1375" w:type="pct"/>
            <w:tcBorders>
              <w:tl2br w:val="nil"/>
              <w:tr2bl w:val="nil"/>
            </w:tcBorders>
            <w:noWrap w:val="0"/>
            <w:vAlign w:val="center"/>
          </w:tcPr>
          <w:p w14:paraId="14722E9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本项目属于固体废物治理项目，不属于防控意见中所列的重点行业企业。</w:t>
            </w:r>
          </w:p>
        </w:tc>
        <w:tc>
          <w:tcPr>
            <w:tcW w:w="492" w:type="pct"/>
            <w:tcBorders>
              <w:tl2br w:val="nil"/>
              <w:tr2bl w:val="nil"/>
            </w:tcBorders>
            <w:noWrap w:val="0"/>
            <w:vAlign w:val="center"/>
          </w:tcPr>
          <w:p w14:paraId="7B55A42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符合</w:t>
            </w:r>
          </w:p>
        </w:tc>
      </w:tr>
    </w:tbl>
    <w:p w14:paraId="5284CFDA">
      <w:pPr>
        <w:bidi w:val="0"/>
        <w:rPr>
          <w:rFonts w:hint="eastAsia"/>
          <w:highlight w:val="none"/>
          <w:lang w:val="en-US" w:eastAsia="zh-CN"/>
        </w:rPr>
      </w:pPr>
      <w:r>
        <w:rPr>
          <w:rFonts w:hint="eastAsia"/>
          <w:highlight w:val="none"/>
          <w:lang w:val="en-US" w:eastAsia="zh-CN"/>
        </w:rPr>
        <w:t>综上所述，本项目符合《关于进一步加强重金属污染防控的意见》（环固体〔2022〕17号）。</w:t>
      </w:r>
    </w:p>
    <w:p w14:paraId="5237978F">
      <w:pPr>
        <w:pStyle w:val="10"/>
        <w:numPr>
          <w:ilvl w:val="3"/>
          <w:numId w:val="2"/>
        </w:numPr>
        <w:bidi w:val="0"/>
        <w:ind w:left="0" w:leftChars="0" w:firstLine="0" w:firstLineChars="0"/>
        <w:rPr>
          <w:rFonts w:hint="eastAsia"/>
          <w:highlight w:val="none"/>
          <w:lang w:val="en-US" w:eastAsia="zh-CN"/>
        </w:rPr>
      </w:pPr>
      <w:bookmarkStart w:id="7" w:name="_Toc15598"/>
      <w:r>
        <w:rPr>
          <w:rFonts w:hint="eastAsia"/>
          <w:highlight w:val="none"/>
          <w:lang w:val="en-US" w:eastAsia="zh-CN"/>
        </w:rPr>
        <w:t>与《湖南省“十四五”重金属污染防治规划》的相符性</w:t>
      </w:r>
      <w:bookmarkEnd w:id="7"/>
    </w:p>
    <w:p w14:paraId="64FA16E4">
      <w:pPr>
        <w:bidi w:val="0"/>
        <w:rPr>
          <w:rFonts w:hint="eastAsia"/>
          <w:highlight w:val="none"/>
          <w:lang w:val="en-US" w:eastAsia="zh-CN"/>
        </w:rPr>
      </w:pPr>
      <w:r>
        <w:rPr>
          <w:rFonts w:hint="eastAsia"/>
          <w:highlight w:val="none"/>
          <w:lang w:val="en-US" w:eastAsia="zh-CN"/>
        </w:rPr>
        <w:t>为全面落实“三高四新”战略定位和使命任务，按照“系统治理、依法治理、综合治理、源头治理”工作要求，以改善生态环境质量为核心，以防控重金属环境风险为目标，以重点重金属污染物减排为抓手，全面推动“精准治污、科学治污、依法治污”，有效管控重金属污染，湖南省生态环境厅2022年4月13日编制了《湖南省“十四五”重金属污染防治规划》（湘环发</w:t>
      </w:r>
      <w:r>
        <w:rPr>
          <w:rFonts w:hint="eastAsia" w:ascii="宋体" w:hAnsi="宋体" w:eastAsia="宋体" w:cs="宋体"/>
          <w:highlight w:val="none"/>
          <w:lang w:val="en-US" w:eastAsia="zh-CN"/>
        </w:rPr>
        <w:t>〔</w:t>
      </w:r>
      <w:r>
        <w:rPr>
          <w:rFonts w:hint="eastAsia"/>
          <w:highlight w:val="none"/>
          <w:lang w:val="en-US" w:eastAsia="zh-CN"/>
        </w:rPr>
        <w:t>2022</w:t>
      </w:r>
      <w:r>
        <w:rPr>
          <w:rFonts w:hint="eastAsia" w:ascii="宋体" w:hAnsi="宋体" w:eastAsia="宋体" w:cs="宋体"/>
          <w:highlight w:val="none"/>
          <w:lang w:val="en-US" w:eastAsia="zh-CN"/>
        </w:rPr>
        <w:t>〕</w:t>
      </w:r>
      <w:r>
        <w:rPr>
          <w:rFonts w:hint="eastAsia"/>
          <w:highlight w:val="none"/>
          <w:lang w:val="en-US" w:eastAsia="zh-CN"/>
        </w:rPr>
        <w:t>27号），本项目与其相符性分析见下表。</w:t>
      </w:r>
    </w:p>
    <w:p w14:paraId="1EB48F59">
      <w:pPr>
        <w:bidi w:val="0"/>
        <w:ind w:left="0" w:leftChars="0" w:firstLine="0" w:firstLineChars="0"/>
        <w:jc w:val="center"/>
        <w:rPr>
          <w:rFonts w:hint="eastAsia"/>
          <w:b/>
          <w:bCs/>
          <w:sz w:val="21"/>
          <w:szCs w:val="21"/>
          <w:highlight w:val="none"/>
          <w:lang w:val="en-US" w:eastAsia="zh-CN"/>
        </w:rPr>
      </w:pPr>
    </w:p>
    <w:p w14:paraId="2EC2F133">
      <w:pPr>
        <w:bidi w:val="0"/>
        <w:ind w:left="0" w:leftChars="0" w:firstLine="0" w:firstLineChars="0"/>
        <w:jc w:val="center"/>
        <w:rPr>
          <w:rFonts w:hint="eastAsia"/>
          <w:b/>
          <w:bCs/>
          <w:sz w:val="21"/>
          <w:szCs w:val="21"/>
          <w:highlight w:val="none"/>
          <w:lang w:val="en-US" w:eastAsia="zh-CN"/>
        </w:rPr>
      </w:pPr>
    </w:p>
    <w:p w14:paraId="222F3433">
      <w:pPr>
        <w:bidi w:val="0"/>
        <w:ind w:left="0" w:leftChars="0" w:firstLine="0" w:firstLineChars="0"/>
        <w:jc w:val="center"/>
        <w:rPr>
          <w:rFonts w:hint="default"/>
          <w:b/>
          <w:bCs/>
          <w:sz w:val="21"/>
          <w:szCs w:val="21"/>
          <w:highlight w:val="none"/>
          <w:lang w:val="en-US" w:eastAsia="zh-CN"/>
        </w:rPr>
      </w:pPr>
      <w:r>
        <w:rPr>
          <w:rFonts w:hint="eastAsia"/>
          <w:b/>
          <w:bCs/>
          <w:sz w:val="21"/>
          <w:szCs w:val="21"/>
          <w:highlight w:val="none"/>
          <w:lang w:val="en-US" w:eastAsia="zh-CN"/>
        </w:rPr>
        <w:t>表1.4-6  《湖南省“十四五”重金属污染防治规划》符合性分析</w:t>
      </w:r>
    </w:p>
    <w:tbl>
      <w:tblPr>
        <w:tblStyle w:val="36"/>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774"/>
        <w:gridCol w:w="5069"/>
        <w:gridCol w:w="2519"/>
        <w:gridCol w:w="870"/>
      </w:tblGrid>
      <w:tr w14:paraId="2D52576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21" w:hRule="atLeast"/>
          <w:tblHeader/>
          <w:jc w:val="center"/>
        </w:trPr>
        <w:tc>
          <w:tcPr>
            <w:tcW w:w="3164" w:type="pct"/>
            <w:gridSpan w:val="2"/>
            <w:tcBorders>
              <w:tl2br w:val="nil"/>
              <w:tr2bl w:val="nil"/>
            </w:tcBorders>
            <w:noWrap w:val="0"/>
            <w:vAlign w:val="center"/>
          </w:tcPr>
          <w:p w14:paraId="1219400B">
            <w:pPr>
              <w:bidi w:val="0"/>
              <w:spacing w:line="360" w:lineRule="auto"/>
              <w:ind w:left="0" w:leftChars="0" w:firstLine="0" w:firstLineChars="0"/>
              <w:jc w:val="center"/>
              <w:rPr>
                <w:rFonts w:hint="eastAsia"/>
                <w:b/>
                <w:bCs/>
                <w:sz w:val="21"/>
                <w:szCs w:val="21"/>
                <w:highlight w:val="none"/>
                <w:lang w:val="en-US" w:eastAsia="zh-CN"/>
              </w:rPr>
            </w:pPr>
            <w:r>
              <w:rPr>
                <w:rFonts w:hint="eastAsia"/>
                <w:b/>
                <w:bCs/>
                <w:sz w:val="21"/>
                <w:szCs w:val="21"/>
                <w:highlight w:val="none"/>
                <w:lang w:val="en-US" w:eastAsia="zh-CN"/>
              </w:rPr>
              <w:t>防治要求</w:t>
            </w:r>
          </w:p>
        </w:tc>
        <w:tc>
          <w:tcPr>
            <w:tcW w:w="1364" w:type="pct"/>
            <w:tcBorders>
              <w:tl2br w:val="nil"/>
              <w:tr2bl w:val="nil"/>
            </w:tcBorders>
            <w:noWrap w:val="0"/>
            <w:vAlign w:val="center"/>
          </w:tcPr>
          <w:p w14:paraId="242BBA46">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b/>
                <w:bCs/>
                <w:sz w:val="21"/>
                <w:szCs w:val="21"/>
                <w:highlight w:val="none"/>
                <w:lang w:val="en-US" w:eastAsia="zh-CN"/>
              </w:rPr>
            </w:pPr>
            <w:r>
              <w:rPr>
                <w:rFonts w:hint="eastAsia"/>
                <w:b/>
                <w:bCs/>
                <w:sz w:val="21"/>
                <w:szCs w:val="21"/>
                <w:highlight w:val="none"/>
                <w:lang w:val="en-US" w:eastAsia="zh-CN"/>
              </w:rPr>
              <w:t>拟建项目情况</w:t>
            </w:r>
          </w:p>
        </w:tc>
        <w:tc>
          <w:tcPr>
            <w:tcW w:w="471" w:type="pct"/>
            <w:tcBorders>
              <w:tl2br w:val="nil"/>
              <w:tr2bl w:val="nil"/>
            </w:tcBorders>
            <w:noWrap w:val="0"/>
            <w:vAlign w:val="center"/>
          </w:tcPr>
          <w:p w14:paraId="0C4DB344">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b/>
                <w:bCs/>
                <w:sz w:val="21"/>
                <w:szCs w:val="21"/>
                <w:highlight w:val="none"/>
                <w:lang w:val="en-US" w:eastAsia="zh-CN"/>
              </w:rPr>
            </w:pPr>
            <w:r>
              <w:rPr>
                <w:rFonts w:hint="eastAsia"/>
                <w:b/>
                <w:bCs/>
                <w:sz w:val="21"/>
                <w:szCs w:val="21"/>
                <w:highlight w:val="none"/>
                <w:lang w:val="en-US" w:eastAsia="zh-CN"/>
              </w:rPr>
              <w:t>符合性</w:t>
            </w:r>
          </w:p>
        </w:tc>
      </w:tr>
      <w:tr w14:paraId="3E78249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19" w:type="pct"/>
            <w:vMerge w:val="restart"/>
            <w:tcBorders>
              <w:tl2br w:val="nil"/>
              <w:tr2bl w:val="nil"/>
            </w:tcBorders>
            <w:noWrap w:val="0"/>
            <w:vAlign w:val="center"/>
          </w:tcPr>
          <w:p w14:paraId="3FAD84E7">
            <w:pPr>
              <w:bidi w:val="0"/>
              <w:spacing w:line="240" w:lineRule="auto"/>
              <w:ind w:left="0" w:leftChars="0" w:firstLine="0" w:firstLineChars="0"/>
              <w:jc w:val="center"/>
              <w:rPr>
                <w:rFonts w:hint="eastAsia"/>
                <w:sz w:val="21"/>
                <w:szCs w:val="21"/>
                <w:highlight w:val="none"/>
                <w:lang w:val="en-US" w:eastAsia="zh-CN"/>
              </w:rPr>
            </w:pPr>
            <w:r>
              <w:rPr>
                <w:rFonts w:hint="eastAsia"/>
                <w:sz w:val="21"/>
                <w:szCs w:val="21"/>
                <w:highlight w:val="none"/>
                <w:lang w:val="en-US" w:eastAsia="zh-CN"/>
              </w:rPr>
              <w:t>严格环境准入要求，优化产业结构布局</w:t>
            </w:r>
          </w:p>
        </w:tc>
        <w:tc>
          <w:tcPr>
            <w:tcW w:w="2744" w:type="pct"/>
            <w:tcBorders>
              <w:tl2br w:val="nil"/>
              <w:tr2bl w:val="nil"/>
            </w:tcBorders>
            <w:noWrap w:val="0"/>
            <w:vAlign w:val="center"/>
          </w:tcPr>
          <w:p w14:paraId="16108DD5">
            <w:pPr>
              <w:bidi w:val="0"/>
              <w:spacing w:line="240" w:lineRule="auto"/>
              <w:ind w:left="0" w:leftChars="0" w:firstLine="0" w:firstLineChars="0"/>
              <w:jc w:val="both"/>
              <w:rPr>
                <w:rFonts w:hint="eastAsia"/>
                <w:sz w:val="21"/>
                <w:szCs w:val="21"/>
                <w:highlight w:val="none"/>
                <w:lang w:val="en-US" w:eastAsia="zh-CN"/>
              </w:rPr>
            </w:pPr>
            <w:r>
              <w:rPr>
                <w:rFonts w:hint="eastAsia"/>
                <w:sz w:val="21"/>
                <w:szCs w:val="21"/>
                <w:highlight w:val="none"/>
                <w:lang w:val="en-US" w:eastAsia="zh-CN"/>
              </w:rPr>
              <w:t>严格重点行业企业准入管理。新（改、扩）建重点行业项目应符合产业政策、区域环评、规划环评、“三线一单”和行业环境准入管控要求。新（改、扩）建国家重点行业建设项目应明确具体的重金属污染物排放总量及来源，原则上应是全口径涉重金属重点行业企业清单内同一重点行业企业削减的重点重金属污染物排放量，当同一重点行业企业削减量无法满足时可从其他重点行业调剂。花垣县、常宁市、汨罗市、资兴市、桂阳县、永兴县、冷水江市等7个国家重点区域的新、改、扩建重点行业建设项目应遵循重点重金属（铅、汞、镉、铬、砷）污染物排放“减量替代”原则，减量替代比例不低于1.2：1。省内其他区域遵循重点重金属污染物排放“等量替换”原则。严格重点行业建设项目环境影响评价审批，审慎下放环评审批权限，不得以改革试点为名降低审批要求。</w:t>
            </w:r>
          </w:p>
        </w:tc>
        <w:tc>
          <w:tcPr>
            <w:tcW w:w="1364" w:type="pct"/>
            <w:tcBorders>
              <w:tl2br w:val="nil"/>
              <w:tr2bl w:val="nil"/>
            </w:tcBorders>
            <w:noWrap w:val="0"/>
            <w:vAlign w:val="center"/>
          </w:tcPr>
          <w:p w14:paraId="3B1F53DB">
            <w:pPr>
              <w:bidi w:val="0"/>
              <w:spacing w:line="240" w:lineRule="auto"/>
              <w:ind w:left="0" w:leftChars="0" w:firstLine="0" w:firstLineChars="0"/>
              <w:jc w:val="center"/>
              <w:rPr>
                <w:rFonts w:hint="eastAsia"/>
                <w:sz w:val="21"/>
                <w:szCs w:val="21"/>
                <w:highlight w:val="none"/>
                <w:lang w:val="en-US" w:eastAsia="zh-CN"/>
              </w:rPr>
            </w:pPr>
            <w:r>
              <w:rPr>
                <w:rFonts w:hint="eastAsia"/>
                <w:sz w:val="21"/>
                <w:szCs w:val="21"/>
                <w:highlight w:val="none"/>
                <w:lang w:val="en-US" w:eastAsia="zh-CN"/>
              </w:rPr>
              <w:t>本项目不属于防治规划中的重点行业和重点区域，主要为固体废物治理项目，项目符合“三线一单”、产业政策和行业环境准入管控要求，根据《湖南省主要污染物排污权有偿使用和交易实施细则》（湘环发〔2024〕3号），本项目一般固废填埋场，属于公共基础设施，不纳入排污权有偿使用和交易管理范围。</w:t>
            </w:r>
          </w:p>
        </w:tc>
        <w:tc>
          <w:tcPr>
            <w:tcW w:w="471" w:type="pct"/>
            <w:tcBorders>
              <w:tl2br w:val="nil"/>
              <w:tr2bl w:val="nil"/>
            </w:tcBorders>
            <w:noWrap w:val="0"/>
            <w:vAlign w:val="center"/>
          </w:tcPr>
          <w:p w14:paraId="0842838C">
            <w:pPr>
              <w:bidi w:val="0"/>
              <w:spacing w:line="240" w:lineRule="auto"/>
              <w:ind w:left="0" w:leftChars="0" w:firstLine="0" w:firstLineChars="0"/>
              <w:jc w:val="center"/>
              <w:rPr>
                <w:rFonts w:hint="eastAsia"/>
                <w:sz w:val="21"/>
                <w:szCs w:val="21"/>
                <w:highlight w:val="none"/>
                <w:lang w:val="en-US" w:eastAsia="zh-CN"/>
              </w:rPr>
            </w:pPr>
            <w:r>
              <w:rPr>
                <w:rFonts w:hint="eastAsia"/>
                <w:sz w:val="21"/>
                <w:szCs w:val="21"/>
                <w:highlight w:val="none"/>
                <w:lang w:val="en-US" w:eastAsia="zh-CN"/>
              </w:rPr>
              <w:t>符合</w:t>
            </w:r>
          </w:p>
        </w:tc>
      </w:tr>
      <w:tr w14:paraId="5EB1ECD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19" w:type="pct"/>
            <w:vMerge w:val="continue"/>
            <w:tcBorders>
              <w:tl2br w:val="nil"/>
              <w:tr2bl w:val="nil"/>
            </w:tcBorders>
            <w:noWrap w:val="0"/>
            <w:vAlign w:val="center"/>
          </w:tcPr>
          <w:p w14:paraId="7D8B09E1">
            <w:pPr>
              <w:bidi w:val="0"/>
              <w:spacing w:line="240" w:lineRule="auto"/>
              <w:ind w:left="0" w:leftChars="0" w:firstLine="0" w:firstLineChars="0"/>
              <w:jc w:val="center"/>
              <w:rPr>
                <w:rFonts w:hint="eastAsia"/>
                <w:sz w:val="21"/>
                <w:szCs w:val="21"/>
                <w:highlight w:val="none"/>
                <w:lang w:val="en-US" w:eastAsia="zh-CN"/>
              </w:rPr>
            </w:pPr>
          </w:p>
        </w:tc>
        <w:tc>
          <w:tcPr>
            <w:tcW w:w="2744" w:type="pct"/>
            <w:tcBorders>
              <w:tl2br w:val="nil"/>
              <w:tr2bl w:val="nil"/>
            </w:tcBorders>
            <w:noWrap w:val="0"/>
            <w:vAlign w:val="center"/>
          </w:tcPr>
          <w:p w14:paraId="5D888C99">
            <w:pPr>
              <w:bidi w:val="0"/>
              <w:spacing w:line="240" w:lineRule="auto"/>
              <w:ind w:left="0" w:leftChars="0" w:firstLine="0" w:firstLineChars="0"/>
              <w:jc w:val="center"/>
              <w:rPr>
                <w:rFonts w:hint="eastAsia"/>
                <w:sz w:val="21"/>
                <w:szCs w:val="21"/>
                <w:highlight w:val="none"/>
                <w:lang w:val="en-US" w:eastAsia="zh-CN"/>
              </w:rPr>
            </w:pPr>
            <w:r>
              <w:rPr>
                <w:rFonts w:hint="eastAsia"/>
                <w:sz w:val="21"/>
                <w:szCs w:val="21"/>
                <w:highlight w:val="none"/>
                <w:lang w:val="en-US" w:eastAsia="zh-CN"/>
              </w:rPr>
              <w:t>加大落后产能淘汰力度。根据国家《产业结构调整指导目录》《限期淘汰产生严重污染环境的工业固体废物的落后生产工艺设备名录》等文件，依法依规淘汰涉重金属落后产能和化解过剩产能。依法全面取缔不符合国家产业政策的制革、炼砷、电镀等严重污染水环境的生产项目。</w:t>
            </w:r>
          </w:p>
        </w:tc>
        <w:tc>
          <w:tcPr>
            <w:tcW w:w="1364" w:type="pct"/>
            <w:tcBorders>
              <w:tl2br w:val="nil"/>
              <w:tr2bl w:val="nil"/>
            </w:tcBorders>
            <w:noWrap w:val="0"/>
            <w:vAlign w:val="center"/>
          </w:tcPr>
          <w:p w14:paraId="2B9D76B2">
            <w:pPr>
              <w:bidi w:val="0"/>
              <w:spacing w:line="240" w:lineRule="auto"/>
              <w:ind w:left="0" w:leftChars="0" w:firstLine="0" w:firstLineChars="0"/>
              <w:jc w:val="center"/>
              <w:rPr>
                <w:rFonts w:hint="eastAsia"/>
                <w:sz w:val="21"/>
                <w:szCs w:val="21"/>
                <w:highlight w:val="none"/>
                <w:lang w:val="en-US" w:eastAsia="zh-CN"/>
              </w:rPr>
            </w:pPr>
            <w:r>
              <w:rPr>
                <w:rFonts w:hint="eastAsia"/>
                <w:sz w:val="21"/>
                <w:szCs w:val="21"/>
                <w:highlight w:val="none"/>
                <w:lang w:val="en-US" w:eastAsia="zh-CN"/>
              </w:rPr>
              <w:t>本项目符合《产业结构调整指导目录》（2024年本），不涉及《限期淘汰产生严重污染环境的工业固体废物的落后生产工艺设备名录》中落后设备等。</w:t>
            </w:r>
          </w:p>
        </w:tc>
        <w:tc>
          <w:tcPr>
            <w:tcW w:w="471" w:type="pct"/>
            <w:tcBorders>
              <w:tl2br w:val="nil"/>
              <w:tr2bl w:val="nil"/>
            </w:tcBorders>
            <w:noWrap w:val="0"/>
            <w:vAlign w:val="center"/>
          </w:tcPr>
          <w:p w14:paraId="301F03B7">
            <w:pPr>
              <w:bidi w:val="0"/>
              <w:spacing w:line="240" w:lineRule="auto"/>
              <w:ind w:left="0" w:leftChars="0" w:firstLine="0" w:firstLineChars="0"/>
              <w:jc w:val="center"/>
              <w:rPr>
                <w:rFonts w:hint="eastAsia"/>
                <w:sz w:val="21"/>
                <w:szCs w:val="21"/>
                <w:highlight w:val="none"/>
                <w:lang w:val="en-US" w:eastAsia="zh-CN"/>
              </w:rPr>
            </w:pPr>
            <w:r>
              <w:rPr>
                <w:rFonts w:hint="eastAsia"/>
                <w:sz w:val="21"/>
                <w:szCs w:val="21"/>
                <w:highlight w:val="none"/>
                <w:lang w:val="en-US" w:eastAsia="zh-CN"/>
              </w:rPr>
              <w:t>符合</w:t>
            </w:r>
          </w:p>
        </w:tc>
      </w:tr>
      <w:tr w14:paraId="724A962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19" w:type="pct"/>
            <w:tcBorders>
              <w:tl2br w:val="nil"/>
              <w:tr2bl w:val="nil"/>
            </w:tcBorders>
            <w:noWrap w:val="0"/>
            <w:vAlign w:val="center"/>
          </w:tcPr>
          <w:p w14:paraId="2EBBAA80">
            <w:pPr>
              <w:bidi w:val="0"/>
              <w:spacing w:line="240" w:lineRule="auto"/>
              <w:ind w:left="0" w:leftChars="0" w:firstLine="0" w:firstLineChars="0"/>
              <w:jc w:val="center"/>
              <w:rPr>
                <w:rFonts w:hint="eastAsia"/>
                <w:sz w:val="21"/>
                <w:szCs w:val="21"/>
                <w:highlight w:val="none"/>
                <w:lang w:val="en-US" w:eastAsia="zh-CN"/>
              </w:rPr>
            </w:pPr>
            <w:r>
              <w:rPr>
                <w:rFonts w:hint="eastAsia"/>
                <w:sz w:val="21"/>
                <w:szCs w:val="21"/>
                <w:highlight w:val="none"/>
                <w:lang w:val="en-US" w:eastAsia="zh-CN"/>
              </w:rPr>
              <w:t>强化涉重金属企业排放总量管理</w:t>
            </w:r>
          </w:p>
        </w:tc>
        <w:tc>
          <w:tcPr>
            <w:tcW w:w="2744" w:type="pct"/>
            <w:tcBorders>
              <w:tl2br w:val="nil"/>
              <w:tr2bl w:val="nil"/>
            </w:tcBorders>
            <w:noWrap w:val="0"/>
            <w:vAlign w:val="center"/>
          </w:tcPr>
          <w:p w14:paraId="5452F230">
            <w:pPr>
              <w:bidi w:val="0"/>
              <w:spacing w:line="240" w:lineRule="auto"/>
              <w:ind w:left="0" w:leftChars="0" w:firstLine="0" w:firstLineChars="0"/>
              <w:jc w:val="center"/>
              <w:rPr>
                <w:rFonts w:hint="eastAsia"/>
                <w:sz w:val="21"/>
                <w:szCs w:val="21"/>
                <w:highlight w:val="none"/>
                <w:lang w:val="en-US" w:eastAsia="zh-CN"/>
              </w:rPr>
            </w:pPr>
            <w:r>
              <w:rPr>
                <w:rFonts w:hint="eastAsia"/>
                <w:sz w:val="21"/>
                <w:szCs w:val="21"/>
                <w:highlight w:val="none"/>
                <w:lang w:val="en-US" w:eastAsia="zh-CN"/>
              </w:rPr>
              <w:t>依法将重点行业企业纳入排污许可管理。对于实施排污许可重点管理的企业，排污许可证应当明确重金属污染物排放种类、许可排放浓度、许可排放量等。探索将重点行业减排企业重金属污染物排放总量要求落实到排污许可证，减排企业在执行国家和地方污染物排放标准的同时，应当遵守分解落实到本单位的重金属排放总量控制要求。持续推进重点行业重点重金属污染物减排，进一步摸排企业状况，挖掘减排潜力，将减排任务目标落实到具体企业，推动实施一批重金属减排工程。加强涉重危险废物环境管理，严格危险废物跨省管理，确保涉重危险废物得到规范收集和处置。</w:t>
            </w:r>
          </w:p>
        </w:tc>
        <w:tc>
          <w:tcPr>
            <w:tcW w:w="1364" w:type="pct"/>
            <w:tcBorders>
              <w:tl2br w:val="nil"/>
              <w:tr2bl w:val="nil"/>
            </w:tcBorders>
            <w:noWrap w:val="0"/>
            <w:vAlign w:val="center"/>
          </w:tcPr>
          <w:p w14:paraId="1B6F0FD7">
            <w:pPr>
              <w:bidi w:val="0"/>
              <w:spacing w:line="240" w:lineRule="auto"/>
              <w:ind w:left="0" w:leftChars="0" w:firstLine="0" w:firstLineChars="0"/>
              <w:jc w:val="center"/>
              <w:rPr>
                <w:rFonts w:hint="eastAsia"/>
                <w:sz w:val="21"/>
                <w:szCs w:val="21"/>
                <w:highlight w:val="none"/>
                <w:lang w:val="en-US" w:eastAsia="zh-CN"/>
              </w:rPr>
            </w:pPr>
            <w:r>
              <w:rPr>
                <w:rFonts w:hint="eastAsia"/>
                <w:sz w:val="21"/>
                <w:szCs w:val="21"/>
                <w:highlight w:val="none"/>
                <w:lang w:val="en-US" w:eastAsia="zh-CN"/>
              </w:rPr>
              <w:t>本项目不属于防治规划中的重点行业和重点区域，主要为固体废物治理项目，根据总量控制章节，无需申请重金属总量指标，在后续运营中，将严格按照排污许可的要求控制污染物排放。</w:t>
            </w:r>
          </w:p>
        </w:tc>
        <w:tc>
          <w:tcPr>
            <w:tcW w:w="471" w:type="pct"/>
            <w:tcBorders>
              <w:tl2br w:val="nil"/>
              <w:tr2bl w:val="nil"/>
            </w:tcBorders>
            <w:noWrap w:val="0"/>
            <w:vAlign w:val="center"/>
          </w:tcPr>
          <w:p w14:paraId="290B6E89">
            <w:pPr>
              <w:bidi w:val="0"/>
              <w:spacing w:line="240" w:lineRule="auto"/>
              <w:ind w:left="0" w:leftChars="0" w:firstLine="0" w:firstLineChars="0"/>
              <w:jc w:val="center"/>
              <w:rPr>
                <w:rFonts w:hint="eastAsia"/>
                <w:sz w:val="21"/>
                <w:szCs w:val="21"/>
                <w:highlight w:val="none"/>
                <w:lang w:val="en-US" w:eastAsia="zh-CN"/>
              </w:rPr>
            </w:pPr>
            <w:r>
              <w:rPr>
                <w:rFonts w:hint="eastAsia"/>
                <w:sz w:val="21"/>
                <w:szCs w:val="21"/>
                <w:highlight w:val="none"/>
                <w:lang w:val="en-US" w:eastAsia="zh-CN"/>
              </w:rPr>
              <w:t>符合</w:t>
            </w:r>
          </w:p>
        </w:tc>
      </w:tr>
    </w:tbl>
    <w:p w14:paraId="6046DD54">
      <w:pPr>
        <w:bidi w:val="0"/>
        <w:rPr>
          <w:rFonts w:hint="eastAsia"/>
          <w:highlight w:val="none"/>
          <w:lang w:val="en-US" w:eastAsia="zh-CN"/>
        </w:rPr>
      </w:pPr>
      <w:r>
        <w:rPr>
          <w:rFonts w:hint="eastAsia"/>
          <w:highlight w:val="none"/>
          <w:lang w:val="en-US" w:eastAsia="zh-CN"/>
        </w:rPr>
        <w:t>综上所述，本项目符合《湖南省“十四五”重金属污染防治规划》（湘环发</w:t>
      </w:r>
      <w:r>
        <w:rPr>
          <w:rFonts w:hint="eastAsia" w:ascii="宋体" w:hAnsi="宋体" w:eastAsia="宋体" w:cs="宋体"/>
          <w:highlight w:val="none"/>
          <w:lang w:val="en-US" w:eastAsia="zh-CN"/>
        </w:rPr>
        <w:t>〔</w:t>
      </w:r>
      <w:r>
        <w:rPr>
          <w:rFonts w:hint="eastAsia"/>
          <w:highlight w:val="none"/>
          <w:lang w:val="en-US" w:eastAsia="zh-CN"/>
        </w:rPr>
        <w:t>2022</w:t>
      </w:r>
      <w:r>
        <w:rPr>
          <w:rFonts w:hint="eastAsia" w:ascii="宋体" w:hAnsi="宋体" w:eastAsia="宋体" w:cs="宋体"/>
          <w:highlight w:val="none"/>
          <w:lang w:val="en-US" w:eastAsia="zh-CN"/>
        </w:rPr>
        <w:t>〕</w:t>
      </w:r>
      <w:r>
        <w:rPr>
          <w:rFonts w:hint="eastAsia"/>
          <w:highlight w:val="none"/>
          <w:lang w:val="en-US" w:eastAsia="zh-CN"/>
        </w:rPr>
        <w:t>27号）文件要求。</w:t>
      </w:r>
    </w:p>
    <w:p w14:paraId="116369A5">
      <w:pPr>
        <w:pStyle w:val="10"/>
        <w:numPr>
          <w:ilvl w:val="3"/>
          <w:numId w:val="2"/>
        </w:numPr>
        <w:bidi w:val="0"/>
        <w:ind w:left="0" w:leftChars="0" w:firstLine="0" w:firstLineChars="0"/>
        <w:rPr>
          <w:rFonts w:hint="default"/>
          <w:lang w:val="en-US" w:eastAsia="zh-CN"/>
        </w:rPr>
      </w:pPr>
      <w:r>
        <w:rPr>
          <w:rFonts w:hint="default"/>
          <w:lang w:val="en-US" w:eastAsia="zh-CN"/>
        </w:rPr>
        <w:t>与《</w:t>
      </w:r>
      <w:r>
        <w:rPr>
          <w:rFonts w:hint="eastAsia" w:ascii="宋体" w:hAnsi="宋体" w:eastAsia="宋体" w:cs="宋体"/>
          <w:lang w:val="en-US" w:eastAsia="zh-CN"/>
        </w:rPr>
        <w:t>“十四五”</w:t>
      </w:r>
      <w:r>
        <w:rPr>
          <w:rFonts w:hint="default"/>
          <w:lang w:val="en-US" w:eastAsia="zh-CN"/>
        </w:rPr>
        <w:t>土壤、地下水和农业农村生态环境保护规划》（环土壤</w:t>
      </w:r>
      <w:r>
        <w:rPr>
          <w:rFonts w:hint="eastAsia" w:ascii="宋体" w:hAnsi="宋体" w:eastAsia="宋体" w:cs="宋体"/>
          <w:lang w:val="en-US" w:eastAsia="zh-CN"/>
        </w:rPr>
        <w:t>〔</w:t>
      </w:r>
      <w:r>
        <w:rPr>
          <w:rFonts w:hint="default"/>
          <w:lang w:val="en-US" w:eastAsia="zh-CN"/>
        </w:rPr>
        <w:t>2021</w:t>
      </w:r>
      <w:r>
        <w:rPr>
          <w:rFonts w:hint="eastAsia" w:ascii="宋体" w:hAnsi="宋体" w:eastAsia="宋体" w:cs="宋体"/>
          <w:lang w:val="en-US" w:eastAsia="zh-CN"/>
        </w:rPr>
        <w:t>〕</w:t>
      </w:r>
      <w:r>
        <w:rPr>
          <w:rFonts w:hint="default"/>
          <w:lang w:val="en-US" w:eastAsia="zh-CN"/>
        </w:rPr>
        <w:t>120号）相符性分析</w:t>
      </w:r>
    </w:p>
    <w:p w14:paraId="4926A236">
      <w:pPr>
        <w:bidi w:val="0"/>
        <w:rPr>
          <w:rFonts w:hint="eastAsia"/>
          <w:highlight w:val="none"/>
          <w:lang w:val="en-US" w:eastAsia="zh-CN"/>
        </w:rPr>
      </w:pPr>
      <w:r>
        <w:rPr>
          <w:rFonts w:hint="eastAsia"/>
          <w:highlight w:val="none"/>
          <w:lang w:val="en-US" w:eastAsia="zh-CN"/>
        </w:rPr>
        <w:t>《“十四五”土壤、地下水和农业农村生态环境保护规划》（环土壤</w:t>
      </w:r>
      <w:r>
        <w:rPr>
          <w:rFonts w:hint="eastAsia" w:ascii="宋体" w:hAnsi="宋体" w:eastAsia="宋体" w:cs="宋体"/>
          <w:highlight w:val="none"/>
          <w:lang w:val="en-US" w:eastAsia="zh-CN"/>
        </w:rPr>
        <w:t>〔</w:t>
      </w:r>
      <w:r>
        <w:rPr>
          <w:rFonts w:hint="eastAsia"/>
          <w:highlight w:val="none"/>
          <w:lang w:val="en-US" w:eastAsia="zh-CN"/>
        </w:rPr>
        <w:t>2021</w:t>
      </w:r>
      <w:r>
        <w:rPr>
          <w:rFonts w:hint="eastAsia" w:ascii="宋体" w:hAnsi="宋体" w:eastAsia="宋体" w:cs="宋体"/>
          <w:highlight w:val="none"/>
          <w:lang w:val="en-US" w:eastAsia="zh-CN"/>
        </w:rPr>
        <w:t>〕</w:t>
      </w:r>
      <w:r>
        <w:rPr>
          <w:rFonts w:hint="eastAsia"/>
          <w:highlight w:val="none"/>
          <w:lang w:val="en-US" w:eastAsia="zh-CN"/>
        </w:rPr>
        <w:t>120号）文中提出：整治涉重金属矿区历史遗留固体废物。以湖南等矿产资源开发活动集中省份为重点，聚焦有色金属、石煤、硫铁矿等矿区以及安全利用和严格管控类耕地集中区域周边的矿区，全面排查无序堆存的历史遗留固体废物，制定整治方案，分阶段治理，逐步消除存量。优先整治周边及下游耕地土壤污染较重的矿区，有效切断污染物进入农田的链条。</w:t>
      </w:r>
    </w:p>
    <w:p w14:paraId="019AC4EB">
      <w:pPr>
        <w:bidi w:val="0"/>
        <w:rPr>
          <w:rFonts w:hint="eastAsia"/>
          <w:highlight w:val="none"/>
          <w:lang w:val="en-US" w:eastAsia="zh-CN"/>
        </w:rPr>
      </w:pPr>
      <w:r>
        <w:rPr>
          <w:rFonts w:hint="eastAsia"/>
          <w:b/>
          <w:bCs/>
          <w:highlight w:val="none"/>
          <w:lang w:val="en-US" w:eastAsia="zh-CN"/>
        </w:rPr>
        <w:t>符合性分析：</w:t>
      </w:r>
      <w:r>
        <w:rPr>
          <w:rFonts w:hint="eastAsia"/>
          <w:highlight w:val="none"/>
          <w:lang w:val="en-US" w:eastAsia="zh-CN"/>
        </w:rPr>
        <w:t>本项目通过采取集中填埋方式对场地内</w:t>
      </w:r>
      <w:r>
        <w:rPr>
          <w:rFonts w:hint="default" w:ascii="Times New Roman" w:hAnsi="Times New Roman" w:eastAsia="宋体" w:cs="Times New Roman"/>
          <w:highlight w:val="none"/>
          <w:lang w:val="en-US" w:eastAsia="zh-CN"/>
        </w:rPr>
        <w:t>Ⅰ</w:t>
      </w:r>
      <w:r>
        <w:rPr>
          <w:rFonts w:hint="default" w:ascii="Times New Roman" w:hAnsi="Times New Roman" w:cs="Times New Roman"/>
          <w:highlight w:val="none"/>
          <w:lang w:val="en-US" w:eastAsia="zh-CN"/>
        </w:rPr>
        <w:t>类及Ⅱ</w:t>
      </w:r>
      <w:r>
        <w:rPr>
          <w:rFonts w:hint="eastAsia"/>
          <w:highlight w:val="none"/>
          <w:lang w:val="en-US" w:eastAsia="zh-CN"/>
        </w:rPr>
        <w:t>类一般固废进行安全处置，能减少由于区域废渣渗出重金属排入周边水环境，以降低雨季随洪水长距离污染下游农田的风险，有效切断污染物进入农田的途径，对重金属的削减具有较为明显的环境效益。本项目建设符合《“十四五”土壤、地下水和农业农村生态环境保护规划》（环土壤</w:t>
      </w:r>
      <w:r>
        <w:rPr>
          <w:rFonts w:hint="eastAsia" w:ascii="宋体" w:hAnsi="宋体" w:eastAsia="宋体" w:cs="宋体"/>
          <w:highlight w:val="none"/>
          <w:lang w:val="en-US" w:eastAsia="zh-CN"/>
        </w:rPr>
        <w:t>〔</w:t>
      </w:r>
      <w:r>
        <w:rPr>
          <w:rFonts w:hint="eastAsia"/>
          <w:highlight w:val="none"/>
          <w:lang w:val="en-US" w:eastAsia="zh-CN"/>
        </w:rPr>
        <w:t>2021</w:t>
      </w:r>
      <w:r>
        <w:rPr>
          <w:rFonts w:hint="eastAsia" w:ascii="宋体" w:hAnsi="宋体" w:eastAsia="宋体" w:cs="宋体"/>
          <w:highlight w:val="none"/>
          <w:lang w:val="en-US" w:eastAsia="zh-CN"/>
        </w:rPr>
        <w:t>〕</w:t>
      </w:r>
      <w:r>
        <w:rPr>
          <w:rFonts w:hint="eastAsia"/>
          <w:highlight w:val="none"/>
          <w:lang w:val="en-US" w:eastAsia="zh-CN"/>
        </w:rPr>
        <w:t>120号）的要求。</w:t>
      </w:r>
    </w:p>
    <w:p w14:paraId="023BA479">
      <w:pPr>
        <w:pStyle w:val="10"/>
        <w:numPr>
          <w:ilvl w:val="3"/>
          <w:numId w:val="2"/>
        </w:numPr>
        <w:bidi w:val="0"/>
        <w:ind w:left="0" w:leftChars="0" w:firstLine="0" w:firstLineChars="0"/>
        <w:rPr>
          <w:rFonts w:hint="eastAsia"/>
          <w:lang w:val="en-US" w:eastAsia="zh-CN"/>
        </w:rPr>
      </w:pPr>
      <w:r>
        <w:rPr>
          <w:rFonts w:hint="eastAsia"/>
          <w:lang w:val="en-US" w:eastAsia="zh-CN"/>
        </w:rPr>
        <w:t>与《湖南省主体功能区规划》相关符合性分析</w:t>
      </w:r>
    </w:p>
    <w:p w14:paraId="1103263C">
      <w:pPr>
        <w:bidi w:val="0"/>
        <w:rPr>
          <w:rFonts w:hint="eastAsia"/>
          <w:highlight w:val="none"/>
          <w:lang w:val="en-US" w:eastAsia="zh-CN"/>
        </w:rPr>
      </w:pPr>
      <w:r>
        <w:rPr>
          <w:rFonts w:hint="eastAsia"/>
          <w:highlight w:val="none"/>
          <w:lang w:val="en-US" w:eastAsia="zh-CN"/>
        </w:rPr>
        <w:t>根据《湖南省主体功能区规划》（湘政发</w:t>
      </w:r>
      <w:r>
        <w:rPr>
          <w:rFonts w:hint="eastAsia" w:ascii="宋体" w:hAnsi="宋体" w:eastAsia="宋体" w:cs="宋体"/>
          <w:highlight w:val="none"/>
          <w:lang w:val="en-US" w:eastAsia="zh-CN"/>
        </w:rPr>
        <w:t>〔</w:t>
      </w:r>
      <w:r>
        <w:rPr>
          <w:rFonts w:hint="eastAsia"/>
          <w:highlight w:val="none"/>
          <w:lang w:val="en-US" w:eastAsia="zh-CN"/>
        </w:rPr>
        <w:t>2012</w:t>
      </w:r>
      <w:r>
        <w:rPr>
          <w:rFonts w:hint="eastAsia" w:ascii="宋体" w:hAnsi="宋体" w:eastAsia="宋体" w:cs="宋体"/>
          <w:highlight w:val="none"/>
          <w:lang w:val="en-US" w:eastAsia="zh-CN"/>
        </w:rPr>
        <w:t>〕</w:t>
      </w:r>
      <w:r>
        <w:rPr>
          <w:rFonts w:hint="eastAsia"/>
          <w:highlight w:val="none"/>
          <w:lang w:val="en-US" w:eastAsia="zh-CN"/>
        </w:rPr>
        <w:t>39号），平江县属国家级农产品主产区，属于限制开发区域。环境政策为：实施严格的环境标准和环保政策，从严控制排污许可证发放，限制不合理的开发方式，控制农业面源污染，开展石漠化和水土流失综合治理，减少环境污染和生态破坏。通过治理、限制或关闭污染物排放企业等措施，实现污染物排放总量持续下降和环境质量状况达标。进一步完善生态补偿等相关配套政策，促进区域生态修复和建设。提高资源开发行业市场准入门槛，实施原产地开发与集中冶炼、集中治理相结合。加大水资源保护力度，适度开发利用水资源，实行全面节水，满足基本的生态用水需求，加强水土保持和生态环境修复与保护。</w:t>
      </w:r>
    </w:p>
    <w:p w14:paraId="36BCFCD2">
      <w:pPr>
        <w:bidi w:val="0"/>
        <w:rPr>
          <w:rFonts w:hint="eastAsia"/>
          <w:highlight w:val="none"/>
          <w:lang w:val="en-US" w:eastAsia="zh-CN"/>
        </w:rPr>
      </w:pPr>
      <w:r>
        <w:rPr>
          <w:rFonts w:hint="eastAsia"/>
          <w:highlight w:val="none"/>
          <w:lang w:val="en-US" w:eastAsia="zh-CN"/>
        </w:rPr>
        <w:t>本项目为采矿历史遗留重金属废渣治理，有利于区域生态环境质量改善，符合《湖南省主体功能区规划》中相关要求。</w:t>
      </w:r>
    </w:p>
    <w:p w14:paraId="3565E23D">
      <w:pPr>
        <w:pStyle w:val="10"/>
        <w:numPr>
          <w:ilvl w:val="3"/>
          <w:numId w:val="2"/>
        </w:numPr>
        <w:bidi w:val="0"/>
        <w:ind w:left="0" w:leftChars="0" w:firstLine="0" w:firstLineChars="0"/>
        <w:rPr>
          <w:rFonts w:hint="default"/>
          <w:lang w:val="en-US" w:eastAsia="zh-CN"/>
        </w:rPr>
      </w:pPr>
      <w:r>
        <w:rPr>
          <w:rFonts w:hint="eastAsia"/>
          <w:lang w:val="en-US" w:eastAsia="zh-CN"/>
        </w:rPr>
        <w:t>与《湖南省土壤污染防治工作方案》（湘规划政发</w:t>
      </w:r>
      <w:r>
        <w:rPr>
          <w:rFonts w:hint="eastAsia" w:ascii="宋体" w:hAnsi="宋体" w:eastAsia="宋体" w:cs="宋体"/>
          <w:lang w:val="en-US" w:eastAsia="zh-CN"/>
        </w:rPr>
        <w:t>〔</w:t>
      </w:r>
      <w:r>
        <w:rPr>
          <w:rFonts w:hint="eastAsia"/>
          <w:lang w:val="en-US" w:eastAsia="zh-CN"/>
        </w:rPr>
        <w:t>2017</w:t>
      </w:r>
      <w:r>
        <w:rPr>
          <w:rFonts w:hint="eastAsia" w:ascii="宋体" w:hAnsi="宋体" w:eastAsia="宋体" w:cs="宋体"/>
          <w:lang w:val="en-US" w:eastAsia="zh-CN"/>
        </w:rPr>
        <w:t>〕</w:t>
      </w:r>
      <w:r>
        <w:rPr>
          <w:rFonts w:hint="eastAsia"/>
          <w:lang w:val="en-US" w:eastAsia="zh-CN"/>
        </w:rPr>
        <w:t>4号）符合性分析</w:t>
      </w:r>
    </w:p>
    <w:p w14:paraId="58FFCE54">
      <w:pPr>
        <w:rPr>
          <w:rFonts w:hint="eastAsia"/>
          <w:lang w:val="en-US" w:eastAsia="zh-CN"/>
        </w:rPr>
      </w:pPr>
      <w:r>
        <w:rPr>
          <w:rFonts w:hint="eastAsia"/>
          <w:lang w:val="en-US" w:eastAsia="zh-CN"/>
        </w:rPr>
        <w:t>拟建项目与《湖南省土壤污染防治工作方案》（湘规划政发〔2017〕4号）的符合性见下表所示。</w:t>
      </w:r>
    </w:p>
    <w:p w14:paraId="3164A861">
      <w:pPr>
        <w:ind w:left="0" w:leftChars="0" w:firstLine="0" w:firstLineChars="0"/>
        <w:jc w:val="center"/>
        <w:rPr>
          <w:rFonts w:hint="default"/>
          <w:b/>
          <w:bCs/>
          <w:sz w:val="21"/>
          <w:szCs w:val="21"/>
          <w:lang w:val="en-US" w:eastAsia="zh-CN"/>
        </w:rPr>
      </w:pPr>
      <w:r>
        <w:rPr>
          <w:rFonts w:hint="eastAsia"/>
          <w:b/>
          <w:bCs/>
          <w:sz w:val="21"/>
          <w:szCs w:val="21"/>
          <w:lang w:val="en-US" w:eastAsia="zh-CN"/>
        </w:rPr>
        <w:t>表1.4-7  与《湖南省土壤污染防治工作方案》（湘规划政发〔2017〕4号）符合性分析</w:t>
      </w:r>
    </w:p>
    <w:tbl>
      <w:tblPr>
        <w:tblStyle w:val="106"/>
        <w:tblW w:w="5078" w:type="pct"/>
        <w:tblInd w:w="0" w:type="dxa"/>
        <w:tblBorders>
          <w:top w:val="single" w:color="auto" w:sz="12" w:space="0"/>
          <w:left w:val="single" w:color="auto" w:sz="12" w:space="0"/>
          <w:bottom w:val="single" w:color="auto" w:sz="12" w:space="0"/>
          <w:right w:val="single" w:color="auto" w:sz="12" w:space="0"/>
          <w:insideH w:val="single" w:color="000000" w:sz="2" w:space="0"/>
          <w:insideV w:val="single" w:color="000000" w:sz="2" w:space="0"/>
        </w:tblBorders>
        <w:tblLayout w:type="autofit"/>
        <w:tblCellMar>
          <w:top w:w="0" w:type="dxa"/>
          <w:left w:w="0" w:type="dxa"/>
          <w:bottom w:w="0" w:type="dxa"/>
          <w:right w:w="0" w:type="dxa"/>
        </w:tblCellMar>
      </w:tblPr>
      <w:tblGrid>
        <w:gridCol w:w="626"/>
        <w:gridCol w:w="5623"/>
        <w:gridCol w:w="2083"/>
        <w:gridCol w:w="855"/>
      </w:tblGrid>
      <w:tr w14:paraId="6D38CBD9">
        <w:tblPrEx>
          <w:tblBorders>
            <w:top w:val="single" w:color="auto" w:sz="12" w:space="0"/>
            <w:left w:val="single" w:color="auto" w:sz="12" w:space="0"/>
            <w:bottom w:val="single" w:color="auto" w:sz="12" w:space="0"/>
            <w:right w:val="single" w:color="auto" w:sz="12" w:space="0"/>
            <w:insideH w:val="single" w:color="000000" w:sz="2" w:space="0"/>
            <w:insideV w:val="single" w:color="000000" w:sz="2" w:space="0"/>
          </w:tblBorders>
          <w:tblCellMar>
            <w:top w:w="0" w:type="dxa"/>
            <w:left w:w="0" w:type="dxa"/>
            <w:bottom w:w="0" w:type="dxa"/>
            <w:right w:w="0" w:type="dxa"/>
          </w:tblCellMar>
        </w:tblPrEx>
        <w:trPr>
          <w:trHeight w:val="23" w:hRule="atLeast"/>
          <w:tblHeader/>
        </w:trPr>
        <w:tc>
          <w:tcPr>
            <w:tcW w:w="341" w:type="pct"/>
            <w:vAlign w:val="center"/>
          </w:tcPr>
          <w:p w14:paraId="3F46F0B3">
            <w:pPr>
              <w:spacing w:line="360" w:lineRule="auto"/>
              <w:ind w:left="0" w:leftChars="0" w:firstLine="0" w:firstLineChars="0"/>
              <w:jc w:val="center"/>
              <w:rPr>
                <w:rFonts w:hint="eastAsia"/>
                <w:b/>
                <w:bCs/>
                <w:sz w:val="21"/>
                <w:szCs w:val="21"/>
                <w:highlight w:val="none"/>
                <w:lang w:val="en-US" w:eastAsia="zh-CN"/>
              </w:rPr>
            </w:pPr>
            <w:r>
              <w:rPr>
                <w:rFonts w:hint="eastAsia"/>
                <w:b/>
                <w:bCs/>
                <w:sz w:val="21"/>
                <w:szCs w:val="21"/>
                <w:highlight w:val="none"/>
                <w:lang w:val="en-US" w:eastAsia="zh-CN"/>
              </w:rPr>
              <w:t>序号</w:t>
            </w:r>
          </w:p>
        </w:tc>
        <w:tc>
          <w:tcPr>
            <w:tcW w:w="3059" w:type="pct"/>
            <w:vAlign w:val="center"/>
          </w:tcPr>
          <w:p w14:paraId="02745C41">
            <w:pPr>
              <w:spacing w:line="360" w:lineRule="auto"/>
              <w:ind w:left="0" w:leftChars="0" w:firstLine="0" w:firstLineChars="0"/>
              <w:jc w:val="center"/>
              <w:rPr>
                <w:rFonts w:hint="eastAsia"/>
                <w:b/>
                <w:bCs/>
                <w:sz w:val="21"/>
                <w:szCs w:val="21"/>
                <w:highlight w:val="none"/>
                <w:lang w:val="en-US" w:eastAsia="zh-CN"/>
              </w:rPr>
            </w:pPr>
            <w:r>
              <w:rPr>
                <w:rFonts w:hint="eastAsia"/>
                <w:b/>
                <w:bCs/>
                <w:sz w:val="21"/>
                <w:szCs w:val="21"/>
                <w:highlight w:val="none"/>
                <w:lang w:val="en-US" w:eastAsia="zh-CN"/>
              </w:rPr>
              <w:t>文件要求</w:t>
            </w:r>
          </w:p>
        </w:tc>
        <w:tc>
          <w:tcPr>
            <w:tcW w:w="1133" w:type="pct"/>
            <w:vAlign w:val="center"/>
          </w:tcPr>
          <w:p w14:paraId="678601B5">
            <w:pPr>
              <w:spacing w:line="360" w:lineRule="auto"/>
              <w:ind w:left="0" w:leftChars="0" w:firstLine="0" w:firstLineChars="0"/>
              <w:jc w:val="center"/>
              <w:rPr>
                <w:rFonts w:hint="eastAsia"/>
                <w:b/>
                <w:bCs/>
                <w:sz w:val="21"/>
                <w:szCs w:val="21"/>
                <w:highlight w:val="none"/>
                <w:lang w:val="en-US" w:eastAsia="zh-CN"/>
              </w:rPr>
            </w:pPr>
            <w:r>
              <w:rPr>
                <w:rFonts w:hint="eastAsia"/>
                <w:b/>
                <w:bCs/>
                <w:sz w:val="21"/>
                <w:szCs w:val="21"/>
                <w:highlight w:val="none"/>
                <w:lang w:val="en-US" w:eastAsia="zh-CN"/>
              </w:rPr>
              <w:t>拟建项目情况</w:t>
            </w:r>
          </w:p>
        </w:tc>
        <w:tc>
          <w:tcPr>
            <w:tcW w:w="465" w:type="pct"/>
            <w:vAlign w:val="center"/>
          </w:tcPr>
          <w:p w14:paraId="6AF9BBA7">
            <w:pPr>
              <w:spacing w:line="360" w:lineRule="auto"/>
              <w:ind w:left="0" w:leftChars="0" w:firstLine="0" w:firstLineChars="0"/>
              <w:jc w:val="center"/>
              <w:rPr>
                <w:rFonts w:hint="eastAsia"/>
                <w:b/>
                <w:bCs/>
                <w:sz w:val="21"/>
                <w:szCs w:val="21"/>
                <w:highlight w:val="none"/>
                <w:lang w:val="en-US" w:eastAsia="zh-CN"/>
              </w:rPr>
            </w:pPr>
            <w:r>
              <w:rPr>
                <w:rFonts w:hint="eastAsia"/>
                <w:b/>
                <w:bCs/>
                <w:sz w:val="21"/>
                <w:szCs w:val="21"/>
                <w:highlight w:val="none"/>
                <w:lang w:val="en-US" w:eastAsia="zh-CN"/>
              </w:rPr>
              <w:t>符合性</w:t>
            </w:r>
          </w:p>
        </w:tc>
      </w:tr>
      <w:tr w14:paraId="1E218404">
        <w:tblPrEx>
          <w:tblBorders>
            <w:top w:val="single" w:color="auto" w:sz="12" w:space="0"/>
            <w:left w:val="single" w:color="auto" w:sz="12" w:space="0"/>
            <w:bottom w:val="single" w:color="auto" w:sz="12" w:space="0"/>
            <w:right w:val="single" w:color="auto" w:sz="12" w:space="0"/>
            <w:insideH w:val="single" w:color="000000" w:sz="2" w:space="0"/>
            <w:insideV w:val="single" w:color="000000" w:sz="2" w:space="0"/>
          </w:tblBorders>
          <w:tblCellMar>
            <w:top w:w="0" w:type="dxa"/>
            <w:left w:w="0" w:type="dxa"/>
            <w:bottom w:w="0" w:type="dxa"/>
            <w:right w:w="0" w:type="dxa"/>
          </w:tblCellMar>
        </w:tblPrEx>
        <w:trPr>
          <w:trHeight w:val="23" w:hRule="atLeast"/>
        </w:trPr>
        <w:tc>
          <w:tcPr>
            <w:tcW w:w="341" w:type="pct"/>
            <w:vAlign w:val="center"/>
          </w:tcPr>
          <w:p w14:paraId="45B083A9">
            <w:pPr>
              <w:spacing w:line="240" w:lineRule="auto"/>
              <w:ind w:left="0" w:leftChars="0" w:firstLine="0" w:firstLineChars="0"/>
              <w:jc w:val="center"/>
              <w:rPr>
                <w:rFonts w:hint="eastAsia"/>
                <w:sz w:val="21"/>
                <w:szCs w:val="21"/>
                <w:highlight w:val="none"/>
                <w:lang w:val="en-US" w:eastAsia="zh-CN"/>
              </w:rPr>
            </w:pPr>
            <w:r>
              <w:rPr>
                <w:rFonts w:hint="eastAsia"/>
                <w:sz w:val="21"/>
                <w:szCs w:val="21"/>
                <w:highlight w:val="none"/>
                <w:lang w:val="en-US" w:eastAsia="zh-CN"/>
              </w:rPr>
              <w:t>1</w:t>
            </w:r>
          </w:p>
        </w:tc>
        <w:tc>
          <w:tcPr>
            <w:tcW w:w="3059" w:type="pct"/>
            <w:vAlign w:val="center"/>
          </w:tcPr>
          <w:p w14:paraId="2361480F">
            <w:pPr>
              <w:spacing w:line="240" w:lineRule="auto"/>
              <w:ind w:left="0" w:leftChars="0" w:firstLine="0" w:firstLineChars="0"/>
              <w:jc w:val="center"/>
              <w:rPr>
                <w:rFonts w:hint="eastAsia"/>
                <w:sz w:val="21"/>
                <w:szCs w:val="21"/>
                <w:highlight w:val="none"/>
                <w:lang w:val="en-US" w:eastAsia="zh-CN"/>
              </w:rPr>
            </w:pPr>
            <w:r>
              <w:rPr>
                <w:rFonts w:hint="eastAsia"/>
                <w:sz w:val="21"/>
                <w:szCs w:val="21"/>
                <w:highlight w:val="none"/>
                <w:lang w:val="en-US" w:eastAsia="zh-CN"/>
              </w:rPr>
              <w:t>有序开展治理与修复。确定治理与修复重点。根据城市环境质量提升和发展布局调整，结合污染地块调查及风险等级划分结果，确定修复的优先次序，以拟开发建设居住、商业、学校、医疗、养老机构和公共服务设施等项目的污染地块为重点，开展治理与修复。根据耕地土壤污染程度、环境风险及其影响范围，重点在耕地重金属中轻度污染集中区域开展治理与修复。</w:t>
            </w:r>
          </w:p>
        </w:tc>
        <w:tc>
          <w:tcPr>
            <w:tcW w:w="1133" w:type="pct"/>
            <w:vAlign w:val="center"/>
          </w:tcPr>
          <w:p w14:paraId="6CC7C9BE">
            <w:pPr>
              <w:spacing w:line="240" w:lineRule="auto"/>
              <w:ind w:left="0" w:leftChars="0" w:firstLine="0" w:firstLineChars="0"/>
              <w:jc w:val="center"/>
              <w:rPr>
                <w:rFonts w:hint="default" w:eastAsia="宋体"/>
                <w:sz w:val="21"/>
                <w:szCs w:val="21"/>
                <w:highlight w:val="none"/>
                <w:lang w:val="en-US" w:eastAsia="zh-CN"/>
              </w:rPr>
            </w:pPr>
            <w:r>
              <w:rPr>
                <w:rFonts w:hint="default"/>
                <w:sz w:val="21"/>
                <w:szCs w:val="21"/>
                <w:highlight w:val="none"/>
              </w:rPr>
              <w:t>本项目属于历史遗留环境污染综合治理项目</w:t>
            </w:r>
            <w:r>
              <w:rPr>
                <w:rFonts w:hint="eastAsia"/>
                <w:sz w:val="21"/>
                <w:szCs w:val="21"/>
                <w:highlight w:val="none"/>
                <w:lang w:eastAsia="zh-CN"/>
              </w:rPr>
              <w:t>，</w:t>
            </w:r>
            <w:r>
              <w:rPr>
                <w:rFonts w:hint="eastAsia"/>
                <w:sz w:val="21"/>
                <w:szCs w:val="21"/>
                <w:highlight w:val="none"/>
                <w:lang w:val="en-US" w:eastAsia="zh-CN"/>
              </w:rPr>
              <w:t>本项目实施完成后能有效减少场地污染对周边环境及居民的影响。</w:t>
            </w:r>
          </w:p>
        </w:tc>
        <w:tc>
          <w:tcPr>
            <w:tcW w:w="465" w:type="pct"/>
            <w:vAlign w:val="center"/>
          </w:tcPr>
          <w:p w14:paraId="17AFCEDE">
            <w:pPr>
              <w:spacing w:line="240" w:lineRule="auto"/>
              <w:ind w:left="0" w:leftChars="0" w:firstLine="0" w:firstLineChars="0"/>
              <w:jc w:val="center"/>
              <w:rPr>
                <w:rFonts w:hint="eastAsia"/>
                <w:sz w:val="21"/>
                <w:szCs w:val="21"/>
                <w:highlight w:val="none"/>
                <w:lang w:val="en-US" w:eastAsia="zh-CN"/>
              </w:rPr>
            </w:pPr>
            <w:r>
              <w:rPr>
                <w:rFonts w:hint="eastAsia"/>
                <w:sz w:val="21"/>
                <w:szCs w:val="21"/>
                <w:highlight w:val="none"/>
                <w:lang w:val="en-US" w:eastAsia="zh-CN"/>
              </w:rPr>
              <w:t>符合</w:t>
            </w:r>
          </w:p>
        </w:tc>
      </w:tr>
    </w:tbl>
    <w:p w14:paraId="054233B5">
      <w:pPr>
        <w:rPr>
          <w:rFonts w:hint="eastAsia"/>
          <w:lang w:val="en-US" w:eastAsia="zh-CN"/>
        </w:rPr>
      </w:pPr>
      <w:r>
        <w:rPr>
          <w:rFonts w:hint="eastAsia"/>
          <w:lang w:val="en-US" w:eastAsia="zh-CN"/>
        </w:rPr>
        <w:t>综上所述，本项目符合《湖南省土壤污染防治工作方案》（湘规划政发〔2017〕4号）中相关要求。</w:t>
      </w:r>
    </w:p>
    <w:p w14:paraId="581D11F8">
      <w:pPr>
        <w:rPr>
          <w:rFonts w:hint="default"/>
          <w:lang w:val="en-US" w:eastAsia="zh-CN"/>
        </w:rPr>
        <w:sectPr>
          <w:footerReference r:id="rId6" w:type="default"/>
          <w:pgSz w:w="11850" w:h="16783"/>
          <w:pgMar w:top="1417" w:right="1417" w:bottom="1417" w:left="1417" w:header="851" w:footer="992" w:gutter="0"/>
          <w:pgNumType w:fmt="decimal" w:start="1"/>
          <w:cols w:space="425" w:num="1"/>
          <w:docGrid w:type="lines" w:linePitch="312" w:charSpace="0"/>
        </w:sectPr>
      </w:pPr>
    </w:p>
    <w:p w14:paraId="28170229">
      <w:pPr>
        <w:pStyle w:val="9"/>
        <w:numPr>
          <w:ilvl w:val="2"/>
          <w:numId w:val="2"/>
        </w:numPr>
        <w:bidi w:val="0"/>
        <w:ind w:left="709" w:leftChars="0" w:hanging="709" w:firstLineChars="0"/>
        <w:rPr>
          <w:rFonts w:hint="default"/>
          <w:highlight w:val="none"/>
        </w:rPr>
      </w:pPr>
      <w:r>
        <w:rPr>
          <w:rFonts w:hint="default"/>
          <w:highlight w:val="none"/>
        </w:rPr>
        <w:t>与</w:t>
      </w:r>
      <w:r>
        <w:rPr>
          <w:rFonts w:hint="eastAsia"/>
          <w:highlight w:val="none"/>
          <w:lang w:eastAsia="zh-CN"/>
        </w:rPr>
        <w:t>《</w:t>
      </w:r>
      <w:r>
        <w:rPr>
          <w:rFonts w:hint="default"/>
          <w:highlight w:val="none"/>
        </w:rPr>
        <w:t>岳阳市其他环境管控单元（省级及以上产业园区除外）生态环境准入清单（2023年版）</w:t>
      </w:r>
      <w:r>
        <w:rPr>
          <w:rFonts w:hint="eastAsia"/>
          <w:highlight w:val="none"/>
          <w:lang w:eastAsia="zh-CN"/>
        </w:rPr>
        <w:t>》</w:t>
      </w:r>
      <w:r>
        <w:rPr>
          <w:rFonts w:hint="default"/>
          <w:highlight w:val="none"/>
          <w:lang w:val="en-US" w:eastAsia="zh-CN"/>
        </w:rPr>
        <w:t>相符性分析</w:t>
      </w:r>
    </w:p>
    <w:p w14:paraId="0F199086">
      <w:pPr>
        <w:bidi w:val="0"/>
        <w:rPr>
          <w:rFonts w:hint="eastAsia"/>
          <w:highlight w:val="yellow"/>
          <w:lang w:val="en-US" w:eastAsia="zh-CN"/>
        </w:rPr>
      </w:pPr>
      <w:r>
        <w:rPr>
          <w:rFonts w:hint="eastAsia"/>
          <w:highlight w:val="none"/>
          <w:lang w:val="en-US" w:eastAsia="zh-CN"/>
        </w:rPr>
        <w:t>2024年12月17日，岳阳市生态环境局发布了《岳阳市其他环境管控单元（省级及以上产业园区除外）生态环境准入清单（2023年版）》，本项目位于岳阳市平江县三阳乡，三阳乡为重点管控单元，环境管控单元编码为：ZH43062620001。本项目不在平江县生态保护红线范围内。本项目与《岳阳市其他环境管控单元（省级及以上产业园区除外）生态环境准入清单（2023年版）》符合性分析详见表1.4-8。</w:t>
      </w:r>
    </w:p>
    <w:p w14:paraId="130B722F">
      <w:pPr>
        <w:bidi w:val="0"/>
        <w:spacing w:line="360" w:lineRule="auto"/>
        <w:ind w:left="0" w:leftChars="0" w:firstLine="0" w:firstLineChars="0"/>
        <w:jc w:val="center"/>
        <w:rPr>
          <w:rFonts w:hint="eastAsia"/>
          <w:b/>
          <w:bCs/>
          <w:sz w:val="21"/>
          <w:szCs w:val="21"/>
          <w:highlight w:val="none"/>
          <w:lang w:val="en-US" w:eastAsia="zh-CN"/>
        </w:rPr>
      </w:pPr>
      <w:r>
        <w:rPr>
          <w:rFonts w:hint="eastAsia"/>
          <w:b/>
          <w:bCs/>
          <w:sz w:val="21"/>
          <w:szCs w:val="21"/>
          <w:highlight w:val="none"/>
          <w:lang w:val="en-US" w:eastAsia="zh-CN"/>
        </w:rPr>
        <w:t>表1.4-8  本项目与《岳阳市其他环境管控单元（省级及以上产业园区除外）生态环境准入清单（2023年版）》相符性分析</w:t>
      </w:r>
    </w:p>
    <w:tbl>
      <w:tblPr>
        <w:tblStyle w:val="35"/>
        <w:tblW w:w="5000" w:type="pct"/>
        <w:jc w:val="center"/>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Layout w:type="autofit"/>
        <w:tblCellMar>
          <w:top w:w="0" w:type="dxa"/>
          <w:left w:w="108" w:type="dxa"/>
          <w:bottom w:w="0" w:type="dxa"/>
          <w:right w:w="108" w:type="dxa"/>
        </w:tblCellMar>
      </w:tblPr>
      <w:tblGrid>
        <w:gridCol w:w="1944"/>
        <w:gridCol w:w="8494"/>
        <w:gridCol w:w="2874"/>
        <w:gridCol w:w="853"/>
      </w:tblGrid>
      <w:tr w14:paraId="36A4F381">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0" w:hRule="atLeast"/>
          <w:tblHeader/>
          <w:jc w:val="center"/>
        </w:trPr>
        <w:tc>
          <w:tcPr>
            <w:tcW w:w="686" w:type="pct"/>
            <w:tcBorders>
              <w:tl2br w:val="nil"/>
              <w:tr2bl w:val="nil"/>
            </w:tcBorders>
            <w:noWrap w:val="0"/>
            <w:vAlign w:val="center"/>
          </w:tcPr>
          <w:p w14:paraId="0DD43208">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b/>
                <w:bCs/>
                <w:sz w:val="21"/>
                <w:szCs w:val="21"/>
                <w:highlight w:val="none"/>
              </w:rPr>
            </w:pPr>
            <w:r>
              <w:rPr>
                <w:rFonts w:hint="default"/>
                <w:b/>
                <w:bCs/>
                <w:sz w:val="21"/>
                <w:szCs w:val="21"/>
                <w:highlight w:val="none"/>
              </w:rPr>
              <w:t>管控维度</w:t>
            </w:r>
          </w:p>
        </w:tc>
        <w:tc>
          <w:tcPr>
            <w:tcW w:w="2997" w:type="pct"/>
            <w:tcBorders>
              <w:tl2br w:val="nil"/>
              <w:tr2bl w:val="nil"/>
            </w:tcBorders>
            <w:noWrap w:val="0"/>
            <w:vAlign w:val="center"/>
          </w:tcPr>
          <w:p w14:paraId="4092690B">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b/>
                <w:bCs/>
                <w:sz w:val="21"/>
                <w:szCs w:val="21"/>
                <w:highlight w:val="none"/>
              </w:rPr>
            </w:pPr>
            <w:r>
              <w:rPr>
                <w:rFonts w:hint="default"/>
                <w:b/>
                <w:bCs/>
                <w:sz w:val="21"/>
                <w:szCs w:val="21"/>
                <w:highlight w:val="none"/>
              </w:rPr>
              <w:t>管控要求</w:t>
            </w:r>
          </w:p>
        </w:tc>
        <w:tc>
          <w:tcPr>
            <w:tcW w:w="1014" w:type="pct"/>
            <w:tcBorders>
              <w:tl2br w:val="nil"/>
              <w:tr2bl w:val="nil"/>
            </w:tcBorders>
            <w:noWrap w:val="0"/>
            <w:vAlign w:val="center"/>
          </w:tcPr>
          <w:p w14:paraId="67007960">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b/>
                <w:bCs/>
                <w:sz w:val="21"/>
                <w:szCs w:val="21"/>
                <w:highlight w:val="none"/>
              </w:rPr>
            </w:pPr>
            <w:r>
              <w:rPr>
                <w:rFonts w:hint="default"/>
                <w:b/>
                <w:bCs/>
                <w:sz w:val="21"/>
                <w:szCs w:val="21"/>
                <w:highlight w:val="none"/>
              </w:rPr>
              <w:t>本项目情况分析</w:t>
            </w:r>
          </w:p>
        </w:tc>
        <w:tc>
          <w:tcPr>
            <w:tcW w:w="301" w:type="pct"/>
            <w:tcBorders>
              <w:tl2br w:val="nil"/>
              <w:tr2bl w:val="nil"/>
            </w:tcBorders>
            <w:noWrap w:val="0"/>
            <w:vAlign w:val="center"/>
          </w:tcPr>
          <w:p w14:paraId="552BEAA6">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b/>
                <w:bCs/>
                <w:sz w:val="21"/>
                <w:szCs w:val="21"/>
                <w:highlight w:val="none"/>
                <w:lang w:val="en-US" w:eastAsia="zh-CN"/>
              </w:rPr>
            </w:pPr>
            <w:r>
              <w:rPr>
                <w:rFonts w:hint="default"/>
                <w:b/>
                <w:bCs/>
                <w:sz w:val="21"/>
                <w:szCs w:val="21"/>
                <w:highlight w:val="none"/>
              </w:rPr>
              <w:t>符合性</w:t>
            </w:r>
          </w:p>
        </w:tc>
      </w:tr>
      <w:tr w14:paraId="4AEF0592">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686" w:type="pct"/>
            <w:tcBorders>
              <w:tl2br w:val="nil"/>
              <w:tr2bl w:val="nil"/>
            </w:tcBorders>
            <w:noWrap w:val="0"/>
            <w:vAlign w:val="center"/>
          </w:tcPr>
          <w:p w14:paraId="1942041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rPr>
            </w:pPr>
            <w:r>
              <w:rPr>
                <w:rFonts w:hint="default"/>
                <w:sz w:val="21"/>
                <w:szCs w:val="21"/>
                <w:highlight w:val="none"/>
              </w:rPr>
              <w:t>空间布局约束</w:t>
            </w:r>
          </w:p>
        </w:tc>
        <w:tc>
          <w:tcPr>
            <w:tcW w:w="2997" w:type="pct"/>
            <w:tcBorders>
              <w:tl2br w:val="nil"/>
              <w:tr2bl w:val="nil"/>
            </w:tcBorders>
            <w:noWrap w:val="0"/>
            <w:vAlign w:val="center"/>
          </w:tcPr>
          <w:p w14:paraId="4F1EC95F">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sz w:val="21"/>
                <w:szCs w:val="21"/>
                <w:highlight w:val="none"/>
              </w:rPr>
            </w:pPr>
            <w:r>
              <w:rPr>
                <w:rFonts w:hint="default"/>
                <w:sz w:val="21"/>
                <w:szCs w:val="21"/>
                <w:highlight w:val="none"/>
              </w:rPr>
              <w:t>（1.1）强化工业污染治理，引导农副食品加工及食品制造业等开展清洁生产改造。开展环境专项整治行动，建立环境问题清单并限期整改。</w:t>
            </w:r>
          </w:p>
          <w:p w14:paraId="71E8A9D4">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sz w:val="21"/>
                <w:szCs w:val="21"/>
                <w:highlight w:val="none"/>
              </w:rPr>
            </w:pPr>
            <w:r>
              <w:rPr>
                <w:rFonts w:hint="default"/>
                <w:sz w:val="21"/>
                <w:szCs w:val="21"/>
                <w:highlight w:val="none"/>
              </w:rPr>
              <w:t>（1.2）优化调整畜禽养殖结构和布局，开展绿色种养循坏农业试点，加强畜禽粪污处理及资源化利用。合理布局水产养殖生产，深入实施水产绿色健康养殖“五大行动”，加快推广示范生态养殖模式，推进水产养殖尾水处理。</w:t>
            </w:r>
          </w:p>
        </w:tc>
        <w:tc>
          <w:tcPr>
            <w:tcW w:w="1014" w:type="pct"/>
            <w:tcBorders>
              <w:tl2br w:val="nil"/>
              <w:tr2bl w:val="nil"/>
            </w:tcBorders>
            <w:noWrap w:val="0"/>
            <w:vAlign w:val="center"/>
          </w:tcPr>
          <w:p w14:paraId="44593F6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sz w:val="21"/>
                <w:szCs w:val="21"/>
                <w:highlight w:val="none"/>
                <w:lang w:eastAsia="zh-CN"/>
              </w:rPr>
            </w:pPr>
            <w:r>
              <w:rPr>
                <w:rFonts w:hint="default"/>
                <w:sz w:val="21"/>
                <w:szCs w:val="21"/>
                <w:highlight w:val="none"/>
              </w:rPr>
              <w:t>本项目属于历史遗留环境污染综合治理项目，不</w:t>
            </w:r>
            <w:r>
              <w:rPr>
                <w:rFonts w:hint="eastAsia"/>
                <w:sz w:val="21"/>
                <w:szCs w:val="21"/>
                <w:highlight w:val="none"/>
                <w:lang w:val="en-US" w:eastAsia="zh-CN"/>
              </w:rPr>
              <w:t>涉及农副食品加工及食品制造业，不</w:t>
            </w:r>
            <w:r>
              <w:rPr>
                <w:rFonts w:hint="default"/>
                <w:sz w:val="21"/>
                <w:szCs w:val="21"/>
                <w:highlight w:val="none"/>
              </w:rPr>
              <w:t>涉及畜禽养殖</w:t>
            </w:r>
            <w:r>
              <w:rPr>
                <w:rFonts w:hint="eastAsia"/>
                <w:sz w:val="21"/>
                <w:szCs w:val="21"/>
                <w:highlight w:val="none"/>
                <w:lang w:eastAsia="zh-CN"/>
              </w:rPr>
              <w:t>。</w:t>
            </w:r>
          </w:p>
        </w:tc>
        <w:tc>
          <w:tcPr>
            <w:tcW w:w="301" w:type="pct"/>
            <w:tcBorders>
              <w:tl2br w:val="nil"/>
              <w:tr2bl w:val="nil"/>
            </w:tcBorders>
            <w:noWrap w:val="0"/>
            <w:vAlign w:val="center"/>
          </w:tcPr>
          <w:p w14:paraId="204308C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lang w:val="en-US" w:eastAsia="zh-CN"/>
              </w:rPr>
            </w:pPr>
            <w:r>
              <w:rPr>
                <w:rFonts w:hint="default"/>
                <w:sz w:val="21"/>
                <w:szCs w:val="21"/>
                <w:highlight w:val="none"/>
                <w:lang w:val="en-US" w:eastAsia="zh-CN"/>
              </w:rPr>
              <w:t>符合</w:t>
            </w:r>
          </w:p>
        </w:tc>
      </w:tr>
      <w:tr w14:paraId="576DB420">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686" w:type="pct"/>
            <w:tcBorders>
              <w:tl2br w:val="nil"/>
              <w:tr2bl w:val="nil"/>
            </w:tcBorders>
            <w:noWrap w:val="0"/>
            <w:vAlign w:val="center"/>
          </w:tcPr>
          <w:p w14:paraId="3DFAF231">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sz w:val="21"/>
                <w:szCs w:val="21"/>
                <w:highlight w:val="none"/>
              </w:rPr>
            </w:pPr>
            <w:r>
              <w:rPr>
                <w:rFonts w:hint="default"/>
                <w:sz w:val="21"/>
                <w:szCs w:val="21"/>
                <w:highlight w:val="none"/>
              </w:rPr>
              <w:t>污染物排放管控</w:t>
            </w:r>
          </w:p>
        </w:tc>
        <w:tc>
          <w:tcPr>
            <w:tcW w:w="2997" w:type="pct"/>
            <w:tcBorders>
              <w:tl2br w:val="nil"/>
              <w:tr2bl w:val="nil"/>
            </w:tcBorders>
            <w:noWrap w:val="0"/>
            <w:vAlign w:val="center"/>
          </w:tcPr>
          <w:p w14:paraId="3C75F593">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sz w:val="21"/>
                <w:szCs w:val="21"/>
                <w:highlight w:val="none"/>
              </w:rPr>
            </w:pPr>
            <w:r>
              <w:rPr>
                <w:rFonts w:hint="default"/>
                <w:b w:val="0"/>
                <w:bCs w:val="0"/>
                <w:sz w:val="21"/>
                <w:szCs w:val="21"/>
                <w:highlight w:val="none"/>
              </w:rPr>
              <w:t>（2.1）废气</w:t>
            </w:r>
            <w:r>
              <w:rPr>
                <w:rFonts w:hint="default"/>
                <w:sz w:val="21"/>
                <w:szCs w:val="21"/>
                <w:highlight w:val="none"/>
              </w:rPr>
              <w:t>：着力打好污染天气消除攻坚战。坚持源头防控、系统治理，以露天焚烧秸秆、城市扬尘等为重点领域，强化区域协作机制，提升空气质量预测预报能力，全力抓好任务措施实施及落地见效，有效削减各类大气污染物排放。</w:t>
            </w:r>
          </w:p>
          <w:p w14:paraId="7694BE79">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sz w:val="21"/>
                <w:szCs w:val="21"/>
                <w:highlight w:val="none"/>
                <w:lang w:val="en-US" w:eastAsia="zh-CN"/>
              </w:rPr>
            </w:pPr>
            <w:r>
              <w:rPr>
                <w:rFonts w:hint="eastAsia"/>
                <w:sz w:val="21"/>
                <w:szCs w:val="21"/>
                <w:highlight w:val="none"/>
                <w:lang w:eastAsia="zh-CN"/>
              </w:rPr>
              <w:t>（</w:t>
            </w:r>
            <w:r>
              <w:rPr>
                <w:rFonts w:hint="eastAsia"/>
                <w:sz w:val="21"/>
                <w:szCs w:val="21"/>
                <w:highlight w:val="none"/>
                <w:lang w:val="en-US" w:eastAsia="zh-CN"/>
              </w:rPr>
              <w:t>2.2</w:t>
            </w:r>
            <w:r>
              <w:rPr>
                <w:rFonts w:hint="eastAsia"/>
                <w:sz w:val="21"/>
                <w:szCs w:val="21"/>
                <w:highlight w:val="none"/>
                <w:lang w:eastAsia="zh-CN"/>
              </w:rPr>
              <w:t>）</w:t>
            </w:r>
            <w:r>
              <w:rPr>
                <w:rFonts w:hint="eastAsia"/>
                <w:b w:val="0"/>
                <w:bCs w:val="0"/>
                <w:sz w:val="21"/>
                <w:szCs w:val="21"/>
                <w:highlight w:val="none"/>
                <w:lang w:val="en-US" w:eastAsia="zh-CN"/>
              </w:rPr>
              <w:t>废水：</w:t>
            </w:r>
            <w:r>
              <w:rPr>
                <w:rFonts w:hint="eastAsia"/>
                <w:sz w:val="21"/>
                <w:szCs w:val="21"/>
                <w:highlight w:val="none"/>
                <w:lang w:val="en-US" w:eastAsia="zh-CN"/>
              </w:rPr>
              <w:t>提升污水收集处理能力。加快建设完善城镇生活污水收集管网，更新修复混错接、漏接、老旧破损管网。因地制宜采取溢流口改造、增设调蓄设施等工程措施推进初期雨水污染控制。</w:t>
            </w:r>
          </w:p>
          <w:p w14:paraId="618168CD">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sz w:val="21"/>
                <w:szCs w:val="21"/>
                <w:highlight w:val="none"/>
                <w:lang w:val="en-US" w:eastAsia="zh-CN"/>
              </w:rPr>
            </w:pPr>
            <w:r>
              <w:rPr>
                <w:rFonts w:hint="eastAsia"/>
                <w:sz w:val="21"/>
                <w:szCs w:val="21"/>
                <w:highlight w:val="none"/>
                <w:lang w:eastAsia="zh-CN"/>
              </w:rPr>
              <w:t>（</w:t>
            </w:r>
            <w:r>
              <w:rPr>
                <w:rFonts w:hint="eastAsia"/>
                <w:sz w:val="21"/>
                <w:szCs w:val="21"/>
                <w:highlight w:val="none"/>
                <w:lang w:val="en-US" w:eastAsia="zh-CN"/>
              </w:rPr>
              <w:t>2.3</w:t>
            </w:r>
            <w:r>
              <w:rPr>
                <w:rFonts w:hint="eastAsia"/>
                <w:sz w:val="21"/>
                <w:szCs w:val="21"/>
                <w:highlight w:val="none"/>
                <w:lang w:eastAsia="zh-CN"/>
              </w:rPr>
              <w:t>）</w:t>
            </w:r>
            <w:r>
              <w:rPr>
                <w:rFonts w:hint="eastAsia"/>
                <w:b w:val="0"/>
                <w:bCs w:val="0"/>
                <w:sz w:val="21"/>
                <w:szCs w:val="21"/>
                <w:highlight w:val="none"/>
                <w:lang w:val="en-US" w:eastAsia="zh-CN"/>
              </w:rPr>
              <w:t>固体废物：</w:t>
            </w:r>
            <w:r>
              <w:rPr>
                <w:rFonts w:hint="eastAsia"/>
                <w:sz w:val="21"/>
                <w:szCs w:val="21"/>
                <w:highlight w:val="none"/>
                <w:lang w:val="en-US" w:eastAsia="zh-CN"/>
              </w:rPr>
              <w:t>统筹推进农村生活垃圾分类收集，加快推进农村生活垃圾源头分类减量，减少垃圾出村量。完善“户分类、村收集、乡镇转运（直收直运）、县处理”的城乡一体化垃圾收集转运和处置体系建设，强化日常运行维护管理，提升规范化运行水平。</w:t>
            </w:r>
          </w:p>
          <w:p w14:paraId="749E8736">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sz w:val="21"/>
                <w:szCs w:val="21"/>
                <w:highlight w:val="none"/>
                <w:lang w:val="en-US" w:eastAsia="zh-CN"/>
              </w:rPr>
            </w:pPr>
            <w:r>
              <w:rPr>
                <w:rFonts w:hint="eastAsia"/>
                <w:sz w:val="21"/>
                <w:szCs w:val="21"/>
                <w:highlight w:val="none"/>
                <w:lang w:eastAsia="zh-CN"/>
              </w:rPr>
              <w:t>（</w:t>
            </w:r>
            <w:r>
              <w:rPr>
                <w:rFonts w:hint="eastAsia"/>
                <w:sz w:val="21"/>
                <w:szCs w:val="21"/>
                <w:highlight w:val="none"/>
                <w:lang w:val="en-US" w:eastAsia="zh-CN"/>
              </w:rPr>
              <w:t>2.4</w:t>
            </w:r>
            <w:r>
              <w:rPr>
                <w:rFonts w:hint="eastAsia"/>
                <w:sz w:val="21"/>
                <w:szCs w:val="21"/>
                <w:highlight w:val="none"/>
                <w:lang w:eastAsia="zh-CN"/>
              </w:rPr>
              <w:t>）</w:t>
            </w:r>
            <w:r>
              <w:rPr>
                <w:rFonts w:hint="eastAsia"/>
                <w:b w:val="0"/>
                <w:bCs w:val="0"/>
                <w:sz w:val="21"/>
                <w:szCs w:val="21"/>
                <w:highlight w:val="none"/>
                <w:lang w:val="en-US" w:eastAsia="zh-CN"/>
              </w:rPr>
              <w:t>畜禽养殖：</w:t>
            </w:r>
            <w:r>
              <w:rPr>
                <w:rFonts w:hint="eastAsia"/>
                <w:sz w:val="21"/>
                <w:szCs w:val="21"/>
                <w:highlight w:val="none"/>
                <w:lang w:val="en-US" w:eastAsia="zh-CN"/>
              </w:rPr>
              <w:t>加强畜禽粪污处理及资源化利用。巩固畜禽粪污资源化利用整县推进项目成效，加快推进规模化畜禽养殖场粪污治理设施升级改造；鼓励规模以下畜禽养殖户采用“种养结合”等模式消纳畜禽粪污。到2025年，畜禽粪污综合利用率达到80%以上。</w:t>
            </w:r>
          </w:p>
          <w:p w14:paraId="7EADCA6F">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eastAsia="宋体"/>
                <w:sz w:val="21"/>
                <w:szCs w:val="21"/>
                <w:highlight w:val="none"/>
                <w:lang w:val="en-US" w:eastAsia="zh-CN"/>
              </w:rPr>
            </w:pPr>
            <w:r>
              <w:rPr>
                <w:rFonts w:hint="eastAsia"/>
                <w:sz w:val="21"/>
                <w:szCs w:val="21"/>
                <w:highlight w:val="none"/>
                <w:lang w:eastAsia="zh-CN"/>
              </w:rPr>
              <w:t>（</w:t>
            </w:r>
            <w:r>
              <w:rPr>
                <w:rFonts w:hint="eastAsia"/>
                <w:sz w:val="21"/>
                <w:szCs w:val="21"/>
                <w:highlight w:val="none"/>
                <w:lang w:val="en-US" w:eastAsia="zh-CN"/>
              </w:rPr>
              <w:t>2.5</w:t>
            </w:r>
            <w:r>
              <w:rPr>
                <w:rFonts w:hint="eastAsia"/>
                <w:sz w:val="21"/>
                <w:szCs w:val="21"/>
                <w:highlight w:val="none"/>
                <w:lang w:eastAsia="zh-CN"/>
              </w:rPr>
              <w:t>）</w:t>
            </w:r>
            <w:r>
              <w:rPr>
                <w:rFonts w:hint="eastAsia"/>
                <w:b w:val="0"/>
                <w:bCs w:val="0"/>
                <w:sz w:val="21"/>
                <w:szCs w:val="21"/>
                <w:highlight w:val="none"/>
                <w:lang w:val="en-US" w:eastAsia="zh-CN"/>
              </w:rPr>
              <w:t>农业面源：</w:t>
            </w:r>
            <w:r>
              <w:rPr>
                <w:rFonts w:hint="eastAsia"/>
                <w:sz w:val="21"/>
                <w:szCs w:val="21"/>
                <w:highlight w:val="none"/>
                <w:lang w:val="en-US" w:eastAsia="zh-CN"/>
              </w:rPr>
              <w:t>深入推进化肥农药减量增效，依法落实化肥使用总量控制。推进科学用药，提高农药利用率。统筹推进农膜秸秆回收利用，2023年全县农膜回收率和秸秆综合利用率分别达到83%以上和86%以上。</w:t>
            </w:r>
          </w:p>
        </w:tc>
        <w:tc>
          <w:tcPr>
            <w:tcW w:w="1014" w:type="pct"/>
            <w:tcBorders>
              <w:tl2br w:val="nil"/>
              <w:tr2bl w:val="nil"/>
            </w:tcBorders>
            <w:noWrap w:val="0"/>
            <w:vAlign w:val="center"/>
          </w:tcPr>
          <w:p w14:paraId="17C553F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sz w:val="21"/>
                <w:szCs w:val="21"/>
                <w:highlight w:val="yellow"/>
                <w:lang w:val="en-US" w:eastAsia="zh-CN"/>
              </w:rPr>
            </w:pPr>
            <w:r>
              <w:rPr>
                <w:rFonts w:hint="default" w:eastAsia="宋体"/>
                <w:sz w:val="21"/>
                <w:szCs w:val="21"/>
                <w:highlight w:val="none"/>
                <w:lang w:val="en-US" w:eastAsia="zh-CN"/>
              </w:rPr>
              <w:t>本项目属于历史遗留环境污染综合治理项目，</w:t>
            </w:r>
            <w:r>
              <w:rPr>
                <w:rFonts w:hint="eastAsia"/>
                <w:sz w:val="21"/>
                <w:szCs w:val="21"/>
                <w:highlight w:val="none"/>
                <w:lang w:val="en-US" w:eastAsia="zh-CN"/>
              </w:rPr>
              <w:t>仅施工期涉及施工扬尘，施工结束后影响消失，填埋场封场后</w:t>
            </w:r>
            <w:r>
              <w:rPr>
                <w:rFonts w:hint="default" w:eastAsia="宋体"/>
                <w:sz w:val="21"/>
                <w:szCs w:val="21"/>
                <w:highlight w:val="none"/>
                <w:lang w:val="en-US" w:eastAsia="zh-CN"/>
              </w:rPr>
              <w:t>不涉及</w:t>
            </w:r>
            <w:r>
              <w:rPr>
                <w:rFonts w:hint="eastAsia"/>
                <w:sz w:val="21"/>
                <w:szCs w:val="21"/>
                <w:highlight w:val="none"/>
                <w:lang w:val="en-US" w:eastAsia="zh-CN"/>
              </w:rPr>
              <w:t>废气排放，不涉及</w:t>
            </w:r>
            <w:r>
              <w:rPr>
                <w:rFonts w:hint="default" w:eastAsia="宋体"/>
                <w:sz w:val="21"/>
                <w:szCs w:val="21"/>
                <w:highlight w:val="none"/>
                <w:lang w:val="en-US" w:eastAsia="zh-CN"/>
              </w:rPr>
              <w:t>畜禽养殖</w:t>
            </w:r>
            <w:r>
              <w:rPr>
                <w:rFonts w:hint="eastAsia"/>
                <w:sz w:val="21"/>
                <w:szCs w:val="21"/>
                <w:highlight w:val="none"/>
                <w:lang w:val="en-US" w:eastAsia="zh-CN"/>
              </w:rPr>
              <w:t>和农业面源污染</w:t>
            </w:r>
            <w:r>
              <w:rPr>
                <w:rFonts w:hint="default" w:eastAsia="宋体"/>
                <w:sz w:val="21"/>
                <w:szCs w:val="21"/>
                <w:highlight w:val="none"/>
                <w:lang w:val="en-US" w:eastAsia="zh-CN"/>
              </w:rPr>
              <w:t>，不属于工业项目。项目施工废水处理达标后用于洒水抑尘等；</w:t>
            </w:r>
            <w:r>
              <w:rPr>
                <w:rFonts w:hint="eastAsia"/>
                <w:sz w:val="21"/>
                <w:szCs w:val="21"/>
                <w:highlight w:val="none"/>
                <w:lang w:val="en-US" w:eastAsia="zh-CN"/>
              </w:rPr>
              <w:t>填埋场</w:t>
            </w:r>
            <w:r>
              <w:rPr>
                <w:rFonts w:hint="default" w:eastAsia="宋体"/>
                <w:sz w:val="21"/>
                <w:szCs w:val="21"/>
                <w:highlight w:val="none"/>
                <w:lang w:val="en-US" w:eastAsia="zh-CN"/>
              </w:rPr>
              <w:t>渗滤液运至湖南黄金天岳矿业有限公司垂拱洞尾矿库废水处理站处理。清理出的废渣均进行填埋处置。</w:t>
            </w:r>
          </w:p>
        </w:tc>
        <w:tc>
          <w:tcPr>
            <w:tcW w:w="301" w:type="pct"/>
            <w:tcBorders>
              <w:tl2br w:val="nil"/>
              <w:tr2bl w:val="nil"/>
            </w:tcBorders>
            <w:noWrap w:val="0"/>
            <w:vAlign w:val="center"/>
          </w:tcPr>
          <w:p w14:paraId="5292C5F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rPr>
            </w:pPr>
            <w:r>
              <w:rPr>
                <w:rFonts w:hint="default"/>
                <w:sz w:val="21"/>
                <w:szCs w:val="21"/>
                <w:highlight w:val="none"/>
                <w:lang w:val="en-US" w:eastAsia="zh-CN"/>
              </w:rPr>
              <w:t>符合</w:t>
            </w:r>
          </w:p>
        </w:tc>
      </w:tr>
      <w:tr w14:paraId="0CB3D7C6">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686" w:type="pct"/>
            <w:tcBorders>
              <w:tl2br w:val="nil"/>
              <w:tr2bl w:val="nil"/>
            </w:tcBorders>
            <w:noWrap w:val="0"/>
            <w:vAlign w:val="center"/>
          </w:tcPr>
          <w:p w14:paraId="4D5260E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rPr>
            </w:pPr>
            <w:r>
              <w:rPr>
                <w:rFonts w:hint="default"/>
                <w:sz w:val="21"/>
                <w:szCs w:val="21"/>
                <w:highlight w:val="none"/>
              </w:rPr>
              <w:t>环境风险防控</w:t>
            </w:r>
          </w:p>
        </w:tc>
        <w:tc>
          <w:tcPr>
            <w:tcW w:w="2997" w:type="pct"/>
            <w:tcBorders>
              <w:tl2br w:val="nil"/>
              <w:tr2bl w:val="nil"/>
            </w:tcBorders>
            <w:noWrap w:val="0"/>
            <w:vAlign w:val="center"/>
          </w:tcPr>
          <w:p w14:paraId="7B9CEAD8">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sz w:val="21"/>
                <w:szCs w:val="21"/>
                <w:highlight w:val="none"/>
              </w:rPr>
            </w:pPr>
            <w:r>
              <w:rPr>
                <w:rFonts w:hint="default"/>
                <w:sz w:val="21"/>
                <w:szCs w:val="21"/>
                <w:highlight w:val="none"/>
              </w:rPr>
              <w:t>（3.1）推进农用地土壤污染防治和安全利用。配合省生态环境厅开展受污染耕地土壤重金属成因排查试点，督促开展污染源头风险管控。落实2023年受污染耕地安全利用任务，严格分类管理，建立管理清单，确保受污染耕地安全利用率达到90%。</w:t>
            </w:r>
          </w:p>
          <w:p w14:paraId="67ABEDFC">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sz w:val="21"/>
                <w:szCs w:val="21"/>
                <w:highlight w:val="none"/>
              </w:rPr>
            </w:pPr>
            <w:r>
              <w:rPr>
                <w:rFonts w:hint="default"/>
                <w:sz w:val="21"/>
                <w:szCs w:val="21"/>
                <w:highlight w:val="none"/>
              </w:rPr>
              <w:t>（3.2）加强地下水污染协同防治。强化在产企业土壤和地下水污染源头管控，启动地下水污染防治重点区划定工作，加强地下水环境监测监管能力建设，推进地下水污染预防、风险管控与修复试点。</w:t>
            </w:r>
          </w:p>
        </w:tc>
        <w:tc>
          <w:tcPr>
            <w:tcW w:w="1014" w:type="pct"/>
            <w:tcBorders>
              <w:tl2br w:val="nil"/>
              <w:tr2bl w:val="nil"/>
            </w:tcBorders>
            <w:noWrap w:val="0"/>
            <w:vAlign w:val="center"/>
          </w:tcPr>
          <w:p w14:paraId="66D1E23A">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sz w:val="21"/>
                <w:szCs w:val="21"/>
                <w:highlight w:val="none"/>
              </w:rPr>
            </w:pPr>
            <w:r>
              <w:rPr>
                <w:rFonts w:hint="default"/>
                <w:sz w:val="21"/>
                <w:szCs w:val="21"/>
                <w:highlight w:val="none"/>
              </w:rPr>
              <w:t>本项目属于历史遗留环境污染综合治理项目，按照《一般工业固体废物贮存和填埋污染控制标准》（GB</w:t>
            </w:r>
            <w:r>
              <w:rPr>
                <w:rFonts w:hint="eastAsia"/>
                <w:sz w:val="21"/>
                <w:szCs w:val="21"/>
                <w:highlight w:val="none"/>
                <w:lang w:val="en-US" w:eastAsia="zh-CN"/>
              </w:rPr>
              <w:t xml:space="preserve"> </w:t>
            </w:r>
            <w:r>
              <w:rPr>
                <w:rFonts w:hint="default"/>
                <w:sz w:val="21"/>
                <w:szCs w:val="21"/>
                <w:highlight w:val="none"/>
              </w:rPr>
              <w:t>18599-2020）要求建设一座填埋场对遗留废渣进行填埋</w:t>
            </w:r>
            <w:r>
              <w:rPr>
                <w:rFonts w:hint="eastAsia"/>
                <w:sz w:val="21"/>
                <w:szCs w:val="21"/>
                <w:highlight w:val="none"/>
                <w:lang w:eastAsia="zh-CN"/>
              </w:rPr>
              <w:t>，</w:t>
            </w:r>
            <w:r>
              <w:rPr>
                <w:rFonts w:hint="eastAsia"/>
                <w:sz w:val="21"/>
                <w:szCs w:val="21"/>
                <w:highlight w:val="none"/>
                <w:lang w:val="en-US" w:eastAsia="zh-CN"/>
              </w:rPr>
              <w:t>保护周边耕地及防治地下水污染</w:t>
            </w:r>
            <w:r>
              <w:rPr>
                <w:rFonts w:hint="default"/>
                <w:sz w:val="21"/>
                <w:szCs w:val="21"/>
                <w:highlight w:val="none"/>
              </w:rPr>
              <w:t>。</w:t>
            </w:r>
          </w:p>
        </w:tc>
        <w:tc>
          <w:tcPr>
            <w:tcW w:w="301" w:type="pct"/>
            <w:tcBorders>
              <w:tl2br w:val="nil"/>
              <w:tr2bl w:val="nil"/>
            </w:tcBorders>
            <w:noWrap w:val="0"/>
            <w:vAlign w:val="center"/>
          </w:tcPr>
          <w:p w14:paraId="30C5FD9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rPr>
            </w:pPr>
            <w:r>
              <w:rPr>
                <w:rFonts w:hint="default"/>
                <w:sz w:val="21"/>
                <w:szCs w:val="21"/>
                <w:highlight w:val="none"/>
                <w:lang w:val="en-US" w:eastAsia="zh-CN"/>
              </w:rPr>
              <w:t>符合</w:t>
            </w:r>
          </w:p>
        </w:tc>
      </w:tr>
      <w:tr w14:paraId="5041F8F6">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686" w:type="pct"/>
            <w:tcBorders>
              <w:tl2br w:val="nil"/>
              <w:tr2bl w:val="nil"/>
            </w:tcBorders>
            <w:noWrap w:val="0"/>
            <w:vAlign w:val="center"/>
          </w:tcPr>
          <w:p w14:paraId="5D0D730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sz w:val="21"/>
                <w:szCs w:val="21"/>
                <w:highlight w:val="none"/>
                <w:lang w:val="en-US" w:eastAsia="zh-CN"/>
              </w:rPr>
            </w:pPr>
            <w:r>
              <w:rPr>
                <w:rFonts w:hint="default"/>
                <w:sz w:val="21"/>
                <w:szCs w:val="21"/>
                <w:highlight w:val="none"/>
              </w:rPr>
              <w:t>资源开发效率要求</w:t>
            </w:r>
          </w:p>
        </w:tc>
        <w:tc>
          <w:tcPr>
            <w:tcW w:w="2997" w:type="pct"/>
            <w:tcBorders>
              <w:tl2br w:val="nil"/>
              <w:tr2bl w:val="nil"/>
            </w:tcBorders>
            <w:noWrap w:val="0"/>
            <w:vAlign w:val="center"/>
          </w:tcPr>
          <w:p w14:paraId="2AA4316D">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sz w:val="21"/>
                <w:szCs w:val="21"/>
                <w:highlight w:val="none"/>
              </w:rPr>
            </w:pPr>
            <w:r>
              <w:rPr>
                <w:rFonts w:hint="default"/>
                <w:sz w:val="21"/>
                <w:szCs w:val="21"/>
                <w:highlight w:val="none"/>
              </w:rPr>
              <w:t>（4.1）水资源：平江县2025年用水总量3.905亿立方米，万元地区生产总值用水量比2020年下降25.05%，万元工业增加值用水量比2020年下降17.51%，农田灌溉水有效利用系数0.58。</w:t>
            </w:r>
          </w:p>
          <w:p w14:paraId="5D7EDB21">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sz w:val="21"/>
                <w:szCs w:val="21"/>
                <w:highlight w:val="none"/>
              </w:rPr>
            </w:pPr>
            <w:r>
              <w:rPr>
                <w:rFonts w:hint="default"/>
                <w:sz w:val="21"/>
                <w:szCs w:val="21"/>
                <w:highlight w:val="none"/>
              </w:rPr>
              <w:t>（4.2）能源：平江县</w:t>
            </w:r>
            <w:r>
              <w:rPr>
                <w:rFonts w:hint="eastAsia" w:ascii="宋体" w:hAnsi="宋体" w:eastAsia="宋体" w:cs="宋体"/>
                <w:sz w:val="21"/>
                <w:szCs w:val="21"/>
                <w:highlight w:val="none"/>
              </w:rPr>
              <w:t>“十四五”</w:t>
            </w:r>
            <w:r>
              <w:rPr>
                <w:rFonts w:hint="default"/>
                <w:sz w:val="21"/>
                <w:szCs w:val="21"/>
                <w:highlight w:val="none"/>
              </w:rPr>
              <w:t>时期能耗强度降低基本目标14.5%，激励目标15%。</w:t>
            </w:r>
          </w:p>
          <w:p w14:paraId="7EE7FE97">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sz w:val="21"/>
                <w:szCs w:val="21"/>
                <w:highlight w:val="none"/>
              </w:rPr>
            </w:pPr>
            <w:r>
              <w:rPr>
                <w:rFonts w:hint="default"/>
                <w:sz w:val="21"/>
                <w:szCs w:val="21"/>
                <w:highlight w:val="none"/>
              </w:rPr>
              <w:t>（4.3）土地资源：</w:t>
            </w:r>
          </w:p>
          <w:p w14:paraId="653CB328">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sz w:val="21"/>
                <w:szCs w:val="21"/>
                <w:highlight w:val="none"/>
              </w:rPr>
            </w:pPr>
            <w:r>
              <w:rPr>
                <w:rFonts w:hint="default"/>
                <w:sz w:val="21"/>
                <w:szCs w:val="21"/>
                <w:highlight w:val="none"/>
              </w:rPr>
              <w:t>安定镇：耕地保护目标56332.99亩，永久基本农田保护面积51626.82亩。安定镇生态保护红线面积2743.98公顷，城镇开发边界规模412.50公顷，村庄建设用地规模1661.85公顷。</w:t>
            </w:r>
          </w:p>
          <w:p w14:paraId="120825A0">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eastAsia="宋体"/>
                <w:sz w:val="21"/>
                <w:szCs w:val="21"/>
                <w:highlight w:val="yellow"/>
                <w:lang w:eastAsia="zh-CN"/>
              </w:rPr>
            </w:pPr>
            <w:r>
              <w:rPr>
                <w:rFonts w:hint="default"/>
                <w:sz w:val="21"/>
                <w:szCs w:val="21"/>
                <w:highlight w:val="none"/>
              </w:rPr>
              <w:t>三阳乡：耕地保护目标14501.03亩，永久基本农田保护面积13348.92亩。三阳乡生态保护红线面积1065.81公顷，城镇开发边界规模6.62公顷，村庄建设用地规模486.33公顷。</w:t>
            </w:r>
          </w:p>
        </w:tc>
        <w:tc>
          <w:tcPr>
            <w:tcW w:w="1014" w:type="pct"/>
            <w:tcBorders>
              <w:tl2br w:val="nil"/>
              <w:tr2bl w:val="nil"/>
            </w:tcBorders>
            <w:noWrap w:val="0"/>
            <w:vAlign w:val="center"/>
          </w:tcPr>
          <w:p w14:paraId="4E4667A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sz w:val="21"/>
                <w:szCs w:val="21"/>
                <w:highlight w:val="none"/>
                <w:lang w:val="en-US" w:eastAsia="zh-CN"/>
              </w:rPr>
            </w:pPr>
            <w:r>
              <w:rPr>
                <w:rFonts w:hint="default"/>
                <w:sz w:val="21"/>
                <w:szCs w:val="21"/>
                <w:highlight w:val="none"/>
              </w:rPr>
              <w:t>本项目属于历史遗留环境污染综合治理项目，</w:t>
            </w:r>
            <w:r>
              <w:rPr>
                <w:rFonts w:hint="eastAsia"/>
                <w:sz w:val="21"/>
                <w:szCs w:val="21"/>
                <w:highlight w:val="none"/>
                <w:lang w:val="en-US" w:eastAsia="zh-CN"/>
              </w:rPr>
              <w:t>不涉及左述资源开发效率要求。</w:t>
            </w:r>
          </w:p>
        </w:tc>
        <w:tc>
          <w:tcPr>
            <w:tcW w:w="301" w:type="pct"/>
            <w:tcBorders>
              <w:tl2br w:val="nil"/>
              <w:tr2bl w:val="nil"/>
            </w:tcBorders>
            <w:noWrap w:val="0"/>
            <w:vAlign w:val="center"/>
          </w:tcPr>
          <w:p w14:paraId="50E7140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rPr>
            </w:pPr>
            <w:r>
              <w:rPr>
                <w:rFonts w:hint="default"/>
                <w:sz w:val="21"/>
                <w:szCs w:val="21"/>
                <w:highlight w:val="none"/>
                <w:lang w:val="en-US" w:eastAsia="zh-CN"/>
              </w:rPr>
              <w:t>符合</w:t>
            </w:r>
          </w:p>
        </w:tc>
      </w:tr>
    </w:tbl>
    <w:p w14:paraId="141E59E5">
      <w:pPr>
        <w:bidi w:val="0"/>
        <w:rPr>
          <w:rFonts w:hint="eastAsia"/>
          <w:lang w:val="en-US" w:eastAsia="zh-CN"/>
        </w:rPr>
        <w:sectPr>
          <w:pgSz w:w="16783" w:h="11850" w:orient="landscape"/>
          <w:pgMar w:top="1417" w:right="1417" w:bottom="1417" w:left="1417" w:header="851" w:footer="992" w:gutter="0"/>
          <w:pgNumType w:fmt="decimal"/>
          <w:cols w:space="425" w:num="1"/>
          <w:docGrid w:type="lines" w:linePitch="312" w:charSpace="0"/>
        </w:sectPr>
      </w:pPr>
    </w:p>
    <w:p w14:paraId="7D5F35AE">
      <w:pPr>
        <w:pStyle w:val="9"/>
        <w:numPr>
          <w:ilvl w:val="2"/>
          <w:numId w:val="2"/>
        </w:numPr>
        <w:bidi w:val="0"/>
        <w:ind w:left="709" w:leftChars="0" w:hanging="709" w:firstLineChars="0"/>
        <w:rPr>
          <w:rFonts w:hint="default"/>
          <w:highlight w:val="none"/>
          <w:lang w:val="en-US" w:eastAsia="zh-CN"/>
        </w:rPr>
      </w:pPr>
      <w:r>
        <w:rPr>
          <w:rFonts w:hint="eastAsia"/>
          <w:highlight w:val="none"/>
          <w:lang w:val="en-US" w:eastAsia="zh-CN"/>
        </w:rPr>
        <w:t>选址合理性</w:t>
      </w:r>
    </w:p>
    <w:p w14:paraId="2538B382">
      <w:pPr>
        <w:pStyle w:val="10"/>
        <w:numPr>
          <w:ilvl w:val="3"/>
          <w:numId w:val="2"/>
        </w:numPr>
        <w:bidi w:val="0"/>
        <w:ind w:left="0" w:leftChars="0" w:firstLine="0" w:firstLineChars="0"/>
        <w:rPr>
          <w:rFonts w:hint="default"/>
          <w:lang w:val="en-US" w:eastAsia="zh-CN"/>
        </w:rPr>
      </w:pPr>
      <w:r>
        <w:rPr>
          <w:rFonts w:hint="eastAsia"/>
          <w:lang w:val="en-US" w:eastAsia="zh-CN"/>
        </w:rPr>
        <w:t>填埋场选址可行性</w:t>
      </w:r>
    </w:p>
    <w:p w14:paraId="211584D7">
      <w:pPr>
        <w:rPr>
          <w:rFonts w:hint="default"/>
          <w:highlight w:val="none"/>
          <w:lang w:val="en-US" w:eastAsia="zh-CN"/>
        </w:rPr>
      </w:pPr>
      <w:r>
        <w:rPr>
          <w:rFonts w:hint="eastAsia"/>
          <w:highlight w:val="none"/>
          <w:lang w:val="en-US" w:eastAsia="zh-CN"/>
        </w:rPr>
        <w:t>项目第</w:t>
      </w:r>
      <w:r>
        <w:rPr>
          <w:rFonts w:hint="default" w:ascii="Times New Roman" w:hAnsi="Times New Roman" w:cs="Times New Roman"/>
          <w:highlight w:val="none"/>
          <w:lang w:val="en-US" w:eastAsia="zh-CN"/>
        </w:rPr>
        <w:t>Ⅱ</w:t>
      </w:r>
      <w:r>
        <w:rPr>
          <w:rFonts w:hint="eastAsia"/>
          <w:highlight w:val="none"/>
          <w:lang w:val="en-US" w:eastAsia="zh-CN"/>
        </w:rPr>
        <w:t>类一般工业固废填埋场与《一般工业固体废物贮存和填埋污染控制标准》（GB18599-2020）中关于场址选择的环境保护要求的符合情况见表1.4-9。</w:t>
      </w:r>
    </w:p>
    <w:p w14:paraId="6B7C5796">
      <w:pPr>
        <w:spacing w:line="240" w:lineRule="auto"/>
        <w:ind w:left="0" w:leftChars="0" w:firstLine="0" w:firstLineChars="0"/>
        <w:jc w:val="center"/>
        <w:rPr>
          <w:rFonts w:hint="eastAsia"/>
          <w:b/>
          <w:bCs/>
          <w:sz w:val="21"/>
          <w:szCs w:val="21"/>
          <w:highlight w:val="none"/>
          <w:lang w:val="en-US" w:eastAsia="zh-CN"/>
        </w:rPr>
      </w:pPr>
      <w:r>
        <w:rPr>
          <w:rFonts w:hint="eastAsia"/>
          <w:b/>
          <w:bCs/>
          <w:sz w:val="21"/>
          <w:szCs w:val="21"/>
          <w:highlight w:val="none"/>
          <w:lang w:val="en-US" w:eastAsia="zh-CN"/>
        </w:rPr>
        <w:t>表1.4-9  项目填埋场场址选择与《一般工业固体废物贮存和填埋污染控制标准》（GB18599-2020）中的环境保护要求的符合情况</w:t>
      </w:r>
    </w:p>
    <w:tbl>
      <w:tblPr>
        <w:tblStyle w:val="35"/>
        <w:tblW w:w="4996"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683"/>
        <w:gridCol w:w="4174"/>
        <w:gridCol w:w="3693"/>
        <w:gridCol w:w="675"/>
      </w:tblGrid>
      <w:tr w14:paraId="1F73B31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370" w:type="pct"/>
            <w:noWrap w:val="0"/>
            <w:vAlign w:val="center"/>
          </w:tcPr>
          <w:p w14:paraId="62BCC7A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b/>
                <w:bCs/>
                <w:sz w:val="21"/>
                <w:szCs w:val="21"/>
              </w:rPr>
            </w:pPr>
            <w:r>
              <w:rPr>
                <w:rFonts w:hint="eastAsia"/>
                <w:b/>
                <w:bCs/>
                <w:sz w:val="21"/>
                <w:szCs w:val="21"/>
              </w:rPr>
              <w:t>序号</w:t>
            </w:r>
          </w:p>
        </w:tc>
        <w:tc>
          <w:tcPr>
            <w:tcW w:w="2262" w:type="pct"/>
            <w:noWrap w:val="0"/>
            <w:vAlign w:val="center"/>
          </w:tcPr>
          <w:p w14:paraId="5FB555D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b/>
                <w:bCs/>
                <w:sz w:val="21"/>
                <w:szCs w:val="21"/>
              </w:rPr>
            </w:pPr>
            <w:r>
              <w:rPr>
                <w:rFonts w:hint="eastAsia"/>
                <w:b/>
                <w:bCs/>
                <w:sz w:val="21"/>
                <w:szCs w:val="21"/>
              </w:rPr>
              <w:t>标准要求</w:t>
            </w:r>
          </w:p>
        </w:tc>
        <w:tc>
          <w:tcPr>
            <w:tcW w:w="2001" w:type="pct"/>
            <w:noWrap w:val="0"/>
            <w:vAlign w:val="center"/>
          </w:tcPr>
          <w:p w14:paraId="537C1C9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b/>
                <w:bCs/>
                <w:sz w:val="21"/>
                <w:szCs w:val="21"/>
              </w:rPr>
            </w:pPr>
            <w:r>
              <w:rPr>
                <w:rFonts w:hint="eastAsia"/>
                <w:b/>
                <w:bCs/>
                <w:sz w:val="21"/>
                <w:szCs w:val="21"/>
                <w:lang w:val="en-US" w:eastAsia="zh-CN"/>
              </w:rPr>
              <w:t>本项目填埋场</w:t>
            </w:r>
            <w:r>
              <w:rPr>
                <w:rFonts w:hint="eastAsia"/>
                <w:b/>
                <w:bCs/>
                <w:sz w:val="21"/>
                <w:szCs w:val="21"/>
              </w:rPr>
              <w:t>实际情况</w:t>
            </w:r>
          </w:p>
        </w:tc>
        <w:tc>
          <w:tcPr>
            <w:tcW w:w="365" w:type="pct"/>
            <w:noWrap w:val="0"/>
            <w:vAlign w:val="center"/>
          </w:tcPr>
          <w:p w14:paraId="7CD1301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b/>
                <w:bCs/>
                <w:sz w:val="21"/>
                <w:szCs w:val="21"/>
              </w:rPr>
            </w:pPr>
            <w:r>
              <w:rPr>
                <w:rFonts w:hint="eastAsia"/>
                <w:b/>
                <w:bCs/>
                <w:sz w:val="21"/>
                <w:szCs w:val="21"/>
              </w:rPr>
              <w:t>符合情况</w:t>
            </w:r>
          </w:p>
        </w:tc>
      </w:tr>
      <w:tr w14:paraId="1200835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70" w:type="pct"/>
            <w:noWrap w:val="0"/>
            <w:vAlign w:val="center"/>
          </w:tcPr>
          <w:p w14:paraId="2D48A110">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b/>
                <w:bCs/>
                <w:sz w:val="21"/>
                <w:szCs w:val="21"/>
              </w:rPr>
            </w:pPr>
            <w:r>
              <w:rPr>
                <w:rFonts w:hint="eastAsia"/>
                <w:b/>
                <w:bCs/>
                <w:sz w:val="21"/>
                <w:szCs w:val="21"/>
              </w:rPr>
              <w:t>一</w:t>
            </w:r>
          </w:p>
        </w:tc>
        <w:tc>
          <w:tcPr>
            <w:tcW w:w="4629" w:type="pct"/>
            <w:gridSpan w:val="3"/>
            <w:noWrap w:val="0"/>
            <w:vAlign w:val="center"/>
          </w:tcPr>
          <w:p w14:paraId="26621601">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b/>
                <w:bCs/>
                <w:sz w:val="21"/>
                <w:szCs w:val="21"/>
              </w:rPr>
            </w:pPr>
            <w:r>
              <w:rPr>
                <w:rFonts w:hint="eastAsia"/>
                <w:b/>
                <w:bCs/>
                <w:sz w:val="21"/>
                <w:szCs w:val="21"/>
              </w:rPr>
              <w:t>贮存场和填埋场选址要求</w:t>
            </w:r>
          </w:p>
        </w:tc>
      </w:tr>
      <w:tr w14:paraId="4444A84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70" w:type="pct"/>
            <w:noWrap w:val="0"/>
            <w:vAlign w:val="center"/>
          </w:tcPr>
          <w:p w14:paraId="1A5263A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rPr>
              <w:t>1</w:t>
            </w:r>
          </w:p>
        </w:tc>
        <w:tc>
          <w:tcPr>
            <w:tcW w:w="2262" w:type="pct"/>
            <w:noWrap w:val="0"/>
            <w:vAlign w:val="center"/>
          </w:tcPr>
          <w:p w14:paraId="2889E5E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rPr>
              <w:t>一般工业固体废物贮存场、填埋场选址应符合环境保护法律法规及相关法定规划要求。</w:t>
            </w:r>
          </w:p>
        </w:tc>
        <w:tc>
          <w:tcPr>
            <w:tcW w:w="2001" w:type="pct"/>
            <w:noWrap w:val="0"/>
            <w:vAlign w:val="center"/>
          </w:tcPr>
          <w:p w14:paraId="2A663E2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rPr>
            </w:pPr>
            <w:r>
              <w:rPr>
                <w:rFonts w:hint="eastAsia"/>
                <w:sz w:val="21"/>
                <w:szCs w:val="21"/>
                <w:highlight w:val="none"/>
              </w:rPr>
              <w:t>本项目位于平江县三阳乡南尧村，位于建成区和规划区外，集镇规划范围外，满足规划要求。</w:t>
            </w:r>
          </w:p>
        </w:tc>
        <w:tc>
          <w:tcPr>
            <w:tcW w:w="365" w:type="pct"/>
            <w:noWrap w:val="0"/>
            <w:vAlign w:val="center"/>
          </w:tcPr>
          <w:p w14:paraId="4B73CD9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rPr>
            </w:pPr>
            <w:r>
              <w:rPr>
                <w:rFonts w:hint="eastAsia"/>
                <w:sz w:val="21"/>
                <w:szCs w:val="21"/>
                <w:highlight w:val="none"/>
              </w:rPr>
              <w:t>符合</w:t>
            </w:r>
          </w:p>
        </w:tc>
      </w:tr>
      <w:tr w14:paraId="4EBA694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70" w:type="pct"/>
            <w:noWrap w:val="0"/>
            <w:vAlign w:val="center"/>
          </w:tcPr>
          <w:p w14:paraId="561585A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rPr>
              <w:t>2</w:t>
            </w:r>
          </w:p>
        </w:tc>
        <w:tc>
          <w:tcPr>
            <w:tcW w:w="2262" w:type="pct"/>
            <w:noWrap w:val="0"/>
            <w:vAlign w:val="center"/>
          </w:tcPr>
          <w:p w14:paraId="0CB4043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rPr>
              <w:t>贮存场、填埋场的位置与周围居民区的距离应依据环境影响评价文件及审批意见确定。</w:t>
            </w:r>
          </w:p>
        </w:tc>
        <w:tc>
          <w:tcPr>
            <w:tcW w:w="2001" w:type="pct"/>
            <w:noWrap w:val="0"/>
            <w:vAlign w:val="center"/>
          </w:tcPr>
          <w:p w14:paraId="366C6B3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rPr>
            </w:pPr>
            <w:r>
              <w:rPr>
                <w:rFonts w:hint="eastAsia"/>
                <w:sz w:val="21"/>
                <w:szCs w:val="21"/>
                <w:highlight w:val="none"/>
              </w:rPr>
              <w:t>本项目为污染治理项目，考虑项目实际情况，无需设置防护距离，厂址选址符合要求。</w:t>
            </w:r>
          </w:p>
        </w:tc>
        <w:tc>
          <w:tcPr>
            <w:tcW w:w="365" w:type="pct"/>
            <w:noWrap w:val="0"/>
            <w:vAlign w:val="center"/>
          </w:tcPr>
          <w:p w14:paraId="52026B1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rPr>
            </w:pPr>
            <w:r>
              <w:rPr>
                <w:rFonts w:hint="eastAsia"/>
                <w:sz w:val="21"/>
                <w:szCs w:val="21"/>
                <w:highlight w:val="none"/>
              </w:rPr>
              <w:t>符合</w:t>
            </w:r>
          </w:p>
        </w:tc>
      </w:tr>
      <w:tr w14:paraId="3F1893C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70" w:type="pct"/>
            <w:noWrap w:val="0"/>
            <w:vAlign w:val="center"/>
          </w:tcPr>
          <w:p w14:paraId="6CFC92D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rPr>
              <w:t>3</w:t>
            </w:r>
          </w:p>
        </w:tc>
        <w:tc>
          <w:tcPr>
            <w:tcW w:w="2262" w:type="pct"/>
            <w:noWrap w:val="0"/>
            <w:vAlign w:val="center"/>
          </w:tcPr>
          <w:p w14:paraId="06D55DC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rPr>
              <w:t>贮存场、填埋场不得选在生态保护红线区域、永久基本农田集中区域和其他需要特别保护的区域内。</w:t>
            </w:r>
          </w:p>
        </w:tc>
        <w:tc>
          <w:tcPr>
            <w:tcW w:w="2001" w:type="pct"/>
            <w:noWrap w:val="0"/>
            <w:vAlign w:val="center"/>
          </w:tcPr>
          <w:p w14:paraId="75D2826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rPr>
            </w:pPr>
            <w:r>
              <w:rPr>
                <w:rFonts w:hint="eastAsia"/>
                <w:sz w:val="21"/>
                <w:szCs w:val="21"/>
                <w:highlight w:val="none"/>
              </w:rPr>
              <w:t>未选址在生态保护红线区域、永久基本农田集中区域和其他需要特别保护的区域内。</w:t>
            </w:r>
          </w:p>
        </w:tc>
        <w:tc>
          <w:tcPr>
            <w:tcW w:w="365" w:type="pct"/>
            <w:noWrap w:val="0"/>
            <w:vAlign w:val="center"/>
          </w:tcPr>
          <w:p w14:paraId="2B72D98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rPr>
            </w:pPr>
            <w:r>
              <w:rPr>
                <w:rFonts w:hint="eastAsia"/>
                <w:sz w:val="21"/>
                <w:szCs w:val="21"/>
                <w:highlight w:val="none"/>
              </w:rPr>
              <w:t>符合</w:t>
            </w:r>
          </w:p>
        </w:tc>
      </w:tr>
      <w:tr w14:paraId="7B0B09E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70" w:type="pct"/>
            <w:noWrap w:val="0"/>
            <w:vAlign w:val="center"/>
          </w:tcPr>
          <w:p w14:paraId="10D01AE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rPr>
              <w:t>4</w:t>
            </w:r>
          </w:p>
        </w:tc>
        <w:tc>
          <w:tcPr>
            <w:tcW w:w="2262" w:type="pct"/>
            <w:noWrap w:val="0"/>
            <w:vAlign w:val="center"/>
          </w:tcPr>
          <w:p w14:paraId="11F30AA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rPr>
              <w:t>贮存场、填埋场应避开活动断层、溶洞区、天然滑坡或泥石流影响区以及湿地等区域。</w:t>
            </w:r>
          </w:p>
        </w:tc>
        <w:tc>
          <w:tcPr>
            <w:tcW w:w="2001" w:type="pct"/>
            <w:noWrap w:val="0"/>
            <w:vAlign w:val="center"/>
          </w:tcPr>
          <w:p w14:paraId="6C479EB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rPr>
            </w:pPr>
            <w:r>
              <w:rPr>
                <w:rFonts w:hint="eastAsia"/>
                <w:sz w:val="21"/>
                <w:szCs w:val="21"/>
                <w:highlight w:val="none"/>
              </w:rPr>
              <w:t>根据</w:t>
            </w:r>
            <w:r>
              <w:rPr>
                <w:rFonts w:hint="eastAsia"/>
                <w:sz w:val="21"/>
                <w:szCs w:val="21"/>
                <w:highlight w:val="none"/>
                <w:lang w:eastAsia="zh-CN"/>
              </w:rPr>
              <w:t>岩土工程勘察报告</w:t>
            </w:r>
            <w:r>
              <w:rPr>
                <w:rFonts w:hint="eastAsia"/>
                <w:sz w:val="21"/>
                <w:szCs w:val="21"/>
                <w:highlight w:val="none"/>
              </w:rPr>
              <w:t>可知，选址处未发现断层、断层破碎带，以及天然滑坡或泥石流影响区以及湿地等区域。</w:t>
            </w:r>
          </w:p>
        </w:tc>
        <w:tc>
          <w:tcPr>
            <w:tcW w:w="365" w:type="pct"/>
            <w:noWrap w:val="0"/>
            <w:vAlign w:val="center"/>
          </w:tcPr>
          <w:p w14:paraId="74B8A92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rPr>
            </w:pPr>
            <w:r>
              <w:rPr>
                <w:rFonts w:hint="eastAsia"/>
                <w:sz w:val="21"/>
                <w:szCs w:val="21"/>
                <w:highlight w:val="none"/>
              </w:rPr>
              <w:t>符合</w:t>
            </w:r>
          </w:p>
        </w:tc>
      </w:tr>
      <w:tr w14:paraId="6B9993A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70" w:type="pct"/>
            <w:noWrap w:val="0"/>
            <w:vAlign w:val="center"/>
          </w:tcPr>
          <w:p w14:paraId="304248C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rPr>
              <w:t>5</w:t>
            </w:r>
          </w:p>
        </w:tc>
        <w:tc>
          <w:tcPr>
            <w:tcW w:w="2262" w:type="pct"/>
            <w:noWrap w:val="0"/>
            <w:vAlign w:val="center"/>
          </w:tcPr>
          <w:p w14:paraId="576F39F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rPr>
              <w:t>贮存场、填埋场不得选在江河、湖泊、运河、渠道、水库最高水位线以下的滩地和岸坡，以及国家和地方长远规划中的水库等人工蓄水设施的淹没区和保护区之内。</w:t>
            </w:r>
          </w:p>
        </w:tc>
        <w:tc>
          <w:tcPr>
            <w:tcW w:w="2001" w:type="pct"/>
            <w:noWrap w:val="0"/>
            <w:vAlign w:val="center"/>
          </w:tcPr>
          <w:p w14:paraId="10A5365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rPr>
            </w:pPr>
            <w:r>
              <w:rPr>
                <w:rFonts w:hint="eastAsia"/>
                <w:sz w:val="21"/>
                <w:szCs w:val="21"/>
                <w:highlight w:val="none"/>
              </w:rPr>
              <w:t>未选址在江河、湖泊、水库最高水位线以下的滩地和洪泛区以及国家和地方长远规划中的水库等人工蓄水设施的淹没区和保护区之内。</w:t>
            </w:r>
          </w:p>
        </w:tc>
        <w:tc>
          <w:tcPr>
            <w:tcW w:w="365" w:type="pct"/>
            <w:noWrap w:val="0"/>
            <w:vAlign w:val="center"/>
          </w:tcPr>
          <w:p w14:paraId="1A53C4C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rPr>
            </w:pPr>
            <w:r>
              <w:rPr>
                <w:rFonts w:hint="eastAsia"/>
                <w:sz w:val="21"/>
                <w:szCs w:val="21"/>
                <w:highlight w:val="none"/>
              </w:rPr>
              <w:t>符合</w:t>
            </w:r>
          </w:p>
        </w:tc>
      </w:tr>
      <w:tr w14:paraId="5256C15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70" w:type="pct"/>
            <w:noWrap w:val="0"/>
            <w:vAlign w:val="center"/>
          </w:tcPr>
          <w:p w14:paraId="37F00B87">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b/>
                <w:bCs/>
                <w:sz w:val="21"/>
                <w:szCs w:val="21"/>
              </w:rPr>
            </w:pPr>
            <w:r>
              <w:rPr>
                <w:rFonts w:hint="eastAsia"/>
                <w:b/>
                <w:bCs/>
                <w:sz w:val="21"/>
                <w:szCs w:val="21"/>
              </w:rPr>
              <w:t>二</w:t>
            </w:r>
          </w:p>
        </w:tc>
        <w:tc>
          <w:tcPr>
            <w:tcW w:w="4629" w:type="pct"/>
            <w:gridSpan w:val="3"/>
            <w:noWrap w:val="0"/>
            <w:vAlign w:val="center"/>
          </w:tcPr>
          <w:p w14:paraId="438FB82C">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b/>
                <w:bCs/>
                <w:sz w:val="21"/>
                <w:szCs w:val="21"/>
              </w:rPr>
            </w:pPr>
            <w:r>
              <w:rPr>
                <w:rFonts w:hint="eastAsia"/>
                <w:b/>
                <w:bCs/>
                <w:sz w:val="21"/>
                <w:szCs w:val="21"/>
              </w:rPr>
              <w:t>贮存场和填埋场技术要求</w:t>
            </w:r>
          </w:p>
        </w:tc>
      </w:tr>
      <w:tr w14:paraId="1230A18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70" w:type="pct"/>
            <w:noWrap w:val="0"/>
            <w:vAlign w:val="center"/>
          </w:tcPr>
          <w:p w14:paraId="223BE6F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rPr>
              <w:t>1</w:t>
            </w:r>
          </w:p>
        </w:tc>
        <w:tc>
          <w:tcPr>
            <w:tcW w:w="2262" w:type="pct"/>
            <w:noWrap w:val="0"/>
            <w:vAlign w:val="center"/>
          </w:tcPr>
          <w:p w14:paraId="0E95D50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rPr>
              <w:t>贮存场、填埋场的防洪标准应按重现期不小于50年一遇的洪水位设计，国家已有标准提出更高要求的除外</w:t>
            </w:r>
          </w:p>
        </w:tc>
        <w:tc>
          <w:tcPr>
            <w:tcW w:w="2001" w:type="pct"/>
            <w:noWrap w:val="0"/>
            <w:vAlign w:val="center"/>
          </w:tcPr>
          <w:p w14:paraId="7782AEF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rPr>
            </w:pPr>
            <w:r>
              <w:rPr>
                <w:rFonts w:hint="eastAsia"/>
                <w:sz w:val="21"/>
                <w:szCs w:val="21"/>
                <w:highlight w:val="none"/>
              </w:rPr>
              <w:t>项目设计防洪按照50年一遇进行</w:t>
            </w:r>
            <w:r>
              <w:rPr>
                <w:rFonts w:hint="eastAsia"/>
                <w:sz w:val="21"/>
                <w:szCs w:val="21"/>
                <w:highlight w:val="none"/>
                <w:lang w:val="en-US" w:eastAsia="zh-CN"/>
              </w:rPr>
              <w:t>设计及</w:t>
            </w:r>
            <w:r>
              <w:rPr>
                <w:rFonts w:hint="eastAsia"/>
                <w:sz w:val="21"/>
                <w:szCs w:val="21"/>
                <w:highlight w:val="none"/>
              </w:rPr>
              <w:t>建设。</w:t>
            </w:r>
          </w:p>
        </w:tc>
        <w:tc>
          <w:tcPr>
            <w:tcW w:w="365" w:type="pct"/>
            <w:noWrap w:val="0"/>
            <w:vAlign w:val="center"/>
          </w:tcPr>
          <w:p w14:paraId="6ECA7FB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rPr>
            </w:pPr>
            <w:r>
              <w:rPr>
                <w:rFonts w:hint="eastAsia"/>
                <w:sz w:val="21"/>
                <w:szCs w:val="21"/>
                <w:highlight w:val="none"/>
              </w:rPr>
              <w:t>符合</w:t>
            </w:r>
          </w:p>
        </w:tc>
      </w:tr>
      <w:tr w14:paraId="7AE7160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70" w:type="pct"/>
            <w:noWrap w:val="0"/>
            <w:vAlign w:val="center"/>
          </w:tcPr>
          <w:p w14:paraId="606D339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rPr>
              <w:t>2</w:t>
            </w:r>
          </w:p>
        </w:tc>
        <w:tc>
          <w:tcPr>
            <w:tcW w:w="2262" w:type="pct"/>
            <w:noWrap w:val="0"/>
            <w:vAlign w:val="center"/>
          </w:tcPr>
          <w:p w14:paraId="786AD99F">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sz w:val="21"/>
                <w:szCs w:val="21"/>
              </w:rPr>
            </w:pPr>
            <w:r>
              <w:rPr>
                <w:rFonts w:hint="eastAsia"/>
                <w:sz w:val="21"/>
                <w:szCs w:val="21"/>
              </w:rPr>
              <w:t>贮存场和填埋场一般应包括以下单元：</w:t>
            </w:r>
          </w:p>
          <w:p w14:paraId="195C280D">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sz w:val="21"/>
                <w:szCs w:val="21"/>
              </w:rPr>
            </w:pPr>
            <w:r>
              <w:rPr>
                <w:rFonts w:hint="eastAsia"/>
                <w:sz w:val="21"/>
                <w:szCs w:val="21"/>
              </w:rPr>
              <w:t>a）防渗系统、渗滤液收集和导排系统；</w:t>
            </w:r>
          </w:p>
          <w:p w14:paraId="17E0A03E">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sz w:val="21"/>
                <w:szCs w:val="21"/>
              </w:rPr>
            </w:pPr>
            <w:r>
              <w:rPr>
                <w:rFonts w:hint="eastAsia"/>
                <w:sz w:val="21"/>
                <w:szCs w:val="21"/>
              </w:rPr>
              <w:t>b）雨污分流系统；</w:t>
            </w:r>
          </w:p>
          <w:p w14:paraId="2FE7F91C">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sz w:val="21"/>
                <w:szCs w:val="21"/>
              </w:rPr>
            </w:pPr>
            <w:r>
              <w:rPr>
                <w:rFonts w:hint="eastAsia"/>
                <w:sz w:val="21"/>
                <w:szCs w:val="21"/>
              </w:rPr>
              <w:t>c）分析化验与环境监测系统；</w:t>
            </w:r>
          </w:p>
          <w:p w14:paraId="2F5F847F">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sz w:val="21"/>
                <w:szCs w:val="21"/>
              </w:rPr>
            </w:pPr>
            <w:r>
              <w:rPr>
                <w:rFonts w:hint="eastAsia"/>
                <w:sz w:val="21"/>
                <w:szCs w:val="21"/>
              </w:rPr>
              <w:t>d）公用工程和配套设施；</w:t>
            </w:r>
          </w:p>
          <w:p w14:paraId="54E09289">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sz w:val="21"/>
                <w:szCs w:val="21"/>
              </w:rPr>
            </w:pPr>
            <w:r>
              <w:rPr>
                <w:rFonts w:hint="eastAsia"/>
                <w:sz w:val="21"/>
                <w:szCs w:val="21"/>
              </w:rPr>
              <w:t>e）地下水导排系统和废水处理系统（根据具体情况选择设置）</w:t>
            </w:r>
          </w:p>
        </w:tc>
        <w:tc>
          <w:tcPr>
            <w:tcW w:w="2001" w:type="pct"/>
            <w:noWrap w:val="0"/>
            <w:vAlign w:val="center"/>
          </w:tcPr>
          <w:p w14:paraId="10DA602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yellow"/>
                <w:lang w:val="en-US" w:eastAsia="zh-CN"/>
              </w:rPr>
            </w:pPr>
            <w:r>
              <w:rPr>
                <w:rFonts w:hint="eastAsia"/>
                <w:sz w:val="21"/>
                <w:szCs w:val="21"/>
                <w:highlight w:val="none"/>
                <w:lang w:val="en-US" w:eastAsia="zh-CN"/>
              </w:rPr>
              <w:t>项目设计有防渗系统、渗滤液收集和导排系统；雨污分流系统。项目委托第三方有资质公司进行监测和化验；渗滤液收集后经槽罐车运输至湖南黄金天岳矿业有限公司垂拱洞尾矿库废水处理站处理处置。</w:t>
            </w:r>
          </w:p>
        </w:tc>
        <w:tc>
          <w:tcPr>
            <w:tcW w:w="365" w:type="pct"/>
            <w:noWrap w:val="0"/>
            <w:vAlign w:val="center"/>
          </w:tcPr>
          <w:p w14:paraId="4AA67BF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rPr>
              <w:t>符合</w:t>
            </w:r>
          </w:p>
        </w:tc>
      </w:tr>
      <w:tr w14:paraId="4F85860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70" w:type="pct"/>
            <w:noWrap w:val="0"/>
            <w:vAlign w:val="center"/>
          </w:tcPr>
          <w:p w14:paraId="27777CE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rPr>
              <w:t>3</w:t>
            </w:r>
          </w:p>
        </w:tc>
        <w:tc>
          <w:tcPr>
            <w:tcW w:w="2262" w:type="pct"/>
            <w:noWrap w:val="0"/>
            <w:vAlign w:val="center"/>
          </w:tcPr>
          <w:p w14:paraId="3E4F18C7">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sz w:val="21"/>
                <w:szCs w:val="21"/>
              </w:rPr>
            </w:pPr>
            <w:r>
              <w:rPr>
                <w:rFonts w:hint="eastAsia"/>
                <w:sz w:val="21"/>
                <w:szCs w:val="21"/>
              </w:rPr>
              <w:t>贮存场及填埋场施工方案中应包括施工质量保证和施工质量控制内容，明确环保条款和责任，作为项目竣工环境保护验收的依据，同时可作为建设环境监理的主要内容。</w:t>
            </w:r>
          </w:p>
        </w:tc>
        <w:tc>
          <w:tcPr>
            <w:tcW w:w="2001" w:type="pct"/>
            <w:noWrap w:val="0"/>
            <w:vAlign w:val="center"/>
          </w:tcPr>
          <w:p w14:paraId="3A19208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项目施工方案中包含有施工质量保证和施工质量控制内容。</w:t>
            </w:r>
          </w:p>
        </w:tc>
        <w:tc>
          <w:tcPr>
            <w:tcW w:w="365" w:type="pct"/>
            <w:noWrap w:val="0"/>
            <w:vAlign w:val="center"/>
          </w:tcPr>
          <w:p w14:paraId="227F8FB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rPr>
            </w:pPr>
            <w:r>
              <w:rPr>
                <w:rFonts w:hint="eastAsia"/>
                <w:sz w:val="21"/>
                <w:szCs w:val="21"/>
                <w:highlight w:val="none"/>
              </w:rPr>
              <w:t>符合</w:t>
            </w:r>
          </w:p>
        </w:tc>
      </w:tr>
      <w:tr w14:paraId="2686970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70" w:type="pct"/>
            <w:noWrap w:val="0"/>
            <w:vAlign w:val="center"/>
          </w:tcPr>
          <w:p w14:paraId="766B0A3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rPr>
              <w:t>4</w:t>
            </w:r>
          </w:p>
        </w:tc>
        <w:tc>
          <w:tcPr>
            <w:tcW w:w="2262" w:type="pct"/>
            <w:noWrap w:val="0"/>
            <w:vAlign w:val="center"/>
          </w:tcPr>
          <w:p w14:paraId="4C087478">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sz w:val="21"/>
                <w:szCs w:val="21"/>
              </w:rPr>
            </w:pPr>
            <w:r>
              <w:rPr>
                <w:rFonts w:hint="eastAsia"/>
                <w:sz w:val="21"/>
                <w:szCs w:val="21"/>
              </w:rPr>
              <w:t>贮存场及填埋场渗滤液收集池的防渗要求应不低于对应贮存场、填埋场的防渗要求。</w:t>
            </w:r>
          </w:p>
        </w:tc>
        <w:tc>
          <w:tcPr>
            <w:tcW w:w="2001" w:type="pct"/>
            <w:noWrap w:val="0"/>
            <w:vAlign w:val="center"/>
          </w:tcPr>
          <w:p w14:paraId="35E309B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本项目渗滤液收集池防渗要求等效黏土防渗层Mb≥6.0m，K≤1×10</w:t>
            </w:r>
            <w:r>
              <w:rPr>
                <w:rFonts w:hint="default" w:ascii="Times New Roman" w:hAnsi="Times New Roman" w:cs="Times New Roman"/>
                <w:sz w:val="21"/>
                <w:szCs w:val="21"/>
                <w:highlight w:val="none"/>
                <w:vertAlign w:val="superscript"/>
              </w:rPr>
              <w:t>-7</w:t>
            </w:r>
            <w:r>
              <w:rPr>
                <w:rFonts w:hint="default" w:ascii="Times New Roman" w:hAnsi="Times New Roman" w:cs="Times New Roman"/>
                <w:sz w:val="21"/>
                <w:szCs w:val="21"/>
                <w:highlight w:val="none"/>
              </w:rPr>
              <w:t>cm/s，防渗要求不低于填埋场的防渗要求。</w:t>
            </w:r>
          </w:p>
        </w:tc>
        <w:tc>
          <w:tcPr>
            <w:tcW w:w="365" w:type="pct"/>
            <w:noWrap w:val="0"/>
            <w:vAlign w:val="center"/>
          </w:tcPr>
          <w:p w14:paraId="3BAB544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符合</w:t>
            </w:r>
          </w:p>
        </w:tc>
      </w:tr>
      <w:tr w14:paraId="0B485BF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70" w:type="pct"/>
            <w:vMerge w:val="restart"/>
            <w:noWrap w:val="0"/>
            <w:vAlign w:val="center"/>
          </w:tcPr>
          <w:p w14:paraId="16030C2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rPr>
              <w:t>5</w:t>
            </w:r>
          </w:p>
        </w:tc>
        <w:tc>
          <w:tcPr>
            <w:tcW w:w="2262" w:type="pct"/>
            <w:noWrap w:val="0"/>
            <w:vAlign w:val="center"/>
          </w:tcPr>
          <w:p w14:paraId="218AA92D">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sz w:val="21"/>
                <w:szCs w:val="21"/>
              </w:rPr>
            </w:pPr>
            <w:r>
              <w:rPr>
                <w:rFonts w:hint="eastAsia"/>
                <w:sz w:val="21"/>
                <w:szCs w:val="21"/>
              </w:rPr>
              <w:t>5.3.1a）人工合成材料应采用高密度聚乙烯膜，厚度不小于1.5mm，并满足GB/T17643规定的技术指标要求。采用其他人工合成材料的，其防渗性能至少相当于1.5mm高密度聚乙烯膜的防渗性能。</w:t>
            </w:r>
          </w:p>
          <w:p w14:paraId="32D3EC3B">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sz w:val="21"/>
                <w:szCs w:val="21"/>
              </w:rPr>
            </w:pPr>
            <w:r>
              <w:rPr>
                <w:rFonts w:hint="eastAsia"/>
                <w:sz w:val="21"/>
                <w:szCs w:val="21"/>
              </w:rPr>
              <w:t>b）粘土衬层厚度应不小于0.75m，且经压实、人工改性等措施处理后的饱和渗透系数不应大于1.0</w:t>
            </w:r>
            <w:r>
              <w:rPr>
                <w:rFonts w:hint="default" w:ascii="Times New Roman" w:hAnsi="Times New Roman" w:cs="Times New Roman"/>
                <w:sz w:val="21"/>
                <w:szCs w:val="21"/>
              </w:rPr>
              <w:t>×</w:t>
            </w:r>
            <w:r>
              <w:rPr>
                <w:rFonts w:hint="eastAsia"/>
                <w:sz w:val="21"/>
                <w:szCs w:val="21"/>
              </w:rPr>
              <w:t>10</w:t>
            </w:r>
            <w:r>
              <w:rPr>
                <w:rFonts w:hint="eastAsia"/>
                <w:sz w:val="21"/>
                <w:szCs w:val="21"/>
                <w:vertAlign w:val="superscript"/>
              </w:rPr>
              <w:t>-7</w:t>
            </w:r>
            <w:r>
              <w:rPr>
                <w:rFonts w:hint="eastAsia"/>
                <w:sz w:val="21"/>
                <w:szCs w:val="21"/>
              </w:rPr>
              <w:t>cm/s。使用其他粘土类防渗衬层材料时，应具有同等以上隔水效力。</w:t>
            </w:r>
          </w:p>
        </w:tc>
        <w:tc>
          <w:tcPr>
            <w:tcW w:w="2001" w:type="pct"/>
            <w:noWrap w:val="0"/>
            <w:vAlign w:val="center"/>
          </w:tcPr>
          <w:p w14:paraId="175F866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yellow"/>
              </w:rPr>
            </w:pPr>
            <w:r>
              <w:rPr>
                <w:rFonts w:hint="eastAsia"/>
                <w:sz w:val="21"/>
                <w:szCs w:val="21"/>
                <w:highlight w:val="none"/>
              </w:rPr>
              <w:t>采用HDPE防渗膜+压实粘土复合防渗系统，由下至上结构为：</w:t>
            </w:r>
            <w:r>
              <w:rPr>
                <w:rFonts w:hint="default" w:ascii="Times New Roman" w:hAnsi="Times New Roman" w:cs="Times New Roman"/>
                <w:sz w:val="21"/>
                <w:szCs w:val="21"/>
                <w:highlight w:val="none"/>
                <w:lang w:val="en-US" w:eastAsia="zh-CN"/>
              </w:rPr>
              <w:t>压实地基+75cm厚压实粘土+600g/m</w:t>
            </w:r>
            <w:r>
              <w:rPr>
                <w:rFonts w:hint="default" w:ascii="Times New Roman" w:hAnsi="Times New Roman" w:cs="Times New Roman"/>
                <w:sz w:val="21"/>
                <w:szCs w:val="21"/>
                <w:highlight w:val="none"/>
                <w:vertAlign w:val="superscript"/>
                <w:lang w:val="en-US" w:eastAsia="zh-CN"/>
              </w:rPr>
              <w:t>2</w:t>
            </w:r>
            <w:r>
              <w:rPr>
                <w:rFonts w:hint="default" w:ascii="Times New Roman" w:hAnsi="Times New Roman" w:cs="Times New Roman"/>
                <w:sz w:val="21"/>
                <w:szCs w:val="21"/>
                <w:highlight w:val="none"/>
                <w:lang w:val="en-US" w:eastAsia="zh-CN"/>
              </w:rPr>
              <w:t>无纺土工布+1.5mm厚双糙面HDPE土工膜+600g/m</w:t>
            </w:r>
            <w:r>
              <w:rPr>
                <w:rFonts w:hint="default" w:ascii="Times New Roman" w:hAnsi="Times New Roman" w:cs="Times New Roman"/>
                <w:sz w:val="21"/>
                <w:szCs w:val="21"/>
                <w:highlight w:val="none"/>
                <w:vertAlign w:val="superscript"/>
                <w:lang w:val="en-US" w:eastAsia="zh-CN"/>
              </w:rPr>
              <w:t>2</w:t>
            </w:r>
            <w:r>
              <w:rPr>
                <w:rFonts w:hint="default" w:ascii="Times New Roman" w:hAnsi="Times New Roman" w:cs="Times New Roman"/>
                <w:sz w:val="21"/>
                <w:szCs w:val="21"/>
                <w:highlight w:val="none"/>
                <w:lang w:val="en-US" w:eastAsia="zh-CN"/>
              </w:rPr>
              <w:t>无纺土工布</w:t>
            </w:r>
            <w:r>
              <w:rPr>
                <w:rFonts w:hint="eastAsia"/>
                <w:sz w:val="21"/>
                <w:szCs w:val="21"/>
                <w:highlight w:val="none"/>
              </w:rPr>
              <w:t>，满足规范的要求。</w:t>
            </w:r>
          </w:p>
        </w:tc>
        <w:tc>
          <w:tcPr>
            <w:tcW w:w="365" w:type="pct"/>
            <w:noWrap w:val="0"/>
            <w:vAlign w:val="center"/>
          </w:tcPr>
          <w:p w14:paraId="362048C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rPr>
              <w:t>符合</w:t>
            </w:r>
          </w:p>
        </w:tc>
      </w:tr>
      <w:tr w14:paraId="6025CFA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70" w:type="pct"/>
            <w:vMerge w:val="continue"/>
            <w:noWrap w:val="0"/>
            <w:vAlign w:val="center"/>
          </w:tcPr>
          <w:p w14:paraId="534F2BE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p>
        </w:tc>
        <w:tc>
          <w:tcPr>
            <w:tcW w:w="2262" w:type="pct"/>
            <w:noWrap w:val="0"/>
            <w:vAlign w:val="center"/>
          </w:tcPr>
          <w:p w14:paraId="721F9CE8">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sz w:val="21"/>
                <w:szCs w:val="21"/>
              </w:rPr>
            </w:pPr>
            <w:r>
              <w:rPr>
                <w:rFonts w:hint="eastAsia"/>
                <w:sz w:val="21"/>
                <w:szCs w:val="21"/>
              </w:rPr>
              <w:t>5.3.2</w:t>
            </w:r>
            <w:r>
              <w:rPr>
                <w:rFonts w:hint="default" w:ascii="Times New Roman" w:hAnsi="Times New Roman" w:eastAsia="宋体" w:cs="Times New Roman"/>
                <w:sz w:val="21"/>
                <w:szCs w:val="21"/>
              </w:rPr>
              <w:t>Ⅱ</w:t>
            </w:r>
            <w:r>
              <w:rPr>
                <w:rFonts w:hint="eastAsia"/>
                <w:sz w:val="21"/>
                <w:szCs w:val="21"/>
              </w:rPr>
              <w:t>类场基础层表面应与地下水年最高水位保持1.5m以上的距离。当场区基础层表面与地下水年最高水位距离不足1.5m时，应建设地下水导排系统。地下水导排系统应确保Ⅱ类场运行期地下水水位维持在基础层表面1.5m以下。</w:t>
            </w:r>
          </w:p>
        </w:tc>
        <w:tc>
          <w:tcPr>
            <w:tcW w:w="2001" w:type="pct"/>
            <w:noWrap w:val="0"/>
            <w:vAlign w:val="center"/>
          </w:tcPr>
          <w:p w14:paraId="53C5D4D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rPr>
            </w:pPr>
            <w:r>
              <w:rPr>
                <w:rFonts w:hint="eastAsia"/>
                <w:sz w:val="21"/>
                <w:szCs w:val="21"/>
                <w:highlight w:val="none"/>
              </w:rPr>
              <w:t>本项目拟建废渣填埋处置场位于山地，地势较高，基础层表面与地下水年最高水位保持1.5m以上的距离。</w:t>
            </w:r>
          </w:p>
        </w:tc>
        <w:tc>
          <w:tcPr>
            <w:tcW w:w="365" w:type="pct"/>
            <w:noWrap w:val="0"/>
            <w:vAlign w:val="center"/>
          </w:tcPr>
          <w:p w14:paraId="2BF1468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rPr>
            </w:pPr>
            <w:r>
              <w:rPr>
                <w:rFonts w:hint="eastAsia"/>
                <w:sz w:val="21"/>
                <w:szCs w:val="21"/>
                <w:highlight w:val="none"/>
              </w:rPr>
              <w:t>符合</w:t>
            </w:r>
          </w:p>
        </w:tc>
      </w:tr>
      <w:tr w14:paraId="3EB9C08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70" w:type="pct"/>
            <w:vMerge w:val="continue"/>
            <w:noWrap w:val="0"/>
            <w:vAlign w:val="center"/>
          </w:tcPr>
          <w:p w14:paraId="01435BE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p>
        </w:tc>
        <w:tc>
          <w:tcPr>
            <w:tcW w:w="2262" w:type="pct"/>
            <w:noWrap w:val="0"/>
            <w:vAlign w:val="center"/>
          </w:tcPr>
          <w:p w14:paraId="4B62CDA7">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sz w:val="21"/>
                <w:szCs w:val="21"/>
              </w:rPr>
            </w:pPr>
            <w:r>
              <w:rPr>
                <w:rFonts w:hint="eastAsia"/>
                <w:sz w:val="21"/>
                <w:szCs w:val="21"/>
              </w:rPr>
              <w:t>5.3.3</w:t>
            </w:r>
            <w:r>
              <w:rPr>
                <w:rFonts w:hint="default" w:ascii="Times New Roman" w:hAnsi="Times New Roman" w:eastAsia="宋体" w:cs="Times New Roman"/>
                <w:sz w:val="21"/>
                <w:szCs w:val="21"/>
              </w:rPr>
              <w:t>Ⅱ</w:t>
            </w:r>
            <w:r>
              <w:rPr>
                <w:rFonts w:hint="eastAsia"/>
                <w:sz w:val="21"/>
                <w:szCs w:val="21"/>
              </w:rPr>
              <w:t>类场应设置渗漏监控系统，监控防渗衬层的完整性。渗漏监控系统的构成包括但不限于防渗衬层渗漏监测设备、地下水监测井。</w:t>
            </w:r>
          </w:p>
        </w:tc>
        <w:tc>
          <w:tcPr>
            <w:tcW w:w="2001" w:type="pct"/>
            <w:noWrap w:val="0"/>
            <w:vAlign w:val="center"/>
          </w:tcPr>
          <w:p w14:paraId="0946BB2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sz w:val="21"/>
                <w:szCs w:val="21"/>
                <w:highlight w:val="none"/>
              </w:rPr>
            </w:pPr>
            <w:r>
              <w:rPr>
                <w:sz w:val="21"/>
                <w:szCs w:val="21"/>
                <w:highlight w:val="none"/>
              </w:rPr>
              <w:t>建立完善的地下水监测系统，</w:t>
            </w:r>
            <w:r>
              <w:rPr>
                <w:rFonts w:hint="eastAsia"/>
                <w:sz w:val="21"/>
                <w:szCs w:val="21"/>
                <w:highlight w:val="none"/>
                <w:lang w:eastAsia="zh-CN"/>
              </w:rPr>
              <w:t>包括</w:t>
            </w:r>
            <w:r>
              <w:rPr>
                <w:rFonts w:hint="eastAsia"/>
                <w:sz w:val="21"/>
                <w:szCs w:val="21"/>
                <w:highlight w:val="none"/>
              </w:rPr>
              <w:t>渗漏监测设备、地下水监测井</w:t>
            </w:r>
            <w:r>
              <w:rPr>
                <w:rFonts w:hint="eastAsia"/>
                <w:sz w:val="21"/>
                <w:szCs w:val="21"/>
                <w:highlight w:val="none"/>
                <w:lang w:eastAsia="zh-CN"/>
              </w:rPr>
              <w:t>等。</w:t>
            </w:r>
            <w:r>
              <w:rPr>
                <w:sz w:val="21"/>
                <w:szCs w:val="21"/>
                <w:highlight w:val="none"/>
              </w:rPr>
              <w:t>项目</w:t>
            </w:r>
            <w:r>
              <w:rPr>
                <w:rFonts w:hint="eastAsia"/>
                <w:sz w:val="21"/>
                <w:szCs w:val="21"/>
                <w:highlight w:val="none"/>
              </w:rPr>
              <w:t>设地下水监测井4口</w:t>
            </w:r>
            <w:r>
              <w:rPr>
                <w:rFonts w:hint="eastAsia"/>
                <w:sz w:val="21"/>
                <w:szCs w:val="21"/>
                <w:highlight w:val="none"/>
                <w:lang w:eastAsia="zh-CN"/>
              </w:rPr>
              <w:t>，</w:t>
            </w:r>
            <w:r>
              <w:rPr>
                <w:rFonts w:hint="eastAsia"/>
                <w:sz w:val="21"/>
                <w:szCs w:val="21"/>
                <w:highlight w:val="none"/>
              </w:rPr>
              <w:t>分别为：对照井1口，作为背景值的监测井设置在</w:t>
            </w:r>
            <w:r>
              <w:rPr>
                <w:rFonts w:hint="eastAsia"/>
                <w:sz w:val="21"/>
                <w:szCs w:val="21"/>
                <w:highlight w:val="none"/>
                <w:lang w:eastAsia="zh-CN"/>
              </w:rPr>
              <w:t>填埋场上游30</w:t>
            </w:r>
            <w:r>
              <w:rPr>
                <w:rFonts w:hint="eastAsia"/>
                <w:sz w:val="21"/>
                <w:szCs w:val="21"/>
                <w:highlight w:val="none"/>
                <w:lang w:val="en-US" w:eastAsia="zh-CN"/>
              </w:rPr>
              <w:t>~</w:t>
            </w:r>
            <w:r>
              <w:rPr>
                <w:rFonts w:hint="eastAsia"/>
                <w:sz w:val="21"/>
                <w:szCs w:val="21"/>
                <w:highlight w:val="none"/>
                <w:lang w:eastAsia="zh-CN"/>
              </w:rPr>
              <w:t>50m处</w:t>
            </w:r>
            <w:r>
              <w:rPr>
                <w:rFonts w:hint="eastAsia"/>
                <w:sz w:val="21"/>
                <w:szCs w:val="21"/>
                <w:highlight w:val="none"/>
              </w:rPr>
              <w:t>；污染扩散井2口，设在</w:t>
            </w:r>
            <w:r>
              <w:rPr>
                <w:rFonts w:hint="eastAsia"/>
                <w:sz w:val="21"/>
                <w:szCs w:val="21"/>
                <w:highlight w:val="none"/>
                <w:lang w:eastAsia="zh-CN"/>
              </w:rPr>
              <w:t>垂直地下水流向两侧30</w:t>
            </w:r>
            <w:r>
              <w:rPr>
                <w:rFonts w:hint="eastAsia"/>
                <w:sz w:val="21"/>
                <w:szCs w:val="21"/>
                <w:highlight w:val="none"/>
                <w:lang w:val="en-US" w:eastAsia="zh-CN"/>
              </w:rPr>
              <w:t>~</w:t>
            </w:r>
            <w:r>
              <w:rPr>
                <w:rFonts w:hint="eastAsia"/>
                <w:sz w:val="21"/>
                <w:szCs w:val="21"/>
                <w:highlight w:val="none"/>
                <w:lang w:eastAsia="zh-CN"/>
              </w:rPr>
              <w:t>50m处</w:t>
            </w:r>
            <w:r>
              <w:rPr>
                <w:rFonts w:hint="eastAsia"/>
                <w:sz w:val="21"/>
                <w:szCs w:val="21"/>
                <w:highlight w:val="none"/>
              </w:rPr>
              <w:t>；污染监视井1口，设在</w:t>
            </w:r>
            <w:r>
              <w:rPr>
                <w:rFonts w:hint="eastAsia"/>
                <w:sz w:val="21"/>
                <w:szCs w:val="21"/>
                <w:highlight w:val="none"/>
                <w:lang w:val="en-US" w:eastAsia="zh-CN"/>
              </w:rPr>
              <w:t>地下水主管</w:t>
            </w:r>
            <w:r>
              <w:rPr>
                <w:rFonts w:hint="eastAsia"/>
                <w:sz w:val="21"/>
                <w:szCs w:val="21"/>
                <w:highlight w:val="none"/>
                <w:lang w:eastAsia="zh-CN"/>
              </w:rPr>
              <w:t>导排水口处</w:t>
            </w:r>
            <w:r>
              <w:rPr>
                <w:rFonts w:hint="eastAsia"/>
                <w:sz w:val="21"/>
                <w:szCs w:val="21"/>
                <w:highlight w:val="none"/>
              </w:rPr>
              <w:t>。</w:t>
            </w:r>
          </w:p>
        </w:tc>
        <w:tc>
          <w:tcPr>
            <w:tcW w:w="365" w:type="pct"/>
            <w:noWrap w:val="0"/>
            <w:vAlign w:val="center"/>
          </w:tcPr>
          <w:p w14:paraId="695773A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rPr>
            </w:pPr>
            <w:r>
              <w:rPr>
                <w:rFonts w:hint="eastAsia"/>
                <w:sz w:val="21"/>
                <w:szCs w:val="21"/>
                <w:highlight w:val="none"/>
              </w:rPr>
              <w:t>符合</w:t>
            </w:r>
          </w:p>
        </w:tc>
      </w:tr>
      <w:tr w14:paraId="09BDCA9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70" w:type="pct"/>
            <w:vMerge w:val="continue"/>
            <w:noWrap w:val="0"/>
            <w:vAlign w:val="center"/>
          </w:tcPr>
          <w:p w14:paraId="6D85E6B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p>
        </w:tc>
        <w:tc>
          <w:tcPr>
            <w:tcW w:w="2262" w:type="pct"/>
            <w:noWrap w:val="0"/>
            <w:vAlign w:val="center"/>
          </w:tcPr>
          <w:p w14:paraId="28AB319A">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sz w:val="21"/>
                <w:szCs w:val="21"/>
              </w:rPr>
            </w:pPr>
            <w:r>
              <w:rPr>
                <w:rFonts w:hint="eastAsia"/>
                <w:sz w:val="21"/>
                <w:szCs w:val="21"/>
              </w:rPr>
              <w:t>5.3.4人工合成材料衬层、渗滤液收集和导排系统的施工不应对粘土衬层造成破坏。</w:t>
            </w:r>
          </w:p>
        </w:tc>
        <w:tc>
          <w:tcPr>
            <w:tcW w:w="2001" w:type="pct"/>
            <w:noWrap w:val="0"/>
            <w:vAlign w:val="center"/>
          </w:tcPr>
          <w:p w14:paraId="4C409A4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rPr>
            </w:pPr>
            <w:r>
              <w:rPr>
                <w:rFonts w:hint="eastAsia"/>
                <w:sz w:val="21"/>
                <w:szCs w:val="21"/>
                <w:highlight w:val="none"/>
              </w:rPr>
              <w:t>本项目严格按照要求施工，禁止对粘土衬层造成破坏。</w:t>
            </w:r>
          </w:p>
        </w:tc>
        <w:tc>
          <w:tcPr>
            <w:tcW w:w="365" w:type="pct"/>
            <w:noWrap w:val="0"/>
            <w:vAlign w:val="center"/>
          </w:tcPr>
          <w:p w14:paraId="3008F22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rPr>
            </w:pPr>
            <w:r>
              <w:rPr>
                <w:rFonts w:hint="eastAsia"/>
                <w:sz w:val="21"/>
                <w:szCs w:val="21"/>
                <w:highlight w:val="none"/>
              </w:rPr>
              <w:t>符合</w:t>
            </w:r>
          </w:p>
        </w:tc>
      </w:tr>
      <w:tr w14:paraId="733BAE2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70" w:type="pct"/>
            <w:noWrap w:val="0"/>
            <w:vAlign w:val="center"/>
          </w:tcPr>
          <w:p w14:paraId="6379C6A2">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b/>
                <w:bCs/>
                <w:sz w:val="21"/>
                <w:szCs w:val="21"/>
              </w:rPr>
            </w:pPr>
            <w:r>
              <w:rPr>
                <w:rFonts w:hint="eastAsia"/>
                <w:b/>
                <w:bCs/>
                <w:sz w:val="21"/>
                <w:szCs w:val="21"/>
              </w:rPr>
              <w:t>三</w:t>
            </w:r>
          </w:p>
        </w:tc>
        <w:tc>
          <w:tcPr>
            <w:tcW w:w="4629" w:type="pct"/>
            <w:gridSpan w:val="3"/>
            <w:noWrap w:val="0"/>
            <w:vAlign w:val="center"/>
          </w:tcPr>
          <w:p w14:paraId="5A24C50C">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b/>
                <w:bCs/>
                <w:sz w:val="21"/>
                <w:szCs w:val="21"/>
              </w:rPr>
            </w:pPr>
            <w:r>
              <w:rPr>
                <w:rFonts w:hint="eastAsia"/>
                <w:b/>
                <w:bCs/>
                <w:sz w:val="21"/>
                <w:szCs w:val="21"/>
              </w:rPr>
              <w:t>封场及土地复垦要求</w:t>
            </w:r>
          </w:p>
        </w:tc>
      </w:tr>
      <w:tr w14:paraId="211291C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70" w:type="pct"/>
            <w:noWrap w:val="0"/>
            <w:vAlign w:val="center"/>
          </w:tcPr>
          <w:p w14:paraId="72CB838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rPr>
              <w:t>1</w:t>
            </w:r>
          </w:p>
        </w:tc>
        <w:tc>
          <w:tcPr>
            <w:tcW w:w="2262" w:type="pct"/>
            <w:noWrap w:val="0"/>
            <w:vAlign w:val="center"/>
          </w:tcPr>
          <w:p w14:paraId="12D8ED3B">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sz w:val="21"/>
                <w:szCs w:val="21"/>
              </w:rPr>
            </w:pPr>
            <w:r>
              <w:rPr>
                <w:rFonts w:hint="eastAsia"/>
                <w:sz w:val="21"/>
                <w:szCs w:val="21"/>
              </w:rPr>
              <w:t>当贮存场、填埋场服务期满或不再承担新的贮存、填埋任务时，应在2年内启动封场作业，并采取相应的污染防治措施，防止造成环境污染和生态破坏。封场计划可分期实施。</w:t>
            </w:r>
          </w:p>
          <w:p w14:paraId="5AEB35A7">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sz w:val="21"/>
                <w:szCs w:val="21"/>
              </w:rPr>
            </w:pPr>
            <w:r>
              <w:rPr>
                <w:rFonts w:hint="eastAsia"/>
                <w:sz w:val="21"/>
                <w:szCs w:val="21"/>
              </w:rPr>
              <w:t>贮存场、填埋场封场时应控制封场坡度，防止雨水侵蚀。</w:t>
            </w:r>
          </w:p>
          <w:p w14:paraId="48D8ACEF">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sz w:val="21"/>
                <w:szCs w:val="21"/>
              </w:rPr>
            </w:pPr>
            <w:r>
              <w:rPr>
                <w:rFonts w:hint="default" w:ascii="Times New Roman" w:hAnsi="Times New Roman" w:cs="Times New Roman"/>
                <w:sz w:val="21"/>
                <w:szCs w:val="21"/>
              </w:rPr>
              <w:t>Ⅱ</w:t>
            </w:r>
            <w:r>
              <w:rPr>
                <w:rFonts w:hint="eastAsia"/>
                <w:sz w:val="21"/>
                <w:szCs w:val="21"/>
              </w:rPr>
              <w:t>类场的封场结构应包括阻隔层、雨水导排层、覆盖土层。覆盖土层的厚度视拟种植物种类及其对阻隔层可能产生的损坏确定。</w:t>
            </w:r>
          </w:p>
          <w:p w14:paraId="3E4DE41C">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sz w:val="21"/>
                <w:szCs w:val="21"/>
              </w:rPr>
            </w:pPr>
            <w:r>
              <w:rPr>
                <w:rFonts w:hint="eastAsia"/>
                <w:sz w:val="21"/>
                <w:szCs w:val="21"/>
              </w:rPr>
              <w:t>固体废物的颗粒度大小和拟种植物种类确定，封场后，仍需对覆盖层进行维护管理，防止覆盖层不均匀沉降、开裂。</w:t>
            </w:r>
          </w:p>
          <w:p w14:paraId="6CF348B3">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sz w:val="21"/>
                <w:szCs w:val="21"/>
              </w:rPr>
            </w:pPr>
            <w:r>
              <w:rPr>
                <w:rFonts w:hint="eastAsia"/>
                <w:sz w:val="21"/>
                <w:szCs w:val="21"/>
              </w:rPr>
              <w:t>封场后的贮存场、填埋场应设置标志物，注明封场时间以及使用该土地时应注意的事项。</w:t>
            </w:r>
          </w:p>
          <w:p w14:paraId="2EECFA2A">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sz w:val="21"/>
                <w:szCs w:val="21"/>
              </w:rPr>
            </w:pPr>
            <w:r>
              <w:rPr>
                <w:rFonts w:hint="eastAsia"/>
                <w:sz w:val="21"/>
                <w:szCs w:val="21"/>
              </w:rPr>
              <w:t>封场后渗滤液处理系统、废水排放监测系统应继续正常运行，直到连续2年内没有渗滤液产生或产生的渗滤液未经处理即可稳定达标排放。</w:t>
            </w:r>
          </w:p>
          <w:p w14:paraId="7161558A">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sz w:val="21"/>
                <w:szCs w:val="21"/>
              </w:rPr>
            </w:pPr>
            <w:r>
              <w:rPr>
                <w:rFonts w:hint="eastAsia"/>
                <w:sz w:val="21"/>
                <w:szCs w:val="21"/>
              </w:rPr>
              <w:t>封场后如需对一般工业固体废物进行开采再利用，应进行环境影响评价。</w:t>
            </w:r>
          </w:p>
          <w:p w14:paraId="666E263C">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sz w:val="21"/>
                <w:szCs w:val="21"/>
              </w:rPr>
            </w:pPr>
            <w:r>
              <w:rPr>
                <w:rFonts w:hint="eastAsia"/>
                <w:sz w:val="21"/>
                <w:szCs w:val="21"/>
              </w:rPr>
              <w:t>贮存场、填埋场封场完成后，可依据当地地形条件、水资源及表土资源等自然环境条件和社会发展需求并按照相关规定进行土地复垦。土地复垦实施过程应满足TD/T1036规定的相关土地复垦质量控制要求。土地复垦后用作建设用地的，还应满足GB36600的要求；用作农用地的，还应满足GB15618的要求。</w:t>
            </w:r>
          </w:p>
          <w:p w14:paraId="32F94500">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sz w:val="21"/>
                <w:szCs w:val="21"/>
              </w:rPr>
            </w:pPr>
            <w:r>
              <w:rPr>
                <w:rFonts w:hint="eastAsia"/>
                <w:sz w:val="21"/>
                <w:szCs w:val="21"/>
              </w:rPr>
              <w:t>历史堆存一般工业固体废物场地经评估确保环境风险可以接受时，可进行封场或土地复垦作业。</w:t>
            </w:r>
          </w:p>
        </w:tc>
        <w:tc>
          <w:tcPr>
            <w:tcW w:w="2001" w:type="pct"/>
            <w:noWrap w:val="0"/>
            <w:vAlign w:val="center"/>
          </w:tcPr>
          <w:p w14:paraId="5DDE3FB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yellow"/>
              </w:rPr>
            </w:pPr>
            <w:r>
              <w:rPr>
                <w:rFonts w:hint="eastAsia"/>
                <w:sz w:val="21"/>
                <w:szCs w:val="21"/>
                <w:highlight w:val="none"/>
              </w:rPr>
              <w:t>项目封场后严格执行封场管理，封场后覆盖土层，封场后设置标志物，注明封场时间以及使用该土地时应注意的事项，封场后的渗滤液收集池正常运行，渗滤液经收集池收集后由槽罐车运送至</w:t>
            </w:r>
            <w:r>
              <w:rPr>
                <w:rFonts w:hint="eastAsia"/>
                <w:sz w:val="21"/>
                <w:szCs w:val="21"/>
                <w:highlight w:val="none"/>
                <w:lang w:val="en-US" w:eastAsia="zh-CN"/>
              </w:rPr>
              <w:t>湖南黄金天岳矿业有限公司垂拱洞尾矿库废水处理站</w:t>
            </w:r>
            <w:r>
              <w:rPr>
                <w:rFonts w:hint="eastAsia"/>
                <w:sz w:val="21"/>
                <w:szCs w:val="21"/>
                <w:highlight w:val="none"/>
              </w:rPr>
              <w:t>进行处理。</w:t>
            </w:r>
          </w:p>
        </w:tc>
        <w:tc>
          <w:tcPr>
            <w:tcW w:w="365" w:type="pct"/>
            <w:noWrap w:val="0"/>
            <w:vAlign w:val="center"/>
          </w:tcPr>
          <w:p w14:paraId="6028426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rPr>
              <w:t>符合</w:t>
            </w:r>
          </w:p>
        </w:tc>
      </w:tr>
      <w:tr w14:paraId="67E22D3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70" w:type="pct"/>
            <w:noWrap w:val="0"/>
            <w:vAlign w:val="center"/>
          </w:tcPr>
          <w:p w14:paraId="352FA028">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b/>
                <w:bCs/>
                <w:sz w:val="21"/>
                <w:szCs w:val="21"/>
              </w:rPr>
            </w:pPr>
            <w:r>
              <w:rPr>
                <w:rFonts w:hint="eastAsia"/>
                <w:b/>
                <w:bCs/>
                <w:sz w:val="21"/>
                <w:szCs w:val="21"/>
              </w:rPr>
              <w:t>四</w:t>
            </w:r>
          </w:p>
        </w:tc>
        <w:tc>
          <w:tcPr>
            <w:tcW w:w="4629" w:type="pct"/>
            <w:gridSpan w:val="3"/>
            <w:noWrap w:val="0"/>
            <w:vAlign w:val="center"/>
          </w:tcPr>
          <w:p w14:paraId="4E59B3F1">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b/>
                <w:bCs/>
                <w:sz w:val="21"/>
                <w:szCs w:val="21"/>
              </w:rPr>
            </w:pPr>
            <w:r>
              <w:rPr>
                <w:rFonts w:hint="eastAsia"/>
                <w:b/>
                <w:bCs/>
                <w:sz w:val="21"/>
                <w:szCs w:val="21"/>
              </w:rPr>
              <w:t>污染物监测要求</w:t>
            </w:r>
          </w:p>
        </w:tc>
      </w:tr>
      <w:tr w14:paraId="1069B04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70" w:type="pct"/>
            <w:noWrap w:val="0"/>
            <w:vAlign w:val="center"/>
          </w:tcPr>
          <w:p w14:paraId="45CF2AA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rPr>
              <w:t>1</w:t>
            </w:r>
          </w:p>
        </w:tc>
        <w:tc>
          <w:tcPr>
            <w:tcW w:w="2262" w:type="pct"/>
            <w:noWrap w:val="0"/>
            <w:vAlign w:val="center"/>
          </w:tcPr>
          <w:p w14:paraId="3D9ADF9C">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sz w:val="21"/>
                <w:szCs w:val="21"/>
              </w:rPr>
            </w:pPr>
            <w:r>
              <w:rPr>
                <w:rFonts w:hint="eastAsia"/>
                <w:sz w:val="21"/>
                <w:szCs w:val="21"/>
              </w:rPr>
              <w:t>废水污染物监测要求</w:t>
            </w:r>
          </w:p>
          <w:p w14:paraId="35A17ADA">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sz w:val="21"/>
                <w:szCs w:val="21"/>
              </w:rPr>
            </w:pPr>
            <w:r>
              <w:rPr>
                <w:rFonts w:hint="eastAsia"/>
                <w:sz w:val="21"/>
                <w:szCs w:val="21"/>
              </w:rPr>
              <w:t>采样点的设置与采样方法，按HJ91.1的规定执行。</w:t>
            </w:r>
          </w:p>
          <w:p w14:paraId="65F0982B">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sz w:val="21"/>
                <w:szCs w:val="21"/>
              </w:rPr>
            </w:pPr>
            <w:r>
              <w:rPr>
                <w:rFonts w:hint="eastAsia"/>
                <w:sz w:val="21"/>
                <w:szCs w:val="21"/>
              </w:rPr>
              <w:t>渗滤液及其处理后排放废水污染物的监测频次，应根据废物特性、覆盖层和降水等条件加以确定，至少每月1次。废水污染物的监测分析方法按照GB8978的规定执行。</w:t>
            </w:r>
          </w:p>
        </w:tc>
        <w:tc>
          <w:tcPr>
            <w:tcW w:w="2001" w:type="pct"/>
            <w:noWrap w:val="0"/>
            <w:vAlign w:val="center"/>
          </w:tcPr>
          <w:p w14:paraId="0DE17A9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rPr>
            </w:pPr>
            <w:r>
              <w:rPr>
                <w:rFonts w:hint="eastAsia"/>
                <w:sz w:val="21"/>
                <w:szCs w:val="21"/>
                <w:highlight w:val="none"/>
              </w:rPr>
              <w:t>废水监测：项目采取雨污分流，渗滤液</w:t>
            </w:r>
            <w:r>
              <w:rPr>
                <w:rFonts w:hint="eastAsia"/>
                <w:sz w:val="21"/>
                <w:szCs w:val="21"/>
                <w:highlight w:val="none"/>
                <w:lang w:val="en-US" w:eastAsia="zh-CN"/>
              </w:rPr>
              <w:t>经处理后</w:t>
            </w:r>
            <w:r>
              <w:rPr>
                <w:rFonts w:hint="eastAsia"/>
                <w:sz w:val="21"/>
                <w:szCs w:val="21"/>
                <w:highlight w:val="none"/>
              </w:rPr>
              <w:t>送至</w:t>
            </w:r>
            <w:r>
              <w:rPr>
                <w:rFonts w:hint="eastAsia"/>
                <w:sz w:val="21"/>
                <w:szCs w:val="21"/>
                <w:highlight w:val="none"/>
                <w:lang w:val="en-US" w:eastAsia="zh-CN"/>
              </w:rPr>
              <w:t>湖南黄金天岳矿业有限公司垂拱洞尾矿库废水处理站</w:t>
            </w:r>
            <w:r>
              <w:rPr>
                <w:rFonts w:hint="eastAsia"/>
                <w:sz w:val="21"/>
                <w:szCs w:val="21"/>
                <w:highlight w:val="none"/>
              </w:rPr>
              <w:t>进行处理。</w:t>
            </w:r>
          </w:p>
        </w:tc>
        <w:tc>
          <w:tcPr>
            <w:tcW w:w="365" w:type="pct"/>
            <w:noWrap w:val="0"/>
            <w:vAlign w:val="center"/>
          </w:tcPr>
          <w:p w14:paraId="047D4EA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rPr>
              <w:t>符合</w:t>
            </w:r>
          </w:p>
        </w:tc>
      </w:tr>
      <w:tr w14:paraId="6DBD457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70" w:type="pct"/>
            <w:noWrap w:val="0"/>
            <w:vAlign w:val="center"/>
          </w:tcPr>
          <w:p w14:paraId="1959B8A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rPr>
              <w:t>2</w:t>
            </w:r>
          </w:p>
        </w:tc>
        <w:tc>
          <w:tcPr>
            <w:tcW w:w="2262" w:type="pct"/>
            <w:noWrap w:val="0"/>
            <w:vAlign w:val="center"/>
          </w:tcPr>
          <w:p w14:paraId="64D5B74E">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sz w:val="21"/>
                <w:szCs w:val="21"/>
              </w:rPr>
            </w:pPr>
            <w:r>
              <w:rPr>
                <w:rFonts w:hint="eastAsia"/>
                <w:sz w:val="21"/>
                <w:szCs w:val="21"/>
              </w:rPr>
              <w:t>地下水监测要求</w:t>
            </w:r>
          </w:p>
          <w:p w14:paraId="1B2704C3">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sz w:val="21"/>
                <w:szCs w:val="21"/>
              </w:rPr>
            </w:pPr>
            <w:r>
              <w:rPr>
                <w:rFonts w:hint="eastAsia"/>
                <w:sz w:val="21"/>
                <w:szCs w:val="21"/>
              </w:rPr>
              <w:t>贮存场、填埋场投入使用之前，企业应监测地下水本底水平。</w:t>
            </w:r>
          </w:p>
          <w:p w14:paraId="2169081B">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sz w:val="21"/>
                <w:szCs w:val="21"/>
              </w:rPr>
            </w:pPr>
            <w:r>
              <w:rPr>
                <w:rFonts w:hint="eastAsia"/>
                <w:sz w:val="21"/>
                <w:szCs w:val="21"/>
              </w:rPr>
              <w:t>地下水监测井的布置应符合以下要求：</w:t>
            </w:r>
          </w:p>
          <w:p w14:paraId="45C5D536">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sz w:val="21"/>
                <w:szCs w:val="21"/>
              </w:rPr>
            </w:pPr>
            <w:r>
              <w:rPr>
                <w:rFonts w:hint="eastAsia"/>
                <w:sz w:val="21"/>
                <w:szCs w:val="21"/>
              </w:rPr>
              <w:t>在地下水流场上游应布置1个监测井，在下游至少应布置1个监测井，在可能出现污染扩散区域至少应布置1个监测井。设置有地下水导排系统的，应在地下水主管出口处至少布置1个监测井，用以监测地下水导排系统排水的水质；</w:t>
            </w:r>
          </w:p>
          <w:p w14:paraId="62DC30CF">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sz w:val="21"/>
                <w:szCs w:val="21"/>
              </w:rPr>
            </w:pPr>
            <w:r>
              <w:rPr>
                <w:rFonts w:hint="eastAsia"/>
                <w:sz w:val="21"/>
                <w:szCs w:val="21"/>
              </w:rPr>
              <w:t>贮存场、填埋场地下水监测频次应符合以下要求：</w:t>
            </w:r>
          </w:p>
          <w:p w14:paraId="24A4CE0E">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sz w:val="21"/>
                <w:szCs w:val="21"/>
              </w:rPr>
            </w:pPr>
            <w:r>
              <w:rPr>
                <w:rFonts w:hint="eastAsia"/>
                <w:sz w:val="21"/>
                <w:szCs w:val="21"/>
              </w:rPr>
              <w:t>运行期间，企业自行监测频次至少每季度1次，每两次监测之间间隔不少于1个月，国家另有规定的除外；如周边有环境敏感区应增加监测频次，具体监测点位和频次依据环境影响评价结论确定。当发现地下水水质有被污染的迹象时，应及时查找原因并采取补救措施，防止污染进一步扩散；</w:t>
            </w:r>
          </w:p>
          <w:p w14:paraId="17550165">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sz w:val="21"/>
                <w:szCs w:val="21"/>
              </w:rPr>
            </w:pPr>
            <w:r>
              <w:rPr>
                <w:rFonts w:hint="eastAsia"/>
                <w:sz w:val="21"/>
                <w:szCs w:val="21"/>
              </w:rPr>
              <w:t>封场后，地下水监测系统应继续正常运行，监测频次至少每半年1次，直到地下水水质连续2年不超出地下水本底水平。</w:t>
            </w:r>
          </w:p>
          <w:p w14:paraId="0DD4994B">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sz w:val="21"/>
                <w:szCs w:val="21"/>
              </w:rPr>
            </w:pPr>
            <w:r>
              <w:rPr>
                <w:rFonts w:hint="eastAsia"/>
                <w:sz w:val="21"/>
                <w:szCs w:val="21"/>
              </w:rPr>
              <w:t>地下水监测因子由企业根据贮存及填埋废物的特性提出，必须具有代表性且能表征固体废物特性。常规测定项目应至少包括：浑浊度、pH、溶解性总固体、氯化物、硝酸盐（以N计）、亚硝酸盐（以N计）。地下水监测因子分析方法按照GB/T14848执行。</w:t>
            </w:r>
          </w:p>
        </w:tc>
        <w:tc>
          <w:tcPr>
            <w:tcW w:w="2001" w:type="pct"/>
            <w:noWrap w:val="0"/>
            <w:vAlign w:val="center"/>
          </w:tcPr>
          <w:p w14:paraId="7439233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rPr>
            </w:pPr>
            <w:r>
              <w:rPr>
                <w:sz w:val="21"/>
                <w:szCs w:val="21"/>
                <w:highlight w:val="none"/>
              </w:rPr>
              <w:t>建立完善的地下水监测系统，项目</w:t>
            </w:r>
            <w:r>
              <w:rPr>
                <w:rFonts w:hint="eastAsia"/>
                <w:sz w:val="21"/>
                <w:szCs w:val="21"/>
                <w:highlight w:val="none"/>
              </w:rPr>
              <w:t>设地下水监测井4口</w:t>
            </w:r>
            <w:r>
              <w:rPr>
                <w:rFonts w:hint="eastAsia"/>
                <w:sz w:val="21"/>
                <w:szCs w:val="21"/>
                <w:highlight w:val="none"/>
                <w:lang w:eastAsia="zh-CN"/>
              </w:rPr>
              <w:t>，</w:t>
            </w:r>
            <w:r>
              <w:rPr>
                <w:rFonts w:hint="eastAsia"/>
                <w:sz w:val="21"/>
                <w:szCs w:val="21"/>
                <w:highlight w:val="none"/>
              </w:rPr>
              <w:t>分别为：对照井1口，作为背景值的监测井设置在</w:t>
            </w:r>
            <w:r>
              <w:rPr>
                <w:rFonts w:hint="eastAsia"/>
                <w:sz w:val="21"/>
                <w:szCs w:val="21"/>
                <w:highlight w:val="none"/>
                <w:lang w:eastAsia="zh-CN"/>
              </w:rPr>
              <w:t>填埋场上游30</w:t>
            </w:r>
            <w:r>
              <w:rPr>
                <w:rFonts w:hint="eastAsia"/>
                <w:sz w:val="21"/>
                <w:szCs w:val="21"/>
                <w:highlight w:val="none"/>
                <w:lang w:val="en-US" w:eastAsia="zh-CN"/>
              </w:rPr>
              <w:t>~</w:t>
            </w:r>
            <w:r>
              <w:rPr>
                <w:rFonts w:hint="eastAsia"/>
                <w:sz w:val="21"/>
                <w:szCs w:val="21"/>
                <w:highlight w:val="none"/>
                <w:lang w:eastAsia="zh-CN"/>
              </w:rPr>
              <w:t>50m处</w:t>
            </w:r>
            <w:r>
              <w:rPr>
                <w:rFonts w:hint="eastAsia"/>
                <w:sz w:val="21"/>
                <w:szCs w:val="21"/>
                <w:highlight w:val="none"/>
              </w:rPr>
              <w:t>；污染扩散井2口，设在</w:t>
            </w:r>
            <w:r>
              <w:rPr>
                <w:rFonts w:hint="eastAsia"/>
                <w:sz w:val="21"/>
                <w:szCs w:val="21"/>
                <w:highlight w:val="none"/>
                <w:lang w:eastAsia="zh-CN"/>
              </w:rPr>
              <w:t>垂直地下水流向两侧30</w:t>
            </w:r>
            <w:r>
              <w:rPr>
                <w:rFonts w:hint="eastAsia"/>
                <w:sz w:val="21"/>
                <w:szCs w:val="21"/>
                <w:highlight w:val="none"/>
                <w:lang w:val="en-US" w:eastAsia="zh-CN"/>
              </w:rPr>
              <w:t>~</w:t>
            </w:r>
            <w:r>
              <w:rPr>
                <w:rFonts w:hint="eastAsia"/>
                <w:sz w:val="21"/>
                <w:szCs w:val="21"/>
                <w:highlight w:val="none"/>
                <w:lang w:eastAsia="zh-CN"/>
              </w:rPr>
              <w:t>50m处</w:t>
            </w:r>
            <w:r>
              <w:rPr>
                <w:rFonts w:hint="eastAsia"/>
                <w:sz w:val="21"/>
                <w:szCs w:val="21"/>
                <w:highlight w:val="none"/>
              </w:rPr>
              <w:t>；污染监视井1口，设在</w:t>
            </w:r>
            <w:r>
              <w:rPr>
                <w:rFonts w:hint="eastAsia"/>
                <w:sz w:val="21"/>
                <w:szCs w:val="21"/>
                <w:highlight w:val="none"/>
                <w:lang w:eastAsia="zh-CN"/>
              </w:rPr>
              <w:t>导排水口处</w:t>
            </w:r>
            <w:r>
              <w:rPr>
                <w:rFonts w:hint="eastAsia"/>
                <w:sz w:val="21"/>
                <w:szCs w:val="21"/>
                <w:highlight w:val="none"/>
              </w:rPr>
              <w:t>。</w:t>
            </w:r>
          </w:p>
          <w:p w14:paraId="6D85449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rPr>
            </w:pPr>
            <w:r>
              <w:rPr>
                <w:rFonts w:hint="eastAsia"/>
                <w:sz w:val="21"/>
                <w:szCs w:val="21"/>
                <w:highlight w:val="none"/>
              </w:rPr>
              <w:t>监测频次：运行期每季度监测一次。封场后每半年监测一次直至地下水连续两年不超出地下水本底水平。</w:t>
            </w:r>
          </w:p>
          <w:p w14:paraId="179323C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rPr>
            </w:pPr>
            <w:r>
              <w:rPr>
                <w:rFonts w:hint="eastAsia"/>
                <w:sz w:val="21"/>
                <w:szCs w:val="21"/>
                <w:highlight w:val="none"/>
              </w:rPr>
              <w:t>监测因子：水位、pH、溶解性总固体、硝酸盐、氯化物、亚硝酸盐、氨氮、硫化物、氟化物、镉、汞、砷</w:t>
            </w:r>
            <w:r>
              <w:rPr>
                <w:rFonts w:hint="eastAsia"/>
                <w:sz w:val="21"/>
                <w:szCs w:val="21"/>
                <w:highlight w:val="none"/>
                <w:lang w:eastAsia="zh-CN"/>
              </w:rPr>
              <w:t>、</w:t>
            </w:r>
            <w:r>
              <w:rPr>
                <w:rFonts w:hint="eastAsia"/>
                <w:sz w:val="21"/>
                <w:szCs w:val="21"/>
                <w:highlight w:val="none"/>
              </w:rPr>
              <w:t>铅、</w:t>
            </w:r>
            <w:r>
              <w:rPr>
                <w:rFonts w:hint="eastAsia"/>
                <w:sz w:val="21"/>
                <w:szCs w:val="21"/>
                <w:highlight w:val="none"/>
                <w:lang w:val="en-US" w:eastAsia="zh-CN"/>
              </w:rPr>
              <w:t>总</w:t>
            </w:r>
            <w:r>
              <w:rPr>
                <w:rFonts w:hint="eastAsia"/>
                <w:sz w:val="21"/>
                <w:szCs w:val="21"/>
                <w:highlight w:val="none"/>
                <w:lang w:eastAsia="zh-CN"/>
              </w:rPr>
              <w:t>铬</w:t>
            </w:r>
            <w:r>
              <w:rPr>
                <w:rFonts w:hint="eastAsia"/>
                <w:sz w:val="21"/>
                <w:szCs w:val="21"/>
                <w:highlight w:val="none"/>
              </w:rPr>
              <w:t>、铜</w:t>
            </w:r>
            <w:r>
              <w:rPr>
                <w:rFonts w:hint="eastAsia"/>
                <w:sz w:val="21"/>
                <w:szCs w:val="21"/>
                <w:highlight w:val="none"/>
                <w:lang w:eastAsia="zh-CN"/>
              </w:rPr>
              <w:t>、镍</w:t>
            </w:r>
            <w:r>
              <w:rPr>
                <w:rFonts w:hint="eastAsia"/>
                <w:sz w:val="21"/>
                <w:szCs w:val="21"/>
                <w:highlight w:val="none"/>
              </w:rPr>
              <w:t>、锌</w:t>
            </w:r>
            <w:r>
              <w:rPr>
                <w:rFonts w:hint="eastAsia"/>
                <w:sz w:val="21"/>
                <w:szCs w:val="21"/>
                <w:highlight w:val="none"/>
                <w:lang w:eastAsia="zh-CN"/>
              </w:rPr>
              <w:t>、</w:t>
            </w:r>
            <w:r>
              <w:rPr>
                <w:rFonts w:hint="eastAsia"/>
                <w:sz w:val="21"/>
                <w:szCs w:val="21"/>
                <w:highlight w:val="none"/>
                <w:lang w:val="en-US" w:eastAsia="zh-CN"/>
              </w:rPr>
              <w:t>六价铬、氰化物</w:t>
            </w:r>
            <w:r>
              <w:rPr>
                <w:rFonts w:hint="eastAsia"/>
                <w:sz w:val="21"/>
                <w:szCs w:val="21"/>
                <w:highlight w:val="none"/>
                <w:lang w:eastAsia="zh-CN"/>
              </w:rPr>
              <w:t>等</w:t>
            </w:r>
            <w:r>
              <w:rPr>
                <w:rFonts w:hint="eastAsia"/>
                <w:sz w:val="21"/>
                <w:szCs w:val="21"/>
                <w:highlight w:val="none"/>
              </w:rPr>
              <w:t>。</w:t>
            </w:r>
          </w:p>
        </w:tc>
        <w:tc>
          <w:tcPr>
            <w:tcW w:w="365" w:type="pct"/>
            <w:noWrap w:val="0"/>
            <w:vAlign w:val="center"/>
          </w:tcPr>
          <w:p w14:paraId="7D0F6ED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rPr>
              <w:t>符合</w:t>
            </w:r>
          </w:p>
        </w:tc>
      </w:tr>
      <w:tr w14:paraId="328249C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70" w:type="pct"/>
            <w:noWrap w:val="0"/>
            <w:vAlign w:val="center"/>
          </w:tcPr>
          <w:p w14:paraId="692B606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rPr>
              <w:t>3</w:t>
            </w:r>
          </w:p>
        </w:tc>
        <w:tc>
          <w:tcPr>
            <w:tcW w:w="2262" w:type="pct"/>
            <w:noWrap w:val="0"/>
            <w:vAlign w:val="center"/>
          </w:tcPr>
          <w:p w14:paraId="43EAF5BF">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sz w:val="21"/>
                <w:szCs w:val="21"/>
              </w:rPr>
            </w:pPr>
            <w:r>
              <w:rPr>
                <w:rFonts w:hint="eastAsia"/>
                <w:sz w:val="21"/>
                <w:szCs w:val="21"/>
              </w:rPr>
              <w:t>大气监测要求</w:t>
            </w:r>
          </w:p>
          <w:p w14:paraId="24D4174C">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sz w:val="21"/>
                <w:szCs w:val="21"/>
              </w:rPr>
            </w:pPr>
            <w:r>
              <w:rPr>
                <w:rFonts w:hint="eastAsia"/>
                <w:sz w:val="21"/>
                <w:szCs w:val="21"/>
              </w:rPr>
              <w:t>无组织气体排放的监测因子由企业根据贮存及填埋废物的特性提出，必须具有代表性且能表征固体废物特性。采样点布设、采样及监测方法按GB16297的规定执行，污染源下风方向应为主要监测范围。</w:t>
            </w:r>
          </w:p>
          <w:p w14:paraId="288D19E6">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sz w:val="21"/>
                <w:szCs w:val="21"/>
              </w:rPr>
            </w:pPr>
            <w:r>
              <w:rPr>
                <w:rFonts w:hint="eastAsia"/>
                <w:sz w:val="21"/>
                <w:szCs w:val="21"/>
              </w:rPr>
              <w:t>运行期间，企业自行监测频次至少每季度1次。如监测结果出现异常，应及时进行重新监测，间隔时间不得超过1周。</w:t>
            </w:r>
          </w:p>
        </w:tc>
        <w:tc>
          <w:tcPr>
            <w:tcW w:w="2001" w:type="pct"/>
            <w:noWrap w:val="0"/>
            <w:vAlign w:val="center"/>
          </w:tcPr>
          <w:p w14:paraId="7EA9979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sz w:val="21"/>
                <w:szCs w:val="21"/>
                <w:highlight w:val="yellow"/>
              </w:rPr>
            </w:pPr>
            <w:r>
              <w:rPr>
                <w:rFonts w:hint="eastAsia"/>
                <w:sz w:val="21"/>
                <w:szCs w:val="21"/>
                <w:highlight w:val="none"/>
                <w:lang w:val="en-US" w:eastAsia="zh-CN"/>
              </w:rPr>
              <w:t>填埋场</w:t>
            </w:r>
            <w:r>
              <w:rPr>
                <w:rFonts w:hint="eastAsia"/>
                <w:sz w:val="21"/>
                <w:szCs w:val="21"/>
                <w:highlight w:val="none"/>
                <w:lang w:eastAsia="zh-CN"/>
              </w:rPr>
              <w:t>施工填埋期间</w:t>
            </w:r>
            <w:r>
              <w:rPr>
                <w:rFonts w:hint="eastAsia"/>
                <w:sz w:val="21"/>
                <w:szCs w:val="21"/>
                <w:highlight w:val="none"/>
              </w:rPr>
              <w:t>大气监测按照每季度1次进行监测。</w:t>
            </w:r>
          </w:p>
        </w:tc>
        <w:tc>
          <w:tcPr>
            <w:tcW w:w="365" w:type="pct"/>
            <w:noWrap w:val="0"/>
            <w:vAlign w:val="center"/>
          </w:tcPr>
          <w:p w14:paraId="4F42405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rPr>
              <w:t>符合</w:t>
            </w:r>
          </w:p>
        </w:tc>
      </w:tr>
      <w:tr w14:paraId="4F49455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70" w:type="pct"/>
            <w:noWrap w:val="0"/>
            <w:vAlign w:val="center"/>
          </w:tcPr>
          <w:p w14:paraId="29A358E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rPr>
              <w:t>4</w:t>
            </w:r>
          </w:p>
        </w:tc>
        <w:tc>
          <w:tcPr>
            <w:tcW w:w="2262" w:type="pct"/>
            <w:noWrap w:val="0"/>
            <w:vAlign w:val="center"/>
          </w:tcPr>
          <w:p w14:paraId="151E1683">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sz w:val="21"/>
                <w:szCs w:val="21"/>
              </w:rPr>
            </w:pPr>
            <w:r>
              <w:rPr>
                <w:rFonts w:hint="eastAsia"/>
                <w:sz w:val="21"/>
                <w:szCs w:val="21"/>
              </w:rPr>
              <w:t>土壤监测要求：</w:t>
            </w:r>
          </w:p>
          <w:p w14:paraId="6A93944F">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sz w:val="21"/>
                <w:szCs w:val="21"/>
              </w:rPr>
            </w:pPr>
            <w:r>
              <w:rPr>
                <w:rFonts w:hint="eastAsia"/>
                <w:sz w:val="21"/>
                <w:szCs w:val="21"/>
              </w:rPr>
              <w:t>贮存场、填埋场投入使用之前，企业应监测土壤本底水平。</w:t>
            </w:r>
          </w:p>
          <w:p w14:paraId="4EB19E94">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sz w:val="21"/>
                <w:szCs w:val="21"/>
              </w:rPr>
            </w:pPr>
            <w:r>
              <w:rPr>
                <w:rFonts w:hint="eastAsia"/>
                <w:sz w:val="21"/>
                <w:szCs w:val="21"/>
              </w:rPr>
              <w:t>应布设1个土壤监测对照点，对照点应尽量保证不受企业生产过程影响，对照点作为土壤背景值。</w:t>
            </w:r>
          </w:p>
          <w:p w14:paraId="70640B87">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sz w:val="21"/>
                <w:szCs w:val="21"/>
              </w:rPr>
            </w:pPr>
            <w:r>
              <w:rPr>
                <w:rFonts w:hint="eastAsia"/>
                <w:sz w:val="21"/>
                <w:szCs w:val="21"/>
              </w:rPr>
              <w:t>依据地形特征、主导风向和地表径流方向，在可能产生影响的土壤环境敏感目标处布设土壤监测点。</w:t>
            </w:r>
          </w:p>
          <w:p w14:paraId="276E8C96">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sz w:val="21"/>
                <w:szCs w:val="21"/>
              </w:rPr>
            </w:pPr>
            <w:r>
              <w:rPr>
                <w:rFonts w:hint="eastAsia"/>
                <w:sz w:val="21"/>
                <w:szCs w:val="21"/>
              </w:rPr>
              <w:t>运行期间，土壤监测点的自行监测频次一般每3年1次，采样深度根据可能影响的深度适当调整，以表层土壤为重点采样层。</w:t>
            </w:r>
          </w:p>
          <w:p w14:paraId="78E7628D">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sz w:val="21"/>
                <w:szCs w:val="21"/>
              </w:rPr>
            </w:pPr>
            <w:r>
              <w:rPr>
                <w:rFonts w:hint="eastAsia"/>
                <w:sz w:val="21"/>
                <w:szCs w:val="21"/>
              </w:rPr>
              <w:t>土壤监测因子由企业根据贮存及填埋废物的特性提出，必须具有代表性且能表征固体废物特性。土壤监测因子的分析方法按照GB36600的规定执行。</w:t>
            </w:r>
          </w:p>
        </w:tc>
        <w:tc>
          <w:tcPr>
            <w:tcW w:w="2001" w:type="pct"/>
            <w:noWrap w:val="0"/>
            <w:vAlign w:val="center"/>
          </w:tcPr>
          <w:p w14:paraId="0B4CCB9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yellow"/>
              </w:rPr>
            </w:pPr>
            <w:r>
              <w:rPr>
                <w:rFonts w:hint="eastAsia"/>
                <w:sz w:val="21"/>
                <w:szCs w:val="21"/>
                <w:highlight w:val="none"/>
                <w:lang w:val="en-US" w:eastAsia="zh-CN"/>
              </w:rPr>
              <w:t>填埋场</w:t>
            </w:r>
            <w:r>
              <w:rPr>
                <w:rFonts w:hint="eastAsia"/>
                <w:sz w:val="21"/>
                <w:szCs w:val="21"/>
                <w:highlight w:val="none"/>
              </w:rPr>
              <w:t>在投入使用前，应监测土壤本底值，设置1个土壤监测对照点，项目施工结束后就进行封场，土壤监测按照每</w:t>
            </w:r>
            <w:r>
              <w:rPr>
                <w:rFonts w:hint="eastAsia"/>
                <w:sz w:val="21"/>
                <w:szCs w:val="21"/>
                <w:highlight w:val="none"/>
                <w:lang w:val="en-US" w:eastAsia="zh-CN"/>
              </w:rPr>
              <w:t>3</w:t>
            </w:r>
            <w:r>
              <w:rPr>
                <w:rFonts w:hint="eastAsia"/>
                <w:sz w:val="21"/>
                <w:szCs w:val="21"/>
                <w:highlight w:val="none"/>
              </w:rPr>
              <w:t>年一次，监测因子</w:t>
            </w:r>
            <w:r>
              <w:rPr>
                <w:rFonts w:hint="eastAsia"/>
                <w:sz w:val="21"/>
                <w:szCs w:val="21"/>
                <w:highlight w:val="none"/>
                <w:lang w:val="en-US" w:eastAsia="zh-CN"/>
              </w:rPr>
              <w:t>pH、</w:t>
            </w:r>
            <w:r>
              <w:rPr>
                <w:rFonts w:hint="eastAsia"/>
                <w:sz w:val="21"/>
                <w:szCs w:val="21"/>
                <w:highlight w:val="none"/>
              </w:rPr>
              <w:t>镉、汞、砷</w:t>
            </w:r>
            <w:r>
              <w:rPr>
                <w:rFonts w:hint="eastAsia"/>
                <w:sz w:val="21"/>
                <w:szCs w:val="21"/>
                <w:highlight w:val="none"/>
                <w:lang w:eastAsia="zh-CN"/>
              </w:rPr>
              <w:t>、</w:t>
            </w:r>
            <w:r>
              <w:rPr>
                <w:rFonts w:hint="eastAsia"/>
                <w:sz w:val="21"/>
                <w:szCs w:val="21"/>
                <w:highlight w:val="none"/>
              </w:rPr>
              <w:t>铅、</w:t>
            </w:r>
            <w:r>
              <w:rPr>
                <w:rFonts w:hint="eastAsia"/>
                <w:sz w:val="21"/>
                <w:szCs w:val="21"/>
                <w:highlight w:val="none"/>
                <w:lang w:val="en-US" w:eastAsia="zh-CN"/>
              </w:rPr>
              <w:t>总</w:t>
            </w:r>
            <w:r>
              <w:rPr>
                <w:rFonts w:hint="eastAsia"/>
                <w:sz w:val="21"/>
                <w:szCs w:val="21"/>
                <w:highlight w:val="none"/>
                <w:lang w:eastAsia="zh-CN"/>
              </w:rPr>
              <w:t>铬</w:t>
            </w:r>
            <w:r>
              <w:rPr>
                <w:rFonts w:hint="eastAsia"/>
                <w:sz w:val="21"/>
                <w:szCs w:val="21"/>
                <w:highlight w:val="none"/>
              </w:rPr>
              <w:t>、铜</w:t>
            </w:r>
            <w:r>
              <w:rPr>
                <w:rFonts w:hint="eastAsia"/>
                <w:sz w:val="21"/>
                <w:szCs w:val="21"/>
                <w:highlight w:val="none"/>
                <w:lang w:eastAsia="zh-CN"/>
              </w:rPr>
              <w:t>、镍</w:t>
            </w:r>
            <w:r>
              <w:rPr>
                <w:rFonts w:hint="eastAsia"/>
                <w:sz w:val="21"/>
                <w:szCs w:val="21"/>
                <w:highlight w:val="none"/>
              </w:rPr>
              <w:t>、锌</w:t>
            </w:r>
            <w:r>
              <w:rPr>
                <w:rFonts w:hint="eastAsia"/>
                <w:sz w:val="21"/>
                <w:szCs w:val="21"/>
                <w:highlight w:val="none"/>
                <w:lang w:eastAsia="zh-CN"/>
              </w:rPr>
              <w:t>、</w:t>
            </w:r>
            <w:r>
              <w:rPr>
                <w:rFonts w:hint="eastAsia"/>
                <w:sz w:val="21"/>
                <w:szCs w:val="21"/>
                <w:highlight w:val="none"/>
                <w:lang w:val="en-US" w:eastAsia="zh-CN"/>
              </w:rPr>
              <w:t>六价铬、氰化物</w:t>
            </w:r>
            <w:r>
              <w:rPr>
                <w:rFonts w:hint="eastAsia"/>
                <w:sz w:val="21"/>
                <w:szCs w:val="21"/>
                <w:highlight w:val="none"/>
                <w:lang w:eastAsia="zh-CN"/>
              </w:rPr>
              <w:t>等</w:t>
            </w:r>
            <w:r>
              <w:rPr>
                <w:rFonts w:hint="eastAsia"/>
                <w:sz w:val="21"/>
                <w:szCs w:val="21"/>
                <w:highlight w:val="none"/>
              </w:rPr>
              <w:t>。</w:t>
            </w:r>
          </w:p>
        </w:tc>
        <w:tc>
          <w:tcPr>
            <w:tcW w:w="365" w:type="pct"/>
            <w:noWrap w:val="0"/>
            <w:vAlign w:val="center"/>
          </w:tcPr>
          <w:p w14:paraId="59D007F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rPr>
              <w:t>符合</w:t>
            </w:r>
          </w:p>
        </w:tc>
      </w:tr>
    </w:tbl>
    <w:p w14:paraId="007FB11D">
      <w:pPr>
        <w:pStyle w:val="10"/>
        <w:numPr>
          <w:ilvl w:val="3"/>
          <w:numId w:val="2"/>
        </w:numPr>
        <w:bidi w:val="0"/>
        <w:ind w:left="0" w:leftChars="0" w:firstLine="0" w:firstLineChars="0"/>
        <w:rPr>
          <w:rFonts w:hint="default"/>
          <w:lang w:val="en-US" w:eastAsia="zh-CN"/>
        </w:rPr>
      </w:pPr>
      <w:r>
        <w:rPr>
          <w:rFonts w:hint="default"/>
          <w:lang w:val="en-US" w:eastAsia="zh-CN"/>
        </w:rPr>
        <w:t>取土场选址合理性分析</w:t>
      </w:r>
    </w:p>
    <w:p w14:paraId="54D78B9F">
      <w:pPr>
        <w:rPr>
          <w:rFonts w:hint="default"/>
          <w:highlight w:val="none"/>
          <w:lang w:val="en-US" w:eastAsia="zh-CN"/>
        </w:rPr>
      </w:pPr>
      <w:r>
        <w:rPr>
          <w:rFonts w:hint="default"/>
          <w:highlight w:val="none"/>
          <w:lang w:val="en-US" w:eastAsia="zh-CN"/>
        </w:rPr>
        <w:t>本项目设1处取土场</w:t>
      </w:r>
      <w:r>
        <w:rPr>
          <w:rFonts w:hint="eastAsia"/>
          <w:highlight w:val="none"/>
          <w:lang w:val="en-US" w:eastAsia="zh-CN"/>
        </w:rPr>
        <w:t>，</w:t>
      </w:r>
      <w:r>
        <w:rPr>
          <w:rFonts w:hint="default"/>
          <w:highlight w:val="none"/>
          <w:lang w:val="en-US" w:eastAsia="zh-CN"/>
        </w:rPr>
        <w:t>取土场选址位于其</w:t>
      </w:r>
      <w:r>
        <w:rPr>
          <w:rFonts w:hint="eastAsia"/>
          <w:highlight w:val="none"/>
          <w:lang w:val="en-US" w:eastAsia="zh-CN"/>
        </w:rPr>
        <w:t>东北2.7</w:t>
      </w:r>
      <w:r>
        <w:rPr>
          <w:rFonts w:hint="default"/>
          <w:highlight w:val="none"/>
          <w:lang w:val="en-US" w:eastAsia="zh-CN"/>
        </w:rPr>
        <w:t>km（经度113°34′26.27″，纬度28°39′51.3</w:t>
      </w:r>
      <w:r>
        <w:rPr>
          <w:rFonts w:hint="eastAsia"/>
          <w:highlight w:val="none"/>
          <w:lang w:val="en-US" w:eastAsia="zh-CN"/>
        </w:rPr>
        <w:t>7</w:t>
      </w:r>
      <w:r>
        <w:rPr>
          <w:rFonts w:hint="default"/>
          <w:highlight w:val="none"/>
          <w:lang w:val="en-US" w:eastAsia="zh-CN"/>
        </w:rPr>
        <w:t>″），临时占地</w:t>
      </w:r>
      <w:r>
        <w:rPr>
          <w:rFonts w:hint="eastAsia"/>
          <w:highlight w:val="none"/>
          <w:lang w:val="en-US" w:eastAsia="zh-CN"/>
        </w:rPr>
        <w:t>3668</w:t>
      </w:r>
      <w:r>
        <w:rPr>
          <w:rFonts w:hint="default"/>
          <w:highlight w:val="none"/>
          <w:lang w:val="en-US" w:eastAsia="zh-CN"/>
        </w:rPr>
        <w:t>m</w:t>
      </w:r>
      <w:r>
        <w:rPr>
          <w:rFonts w:hint="default"/>
          <w:highlight w:val="none"/>
          <w:vertAlign w:val="superscript"/>
          <w:lang w:val="en-US" w:eastAsia="zh-CN"/>
        </w:rPr>
        <w:t>2</w:t>
      </w:r>
      <w:r>
        <w:rPr>
          <w:rFonts w:hint="default"/>
          <w:highlight w:val="none"/>
          <w:lang w:val="en-US" w:eastAsia="zh-CN"/>
        </w:rPr>
        <w:t>，取土场占地现状为灌木林地，未占用基本农田和天然保护林及生态公益林，无保护植物分布，也无动物通道分布，没有占用泄洪通道，水利灌溉设施，这样集中取土可以有效地防止多处开挖取土造成的大量的水土流失，取土场选址是合理的；同时通过对取土场容量进行校核计算，取土场容量也满足项目取土需要。</w:t>
      </w:r>
    </w:p>
    <w:p w14:paraId="6DE59B57">
      <w:pPr>
        <w:rPr>
          <w:rFonts w:hint="default"/>
          <w:highlight w:val="none"/>
          <w:lang w:val="en-US" w:eastAsia="zh-CN"/>
        </w:rPr>
      </w:pPr>
      <w:r>
        <w:rPr>
          <w:rFonts w:hint="default"/>
          <w:highlight w:val="none"/>
          <w:lang w:val="en-US" w:eastAsia="zh-CN"/>
        </w:rPr>
        <w:t>通过现场调查，取土场</w:t>
      </w:r>
      <w:r>
        <w:rPr>
          <w:rFonts w:hint="eastAsia"/>
          <w:highlight w:val="none"/>
          <w:lang w:val="en-US" w:eastAsia="zh-CN"/>
        </w:rPr>
        <w:t>周边</w:t>
      </w:r>
      <w:r>
        <w:rPr>
          <w:rFonts w:hint="default"/>
          <w:highlight w:val="none"/>
          <w:lang w:val="en-US" w:eastAsia="zh-CN"/>
        </w:rPr>
        <w:t>无珍稀濒危保护动植物分布，也无动物通道分布。从环境保护角度分析，设置较为合理。取土场有一定坡地，在取土完毕后可以恢复为林地，恢复方向可行。</w:t>
      </w:r>
    </w:p>
    <w:p w14:paraId="39F49437">
      <w:pPr>
        <w:rPr>
          <w:rFonts w:hint="default"/>
          <w:highlight w:val="yellow"/>
          <w:lang w:val="en-US" w:eastAsia="zh-CN"/>
        </w:rPr>
      </w:pPr>
      <w:r>
        <w:rPr>
          <w:rFonts w:hint="default"/>
          <w:highlight w:val="none"/>
          <w:lang w:val="en-US" w:eastAsia="zh-CN"/>
        </w:rPr>
        <w:t>综上，</w:t>
      </w:r>
      <w:r>
        <w:rPr>
          <w:rFonts w:hint="eastAsia"/>
          <w:highlight w:val="none"/>
          <w:lang w:val="en-US" w:eastAsia="zh-CN"/>
        </w:rPr>
        <w:t>拟建</w:t>
      </w:r>
      <w:r>
        <w:rPr>
          <w:rFonts w:hint="default"/>
          <w:highlight w:val="none"/>
          <w:lang w:val="en-US" w:eastAsia="zh-CN"/>
        </w:rPr>
        <w:t>项目</w:t>
      </w:r>
      <w:r>
        <w:rPr>
          <w:rFonts w:hint="eastAsia"/>
          <w:highlight w:val="none"/>
          <w:lang w:val="en-US" w:eastAsia="zh-CN"/>
        </w:rPr>
        <w:t>选址</w:t>
      </w:r>
      <w:r>
        <w:rPr>
          <w:rFonts w:hint="default"/>
          <w:highlight w:val="none"/>
          <w:lang w:val="en-US" w:eastAsia="zh-CN"/>
        </w:rPr>
        <w:t>建设符合相关规划要求，与周边环境相容，污染物经严格的治理措施后对外环境影响甚微，选址合理。</w:t>
      </w:r>
    </w:p>
    <w:p w14:paraId="438FF5A2">
      <w:pPr>
        <w:pStyle w:val="8"/>
        <w:bidi w:val="0"/>
        <w:rPr>
          <w:rFonts w:hint="eastAsia"/>
          <w:highlight w:val="none"/>
          <w:lang w:val="en-US" w:eastAsia="zh-CN"/>
        </w:rPr>
      </w:pPr>
      <w:bookmarkStart w:id="8" w:name="_Toc1298"/>
      <w:r>
        <w:rPr>
          <w:rFonts w:hint="eastAsia"/>
          <w:highlight w:val="none"/>
          <w:lang w:val="en-US" w:eastAsia="zh-CN"/>
        </w:rPr>
        <w:t>关注的主要环境问题</w:t>
      </w:r>
      <w:bookmarkEnd w:id="8"/>
    </w:p>
    <w:p w14:paraId="6BDC62BF">
      <w:pPr>
        <w:rPr>
          <w:rFonts w:hint="eastAsia"/>
          <w:highlight w:val="none"/>
          <w:lang w:val="en-US" w:eastAsia="zh-CN"/>
        </w:rPr>
      </w:pPr>
      <w:r>
        <w:rPr>
          <w:rFonts w:hint="eastAsia"/>
          <w:highlight w:val="none"/>
          <w:lang w:val="en-US" w:eastAsia="zh-CN"/>
        </w:rPr>
        <w:t>（1）项目第</w:t>
      </w:r>
      <w:r>
        <w:rPr>
          <w:rFonts w:hint="default" w:ascii="Times New Roman" w:hAnsi="Times New Roman" w:cs="Times New Roman"/>
          <w:highlight w:val="none"/>
          <w:lang w:val="en-US" w:eastAsia="zh-CN"/>
        </w:rPr>
        <w:t>Ⅱ</w:t>
      </w:r>
      <w:r>
        <w:rPr>
          <w:rFonts w:hint="eastAsia"/>
          <w:highlight w:val="none"/>
          <w:lang w:val="en-US" w:eastAsia="zh-CN"/>
        </w:rPr>
        <w:t>类一般工业固废填埋场的选址可行性；</w:t>
      </w:r>
    </w:p>
    <w:p w14:paraId="7B663A04">
      <w:pPr>
        <w:rPr>
          <w:rFonts w:hint="eastAsia"/>
          <w:highlight w:val="none"/>
          <w:lang w:val="en-US" w:eastAsia="zh-CN"/>
        </w:rPr>
      </w:pPr>
      <w:r>
        <w:rPr>
          <w:rFonts w:hint="eastAsia"/>
          <w:highlight w:val="none"/>
          <w:lang w:val="en-US" w:eastAsia="zh-CN"/>
        </w:rPr>
        <w:t>（2）项目施工过程中环境影响防控；</w:t>
      </w:r>
    </w:p>
    <w:p w14:paraId="16BBA300">
      <w:pPr>
        <w:rPr>
          <w:rFonts w:hint="eastAsia"/>
          <w:highlight w:val="none"/>
          <w:lang w:val="en-US" w:eastAsia="zh-CN"/>
        </w:rPr>
      </w:pPr>
      <w:r>
        <w:rPr>
          <w:rFonts w:hint="eastAsia"/>
          <w:highlight w:val="none"/>
          <w:lang w:val="en-US" w:eastAsia="zh-CN"/>
        </w:rPr>
        <w:t>（3）废渣转移及填埋场施工可能带来的二次污染；</w:t>
      </w:r>
    </w:p>
    <w:p w14:paraId="3BBE1A12">
      <w:pPr>
        <w:rPr>
          <w:rFonts w:hint="eastAsia"/>
          <w:highlight w:val="none"/>
          <w:lang w:val="en-US" w:eastAsia="zh-CN"/>
        </w:rPr>
      </w:pPr>
      <w:r>
        <w:rPr>
          <w:rFonts w:hint="eastAsia"/>
          <w:highlight w:val="none"/>
          <w:lang w:val="en-US" w:eastAsia="zh-CN"/>
        </w:rPr>
        <w:t>（4）项目取土场的生态环境影响；</w:t>
      </w:r>
    </w:p>
    <w:p w14:paraId="729274CF">
      <w:pPr>
        <w:rPr>
          <w:rFonts w:hint="eastAsia"/>
          <w:highlight w:val="none"/>
          <w:lang w:val="en-US" w:eastAsia="zh-CN"/>
        </w:rPr>
      </w:pPr>
      <w:r>
        <w:rPr>
          <w:rFonts w:hint="eastAsia"/>
          <w:highlight w:val="none"/>
          <w:lang w:val="en-US" w:eastAsia="zh-CN"/>
        </w:rPr>
        <w:t>（5）项目渗滤液处置的可行性。</w:t>
      </w:r>
    </w:p>
    <w:p w14:paraId="550617EA">
      <w:pPr>
        <w:rPr>
          <w:rFonts w:hint="eastAsia"/>
          <w:highlight w:val="none"/>
          <w:lang w:val="en-US" w:eastAsia="zh-CN"/>
        </w:rPr>
      </w:pPr>
      <w:r>
        <w:rPr>
          <w:rFonts w:hint="eastAsia"/>
          <w:highlight w:val="none"/>
          <w:lang w:val="en-US" w:eastAsia="zh-CN"/>
        </w:rPr>
        <w:t>项目建成后区域遗留重金属废渣问题得以解决，本项目对环境产生的影响是正面和长久的。</w:t>
      </w:r>
    </w:p>
    <w:p w14:paraId="3EE272D4">
      <w:pPr>
        <w:pStyle w:val="8"/>
        <w:bidi w:val="0"/>
        <w:rPr>
          <w:rFonts w:hint="eastAsia"/>
          <w:highlight w:val="none"/>
          <w:lang w:val="en-US" w:eastAsia="zh-CN"/>
        </w:rPr>
      </w:pPr>
      <w:bookmarkStart w:id="9" w:name="_Toc880"/>
      <w:r>
        <w:rPr>
          <w:rFonts w:hint="eastAsia"/>
          <w:highlight w:val="none"/>
          <w:lang w:val="en-US" w:eastAsia="zh-CN"/>
        </w:rPr>
        <w:t>报告书主要结论</w:t>
      </w:r>
      <w:bookmarkEnd w:id="9"/>
    </w:p>
    <w:p w14:paraId="3698569E">
      <w:pPr>
        <w:rPr>
          <w:rFonts w:hint="default"/>
          <w:highlight w:val="none"/>
          <w:lang w:val="en-US" w:eastAsia="zh-CN"/>
        </w:rPr>
      </w:pPr>
      <w:r>
        <w:rPr>
          <w:rFonts w:hint="eastAsia"/>
          <w:highlight w:val="none"/>
        </w:rPr>
        <w:t>本项目为重金属</w:t>
      </w:r>
      <w:r>
        <w:rPr>
          <w:rFonts w:hint="eastAsia"/>
          <w:highlight w:val="none"/>
          <w:lang w:val="en-US" w:eastAsia="zh-CN"/>
        </w:rPr>
        <w:t>废渣</w:t>
      </w:r>
      <w:r>
        <w:rPr>
          <w:rFonts w:hint="eastAsia"/>
          <w:highlight w:val="none"/>
        </w:rPr>
        <w:t>治理项目，属环保治理项目</w:t>
      </w:r>
      <w:r>
        <w:rPr>
          <w:rFonts w:hint="eastAsia"/>
          <w:highlight w:val="none"/>
          <w:lang w:eastAsia="zh-CN"/>
        </w:rPr>
        <w:t>。</w:t>
      </w:r>
      <w:r>
        <w:rPr>
          <w:rFonts w:hint="eastAsia"/>
          <w:highlight w:val="none"/>
        </w:rPr>
        <w:t>项目建设符合产业政策，符合相关规划。工程实施后将可以解决历史遗留的</w:t>
      </w:r>
      <w:r>
        <w:rPr>
          <w:rFonts w:hint="eastAsia"/>
          <w:highlight w:val="none"/>
          <w:lang w:val="en-US" w:eastAsia="zh-CN"/>
        </w:rPr>
        <w:t>重金属</w:t>
      </w:r>
      <w:r>
        <w:rPr>
          <w:rFonts w:hint="eastAsia"/>
          <w:highlight w:val="none"/>
        </w:rPr>
        <w:t>废渣以及污染土壤带来的环境污染问题。本项目具有显著的环境效益和社会效益，工程本身是一项环境保护工程，在认真落实报告书中提出的各项污染防治措施及要求的前提下，工程的实施对当地环境影响很小。项目建设无明显环境制约因素，建设单位已对本项目进行了公众参与和环评公示，未收到各相关单位和群众的反对意见。项目建设符合产业政策，符合相关规划和</w:t>
      </w:r>
      <w:r>
        <w:rPr>
          <w:rFonts w:hint="eastAsia"/>
          <w:highlight w:val="none"/>
          <w:lang w:val="en-US" w:eastAsia="zh-CN"/>
        </w:rPr>
        <w:t>平江县</w:t>
      </w:r>
      <w:r>
        <w:rPr>
          <w:rFonts w:hint="eastAsia"/>
          <w:highlight w:val="none"/>
        </w:rPr>
        <w:t>生态红线保护要求，选址较为合理</w:t>
      </w:r>
      <w:r>
        <w:rPr>
          <w:rFonts w:hint="eastAsia"/>
          <w:highlight w:val="none"/>
          <w:lang w:eastAsia="zh-CN"/>
        </w:rPr>
        <w:t>。</w:t>
      </w:r>
      <w:r>
        <w:rPr>
          <w:rFonts w:hint="eastAsia" w:hAnsi="宋体"/>
          <w:highlight w:val="none"/>
        </w:rPr>
        <w:t>项目建设对周边环境的影响在区域环境可承受的范围内，从环境保护角度而言，项目建设是可行的</w:t>
      </w:r>
      <w:r>
        <w:rPr>
          <w:rFonts w:hint="eastAsia"/>
          <w:highlight w:val="none"/>
          <w:lang w:val="en-US" w:eastAsia="zh-CN"/>
        </w:rPr>
        <w:t>。</w:t>
      </w:r>
    </w:p>
    <w:p w14:paraId="277E1877">
      <w:pPr>
        <w:rPr>
          <w:rFonts w:hint="default"/>
          <w:highlight w:val="yellow"/>
          <w:lang w:val="en-US" w:eastAsia="zh-CN"/>
        </w:rPr>
      </w:pPr>
      <w:r>
        <w:rPr>
          <w:rFonts w:hint="eastAsia"/>
          <w:highlight w:val="yellow"/>
          <w:lang w:val="en-US" w:eastAsia="zh-CN"/>
        </w:rPr>
        <w:br w:type="page"/>
      </w:r>
    </w:p>
    <w:p w14:paraId="231A809B">
      <w:pPr>
        <w:pStyle w:val="7"/>
        <w:bidi w:val="0"/>
        <w:jc w:val="center"/>
        <w:rPr>
          <w:rFonts w:hint="default"/>
          <w:highlight w:val="none"/>
          <w:lang w:val="en-US" w:eastAsia="zh-CN"/>
        </w:rPr>
      </w:pPr>
      <w:bookmarkStart w:id="10" w:name="_Toc388"/>
      <w:r>
        <w:rPr>
          <w:rFonts w:hint="eastAsia"/>
          <w:highlight w:val="none"/>
          <w:lang w:val="en-US" w:eastAsia="zh-CN"/>
        </w:rPr>
        <w:t>总则</w:t>
      </w:r>
      <w:bookmarkEnd w:id="10"/>
    </w:p>
    <w:p w14:paraId="18EC5AC8">
      <w:pPr>
        <w:pStyle w:val="8"/>
        <w:numPr>
          <w:ilvl w:val="1"/>
          <w:numId w:val="1"/>
        </w:numPr>
        <w:tabs>
          <w:tab w:val="clear" w:pos="420"/>
        </w:tabs>
        <w:bidi w:val="0"/>
        <w:ind w:left="567" w:leftChars="0" w:hanging="567" w:firstLineChars="0"/>
        <w:rPr>
          <w:rFonts w:hint="eastAsia"/>
          <w:highlight w:val="none"/>
          <w:lang w:val="en-US" w:eastAsia="zh-CN"/>
        </w:rPr>
      </w:pPr>
      <w:bookmarkStart w:id="11" w:name="_Toc29428"/>
      <w:r>
        <w:rPr>
          <w:rFonts w:hint="eastAsia"/>
          <w:highlight w:val="none"/>
          <w:lang w:val="en-US" w:eastAsia="zh-CN"/>
        </w:rPr>
        <w:t>编制依据</w:t>
      </w:r>
      <w:bookmarkEnd w:id="11"/>
    </w:p>
    <w:p w14:paraId="4D1AF2CD">
      <w:pPr>
        <w:pStyle w:val="9"/>
        <w:numPr>
          <w:ilvl w:val="2"/>
          <w:numId w:val="1"/>
        </w:numPr>
        <w:bidi w:val="0"/>
        <w:ind w:left="709" w:leftChars="0" w:hanging="709" w:firstLineChars="0"/>
        <w:rPr>
          <w:rFonts w:hint="eastAsia"/>
          <w:highlight w:val="none"/>
          <w:lang w:val="en-US" w:eastAsia="zh-CN"/>
        </w:rPr>
      </w:pPr>
      <w:r>
        <w:rPr>
          <w:rFonts w:hint="eastAsia"/>
          <w:highlight w:val="none"/>
          <w:lang w:val="en-US" w:eastAsia="zh-CN"/>
        </w:rPr>
        <w:t>国家法律法规及规范性文件</w:t>
      </w:r>
    </w:p>
    <w:p w14:paraId="21716198">
      <w:pPr>
        <w:rPr>
          <w:rFonts w:hint="eastAsia"/>
          <w:color w:val="auto"/>
          <w:highlight w:val="none"/>
          <w:u w:val="none" w:color="auto"/>
          <w:lang w:eastAsia="zh-CN"/>
        </w:rPr>
      </w:pPr>
      <w:r>
        <w:rPr>
          <w:rFonts w:hint="eastAsia"/>
          <w:color w:val="auto"/>
          <w:highlight w:val="none"/>
          <w:u w:val="none" w:color="auto"/>
          <w:lang w:eastAsia="zh-CN"/>
        </w:rPr>
        <w:t>（1）《中华人民共和国环境保护法（修订）》（2015年1月1日起施行）；</w:t>
      </w:r>
    </w:p>
    <w:p w14:paraId="41830509">
      <w:pPr>
        <w:rPr>
          <w:rFonts w:hint="eastAsia"/>
          <w:color w:val="auto"/>
          <w:highlight w:val="none"/>
          <w:u w:val="none" w:color="auto"/>
          <w:lang w:eastAsia="zh-CN"/>
        </w:rPr>
      </w:pPr>
      <w:r>
        <w:rPr>
          <w:rFonts w:hint="eastAsia"/>
          <w:color w:val="auto"/>
          <w:highlight w:val="none"/>
          <w:u w:val="none" w:color="auto"/>
          <w:lang w:eastAsia="zh-CN"/>
        </w:rPr>
        <w:t>（2）《中华人民共和国环境影响评价法（修订）》（2018年12月29日起施行）；</w:t>
      </w:r>
    </w:p>
    <w:p w14:paraId="397DE322">
      <w:pPr>
        <w:rPr>
          <w:rFonts w:hint="eastAsia"/>
          <w:color w:val="auto"/>
          <w:highlight w:val="none"/>
          <w:u w:val="none" w:color="auto"/>
          <w:lang w:eastAsia="zh-CN"/>
        </w:rPr>
      </w:pPr>
      <w:r>
        <w:rPr>
          <w:rFonts w:hint="eastAsia"/>
          <w:color w:val="auto"/>
          <w:highlight w:val="none"/>
          <w:u w:val="none" w:color="auto"/>
          <w:lang w:eastAsia="zh-CN"/>
        </w:rPr>
        <w:t>（3）《中华人民共和国水污染防治法（修订）》（2018年1月1日起施行）；</w:t>
      </w:r>
    </w:p>
    <w:p w14:paraId="2AA07A08">
      <w:pPr>
        <w:rPr>
          <w:rFonts w:hint="eastAsia"/>
          <w:color w:val="auto"/>
          <w:highlight w:val="none"/>
          <w:u w:val="none" w:color="auto"/>
          <w:lang w:eastAsia="zh-CN"/>
        </w:rPr>
      </w:pPr>
      <w:r>
        <w:rPr>
          <w:rFonts w:hint="eastAsia"/>
          <w:color w:val="auto"/>
          <w:highlight w:val="none"/>
          <w:u w:val="none" w:color="auto"/>
          <w:lang w:eastAsia="zh-CN"/>
        </w:rPr>
        <w:t>（4）《中华人民共和国大气污染防治法（修订）》（2018年10月26日起施行）；</w:t>
      </w:r>
    </w:p>
    <w:p w14:paraId="3EB415EB">
      <w:pPr>
        <w:rPr>
          <w:rFonts w:hint="eastAsia"/>
          <w:color w:val="auto"/>
          <w:highlight w:val="none"/>
          <w:u w:val="none" w:color="auto"/>
          <w:lang w:eastAsia="zh-CN"/>
        </w:rPr>
      </w:pPr>
      <w:r>
        <w:rPr>
          <w:rFonts w:hint="eastAsia"/>
          <w:color w:val="auto"/>
          <w:highlight w:val="none"/>
          <w:u w:val="none" w:color="auto"/>
          <w:lang w:eastAsia="zh-CN"/>
        </w:rPr>
        <w:t>（5）《中华人民共和国噪声污染防治法（2021年修订）》（2022年6月5日起施行）；</w:t>
      </w:r>
    </w:p>
    <w:p w14:paraId="6F2D69EB">
      <w:pPr>
        <w:rPr>
          <w:rFonts w:hint="eastAsia"/>
          <w:color w:val="auto"/>
          <w:highlight w:val="none"/>
          <w:u w:val="none" w:color="auto"/>
          <w:lang w:eastAsia="zh-CN"/>
        </w:rPr>
      </w:pPr>
      <w:r>
        <w:rPr>
          <w:rFonts w:hint="eastAsia"/>
          <w:color w:val="auto"/>
          <w:highlight w:val="none"/>
          <w:u w:val="none" w:color="auto"/>
          <w:lang w:eastAsia="zh-CN"/>
        </w:rPr>
        <w:t>（6）《中华人民共和国土壤污染防治法》（2019年1月1日起施行）；</w:t>
      </w:r>
    </w:p>
    <w:p w14:paraId="48E7DB3A">
      <w:pPr>
        <w:rPr>
          <w:rFonts w:hint="eastAsia"/>
          <w:color w:val="auto"/>
          <w:highlight w:val="none"/>
          <w:u w:val="none" w:color="auto"/>
          <w:lang w:eastAsia="zh-CN"/>
        </w:rPr>
      </w:pPr>
      <w:r>
        <w:rPr>
          <w:rFonts w:hint="eastAsia"/>
          <w:color w:val="auto"/>
          <w:highlight w:val="none"/>
          <w:u w:val="none" w:color="auto"/>
          <w:lang w:eastAsia="zh-CN"/>
        </w:rPr>
        <w:t>（7）《中华人民共和国固体废物污染环境防治法》（2020年9月1日施行）；</w:t>
      </w:r>
    </w:p>
    <w:p w14:paraId="40265E65">
      <w:pPr>
        <w:rPr>
          <w:rFonts w:hint="eastAsia"/>
          <w:color w:val="auto"/>
          <w:highlight w:val="none"/>
          <w:u w:val="none" w:color="auto"/>
          <w:lang w:eastAsia="zh-CN"/>
        </w:rPr>
      </w:pPr>
      <w:r>
        <w:rPr>
          <w:rFonts w:hint="eastAsia"/>
          <w:color w:val="auto"/>
          <w:highlight w:val="none"/>
          <w:u w:val="none" w:color="auto"/>
          <w:lang w:eastAsia="zh-CN"/>
        </w:rPr>
        <w:t>（8）《建设项目环境保护管理条例（修订）》（2017年10月1日起施行）；</w:t>
      </w:r>
    </w:p>
    <w:p w14:paraId="4B3BF096">
      <w:pPr>
        <w:rPr>
          <w:rFonts w:hint="eastAsia"/>
          <w:color w:val="auto"/>
          <w:highlight w:val="none"/>
          <w:u w:val="none" w:color="auto"/>
          <w:lang w:eastAsia="zh-CN"/>
        </w:rPr>
      </w:pPr>
      <w:r>
        <w:rPr>
          <w:rFonts w:hint="eastAsia"/>
          <w:color w:val="auto"/>
          <w:highlight w:val="none"/>
          <w:u w:val="none" w:color="auto"/>
          <w:lang w:eastAsia="zh-CN"/>
        </w:rPr>
        <w:t>（9）《中华人民共和国循环经济促进法》（2018年10月26日起施行）；</w:t>
      </w:r>
    </w:p>
    <w:p w14:paraId="183447EF">
      <w:pPr>
        <w:rPr>
          <w:rFonts w:hint="eastAsia"/>
          <w:color w:val="auto"/>
          <w:highlight w:val="none"/>
          <w:u w:val="none" w:color="auto"/>
          <w:lang w:eastAsia="zh-CN"/>
        </w:rPr>
      </w:pPr>
      <w:r>
        <w:rPr>
          <w:rFonts w:hint="eastAsia"/>
          <w:color w:val="auto"/>
          <w:highlight w:val="none"/>
          <w:u w:val="none" w:color="auto"/>
          <w:lang w:eastAsia="zh-CN"/>
        </w:rPr>
        <w:t>（10）《中华人民共和国清洁生产促进法》（2012年7月1日起施行）；</w:t>
      </w:r>
    </w:p>
    <w:p w14:paraId="1A15354B">
      <w:pPr>
        <w:rPr>
          <w:rFonts w:hint="eastAsia"/>
          <w:color w:val="auto"/>
          <w:highlight w:val="none"/>
          <w:u w:val="none" w:color="auto"/>
          <w:lang w:eastAsia="zh-CN"/>
        </w:rPr>
      </w:pPr>
      <w:r>
        <w:rPr>
          <w:rFonts w:hint="eastAsia"/>
          <w:color w:val="auto"/>
          <w:highlight w:val="none"/>
          <w:u w:val="none" w:color="auto"/>
          <w:lang w:eastAsia="zh-CN"/>
        </w:rPr>
        <w:t>（11）《建设项目环境影响评价分类管理名录》（2021版），2021年1月1日起施行；</w:t>
      </w:r>
    </w:p>
    <w:p w14:paraId="54941496">
      <w:pPr>
        <w:rPr>
          <w:rFonts w:hint="eastAsia"/>
          <w:color w:val="auto"/>
          <w:highlight w:val="none"/>
          <w:u w:val="none" w:color="auto"/>
          <w:lang w:eastAsia="zh-CN"/>
        </w:rPr>
      </w:pPr>
      <w:r>
        <w:rPr>
          <w:rFonts w:hint="eastAsia"/>
          <w:color w:val="auto"/>
          <w:highlight w:val="none"/>
          <w:u w:val="none" w:color="auto"/>
          <w:lang w:eastAsia="zh-CN"/>
        </w:rPr>
        <w:t>（12）《国务院关于印发大气污染防治行动计划的通知》（国发〔2013〕37号，2013年9月10日）；</w:t>
      </w:r>
    </w:p>
    <w:p w14:paraId="7D45338F">
      <w:pPr>
        <w:rPr>
          <w:rFonts w:hint="eastAsia"/>
          <w:color w:val="auto"/>
          <w:highlight w:val="none"/>
          <w:u w:val="none" w:color="auto"/>
          <w:lang w:eastAsia="zh-CN"/>
        </w:rPr>
      </w:pPr>
      <w:r>
        <w:rPr>
          <w:rFonts w:hint="eastAsia"/>
          <w:color w:val="auto"/>
          <w:highlight w:val="none"/>
          <w:u w:val="none" w:color="auto"/>
          <w:lang w:eastAsia="zh-CN"/>
        </w:rPr>
        <w:t>（13）《国务院关于印发水污染防治行动计划的通知》（国发〔2015〕17号，2015年4月2日）；</w:t>
      </w:r>
    </w:p>
    <w:p w14:paraId="347B3490">
      <w:pPr>
        <w:rPr>
          <w:rFonts w:hint="eastAsia"/>
          <w:color w:val="auto"/>
          <w:highlight w:val="none"/>
          <w:u w:val="none" w:color="auto"/>
          <w:lang w:eastAsia="zh-CN"/>
        </w:rPr>
      </w:pPr>
      <w:r>
        <w:rPr>
          <w:rFonts w:hint="eastAsia"/>
          <w:color w:val="auto"/>
          <w:highlight w:val="none"/>
          <w:u w:val="none" w:color="auto"/>
          <w:lang w:eastAsia="zh-CN"/>
        </w:rPr>
        <w:t>（14）《国务院关于印发土壤污染防治行动计划的通知》（国发〔2016〕31号，2016年5月28日）；</w:t>
      </w:r>
    </w:p>
    <w:p w14:paraId="26F69086">
      <w:pPr>
        <w:rPr>
          <w:rFonts w:hint="eastAsia"/>
          <w:color w:val="auto"/>
          <w:highlight w:val="none"/>
          <w:u w:val="none" w:color="auto"/>
          <w:lang w:eastAsia="zh-CN"/>
        </w:rPr>
      </w:pPr>
      <w:r>
        <w:rPr>
          <w:rFonts w:hint="eastAsia"/>
          <w:color w:val="auto"/>
          <w:highlight w:val="none"/>
          <w:u w:val="none" w:color="auto"/>
          <w:lang w:eastAsia="zh-CN"/>
        </w:rPr>
        <w:t>（15）《关于落实大气污染防治行动计划严格环境影响评价准入的通知》（环办〔2014〕30号，2014年3月25日）；</w:t>
      </w:r>
    </w:p>
    <w:p w14:paraId="3145FC31">
      <w:pPr>
        <w:rPr>
          <w:rFonts w:hint="eastAsia"/>
          <w:color w:val="auto"/>
          <w:highlight w:val="none"/>
          <w:u w:val="none" w:color="auto"/>
          <w:lang w:eastAsia="zh-CN"/>
        </w:rPr>
      </w:pPr>
      <w:r>
        <w:rPr>
          <w:rFonts w:hint="eastAsia"/>
          <w:color w:val="auto"/>
          <w:highlight w:val="none"/>
          <w:u w:val="none" w:color="auto"/>
          <w:lang w:eastAsia="zh-CN"/>
        </w:rPr>
        <w:t>（16）《环境影响评价公众参与办法》（生态环境部部令第4号，2019年1月1日施行）；</w:t>
      </w:r>
    </w:p>
    <w:p w14:paraId="5A8E257D">
      <w:pPr>
        <w:rPr>
          <w:rFonts w:hint="eastAsia"/>
          <w:color w:val="auto"/>
          <w:highlight w:val="none"/>
          <w:u w:val="none" w:color="auto"/>
          <w:lang w:eastAsia="zh-CN"/>
        </w:rPr>
      </w:pPr>
      <w:r>
        <w:rPr>
          <w:rFonts w:hint="eastAsia"/>
          <w:color w:val="auto"/>
          <w:highlight w:val="none"/>
          <w:u w:val="none" w:color="auto"/>
          <w:lang w:eastAsia="zh-CN"/>
        </w:rPr>
        <w:t>（17）《关于发布&lt;环境影响评价公众参与办法&gt;配套文件的公告》（生态环境部公告2018年第48号，2019年1月1日实施）；</w:t>
      </w:r>
    </w:p>
    <w:p w14:paraId="7D25901A">
      <w:pPr>
        <w:rPr>
          <w:rFonts w:hint="eastAsia"/>
          <w:color w:val="auto"/>
          <w:highlight w:val="yellow"/>
          <w:u w:val="none" w:color="auto"/>
          <w:lang w:eastAsia="zh-CN"/>
        </w:rPr>
      </w:pPr>
      <w:r>
        <w:rPr>
          <w:rFonts w:hint="eastAsia"/>
          <w:color w:val="auto"/>
          <w:highlight w:val="none"/>
          <w:u w:val="none" w:color="auto"/>
          <w:lang w:eastAsia="zh-CN"/>
        </w:rPr>
        <w:t>（18）《产业结构调整指导目录（20</w:t>
      </w:r>
      <w:r>
        <w:rPr>
          <w:rFonts w:hint="eastAsia"/>
          <w:color w:val="auto"/>
          <w:highlight w:val="none"/>
          <w:u w:val="none" w:color="auto"/>
          <w:lang w:val="en-US" w:eastAsia="zh-CN"/>
        </w:rPr>
        <w:t>24</w:t>
      </w:r>
      <w:r>
        <w:rPr>
          <w:rFonts w:hint="eastAsia"/>
          <w:color w:val="auto"/>
          <w:highlight w:val="none"/>
          <w:u w:val="none" w:color="auto"/>
          <w:lang w:eastAsia="zh-CN"/>
        </w:rPr>
        <w:t>年本）》（国家发展和改革委员会令第</w:t>
      </w:r>
      <w:r>
        <w:rPr>
          <w:rFonts w:hint="eastAsia"/>
          <w:color w:val="auto"/>
          <w:highlight w:val="none"/>
          <w:u w:val="none" w:color="auto"/>
          <w:lang w:val="en-US" w:eastAsia="zh-CN"/>
        </w:rPr>
        <w:t>7</w:t>
      </w:r>
      <w:r>
        <w:rPr>
          <w:rFonts w:hint="eastAsia"/>
          <w:color w:val="auto"/>
          <w:highlight w:val="none"/>
          <w:u w:val="none" w:color="auto"/>
          <w:lang w:eastAsia="zh-CN"/>
        </w:rPr>
        <w:t>号），202</w:t>
      </w:r>
      <w:r>
        <w:rPr>
          <w:rFonts w:hint="eastAsia"/>
          <w:color w:val="auto"/>
          <w:highlight w:val="none"/>
          <w:u w:val="none" w:color="auto"/>
          <w:lang w:val="en-US" w:eastAsia="zh-CN"/>
        </w:rPr>
        <w:t>4</w:t>
      </w:r>
      <w:r>
        <w:rPr>
          <w:rFonts w:hint="eastAsia"/>
          <w:color w:val="auto"/>
          <w:highlight w:val="none"/>
          <w:u w:val="none" w:color="auto"/>
          <w:lang w:eastAsia="zh-CN"/>
        </w:rPr>
        <w:t>年</w:t>
      </w:r>
      <w:r>
        <w:rPr>
          <w:rFonts w:hint="eastAsia"/>
          <w:color w:val="auto"/>
          <w:highlight w:val="none"/>
          <w:u w:val="none" w:color="auto"/>
          <w:lang w:val="en-US" w:eastAsia="zh-CN"/>
        </w:rPr>
        <w:t>2</w:t>
      </w:r>
      <w:r>
        <w:rPr>
          <w:rFonts w:hint="eastAsia"/>
          <w:color w:val="auto"/>
          <w:highlight w:val="none"/>
          <w:u w:val="none" w:color="auto"/>
          <w:lang w:eastAsia="zh-CN"/>
        </w:rPr>
        <w:t>月1日实施；</w:t>
      </w:r>
    </w:p>
    <w:p w14:paraId="20959FAD">
      <w:pPr>
        <w:rPr>
          <w:rFonts w:hint="eastAsia"/>
          <w:color w:val="auto"/>
          <w:highlight w:val="none"/>
          <w:u w:val="none" w:color="auto"/>
          <w:lang w:eastAsia="zh-CN"/>
        </w:rPr>
      </w:pPr>
      <w:r>
        <w:rPr>
          <w:rFonts w:hint="eastAsia"/>
          <w:color w:val="auto"/>
          <w:highlight w:val="none"/>
          <w:u w:val="none" w:color="auto"/>
          <w:lang w:eastAsia="zh-CN"/>
        </w:rPr>
        <w:t>（19）《关于印发&lt;企业事业单位突发环境事件应急预案备案管理办法（试行）&gt;的通知》（环发〔2015〕4号，2015年1月8日）；</w:t>
      </w:r>
    </w:p>
    <w:p w14:paraId="355A3977">
      <w:pPr>
        <w:rPr>
          <w:rFonts w:hint="eastAsia"/>
          <w:color w:val="auto"/>
          <w:highlight w:val="none"/>
          <w:u w:val="none" w:color="auto"/>
          <w:lang w:eastAsia="zh-CN"/>
        </w:rPr>
      </w:pPr>
      <w:r>
        <w:rPr>
          <w:rFonts w:hint="eastAsia"/>
          <w:color w:val="auto"/>
          <w:highlight w:val="none"/>
          <w:u w:val="none" w:color="auto"/>
          <w:lang w:eastAsia="zh-CN"/>
        </w:rPr>
        <w:t>（20）《关于进一步加强环境影响评价管理防范环境风险的通知》，环发〔2012〕77号，国家环保部，2012年7月3日；</w:t>
      </w:r>
    </w:p>
    <w:p w14:paraId="4FFE727E">
      <w:pPr>
        <w:rPr>
          <w:rFonts w:hint="eastAsia"/>
          <w:color w:val="auto"/>
          <w:highlight w:val="none"/>
          <w:u w:val="none" w:color="auto"/>
          <w:lang w:eastAsia="zh-CN"/>
        </w:rPr>
      </w:pPr>
      <w:r>
        <w:rPr>
          <w:rFonts w:hint="eastAsia"/>
          <w:color w:val="auto"/>
          <w:highlight w:val="none"/>
          <w:u w:val="none" w:color="auto"/>
          <w:lang w:eastAsia="zh-CN"/>
        </w:rPr>
        <w:t>（21）《关于切实加强风险防范严格环境影响评价管理的通知》，环发〔2012〕98号，2012年8月8日；</w:t>
      </w:r>
    </w:p>
    <w:p w14:paraId="30A3A60B">
      <w:pPr>
        <w:rPr>
          <w:rFonts w:hint="eastAsia"/>
          <w:color w:val="auto"/>
          <w:highlight w:val="none"/>
          <w:u w:val="none" w:color="auto"/>
          <w:lang w:eastAsia="zh-CN"/>
        </w:rPr>
      </w:pPr>
      <w:r>
        <w:rPr>
          <w:rFonts w:hint="eastAsia"/>
          <w:color w:val="auto"/>
          <w:highlight w:val="none"/>
          <w:u w:val="none" w:color="auto"/>
          <w:lang w:eastAsia="zh-CN"/>
        </w:rPr>
        <w:t>（22）《危险化学品安全管理条例》（国务院第591号令，2011年3月）；</w:t>
      </w:r>
    </w:p>
    <w:p w14:paraId="24D4F1CD">
      <w:pPr>
        <w:rPr>
          <w:rFonts w:hint="eastAsia"/>
          <w:color w:val="auto"/>
          <w:highlight w:val="none"/>
          <w:u w:val="none" w:color="auto"/>
          <w:lang w:eastAsia="zh-CN"/>
        </w:rPr>
      </w:pPr>
      <w:r>
        <w:rPr>
          <w:rFonts w:hint="eastAsia"/>
          <w:color w:val="auto"/>
          <w:highlight w:val="none"/>
          <w:u w:val="none" w:color="auto"/>
          <w:lang w:eastAsia="zh-CN"/>
        </w:rPr>
        <w:t>（23）《危险化学品目录》（2022版）；</w:t>
      </w:r>
    </w:p>
    <w:p w14:paraId="0469218F">
      <w:pPr>
        <w:rPr>
          <w:rFonts w:hint="eastAsia"/>
          <w:color w:val="auto"/>
          <w:highlight w:val="none"/>
          <w:u w:val="none" w:color="auto"/>
          <w:lang w:eastAsia="zh-CN"/>
        </w:rPr>
      </w:pPr>
      <w:r>
        <w:rPr>
          <w:rFonts w:hint="eastAsia"/>
          <w:color w:val="auto"/>
          <w:highlight w:val="none"/>
          <w:u w:val="none" w:color="auto"/>
          <w:lang w:eastAsia="zh-CN"/>
        </w:rPr>
        <w:t>（24）《国家危险废物名录》（202</w:t>
      </w:r>
      <w:r>
        <w:rPr>
          <w:rFonts w:hint="eastAsia"/>
          <w:color w:val="auto"/>
          <w:highlight w:val="none"/>
          <w:u w:val="none" w:color="auto"/>
          <w:lang w:val="en-US" w:eastAsia="zh-CN"/>
        </w:rPr>
        <w:t>5年</w:t>
      </w:r>
      <w:r>
        <w:rPr>
          <w:rFonts w:hint="eastAsia"/>
          <w:color w:val="auto"/>
          <w:highlight w:val="none"/>
          <w:u w:val="none" w:color="auto"/>
          <w:lang w:eastAsia="zh-CN"/>
        </w:rPr>
        <w:t>版），202</w:t>
      </w:r>
      <w:r>
        <w:rPr>
          <w:rFonts w:hint="eastAsia"/>
          <w:color w:val="auto"/>
          <w:highlight w:val="none"/>
          <w:u w:val="none" w:color="auto"/>
          <w:lang w:val="en-US" w:eastAsia="zh-CN"/>
        </w:rPr>
        <w:t>5</w:t>
      </w:r>
      <w:r>
        <w:rPr>
          <w:rFonts w:hint="eastAsia"/>
          <w:color w:val="auto"/>
          <w:highlight w:val="none"/>
          <w:u w:val="none" w:color="auto"/>
          <w:lang w:eastAsia="zh-CN"/>
        </w:rPr>
        <w:t>年1月1日起施行；</w:t>
      </w:r>
    </w:p>
    <w:p w14:paraId="33BA1A2D">
      <w:pPr>
        <w:rPr>
          <w:rFonts w:hint="eastAsia"/>
          <w:color w:val="auto"/>
          <w:highlight w:val="none"/>
          <w:u w:val="none" w:color="auto"/>
          <w:lang w:eastAsia="zh-CN"/>
        </w:rPr>
      </w:pPr>
      <w:r>
        <w:rPr>
          <w:rFonts w:hint="eastAsia"/>
          <w:color w:val="auto"/>
          <w:highlight w:val="none"/>
          <w:u w:val="none" w:color="auto"/>
          <w:lang w:eastAsia="zh-CN"/>
        </w:rPr>
        <w:t>（25）《危险废物转移管理办法》（生态环境部、公安部、交通运输部令第23号，公布自2022年1月1日起施行）；</w:t>
      </w:r>
    </w:p>
    <w:p w14:paraId="26CEC9D3">
      <w:pPr>
        <w:rPr>
          <w:rFonts w:hint="eastAsia"/>
          <w:color w:val="auto"/>
          <w:highlight w:val="none"/>
          <w:u w:val="none" w:color="auto"/>
          <w:lang w:eastAsia="zh-CN"/>
        </w:rPr>
      </w:pPr>
      <w:r>
        <w:rPr>
          <w:rFonts w:hint="eastAsia"/>
          <w:color w:val="auto"/>
          <w:highlight w:val="none"/>
          <w:u w:val="none" w:color="auto"/>
          <w:lang w:eastAsia="zh-CN"/>
        </w:rPr>
        <w:t>（2</w:t>
      </w:r>
      <w:r>
        <w:rPr>
          <w:rFonts w:hint="eastAsia"/>
          <w:color w:val="auto"/>
          <w:highlight w:val="none"/>
          <w:u w:val="none" w:color="auto"/>
          <w:lang w:val="en-US" w:eastAsia="zh-CN"/>
        </w:rPr>
        <w:t>6</w:t>
      </w:r>
      <w:r>
        <w:rPr>
          <w:rFonts w:hint="eastAsia"/>
          <w:color w:val="auto"/>
          <w:highlight w:val="none"/>
          <w:u w:val="none" w:color="auto"/>
          <w:lang w:eastAsia="zh-CN"/>
        </w:rPr>
        <w:t>）《部分工业行业淘汰落后生产工艺装备和产品指导目录》（工信部</w:t>
      </w:r>
      <w:r>
        <w:rPr>
          <w:rFonts w:hint="eastAsia" w:ascii="宋体" w:hAnsi="宋体" w:eastAsia="宋体" w:cs="宋体"/>
          <w:color w:val="auto"/>
          <w:highlight w:val="none"/>
          <w:u w:val="none" w:color="auto"/>
          <w:lang w:eastAsia="zh-CN"/>
        </w:rPr>
        <w:t>〔</w:t>
      </w:r>
      <w:r>
        <w:rPr>
          <w:rFonts w:hint="eastAsia"/>
          <w:color w:val="auto"/>
          <w:highlight w:val="none"/>
          <w:u w:val="none" w:color="auto"/>
          <w:lang w:eastAsia="zh-CN"/>
        </w:rPr>
        <w:t>2010</w:t>
      </w:r>
      <w:r>
        <w:rPr>
          <w:rFonts w:hint="eastAsia" w:ascii="宋体" w:hAnsi="宋体" w:eastAsia="宋体" w:cs="宋体"/>
          <w:color w:val="auto"/>
          <w:highlight w:val="none"/>
          <w:u w:val="none" w:color="auto"/>
          <w:lang w:eastAsia="zh-CN"/>
        </w:rPr>
        <w:t>〕</w:t>
      </w:r>
      <w:r>
        <w:rPr>
          <w:rFonts w:hint="eastAsia"/>
          <w:color w:val="auto"/>
          <w:highlight w:val="none"/>
          <w:u w:val="none" w:color="auto"/>
          <w:lang w:eastAsia="zh-CN"/>
        </w:rPr>
        <w:t>122号）；</w:t>
      </w:r>
    </w:p>
    <w:p w14:paraId="3F8E2371">
      <w:pPr>
        <w:rPr>
          <w:rFonts w:hint="eastAsia"/>
          <w:color w:val="auto"/>
          <w:highlight w:val="none"/>
          <w:u w:val="none" w:color="auto"/>
          <w:lang w:eastAsia="zh-CN"/>
        </w:rPr>
      </w:pPr>
      <w:r>
        <w:rPr>
          <w:rFonts w:hint="eastAsia"/>
          <w:color w:val="auto"/>
          <w:highlight w:val="none"/>
          <w:u w:val="none" w:color="auto"/>
          <w:lang w:eastAsia="zh-CN"/>
        </w:rPr>
        <w:t>（2</w:t>
      </w:r>
      <w:r>
        <w:rPr>
          <w:rFonts w:hint="eastAsia"/>
          <w:color w:val="auto"/>
          <w:highlight w:val="none"/>
          <w:u w:val="none" w:color="auto"/>
          <w:lang w:val="en-US" w:eastAsia="zh-CN"/>
        </w:rPr>
        <w:t>7</w:t>
      </w:r>
      <w:r>
        <w:rPr>
          <w:rFonts w:hint="eastAsia"/>
          <w:color w:val="auto"/>
          <w:highlight w:val="none"/>
          <w:u w:val="none" w:color="auto"/>
          <w:lang w:eastAsia="zh-CN"/>
        </w:rPr>
        <w:t>）《关于做好环境影响评价制度与排污许可制衔接相关工作的通知》（环办环评</w:t>
      </w:r>
      <w:r>
        <w:rPr>
          <w:rFonts w:hint="eastAsia" w:ascii="宋体" w:hAnsi="宋体" w:eastAsia="宋体" w:cs="宋体"/>
          <w:color w:val="auto"/>
          <w:highlight w:val="none"/>
          <w:u w:val="none" w:color="auto"/>
          <w:lang w:eastAsia="zh-CN"/>
        </w:rPr>
        <w:t>〔</w:t>
      </w:r>
      <w:r>
        <w:rPr>
          <w:rFonts w:hint="eastAsia"/>
          <w:color w:val="auto"/>
          <w:highlight w:val="none"/>
          <w:u w:val="none" w:color="auto"/>
          <w:lang w:eastAsia="zh-CN"/>
        </w:rPr>
        <w:t>2017</w:t>
      </w:r>
      <w:r>
        <w:rPr>
          <w:rFonts w:hint="eastAsia" w:ascii="宋体" w:hAnsi="宋体" w:eastAsia="宋体" w:cs="宋体"/>
          <w:color w:val="auto"/>
          <w:highlight w:val="none"/>
          <w:u w:val="none" w:color="auto"/>
          <w:lang w:eastAsia="zh-CN"/>
        </w:rPr>
        <w:t>〕</w:t>
      </w:r>
      <w:r>
        <w:rPr>
          <w:rFonts w:hint="eastAsia"/>
          <w:color w:val="auto"/>
          <w:highlight w:val="none"/>
          <w:u w:val="none" w:color="auto"/>
          <w:lang w:eastAsia="zh-CN"/>
        </w:rPr>
        <w:t>84号）；</w:t>
      </w:r>
    </w:p>
    <w:p w14:paraId="7889BCF1">
      <w:pPr>
        <w:rPr>
          <w:rFonts w:hint="eastAsia"/>
          <w:color w:val="auto"/>
          <w:highlight w:val="none"/>
          <w:u w:val="none" w:color="auto"/>
          <w:lang w:eastAsia="zh-CN"/>
        </w:rPr>
      </w:pPr>
      <w:r>
        <w:rPr>
          <w:rFonts w:hint="eastAsia"/>
          <w:color w:val="auto"/>
          <w:highlight w:val="none"/>
          <w:u w:val="none" w:color="auto"/>
          <w:lang w:eastAsia="zh-CN"/>
        </w:rPr>
        <w:t>（2</w:t>
      </w:r>
      <w:r>
        <w:rPr>
          <w:rFonts w:hint="eastAsia"/>
          <w:color w:val="auto"/>
          <w:highlight w:val="none"/>
          <w:u w:val="none" w:color="auto"/>
          <w:lang w:val="en-US" w:eastAsia="zh-CN"/>
        </w:rPr>
        <w:t>8</w:t>
      </w:r>
      <w:r>
        <w:rPr>
          <w:rFonts w:hint="eastAsia"/>
          <w:color w:val="auto"/>
          <w:highlight w:val="none"/>
          <w:u w:val="none" w:color="auto"/>
          <w:lang w:eastAsia="zh-CN"/>
        </w:rPr>
        <w:t>）《排污许可管理办法（试行）》（2018年1月10日环境保护部令第48号公布，2019年8月22日修改）；</w:t>
      </w:r>
    </w:p>
    <w:p w14:paraId="3758C7FC">
      <w:pPr>
        <w:rPr>
          <w:rFonts w:hint="eastAsia"/>
          <w:color w:val="auto"/>
          <w:highlight w:val="none"/>
          <w:u w:val="none" w:color="auto"/>
          <w:lang w:eastAsia="zh-CN"/>
        </w:rPr>
      </w:pPr>
      <w:r>
        <w:rPr>
          <w:rFonts w:hint="eastAsia"/>
          <w:color w:val="auto"/>
          <w:highlight w:val="none"/>
          <w:u w:val="none" w:color="auto"/>
          <w:lang w:eastAsia="zh-CN"/>
        </w:rPr>
        <w:t>（</w:t>
      </w:r>
      <w:r>
        <w:rPr>
          <w:rFonts w:hint="eastAsia"/>
          <w:color w:val="auto"/>
          <w:highlight w:val="none"/>
          <w:u w:val="none" w:color="auto"/>
          <w:lang w:val="en-US" w:eastAsia="zh-CN"/>
        </w:rPr>
        <w:t>29</w:t>
      </w:r>
      <w:r>
        <w:rPr>
          <w:rFonts w:hint="eastAsia"/>
          <w:color w:val="auto"/>
          <w:highlight w:val="none"/>
          <w:u w:val="none" w:color="auto"/>
          <w:lang w:eastAsia="zh-CN"/>
        </w:rPr>
        <w:t>）《危险化学品生产企业安全生产许可证实施办法》（安全监管总局令第41号）；</w:t>
      </w:r>
    </w:p>
    <w:p w14:paraId="1DFAD33F">
      <w:pPr>
        <w:rPr>
          <w:rFonts w:hint="eastAsia"/>
          <w:color w:val="auto"/>
          <w:highlight w:val="none"/>
          <w:u w:val="none" w:color="auto"/>
          <w:lang w:eastAsia="zh-CN"/>
        </w:rPr>
      </w:pPr>
      <w:r>
        <w:rPr>
          <w:rFonts w:hint="eastAsia"/>
          <w:color w:val="auto"/>
          <w:highlight w:val="none"/>
          <w:u w:val="none" w:color="auto"/>
          <w:lang w:eastAsia="zh-CN"/>
        </w:rPr>
        <w:t>（3</w:t>
      </w:r>
      <w:r>
        <w:rPr>
          <w:rFonts w:hint="eastAsia"/>
          <w:color w:val="auto"/>
          <w:highlight w:val="none"/>
          <w:u w:val="none" w:color="auto"/>
          <w:lang w:val="en-US" w:eastAsia="zh-CN"/>
        </w:rPr>
        <w:t>0</w:t>
      </w:r>
      <w:r>
        <w:rPr>
          <w:rFonts w:hint="eastAsia"/>
          <w:color w:val="auto"/>
          <w:highlight w:val="none"/>
          <w:u w:val="none" w:color="auto"/>
          <w:lang w:eastAsia="zh-CN"/>
        </w:rPr>
        <w:t>）《关于加强涉重金属行业污染防控的意见》（环土壤〔2018〕22号，2018年4月16日）；</w:t>
      </w:r>
    </w:p>
    <w:p w14:paraId="247A4DD0">
      <w:pPr>
        <w:rPr>
          <w:rFonts w:hint="eastAsia"/>
          <w:highlight w:val="none"/>
          <w:lang w:val="en-US" w:eastAsia="zh-CN"/>
        </w:rPr>
      </w:pPr>
      <w:r>
        <w:rPr>
          <w:rFonts w:hint="eastAsia"/>
          <w:color w:val="auto"/>
          <w:highlight w:val="none"/>
          <w:u w:val="none" w:color="auto"/>
          <w:lang w:eastAsia="zh-CN"/>
        </w:rPr>
        <w:t>（3</w:t>
      </w:r>
      <w:r>
        <w:rPr>
          <w:rFonts w:hint="eastAsia"/>
          <w:color w:val="auto"/>
          <w:highlight w:val="none"/>
          <w:u w:val="none" w:color="auto"/>
          <w:lang w:val="en-US" w:eastAsia="zh-CN"/>
        </w:rPr>
        <w:t>1</w:t>
      </w:r>
      <w:r>
        <w:rPr>
          <w:rFonts w:hint="eastAsia"/>
          <w:color w:val="auto"/>
          <w:highlight w:val="none"/>
          <w:u w:val="none" w:color="auto"/>
          <w:lang w:eastAsia="zh-CN"/>
        </w:rPr>
        <w:t>）《长江经济带生态环境保护规划》（环规财〔2017〕88号，2017年7月17日）。</w:t>
      </w:r>
    </w:p>
    <w:p w14:paraId="34B613C5">
      <w:pPr>
        <w:pStyle w:val="9"/>
        <w:numPr>
          <w:ilvl w:val="2"/>
          <w:numId w:val="1"/>
        </w:numPr>
        <w:bidi w:val="0"/>
        <w:ind w:left="709" w:leftChars="0" w:hanging="709" w:firstLineChars="0"/>
        <w:rPr>
          <w:rFonts w:hint="eastAsia"/>
          <w:highlight w:val="none"/>
          <w:lang w:val="en-US" w:eastAsia="zh-CN"/>
        </w:rPr>
      </w:pPr>
      <w:r>
        <w:rPr>
          <w:rFonts w:hint="eastAsia"/>
          <w:highlight w:val="none"/>
          <w:lang w:val="en-US" w:eastAsia="zh-CN"/>
        </w:rPr>
        <w:t>相关地方性法规及规范性文件</w:t>
      </w:r>
    </w:p>
    <w:p w14:paraId="7A02947F">
      <w:pPr>
        <w:rPr>
          <w:rFonts w:hint="eastAsia"/>
          <w:highlight w:val="none"/>
          <w:lang w:val="en-US" w:eastAsia="zh-CN"/>
        </w:rPr>
      </w:pPr>
      <w:r>
        <w:rPr>
          <w:rFonts w:hint="eastAsia"/>
          <w:highlight w:val="none"/>
          <w:lang w:val="en-US" w:eastAsia="zh-CN"/>
        </w:rPr>
        <w:t>（1）《湖南省环境保护条例》，2025年7月31日湖南省第十四届人民代表大会常务委员会第十七次会议修订，2025年7月31日实施；</w:t>
      </w:r>
    </w:p>
    <w:p w14:paraId="73248EBF">
      <w:pPr>
        <w:rPr>
          <w:rFonts w:hint="eastAsia"/>
          <w:highlight w:val="none"/>
          <w:lang w:val="en-US" w:eastAsia="zh-CN"/>
        </w:rPr>
      </w:pPr>
      <w:r>
        <w:rPr>
          <w:rFonts w:hint="eastAsia"/>
          <w:highlight w:val="none"/>
          <w:lang w:val="en-US" w:eastAsia="zh-CN"/>
        </w:rPr>
        <w:t>（2）《湖南省大气污染防治条例》，湖南省第十三届人民代表大会常委会第十八次会议通过，2020年6月12日起施行；</w:t>
      </w:r>
    </w:p>
    <w:p w14:paraId="770F6DDA">
      <w:pPr>
        <w:rPr>
          <w:rFonts w:hint="eastAsia"/>
          <w:highlight w:val="none"/>
          <w:lang w:val="en-US" w:eastAsia="zh-CN"/>
        </w:rPr>
      </w:pPr>
      <w:r>
        <w:rPr>
          <w:rFonts w:hint="eastAsia"/>
          <w:highlight w:val="none"/>
          <w:lang w:val="en-US" w:eastAsia="zh-CN"/>
        </w:rPr>
        <w:t>（3）《湖南省建设项目环境保护管理办法》（湖南省人民政府令第215号），2007年10月1日起施行；</w:t>
      </w:r>
    </w:p>
    <w:p w14:paraId="3F6639CC">
      <w:pPr>
        <w:rPr>
          <w:rFonts w:hint="eastAsia"/>
          <w:highlight w:val="none"/>
          <w:lang w:val="en-US" w:eastAsia="zh-CN"/>
        </w:rPr>
      </w:pPr>
      <w:r>
        <w:rPr>
          <w:rFonts w:hint="eastAsia"/>
          <w:highlight w:val="none"/>
          <w:lang w:val="en-US" w:eastAsia="zh-CN"/>
        </w:rPr>
        <w:t>（4）《湖南省主体功能区划》（湘政发</w:t>
      </w:r>
      <w:r>
        <w:rPr>
          <w:rFonts w:hint="eastAsia" w:ascii="宋体" w:hAnsi="宋体" w:eastAsia="宋体" w:cs="宋体"/>
          <w:highlight w:val="none"/>
          <w:lang w:val="en-US" w:eastAsia="zh-CN"/>
        </w:rPr>
        <w:t>〔</w:t>
      </w:r>
      <w:r>
        <w:rPr>
          <w:rFonts w:hint="eastAsia"/>
          <w:highlight w:val="none"/>
          <w:lang w:val="en-US" w:eastAsia="zh-CN"/>
        </w:rPr>
        <w:t>2012</w:t>
      </w:r>
      <w:r>
        <w:rPr>
          <w:rFonts w:hint="eastAsia" w:ascii="宋体" w:hAnsi="宋体" w:eastAsia="宋体" w:cs="宋体"/>
          <w:highlight w:val="none"/>
          <w:lang w:val="en-US" w:eastAsia="zh-CN"/>
        </w:rPr>
        <w:t>〕</w:t>
      </w:r>
      <w:r>
        <w:rPr>
          <w:rFonts w:hint="eastAsia"/>
          <w:highlight w:val="none"/>
          <w:lang w:val="en-US" w:eastAsia="zh-CN"/>
        </w:rPr>
        <w:t>39号），2012年11月17日；</w:t>
      </w:r>
    </w:p>
    <w:p w14:paraId="080F2BAB">
      <w:pPr>
        <w:rPr>
          <w:rFonts w:hint="eastAsia"/>
          <w:highlight w:val="none"/>
          <w:lang w:val="en-US" w:eastAsia="zh-CN"/>
        </w:rPr>
      </w:pPr>
      <w:r>
        <w:rPr>
          <w:rFonts w:hint="eastAsia"/>
          <w:highlight w:val="none"/>
          <w:lang w:val="en-US" w:eastAsia="zh-CN"/>
        </w:rPr>
        <w:t>（5）《湖南省人民政府关于印发&lt;湖南省生态保护红线&gt;的通知》（湘政发</w:t>
      </w:r>
      <w:r>
        <w:rPr>
          <w:rFonts w:hint="eastAsia" w:ascii="宋体" w:hAnsi="宋体" w:eastAsia="宋体" w:cs="宋体"/>
          <w:highlight w:val="none"/>
          <w:lang w:val="en-US" w:eastAsia="zh-CN"/>
        </w:rPr>
        <w:t>〔</w:t>
      </w:r>
      <w:r>
        <w:rPr>
          <w:rFonts w:hint="eastAsia"/>
          <w:highlight w:val="none"/>
          <w:lang w:val="en-US" w:eastAsia="zh-CN"/>
        </w:rPr>
        <w:t>2018</w:t>
      </w:r>
      <w:r>
        <w:rPr>
          <w:rFonts w:hint="eastAsia" w:ascii="宋体" w:hAnsi="宋体" w:eastAsia="宋体" w:cs="宋体"/>
          <w:highlight w:val="none"/>
          <w:lang w:val="en-US" w:eastAsia="zh-CN"/>
        </w:rPr>
        <w:t>〕</w:t>
      </w:r>
      <w:r>
        <w:rPr>
          <w:rFonts w:hint="eastAsia"/>
          <w:highlight w:val="none"/>
          <w:lang w:val="en-US" w:eastAsia="zh-CN"/>
        </w:rPr>
        <w:t>20号），2018年7月25日；</w:t>
      </w:r>
    </w:p>
    <w:p w14:paraId="51556671">
      <w:pPr>
        <w:rPr>
          <w:rFonts w:hint="eastAsia"/>
          <w:highlight w:val="none"/>
          <w:lang w:val="en-US" w:eastAsia="zh-CN"/>
        </w:rPr>
      </w:pPr>
      <w:r>
        <w:rPr>
          <w:rFonts w:hint="eastAsia"/>
          <w:highlight w:val="none"/>
          <w:lang w:val="en-US" w:eastAsia="zh-CN"/>
        </w:rPr>
        <w:t>（6）湖南省人民政府关于印发《湖南省土壤污染防治工作方案》的通知（湘政发</w:t>
      </w:r>
      <w:r>
        <w:rPr>
          <w:rFonts w:hint="eastAsia" w:ascii="宋体" w:hAnsi="宋体" w:eastAsia="宋体" w:cs="宋体"/>
          <w:highlight w:val="none"/>
          <w:lang w:val="en-US" w:eastAsia="zh-CN"/>
        </w:rPr>
        <w:t>〔</w:t>
      </w:r>
      <w:r>
        <w:rPr>
          <w:rFonts w:hint="eastAsia"/>
          <w:highlight w:val="none"/>
          <w:lang w:val="en-US" w:eastAsia="zh-CN"/>
        </w:rPr>
        <w:t>2017</w:t>
      </w:r>
      <w:r>
        <w:rPr>
          <w:rFonts w:hint="eastAsia" w:ascii="宋体" w:hAnsi="宋体" w:eastAsia="宋体" w:cs="宋体"/>
          <w:highlight w:val="none"/>
          <w:lang w:val="en-US" w:eastAsia="zh-CN"/>
        </w:rPr>
        <w:t>〕</w:t>
      </w:r>
      <w:r>
        <w:rPr>
          <w:rFonts w:hint="eastAsia"/>
          <w:highlight w:val="none"/>
          <w:lang w:val="en-US" w:eastAsia="zh-CN"/>
        </w:rPr>
        <w:t>4号），2017年1月23日；</w:t>
      </w:r>
    </w:p>
    <w:p w14:paraId="2001ACA4">
      <w:pPr>
        <w:rPr>
          <w:rFonts w:hint="eastAsia"/>
          <w:highlight w:val="none"/>
          <w:lang w:val="en-US" w:eastAsia="zh-CN"/>
        </w:rPr>
      </w:pPr>
      <w:r>
        <w:rPr>
          <w:rFonts w:hint="eastAsia"/>
          <w:highlight w:val="none"/>
          <w:lang w:val="en-US" w:eastAsia="zh-CN"/>
        </w:rPr>
        <w:t>（7）《湖南省实施&lt;中华人民共和国土壤污染防治法&gt;办法》，2020年7月1日施行；</w:t>
      </w:r>
    </w:p>
    <w:p w14:paraId="1A818388">
      <w:pPr>
        <w:rPr>
          <w:rFonts w:hint="eastAsia"/>
          <w:highlight w:val="none"/>
          <w:lang w:val="en-US" w:eastAsia="zh-CN"/>
        </w:rPr>
      </w:pPr>
      <w:r>
        <w:rPr>
          <w:rFonts w:hint="eastAsia"/>
          <w:highlight w:val="none"/>
          <w:lang w:val="en-US" w:eastAsia="zh-CN"/>
        </w:rPr>
        <w:t>（8）湖南省环境保护厅印发《湖南省“十四五”固体废物环境管理规划》的通知（湘环发</w:t>
      </w:r>
      <w:r>
        <w:rPr>
          <w:rFonts w:hint="eastAsia" w:ascii="宋体" w:hAnsi="宋体" w:eastAsia="宋体" w:cs="宋体"/>
          <w:highlight w:val="none"/>
          <w:lang w:val="en-US" w:eastAsia="zh-CN"/>
        </w:rPr>
        <w:t>〔</w:t>
      </w:r>
      <w:r>
        <w:rPr>
          <w:rFonts w:hint="eastAsia"/>
          <w:highlight w:val="none"/>
          <w:lang w:val="en-US" w:eastAsia="zh-CN"/>
        </w:rPr>
        <w:t>2021</w:t>
      </w:r>
      <w:r>
        <w:rPr>
          <w:rFonts w:hint="eastAsia" w:ascii="宋体" w:hAnsi="宋体" w:eastAsia="宋体" w:cs="宋体"/>
          <w:highlight w:val="none"/>
          <w:lang w:val="en-US" w:eastAsia="zh-CN"/>
        </w:rPr>
        <w:t>〕</w:t>
      </w:r>
      <w:r>
        <w:rPr>
          <w:rFonts w:hint="eastAsia"/>
          <w:highlight w:val="none"/>
          <w:lang w:val="en-US" w:eastAsia="zh-CN"/>
        </w:rPr>
        <w:t>52号），2021年12月；</w:t>
      </w:r>
    </w:p>
    <w:p w14:paraId="0FEAEB49">
      <w:pPr>
        <w:rPr>
          <w:rFonts w:hint="eastAsia"/>
          <w:highlight w:val="none"/>
          <w:lang w:val="en-US" w:eastAsia="zh-CN"/>
        </w:rPr>
      </w:pPr>
      <w:r>
        <w:rPr>
          <w:rFonts w:hint="eastAsia"/>
          <w:highlight w:val="none"/>
          <w:lang w:val="en-US" w:eastAsia="zh-CN"/>
        </w:rPr>
        <w:t>（9）湖南省人民政府办公厅关于印发《湖南省“十四五”生态环境保护规划》的通知（湘政办发</w:t>
      </w:r>
      <w:r>
        <w:rPr>
          <w:rFonts w:hint="eastAsia" w:ascii="宋体" w:hAnsi="宋体" w:eastAsia="宋体" w:cs="宋体"/>
          <w:highlight w:val="none"/>
          <w:lang w:val="en-US" w:eastAsia="zh-CN"/>
        </w:rPr>
        <w:t>〔</w:t>
      </w:r>
      <w:r>
        <w:rPr>
          <w:rFonts w:hint="eastAsia"/>
          <w:highlight w:val="none"/>
          <w:lang w:val="en-US" w:eastAsia="zh-CN"/>
        </w:rPr>
        <w:t>2021</w:t>
      </w:r>
      <w:r>
        <w:rPr>
          <w:rFonts w:hint="eastAsia" w:ascii="宋体" w:hAnsi="宋体" w:eastAsia="宋体" w:cs="宋体"/>
          <w:highlight w:val="none"/>
          <w:lang w:val="en-US" w:eastAsia="zh-CN"/>
        </w:rPr>
        <w:t>〕</w:t>
      </w:r>
      <w:r>
        <w:rPr>
          <w:rFonts w:hint="eastAsia"/>
          <w:highlight w:val="none"/>
          <w:lang w:val="en-US" w:eastAsia="zh-CN"/>
        </w:rPr>
        <w:t>61号）；</w:t>
      </w:r>
    </w:p>
    <w:p w14:paraId="18493DE4">
      <w:pPr>
        <w:rPr>
          <w:rFonts w:hint="eastAsia"/>
          <w:highlight w:val="none"/>
          <w:lang w:val="en-US" w:eastAsia="zh-CN"/>
        </w:rPr>
      </w:pPr>
      <w:r>
        <w:rPr>
          <w:rFonts w:hint="eastAsia"/>
          <w:highlight w:val="none"/>
          <w:lang w:val="en-US" w:eastAsia="zh-CN"/>
        </w:rPr>
        <w:t>（10）《湖南省国民经济和社会发展第十四个五年规划和二〇三五年远景目标纲要》；</w:t>
      </w:r>
    </w:p>
    <w:p w14:paraId="72CE2DAD">
      <w:pPr>
        <w:rPr>
          <w:rFonts w:hint="eastAsia"/>
          <w:highlight w:val="none"/>
          <w:lang w:val="en-US" w:eastAsia="zh-CN"/>
        </w:rPr>
      </w:pPr>
      <w:r>
        <w:rPr>
          <w:rFonts w:hint="eastAsia"/>
          <w:highlight w:val="none"/>
          <w:lang w:val="en-US" w:eastAsia="zh-CN"/>
        </w:rPr>
        <w:t>（11）《湖南省国家重点生态功能区产业准入负面清单（试行）》；</w:t>
      </w:r>
    </w:p>
    <w:p w14:paraId="20BD2854">
      <w:pPr>
        <w:rPr>
          <w:rFonts w:hint="eastAsia"/>
          <w:highlight w:val="none"/>
          <w:lang w:val="en-US" w:eastAsia="zh-CN"/>
        </w:rPr>
      </w:pPr>
      <w:r>
        <w:rPr>
          <w:rFonts w:hint="eastAsia"/>
          <w:highlight w:val="none"/>
          <w:lang w:val="en-US" w:eastAsia="zh-CN"/>
        </w:rPr>
        <w:t>（12）《湖南省人民政府办公厅关于印发&lt;湖南省突发环境事件应急预案&gt;的通知》（湘政办发</w:t>
      </w:r>
      <w:r>
        <w:rPr>
          <w:rFonts w:hint="eastAsia" w:ascii="宋体" w:hAnsi="宋体" w:eastAsia="宋体" w:cs="宋体"/>
          <w:highlight w:val="none"/>
          <w:lang w:val="en-US" w:eastAsia="zh-CN"/>
        </w:rPr>
        <w:t>〔</w:t>
      </w:r>
      <w:r>
        <w:rPr>
          <w:rFonts w:hint="eastAsia"/>
          <w:highlight w:val="none"/>
          <w:lang w:val="en-US" w:eastAsia="zh-CN"/>
        </w:rPr>
        <w:t>2018</w:t>
      </w:r>
      <w:r>
        <w:rPr>
          <w:rFonts w:hint="eastAsia" w:ascii="宋体" w:hAnsi="宋体" w:eastAsia="宋体" w:cs="宋体"/>
          <w:highlight w:val="none"/>
          <w:lang w:val="en-US" w:eastAsia="zh-CN"/>
        </w:rPr>
        <w:t>〕</w:t>
      </w:r>
      <w:r>
        <w:rPr>
          <w:rFonts w:hint="eastAsia"/>
          <w:highlight w:val="none"/>
          <w:lang w:val="en-US" w:eastAsia="zh-CN"/>
        </w:rPr>
        <w:t>2号），2018年1月；</w:t>
      </w:r>
    </w:p>
    <w:p w14:paraId="5FF8EDEB">
      <w:pPr>
        <w:rPr>
          <w:rFonts w:hint="eastAsia"/>
          <w:highlight w:val="none"/>
          <w:lang w:val="en-US" w:eastAsia="zh-CN"/>
        </w:rPr>
      </w:pPr>
      <w:r>
        <w:rPr>
          <w:rFonts w:hint="eastAsia"/>
          <w:highlight w:val="none"/>
          <w:lang w:val="en-US" w:eastAsia="zh-CN"/>
        </w:rPr>
        <w:t>（13）《关于加强涉危险废物单位规范化管理工作的通知》（湘环函</w:t>
      </w:r>
      <w:r>
        <w:rPr>
          <w:rFonts w:hint="eastAsia" w:ascii="宋体" w:hAnsi="宋体" w:eastAsia="宋体" w:cs="宋体"/>
          <w:highlight w:val="none"/>
          <w:lang w:val="en-US" w:eastAsia="zh-CN"/>
        </w:rPr>
        <w:t>〔</w:t>
      </w:r>
      <w:r>
        <w:rPr>
          <w:rFonts w:hint="eastAsia"/>
          <w:highlight w:val="none"/>
          <w:lang w:val="en-US" w:eastAsia="zh-CN"/>
        </w:rPr>
        <w:t>2014</w:t>
      </w:r>
      <w:r>
        <w:rPr>
          <w:rFonts w:hint="eastAsia" w:ascii="宋体" w:hAnsi="宋体" w:eastAsia="宋体" w:cs="宋体"/>
          <w:highlight w:val="none"/>
          <w:lang w:val="en-US" w:eastAsia="zh-CN"/>
        </w:rPr>
        <w:t>〕</w:t>
      </w:r>
      <w:r>
        <w:rPr>
          <w:rFonts w:hint="eastAsia"/>
          <w:highlight w:val="none"/>
          <w:lang w:val="en-US" w:eastAsia="zh-CN"/>
        </w:rPr>
        <w:t>533号），湖南省环境保护厅，2014年10月28日；</w:t>
      </w:r>
    </w:p>
    <w:p w14:paraId="5AFD4864">
      <w:pPr>
        <w:rPr>
          <w:rFonts w:hint="eastAsia"/>
          <w:highlight w:val="none"/>
          <w:lang w:val="en-US" w:eastAsia="zh-CN"/>
        </w:rPr>
      </w:pPr>
      <w:r>
        <w:rPr>
          <w:rFonts w:hint="eastAsia"/>
          <w:highlight w:val="none"/>
          <w:lang w:val="en-US" w:eastAsia="zh-CN"/>
        </w:rPr>
        <w:t>（14）湖南省推动长江经济带发展领导小组办公室关于印发《湖南省长江经济带发展负面清单实施细则（试行，2022版）》的通知，第70号；</w:t>
      </w:r>
    </w:p>
    <w:p w14:paraId="723FEE64">
      <w:pPr>
        <w:rPr>
          <w:rFonts w:hint="eastAsia"/>
          <w:highlight w:val="none"/>
          <w:lang w:val="en-US" w:eastAsia="zh-CN"/>
        </w:rPr>
      </w:pPr>
      <w:r>
        <w:rPr>
          <w:rFonts w:hint="eastAsia"/>
          <w:highlight w:val="none"/>
          <w:lang w:val="en-US" w:eastAsia="zh-CN"/>
        </w:rPr>
        <w:t>（15）《湖南省环境保护厅关于加强涉危险废物单位规范化管理工作的通知》，湖南省环保厅，2014年10月28日；</w:t>
      </w:r>
    </w:p>
    <w:p w14:paraId="7CE9A444">
      <w:pPr>
        <w:rPr>
          <w:rFonts w:hint="eastAsia"/>
          <w:highlight w:val="none"/>
          <w:lang w:val="en-US" w:eastAsia="zh-CN"/>
        </w:rPr>
      </w:pPr>
      <w:r>
        <w:rPr>
          <w:rFonts w:hint="eastAsia"/>
          <w:highlight w:val="none"/>
          <w:lang w:val="en-US" w:eastAsia="zh-CN"/>
        </w:rPr>
        <w:t>（16）《湖南省环境保护厅关于进一步加强环境影响评价监督管理工作的通知》（湘环发</w:t>
      </w:r>
      <w:r>
        <w:rPr>
          <w:rFonts w:hint="eastAsia" w:ascii="宋体" w:hAnsi="宋体" w:eastAsia="宋体" w:cs="宋体"/>
          <w:highlight w:val="none"/>
          <w:lang w:val="en-US" w:eastAsia="zh-CN"/>
        </w:rPr>
        <w:t>〔</w:t>
      </w:r>
      <w:r>
        <w:rPr>
          <w:rFonts w:hint="eastAsia"/>
          <w:highlight w:val="none"/>
          <w:lang w:val="en-US" w:eastAsia="zh-CN"/>
        </w:rPr>
        <w:t>2014</w:t>
      </w:r>
      <w:r>
        <w:rPr>
          <w:rFonts w:hint="eastAsia" w:ascii="宋体" w:hAnsi="宋体" w:eastAsia="宋体" w:cs="宋体"/>
          <w:highlight w:val="none"/>
          <w:lang w:val="en-US" w:eastAsia="zh-CN"/>
        </w:rPr>
        <w:t>〕</w:t>
      </w:r>
      <w:r>
        <w:rPr>
          <w:rFonts w:hint="eastAsia"/>
          <w:highlight w:val="none"/>
          <w:lang w:val="en-US" w:eastAsia="zh-CN"/>
        </w:rPr>
        <w:t>43号）；</w:t>
      </w:r>
    </w:p>
    <w:p w14:paraId="088A51BE">
      <w:pPr>
        <w:rPr>
          <w:rFonts w:hint="eastAsia"/>
          <w:highlight w:val="none"/>
          <w:lang w:val="en-US" w:eastAsia="zh-CN"/>
        </w:rPr>
      </w:pPr>
      <w:r>
        <w:rPr>
          <w:rFonts w:hint="eastAsia"/>
          <w:highlight w:val="none"/>
          <w:lang w:val="en-US" w:eastAsia="zh-CN"/>
        </w:rPr>
        <w:t>（17）《湖南省主要水系地表水环境功能区划》（DB43/023-2005），2005年4月1日；</w:t>
      </w:r>
    </w:p>
    <w:p w14:paraId="7B3C56F3">
      <w:pPr>
        <w:rPr>
          <w:rFonts w:hint="eastAsia"/>
          <w:highlight w:val="none"/>
          <w:lang w:val="en-US" w:eastAsia="zh-CN"/>
        </w:rPr>
      </w:pPr>
      <w:r>
        <w:rPr>
          <w:rFonts w:hint="eastAsia"/>
          <w:highlight w:val="none"/>
          <w:lang w:val="en-US" w:eastAsia="zh-CN"/>
        </w:rPr>
        <w:t>（18）《湖南省饮用水水源保护条例》（2017年11月）；</w:t>
      </w:r>
    </w:p>
    <w:p w14:paraId="51E73F7D">
      <w:pPr>
        <w:rPr>
          <w:rFonts w:hint="eastAsia"/>
          <w:highlight w:val="none"/>
          <w:lang w:val="en-US" w:eastAsia="zh-CN"/>
        </w:rPr>
      </w:pPr>
      <w:r>
        <w:rPr>
          <w:rFonts w:hint="eastAsia"/>
          <w:highlight w:val="none"/>
          <w:lang w:val="en-US" w:eastAsia="zh-CN"/>
        </w:rPr>
        <w:t>（19）《湖南省人民政府关于公布湖南省县级以上地表水集中式饮用水源保护区划定方案的通知》，湘政函</w:t>
      </w:r>
      <w:r>
        <w:rPr>
          <w:rFonts w:hint="eastAsia" w:ascii="宋体" w:hAnsi="宋体" w:eastAsia="宋体" w:cs="宋体"/>
          <w:highlight w:val="none"/>
          <w:lang w:val="en-US" w:eastAsia="zh-CN"/>
        </w:rPr>
        <w:t>〔</w:t>
      </w:r>
      <w:r>
        <w:rPr>
          <w:rFonts w:hint="eastAsia"/>
          <w:highlight w:val="none"/>
          <w:lang w:val="en-US" w:eastAsia="zh-CN"/>
        </w:rPr>
        <w:t>2016</w:t>
      </w:r>
      <w:r>
        <w:rPr>
          <w:rFonts w:hint="eastAsia" w:ascii="宋体" w:hAnsi="宋体" w:eastAsia="宋体" w:cs="宋体"/>
          <w:highlight w:val="none"/>
          <w:lang w:val="en-US" w:eastAsia="zh-CN"/>
        </w:rPr>
        <w:t>〕</w:t>
      </w:r>
      <w:r>
        <w:rPr>
          <w:rFonts w:hint="eastAsia"/>
          <w:highlight w:val="none"/>
          <w:lang w:val="en-US" w:eastAsia="zh-CN"/>
        </w:rPr>
        <w:t>176号；</w:t>
      </w:r>
    </w:p>
    <w:p w14:paraId="7ADB7149">
      <w:pPr>
        <w:rPr>
          <w:rFonts w:hint="eastAsia"/>
          <w:highlight w:val="none"/>
          <w:lang w:val="en-US" w:eastAsia="zh-CN"/>
        </w:rPr>
      </w:pPr>
      <w:r>
        <w:rPr>
          <w:rFonts w:hint="eastAsia"/>
          <w:highlight w:val="none"/>
          <w:lang w:val="en-US" w:eastAsia="zh-CN"/>
        </w:rPr>
        <w:t>（20）《湖南省生态环境厅关于划定全省第三批141处乡镇级千吨万人饮用水水源保护区的复函》（湘环函</w:t>
      </w:r>
      <w:r>
        <w:rPr>
          <w:rFonts w:hint="eastAsia" w:ascii="宋体" w:hAnsi="宋体" w:eastAsia="宋体" w:cs="宋体"/>
          <w:highlight w:val="none"/>
          <w:lang w:val="en-US" w:eastAsia="zh-CN"/>
        </w:rPr>
        <w:t>〔</w:t>
      </w:r>
      <w:r>
        <w:rPr>
          <w:rFonts w:hint="eastAsia"/>
          <w:highlight w:val="none"/>
          <w:lang w:val="en-US" w:eastAsia="zh-CN"/>
        </w:rPr>
        <w:t>2019</w:t>
      </w:r>
      <w:r>
        <w:rPr>
          <w:rFonts w:hint="eastAsia" w:ascii="宋体" w:hAnsi="宋体" w:eastAsia="宋体" w:cs="宋体"/>
          <w:highlight w:val="none"/>
          <w:lang w:val="en-US" w:eastAsia="zh-CN"/>
        </w:rPr>
        <w:t>〕</w:t>
      </w:r>
      <w:r>
        <w:rPr>
          <w:rFonts w:hint="eastAsia"/>
          <w:highlight w:val="none"/>
          <w:lang w:val="en-US" w:eastAsia="zh-CN"/>
        </w:rPr>
        <w:t>241号）；</w:t>
      </w:r>
    </w:p>
    <w:p w14:paraId="7289E89E">
      <w:pPr>
        <w:rPr>
          <w:rFonts w:hint="eastAsia"/>
          <w:highlight w:val="none"/>
          <w:lang w:val="en-US" w:eastAsia="zh-CN"/>
        </w:rPr>
      </w:pPr>
      <w:r>
        <w:rPr>
          <w:rFonts w:hint="eastAsia"/>
          <w:highlight w:val="none"/>
          <w:lang w:val="en-US" w:eastAsia="zh-CN"/>
        </w:rPr>
        <w:t>（21）《湖南省生态环境厅办公室关于印发我省“十四五”地表水省控断面和饮用水源考核目标的通知》（湘环办</w:t>
      </w:r>
      <w:r>
        <w:rPr>
          <w:rFonts w:hint="eastAsia" w:ascii="宋体" w:hAnsi="宋体" w:eastAsia="宋体" w:cs="宋体"/>
          <w:highlight w:val="none"/>
          <w:lang w:val="en-US" w:eastAsia="zh-CN"/>
        </w:rPr>
        <w:t>〔</w:t>
      </w:r>
      <w:r>
        <w:rPr>
          <w:rFonts w:hint="eastAsia"/>
          <w:highlight w:val="none"/>
          <w:lang w:val="en-US" w:eastAsia="zh-CN"/>
        </w:rPr>
        <w:t>2021</w:t>
      </w:r>
      <w:r>
        <w:rPr>
          <w:rFonts w:hint="eastAsia" w:ascii="宋体" w:hAnsi="宋体" w:eastAsia="宋体" w:cs="宋体"/>
          <w:highlight w:val="none"/>
          <w:lang w:val="en-US" w:eastAsia="zh-CN"/>
        </w:rPr>
        <w:t>〕</w:t>
      </w:r>
      <w:r>
        <w:rPr>
          <w:rFonts w:hint="eastAsia"/>
          <w:highlight w:val="none"/>
          <w:lang w:val="en-US" w:eastAsia="zh-CN"/>
        </w:rPr>
        <w:t>293号）；</w:t>
      </w:r>
    </w:p>
    <w:p w14:paraId="59F1EC51">
      <w:pPr>
        <w:rPr>
          <w:rFonts w:hint="eastAsia"/>
          <w:highlight w:val="none"/>
          <w:lang w:val="en-US" w:eastAsia="zh-CN"/>
        </w:rPr>
      </w:pPr>
      <w:r>
        <w:rPr>
          <w:rFonts w:hint="eastAsia"/>
          <w:highlight w:val="none"/>
          <w:lang w:val="en-US" w:eastAsia="zh-CN"/>
        </w:rPr>
        <w:t>（22）湖南省生态环境厅发布了关于发布《湖南省生态环境分区管控总体管控要求暨省级以上产业园区生态环境准入清单》的函（湘环函</w:t>
      </w:r>
      <w:r>
        <w:rPr>
          <w:rFonts w:hint="eastAsia" w:ascii="宋体" w:hAnsi="宋体" w:eastAsia="宋体" w:cs="宋体"/>
          <w:highlight w:val="none"/>
          <w:lang w:val="en-US" w:eastAsia="zh-CN"/>
        </w:rPr>
        <w:t>〔</w:t>
      </w:r>
      <w:r>
        <w:rPr>
          <w:rFonts w:hint="eastAsia"/>
          <w:highlight w:val="none"/>
          <w:lang w:val="en-US" w:eastAsia="zh-CN"/>
        </w:rPr>
        <w:t>2024</w:t>
      </w:r>
      <w:r>
        <w:rPr>
          <w:rFonts w:hint="eastAsia" w:ascii="宋体" w:hAnsi="宋体" w:eastAsia="宋体" w:cs="宋体"/>
          <w:highlight w:val="none"/>
          <w:lang w:val="en-US" w:eastAsia="zh-CN"/>
        </w:rPr>
        <w:t>〕</w:t>
      </w:r>
      <w:r>
        <w:rPr>
          <w:rFonts w:hint="eastAsia"/>
          <w:highlight w:val="none"/>
          <w:lang w:val="en-US" w:eastAsia="zh-CN"/>
        </w:rPr>
        <w:t>26号）；</w:t>
      </w:r>
    </w:p>
    <w:p w14:paraId="1421B4CA">
      <w:pPr>
        <w:rPr>
          <w:rFonts w:hint="eastAsia"/>
          <w:highlight w:val="none"/>
          <w:lang w:val="en-US" w:eastAsia="zh-CN"/>
        </w:rPr>
      </w:pPr>
      <w:r>
        <w:rPr>
          <w:rFonts w:hint="eastAsia"/>
          <w:highlight w:val="none"/>
          <w:lang w:val="en-US" w:eastAsia="zh-CN"/>
        </w:rPr>
        <w:t>（23）湖南省生态环境厅关于印发《湖南省“十四五”重金属污染防治规划》的通知（湘环发</w:t>
      </w:r>
      <w:r>
        <w:rPr>
          <w:rFonts w:hint="eastAsia" w:ascii="宋体" w:hAnsi="宋体" w:eastAsia="宋体" w:cs="宋体"/>
          <w:highlight w:val="none"/>
          <w:lang w:val="en-US" w:eastAsia="zh-CN"/>
        </w:rPr>
        <w:t>〔</w:t>
      </w:r>
      <w:r>
        <w:rPr>
          <w:rFonts w:hint="eastAsia"/>
          <w:highlight w:val="none"/>
          <w:lang w:val="en-US" w:eastAsia="zh-CN"/>
        </w:rPr>
        <w:t>2022</w:t>
      </w:r>
      <w:r>
        <w:rPr>
          <w:rFonts w:hint="eastAsia" w:ascii="宋体" w:hAnsi="宋体" w:eastAsia="宋体" w:cs="宋体"/>
          <w:highlight w:val="none"/>
          <w:lang w:val="en-US" w:eastAsia="zh-CN"/>
        </w:rPr>
        <w:t>〕</w:t>
      </w:r>
      <w:r>
        <w:rPr>
          <w:rFonts w:hint="eastAsia"/>
          <w:highlight w:val="none"/>
          <w:lang w:val="en-US" w:eastAsia="zh-CN"/>
        </w:rPr>
        <w:t>27号）；</w:t>
      </w:r>
    </w:p>
    <w:p w14:paraId="6977DB73">
      <w:pPr>
        <w:rPr>
          <w:rFonts w:hint="eastAsia"/>
          <w:highlight w:val="none"/>
          <w:lang w:val="en-US" w:eastAsia="zh-CN"/>
        </w:rPr>
      </w:pPr>
      <w:r>
        <w:rPr>
          <w:rFonts w:hint="eastAsia"/>
          <w:highlight w:val="none"/>
          <w:lang w:val="en-US" w:eastAsia="zh-CN"/>
        </w:rPr>
        <w:t>（24）湖南省人民政府办公厅关于印发《湖南省主要污染物排污权有偿使用和交易管理办法》的通知（湘政办发〔2022〕23号；</w:t>
      </w:r>
    </w:p>
    <w:p w14:paraId="4BCE1FB9">
      <w:pPr>
        <w:pStyle w:val="9"/>
        <w:numPr>
          <w:ilvl w:val="2"/>
          <w:numId w:val="1"/>
        </w:numPr>
        <w:bidi w:val="0"/>
        <w:ind w:left="709" w:leftChars="0" w:hanging="709" w:firstLineChars="0"/>
        <w:rPr>
          <w:rFonts w:hint="default"/>
          <w:highlight w:val="none"/>
          <w:lang w:val="en-US" w:eastAsia="zh-CN"/>
        </w:rPr>
      </w:pPr>
      <w:r>
        <w:rPr>
          <w:rFonts w:hint="eastAsia"/>
          <w:highlight w:val="none"/>
          <w:lang w:val="en-US" w:eastAsia="zh-CN"/>
        </w:rPr>
        <w:t>评价技术导则及规范</w:t>
      </w:r>
    </w:p>
    <w:p w14:paraId="598EDF4D">
      <w:pPr>
        <w:rPr>
          <w:rFonts w:hint="eastAsia"/>
          <w:highlight w:val="none"/>
          <w:lang w:val="en-US" w:eastAsia="zh-CN"/>
        </w:rPr>
      </w:pPr>
      <w:r>
        <w:rPr>
          <w:rFonts w:hint="eastAsia"/>
          <w:highlight w:val="none"/>
          <w:lang w:val="en-US" w:eastAsia="zh-CN"/>
        </w:rPr>
        <w:t>（1）《建设项目环境影响评价技术导则  总则》（HJ2.1-2016）；</w:t>
      </w:r>
    </w:p>
    <w:p w14:paraId="47B3C6F9">
      <w:pPr>
        <w:rPr>
          <w:rFonts w:hint="eastAsia"/>
          <w:highlight w:val="none"/>
          <w:lang w:val="en-US" w:eastAsia="zh-CN"/>
        </w:rPr>
      </w:pPr>
      <w:r>
        <w:rPr>
          <w:rFonts w:hint="eastAsia"/>
          <w:highlight w:val="none"/>
          <w:lang w:val="en-US" w:eastAsia="zh-CN"/>
        </w:rPr>
        <w:t>（2）《环境影响评价技术导则  大气环境》（HJ2.2-2018）；</w:t>
      </w:r>
    </w:p>
    <w:p w14:paraId="2D83653D">
      <w:pPr>
        <w:rPr>
          <w:rFonts w:hint="eastAsia"/>
          <w:highlight w:val="none"/>
          <w:lang w:val="en-US" w:eastAsia="zh-CN"/>
        </w:rPr>
      </w:pPr>
      <w:r>
        <w:rPr>
          <w:rFonts w:hint="eastAsia"/>
          <w:highlight w:val="none"/>
          <w:lang w:val="en-US" w:eastAsia="zh-CN"/>
        </w:rPr>
        <w:t>（3）《环境影响评价技术导则  地表水环境》（HJ2.3-2018）；</w:t>
      </w:r>
    </w:p>
    <w:p w14:paraId="1CD6FAE1">
      <w:pPr>
        <w:rPr>
          <w:rFonts w:hint="eastAsia"/>
          <w:highlight w:val="none"/>
          <w:lang w:val="en-US" w:eastAsia="zh-CN"/>
        </w:rPr>
      </w:pPr>
      <w:r>
        <w:rPr>
          <w:rFonts w:hint="eastAsia"/>
          <w:highlight w:val="none"/>
          <w:lang w:val="en-US" w:eastAsia="zh-CN"/>
        </w:rPr>
        <w:t>（4）《环境影响评价技术导则  声环境》（HJ2.4-2021）；</w:t>
      </w:r>
    </w:p>
    <w:p w14:paraId="41980951">
      <w:pPr>
        <w:rPr>
          <w:rFonts w:hint="eastAsia"/>
          <w:highlight w:val="none"/>
          <w:lang w:val="en-US" w:eastAsia="zh-CN"/>
        </w:rPr>
      </w:pPr>
      <w:r>
        <w:rPr>
          <w:rFonts w:hint="eastAsia"/>
          <w:highlight w:val="none"/>
          <w:lang w:val="en-US" w:eastAsia="zh-CN"/>
        </w:rPr>
        <w:t>（5）《环境影响评价技术导则  生态影响》（HJ19-2022）；</w:t>
      </w:r>
    </w:p>
    <w:p w14:paraId="0F413A5D">
      <w:pPr>
        <w:rPr>
          <w:rFonts w:hint="eastAsia"/>
          <w:highlight w:val="none"/>
          <w:lang w:val="en-US" w:eastAsia="zh-CN"/>
        </w:rPr>
      </w:pPr>
      <w:r>
        <w:rPr>
          <w:rFonts w:hint="eastAsia"/>
          <w:highlight w:val="none"/>
          <w:lang w:val="en-US" w:eastAsia="zh-CN"/>
        </w:rPr>
        <w:t>（6）《环境影响评价技术导则  地下水环境》（HJ610-2016）；</w:t>
      </w:r>
    </w:p>
    <w:p w14:paraId="54E47238">
      <w:pPr>
        <w:rPr>
          <w:rFonts w:hint="eastAsia"/>
          <w:highlight w:val="none"/>
          <w:lang w:val="en-US" w:eastAsia="zh-CN"/>
        </w:rPr>
      </w:pPr>
      <w:r>
        <w:rPr>
          <w:rFonts w:hint="eastAsia"/>
          <w:highlight w:val="none"/>
          <w:lang w:val="en-US" w:eastAsia="zh-CN"/>
        </w:rPr>
        <w:t>（7）《环境影响评价技术导则  土壤环境（试行）》（HJ964-2018）；</w:t>
      </w:r>
    </w:p>
    <w:p w14:paraId="732E5198">
      <w:pPr>
        <w:rPr>
          <w:rFonts w:hint="eastAsia"/>
          <w:highlight w:val="none"/>
          <w:lang w:val="en-US" w:eastAsia="zh-CN"/>
        </w:rPr>
      </w:pPr>
      <w:r>
        <w:rPr>
          <w:rFonts w:hint="eastAsia"/>
          <w:highlight w:val="none"/>
          <w:lang w:val="en-US" w:eastAsia="zh-CN"/>
        </w:rPr>
        <w:t>（8）《建设项目环境风险评价技术导则》（HJ169-2018）；</w:t>
      </w:r>
    </w:p>
    <w:p w14:paraId="597C5601">
      <w:pPr>
        <w:rPr>
          <w:rFonts w:hint="eastAsia"/>
          <w:highlight w:val="none"/>
          <w:lang w:val="en-US" w:eastAsia="zh-CN"/>
        </w:rPr>
      </w:pPr>
      <w:r>
        <w:rPr>
          <w:rFonts w:hint="eastAsia"/>
          <w:highlight w:val="none"/>
          <w:lang w:val="en-US" w:eastAsia="zh-CN"/>
        </w:rPr>
        <w:t>（9）《生态环境状况评价技术规范》（HJ192-2015）；</w:t>
      </w:r>
    </w:p>
    <w:p w14:paraId="4C8897C5">
      <w:pPr>
        <w:rPr>
          <w:rFonts w:hint="eastAsia"/>
          <w:highlight w:val="none"/>
          <w:lang w:val="en-US" w:eastAsia="zh-CN"/>
        </w:rPr>
      </w:pPr>
      <w:r>
        <w:rPr>
          <w:rFonts w:hint="eastAsia"/>
          <w:highlight w:val="none"/>
          <w:lang w:val="en-US" w:eastAsia="zh-CN"/>
        </w:rPr>
        <w:t>（10）《建设项目危险废物环境影响评价指南》（环境保护部公告2017年第43号），2017年10月1日施行；</w:t>
      </w:r>
    </w:p>
    <w:p w14:paraId="15F87F0C">
      <w:pPr>
        <w:rPr>
          <w:rFonts w:hint="eastAsia"/>
          <w:highlight w:val="none"/>
          <w:lang w:val="en-US" w:eastAsia="zh-CN"/>
        </w:rPr>
      </w:pPr>
      <w:r>
        <w:rPr>
          <w:rFonts w:hint="eastAsia"/>
          <w:highlight w:val="none"/>
          <w:lang w:val="en-US" w:eastAsia="zh-CN"/>
        </w:rPr>
        <w:t>（11）</w:t>
      </w:r>
      <w:r>
        <w:rPr>
          <w:rFonts w:hint="eastAsia"/>
          <w:highlight w:val="none"/>
          <w:u w:val="none" w:color="auto"/>
          <w:lang w:val="en-US" w:eastAsia="zh-CN"/>
        </w:rPr>
        <w:t>《排污单位自行监测技术指南  工业固体废物和危险废物治理》（HJ1250-2022）</w:t>
      </w:r>
      <w:r>
        <w:rPr>
          <w:rFonts w:hint="eastAsia"/>
          <w:highlight w:val="none"/>
          <w:lang w:val="en-US" w:eastAsia="zh-CN"/>
        </w:rPr>
        <w:t>，2022年7月1日实施；</w:t>
      </w:r>
    </w:p>
    <w:p w14:paraId="158A03EE">
      <w:pPr>
        <w:rPr>
          <w:rFonts w:hint="eastAsia"/>
          <w:highlight w:val="none"/>
          <w:lang w:val="en-US" w:eastAsia="zh-CN"/>
        </w:rPr>
      </w:pPr>
      <w:r>
        <w:rPr>
          <w:rFonts w:hint="eastAsia"/>
          <w:highlight w:val="none"/>
          <w:lang w:val="en-US" w:eastAsia="zh-CN"/>
        </w:rPr>
        <w:t>（12）《排污许可证申请与核发技术规范  水处理通用工序》（HJ1120-2020）；</w:t>
      </w:r>
    </w:p>
    <w:p w14:paraId="4977726B">
      <w:pPr>
        <w:rPr>
          <w:rFonts w:hint="eastAsia"/>
          <w:highlight w:val="none"/>
          <w:lang w:val="en-US" w:eastAsia="zh-CN"/>
        </w:rPr>
      </w:pPr>
      <w:r>
        <w:rPr>
          <w:rFonts w:hint="eastAsia"/>
          <w:highlight w:val="none"/>
          <w:lang w:val="en-US" w:eastAsia="zh-CN"/>
        </w:rPr>
        <w:t>（13）《排污许可证申请与核发技术规范  总则》（HJ942-2018）；</w:t>
      </w:r>
    </w:p>
    <w:p w14:paraId="3583B896">
      <w:pPr>
        <w:rPr>
          <w:rFonts w:hint="eastAsia"/>
          <w:highlight w:val="none"/>
          <w:lang w:val="en-US" w:eastAsia="zh-CN"/>
        </w:rPr>
      </w:pPr>
      <w:r>
        <w:rPr>
          <w:rFonts w:hint="eastAsia"/>
          <w:highlight w:val="none"/>
          <w:lang w:val="en-US" w:eastAsia="zh-CN"/>
        </w:rPr>
        <w:t>（14）《一般工业固体废物贮存和填埋污染控制标准》（GB18599-2020）；</w:t>
      </w:r>
    </w:p>
    <w:p w14:paraId="5E10039F">
      <w:pPr>
        <w:rPr>
          <w:rFonts w:hint="eastAsia"/>
          <w:highlight w:val="none"/>
          <w:lang w:val="en-US" w:eastAsia="zh-CN"/>
        </w:rPr>
      </w:pPr>
      <w:r>
        <w:rPr>
          <w:rFonts w:hint="eastAsia"/>
          <w:highlight w:val="none"/>
          <w:lang w:val="en-US" w:eastAsia="zh-CN"/>
        </w:rPr>
        <w:t>（15）《危险废物收集贮存运输技术规范》（HJ2025-2012）；</w:t>
      </w:r>
    </w:p>
    <w:p w14:paraId="5DB838AA">
      <w:pPr>
        <w:rPr>
          <w:rFonts w:hint="eastAsia"/>
          <w:highlight w:val="none"/>
          <w:lang w:val="en-US" w:eastAsia="zh-CN"/>
        </w:rPr>
      </w:pPr>
      <w:r>
        <w:rPr>
          <w:rFonts w:hint="eastAsia"/>
          <w:highlight w:val="none"/>
          <w:lang w:val="en-US" w:eastAsia="zh-CN"/>
        </w:rPr>
        <w:t>（16）《危险废物鉴别标准通则》（GB5085.7-2019）；</w:t>
      </w:r>
    </w:p>
    <w:p w14:paraId="2512904B">
      <w:pPr>
        <w:rPr>
          <w:rFonts w:hint="eastAsia"/>
          <w:highlight w:val="none"/>
          <w:lang w:val="en-US" w:eastAsia="zh-CN"/>
        </w:rPr>
      </w:pPr>
      <w:r>
        <w:rPr>
          <w:rFonts w:hint="eastAsia"/>
          <w:highlight w:val="none"/>
          <w:lang w:val="en-US" w:eastAsia="zh-CN"/>
        </w:rPr>
        <w:t>（17）《危险化学品重大危险源辨识》（GB18218-2018）；</w:t>
      </w:r>
    </w:p>
    <w:p w14:paraId="2427888C">
      <w:pPr>
        <w:rPr>
          <w:rFonts w:hint="eastAsia"/>
          <w:highlight w:val="none"/>
          <w:lang w:val="en-US" w:eastAsia="zh-CN"/>
        </w:rPr>
      </w:pPr>
      <w:r>
        <w:rPr>
          <w:rFonts w:hint="eastAsia"/>
          <w:highlight w:val="none"/>
          <w:lang w:val="en-US" w:eastAsia="zh-CN"/>
        </w:rPr>
        <w:t>（18）《危险废物鉴别技术规范》（HJ298-2019）；</w:t>
      </w:r>
    </w:p>
    <w:p w14:paraId="47BA89D2">
      <w:pPr>
        <w:rPr>
          <w:rFonts w:hint="eastAsia"/>
          <w:highlight w:val="none"/>
          <w:lang w:val="en-US" w:eastAsia="zh-CN"/>
        </w:rPr>
      </w:pPr>
      <w:r>
        <w:rPr>
          <w:rFonts w:hint="eastAsia"/>
          <w:highlight w:val="none"/>
          <w:lang w:val="en-US" w:eastAsia="zh-CN"/>
        </w:rPr>
        <w:t>（19）《危险废物识别标志设置技术规范》（HJ1276-2022）；</w:t>
      </w:r>
    </w:p>
    <w:p w14:paraId="4B687666">
      <w:pPr>
        <w:rPr>
          <w:rFonts w:hint="eastAsia"/>
          <w:highlight w:val="none"/>
          <w:lang w:val="en-US" w:eastAsia="zh-CN"/>
        </w:rPr>
      </w:pPr>
      <w:r>
        <w:rPr>
          <w:rFonts w:hint="eastAsia"/>
          <w:highlight w:val="none"/>
          <w:lang w:val="en-US" w:eastAsia="zh-CN"/>
        </w:rPr>
        <w:t>（20）《工业企业土壤和地下水自行监测技术指南》（HJ1209-2021）；</w:t>
      </w:r>
    </w:p>
    <w:p w14:paraId="4AD74D31">
      <w:pPr>
        <w:ind w:firstLine="480"/>
        <w:rPr>
          <w:highlight w:val="none"/>
        </w:rPr>
      </w:pPr>
      <w:r>
        <w:rPr>
          <w:rFonts w:hint="eastAsia"/>
          <w:highlight w:val="none"/>
        </w:rPr>
        <w:t>（</w:t>
      </w:r>
      <w:r>
        <w:rPr>
          <w:rFonts w:hint="eastAsia"/>
          <w:highlight w:val="none"/>
          <w:lang w:val="en-US" w:eastAsia="zh-CN"/>
        </w:rPr>
        <w:t>21</w:t>
      </w:r>
      <w:r>
        <w:rPr>
          <w:rFonts w:hint="eastAsia"/>
          <w:highlight w:val="none"/>
        </w:rPr>
        <w:t>）《建设用地土壤污染风险管控和修复术语》（HJ682-2019）；</w:t>
      </w:r>
    </w:p>
    <w:p w14:paraId="5510A382">
      <w:pPr>
        <w:ind w:firstLine="480"/>
        <w:rPr>
          <w:highlight w:val="none"/>
        </w:rPr>
      </w:pPr>
      <w:r>
        <w:rPr>
          <w:rFonts w:hint="eastAsia"/>
          <w:highlight w:val="none"/>
        </w:rPr>
        <w:t>（</w:t>
      </w:r>
      <w:r>
        <w:rPr>
          <w:rFonts w:hint="eastAsia"/>
          <w:highlight w:val="none"/>
          <w:lang w:val="en-US" w:eastAsia="zh-CN"/>
        </w:rPr>
        <w:t>22</w:t>
      </w:r>
      <w:r>
        <w:rPr>
          <w:rFonts w:hint="eastAsia"/>
          <w:highlight w:val="none"/>
        </w:rPr>
        <w:t>）《建设用地土壤污染状况调查技术导则》（HJ25.1-2019）；</w:t>
      </w:r>
    </w:p>
    <w:p w14:paraId="18B4EDE2">
      <w:pPr>
        <w:ind w:firstLine="480"/>
        <w:rPr>
          <w:highlight w:val="none"/>
        </w:rPr>
      </w:pPr>
      <w:r>
        <w:rPr>
          <w:rFonts w:hint="eastAsia"/>
          <w:highlight w:val="none"/>
        </w:rPr>
        <w:t>（</w:t>
      </w:r>
      <w:r>
        <w:rPr>
          <w:rFonts w:hint="eastAsia"/>
          <w:highlight w:val="none"/>
          <w:lang w:val="en-US" w:eastAsia="zh-CN"/>
        </w:rPr>
        <w:t>23</w:t>
      </w:r>
      <w:r>
        <w:rPr>
          <w:rFonts w:hint="eastAsia"/>
          <w:highlight w:val="none"/>
        </w:rPr>
        <w:t>）《建设用地土壤污染风险管控和修复监测技术导则》（HJ25.2-2019）；</w:t>
      </w:r>
    </w:p>
    <w:p w14:paraId="41DB2218">
      <w:pPr>
        <w:ind w:firstLine="480"/>
        <w:rPr>
          <w:highlight w:val="none"/>
        </w:rPr>
      </w:pPr>
      <w:r>
        <w:rPr>
          <w:rFonts w:hint="eastAsia"/>
          <w:highlight w:val="none"/>
        </w:rPr>
        <w:t>（2</w:t>
      </w:r>
      <w:r>
        <w:rPr>
          <w:rFonts w:hint="eastAsia"/>
          <w:highlight w:val="none"/>
          <w:lang w:val="en-US" w:eastAsia="zh-CN"/>
        </w:rPr>
        <w:t>4</w:t>
      </w:r>
      <w:r>
        <w:rPr>
          <w:rFonts w:hint="eastAsia"/>
          <w:highlight w:val="none"/>
        </w:rPr>
        <w:t>）《建设用地土壤污染风险评估技术导则》（HJ25.3-2019）；</w:t>
      </w:r>
    </w:p>
    <w:p w14:paraId="7BD46C98">
      <w:pPr>
        <w:rPr>
          <w:rFonts w:hint="eastAsia" w:eastAsia="宋体"/>
          <w:highlight w:val="none"/>
          <w:lang w:val="en-US" w:eastAsia="zh-CN"/>
        </w:rPr>
      </w:pPr>
      <w:r>
        <w:rPr>
          <w:rFonts w:hint="eastAsia"/>
          <w:highlight w:val="none"/>
        </w:rPr>
        <w:t>（2</w:t>
      </w:r>
      <w:r>
        <w:rPr>
          <w:rFonts w:hint="eastAsia"/>
          <w:highlight w:val="none"/>
          <w:lang w:val="en-US" w:eastAsia="zh-CN"/>
        </w:rPr>
        <w:t>5</w:t>
      </w:r>
      <w:r>
        <w:rPr>
          <w:rFonts w:hint="eastAsia"/>
          <w:highlight w:val="none"/>
        </w:rPr>
        <w:t>）《建设用地土壤修复技术导则》（HJ25.4-2019）</w:t>
      </w:r>
      <w:r>
        <w:rPr>
          <w:rFonts w:hint="eastAsia"/>
          <w:highlight w:val="none"/>
          <w:lang w:eastAsia="zh-CN"/>
        </w:rPr>
        <w:t>；</w:t>
      </w:r>
    </w:p>
    <w:p w14:paraId="679D54A6">
      <w:pPr>
        <w:ind w:firstLine="480"/>
        <w:rPr>
          <w:highlight w:val="none"/>
        </w:rPr>
      </w:pPr>
      <w:r>
        <w:rPr>
          <w:rFonts w:hint="eastAsia"/>
          <w:highlight w:val="none"/>
        </w:rPr>
        <w:t>（2</w:t>
      </w:r>
      <w:r>
        <w:rPr>
          <w:rFonts w:hint="eastAsia"/>
          <w:highlight w:val="none"/>
          <w:lang w:val="en-US" w:eastAsia="zh-CN"/>
        </w:rPr>
        <w:t>6</w:t>
      </w:r>
      <w:r>
        <w:rPr>
          <w:rFonts w:hint="eastAsia"/>
          <w:highlight w:val="none"/>
        </w:rPr>
        <w:t>）《重金属污染场地土壤修复标准》（DB43/T1165-2016）；</w:t>
      </w:r>
    </w:p>
    <w:p w14:paraId="3D27848A">
      <w:pPr>
        <w:rPr>
          <w:rFonts w:hint="eastAsia"/>
          <w:highlight w:val="none"/>
          <w:lang w:val="en-US" w:eastAsia="zh-CN"/>
        </w:rPr>
      </w:pPr>
      <w:r>
        <w:rPr>
          <w:rFonts w:hint="eastAsia"/>
          <w:highlight w:val="none"/>
        </w:rPr>
        <w:t>（2</w:t>
      </w:r>
      <w:r>
        <w:rPr>
          <w:rFonts w:hint="eastAsia"/>
          <w:highlight w:val="none"/>
          <w:lang w:val="en-US" w:eastAsia="zh-CN"/>
        </w:rPr>
        <w:t>7</w:t>
      </w:r>
      <w:r>
        <w:rPr>
          <w:rFonts w:hint="eastAsia"/>
          <w:highlight w:val="none"/>
        </w:rPr>
        <w:t>）《固体废物处理处置工程技术导则》（HJ 2035-2013）</w:t>
      </w:r>
      <w:r>
        <w:rPr>
          <w:rFonts w:hint="eastAsia"/>
          <w:highlight w:val="none"/>
          <w:lang w:val="en-US" w:eastAsia="zh-CN"/>
        </w:rPr>
        <w:t>。</w:t>
      </w:r>
    </w:p>
    <w:p w14:paraId="6BE8A75F">
      <w:pPr>
        <w:pStyle w:val="9"/>
        <w:numPr>
          <w:ilvl w:val="2"/>
          <w:numId w:val="1"/>
        </w:numPr>
        <w:bidi w:val="0"/>
        <w:ind w:left="709" w:leftChars="0" w:hanging="709" w:firstLineChars="0"/>
        <w:rPr>
          <w:rFonts w:hint="eastAsia"/>
          <w:highlight w:val="none"/>
          <w:lang w:val="en-US" w:eastAsia="zh-CN"/>
        </w:rPr>
      </w:pPr>
      <w:r>
        <w:rPr>
          <w:rFonts w:hint="eastAsia"/>
          <w:highlight w:val="none"/>
          <w:lang w:val="en-US" w:eastAsia="zh-CN"/>
        </w:rPr>
        <w:t>其他相关文件及资料</w:t>
      </w:r>
    </w:p>
    <w:p w14:paraId="48DB7040">
      <w:pPr>
        <w:rPr>
          <w:rFonts w:hint="eastAsia"/>
          <w:highlight w:val="none"/>
          <w:lang w:val="en-US" w:eastAsia="zh-CN"/>
        </w:rPr>
      </w:pPr>
      <w:r>
        <w:rPr>
          <w:rFonts w:hint="eastAsia"/>
          <w:highlight w:val="none"/>
          <w:lang w:val="en-US" w:eastAsia="zh-CN"/>
        </w:rPr>
        <w:t>（1）建设单位环境影响评价委托书；</w:t>
      </w:r>
    </w:p>
    <w:p w14:paraId="4A9188BA">
      <w:pPr>
        <w:rPr>
          <w:rFonts w:hint="default"/>
          <w:highlight w:val="none"/>
          <w:lang w:val="en-US" w:eastAsia="zh-CN"/>
        </w:rPr>
      </w:pPr>
      <w:r>
        <w:rPr>
          <w:rFonts w:hint="eastAsia"/>
          <w:highlight w:val="none"/>
          <w:lang w:val="en-US" w:eastAsia="zh-CN"/>
        </w:rPr>
        <w:t>（2）《平江县三阳乡南尧村片区（垂拱组、仙人组）历史遗留重金属废渣整治项目工程详细勘察报告》，2022年6月；</w:t>
      </w:r>
    </w:p>
    <w:p w14:paraId="67834010">
      <w:pPr>
        <w:rPr>
          <w:rFonts w:hint="eastAsia"/>
          <w:highlight w:val="none"/>
          <w:lang w:val="en-US" w:eastAsia="zh-CN"/>
        </w:rPr>
      </w:pPr>
      <w:r>
        <w:rPr>
          <w:rFonts w:hint="eastAsia"/>
          <w:highlight w:val="none"/>
          <w:lang w:val="en-US" w:eastAsia="zh-CN"/>
        </w:rPr>
        <w:t>（3）《平江县三阳乡南尧村片区（垂拱组、仙人组）历史遗留重金属废渣污染状况调查报告》及专家评审意见，2022年8月；</w:t>
      </w:r>
    </w:p>
    <w:p w14:paraId="09E466B1">
      <w:pPr>
        <w:rPr>
          <w:rFonts w:hint="eastAsia"/>
          <w:highlight w:val="none"/>
          <w:lang w:val="en-US" w:eastAsia="zh-CN"/>
        </w:rPr>
      </w:pPr>
      <w:r>
        <w:rPr>
          <w:rFonts w:hint="eastAsia"/>
          <w:highlight w:val="none"/>
          <w:lang w:val="en-US" w:eastAsia="zh-CN"/>
        </w:rPr>
        <w:t>（4）《平江县三阳乡南尧村片区（垂拱组、仙人组）历史遗留重金属废渣整治项目实施方案》及专家评审意见，2022年8月；</w:t>
      </w:r>
    </w:p>
    <w:p w14:paraId="7EE59A00">
      <w:pPr>
        <w:rPr>
          <w:rFonts w:hint="eastAsia"/>
          <w:highlight w:val="none"/>
          <w:lang w:val="en-US" w:eastAsia="zh-CN"/>
        </w:rPr>
      </w:pPr>
      <w:r>
        <w:rPr>
          <w:rFonts w:hint="eastAsia"/>
          <w:highlight w:val="none"/>
          <w:lang w:val="en-US" w:eastAsia="zh-CN"/>
        </w:rPr>
        <w:t>（5）岳阳市生态环境局关于《平江县三阳乡南尧村片区（垂拱组、仙人组）历史遗留重金属废渣整治项目实施方案》的初步审查意见，2022年9月14日；</w:t>
      </w:r>
    </w:p>
    <w:p w14:paraId="1CEDA97F">
      <w:pPr>
        <w:rPr>
          <w:rFonts w:hint="eastAsia"/>
          <w:highlight w:val="none"/>
          <w:lang w:val="en-US" w:eastAsia="zh-CN"/>
        </w:rPr>
      </w:pPr>
      <w:r>
        <w:rPr>
          <w:rFonts w:hint="eastAsia"/>
          <w:highlight w:val="none"/>
          <w:lang w:val="en-US" w:eastAsia="zh-CN"/>
        </w:rPr>
        <w:t>（6）《平江县三阳乡南尧村片区（垂拱组、仙人组）历史遗留重金属废渣整治项目可行性研究报告》及其批复意见，2024年6月；</w:t>
      </w:r>
    </w:p>
    <w:p w14:paraId="10FCB2A0">
      <w:pPr>
        <w:rPr>
          <w:rFonts w:hint="eastAsia"/>
          <w:highlight w:val="none"/>
          <w:lang w:val="en-US" w:eastAsia="zh-CN"/>
        </w:rPr>
      </w:pPr>
      <w:r>
        <w:rPr>
          <w:rFonts w:hint="eastAsia"/>
          <w:highlight w:val="none"/>
          <w:lang w:val="en-US" w:eastAsia="zh-CN"/>
        </w:rPr>
        <w:t>（7）《平江县三阳乡南尧村片区（垂拱组、仙人组）历史遗留重金属废渣整治项目初步设计》及专家评审意见，2024年6月；</w:t>
      </w:r>
    </w:p>
    <w:p w14:paraId="213F7AFC">
      <w:pPr>
        <w:rPr>
          <w:rFonts w:hint="eastAsia"/>
          <w:highlight w:val="none"/>
          <w:lang w:val="en-US" w:eastAsia="zh-CN"/>
        </w:rPr>
      </w:pPr>
      <w:r>
        <w:rPr>
          <w:rFonts w:hint="eastAsia"/>
          <w:highlight w:val="none"/>
          <w:lang w:val="en-US" w:eastAsia="zh-CN"/>
        </w:rPr>
        <w:t>（8）建设单位提供的有关建设项目的其他基础资料。</w:t>
      </w:r>
    </w:p>
    <w:p w14:paraId="2594DA7F">
      <w:pPr>
        <w:pStyle w:val="8"/>
        <w:numPr>
          <w:ilvl w:val="1"/>
          <w:numId w:val="1"/>
        </w:numPr>
        <w:tabs>
          <w:tab w:val="clear" w:pos="420"/>
        </w:tabs>
        <w:bidi w:val="0"/>
        <w:ind w:left="567" w:leftChars="0" w:hanging="567" w:firstLineChars="0"/>
        <w:rPr>
          <w:rFonts w:hint="eastAsia"/>
          <w:highlight w:val="none"/>
          <w:lang w:val="en-US" w:eastAsia="zh-CN"/>
        </w:rPr>
      </w:pPr>
      <w:bookmarkStart w:id="12" w:name="_Toc5648"/>
      <w:bookmarkStart w:id="13" w:name="_Toc2022"/>
      <w:bookmarkStart w:id="14" w:name="_Toc11182"/>
      <w:bookmarkStart w:id="15" w:name="_Toc208926339"/>
      <w:bookmarkStart w:id="16" w:name="_Toc343609278"/>
      <w:bookmarkStart w:id="17" w:name="_Toc16961"/>
      <w:r>
        <w:rPr>
          <w:rFonts w:hint="eastAsia"/>
          <w:highlight w:val="none"/>
          <w:lang w:val="en-US" w:eastAsia="zh-CN"/>
        </w:rPr>
        <w:t>评价目的与评价原则</w:t>
      </w:r>
      <w:bookmarkEnd w:id="12"/>
    </w:p>
    <w:p w14:paraId="4678C2BE">
      <w:pPr>
        <w:pStyle w:val="9"/>
        <w:numPr>
          <w:ilvl w:val="2"/>
          <w:numId w:val="1"/>
        </w:numPr>
        <w:bidi w:val="0"/>
        <w:ind w:left="709" w:leftChars="0" w:hanging="709" w:firstLineChars="0"/>
        <w:rPr>
          <w:rFonts w:hint="eastAsia"/>
          <w:highlight w:val="none"/>
          <w:lang w:val="en-US" w:eastAsia="zh-CN"/>
        </w:rPr>
      </w:pPr>
      <w:bookmarkStart w:id="18" w:name="_Toc29195"/>
      <w:r>
        <w:rPr>
          <w:rFonts w:hint="eastAsia"/>
          <w:highlight w:val="none"/>
          <w:lang w:val="en-US" w:eastAsia="zh-CN"/>
        </w:rPr>
        <w:t>评价目的</w:t>
      </w:r>
    </w:p>
    <w:p w14:paraId="60C7DD1C">
      <w:pPr>
        <w:bidi w:val="0"/>
        <w:rPr>
          <w:rFonts w:hint="eastAsia"/>
          <w:highlight w:val="none"/>
          <w:lang w:val="en-US" w:eastAsia="zh-CN"/>
        </w:rPr>
      </w:pPr>
      <w:r>
        <w:rPr>
          <w:rFonts w:hint="eastAsia"/>
          <w:highlight w:val="none"/>
          <w:lang w:val="en-US" w:eastAsia="zh-CN"/>
        </w:rPr>
        <w:t>本项目环境影响评价通过资料收集、现状监测、工程分析、环境影响预测等，主要目的为：</w:t>
      </w:r>
    </w:p>
    <w:p w14:paraId="2201309D">
      <w:pPr>
        <w:bidi w:val="0"/>
        <w:rPr>
          <w:rFonts w:hint="eastAsia"/>
          <w:highlight w:val="none"/>
          <w:lang w:val="en-US" w:eastAsia="zh-CN"/>
        </w:rPr>
      </w:pPr>
      <w:r>
        <w:rPr>
          <w:rFonts w:hint="eastAsia"/>
          <w:highlight w:val="none"/>
          <w:lang w:val="en-US" w:eastAsia="zh-CN"/>
        </w:rPr>
        <w:t>（1）通过对评价区域的自然环境、社会环境调查，弄清评价区域环境功能，主要环境保护目标，确定评价标准和评价范围。</w:t>
      </w:r>
    </w:p>
    <w:p w14:paraId="2D868A69">
      <w:pPr>
        <w:bidi w:val="0"/>
        <w:rPr>
          <w:rFonts w:hint="eastAsia"/>
          <w:highlight w:val="none"/>
          <w:lang w:val="en-US" w:eastAsia="zh-CN"/>
        </w:rPr>
      </w:pPr>
      <w:r>
        <w:rPr>
          <w:rFonts w:hint="eastAsia"/>
          <w:highlight w:val="none"/>
          <w:lang w:val="en-US" w:eastAsia="zh-CN"/>
        </w:rPr>
        <w:t>（2）通过对评价区域的大气、地表水、地下水、土壤和声环境的现状调查和监测，弄清建设项目选址周围的环境质量现状，为项目施工和封场后的验收提供背景资料。</w:t>
      </w:r>
    </w:p>
    <w:p w14:paraId="04342029">
      <w:pPr>
        <w:bidi w:val="0"/>
        <w:rPr>
          <w:rFonts w:hint="eastAsia"/>
          <w:highlight w:val="none"/>
          <w:lang w:val="en-US" w:eastAsia="zh-CN"/>
        </w:rPr>
      </w:pPr>
      <w:r>
        <w:rPr>
          <w:rFonts w:hint="eastAsia"/>
          <w:highlight w:val="none"/>
          <w:lang w:val="en-US" w:eastAsia="zh-CN"/>
        </w:rPr>
        <w:t>（3）通过工程分析，找出拟建项目建设过程中和建成封场后污染物产生、治理与排放情况。</w:t>
      </w:r>
    </w:p>
    <w:p w14:paraId="69421192">
      <w:pPr>
        <w:bidi w:val="0"/>
        <w:rPr>
          <w:rFonts w:hint="eastAsia"/>
          <w:highlight w:val="none"/>
          <w:lang w:val="en-US" w:eastAsia="zh-CN"/>
        </w:rPr>
      </w:pPr>
      <w:r>
        <w:rPr>
          <w:rFonts w:hint="eastAsia"/>
          <w:highlight w:val="none"/>
          <w:lang w:val="en-US" w:eastAsia="zh-CN"/>
        </w:rPr>
        <w:t>（4）根据项目特点及评价区域环境质量现状，就拟建项目对空气、地表水、声环境、生态环境的影响程度和范围进行预测分析和评价，为项目建设提供环保依据。</w:t>
      </w:r>
    </w:p>
    <w:p w14:paraId="3414C87F">
      <w:pPr>
        <w:bidi w:val="0"/>
        <w:rPr>
          <w:rFonts w:hint="eastAsia"/>
          <w:highlight w:val="none"/>
          <w:lang w:val="en-US" w:eastAsia="zh-CN"/>
        </w:rPr>
      </w:pPr>
      <w:r>
        <w:rPr>
          <w:rFonts w:hint="eastAsia"/>
          <w:highlight w:val="none"/>
          <w:lang w:val="en-US" w:eastAsia="zh-CN"/>
        </w:rPr>
        <w:t>（5）分析论证项目建设与环境保护之间的关系，找出存在和潜在的环境问题，提出切实可行的防治措施和解决办法，为项目建设单位和生态环境主管部门提供环境管理和监控依据，以求经济建设和环境保护协调发展。</w:t>
      </w:r>
    </w:p>
    <w:p w14:paraId="6EAD535B">
      <w:pPr>
        <w:bidi w:val="0"/>
        <w:rPr>
          <w:rFonts w:hint="eastAsia"/>
          <w:highlight w:val="none"/>
          <w:lang w:val="en-US" w:eastAsia="zh-CN"/>
        </w:rPr>
      </w:pPr>
      <w:r>
        <w:rPr>
          <w:rFonts w:hint="eastAsia"/>
          <w:highlight w:val="none"/>
          <w:lang w:val="en-US" w:eastAsia="zh-CN"/>
        </w:rPr>
        <w:t>（6）从环境保护角度，对工程建设提出结论性意见，为生态环境主管部门提供决策依据。</w:t>
      </w:r>
    </w:p>
    <w:p w14:paraId="09A6392F">
      <w:pPr>
        <w:pStyle w:val="9"/>
        <w:numPr>
          <w:ilvl w:val="2"/>
          <w:numId w:val="1"/>
        </w:numPr>
        <w:bidi w:val="0"/>
        <w:ind w:left="709" w:leftChars="0" w:hanging="709" w:firstLineChars="0"/>
        <w:rPr>
          <w:rFonts w:hint="eastAsia"/>
          <w:highlight w:val="none"/>
          <w:lang w:val="en-US" w:eastAsia="zh-CN"/>
        </w:rPr>
      </w:pPr>
      <w:r>
        <w:rPr>
          <w:rFonts w:hint="eastAsia"/>
          <w:highlight w:val="none"/>
          <w:lang w:val="en-US" w:eastAsia="zh-CN"/>
        </w:rPr>
        <w:t>评价</w:t>
      </w:r>
      <w:bookmarkEnd w:id="18"/>
      <w:r>
        <w:rPr>
          <w:rFonts w:hint="eastAsia"/>
          <w:highlight w:val="none"/>
          <w:lang w:val="en-US" w:eastAsia="zh-CN"/>
        </w:rPr>
        <w:t>原则</w:t>
      </w:r>
    </w:p>
    <w:p w14:paraId="303578A0">
      <w:pPr>
        <w:bidi w:val="0"/>
        <w:rPr>
          <w:rFonts w:hint="eastAsia"/>
          <w:highlight w:val="none"/>
          <w:lang w:val="en-US" w:eastAsia="zh-CN"/>
        </w:rPr>
      </w:pPr>
      <w:r>
        <w:rPr>
          <w:rFonts w:hint="eastAsia"/>
          <w:highlight w:val="none"/>
          <w:lang w:val="en-US" w:eastAsia="zh-CN"/>
        </w:rPr>
        <w:t>按照《建设项目环境影响评价技术导则  总纲》（HJ2.1-2016）的要求，遵循以下原则：</w:t>
      </w:r>
    </w:p>
    <w:p w14:paraId="55A2F9CE">
      <w:pPr>
        <w:bidi w:val="0"/>
        <w:rPr>
          <w:rFonts w:hint="eastAsia"/>
          <w:highlight w:val="none"/>
          <w:lang w:val="en-US" w:eastAsia="zh-CN"/>
        </w:rPr>
      </w:pPr>
      <w:r>
        <w:rPr>
          <w:rFonts w:hint="eastAsia"/>
          <w:highlight w:val="none"/>
          <w:lang w:val="en-US" w:eastAsia="zh-CN"/>
        </w:rPr>
        <w:t>（1）依法评价</w:t>
      </w:r>
    </w:p>
    <w:p w14:paraId="3CCB3305">
      <w:pPr>
        <w:bidi w:val="0"/>
        <w:rPr>
          <w:rFonts w:hint="eastAsia"/>
          <w:highlight w:val="none"/>
          <w:lang w:val="en-US" w:eastAsia="zh-CN"/>
        </w:rPr>
      </w:pPr>
      <w:r>
        <w:rPr>
          <w:rFonts w:hint="eastAsia"/>
          <w:highlight w:val="none"/>
          <w:lang w:val="en-US" w:eastAsia="zh-CN"/>
        </w:rPr>
        <w:t>贯彻执行我国环境保护相关法律法规、标准、政策和规划等，优化项目建设，服务环境管理。</w:t>
      </w:r>
    </w:p>
    <w:p w14:paraId="7F3E0E0A">
      <w:pPr>
        <w:bidi w:val="0"/>
        <w:rPr>
          <w:rFonts w:hint="eastAsia"/>
          <w:highlight w:val="none"/>
          <w:lang w:val="en-US" w:eastAsia="zh-CN"/>
        </w:rPr>
      </w:pPr>
      <w:r>
        <w:rPr>
          <w:rFonts w:hint="eastAsia"/>
          <w:highlight w:val="none"/>
          <w:lang w:val="en-US" w:eastAsia="zh-CN"/>
        </w:rPr>
        <w:t>（2）科学评价</w:t>
      </w:r>
    </w:p>
    <w:p w14:paraId="3C734FF5">
      <w:pPr>
        <w:bidi w:val="0"/>
        <w:rPr>
          <w:rFonts w:hint="eastAsia"/>
          <w:highlight w:val="none"/>
          <w:lang w:val="en-US" w:eastAsia="zh-CN"/>
        </w:rPr>
      </w:pPr>
      <w:r>
        <w:rPr>
          <w:rFonts w:hint="eastAsia"/>
          <w:highlight w:val="none"/>
          <w:lang w:val="en-US" w:eastAsia="zh-CN"/>
        </w:rPr>
        <w:t>采用环境监测、类比分析、数学模式的评价方法，科学分析项目建设对环境质量的影响。</w:t>
      </w:r>
    </w:p>
    <w:p w14:paraId="63CED9AE">
      <w:pPr>
        <w:bidi w:val="0"/>
        <w:rPr>
          <w:rFonts w:hint="eastAsia"/>
          <w:highlight w:val="none"/>
          <w:lang w:val="en-US" w:eastAsia="zh-CN"/>
        </w:rPr>
      </w:pPr>
      <w:r>
        <w:rPr>
          <w:rFonts w:hint="eastAsia"/>
          <w:highlight w:val="none"/>
          <w:lang w:val="en-US" w:eastAsia="zh-CN"/>
        </w:rPr>
        <w:t>（3）突出重点</w:t>
      </w:r>
    </w:p>
    <w:p w14:paraId="29EF9D9D">
      <w:pPr>
        <w:bidi w:val="0"/>
        <w:rPr>
          <w:rFonts w:hint="eastAsia"/>
          <w:highlight w:val="yellow"/>
          <w:lang w:val="en-US" w:eastAsia="zh-CN"/>
        </w:rPr>
      </w:pPr>
      <w:r>
        <w:rPr>
          <w:rFonts w:hint="eastAsia"/>
          <w:highlight w:val="none"/>
          <w:lang w:val="en-US" w:eastAsia="zh-CN"/>
        </w:rPr>
        <w:t>根据建设项目的工程内容及其特点，明确与环境要素间的作用效应关系，根据规划环境影响评价结论和审查意见，充分利用符合时效的数据资料及成果，对建设项目主要环境影响予以重点分析和评价。</w:t>
      </w:r>
    </w:p>
    <w:p w14:paraId="413A15F9">
      <w:pPr>
        <w:pStyle w:val="8"/>
        <w:numPr>
          <w:ilvl w:val="1"/>
          <w:numId w:val="1"/>
        </w:numPr>
        <w:tabs>
          <w:tab w:val="clear" w:pos="420"/>
        </w:tabs>
        <w:bidi w:val="0"/>
        <w:ind w:left="567" w:leftChars="0" w:hanging="567" w:firstLineChars="0"/>
        <w:rPr>
          <w:rFonts w:hint="eastAsia"/>
          <w:highlight w:val="none"/>
          <w:lang w:val="en-US" w:eastAsia="zh-CN"/>
        </w:rPr>
      </w:pPr>
      <w:bookmarkStart w:id="19" w:name="_Toc22311"/>
      <w:r>
        <w:rPr>
          <w:rFonts w:hint="eastAsia"/>
          <w:highlight w:val="none"/>
          <w:lang w:val="en-US" w:eastAsia="zh-CN"/>
        </w:rPr>
        <w:t>环境影响识别和评价因子筛选</w:t>
      </w:r>
      <w:bookmarkEnd w:id="13"/>
      <w:bookmarkEnd w:id="14"/>
      <w:bookmarkEnd w:id="15"/>
      <w:bookmarkEnd w:id="16"/>
      <w:bookmarkEnd w:id="17"/>
      <w:bookmarkEnd w:id="19"/>
    </w:p>
    <w:p w14:paraId="470DB79E">
      <w:pPr>
        <w:pStyle w:val="9"/>
        <w:numPr>
          <w:ilvl w:val="2"/>
          <w:numId w:val="1"/>
        </w:numPr>
        <w:bidi w:val="0"/>
        <w:ind w:left="709" w:leftChars="0" w:hanging="709" w:firstLineChars="0"/>
        <w:rPr>
          <w:rFonts w:hint="default"/>
          <w:highlight w:val="none"/>
          <w:lang w:val="en-US" w:eastAsia="zh-CN"/>
        </w:rPr>
      </w:pPr>
      <w:r>
        <w:rPr>
          <w:rFonts w:hint="eastAsia"/>
          <w:highlight w:val="none"/>
          <w:lang w:val="en-US" w:eastAsia="zh-CN"/>
        </w:rPr>
        <w:t>环境影响识别</w:t>
      </w:r>
    </w:p>
    <w:p w14:paraId="699856E4">
      <w:pPr>
        <w:rPr>
          <w:rFonts w:hint="eastAsia"/>
          <w:highlight w:val="yellow"/>
          <w:lang w:val="en-US" w:eastAsia="zh-CN"/>
        </w:rPr>
      </w:pPr>
      <w:r>
        <w:rPr>
          <w:rFonts w:hint="eastAsia"/>
          <w:color w:val="auto"/>
          <w:highlight w:val="none"/>
          <w:u w:val="none" w:color="auto"/>
          <w:lang w:val="en-US" w:eastAsia="zh-CN"/>
        </w:rPr>
        <w:t>根据对本项目的各主要工程行为的调查、了解和工程污染初步分析，结合项目区域的自然和社会环境特征，对相关区域环境产生的影响进行识别和分析，列出工程行为与环境要素矩阵表，进行序列分类和分析，以确定环境影响因子和评价因子，环境影响因素识别详见表2.3-1。</w:t>
      </w:r>
    </w:p>
    <w:p w14:paraId="54D4A3BF">
      <w:pPr>
        <w:bidi w:val="0"/>
        <w:ind w:left="0" w:leftChars="0" w:firstLine="0" w:firstLineChars="0"/>
        <w:jc w:val="center"/>
        <w:rPr>
          <w:rFonts w:hint="eastAsia"/>
          <w:b/>
          <w:bCs/>
          <w:color w:val="auto"/>
          <w:sz w:val="21"/>
          <w:szCs w:val="21"/>
          <w:highlight w:val="none"/>
          <w:u w:val="none" w:color="auto"/>
          <w:lang w:val="en-US" w:eastAsia="zh-CN"/>
        </w:rPr>
      </w:pPr>
      <w:r>
        <w:rPr>
          <w:rFonts w:hint="eastAsia"/>
          <w:b/>
          <w:bCs/>
          <w:color w:val="auto"/>
          <w:sz w:val="21"/>
          <w:szCs w:val="21"/>
          <w:highlight w:val="none"/>
          <w:u w:val="none" w:color="auto"/>
          <w:lang w:val="en-US" w:eastAsia="zh-CN"/>
        </w:rPr>
        <w:t>表2.3-1  环境影响要素识别</w:t>
      </w:r>
    </w:p>
    <w:tbl>
      <w:tblPr>
        <w:tblStyle w:val="35"/>
        <w:tblW w:w="5129"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0" w:type="dxa"/>
          <w:bottom w:w="0" w:type="dxa"/>
          <w:right w:w="0" w:type="dxa"/>
        </w:tblCellMar>
      </w:tblPr>
      <w:tblGrid>
        <w:gridCol w:w="640"/>
        <w:gridCol w:w="1377"/>
        <w:gridCol w:w="1206"/>
        <w:gridCol w:w="1210"/>
        <w:gridCol w:w="1206"/>
        <w:gridCol w:w="1208"/>
        <w:gridCol w:w="1206"/>
        <w:gridCol w:w="1226"/>
      </w:tblGrid>
      <w:tr w14:paraId="10C3441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3" w:hRule="atLeast"/>
          <w:tblHeader/>
          <w:jc w:val="center"/>
        </w:trPr>
        <w:tc>
          <w:tcPr>
            <w:tcW w:w="1087" w:type="pct"/>
            <w:gridSpan w:val="2"/>
            <w:vMerge w:val="restart"/>
            <w:noWrap w:val="0"/>
            <w:vAlign w:val="center"/>
          </w:tcPr>
          <w:p w14:paraId="0AEF9EF6">
            <w:pPr>
              <w:bidi w:val="0"/>
              <w:spacing w:line="240" w:lineRule="auto"/>
              <w:ind w:left="0" w:leftChars="0" w:firstLine="0" w:firstLineChars="0"/>
              <w:jc w:val="center"/>
              <w:rPr>
                <w:rFonts w:hint="eastAsia"/>
                <w:b/>
                <w:bCs/>
                <w:sz w:val="21"/>
                <w:szCs w:val="21"/>
                <w:lang w:val="en-US" w:eastAsia="zh-CN"/>
              </w:rPr>
            </w:pPr>
            <w:r>
              <w:rPr>
                <w:rFonts w:hint="eastAsia"/>
                <w:b/>
                <w:bCs/>
                <w:sz w:val="21"/>
                <w:szCs w:val="21"/>
                <w:lang w:val="en-US" w:eastAsia="zh-CN"/>
              </w:rPr>
              <w:t>环境因素</w:t>
            </w:r>
          </w:p>
        </w:tc>
        <w:tc>
          <w:tcPr>
            <w:tcW w:w="1302" w:type="pct"/>
            <w:gridSpan w:val="2"/>
            <w:noWrap w:val="0"/>
            <w:vAlign w:val="center"/>
          </w:tcPr>
          <w:p w14:paraId="15E30A38">
            <w:pPr>
              <w:bidi w:val="0"/>
              <w:spacing w:line="240" w:lineRule="auto"/>
              <w:ind w:left="0" w:leftChars="0" w:firstLine="0" w:firstLineChars="0"/>
              <w:jc w:val="center"/>
              <w:rPr>
                <w:rFonts w:hint="eastAsia"/>
                <w:b/>
                <w:bCs/>
                <w:sz w:val="21"/>
                <w:szCs w:val="21"/>
                <w:lang w:val="en-US" w:eastAsia="zh-CN"/>
              </w:rPr>
            </w:pPr>
            <w:r>
              <w:rPr>
                <w:rFonts w:hint="eastAsia"/>
                <w:b/>
                <w:bCs/>
                <w:sz w:val="21"/>
                <w:szCs w:val="21"/>
                <w:lang w:val="en-US" w:eastAsia="zh-CN"/>
              </w:rPr>
              <w:t>治理区</w:t>
            </w:r>
          </w:p>
        </w:tc>
        <w:tc>
          <w:tcPr>
            <w:tcW w:w="1301" w:type="pct"/>
            <w:gridSpan w:val="2"/>
            <w:noWrap w:val="0"/>
            <w:vAlign w:val="center"/>
          </w:tcPr>
          <w:p w14:paraId="3ACD9F81">
            <w:pPr>
              <w:bidi w:val="0"/>
              <w:spacing w:line="240" w:lineRule="auto"/>
              <w:ind w:left="0" w:leftChars="0" w:firstLine="0" w:firstLineChars="0"/>
              <w:jc w:val="center"/>
              <w:rPr>
                <w:rFonts w:hint="eastAsia"/>
                <w:b/>
                <w:bCs/>
                <w:sz w:val="21"/>
                <w:szCs w:val="21"/>
                <w:lang w:val="en-US" w:eastAsia="zh-CN"/>
              </w:rPr>
            </w:pPr>
            <w:r>
              <w:rPr>
                <w:rFonts w:hint="eastAsia"/>
                <w:b/>
                <w:bCs/>
                <w:sz w:val="21"/>
                <w:szCs w:val="21"/>
                <w:lang w:val="en-US" w:eastAsia="zh-CN"/>
              </w:rPr>
              <w:t>取土场</w:t>
            </w:r>
          </w:p>
        </w:tc>
        <w:tc>
          <w:tcPr>
            <w:tcW w:w="1309" w:type="pct"/>
            <w:gridSpan w:val="2"/>
            <w:noWrap w:val="0"/>
            <w:vAlign w:val="center"/>
          </w:tcPr>
          <w:p w14:paraId="68DDDBB9">
            <w:pPr>
              <w:bidi w:val="0"/>
              <w:spacing w:line="240" w:lineRule="auto"/>
              <w:ind w:left="0" w:leftChars="0" w:firstLine="0" w:firstLineChars="0"/>
              <w:jc w:val="center"/>
              <w:rPr>
                <w:rFonts w:hint="default"/>
                <w:b/>
                <w:bCs/>
                <w:sz w:val="21"/>
                <w:szCs w:val="21"/>
                <w:lang w:val="en-US" w:eastAsia="zh-CN"/>
              </w:rPr>
            </w:pPr>
            <w:r>
              <w:rPr>
                <w:rFonts w:hint="eastAsia"/>
                <w:b/>
                <w:bCs/>
                <w:sz w:val="21"/>
                <w:szCs w:val="21"/>
                <w:lang w:val="en-US" w:eastAsia="zh-CN"/>
              </w:rPr>
              <w:t>填埋区</w:t>
            </w:r>
          </w:p>
        </w:tc>
      </w:tr>
      <w:tr w14:paraId="1E6D50E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3" w:hRule="atLeast"/>
          <w:tblHeader/>
          <w:jc w:val="center"/>
        </w:trPr>
        <w:tc>
          <w:tcPr>
            <w:tcW w:w="1087" w:type="pct"/>
            <w:gridSpan w:val="2"/>
            <w:vMerge w:val="continue"/>
            <w:noWrap w:val="0"/>
            <w:vAlign w:val="center"/>
          </w:tcPr>
          <w:p w14:paraId="12E1A9FE">
            <w:pPr>
              <w:bidi w:val="0"/>
              <w:spacing w:line="240" w:lineRule="auto"/>
              <w:ind w:left="0" w:leftChars="0" w:firstLine="0" w:firstLineChars="0"/>
              <w:jc w:val="center"/>
              <w:rPr>
                <w:rFonts w:hint="eastAsia"/>
                <w:b/>
                <w:bCs/>
                <w:sz w:val="21"/>
                <w:szCs w:val="21"/>
                <w:lang w:val="en-US" w:eastAsia="zh-CN"/>
              </w:rPr>
            </w:pPr>
          </w:p>
        </w:tc>
        <w:tc>
          <w:tcPr>
            <w:tcW w:w="650" w:type="pct"/>
            <w:noWrap w:val="0"/>
            <w:vAlign w:val="center"/>
          </w:tcPr>
          <w:p w14:paraId="2C0A64B2">
            <w:pPr>
              <w:bidi w:val="0"/>
              <w:spacing w:line="240" w:lineRule="auto"/>
              <w:ind w:left="0" w:leftChars="0" w:firstLine="0" w:firstLineChars="0"/>
              <w:jc w:val="center"/>
              <w:rPr>
                <w:rFonts w:hint="eastAsia"/>
                <w:b/>
                <w:bCs/>
                <w:sz w:val="21"/>
                <w:szCs w:val="21"/>
                <w:lang w:val="en-US" w:eastAsia="zh-CN"/>
              </w:rPr>
            </w:pPr>
            <w:r>
              <w:rPr>
                <w:rFonts w:hint="eastAsia"/>
                <w:b/>
                <w:bCs/>
                <w:sz w:val="21"/>
                <w:szCs w:val="21"/>
                <w:lang w:val="en-US" w:eastAsia="zh-CN"/>
              </w:rPr>
              <w:t>治理期</w:t>
            </w:r>
          </w:p>
          <w:p w14:paraId="5E853659">
            <w:pPr>
              <w:bidi w:val="0"/>
              <w:spacing w:line="240" w:lineRule="auto"/>
              <w:ind w:left="0" w:leftChars="0" w:firstLine="0" w:firstLineChars="0"/>
              <w:jc w:val="center"/>
              <w:rPr>
                <w:rFonts w:hint="eastAsia"/>
                <w:b/>
                <w:bCs/>
                <w:sz w:val="21"/>
                <w:szCs w:val="21"/>
                <w:lang w:val="en-US" w:eastAsia="zh-CN"/>
              </w:rPr>
            </w:pPr>
            <w:r>
              <w:rPr>
                <w:rFonts w:hint="eastAsia"/>
                <w:b/>
                <w:bCs/>
                <w:sz w:val="21"/>
                <w:szCs w:val="21"/>
                <w:lang w:val="en-US" w:eastAsia="zh-CN"/>
              </w:rPr>
              <w:t>（施工期）</w:t>
            </w:r>
          </w:p>
        </w:tc>
        <w:tc>
          <w:tcPr>
            <w:tcW w:w="651" w:type="pct"/>
            <w:noWrap w:val="0"/>
            <w:vAlign w:val="center"/>
          </w:tcPr>
          <w:p w14:paraId="545F124A">
            <w:pPr>
              <w:bidi w:val="0"/>
              <w:spacing w:line="240" w:lineRule="auto"/>
              <w:ind w:left="0" w:leftChars="0" w:firstLine="0" w:firstLineChars="0"/>
              <w:jc w:val="center"/>
              <w:rPr>
                <w:rFonts w:hint="eastAsia"/>
                <w:b/>
                <w:bCs/>
                <w:sz w:val="21"/>
                <w:szCs w:val="21"/>
                <w:lang w:val="en-US" w:eastAsia="zh-CN"/>
              </w:rPr>
            </w:pPr>
            <w:r>
              <w:rPr>
                <w:rFonts w:hint="eastAsia"/>
                <w:b/>
                <w:bCs/>
                <w:sz w:val="21"/>
                <w:szCs w:val="21"/>
                <w:lang w:val="en-US" w:eastAsia="zh-CN"/>
              </w:rPr>
              <w:t>治理后</w:t>
            </w:r>
          </w:p>
          <w:p w14:paraId="17320E4B">
            <w:pPr>
              <w:bidi w:val="0"/>
              <w:spacing w:line="240" w:lineRule="auto"/>
              <w:ind w:left="0" w:leftChars="0" w:firstLine="0" w:firstLineChars="0"/>
              <w:jc w:val="center"/>
              <w:rPr>
                <w:rFonts w:hint="eastAsia"/>
                <w:b/>
                <w:bCs/>
                <w:sz w:val="21"/>
                <w:szCs w:val="21"/>
                <w:lang w:val="en-US" w:eastAsia="zh-CN"/>
              </w:rPr>
            </w:pPr>
            <w:r>
              <w:rPr>
                <w:rFonts w:hint="eastAsia"/>
                <w:b/>
                <w:bCs/>
                <w:sz w:val="21"/>
                <w:szCs w:val="21"/>
                <w:lang w:val="en-US" w:eastAsia="zh-CN"/>
              </w:rPr>
              <w:t>（封场）</w:t>
            </w:r>
          </w:p>
        </w:tc>
        <w:tc>
          <w:tcPr>
            <w:tcW w:w="650" w:type="pct"/>
            <w:noWrap w:val="0"/>
            <w:vAlign w:val="center"/>
          </w:tcPr>
          <w:p w14:paraId="1676EFBD">
            <w:pPr>
              <w:bidi w:val="0"/>
              <w:spacing w:line="240" w:lineRule="auto"/>
              <w:ind w:left="0" w:leftChars="0" w:firstLine="0" w:firstLineChars="0"/>
              <w:jc w:val="center"/>
              <w:rPr>
                <w:rFonts w:hint="eastAsia"/>
                <w:b/>
                <w:bCs/>
                <w:sz w:val="21"/>
                <w:szCs w:val="21"/>
                <w:lang w:val="en-US" w:eastAsia="zh-CN"/>
              </w:rPr>
            </w:pPr>
            <w:r>
              <w:rPr>
                <w:rFonts w:hint="eastAsia"/>
                <w:b/>
                <w:bCs/>
                <w:sz w:val="21"/>
                <w:szCs w:val="21"/>
                <w:lang w:val="en-US" w:eastAsia="zh-CN"/>
              </w:rPr>
              <w:t>治理期</w:t>
            </w:r>
          </w:p>
          <w:p w14:paraId="3C82E301">
            <w:pPr>
              <w:bidi w:val="0"/>
              <w:spacing w:line="240" w:lineRule="auto"/>
              <w:ind w:left="0" w:leftChars="0" w:firstLine="0" w:firstLineChars="0"/>
              <w:jc w:val="center"/>
              <w:rPr>
                <w:rFonts w:hint="eastAsia"/>
                <w:b/>
                <w:bCs/>
                <w:sz w:val="21"/>
                <w:szCs w:val="21"/>
                <w:lang w:val="en-US" w:eastAsia="zh-CN"/>
              </w:rPr>
            </w:pPr>
            <w:r>
              <w:rPr>
                <w:rFonts w:hint="eastAsia"/>
                <w:b/>
                <w:bCs/>
                <w:sz w:val="21"/>
                <w:szCs w:val="21"/>
                <w:lang w:val="en-US" w:eastAsia="zh-CN"/>
              </w:rPr>
              <w:t>（施工期）</w:t>
            </w:r>
          </w:p>
        </w:tc>
        <w:tc>
          <w:tcPr>
            <w:tcW w:w="650" w:type="pct"/>
            <w:noWrap w:val="0"/>
            <w:vAlign w:val="center"/>
          </w:tcPr>
          <w:p w14:paraId="7124C4AC">
            <w:pPr>
              <w:bidi w:val="0"/>
              <w:spacing w:line="240" w:lineRule="auto"/>
              <w:ind w:left="0" w:leftChars="0" w:firstLine="0" w:firstLineChars="0"/>
              <w:jc w:val="center"/>
              <w:rPr>
                <w:rFonts w:hint="eastAsia"/>
                <w:b/>
                <w:bCs/>
                <w:sz w:val="21"/>
                <w:szCs w:val="21"/>
                <w:lang w:val="en-US" w:eastAsia="zh-CN"/>
              </w:rPr>
            </w:pPr>
            <w:r>
              <w:rPr>
                <w:rFonts w:hint="eastAsia"/>
                <w:b/>
                <w:bCs/>
                <w:sz w:val="21"/>
                <w:szCs w:val="21"/>
                <w:lang w:val="en-US" w:eastAsia="zh-CN"/>
              </w:rPr>
              <w:t>治理后</w:t>
            </w:r>
          </w:p>
          <w:p w14:paraId="1D6BFBF4">
            <w:pPr>
              <w:bidi w:val="0"/>
              <w:spacing w:line="240" w:lineRule="auto"/>
              <w:ind w:left="0" w:leftChars="0" w:firstLine="0" w:firstLineChars="0"/>
              <w:jc w:val="center"/>
              <w:rPr>
                <w:rFonts w:hint="eastAsia"/>
                <w:b/>
                <w:bCs/>
                <w:sz w:val="21"/>
                <w:szCs w:val="21"/>
                <w:lang w:val="en-US" w:eastAsia="zh-CN"/>
              </w:rPr>
            </w:pPr>
            <w:r>
              <w:rPr>
                <w:rFonts w:hint="eastAsia"/>
                <w:b/>
                <w:bCs/>
                <w:sz w:val="21"/>
                <w:szCs w:val="21"/>
                <w:lang w:val="en-US" w:eastAsia="zh-CN"/>
              </w:rPr>
              <w:t>（封场）</w:t>
            </w:r>
          </w:p>
        </w:tc>
        <w:tc>
          <w:tcPr>
            <w:tcW w:w="650" w:type="pct"/>
            <w:noWrap w:val="0"/>
            <w:vAlign w:val="center"/>
          </w:tcPr>
          <w:p w14:paraId="41B13EC6">
            <w:pPr>
              <w:bidi w:val="0"/>
              <w:spacing w:line="240" w:lineRule="auto"/>
              <w:ind w:left="0" w:leftChars="0" w:firstLine="0" w:firstLineChars="0"/>
              <w:jc w:val="center"/>
              <w:rPr>
                <w:rFonts w:hint="eastAsia"/>
                <w:b/>
                <w:bCs/>
                <w:sz w:val="21"/>
                <w:szCs w:val="21"/>
                <w:lang w:val="en-US" w:eastAsia="zh-CN"/>
              </w:rPr>
            </w:pPr>
            <w:r>
              <w:rPr>
                <w:rFonts w:hint="eastAsia"/>
                <w:b/>
                <w:bCs/>
                <w:sz w:val="21"/>
                <w:szCs w:val="21"/>
                <w:lang w:val="en-US" w:eastAsia="zh-CN"/>
              </w:rPr>
              <w:t>治理期</w:t>
            </w:r>
          </w:p>
          <w:p w14:paraId="5CAF62C2">
            <w:pPr>
              <w:bidi w:val="0"/>
              <w:spacing w:line="240" w:lineRule="auto"/>
              <w:ind w:left="0" w:leftChars="0" w:firstLine="0" w:firstLineChars="0"/>
              <w:jc w:val="center"/>
              <w:rPr>
                <w:rFonts w:hint="eastAsia"/>
                <w:b/>
                <w:bCs/>
                <w:sz w:val="21"/>
                <w:szCs w:val="21"/>
                <w:lang w:val="en-US" w:eastAsia="zh-CN"/>
              </w:rPr>
            </w:pPr>
            <w:r>
              <w:rPr>
                <w:rFonts w:hint="eastAsia"/>
                <w:b/>
                <w:bCs/>
                <w:sz w:val="21"/>
                <w:szCs w:val="21"/>
                <w:lang w:val="en-US" w:eastAsia="zh-CN"/>
              </w:rPr>
              <w:t>（施工期）</w:t>
            </w:r>
          </w:p>
        </w:tc>
        <w:tc>
          <w:tcPr>
            <w:tcW w:w="658" w:type="pct"/>
            <w:noWrap w:val="0"/>
            <w:vAlign w:val="center"/>
          </w:tcPr>
          <w:p w14:paraId="63916645">
            <w:pPr>
              <w:bidi w:val="0"/>
              <w:spacing w:line="240" w:lineRule="auto"/>
              <w:ind w:left="0" w:leftChars="0" w:firstLine="0" w:firstLineChars="0"/>
              <w:jc w:val="center"/>
              <w:rPr>
                <w:rFonts w:hint="eastAsia"/>
                <w:b/>
                <w:bCs/>
                <w:sz w:val="21"/>
                <w:szCs w:val="21"/>
                <w:lang w:val="en-US" w:eastAsia="zh-CN"/>
              </w:rPr>
            </w:pPr>
            <w:r>
              <w:rPr>
                <w:rFonts w:hint="eastAsia"/>
                <w:b/>
                <w:bCs/>
                <w:sz w:val="21"/>
                <w:szCs w:val="21"/>
                <w:lang w:val="en-US" w:eastAsia="zh-CN"/>
              </w:rPr>
              <w:t>治理后</w:t>
            </w:r>
          </w:p>
          <w:p w14:paraId="5AA9FFC2">
            <w:pPr>
              <w:bidi w:val="0"/>
              <w:spacing w:line="240" w:lineRule="auto"/>
              <w:ind w:left="0" w:leftChars="0" w:firstLine="0" w:firstLineChars="0"/>
              <w:jc w:val="center"/>
              <w:rPr>
                <w:rFonts w:hint="eastAsia"/>
                <w:b/>
                <w:bCs/>
                <w:sz w:val="21"/>
                <w:szCs w:val="21"/>
                <w:lang w:val="en-US" w:eastAsia="zh-CN"/>
              </w:rPr>
            </w:pPr>
            <w:r>
              <w:rPr>
                <w:rFonts w:hint="eastAsia"/>
                <w:b/>
                <w:bCs/>
                <w:sz w:val="21"/>
                <w:szCs w:val="21"/>
                <w:lang w:val="en-US" w:eastAsia="zh-CN"/>
              </w:rPr>
              <w:t>（封场）</w:t>
            </w:r>
          </w:p>
        </w:tc>
      </w:tr>
      <w:tr w14:paraId="14214AA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90" w:hRule="atLeast"/>
          <w:jc w:val="center"/>
        </w:trPr>
        <w:tc>
          <w:tcPr>
            <w:tcW w:w="345" w:type="pct"/>
            <w:vMerge w:val="restart"/>
            <w:noWrap w:val="0"/>
            <w:vAlign w:val="center"/>
          </w:tcPr>
          <w:p w14:paraId="772FBE4F">
            <w:pPr>
              <w:bidi w:val="0"/>
              <w:spacing w:line="240" w:lineRule="auto"/>
              <w:ind w:left="0" w:leftChars="0" w:firstLine="0" w:firstLineChars="0"/>
              <w:jc w:val="center"/>
              <w:rPr>
                <w:rFonts w:hint="eastAsia"/>
                <w:sz w:val="21"/>
                <w:szCs w:val="21"/>
                <w:lang w:val="en-US" w:eastAsia="zh-CN"/>
              </w:rPr>
            </w:pPr>
            <w:r>
              <w:rPr>
                <w:rFonts w:hint="eastAsia"/>
                <w:sz w:val="21"/>
                <w:szCs w:val="21"/>
                <w:lang w:val="en-US" w:eastAsia="zh-CN"/>
              </w:rPr>
              <w:t>社会</w:t>
            </w:r>
          </w:p>
          <w:p w14:paraId="041754EE">
            <w:pPr>
              <w:bidi w:val="0"/>
              <w:spacing w:line="240" w:lineRule="auto"/>
              <w:ind w:left="0" w:leftChars="0" w:firstLine="0" w:firstLineChars="0"/>
              <w:jc w:val="center"/>
              <w:rPr>
                <w:rFonts w:hint="eastAsia"/>
                <w:sz w:val="21"/>
                <w:szCs w:val="21"/>
                <w:lang w:val="en-US" w:eastAsia="zh-CN"/>
              </w:rPr>
            </w:pPr>
            <w:r>
              <w:rPr>
                <w:rFonts w:hint="eastAsia"/>
                <w:sz w:val="21"/>
                <w:szCs w:val="21"/>
                <w:lang w:val="en-US" w:eastAsia="zh-CN"/>
              </w:rPr>
              <w:t>环境</w:t>
            </w:r>
          </w:p>
        </w:tc>
        <w:tc>
          <w:tcPr>
            <w:tcW w:w="741" w:type="pct"/>
            <w:noWrap w:val="0"/>
            <w:vAlign w:val="center"/>
          </w:tcPr>
          <w:p w14:paraId="0424BAE3">
            <w:pPr>
              <w:bidi w:val="0"/>
              <w:spacing w:line="240" w:lineRule="auto"/>
              <w:ind w:left="0" w:leftChars="0" w:firstLine="0" w:firstLineChars="0"/>
              <w:jc w:val="center"/>
              <w:rPr>
                <w:rFonts w:hint="eastAsia"/>
                <w:sz w:val="21"/>
                <w:szCs w:val="21"/>
                <w:lang w:val="en-US" w:eastAsia="zh-CN"/>
              </w:rPr>
            </w:pPr>
            <w:r>
              <w:rPr>
                <w:rFonts w:hint="eastAsia"/>
                <w:sz w:val="21"/>
                <w:szCs w:val="21"/>
                <w:lang w:val="en-US" w:eastAsia="zh-CN"/>
              </w:rPr>
              <w:t>就业劳务</w:t>
            </w:r>
          </w:p>
        </w:tc>
        <w:tc>
          <w:tcPr>
            <w:tcW w:w="650" w:type="pct"/>
            <w:noWrap w:val="0"/>
            <w:vAlign w:val="center"/>
          </w:tcPr>
          <w:p w14:paraId="3052CA22">
            <w:pPr>
              <w:bidi w:val="0"/>
              <w:spacing w:line="240" w:lineRule="auto"/>
              <w:ind w:left="0" w:leftChars="0" w:firstLine="0" w:firstLineChars="0"/>
              <w:jc w:val="center"/>
              <w:rPr>
                <w:rFonts w:hint="eastAsia"/>
                <w:sz w:val="21"/>
                <w:szCs w:val="21"/>
                <w:lang w:val="en-US" w:eastAsia="zh-CN"/>
              </w:rPr>
            </w:pPr>
            <w:r>
              <w:rPr>
                <w:rFonts w:hint="default" w:ascii="Times New Roman" w:hAnsi="Times New Roman" w:cs="Times New Roman"/>
                <w:sz w:val="21"/>
                <w:szCs w:val="21"/>
                <w:lang w:val="en-US" w:eastAsia="zh-CN"/>
              </w:rPr>
              <w:t>△</w:t>
            </w:r>
          </w:p>
        </w:tc>
        <w:tc>
          <w:tcPr>
            <w:tcW w:w="651" w:type="pct"/>
            <w:noWrap w:val="0"/>
            <w:vAlign w:val="center"/>
          </w:tcPr>
          <w:p w14:paraId="2D1A96C7">
            <w:pPr>
              <w:bidi w:val="0"/>
              <w:spacing w:line="240" w:lineRule="auto"/>
              <w:ind w:left="0" w:leftChars="0" w:firstLine="0" w:firstLineChars="0"/>
              <w:jc w:val="center"/>
              <w:rPr>
                <w:rFonts w:hint="eastAsia"/>
                <w:sz w:val="21"/>
                <w:szCs w:val="21"/>
                <w:lang w:val="en-US" w:eastAsia="zh-CN"/>
              </w:rPr>
            </w:pPr>
          </w:p>
        </w:tc>
        <w:tc>
          <w:tcPr>
            <w:tcW w:w="650" w:type="pct"/>
            <w:noWrap w:val="0"/>
            <w:vAlign w:val="center"/>
          </w:tcPr>
          <w:p w14:paraId="5CA75654">
            <w:pPr>
              <w:bidi w:val="0"/>
              <w:spacing w:line="240" w:lineRule="auto"/>
              <w:ind w:left="0" w:leftChars="0" w:firstLine="0" w:firstLineChars="0"/>
              <w:jc w:val="center"/>
              <w:rPr>
                <w:rFonts w:hint="eastAsia"/>
                <w:sz w:val="21"/>
                <w:szCs w:val="21"/>
                <w:lang w:val="en-US" w:eastAsia="zh-CN"/>
              </w:rPr>
            </w:pPr>
          </w:p>
        </w:tc>
        <w:tc>
          <w:tcPr>
            <w:tcW w:w="650" w:type="pct"/>
            <w:noWrap w:val="0"/>
            <w:vAlign w:val="center"/>
          </w:tcPr>
          <w:p w14:paraId="1DAAA14C">
            <w:pPr>
              <w:bidi w:val="0"/>
              <w:spacing w:line="240" w:lineRule="auto"/>
              <w:ind w:left="0" w:leftChars="0" w:firstLine="0" w:firstLineChars="0"/>
              <w:jc w:val="center"/>
              <w:rPr>
                <w:rFonts w:hint="eastAsia"/>
                <w:sz w:val="21"/>
                <w:szCs w:val="21"/>
                <w:lang w:val="en-US" w:eastAsia="zh-CN"/>
              </w:rPr>
            </w:pPr>
          </w:p>
        </w:tc>
        <w:tc>
          <w:tcPr>
            <w:tcW w:w="650" w:type="pct"/>
            <w:noWrap w:val="0"/>
            <w:vAlign w:val="center"/>
          </w:tcPr>
          <w:p w14:paraId="53A2F90B">
            <w:pPr>
              <w:bidi w:val="0"/>
              <w:spacing w:line="240" w:lineRule="auto"/>
              <w:ind w:left="0" w:leftChars="0" w:firstLine="0" w:firstLineChars="0"/>
              <w:jc w:val="center"/>
              <w:rPr>
                <w:rFonts w:hint="eastAsia"/>
                <w:sz w:val="21"/>
                <w:szCs w:val="21"/>
                <w:lang w:val="en-US" w:eastAsia="zh-CN"/>
              </w:rPr>
            </w:pPr>
          </w:p>
        </w:tc>
        <w:tc>
          <w:tcPr>
            <w:tcW w:w="658" w:type="pct"/>
            <w:noWrap w:val="0"/>
            <w:vAlign w:val="center"/>
          </w:tcPr>
          <w:p w14:paraId="0087FE6E">
            <w:pPr>
              <w:bidi w:val="0"/>
              <w:spacing w:line="240" w:lineRule="auto"/>
              <w:ind w:left="0" w:leftChars="0" w:firstLine="0" w:firstLineChars="0"/>
              <w:jc w:val="center"/>
              <w:rPr>
                <w:rFonts w:hint="eastAsia"/>
                <w:sz w:val="21"/>
                <w:szCs w:val="21"/>
                <w:lang w:val="en-US" w:eastAsia="zh-CN"/>
              </w:rPr>
            </w:pPr>
          </w:p>
        </w:tc>
      </w:tr>
      <w:tr w14:paraId="2567CF4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3" w:hRule="atLeast"/>
          <w:jc w:val="center"/>
        </w:trPr>
        <w:tc>
          <w:tcPr>
            <w:tcW w:w="345" w:type="pct"/>
            <w:vMerge w:val="continue"/>
            <w:noWrap w:val="0"/>
            <w:vAlign w:val="center"/>
          </w:tcPr>
          <w:p w14:paraId="472F3A46">
            <w:pPr>
              <w:bidi w:val="0"/>
              <w:spacing w:line="240" w:lineRule="auto"/>
              <w:ind w:left="0" w:leftChars="0" w:firstLine="0" w:firstLineChars="0"/>
              <w:jc w:val="center"/>
              <w:rPr>
                <w:rFonts w:hint="eastAsia"/>
                <w:sz w:val="21"/>
                <w:szCs w:val="21"/>
                <w:lang w:val="en-US" w:eastAsia="zh-CN"/>
              </w:rPr>
            </w:pPr>
          </w:p>
        </w:tc>
        <w:tc>
          <w:tcPr>
            <w:tcW w:w="741" w:type="pct"/>
            <w:noWrap w:val="0"/>
            <w:vAlign w:val="center"/>
          </w:tcPr>
          <w:p w14:paraId="1DDCF929">
            <w:pPr>
              <w:bidi w:val="0"/>
              <w:spacing w:line="240" w:lineRule="auto"/>
              <w:ind w:left="0" w:leftChars="0" w:firstLine="0" w:firstLineChars="0"/>
              <w:jc w:val="center"/>
              <w:rPr>
                <w:rFonts w:hint="eastAsia"/>
                <w:sz w:val="21"/>
                <w:szCs w:val="21"/>
                <w:lang w:val="en-US" w:eastAsia="zh-CN"/>
              </w:rPr>
            </w:pPr>
            <w:r>
              <w:rPr>
                <w:rFonts w:hint="eastAsia"/>
                <w:sz w:val="21"/>
                <w:szCs w:val="21"/>
                <w:lang w:val="en-US" w:eastAsia="zh-CN"/>
              </w:rPr>
              <w:t>社会经济</w:t>
            </w:r>
          </w:p>
        </w:tc>
        <w:tc>
          <w:tcPr>
            <w:tcW w:w="650" w:type="pct"/>
            <w:noWrap w:val="0"/>
            <w:vAlign w:val="center"/>
          </w:tcPr>
          <w:p w14:paraId="251725F5">
            <w:pPr>
              <w:bidi w:val="0"/>
              <w:spacing w:line="240" w:lineRule="auto"/>
              <w:ind w:left="0" w:leftChars="0" w:firstLine="0" w:firstLineChars="0"/>
              <w:jc w:val="center"/>
              <w:rPr>
                <w:rFonts w:hint="eastAsia"/>
                <w:sz w:val="21"/>
                <w:szCs w:val="21"/>
                <w:lang w:val="en-US" w:eastAsia="zh-CN"/>
              </w:rPr>
            </w:pPr>
            <w:r>
              <w:rPr>
                <w:rFonts w:hint="eastAsia"/>
                <w:sz w:val="21"/>
                <w:szCs w:val="21"/>
                <w:lang w:val="en-US" w:eastAsia="zh-CN"/>
              </w:rPr>
              <w:t>△</w:t>
            </w:r>
          </w:p>
        </w:tc>
        <w:tc>
          <w:tcPr>
            <w:tcW w:w="651" w:type="pct"/>
            <w:noWrap w:val="0"/>
            <w:vAlign w:val="center"/>
          </w:tcPr>
          <w:p w14:paraId="0A1817E2">
            <w:pPr>
              <w:bidi w:val="0"/>
              <w:spacing w:line="240" w:lineRule="auto"/>
              <w:ind w:left="0" w:leftChars="0" w:firstLine="0" w:firstLineChars="0"/>
              <w:jc w:val="center"/>
              <w:rPr>
                <w:rFonts w:hint="eastAsia"/>
                <w:sz w:val="21"/>
                <w:szCs w:val="21"/>
                <w:lang w:val="en-US" w:eastAsia="zh-CN"/>
              </w:rPr>
            </w:pPr>
          </w:p>
        </w:tc>
        <w:tc>
          <w:tcPr>
            <w:tcW w:w="650" w:type="pct"/>
            <w:noWrap w:val="0"/>
            <w:vAlign w:val="center"/>
          </w:tcPr>
          <w:p w14:paraId="7C8AAB37">
            <w:pPr>
              <w:bidi w:val="0"/>
              <w:spacing w:line="240" w:lineRule="auto"/>
              <w:ind w:left="0" w:leftChars="0" w:firstLine="0" w:firstLineChars="0"/>
              <w:jc w:val="center"/>
              <w:rPr>
                <w:rFonts w:hint="eastAsia"/>
                <w:sz w:val="21"/>
                <w:szCs w:val="21"/>
                <w:lang w:val="en-US" w:eastAsia="zh-CN"/>
              </w:rPr>
            </w:pPr>
          </w:p>
        </w:tc>
        <w:tc>
          <w:tcPr>
            <w:tcW w:w="650" w:type="pct"/>
            <w:noWrap w:val="0"/>
            <w:vAlign w:val="center"/>
          </w:tcPr>
          <w:p w14:paraId="01C6CFE5">
            <w:pPr>
              <w:bidi w:val="0"/>
              <w:spacing w:line="240" w:lineRule="auto"/>
              <w:ind w:left="0" w:leftChars="0" w:firstLine="0" w:firstLineChars="0"/>
              <w:jc w:val="center"/>
              <w:rPr>
                <w:rFonts w:hint="eastAsia"/>
                <w:sz w:val="21"/>
                <w:szCs w:val="21"/>
                <w:lang w:val="en-US" w:eastAsia="zh-CN"/>
              </w:rPr>
            </w:pPr>
          </w:p>
        </w:tc>
        <w:tc>
          <w:tcPr>
            <w:tcW w:w="650" w:type="pct"/>
            <w:noWrap w:val="0"/>
            <w:vAlign w:val="center"/>
          </w:tcPr>
          <w:p w14:paraId="79268D55">
            <w:pPr>
              <w:bidi w:val="0"/>
              <w:spacing w:line="240" w:lineRule="auto"/>
              <w:ind w:left="0" w:leftChars="0" w:firstLine="0" w:firstLineChars="0"/>
              <w:jc w:val="center"/>
              <w:rPr>
                <w:rFonts w:hint="eastAsia"/>
                <w:sz w:val="21"/>
                <w:szCs w:val="21"/>
                <w:lang w:val="en-US" w:eastAsia="zh-CN"/>
              </w:rPr>
            </w:pPr>
          </w:p>
        </w:tc>
        <w:tc>
          <w:tcPr>
            <w:tcW w:w="658" w:type="pct"/>
            <w:noWrap w:val="0"/>
            <w:vAlign w:val="center"/>
          </w:tcPr>
          <w:p w14:paraId="61901EF4">
            <w:pPr>
              <w:bidi w:val="0"/>
              <w:spacing w:line="240" w:lineRule="auto"/>
              <w:ind w:left="0" w:leftChars="0" w:firstLine="0" w:firstLineChars="0"/>
              <w:jc w:val="center"/>
              <w:rPr>
                <w:rFonts w:hint="eastAsia"/>
                <w:sz w:val="21"/>
                <w:szCs w:val="21"/>
                <w:lang w:val="en-US" w:eastAsia="zh-CN"/>
              </w:rPr>
            </w:pPr>
          </w:p>
        </w:tc>
      </w:tr>
      <w:tr w14:paraId="13AEFB1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3" w:hRule="atLeast"/>
          <w:jc w:val="center"/>
        </w:trPr>
        <w:tc>
          <w:tcPr>
            <w:tcW w:w="345" w:type="pct"/>
            <w:vMerge w:val="continue"/>
            <w:noWrap w:val="0"/>
            <w:vAlign w:val="center"/>
          </w:tcPr>
          <w:p w14:paraId="737D071C">
            <w:pPr>
              <w:bidi w:val="0"/>
              <w:spacing w:line="240" w:lineRule="auto"/>
              <w:ind w:left="0" w:leftChars="0" w:firstLine="0" w:firstLineChars="0"/>
              <w:jc w:val="center"/>
              <w:rPr>
                <w:rFonts w:hint="eastAsia"/>
                <w:sz w:val="21"/>
                <w:szCs w:val="21"/>
                <w:lang w:val="en-US" w:eastAsia="zh-CN"/>
              </w:rPr>
            </w:pPr>
          </w:p>
        </w:tc>
        <w:tc>
          <w:tcPr>
            <w:tcW w:w="741" w:type="pct"/>
            <w:noWrap w:val="0"/>
            <w:vAlign w:val="center"/>
          </w:tcPr>
          <w:p w14:paraId="6809F13F">
            <w:pPr>
              <w:bidi w:val="0"/>
              <w:spacing w:line="240" w:lineRule="auto"/>
              <w:ind w:left="0" w:leftChars="0" w:firstLine="0" w:firstLineChars="0"/>
              <w:jc w:val="center"/>
              <w:rPr>
                <w:rFonts w:hint="eastAsia"/>
                <w:sz w:val="21"/>
                <w:szCs w:val="21"/>
                <w:lang w:val="en-US" w:eastAsia="zh-CN"/>
              </w:rPr>
            </w:pPr>
            <w:r>
              <w:rPr>
                <w:rFonts w:hint="eastAsia"/>
                <w:sz w:val="21"/>
                <w:szCs w:val="21"/>
                <w:lang w:val="en-US" w:eastAsia="zh-CN"/>
              </w:rPr>
              <w:t>居民健康</w:t>
            </w:r>
          </w:p>
        </w:tc>
        <w:tc>
          <w:tcPr>
            <w:tcW w:w="650" w:type="pct"/>
            <w:noWrap w:val="0"/>
            <w:vAlign w:val="center"/>
          </w:tcPr>
          <w:p w14:paraId="0BC2B19A">
            <w:pPr>
              <w:bidi w:val="0"/>
              <w:spacing w:line="240" w:lineRule="auto"/>
              <w:ind w:left="0" w:leftChars="0" w:firstLine="0" w:firstLineChars="0"/>
              <w:jc w:val="center"/>
              <w:rPr>
                <w:rFonts w:hint="eastAsia"/>
                <w:sz w:val="21"/>
                <w:szCs w:val="21"/>
                <w:lang w:val="en-US" w:eastAsia="zh-CN"/>
              </w:rPr>
            </w:pPr>
            <w:r>
              <w:rPr>
                <w:rFonts w:hint="eastAsia"/>
                <w:sz w:val="21"/>
                <w:szCs w:val="21"/>
                <w:lang w:val="en-US" w:eastAsia="zh-CN"/>
              </w:rPr>
              <w:t>▲</w:t>
            </w:r>
          </w:p>
        </w:tc>
        <w:tc>
          <w:tcPr>
            <w:tcW w:w="651" w:type="pct"/>
            <w:noWrap w:val="0"/>
            <w:vAlign w:val="center"/>
          </w:tcPr>
          <w:p w14:paraId="34E67639">
            <w:pPr>
              <w:bidi w:val="0"/>
              <w:spacing w:line="240" w:lineRule="auto"/>
              <w:ind w:left="0" w:leftChars="0" w:firstLine="0" w:firstLineChars="0"/>
              <w:jc w:val="center"/>
              <w:rPr>
                <w:rFonts w:hint="eastAsia"/>
                <w:sz w:val="21"/>
                <w:szCs w:val="21"/>
                <w:lang w:val="en-US" w:eastAsia="zh-CN"/>
              </w:rPr>
            </w:pPr>
            <w:r>
              <w:rPr>
                <w:rFonts w:hint="eastAsia"/>
                <w:sz w:val="21"/>
                <w:szCs w:val="21"/>
                <w:lang w:val="en-US" w:eastAsia="zh-CN"/>
              </w:rPr>
              <w:t>☆</w:t>
            </w:r>
          </w:p>
        </w:tc>
        <w:tc>
          <w:tcPr>
            <w:tcW w:w="650" w:type="pct"/>
            <w:noWrap w:val="0"/>
            <w:vAlign w:val="center"/>
          </w:tcPr>
          <w:p w14:paraId="0E333F7A">
            <w:pPr>
              <w:bidi w:val="0"/>
              <w:spacing w:line="240" w:lineRule="auto"/>
              <w:ind w:left="0" w:leftChars="0" w:firstLine="0" w:firstLineChars="0"/>
              <w:jc w:val="center"/>
              <w:rPr>
                <w:rFonts w:hint="eastAsia"/>
                <w:sz w:val="21"/>
                <w:szCs w:val="21"/>
                <w:lang w:val="en-US" w:eastAsia="zh-CN"/>
              </w:rPr>
            </w:pPr>
          </w:p>
        </w:tc>
        <w:tc>
          <w:tcPr>
            <w:tcW w:w="650" w:type="pct"/>
            <w:noWrap w:val="0"/>
            <w:vAlign w:val="center"/>
          </w:tcPr>
          <w:p w14:paraId="16D44D5E">
            <w:pPr>
              <w:bidi w:val="0"/>
              <w:spacing w:line="240" w:lineRule="auto"/>
              <w:ind w:left="0" w:leftChars="0" w:firstLine="0" w:firstLineChars="0"/>
              <w:jc w:val="center"/>
              <w:rPr>
                <w:rFonts w:hint="eastAsia"/>
                <w:sz w:val="21"/>
                <w:szCs w:val="21"/>
                <w:lang w:val="en-US" w:eastAsia="zh-CN"/>
              </w:rPr>
            </w:pPr>
          </w:p>
        </w:tc>
        <w:tc>
          <w:tcPr>
            <w:tcW w:w="650" w:type="pct"/>
            <w:noWrap w:val="0"/>
            <w:vAlign w:val="center"/>
          </w:tcPr>
          <w:p w14:paraId="2434E4D6">
            <w:pPr>
              <w:bidi w:val="0"/>
              <w:spacing w:line="240" w:lineRule="auto"/>
              <w:ind w:left="0" w:leftChars="0" w:firstLine="0" w:firstLineChars="0"/>
              <w:jc w:val="center"/>
              <w:rPr>
                <w:rFonts w:hint="eastAsia"/>
                <w:sz w:val="21"/>
                <w:szCs w:val="21"/>
                <w:lang w:val="en-US" w:eastAsia="zh-CN"/>
              </w:rPr>
            </w:pPr>
          </w:p>
        </w:tc>
        <w:tc>
          <w:tcPr>
            <w:tcW w:w="658" w:type="pct"/>
            <w:noWrap w:val="0"/>
            <w:vAlign w:val="center"/>
          </w:tcPr>
          <w:p w14:paraId="0BF1A981">
            <w:pPr>
              <w:bidi w:val="0"/>
              <w:spacing w:line="240" w:lineRule="auto"/>
              <w:ind w:left="0" w:leftChars="0" w:firstLine="0" w:firstLineChars="0"/>
              <w:jc w:val="center"/>
              <w:rPr>
                <w:rFonts w:hint="eastAsia"/>
                <w:sz w:val="21"/>
                <w:szCs w:val="21"/>
                <w:lang w:val="en-US" w:eastAsia="zh-CN"/>
              </w:rPr>
            </w:pPr>
          </w:p>
        </w:tc>
      </w:tr>
      <w:tr w14:paraId="68BEE15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3" w:hRule="atLeast"/>
          <w:jc w:val="center"/>
        </w:trPr>
        <w:tc>
          <w:tcPr>
            <w:tcW w:w="345" w:type="pct"/>
            <w:vMerge w:val="continue"/>
            <w:noWrap w:val="0"/>
            <w:vAlign w:val="center"/>
          </w:tcPr>
          <w:p w14:paraId="55036D66">
            <w:pPr>
              <w:bidi w:val="0"/>
              <w:spacing w:line="240" w:lineRule="auto"/>
              <w:ind w:left="0" w:leftChars="0" w:firstLine="0" w:firstLineChars="0"/>
              <w:jc w:val="center"/>
              <w:rPr>
                <w:rFonts w:hint="eastAsia"/>
                <w:sz w:val="21"/>
                <w:szCs w:val="21"/>
                <w:lang w:val="en-US" w:eastAsia="zh-CN"/>
              </w:rPr>
            </w:pPr>
          </w:p>
        </w:tc>
        <w:tc>
          <w:tcPr>
            <w:tcW w:w="741" w:type="pct"/>
            <w:noWrap w:val="0"/>
            <w:vAlign w:val="center"/>
          </w:tcPr>
          <w:p w14:paraId="786B0D8E">
            <w:pPr>
              <w:bidi w:val="0"/>
              <w:spacing w:line="240" w:lineRule="auto"/>
              <w:ind w:left="0" w:leftChars="0" w:firstLine="0" w:firstLineChars="0"/>
              <w:jc w:val="center"/>
              <w:rPr>
                <w:rFonts w:hint="eastAsia"/>
                <w:sz w:val="21"/>
                <w:szCs w:val="21"/>
                <w:lang w:val="en-US" w:eastAsia="zh-CN"/>
              </w:rPr>
            </w:pPr>
            <w:r>
              <w:rPr>
                <w:rFonts w:hint="eastAsia"/>
                <w:sz w:val="21"/>
                <w:szCs w:val="21"/>
                <w:lang w:val="en-US" w:eastAsia="zh-CN"/>
              </w:rPr>
              <w:t>城市发展</w:t>
            </w:r>
          </w:p>
        </w:tc>
        <w:tc>
          <w:tcPr>
            <w:tcW w:w="650" w:type="pct"/>
            <w:noWrap w:val="0"/>
            <w:vAlign w:val="center"/>
          </w:tcPr>
          <w:p w14:paraId="08F09B78">
            <w:pPr>
              <w:bidi w:val="0"/>
              <w:spacing w:line="240" w:lineRule="auto"/>
              <w:ind w:left="0" w:leftChars="0" w:firstLine="0" w:firstLineChars="0"/>
              <w:jc w:val="center"/>
              <w:rPr>
                <w:rFonts w:hint="eastAsia"/>
                <w:sz w:val="21"/>
                <w:szCs w:val="21"/>
                <w:lang w:val="en-US" w:eastAsia="zh-CN"/>
              </w:rPr>
            </w:pPr>
            <w:r>
              <w:rPr>
                <w:rFonts w:hint="eastAsia"/>
                <w:sz w:val="21"/>
                <w:szCs w:val="21"/>
                <w:lang w:val="en-US" w:eastAsia="zh-CN"/>
              </w:rPr>
              <w:t>▲</w:t>
            </w:r>
          </w:p>
        </w:tc>
        <w:tc>
          <w:tcPr>
            <w:tcW w:w="651" w:type="pct"/>
            <w:noWrap w:val="0"/>
            <w:vAlign w:val="center"/>
          </w:tcPr>
          <w:p w14:paraId="44ADF405">
            <w:pPr>
              <w:bidi w:val="0"/>
              <w:spacing w:line="240" w:lineRule="auto"/>
              <w:ind w:left="0" w:leftChars="0" w:firstLine="0" w:firstLineChars="0"/>
              <w:jc w:val="center"/>
              <w:rPr>
                <w:rFonts w:hint="eastAsia"/>
                <w:sz w:val="21"/>
                <w:szCs w:val="21"/>
                <w:lang w:val="en-US" w:eastAsia="zh-CN"/>
              </w:rPr>
            </w:pPr>
            <w:r>
              <w:rPr>
                <w:rFonts w:hint="eastAsia"/>
                <w:sz w:val="21"/>
                <w:szCs w:val="21"/>
                <w:lang w:val="en-US" w:eastAsia="zh-CN"/>
              </w:rPr>
              <w:t>☆</w:t>
            </w:r>
          </w:p>
        </w:tc>
        <w:tc>
          <w:tcPr>
            <w:tcW w:w="650" w:type="pct"/>
            <w:noWrap w:val="0"/>
            <w:vAlign w:val="center"/>
          </w:tcPr>
          <w:p w14:paraId="7250C251">
            <w:pPr>
              <w:bidi w:val="0"/>
              <w:spacing w:line="240" w:lineRule="auto"/>
              <w:ind w:left="0" w:leftChars="0" w:firstLine="0" w:firstLineChars="0"/>
              <w:jc w:val="center"/>
              <w:rPr>
                <w:rFonts w:hint="eastAsia"/>
                <w:sz w:val="21"/>
                <w:szCs w:val="21"/>
                <w:lang w:val="en-US" w:eastAsia="zh-CN"/>
              </w:rPr>
            </w:pPr>
          </w:p>
        </w:tc>
        <w:tc>
          <w:tcPr>
            <w:tcW w:w="650" w:type="pct"/>
            <w:noWrap w:val="0"/>
            <w:vAlign w:val="center"/>
          </w:tcPr>
          <w:p w14:paraId="486E6752">
            <w:pPr>
              <w:bidi w:val="0"/>
              <w:spacing w:line="240" w:lineRule="auto"/>
              <w:ind w:left="0" w:leftChars="0" w:firstLine="0" w:firstLineChars="0"/>
              <w:jc w:val="center"/>
              <w:rPr>
                <w:rFonts w:hint="eastAsia"/>
                <w:sz w:val="21"/>
                <w:szCs w:val="21"/>
                <w:lang w:val="en-US" w:eastAsia="zh-CN"/>
              </w:rPr>
            </w:pPr>
          </w:p>
        </w:tc>
        <w:tc>
          <w:tcPr>
            <w:tcW w:w="650" w:type="pct"/>
            <w:noWrap w:val="0"/>
            <w:vAlign w:val="center"/>
          </w:tcPr>
          <w:p w14:paraId="3C545F8B">
            <w:pPr>
              <w:bidi w:val="0"/>
              <w:spacing w:line="240" w:lineRule="auto"/>
              <w:ind w:left="0" w:leftChars="0" w:firstLine="0" w:firstLineChars="0"/>
              <w:jc w:val="center"/>
              <w:rPr>
                <w:rFonts w:hint="eastAsia"/>
                <w:sz w:val="21"/>
                <w:szCs w:val="21"/>
                <w:lang w:val="en-US" w:eastAsia="zh-CN"/>
              </w:rPr>
            </w:pPr>
            <w:r>
              <w:rPr>
                <w:rFonts w:hint="eastAsia"/>
                <w:sz w:val="21"/>
                <w:szCs w:val="21"/>
                <w:lang w:val="en-US" w:eastAsia="zh-CN"/>
              </w:rPr>
              <w:t>▲</w:t>
            </w:r>
          </w:p>
        </w:tc>
        <w:tc>
          <w:tcPr>
            <w:tcW w:w="658" w:type="pct"/>
            <w:noWrap w:val="0"/>
            <w:vAlign w:val="center"/>
          </w:tcPr>
          <w:p w14:paraId="74980278">
            <w:pPr>
              <w:bidi w:val="0"/>
              <w:spacing w:line="240" w:lineRule="auto"/>
              <w:ind w:left="0" w:leftChars="0" w:firstLine="0" w:firstLineChars="0"/>
              <w:jc w:val="center"/>
              <w:rPr>
                <w:rFonts w:hint="eastAsia"/>
                <w:sz w:val="21"/>
                <w:szCs w:val="21"/>
                <w:lang w:val="en-US" w:eastAsia="zh-CN"/>
              </w:rPr>
            </w:pPr>
          </w:p>
        </w:tc>
      </w:tr>
      <w:tr w14:paraId="544F1ED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3" w:hRule="atLeast"/>
          <w:jc w:val="center"/>
        </w:trPr>
        <w:tc>
          <w:tcPr>
            <w:tcW w:w="345" w:type="pct"/>
            <w:vMerge w:val="restart"/>
            <w:noWrap w:val="0"/>
            <w:vAlign w:val="center"/>
          </w:tcPr>
          <w:p w14:paraId="3DC5103F">
            <w:pPr>
              <w:bidi w:val="0"/>
              <w:spacing w:line="240" w:lineRule="auto"/>
              <w:ind w:left="0" w:leftChars="0" w:firstLine="0" w:firstLineChars="0"/>
              <w:jc w:val="center"/>
              <w:rPr>
                <w:rFonts w:hint="eastAsia"/>
                <w:sz w:val="21"/>
                <w:szCs w:val="21"/>
                <w:lang w:val="en-US" w:eastAsia="zh-CN"/>
              </w:rPr>
            </w:pPr>
            <w:r>
              <w:rPr>
                <w:rFonts w:hint="eastAsia"/>
                <w:sz w:val="21"/>
                <w:szCs w:val="21"/>
                <w:lang w:val="en-US" w:eastAsia="zh-CN"/>
              </w:rPr>
              <w:t>生态</w:t>
            </w:r>
          </w:p>
          <w:p w14:paraId="46FF5AE8">
            <w:pPr>
              <w:bidi w:val="0"/>
              <w:spacing w:line="240" w:lineRule="auto"/>
              <w:ind w:left="0" w:leftChars="0" w:firstLine="0" w:firstLineChars="0"/>
              <w:jc w:val="center"/>
              <w:rPr>
                <w:rFonts w:hint="eastAsia"/>
                <w:sz w:val="21"/>
                <w:szCs w:val="21"/>
                <w:lang w:val="en-US" w:eastAsia="zh-CN"/>
              </w:rPr>
            </w:pPr>
            <w:r>
              <w:rPr>
                <w:rFonts w:hint="eastAsia"/>
                <w:sz w:val="21"/>
                <w:szCs w:val="21"/>
                <w:lang w:val="en-US" w:eastAsia="zh-CN"/>
              </w:rPr>
              <w:t>环境</w:t>
            </w:r>
          </w:p>
        </w:tc>
        <w:tc>
          <w:tcPr>
            <w:tcW w:w="741" w:type="pct"/>
            <w:noWrap w:val="0"/>
            <w:vAlign w:val="center"/>
          </w:tcPr>
          <w:p w14:paraId="167E0E2C">
            <w:pPr>
              <w:bidi w:val="0"/>
              <w:spacing w:line="240" w:lineRule="auto"/>
              <w:ind w:left="0" w:leftChars="0" w:firstLine="0" w:firstLineChars="0"/>
              <w:jc w:val="center"/>
              <w:rPr>
                <w:rFonts w:hint="eastAsia"/>
                <w:sz w:val="21"/>
                <w:szCs w:val="21"/>
                <w:lang w:val="en-US" w:eastAsia="zh-CN"/>
              </w:rPr>
            </w:pPr>
            <w:r>
              <w:rPr>
                <w:rFonts w:hint="eastAsia"/>
                <w:sz w:val="21"/>
                <w:szCs w:val="21"/>
                <w:lang w:val="en-US" w:eastAsia="zh-CN"/>
              </w:rPr>
              <w:t>城市生态景观</w:t>
            </w:r>
          </w:p>
        </w:tc>
        <w:tc>
          <w:tcPr>
            <w:tcW w:w="650" w:type="pct"/>
            <w:noWrap w:val="0"/>
            <w:vAlign w:val="center"/>
          </w:tcPr>
          <w:p w14:paraId="561B9966">
            <w:pPr>
              <w:bidi w:val="0"/>
              <w:spacing w:line="240" w:lineRule="auto"/>
              <w:ind w:left="0" w:leftChars="0" w:firstLine="0" w:firstLineChars="0"/>
              <w:jc w:val="center"/>
              <w:rPr>
                <w:rFonts w:hint="eastAsia"/>
                <w:sz w:val="21"/>
                <w:szCs w:val="21"/>
                <w:lang w:val="en-US" w:eastAsia="zh-CN"/>
              </w:rPr>
            </w:pPr>
            <w:r>
              <w:rPr>
                <w:rFonts w:hint="eastAsia"/>
                <w:sz w:val="21"/>
                <w:szCs w:val="21"/>
                <w:lang w:val="en-US" w:eastAsia="zh-CN"/>
              </w:rPr>
              <w:t>▲</w:t>
            </w:r>
          </w:p>
        </w:tc>
        <w:tc>
          <w:tcPr>
            <w:tcW w:w="651" w:type="pct"/>
            <w:noWrap w:val="0"/>
            <w:vAlign w:val="center"/>
          </w:tcPr>
          <w:p w14:paraId="749BE69E">
            <w:pPr>
              <w:bidi w:val="0"/>
              <w:spacing w:line="240" w:lineRule="auto"/>
              <w:ind w:left="0" w:leftChars="0" w:firstLine="0" w:firstLineChars="0"/>
              <w:jc w:val="center"/>
              <w:rPr>
                <w:rFonts w:hint="eastAsia"/>
                <w:sz w:val="21"/>
                <w:szCs w:val="21"/>
                <w:lang w:val="en-US" w:eastAsia="zh-CN"/>
              </w:rPr>
            </w:pPr>
            <w:r>
              <w:rPr>
                <w:rFonts w:hint="eastAsia"/>
                <w:sz w:val="21"/>
                <w:szCs w:val="21"/>
                <w:lang w:val="en-US" w:eastAsia="zh-CN"/>
              </w:rPr>
              <w:t>☆</w:t>
            </w:r>
          </w:p>
        </w:tc>
        <w:tc>
          <w:tcPr>
            <w:tcW w:w="650" w:type="pct"/>
            <w:noWrap w:val="0"/>
            <w:vAlign w:val="center"/>
          </w:tcPr>
          <w:p w14:paraId="2C7C61B1">
            <w:pPr>
              <w:bidi w:val="0"/>
              <w:spacing w:line="240" w:lineRule="auto"/>
              <w:ind w:left="0" w:leftChars="0" w:firstLine="0" w:firstLineChars="0"/>
              <w:jc w:val="center"/>
              <w:rPr>
                <w:rFonts w:hint="eastAsia"/>
                <w:sz w:val="21"/>
                <w:szCs w:val="21"/>
                <w:lang w:val="en-US" w:eastAsia="zh-CN"/>
              </w:rPr>
            </w:pPr>
            <w:r>
              <w:rPr>
                <w:rFonts w:hint="eastAsia"/>
                <w:sz w:val="21"/>
                <w:szCs w:val="21"/>
                <w:lang w:val="en-US" w:eastAsia="zh-CN"/>
              </w:rPr>
              <w:t>▲</w:t>
            </w:r>
          </w:p>
        </w:tc>
        <w:tc>
          <w:tcPr>
            <w:tcW w:w="650" w:type="pct"/>
            <w:noWrap w:val="0"/>
            <w:vAlign w:val="center"/>
          </w:tcPr>
          <w:p w14:paraId="041D866F">
            <w:pPr>
              <w:bidi w:val="0"/>
              <w:spacing w:line="240" w:lineRule="auto"/>
              <w:ind w:left="0" w:leftChars="0" w:firstLine="0" w:firstLineChars="0"/>
              <w:jc w:val="center"/>
              <w:rPr>
                <w:rFonts w:hint="eastAsia"/>
                <w:sz w:val="21"/>
                <w:szCs w:val="21"/>
                <w:lang w:val="en-US" w:eastAsia="zh-CN"/>
              </w:rPr>
            </w:pPr>
            <w:r>
              <w:rPr>
                <w:rFonts w:hint="eastAsia"/>
                <w:sz w:val="21"/>
                <w:szCs w:val="21"/>
                <w:lang w:val="en-US" w:eastAsia="zh-CN"/>
              </w:rPr>
              <w:t>☆</w:t>
            </w:r>
          </w:p>
        </w:tc>
        <w:tc>
          <w:tcPr>
            <w:tcW w:w="650" w:type="pct"/>
            <w:noWrap w:val="0"/>
            <w:vAlign w:val="center"/>
          </w:tcPr>
          <w:p w14:paraId="03F3E7F8">
            <w:pPr>
              <w:bidi w:val="0"/>
              <w:spacing w:line="240" w:lineRule="auto"/>
              <w:ind w:left="0" w:leftChars="0" w:firstLine="0" w:firstLineChars="0"/>
              <w:jc w:val="center"/>
              <w:rPr>
                <w:rFonts w:hint="eastAsia"/>
                <w:sz w:val="21"/>
                <w:szCs w:val="21"/>
                <w:lang w:val="en-US" w:eastAsia="zh-CN"/>
              </w:rPr>
            </w:pPr>
            <w:r>
              <w:rPr>
                <w:rFonts w:hint="eastAsia"/>
                <w:sz w:val="21"/>
                <w:szCs w:val="21"/>
                <w:lang w:val="en-US" w:eastAsia="zh-CN"/>
              </w:rPr>
              <w:t>▲</w:t>
            </w:r>
          </w:p>
        </w:tc>
        <w:tc>
          <w:tcPr>
            <w:tcW w:w="658" w:type="pct"/>
            <w:noWrap w:val="0"/>
            <w:vAlign w:val="center"/>
          </w:tcPr>
          <w:p w14:paraId="7299CC68">
            <w:pPr>
              <w:bidi w:val="0"/>
              <w:spacing w:line="240" w:lineRule="auto"/>
              <w:ind w:left="0" w:leftChars="0" w:firstLine="0" w:firstLineChars="0"/>
              <w:jc w:val="center"/>
              <w:rPr>
                <w:rFonts w:hint="eastAsia"/>
                <w:sz w:val="21"/>
                <w:szCs w:val="21"/>
                <w:lang w:val="en-US" w:eastAsia="zh-CN"/>
              </w:rPr>
            </w:pPr>
          </w:p>
        </w:tc>
      </w:tr>
      <w:tr w14:paraId="2CD8403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3" w:hRule="atLeast"/>
          <w:jc w:val="center"/>
        </w:trPr>
        <w:tc>
          <w:tcPr>
            <w:tcW w:w="345" w:type="pct"/>
            <w:vMerge w:val="continue"/>
            <w:noWrap w:val="0"/>
            <w:vAlign w:val="center"/>
          </w:tcPr>
          <w:p w14:paraId="499F2007">
            <w:pPr>
              <w:bidi w:val="0"/>
              <w:spacing w:line="240" w:lineRule="auto"/>
              <w:ind w:left="0" w:leftChars="0" w:firstLine="0" w:firstLineChars="0"/>
              <w:jc w:val="center"/>
              <w:rPr>
                <w:rFonts w:hint="eastAsia"/>
                <w:sz w:val="21"/>
                <w:szCs w:val="21"/>
                <w:lang w:val="en-US" w:eastAsia="zh-CN"/>
              </w:rPr>
            </w:pPr>
          </w:p>
        </w:tc>
        <w:tc>
          <w:tcPr>
            <w:tcW w:w="741" w:type="pct"/>
            <w:noWrap w:val="0"/>
            <w:vAlign w:val="center"/>
          </w:tcPr>
          <w:p w14:paraId="15A666B1">
            <w:pPr>
              <w:bidi w:val="0"/>
              <w:spacing w:line="240" w:lineRule="auto"/>
              <w:ind w:left="0" w:leftChars="0" w:firstLine="0" w:firstLineChars="0"/>
              <w:jc w:val="center"/>
              <w:rPr>
                <w:rFonts w:hint="eastAsia"/>
                <w:sz w:val="21"/>
                <w:szCs w:val="21"/>
                <w:lang w:val="en-US" w:eastAsia="zh-CN"/>
              </w:rPr>
            </w:pPr>
            <w:r>
              <w:rPr>
                <w:rFonts w:hint="eastAsia"/>
                <w:sz w:val="21"/>
                <w:szCs w:val="21"/>
                <w:lang w:val="en-US" w:eastAsia="zh-CN"/>
              </w:rPr>
              <w:t>水土流失</w:t>
            </w:r>
          </w:p>
        </w:tc>
        <w:tc>
          <w:tcPr>
            <w:tcW w:w="650" w:type="pct"/>
            <w:noWrap w:val="0"/>
            <w:vAlign w:val="center"/>
          </w:tcPr>
          <w:p w14:paraId="5B6C9F42">
            <w:pPr>
              <w:bidi w:val="0"/>
              <w:spacing w:line="240" w:lineRule="auto"/>
              <w:ind w:left="0" w:leftChars="0" w:firstLine="0" w:firstLineChars="0"/>
              <w:jc w:val="center"/>
              <w:rPr>
                <w:rFonts w:hint="eastAsia"/>
                <w:sz w:val="21"/>
                <w:szCs w:val="21"/>
                <w:lang w:val="en-US" w:eastAsia="zh-CN"/>
              </w:rPr>
            </w:pPr>
            <w:r>
              <w:rPr>
                <w:rFonts w:hint="eastAsia"/>
                <w:sz w:val="21"/>
                <w:szCs w:val="21"/>
                <w:lang w:val="en-US" w:eastAsia="zh-CN"/>
              </w:rPr>
              <w:t>▲</w:t>
            </w:r>
          </w:p>
        </w:tc>
        <w:tc>
          <w:tcPr>
            <w:tcW w:w="651" w:type="pct"/>
            <w:noWrap w:val="0"/>
            <w:vAlign w:val="center"/>
          </w:tcPr>
          <w:p w14:paraId="472B91D1">
            <w:pPr>
              <w:bidi w:val="0"/>
              <w:spacing w:line="240" w:lineRule="auto"/>
              <w:ind w:left="0" w:leftChars="0" w:firstLine="0" w:firstLineChars="0"/>
              <w:jc w:val="center"/>
              <w:rPr>
                <w:rFonts w:hint="eastAsia"/>
                <w:sz w:val="21"/>
                <w:szCs w:val="21"/>
                <w:lang w:val="en-US" w:eastAsia="zh-CN"/>
              </w:rPr>
            </w:pPr>
            <w:r>
              <w:rPr>
                <w:rFonts w:hint="eastAsia"/>
                <w:sz w:val="21"/>
                <w:szCs w:val="21"/>
                <w:lang w:val="en-US" w:eastAsia="zh-CN"/>
              </w:rPr>
              <w:t>☆</w:t>
            </w:r>
          </w:p>
        </w:tc>
        <w:tc>
          <w:tcPr>
            <w:tcW w:w="650" w:type="pct"/>
            <w:noWrap w:val="0"/>
            <w:vAlign w:val="center"/>
          </w:tcPr>
          <w:p w14:paraId="5BEDF161">
            <w:pPr>
              <w:bidi w:val="0"/>
              <w:spacing w:line="240" w:lineRule="auto"/>
              <w:ind w:left="0" w:leftChars="0" w:firstLine="0" w:firstLineChars="0"/>
              <w:jc w:val="center"/>
              <w:rPr>
                <w:rFonts w:hint="eastAsia"/>
                <w:sz w:val="21"/>
                <w:szCs w:val="21"/>
                <w:lang w:val="en-US" w:eastAsia="zh-CN"/>
              </w:rPr>
            </w:pPr>
            <w:r>
              <w:rPr>
                <w:rFonts w:hint="eastAsia"/>
                <w:sz w:val="21"/>
                <w:szCs w:val="21"/>
                <w:lang w:val="en-US" w:eastAsia="zh-CN"/>
              </w:rPr>
              <w:t>▲</w:t>
            </w:r>
          </w:p>
        </w:tc>
        <w:tc>
          <w:tcPr>
            <w:tcW w:w="650" w:type="pct"/>
            <w:noWrap w:val="0"/>
            <w:vAlign w:val="center"/>
          </w:tcPr>
          <w:p w14:paraId="28F354D7">
            <w:pPr>
              <w:bidi w:val="0"/>
              <w:spacing w:line="240" w:lineRule="auto"/>
              <w:ind w:left="0" w:leftChars="0" w:firstLine="0" w:firstLineChars="0"/>
              <w:jc w:val="center"/>
              <w:rPr>
                <w:rFonts w:hint="eastAsia"/>
                <w:sz w:val="21"/>
                <w:szCs w:val="21"/>
                <w:lang w:val="en-US" w:eastAsia="zh-CN"/>
              </w:rPr>
            </w:pPr>
            <w:r>
              <w:rPr>
                <w:rFonts w:hint="eastAsia"/>
                <w:sz w:val="21"/>
                <w:szCs w:val="21"/>
                <w:lang w:val="en-US" w:eastAsia="zh-CN"/>
              </w:rPr>
              <w:t>☆</w:t>
            </w:r>
          </w:p>
        </w:tc>
        <w:tc>
          <w:tcPr>
            <w:tcW w:w="650" w:type="pct"/>
            <w:noWrap w:val="0"/>
            <w:vAlign w:val="center"/>
          </w:tcPr>
          <w:p w14:paraId="645393F7">
            <w:pPr>
              <w:bidi w:val="0"/>
              <w:spacing w:line="240" w:lineRule="auto"/>
              <w:ind w:left="0" w:leftChars="0" w:firstLine="0" w:firstLineChars="0"/>
              <w:jc w:val="center"/>
              <w:rPr>
                <w:rFonts w:hint="eastAsia"/>
                <w:sz w:val="21"/>
                <w:szCs w:val="21"/>
                <w:lang w:val="en-US" w:eastAsia="zh-CN"/>
              </w:rPr>
            </w:pPr>
            <w:r>
              <w:rPr>
                <w:rFonts w:hint="eastAsia"/>
                <w:sz w:val="21"/>
                <w:szCs w:val="21"/>
                <w:lang w:val="en-US" w:eastAsia="zh-CN"/>
              </w:rPr>
              <w:t>▲</w:t>
            </w:r>
          </w:p>
        </w:tc>
        <w:tc>
          <w:tcPr>
            <w:tcW w:w="658" w:type="pct"/>
            <w:noWrap w:val="0"/>
            <w:vAlign w:val="center"/>
          </w:tcPr>
          <w:p w14:paraId="5A17B98D">
            <w:pPr>
              <w:bidi w:val="0"/>
              <w:spacing w:line="240" w:lineRule="auto"/>
              <w:ind w:left="0" w:leftChars="0" w:firstLine="0" w:firstLineChars="0"/>
              <w:jc w:val="center"/>
              <w:rPr>
                <w:rFonts w:hint="eastAsia"/>
                <w:sz w:val="21"/>
                <w:szCs w:val="21"/>
                <w:lang w:val="en-US" w:eastAsia="zh-CN"/>
              </w:rPr>
            </w:pPr>
          </w:p>
        </w:tc>
      </w:tr>
      <w:tr w14:paraId="6CD627B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3" w:hRule="atLeast"/>
          <w:jc w:val="center"/>
        </w:trPr>
        <w:tc>
          <w:tcPr>
            <w:tcW w:w="345" w:type="pct"/>
            <w:vMerge w:val="continue"/>
            <w:noWrap w:val="0"/>
            <w:vAlign w:val="center"/>
          </w:tcPr>
          <w:p w14:paraId="0C240669">
            <w:pPr>
              <w:bidi w:val="0"/>
              <w:spacing w:line="240" w:lineRule="auto"/>
              <w:ind w:left="0" w:leftChars="0" w:firstLine="0" w:firstLineChars="0"/>
              <w:jc w:val="center"/>
              <w:rPr>
                <w:rFonts w:hint="eastAsia"/>
                <w:sz w:val="21"/>
                <w:szCs w:val="21"/>
                <w:lang w:val="en-US" w:eastAsia="zh-CN"/>
              </w:rPr>
            </w:pPr>
          </w:p>
        </w:tc>
        <w:tc>
          <w:tcPr>
            <w:tcW w:w="741" w:type="pct"/>
            <w:noWrap w:val="0"/>
            <w:vAlign w:val="center"/>
          </w:tcPr>
          <w:p w14:paraId="6505188E">
            <w:pPr>
              <w:bidi w:val="0"/>
              <w:spacing w:line="240" w:lineRule="auto"/>
              <w:ind w:left="0" w:leftChars="0" w:firstLine="0" w:firstLineChars="0"/>
              <w:jc w:val="center"/>
              <w:rPr>
                <w:rFonts w:hint="eastAsia"/>
                <w:sz w:val="21"/>
                <w:szCs w:val="21"/>
                <w:lang w:val="en-US" w:eastAsia="zh-CN"/>
              </w:rPr>
            </w:pPr>
            <w:r>
              <w:rPr>
                <w:rFonts w:hint="eastAsia"/>
                <w:sz w:val="21"/>
                <w:szCs w:val="21"/>
                <w:lang w:val="en-US" w:eastAsia="zh-CN"/>
              </w:rPr>
              <w:t>陆生植被</w:t>
            </w:r>
          </w:p>
        </w:tc>
        <w:tc>
          <w:tcPr>
            <w:tcW w:w="650" w:type="pct"/>
            <w:noWrap w:val="0"/>
            <w:vAlign w:val="center"/>
          </w:tcPr>
          <w:p w14:paraId="628B1D72">
            <w:pPr>
              <w:bidi w:val="0"/>
              <w:spacing w:line="240" w:lineRule="auto"/>
              <w:ind w:left="0" w:leftChars="0" w:firstLine="0" w:firstLineChars="0"/>
              <w:jc w:val="center"/>
              <w:rPr>
                <w:rFonts w:hint="eastAsia"/>
                <w:sz w:val="21"/>
                <w:szCs w:val="21"/>
                <w:lang w:val="en-US" w:eastAsia="zh-CN"/>
              </w:rPr>
            </w:pPr>
            <w:r>
              <w:rPr>
                <w:rFonts w:hint="eastAsia"/>
                <w:sz w:val="21"/>
                <w:szCs w:val="21"/>
                <w:lang w:val="en-US" w:eastAsia="zh-CN"/>
              </w:rPr>
              <w:t>▲</w:t>
            </w:r>
          </w:p>
        </w:tc>
        <w:tc>
          <w:tcPr>
            <w:tcW w:w="651" w:type="pct"/>
            <w:noWrap w:val="0"/>
            <w:vAlign w:val="center"/>
          </w:tcPr>
          <w:p w14:paraId="5709C6E3">
            <w:pPr>
              <w:bidi w:val="0"/>
              <w:spacing w:line="240" w:lineRule="auto"/>
              <w:ind w:left="0" w:leftChars="0" w:firstLine="0" w:firstLineChars="0"/>
              <w:jc w:val="center"/>
              <w:rPr>
                <w:rFonts w:hint="eastAsia"/>
                <w:sz w:val="21"/>
                <w:szCs w:val="21"/>
                <w:lang w:val="en-US" w:eastAsia="zh-CN"/>
              </w:rPr>
            </w:pPr>
            <w:r>
              <w:rPr>
                <w:rFonts w:hint="eastAsia"/>
                <w:sz w:val="21"/>
                <w:szCs w:val="21"/>
                <w:lang w:val="en-US" w:eastAsia="zh-CN"/>
              </w:rPr>
              <w:t>☆</w:t>
            </w:r>
          </w:p>
        </w:tc>
        <w:tc>
          <w:tcPr>
            <w:tcW w:w="650" w:type="pct"/>
            <w:noWrap w:val="0"/>
            <w:vAlign w:val="center"/>
          </w:tcPr>
          <w:p w14:paraId="7D55F42C">
            <w:pPr>
              <w:bidi w:val="0"/>
              <w:spacing w:line="240" w:lineRule="auto"/>
              <w:ind w:left="0" w:leftChars="0" w:firstLine="0" w:firstLineChars="0"/>
              <w:jc w:val="center"/>
              <w:rPr>
                <w:rFonts w:hint="eastAsia"/>
                <w:sz w:val="21"/>
                <w:szCs w:val="21"/>
                <w:lang w:val="en-US" w:eastAsia="zh-CN"/>
              </w:rPr>
            </w:pPr>
            <w:r>
              <w:rPr>
                <w:rFonts w:hint="eastAsia"/>
                <w:sz w:val="21"/>
                <w:szCs w:val="21"/>
                <w:lang w:val="en-US" w:eastAsia="zh-CN"/>
              </w:rPr>
              <w:t>▲</w:t>
            </w:r>
          </w:p>
        </w:tc>
        <w:tc>
          <w:tcPr>
            <w:tcW w:w="650" w:type="pct"/>
            <w:noWrap w:val="0"/>
            <w:vAlign w:val="center"/>
          </w:tcPr>
          <w:p w14:paraId="157DA004">
            <w:pPr>
              <w:bidi w:val="0"/>
              <w:spacing w:line="240" w:lineRule="auto"/>
              <w:ind w:left="0" w:leftChars="0" w:firstLine="0" w:firstLineChars="0"/>
              <w:jc w:val="center"/>
              <w:rPr>
                <w:rFonts w:hint="eastAsia"/>
                <w:sz w:val="21"/>
                <w:szCs w:val="21"/>
                <w:lang w:val="en-US" w:eastAsia="zh-CN"/>
              </w:rPr>
            </w:pPr>
          </w:p>
        </w:tc>
        <w:tc>
          <w:tcPr>
            <w:tcW w:w="650" w:type="pct"/>
            <w:noWrap w:val="0"/>
            <w:vAlign w:val="center"/>
          </w:tcPr>
          <w:p w14:paraId="56C2DF23">
            <w:pPr>
              <w:bidi w:val="0"/>
              <w:spacing w:line="240" w:lineRule="auto"/>
              <w:ind w:left="0" w:leftChars="0" w:firstLine="0" w:firstLineChars="0"/>
              <w:jc w:val="center"/>
              <w:rPr>
                <w:rFonts w:hint="eastAsia"/>
                <w:sz w:val="21"/>
                <w:szCs w:val="21"/>
                <w:lang w:val="en-US" w:eastAsia="zh-CN"/>
              </w:rPr>
            </w:pPr>
            <w:r>
              <w:rPr>
                <w:rFonts w:hint="eastAsia"/>
                <w:sz w:val="21"/>
                <w:szCs w:val="21"/>
                <w:lang w:val="en-US" w:eastAsia="zh-CN"/>
              </w:rPr>
              <w:t>▲</w:t>
            </w:r>
          </w:p>
        </w:tc>
        <w:tc>
          <w:tcPr>
            <w:tcW w:w="658" w:type="pct"/>
            <w:noWrap w:val="0"/>
            <w:vAlign w:val="center"/>
          </w:tcPr>
          <w:p w14:paraId="5D9C6FED">
            <w:pPr>
              <w:bidi w:val="0"/>
              <w:spacing w:line="240" w:lineRule="auto"/>
              <w:ind w:left="0" w:leftChars="0" w:firstLine="0" w:firstLineChars="0"/>
              <w:jc w:val="center"/>
              <w:rPr>
                <w:rFonts w:hint="eastAsia"/>
                <w:sz w:val="21"/>
                <w:szCs w:val="21"/>
                <w:lang w:val="en-US" w:eastAsia="zh-CN"/>
              </w:rPr>
            </w:pPr>
          </w:p>
        </w:tc>
      </w:tr>
      <w:tr w14:paraId="104CB3F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3" w:hRule="atLeast"/>
          <w:jc w:val="center"/>
        </w:trPr>
        <w:tc>
          <w:tcPr>
            <w:tcW w:w="345" w:type="pct"/>
            <w:vMerge w:val="restart"/>
            <w:noWrap w:val="0"/>
            <w:vAlign w:val="center"/>
          </w:tcPr>
          <w:p w14:paraId="18346978">
            <w:pPr>
              <w:bidi w:val="0"/>
              <w:spacing w:line="240" w:lineRule="auto"/>
              <w:ind w:left="0" w:leftChars="0" w:firstLine="0" w:firstLineChars="0"/>
              <w:jc w:val="center"/>
              <w:rPr>
                <w:rFonts w:hint="eastAsia"/>
                <w:sz w:val="21"/>
                <w:szCs w:val="21"/>
                <w:lang w:val="en-US" w:eastAsia="zh-CN"/>
              </w:rPr>
            </w:pPr>
            <w:r>
              <w:rPr>
                <w:rFonts w:hint="eastAsia"/>
                <w:sz w:val="21"/>
                <w:szCs w:val="21"/>
                <w:lang w:val="en-US" w:eastAsia="zh-CN"/>
              </w:rPr>
              <w:t>自然</w:t>
            </w:r>
          </w:p>
          <w:p w14:paraId="3F4587A4">
            <w:pPr>
              <w:bidi w:val="0"/>
              <w:spacing w:line="240" w:lineRule="auto"/>
              <w:ind w:left="0" w:leftChars="0" w:firstLine="0" w:firstLineChars="0"/>
              <w:jc w:val="center"/>
              <w:rPr>
                <w:rFonts w:hint="eastAsia"/>
                <w:sz w:val="21"/>
                <w:szCs w:val="21"/>
                <w:lang w:val="en-US" w:eastAsia="zh-CN"/>
              </w:rPr>
            </w:pPr>
            <w:r>
              <w:rPr>
                <w:rFonts w:hint="eastAsia"/>
                <w:sz w:val="21"/>
                <w:szCs w:val="21"/>
                <w:lang w:val="en-US" w:eastAsia="zh-CN"/>
              </w:rPr>
              <w:t>环境</w:t>
            </w:r>
          </w:p>
        </w:tc>
        <w:tc>
          <w:tcPr>
            <w:tcW w:w="741" w:type="pct"/>
            <w:noWrap w:val="0"/>
            <w:vAlign w:val="center"/>
          </w:tcPr>
          <w:p w14:paraId="43F8EFC1">
            <w:pPr>
              <w:bidi w:val="0"/>
              <w:spacing w:line="240" w:lineRule="auto"/>
              <w:ind w:left="0" w:leftChars="0" w:firstLine="0" w:firstLineChars="0"/>
              <w:jc w:val="center"/>
              <w:rPr>
                <w:rFonts w:hint="eastAsia"/>
                <w:sz w:val="21"/>
                <w:szCs w:val="21"/>
                <w:lang w:val="en-US" w:eastAsia="zh-CN"/>
              </w:rPr>
            </w:pPr>
            <w:r>
              <w:rPr>
                <w:rFonts w:hint="eastAsia"/>
                <w:sz w:val="21"/>
                <w:szCs w:val="21"/>
                <w:lang w:val="en-US" w:eastAsia="zh-CN"/>
              </w:rPr>
              <w:t>水力关系</w:t>
            </w:r>
          </w:p>
        </w:tc>
        <w:tc>
          <w:tcPr>
            <w:tcW w:w="650" w:type="pct"/>
            <w:noWrap w:val="0"/>
            <w:vAlign w:val="center"/>
          </w:tcPr>
          <w:p w14:paraId="5C1A062C">
            <w:pPr>
              <w:bidi w:val="0"/>
              <w:spacing w:line="240" w:lineRule="auto"/>
              <w:ind w:left="0" w:leftChars="0" w:firstLine="0" w:firstLineChars="0"/>
              <w:jc w:val="center"/>
              <w:rPr>
                <w:rFonts w:hint="eastAsia"/>
                <w:sz w:val="21"/>
                <w:szCs w:val="21"/>
                <w:lang w:val="en-US" w:eastAsia="zh-CN"/>
              </w:rPr>
            </w:pPr>
            <w:r>
              <w:rPr>
                <w:rFonts w:hint="eastAsia"/>
                <w:sz w:val="21"/>
                <w:szCs w:val="21"/>
                <w:lang w:val="en-US" w:eastAsia="zh-CN"/>
              </w:rPr>
              <w:t>▲</w:t>
            </w:r>
          </w:p>
        </w:tc>
        <w:tc>
          <w:tcPr>
            <w:tcW w:w="651" w:type="pct"/>
            <w:noWrap w:val="0"/>
            <w:vAlign w:val="center"/>
          </w:tcPr>
          <w:p w14:paraId="415631C8">
            <w:pPr>
              <w:bidi w:val="0"/>
              <w:spacing w:line="240" w:lineRule="auto"/>
              <w:ind w:left="0" w:leftChars="0" w:firstLine="0" w:firstLineChars="0"/>
              <w:jc w:val="center"/>
              <w:rPr>
                <w:rFonts w:hint="eastAsia"/>
                <w:sz w:val="21"/>
                <w:szCs w:val="21"/>
                <w:lang w:val="en-US" w:eastAsia="zh-CN"/>
              </w:rPr>
            </w:pPr>
            <w:r>
              <w:rPr>
                <w:rFonts w:hint="eastAsia"/>
                <w:sz w:val="21"/>
                <w:szCs w:val="21"/>
                <w:lang w:val="en-US" w:eastAsia="zh-CN"/>
              </w:rPr>
              <w:t>☆</w:t>
            </w:r>
          </w:p>
        </w:tc>
        <w:tc>
          <w:tcPr>
            <w:tcW w:w="650" w:type="pct"/>
            <w:noWrap w:val="0"/>
            <w:vAlign w:val="center"/>
          </w:tcPr>
          <w:p w14:paraId="3707B165">
            <w:pPr>
              <w:bidi w:val="0"/>
              <w:spacing w:line="240" w:lineRule="auto"/>
              <w:ind w:left="0" w:leftChars="0" w:firstLine="0" w:firstLineChars="0"/>
              <w:jc w:val="center"/>
              <w:rPr>
                <w:rFonts w:hint="eastAsia"/>
                <w:sz w:val="21"/>
                <w:szCs w:val="21"/>
                <w:lang w:val="en-US" w:eastAsia="zh-CN"/>
              </w:rPr>
            </w:pPr>
          </w:p>
        </w:tc>
        <w:tc>
          <w:tcPr>
            <w:tcW w:w="650" w:type="pct"/>
            <w:noWrap w:val="0"/>
            <w:vAlign w:val="center"/>
          </w:tcPr>
          <w:p w14:paraId="66109AE4">
            <w:pPr>
              <w:bidi w:val="0"/>
              <w:spacing w:line="240" w:lineRule="auto"/>
              <w:ind w:left="0" w:leftChars="0" w:firstLine="0" w:firstLineChars="0"/>
              <w:jc w:val="center"/>
              <w:rPr>
                <w:rFonts w:hint="eastAsia"/>
                <w:sz w:val="21"/>
                <w:szCs w:val="21"/>
                <w:lang w:val="en-US" w:eastAsia="zh-CN"/>
              </w:rPr>
            </w:pPr>
            <w:r>
              <w:rPr>
                <w:rFonts w:hint="eastAsia"/>
                <w:sz w:val="21"/>
                <w:szCs w:val="21"/>
                <w:lang w:val="en-US" w:eastAsia="zh-CN"/>
              </w:rPr>
              <w:t>☆</w:t>
            </w:r>
          </w:p>
        </w:tc>
        <w:tc>
          <w:tcPr>
            <w:tcW w:w="650" w:type="pct"/>
            <w:noWrap w:val="0"/>
            <w:vAlign w:val="center"/>
          </w:tcPr>
          <w:p w14:paraId="1FCD10D1">
            <w:pPr>
              <w:bidi w:val="0"/>
              <w:spacing w:line="240" w:lineRule="auto"/>
              <w:ind w:left="0" w:leftChars="0" w:firstLine="0" w:firstLineChars="0"/>
              <w:jc w:val="center"/>
              <w:rPr>
                <w:rFonts w:hint="eastAsia"/>
                <w:sz w:val="21"/>
                <w:szCs w:val="21"/>
                <w:lang w:val="en-US" w:eastAsia="zh-CN"/>
              </w:rPr>
            </w:pPr>
          </w:p>
        </w:tc>
        <w:tc>
          <w:tcPr>
            <w:tcW w:w="658" w:type="pct"/>
            <w:noWrap w:val="0"/>
            <w:vAlign w:val="center"/>
          </w:tcPr>
          <w:p w14:paraId="3AB62476">
            <w:pPr>
              <w:bidi w:val="0"/>
              <w:spacing w:line="240" w:lineRule="auto"/>
              <w:ind w:left="0" w:leftChars="0" w:firstLine="0" w:firstLineChars="0"/>
              <w:jc w:val="center"/>
              <w:rPr>
                <w:rFonts w:hint="eastAsia"/>
                <w:sz w:val="21"/>
                <w:szCs w:val="21"/>
                <w:lang w:val="en-US" w:eastAsia="zh-CN"/>
              </w:rPr>
            </w:pPr>
          </w:p>
        </w:tc>
      </w:tr>
      <w:tr w14:paraId="5A90F26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3" w:hRule="atLeast"/>
          <w:jc w:val="center"/>
        </w:trPr>
        <w:tc>
          <w:tcPr>
            <w:tcW w:w="345" w:type="pct"/>
            <w:vMerge w:val="continue"/>
            <w:noWrap w:val="0"/>
            <w:vAlign w:val="center"/>
          </w:tcPr>
          <w:p w14:paraId="6949C6E5">
            <w:pPr>
              <w:bidi w:val="0"/>
              <w:spacing w:line="240" w:lineRule="auto"/>
              <w:ind w:left="0" w:leftChars="0" w:firstLine="0" w:firstLineChars="0"/>
              <w:jc w:val="center"/>
              <w:rPr>
                <w:rFonts w:hint="eastAsia"/>
                <w:sz w:val="21"/>
                <w:szCs w:val="21"/>
                <w:lang w:val="en-US" w:eastAsia="zh-CN"/>
              </w:rPr>
            </w:pPr>
          </w:p>
        </w:tc>
        <w:tc>
          <w:tcPr>
            <w:tcW w:w="741" w:type="pct"/>
            <w:noWrap w:val="0"/>
            <w:vAlign w:val="center"/>
          </w:tcPr>
          <w:p w14:paraId="7623FBB5">
            <w:pPr>
              <w:bidi w:val="0"/>
              <w:spacing w:line="240" w:lineRule="auto"/>
              <w:ind w:left="0" w:leftChars="0" w:firstLine="0" w:firstLineChars="0"/>
              <w:jc w:val="center"/>
              <w:rPr>
                <w:rFonts w:hint="eastAsia"/>
                <w:sz w:val="21"/>
                <w:szCs w:val="21"/>
                <w:lang w:val="en-US" w:eastAsia="zh-CN"/>
              </w:rPr>
            </w:pPr>
            <w:r>
              <w:rPr>
                <w:rFonts w:hint="eastAsia"/>
                <w:sz w:val="21"/>
                <w:szCs w:val="21"/>
                <w:lang w:val="en-US" w:eastAsia="zh-CN"/>
              </w:rPr>
              <w:t>水资源利用</w:t>
            </w:r>
          </w:p>
        </w:tc>
        <w:tc>
          <w:tcPr>
            <w:tcW w:w="650" w:type="pct"/>
            <w:noWrap w:val="0"/>
            <w:vAlign w:val="center"/>
          </w:tcPr>
          <w:p w14:paraId="0AE7FC2D">
            <w:pPr>
              <w:bidi w:val="0"/>
              <w:spacing w:line="240" w:lineRule="auto"/>
              <w:ind w:left="0" w:leftChars="0" w:firstLine="0" w:firstLineChars="0"/>
              <w:jc w:val="center"/>
              <w:rPr>
                <w:rFonts w:hint="eastAsia"/>
                <w:sz w:val="21"/>
                <w:szCs w:val="21"/>
                <w:lang w:val="en-US" w:eastAsia="zh-CN"/>
              </w:rPr>
            </w:pPr>
          </w:p>
        </w:tc>
        <w:tc>
          <w:tcPr>
            <w:tcW w:w="651" w:type="pct"/>
            <w:noWrap w:val="0"/>
            <w:vAlign w:val="center"/>
          </w:tcPr>
          <w:p w14:paraId="4E2B9C7E">
            <w:pPr>
              <w:bidi w:val="0"/>
              <w:spacing w:line="240" w:lineRule="auto"/>
              <w:ind w:left="0" w:leftChars="0" w:firstLine="0" w:firstLineChars="0"/>
              <w:jc w:val="center"/>
              <w:rPr>
                <w:rFonts w:hint="eastAsia"/>
                <w:sz w:val="21"/>
                <w:szCs w:val="21"/>
                <w:lang w:val="en-US" w:eastAsia="zh-CN"/>
              </w:rPr>
            </w:pPr>
            <w:r>
              <w:rPr>
                <w:rFonts w:hint="eastAsia"/>
                <w:sz w:val="21"/>
                <w:szCs w:val="21"/>
                <w:lang w:val="en-US" w:eastAsia="zh-CN"/>
              </w:rPr>
              <w:t>☆</w:t>
            </w:r>
          </w:p>
        </w:tc>
        <w:tc>
          <w:tcPr>
            <w:tcW w:w="650" w:type="pct"/>
            <w:noWrap w:val="0"/>
            <w:vAlign w:val="center"/>
          </w:tcPr>
          <w:p w14:paraId="4C781CA7">
            <w:pPr>
              <w:bidi w:val="0"/>
              <w:spacing w:line="240" w:lineRule="auto"/>
              <w:ind w:left="0" w:leftChars="0" w:firstLine="0" w:firstLineChars="0"/>
              <w:jc w:val="center"/>
              <w:rPr>
                <w:rFonts w:hint="eastAsia"/>
                <w:sz w:val="21"/>
                <w:szCs w:val="21"/>
                <w:lang w:val="en-US" w:eastAsia="zh-CN"/>
              </w:rPr>
            </w:pPr>
          </w:p>
        </w:tc>
        <w:tc>
          <w:tcPr>
            <w:tcW w:w="650" w:type="pct"/>
            <w:noWrap w:val="0"/>
            <w:vAlign w:val="center"/>
          </w:tcPr>
          <w:p w14:paraId="6394A289">
            <w:pPr>
              <w:bidi w:val="0"/>
              <w:spacing w:line="240" w:lineRule="auto"/>
              <w:ind w:left="0" w:leftChars="0" w:firstLine="0" w:firstLineChars="0"/>
              <w:jc w:val="center"/>
              <w:rPr>
                <w:rFonts w:hint="eastAsia"/>
                <w:sz w:val="21"/>
                <w:szCs w:val="21"/>
                <w:lang w:val="en-US" w:eastAsia="zh-CN"/>
              </w:rPr>
            </w:pPr>
            <w:r>
              <w:rPr>
                <w:rFonts w:hint="eastAsia"/>
                <w:sz w:val="21"/>
                <w:szCs w:val="21"/>
                <w:lang w:val="en-US" w:eastAsia="zh-CN"/>
              </w:rPr>
              <w:t>☆</w:t>
            </w:r>
          </w:p>
        </w:tc>
        <w:tc>
          <w:tcPr>
            <w:tcW w:w="650" w:type="pct"/>
            <w:noWrap w:val="0"/>
            <w:vAlign w:val="center"/>
          </w:tcPr>
          <w:p w14:paraId="4A2F41C8">
            <w:pPr>
              <w:bidi w:val="0"/>
              <w:spacing w:line="240" w:lineRule="auto"/>
              <w:ind w:left="0" w:leftChars="0" w:firstLine="0" w:firstLineChars="0"/>
              <w:jc w:val="center"/>
              <w:rPr>
                <w:rFonts w:hint="eastAsia"/>
                <w:sz w:val="21"/>
                <w:szCs w:val="21"/>
                <w:lang w:val="en-US" w:eastAsia="zh-CN"/>
              </w:rPr>
            </w:pPr>
          </w:p>
        </w:tc>
        <w:tc>
          <w:tcPr>
            <w:tcW w:w="658" w:type="pct"/>
            <w:noWrap w:val="0"/>
            <w:vAlign w:val="center"/>
          </w:tcPr>
          <w:p w14:paraId="46589FB4">
            <w:pPr>
              <w:bidi w:val="0"/>
              <w:spacing w:line="240" w:lineRule="auto"/>
              <w:ind w:left="0" w:leftChars="0" w:firstLine="0" w:firstLineChars="0"/>
              <w:jc w:val="center"/>
              <w:rPr>
                <w:rFonts w:hint="eastAsia"/>
                <w:sz w:val="21"/>
                <w:szCs w:val="21"/>
                <w:lang w:val="en-US" w:eastAsia="zh-CN"/>
              </w:rPr>
            </w:pPr>
          </w:p>
        </w:tc>
      </w:tr>
      <w:tr w14:paraId="3FE64B4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3" w:hRule="atLeast"/>
          <w:jc w:val="center"/>
        </w:trPr>
        <w:tc>
          <w:tcPr>
            <w:tcW w:w="345" w:type="pct"/>
            <w:vMerge w:val="continue"/>
            <w:noWrap w:val="0"/>
            <w:vAlign w:val="center"/>
          </w:tcPr>
          <w:p w14:paraId="2FE744F3">
            <w:pPr>
              <w:bidi w:val="0"/>
              <w:spacing w:line="240" w:lineRule="auto"/>
              <w:ind w:left="0" w:leftChars="0" w:firstLine="0" w:firstLineChars="0"/>
              <w:jc w:val="center"/>
              <w:rPr>
                <w:rFonts w:hint="eastAsia"/>
                <w:sz w:val="21"/>
                <w:szCs w:val="21"/>
                <w:lang w:val="en-US" w:eastAsia="zh-CN"/>
              </w:rPr>
            </w:pPr>
          </w:p>
        </w:tc>
        <w:tc>
          <w:tcPr>
            <w:tcW w:w="741" w:type="pct"/>
            <w:noWrap w:val="0"/>
            <w:vAlign w:val="center"/>
          </w:tcPr>
          <w:p w14:paraId="28CFD3EA">
            <w:pPr>
              <w:bidi w:val="0"/>
              <w:spacing w:line="240" w:lineRule="auto"/>
              <w:ind w:left="0" w:leftChars="0" w:firstLine="0" w:firstLineChars="0"/>
              <w:jc w:val="center"/>
              <w:rPr>
                <w:rFonts w:hint="eastAsia"/>
                <w:sz w:val="21"/>
                <w:szCs w:val="21"/>
                <w:lang w:val="en-US" w:eastAsia="zh-CN"/>
              </w:rPr>
            </w:pPr>
            <w:r>
              <w:rPr>
                <w:rFonts w:hint="eastAsia"/>
                <w:sz w:val="21"/>
                <w:szCs w:val="21"/>
                <w:lang w:val="en-US" w:eastAsia="zh-CN"/>
              </w:rPr>
              <w:t>环境地质</w:t>
            </w:r>
          </w:p>
        </w:tc>
        <w:tc>
          <w:tcPr>
            <w:tcW w:w="650" w:type="pct"/>
            <w:noWrap w:val="0"/>
            <w:vAlign w:val="center"/>
          </w:tcPr>
          <w:p w14:paraId="298E108A">
            <w:pPr>
              <w:bidi w:val="0"/>
              <w:spacing w:line="240" w:lineRule="auto"/>
              <w:ind w:left="0" w:leftChars="0" w:firstLine="0" w:firstLineChars="0"/>
              <w:jc w:val="center"/>
              <w:rPr>
                <w:rFonts w:hint="eastAsia"/>
                <w:sz w:val="21"/>
                <w:szCs w:val="21"/>
                <w:lang w:val="en-US" w:eastAsia="zh-CN"/>
              </w:rPr>
            </w:pPr>
          </w:p>
        </w:tc>
        <w:tc>
          <w:tcPr>
            <w:tcW w:w="651" w:type="pct"/>
            <w:noWrap w:val="0"/>
            <w:vAlign w:val="center"/>
          </w:tcPr>
          <w:p w14:paraId="05673999">
            <w:pPr>
              <w:bidi w:val="0"/>
              <w:spacing w:line="240" w:lineRule="auto"/>
              <w:ind w:left="0" w:leftChars="0" w:firstLine="0" w:firstLineChars="0"/>
              <w:jc w:val="center"/>
              <w:rPr>
                <w:rFonts w:hint="eastAsia"/>
                <w:sz w:val="21"/>
                <w:szCs w:val="21"/>
                <w:lang w:val="en-US" w:eastAsia="zh-CN"/>
              </w:rPr>
            </w:pPr>
          </w:p>
        </w:tc>
        <w:tc>
          <w:tcPr>
            <w:tcW w:w="650" w:type="pct"/>
            <w:noWrap w:val="0"/>
            <w:vAlign w:val="center"/>
          </w:tcPr>
          <w:p w14:paraId="3724B73B">
            <w:pPr>
              <w:bidi w:val="0"/>
              <w:spacing w:line="240" w:lineRule="auto"/>
              <w:ind w:left="0" w:leftChars="0" w:firstLine="0" w:firstLineChars="0"/>
              <w:jc w:val="center"/>
              <w:rPr>
                <w:rFonts w:hint="eastAsia"/>
                <w:sz w:val="21"/>
                <w:szCs w:val="21"/>
                <w:lang w:val="en-US" w:eastAsia="zh-CN"/>
              </w:rPr>
            </w:pPr>
          </w:p>
        </w:tc>
        <w:tc>
          <w:tcPr>
            <w:tcW w:w="650" w:type="pct"/>
            <w:noWrap w:val="0"/>
            <w:vAlign w:val="center"/>
          </w:tcPr>
          <w:p w14:paraId="720895C2">
            <w:pPr>
              <w:bidi w:val="0"/>
              <w:spacing w:line="240" w:lineRule="auto"/>
              <w:ind w:left="0" w:leftChars="0" w:firstLine="0" w:firstLineChars="0"/>
              <w:jc w:val="center"/>
              <w:rPr>
                <w:rFonts w:hint="eastAsia"/>
                <w:sz w:val="21"/>
                <w:szCs w:val="21"/>
                <w:lang w:val="en-US" w:eastAsia="zh-CN"/>
              </w:rPr>
            </w:pPr>
          </w:p>
        </w:tc>
        <w:tc>
          <w:tcPr>
            <w:tcW w:w="650" w:type="pct"/>
            <w:noWrap w:val="0"/>
            <w:vAlign w:val="center"/>
          </w:tcPr>
          <w:p w14:paraId="6B0DF6E8">
            <w:pPr>
              <w:bidi w:val="0"/>
              <w:spacing w:line="240" w:lineRule="auto"/>
              <w:ind w:left="0" w:leftChars="0" w:firstLine="0" w:firstLineChars="0"/>
              <w:jc w:val="center"/>
              <w:rPr>
                <w:rFonts w:hint="eastAsia"/>
                <w:sz w:val="21"/>
                <w:szCs w:val="21"/>
                <w:lang w:val="en-US" w:eastAsia="zh-CN"/>
              </w:rPr>
            </w:pPr>
          </w:p>
        </w:tc>
        <w:tc>
          <w:tcPr>
            <w:tcW w:w="658" w:type="pct"/>
            <w:noWrap w:val="0"/>
            <w:vAlign w:val="center"/>
          </w:tcPr>
          <w:p w14:paraId="2DED3BE5">
            <w:pPr>
              <w:bidi w:val="0"/>
              <w:spacing w:line="240" w:lineRule="auto"/>
              <w:ind w:left="0" w:leftChars="0" w:firstLine="0" w:firstLineChars="0"/>
              <w:jc w:val="center"/>
              <w:rPr>
                <w:rFonts w:hint="eastAsia"/>
                <w:sz w:val="21"/>
                <w:szCs w:val="21"/>
                <w:lang w:val="en-US" w:eastAsia="zh-CN"/>
              </w:rPr>
            </w:pPr>
          </w:p>
        </w:tc>
      </w:tr>
      <w:tr w14:paraId="6F6185C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3" w:hRule="atLeast"/>
          <w:jc w:val="center"/>
        </w:trPr>
        <w:tc>
          <w:tcPr>
            <w:tcW w:w="345" w:type="pct"/>
            <w:vMerge w:val="restart"/>
            <w:noWrap w:val="0"/>
            <w:vAlign w:val="center"/>
          </w:tcPr>
          <w:p w14:paraId="38E41564">
            <w:pPr>
              <w:bidi w:val="0"/>
              <w:spacing w:line="240" w:lineRule="auto"/>
              <w:ind w:left="0" w:leftChars="0" w:firstLine="0" w:firstLineChars="0"/>
              <w:jc w:val="center"/>
              <w:rPr>
                <w:rFonts w:hint="eastAsia"/>
                <w:sz w:val="21"/>
                <w:szCs w:val="21"/>
                <w:lang w:val="en-US" w:eastAsia="zh-CN"/>
              </w:rPr>
            </w:pPr>
            <w:r>
              <w:rPr>
                <w:rFonts w:hint="eastAsia"/>
                <w:sz w:val="21"/>
                <w:szCs w:val="21"/>
                <w:lang w:val="en-US" w:eastAsia="zh-CN"/>
              </w:rPr>
              <w:t>环境</w:t>
            </w:r>
          </w:p>
          <w:p w14:paraId="0ECE2F0F">
            <w:pPr>
              <w:bidi w:val="0"/>
              <w:spacing w:line="240" w:lineRule="auto"/>
              <w:ind w:left="0" w:leftChars="0" w:firstLine="0" w:firstLineChars="0"/>
              <w:jc w:val="center"/>
              <w:rPr>
                <w:rFonts w:hint="eastAsia"/>
                <w:sz w:val="21"/>
                <w:szCs w:val="21"/>
                <w:lang w:val="en-US" w:eastAsia="zh-CN"/>
              </w:rPr>
            </w:pPr>
            <w:r>
              <w:rPr>
                <w:rFonts w:hint="eastAsia"/>
                <w:sz w:val="21"/>
                <w:szCs w:val="21"/>
                <w:lang w:val="en-US" w:eastAsia="zh-CN"/>
              </w:rPr>
              <w:t>质量</w:t>
            </w:r>
          </w:p>
        </w:tc>
        <w:tc>
          <w:tcPr>
            <w:tcW w:w="741" w:type="pct"/>
            <w:noWrap w:val="0"/>
            <w:vAlign w:val="center"/>
          </w:tcPr>
          <w:p w14:paraId="32CFF29B">
            <w:pPr>
              <w:bidi w:val="0"/>
              <w:spacing w:line="240" w:lineRule="auto"/>
              <w:ind w:left="0" w:leftChars="0" w:firstLine="0" w:firstLineChars="0"/>
              <w:jc w:val="center"/>
              <w:rPr>
                <w:rFonts w:hint="eastAsia"/>
                <w:sz w:val="21"/>
                <w:szCs w:val="21"/>
                <w:lang w:val="en-US" w:eastAsia="zh-CN"/>
              </w:rPr>
            </w:pPr>
            <w:r>
              <w:rPr>
                <w:rFonts w:hint="eastAsia"/>
                <w:sz w:val="21"/>
                <w:szCs w:val="21"/>
                <w:lang w:val="en-US" w:eastAsia="zh-CN"/>
              </w:rPr>
              <w:t>水环境</w:t>
            </w:r>
          </w:p>
        </w:tc>
        <w:tc>
          <w:tcPr>
            <w:tcW w:w="650" w:type="pct"/>
            <w:noWrap w:val="0"/>
            <w:vAlign w:val="center"/>
          </w:tcPr>
          <w:p w14:paraId="1EFE6E0A">
            <w:pPr>
              <w:bidi w:val="0"/>
              <w:spacing w:line="240" w:lineRule="auto"/>
              <w:ind w:left="0" w:leftChars="0" w:firstLine="0" w:firstLineChars="0"/>
              <w:jc w:val="center"/>
              <w:rPr>
                <w:rFonts w:hint="eastAsia"/>
                <w:sz w:val="21"/>
                <w:szCs w:val="21"/>
                <w:lang w:val="en-US" w:eastAsia="zh-CN"/>
              </w:rPr>
            </w:pPr>
            <w:r>
              <w:rPr>
                <w:rFonts w:hint="eastAsia"/>
                <w:sz w:val="21"/>
                <w:szCs w:val="21"/>
                <w:lang w:val="en-US" w:eastAsia="zh-CN"/>
              </w:rPr>
              <w:t>▲</w:t>
            </w:r>
          </w:p>
        </w:tc>
        <w:tc>
          <w:tcPr>
            <w:tcW w:w="651" w:type="pct"/>
            <w:noWrap w:val="0"/>
            <w:vAlign w:val="center"/>
          </w:tcPr>
          <w:p w14:paraId="028213E4">
            <w:pPr>
              <w:bidi w:val="0"/>
              <w:spacing w:line="240" w:lineRule="auto"/>
              <w:ind w:left="0" w:leftChars="0" w:firstLine="0" w:firstLineChars="0"/>
              <w:jc w:val="center"/>
              <w:rPr>
                <w:rFonts w:hint="eastAsia"/>
                <w:sz w:val="21"/>
                <w:szCs w:val="21"/>
                <w:lang w:val="en-US" w:eastAsia="zh-CN"/>
              </w:rPr>
            </w:pPr>
            <w:r>
              <w:rPr>
                <w:rFonts w:hint="eastAsia"/>
                <w:sz w:val="21"/>
                <w:szCs w:val="21"/>
                <w:lang w:val="en-US" w:eastAsia="zh-CN"/>
              </w:rPr>
              <w:t>☆</w:t>
            </w:r>
          </w:p>
        </w:tc>
        <w:tc>
          <w:tcPr>
            <w:tcW w:w="650" w:type="pct"/>
            <w:noWrap w:val="0"/>
            <w:vAlign w:val="center"/>
          </w:tcPr>
          <w:p w14:paraId="4FEDAAA8">
            <w:pPr>
              <w:bidi w:val="0"/>
              <w:spacing w:line="240" w:lineRule="auto"/>
              <w:ind w:left="0" w:leftChars="0" w:firstLine="0" w:firstLineChars="0"/>
              <w:jc w:val="center"/>
              <w:rPr>
                <w:rFonts w:hint="eastAsia"/>
                <w:sz w:val="21"/>
                <w:szCs w:val="21"/>
                <w:lang w:val="en-US" w:eastAsia="zh-CN"/>
              </w:rPr>
            </w:pPr>
          </w:p>
        </w:tc>
        <w:tc>
          <w:tcPr>
            <w:tcW w:w="650" w:type="pct"/>
            <w:noWrap w:val="0"/>
            <w:vAlign w:val="center"/>
          </w:tcPr>
          <w:p w14:paraId="6BC36854">
            <w:pPr>
              <w:bidi w:val="0"/>
              <w:spacing w:line="240" w:lineRule="auto"/>
              <w:ind w:left="0" w:leftChars="0" w:firstLine="0" w:firstLineChars="0"/>
              <w:jc w:val="center"/>
              <w:rPr>
                <w:rFonts w:hint="eastAsia"/>
                <w:sz w:val="21"/>
                <w:szCs w:val="21"/>
                <w:lang w:val="en-US" w:eastAsia="zh-CN"/>
              </w:rPr>
            </w:pPr>
            <w:r>
              <w:rPr>
                <w:rFonts w:hint="eastAsia"/>
                <w:sz w:val="21"/>
                <w:szCs w:val="21"/>
                <w:lang w:val="en-US" w:eastAsia="zh-CN"/>
              </w:rPr>
              <w:t>☆</w:t>
            </w:r>
          </w:p>
        </w:tc>
        <w:tc>
          <w:tcPr>
            <w:tcW w:w="650" w:type="pct"/>
            <w:noWrap w:val="0"/>
            <w:vAlign w:val="center"/>
          </w:tcPr>
          <w:p w14:paraId="229D2450">
            <w:pPr>
              <w:bidi w:val="0"/>
              <w:spacing w:line="240" w:lineRule="auto"/>
              <w:ind w:left="0" w:leftChars="0" w:firstLine="0" w:firstLineChars="0"/>
              <w:jc w:val="center"/>
              <w:rPr>
                <w:rFonts w:hint="eastAsia"/>
                <w:sz w:val="21"/>
                <w:szCs w:val="21"/>
                <w:lang w:val="en-US" w:eastAsia="zh-CN"/>
              </w:rPr>
            </w:pPr>
            <w:r>
              <w:rPr>
                <w:rFonts w:hint="eastAsia"/>
                <w:sz w:val="21"/>
                <w:szCs w:val="21"/>
                <w:lang w:val="en-US" w:eastAsia="zh-CN"/>
              </w:rPr>
              <w:t>▲</w:t>
            </w:r>
          </w:p>
        </w:tc>
        <w:tc>
          <w:tcPr>
            <w:tcW w:w="658" w:type="pct"/>
            <w:noWrap w:val="0"/>
            <w:vAlign w:val="center"/>
          </w:tcPr>
          <w:p w14:paraId="330DE369">
            <w:pPr>
              <w:bidi w:val="0"/>
              <w:spacing w:line="240" w:lineRule="auto"/>
              <w:ind w:left="0" w:leftChars="0" w:firstLine="0" w:firstLineChars="0"/>
              <w:jc w:val="center"/>
              <w:rPr>
                <w:rFonts w:hint="eastAsia"/>
                <w:sz w:val="21"/>
                <w:szCs w:val="21"/>
                <w:lang w:val="en-US" w:eastAsia="zh-CN"/>
              </w:rPr>
            </w:pPr>
          </w:p>
        </w:tc>
      </w:tr>
      <w:tr w14:paraId="3FE6F1F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3" w:hRule="atLeast"/>
          <w:jc w:val="center"/>
        </w:trPr>
        <w:tc>
          <w:tcPr>
            <w:tcW w:w="345" w:type="pct"/>
            <w:vMerge w:val="continue"/>
            <w:noWrap w:val="0"/>
            <w:vAlign w:val="center"/>
          </w:tcPr>
          <w:p w14:paraId="4CAB1479">
            <w:pPr>
              <w:bidi w:val="0"/>
              <w:spacing w:line="240" w:lineRule="auto"/>
              <w:ind w:left="0" w:leftChars="0" w:firstLine="0" w:firstLineChars="0"/>
              <w:jc w:val="center"/>
              <w:rPr>
                <w:rFonts w:hint="eastAsia"/>
                <w:sz w:val="21"/>
                <w:szCs w:val="21"/>
                <w:lang w:val="en-US" w:eastAsia="zh-CN"/>
              </w:rPr>
            </w:pPr>
          </w:p>
        </w:tc>
        <w:tc>
          <w:tcPr>
            <w:tcW w:w="741" w:type="pct"/>
            <w:noWrap w:val="0"/>
            <w:vAlign w:val="center"/>
          </w:tcPr>
          <w:p w14:paraId="2C7DAD59">
            <w:pPr>
              <w:bidi w:val="0"/>
              <w:spacing w:line="240" w:lineRule="auto"/>
              <w:ind w:left="0" w:leftChars="0" w:firstLine="0" w:firstLineChars="0"/>
              <w:jc w:val="center"/>
              <w:rPr>
                <w:rFonts w:hint="eastAsia"/>
                <w:sz w:val="21"/>
                <w:szCs w:val="21"/>
                <w:lang w:val="en-US" w:eastAsia="zh-CN"/>
              </w:rPr>
            </w:pPr>
            <w:r>
              <w:rPr>
                <w:rFonts w:hint="eastAsia"/>
                <w:sz w:val="21"/>
                <w:szCs w:val="21"/>
                <w:lang w:val="en-US" w:eastAsia="zh-CN"/>
              </w:rPr>
              <w:t>环境空气</w:t>
            </w:r>
          </w:p>
        </w:tc>
        <w:tc>
          <w:tcPr>
            <w:tcW w:w="650" w:type="pct"/>
            <w:noWrap w:val="0"/>
            <w:vAlign w:val="center"/>
          </w:tcPr>
          <w:p w14:paraId="20EC1CBC">
            <w:pPr>
              <w:bidi w:val="0"/>
              <w:spacing w:line="240" w:lineRule="auto"/>
              <w:ind w:left="0" w:leftChars="0" w:firstLine="0" w:firstLineChars="0"/>
              <w:jc w:val="center"/>
              <w:rPr>
                <w:rFonts w:hint="eastAsia"/>
                <w:sz w:val="21"/>
                <w:szCs w:val="21"/>
                <w:lang w:val="en-US" w:eastAsia="zh-CN"/>
              </w:rPr>
            </w:pPr>
            <w:r>
              <w:rPr>
                <w:rFonts w:hint="eastAsia"/>
                <w:sz w:val="21"/>
                <w:szCs w:val="21"/>
                <w:lang w:val="en-US" w:eastAsia="zh-CN"/>
              </w:rPr>
              <w:t>▲</w:t>
            </w:r>
          </w:p>
        </w:tc>
        <w:tc>
          <w:tcPr>
            <w:tcW w:w="651" w:type="pct"/>
            <w:noWrap w:val="0"/>
            <w:vAlign w:val="center"/>
          </w:tcPr>
          <w:p w14:paraId="4861F5A5">
            <w:pPr>
              <w:bidi w:val="0"/>
              <w:spacing w:line="240" w:lineRule="auto"/>
              <w:ind w:left="0" w:leftChars="0" w:firstLine="0" w:firstLineChars="0"/>
              <w:jc w:val="center"/>
              <w:rPr>
                <w:rFonts w:hint="eastAsia"/>
                <w:sz w:val="21"/>
                <w:szCs w:val="21"/>
                <w:lang w:val="en-US" w:eastAsia="zh-CN"/>
              </w:rPr>
            </w:pPr>
            <w:r>
              <w:rPr>
                <w:rFonts w:hint="eastAsia"/>
                <w:sz w:val="21"/>
                <w:szCs w:val="21"/>
                <w:lang w:val="en-US" w:eastAsia="zh-CN"/>
              </w:rPr>
              <w:t>☆</w:t>
            </w:r>
          </w:p>
        </w:tc>
        <w:tc>
          <w:tcPr>
            <w:tcW w:w="650" w:type="pct"/>
            <w:noWrap w:val="0"/>
            <w:vAlign w:val="center"/>
          </w:tcPr>
          <w:p w14:paraId="4B124226">
            <w:pPr>
              <w:bidi w:val="0"/>
              <w:spacing w:line="240" w:lineRule="auto"/>
              <w:ind w:left="0" w:leftChars="0" w:firstLine="0" w:firstLineChars="0"/>
              <w:jc w:val="center"/>
              <w:rPr>
                <w:rFonts w:hint="eastAsia"/>
                <w:sz w:val="21"/>
                <w:szCs w:val="21"/>
                <w:lang w:val="en-US" w:eastAsia="zh-CN"/>
              </w:rPr>
            </w:pPr>
            <w:r>
              <w:rPr>
                <w:rFonts w:hint="eastAsia"/>
                <w:sz w:val="21"/>
                <w:szCs w:val="21"/>
                <w:lang w:val="en-US" w:eastAsia="zh-CN"/>
              </w:rPr>
              <w:t>▲</w:t>
            </w:r>
          </w:p>
        </w:tc>
        <w:tc>
          <w:tcPr>
            <w:tcW w:w="650" w:type="pct"/>
            <w:noWrap w:val="0"/>
            <w:vAlign w:val="center"/>
          </w:tcPr>
          <w:p w14:paraId="6D8AAE37">
            <w:pPr>
              <w:bidi w:val="0"/>
              <w:spacing w:line="240" w:lineRule="auto"/>
              <w:ind w:left="0" w:leftChars="0" w:firstLine="0" w:firstLineChars="0"/>
              <w:jc w:val="center"/>
              <w:rPr>
                <w:rFonts w:hint="eastAsia"/>
                <w:sz w:val="21"/>
                <w:szCs w:val="21"/>
                <w:lang w:val="en-US" w:eastAsia="zh-CN"/>
              </w:rPr>
            </w:pPr>
          </w:p>
        </w:tc>
        <w:tc>
          <w:tcPr>
            <w:tcW w:w="650" w:type="pct"/>
            <w:noWrap w:val="0"/>
            <w:vAlign w:val="center"/>
          </w:tcPr>
          <w:p w14:paraId="6A7161CC">
            <w:pPr>
              <w:bidi w:val="0"/>
              <w:spacing w:line="240" w:lineRule="auto"/>
              <w:ind w:left="0" w:leftChars="0" w:firstLine="0" w:firstLineChars="0"/>
              <w:jc w:val="center"/>
              <w:rPr>
                <w:rFonts w:hint="eastAsia"/>
                <w:sz w:val="21"/>
                <w:szCs w:val="21"/>
                <w:lang w:val="en-US" w:eastAsia="zh-CN"/>
              </w:rPr>
            </w:pPr>
            <w:r>
              <w:rPr>
                <w:rFonts w:hint="eastAsia"/>
                <w:sz w:val="21"/>
                <w:szCs w:val="21"/>
                <w:lang w:val="en-US" w:eastAsia="zh-CN"/>
              </w:rPr>
              <w:t>▲</w:t>
            </w:r>
          </w:p>
        </w:tc>
        <w:tc>
          <w:tcPr>
            <w:tcW w:w="658" w:type="pct"/>
            <w:noWrap w:val="0"/>
            <w:vAlign w:val="center"/>
          </w:tcPr>
          <w:p w14:paraId="470AC34D">
            <w:pPr>
              <w:bidi w:val="0"/>
              <w:spacing w:line="240" w:lineRule="auto"/>
              <w:ind w:left="0" w:leftChars="0" w:firstLine="0" w:firstLineChars="0"/>
              <w:jc w:val="center"/>
              <w:rPr>
                <w:rFonts w:hint="eastAsia"/>
                <w:sz w:val="21"/>
                <w:szCs w:val="21"/>
                <w:lang w:val="en-US" w:eastAsia="zh-CN"/>
              </w:rPr>
            </w:pPr>
          </w:p>
        </w:tc>
      </w:tr>
      <w:tr w14:paraId="4A70AB3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23" w:hRule="atLeast"/>
          <w:jc w:val="center"/>
        </w:trPr>
        <w:tc>
          <w:tcPr>
            <w:tcW w:w="345" w:type="pct"/>
            <w:vMerge w:val="continue"/>
            <w:noWrap w:val="0"/>
            <w:vAlign w:val="center"/>
          </w:tcPr>
          <w:p w14:paraId="2E2963F0">
            <w:pPr>
              <w:bidi w:val="0"/>
              <w:spacing w:line="240" w:lineRule="auto"/>
              <w:ind w:left="0" w:leftChars="0" w:firstLine="0" w:firstLineChars="0"/>
              <w:jc w:val="center"/>
              <w:rPr>
                <w:rFonts w:hint="eastAsia"/>
                <w:sz w:val="21"/>
                <w:szCs w:val="21"/>
                <w:lang w:val="en-US" w:eastAsia="zh-CN"/>
              </w:rPr>
            </w:pPr>
          </w:p>
        </w:tc>
        <w:tc>
          <w:tcPr>
            <w:tcW w:w="741" w:type="pct"/>
            <w:noWrap w:val="0"/>
            <w:vAlign w:val="center"/>
          </w:tcPr>
          <w:p w14:paraId="6E7239BC">
            <w:pPr>
              <w:bidi w:val="0"/>
              <w:spacing w:line="240" w:lineRule="auto"/>
              <w:ind w:left="0" w:leftChars="0" w:firstLine="0" w:firstLineChars="0"/>
              <w:jc w:val="center"/>
              <w:rPr>
                <w:rFonts w:hint="eastAsia"/>
                <w:sz w:val="21"/>
                <w:szCs w:val="21"/>
                <w:lang w:val="en-US" w:eastAsia="zh-CN"/>
              </w:rPr>
            </w:pPr>
            <w:r>
              <w:rPr>
                <w:rFonts w:hint="eastAsia"/>
                <w:sz w:val="21"/>
                <w:szCs w:val="21"/>
                <w:lang w:val="en-US" w:eastAsia="zh-CN"/>
              </w:rPr>
              <w:t>声环境</w:t>
            </w:r>
          </w:p>
        </w:tc>
        <w:tc>
          <w:tcPr>
            <w:tcW w:w="650" w:type="pct"/>
            <w:noWrap w:val="0"/>
            <w:vAlign w:val="center"/>
          </w:tcPr>
          <w:p w14:paraId="231814F9">
            <w:pPr>
              <w:bidi w:val="0"/>
              <w:spacing w:line="240" w:lineRule="auto"/>
              <w:ind w:left="0" w:leftChars="0" w:firstLine="0" w:firstLineChars="0"/>
              <w:jc w:val="center"/>
              <w:rPr>
                <w:rFonts w:hint="eastAsia"/>
                <w:sz w:val="21"/>
                <w:szCs w:val="21"/>
                <w:lang w:val="en-US" w:eastAsia="zh-CN"/>
              </w:rPr>
            </w:pPr>
            <w:r>
              <w:rPr>
                <w:rFonts w:hint="eastAsia"/>
                <w:sz w:val="21"/>
                <w:szCs w:val="21"/>
                <w:lang w:val="en-US" w:eastAsia="zh-CN"/>
              </w:rPr>
              <w:t>▲</w:t>
            </w:r>
          </w:p>
        </w:tc>
        <w:tc>
          <w:tcPr>
            <w:tcW w:w="651" w:type="pct"/>
            <w:noWrap w:val="0"/>
            <w:vAlign w:val="center"/>
          </w:tcPr>
          <w:p w14:paraId="6862B15C">
            <w:pPr>
              <w:bidi w:val="0"/>
              <w:spacing w:line="240" w:lineRule="auto"/>
              <w:ind w:left="0" w:leftChars="0" w:firstLine="0" w:firstLineChars="0"/>
              <w:jc w:val="center"/>
              <w:rPr>
                <w:rFonts w:hint="eastAsia"/>
                <w:sz w:val="21"/>
                <w:szCs w:val="21"/>
                <w:lang w:val="en-US" w:eastAsia="zh-CN"/>
              </w:rPr>
            </w:pPr>
            <w:r>
              <w:rPr>
                <w:rFonts w:hint="eastAsia"/>
                <w:sz w:val="21"/>
                <w:szCs w:val="21"/>
                <w:lang w:val="en-US" w:eastAsia="zh-CN"/>
              </w:rPr>
              <w:t>☆</w:t>
            </w:r>
          </w:p>
        </w:tc>
        <w:tc>
          <w:tcPr>
            <w:tcW w:w="650" w:type="pct"/>
            <w:noWrap w:val="0"/>
            <w:vAlign w:val="center"/>
          </w:tcPr>
          <w:p w14:paraId="0AFB2363">
            <w:pPr>
              <w:bidi w:val="0"/>
              <w:spacing w:line="240" w:lineRule="auto"/>
              <w:ind w:left="0" w:leftChars="0" w:firstLine="0" w:firstLineChars="0"/>
              <w:jc w:val="center"/>
              <w:rPr>
                <w:rFonts w:hint="eastAsia"/>
                <w:sz w:val="21"/>
                <w:szCs w:val="21"/>
                <w:lang w:val="en-US" w:eastAsia="zh-CN"/>
              </w:rPr>
            </w:pPr>
            <w:r>
              <w:rPr>
                <w:rFonts w:hint="eastAsia"/>
                <w:sz w:val="21"/>
                <w:szCs w:val="21"/>
                <w:lang w:val="en-US" w:eastAsia="zh-CN"/>
              </w:rPr>
              <w:t>▲</w:t>
            </w:r>
          </w:p>
        </w:tc>
        <w:tc>
          <w:tcPr>
            <w:tcW w:w="650" w:type="pct"/>
            <w:noWrap w:val="0"/>
            <w:vAlign w:val="center"/>
          </w:tcPr>
          <w:p w14:paraId="7A1C085B">
            <w:pPr>
              <w:bidi w:val="0"/>
              <w:spacing w:line="240" w:lineRule="auto"/>
              <w:ind w:left="0" w:leftChars="0" w:firstLine="0" w:firstLineChars="0"/>
              <w:jc w:val="center"/>
              <w:rPr>
                <w:rFonts w:hint="eastAsia"/>
                <w:sz w:val="21"/>
                <w:szCs w:val="21"/>
                <w:lang w:val="en-US" w:eastAsia="zh-CN"/>
              </w:rPr>
            </w:pPr>
          </w:p>
        </w:tc>
        <w:tc>
          <w:tcPr>
            <w:tcW w:w="650" w:type="pct"/>
            <w:noWrap w:val="0"/>
            <w:vAlign w:val="center"/>
          </w:tcPr>
          <w:p w14:paraId="1D0B8EDE">
            <w:pPr>
              <w:bidi w:val="0"/>
              <w:spacing w:line="240" w:lineRule="auto"/>
              <w:ind w:left="0" w:leftChars="0" w:firstLine="0" w:firstLineChars="0"/>
              <w:jc w:val="center"/>
              <w:rPr>
                <w:rFonts w:hint="eastAsia"/>
                <w:sz w:val="21"/>
                <w:szCs w:val="21"/>
                <w:lang w:val="en-US" w:eastAsia="zh-CN"/>
              </w:rPr>
            </w:pPr>
          </w:p>
        </w:tc>
        <w:tc>
          <w:tcPr>
            <w:tcW w:w="658" w:type="pct"/>
            <w:noWrap w:val="0"/>
            <w:vAlign w:val="center"/>
          </w:tcPr>
          <w:p w14:paraId="645E5960">
            <w:pPr>
              <w:bidi w:val="0"/>
              <w:spacing w:line="240" w:lineRule="auto"/>
              <w:ind w:left="0" w:leftChars="0" w:firstLine="0" w:firstLineChars="0"/>
              <w:jc w:val="center"/>
              <w:rPr>
                <w:rFonts w:hint="eastAsia"/>
                <w:sz w:val="21"/>
                <w:szCs w:val="21"/>
                <w:lang w:val="en-US" w:eastAsia="zh-CN"/>
              </w:rPr>
            </w:pPr>
          </w:p>
        </w:tc>
      </w:tr>
      <w:tr w14:paraId="3B4D843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3" w:hRule="atLeast"/>
          <w:jc w:val="center"/>
        </w:trPr>
        <w:tc>
          <w:tcPr>
            <w:tcW w:w="345" w:type="pct"/>
            <w:vMerge w:val="continue"/>
            <w:noWrap w:val="0"/>
            <w:vAlign w:val="center"/>
          </w:tcPr>
          <w:p w14:paraId="55227620">
            <w:pPr>
              <w:bidi w:val="0"/>
              <w:spacing w:line="240" w:lineRule="auto"/>
              <w:ind w:left="0" w:leftChars="0" w:firstLine="0" w:firstLineChars="0"/>
              <w:jc w:val="center"/>
              <w:rPr>
                <w:rFonts w:hint="eastAsia"/>
                <w:sz w:val="21"/>
                <w:szCs w:val="21"/>
                <w:lang w:val="en-US" w:eastAsia="zh-CN"/>
              </w:rPr>
            </w:pPr>
          </w:p>
        </w:tc>
        <w:tc>
          <w:tcPr>
            <w:tcW w:w="741" w:type="pct"/>
            <w:noWrap w:val="0"/>
            <w:vAlign w:val="center"/>
          </w:tcPr>
          <w:p w14:paraId="529B6BF4">
            <w:pPr>
              <w:bidi w:val="0"/>
              <w:spacing w:line="240" w:lineRule="auto"/>
              <w:ind w:left="0" w:leftChars="0" w:firstLine="0" w:firstLineChars="0"/>
              <w:jc w:val="center"/>
              <w:rPr>
                <w:rFonts w:hint="eastAsia"/>
                <w:sz w:val="21"/>
                <w:szCs w:val="21"/>
                <w:lang w:val="en-US" w:eastAsia="zh-CN"/>
              </w:rPr>
            </w:pPr>
            <w:r>
              <w:rPr>
                <w:rFonts w:hint="eastAsia"/>
                <w:sz w:val="21"/>
                <w:szCs w:val="21"/>
                <w:lang w:val="en-US" w:eastAsia="zh-CN"/>
              </w:rPr>
              <w:t>土壤环境</w:t>
            </w:r>
          </w:p>
        </w:tc>
        <w:tc>
          <w:tcPr>
            <w:tcW w:w="650" w:type="pct"/>
            <w:noWrap w:val="0"/>
            <w:vAlign w:val="center"/>
          </w:tcPr>
          <w:p w14:paraId="0ADAB422">
            <w:pPr>
              <w:bidi w:val="0"/>
              <w:spacing w:line="240" w:lineRule="auto"/>
              <w:ind w:left="0" w:leftChars="0" w:firstLine="0" w:firstLineChars="0"/>
              <w:jc w:val="center"/>
              <w:rPr>
                <w:rFonts w:hint="eastAsia"/>
                <w:sz w:val="21"/>
                <w:szCs w:val="21"/>
                <w:lang w:val="en-US" w:eastAsia="zh-CN"/>
              </w:rPr>
            </w:pPr>
          </w:p>
        </w:tc>
        <w:tc>
          <w:tcPr>
            <w:tcW w:w="651" w:type="pct"/>
            <w:noWrap w:val="0"/>
            <w:vAlign w:val="center"/>
          </w:tcPr>
          <w:p w14:paraId="5D6A348C">
            <w:pPr>
              <w:bidi w:val="0"/>
              <w:spacing w:line="240" w:lineRule="auto"/>
              <w:ind w:left="0" w:leftChars="0" w:firstLine="0" w:firstLineChars="0"/>
              <w:jc w:val="center"/>
              <w:rPr>
                <w:rFonts w:hint="eastAsia"/>
                <w:sz w:val="21"/>
                <w:szCs w:val="21"/>
                <w:lang w:val="en-US" w:eastAsia="zh-CN"/>
              </w:rPr>
            </w:pPr>
            <w:r>
              <w:rPr>
                <w:rFonts w:hint="eastAsia"/>
                <w:sz w:val="21"/>
                <w:szCs w:val="21"/>
                <w:lang w:val="en-US" w:eastAsia="zh-CN"/>
              </w:rPr>
              <w:t>☆</w:t>
            </w:r>
          </w:p>
        </w:tc>
        <w:tc>
          <w:tcPr>
            <w:tcW w:w="650" w:type="pct"/>
            <w:noWrap w:val="0"/>
            <w:vAlign w:val="center"/>
          </w:tcPr>
          <w:p w14:paraId="4FA96C1B">
            <w:pPr>
              <w:bidi w:val="0"/>
              <w:spacing w:line="240" w:lineRule="auto"/>
              <w:ind w:left="0" w:leftChars="0" w:firstLine="0" w:firstLineChars="0"/>
              <w:jc w:val="center"/>
              <w:rPr>
                <w:rFonts w:hint="eastAsia"/>
                <w:sz w:val="21"/>
                <w:szCs w:val="21"/>
                <w:lang w:val="en-US" w:eastAsia="zh-CN"/>
              </w:rPr>
            </w:pPr>
          </w:p>
        </w:tc>
        <w:tc>
          <w:tcPr>
            <w:tcW w:w="650" w:type="pct"/>
            <w:noWrap w:val="0"/>
            <w:vAlign w:val="center"/>
          </w:tcPr>
          <w:p w14:paraId="50A5EAA3">
            <w:pPr>
              <w:bidi w:val="0"/>
              <w:spacing w:line="240" w:lineRule="auto"/>
              <w:ind w:left="0" w:leftChars="0" w:firstLine="0" w:firstLineChars="0"/>
              <w:jc w:val="center"/>
              <w:rPr>
                <w:rFonts w:hint="eastAsia"/>
                <w:sz w:val="21"/>
                <w:szCs w:val="21"/>
                <w:lang w:val="en-US" w:eastAsia="zh-CN"/>
              </w:rPr>
            </w:pPr>
          </w:p>
        </w:tc>
        <w:tc>
          <w:tcPr>
            <w:tcW w:w="650" w:type="pct"/>
            <w:noWrap w:val="0"/>
            <w:vAlign w:val="center"/>
          </w:tcPr>
          <w:p w14:paraId="6C6C2423">
            <w:pPr>
              <w:bidi w:val="0"/>
              <w:spacing w:line="240" w:lineRule="auto"/>
              <w:ind w:left="0" w:leftChars="0" w:firstLine="0" w:firstLineChars="0"/>
              <w:jc w:val="center"/>
              <w:rPr>
                <w:rFonts w:hint="eastAsia"/>
                <w:sz w:val="21"/>
                <w:szCs w:val="21"/>
                <w:lang w:val="en-US" w:eastAsia="zh-CN"/>
              </w:rPr>
            </w:pPr>
          </w:p>
        </w:tc>
        <w:tc>
          <w:tcPr>
            <w:tcW w:w="658" w:type="pct"/>
            <w:noWrap w:val="0"/>
            <w:vAlign w:val="center"/>
          </w:tcPr>
          <w:p w14:paraId="3817EE19">
            <w:pPr>
              <w:bidi w:val="0"/>
              <w:spacing w:line="240" w:lineRule="auto"/>
              <w:ind w:left="0" w:leftChars="0" w:firstLine="0" w:firstLineChars="0"/>
              <w:jc w:val="center"/>
              <w:rPr>
                <w:rFonts w:hint="eastAsia"/>
                <w:sz w:val="21"/>
                <w:szCs w:val="21"/>
                <w:lang w:val="en-US" w:eastAsia="zh-CN"/>
              </w:rPr>
            </w:pPr>
            <w:r>
              <w:rPr>
                <w:rFonts w:hint="eastAsia"/>
                <w:sz w:val="21"/>
                <w:szCs w:val="21"/>
                <w:lang w:val="en-US" w:eastAsia="zh-CN"/>
              </w:rPr>
              <w:t>★</w:t>
            </w:r>
          </w:p>
        </w:tc>
      </w:tr>
      <w:tr w14:paraId="7A4675F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3" w:hRule="atLeast"/>
          <w:jc w:val="center"/>
        </w:trPr>
        <w:tc>
          <w:tcPr>
            <w:tcW w:w="345" w:type="pct"/>
            <w:noWrap w:val="0"/>
            <w:vAlign w:val="center"/>
          </w:tcPr>
          <w:p w14:paraId="356EF8BF">
            <w:pPr>
              <w:bidi w:val="0"/>
              <w:spacing w:line="240" w:lineRule="auto"/>
              <w:ind w:left="0" w:leftChars="0" w:firstLine="0" w:firstLineChars="0"/>
              <w:jc w:val="center"/>
              <w:rPr>
                <w:rFonts w:hint="eastAsia"/>
                <w:sz w:val="21"/>
                <w:szCs w:val="21"/>
                <w:lang w:val="en-US" w:eastAsia="zh-CN"/>
              </w:rPr>
            </w:pPr>
            <w:r>
              <w:rPr>
                <w:rFonts w:hint="eastAsia"/>
                <w:sz w:val="21"/>
                <w:szCs w:val="21"/>
                <w:lang w:val="en-US" w:eastAsia="zh-CN"/>
              </w:rPr>
              <w:t>说明</w:t>
            </w:r>
          </w:p>
        </w:tc>
        <w:tc>
          <w:tcPr>
            <w:tcW w:w="4654" w:type="pct"/>
            <w:gridSpan w:val="7"/>
            <w:noWrap w:val="0"/>
            <w:vAlign w:val="center"/>
          </w:tcPr>
          <w:p w14:paraId="34265F15">
            <w:pPr>
              <w:bidi w:val="0"/>
              <w:spacing w:line="240" w:lineRule="auto"/>
              <w:ind w:left="0" w:leftChars="0" w:firstLine="0" w:firstLineChars="0"/>
              <w:jc w:val="both"/>
              <w:rPr>
                <w:rFonts w:hint="eastAsia"/>
                <w:sz w:val="21"/>
                <w:szCs w:val="21"/>
                <w:lang w:val="en-US" w:eastAsia="zh-CN"/>
              </w:rPr>
            </w:pPr>
            <w:r>
              <w:rPr>
                <w:rFonts w:hint="eastAsia"/>
                <w:sz w:val="21"/>
                <w:szCs w:val="21"/>
                <w:lang w:val="en-US" w:eastAsia="zh-CN"/>
              </w:rPr>
              <w:t>★/☆表示长期不利影响/有利影响区；▲/△表示短期不利影响/有利影响；空格表示影响不明显或没有影响。</w:t>
            </w:r>
          </w:p>
        </w:tc>
      </w:tr>
    </w:tbl>
    <w:p w14:paraId="118BD10C">
      <w:pPr>
        <w:pStyle w:val="9"/>
        <w:numPr>
          <w:ilvl w:val="2"/>
          <w:numId w:val="1"/>
        </w:numPr>
        <w:bidi w:val="0"/>
        <w:ind w:left="709" w:leftChars="0" w:hanging="709" w:firstLineChars="0"/>
        <w:rPr>
          <w:rFonts w:hint="eastAsia"/>
          <w:highlight w:val="none"/>
          <w:lang w:val="en-US" w:eastAsia="zh-CN"/>
        </w:rPr>
      </w:pPr>
      <w:r>
        <w:rPr>
          <w:rFonts w:hint="eastAsia"/>
          <w:highlight w:val="none"/>
          <w:lang w:val="en-US" w:eastAsia="zh-CN"/>
        </w:rPr>
        <w:t>评价因子筛选</w:t>
      </w:r>
    </w:p>
    <w:p w14:paraId="1916AA40">
      <w:pPr>
        <w:bidi w:val="0"/>
        <w:rPr>
          <w:rFonts w:hint="default"/>
          <w:highlight w:val="none"/>
          <w:lang w:val="en-US" w:eastAsia="zh-CN"/>
        </w:rPr>
      </w:pPr>
      <w:r>
        <w:rPr>
          <w:rFonts w:hint="eastAsia"/>
          <w:highlight w:val="none"/>
          <w:lang w:val="en-US" w:eastAsia="zh-CN"/>
        </w:rPr>
        <w:t>根据项目工程特征、排污种类及周围地区环境质量概况，确定本评价因子见表2.3-2。</w:t>
      </w:r>
    </w:p>
    <w:p w14:paraId="25ECC4AE">
      <w:pPr>
        <w:bidi w:val="0"/>
        <w:ind w:left="0" w:leftChars="0" w:firstLine="0" w:firstLineChars="0"/>
        <w:jc w:val="center"/>
        <w:rPr>
          <w:rFonts w:hint="default"/>
          <w:b/>
          <w:bCs/>
          <w:sz w:val="21"/>
          <w:szCs w:val="21"/>
          <w:highlight w:val="none"/>
          <w:lang w:val="en-US" w:eastAsia="zh-CN"/>
        </w:rPr>
      </w:pPr>
      <w:r>
        <w:rPr>
          <w:rFonts w:hint="eastAsia"/>
          <w:b/>
          <w:bCs/>
          <w:sz w:val="21"/>
          <w:szCs w:val="21"/>
          <w:highlight w:val="none"/>
          <w:lang w:val="en-US" w:eastAsia="zh-CN"/>
        </w:rPr>
        <w:t>表2.3-2  评价因子一览表</w:t>
      </w:r>
    </w:p>
    <w:tbl>
      <w:tblPr>
        <w:tblStyle w:val="35"/>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063"/>
        <w:gridCol w:w="5585"/>
        <w:gridCol w:w="1513"/>
        <w:gridCol w:w="1071"/>
      </w:tblGrid>
      <w:tr w14:paraId="3034971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27" w:hRule="atLeast"/>
          <w:tblHeader/>
          <w:jc w:val="center"/>
        </w:trPr>
        <w:tc>
          <w:tcPr>
            <w:tcW w:w="576" w:type="pct"/>
            <w:noWrap w:val="0"/>
            <w:vAlign w:val="center"/>
          </w:tcPr>
          <w:p w14:paraId="10607E9E">
            <w:pPr>
              <w:adjustRightInd/>
              <w:spacing w:line="240" w:lineRule="auto"/>
              <w:ind w:firstLine="0" w:firstLineChars="0"/>
              <w:jc w:val="center"/>
              <w:rPr>
                <w:color w:val="auto"/>
                <w:sz w:val="21"/>
                <w:szCs w:val="21"/>
                <w:highlight w:val="none"/>
                <w:u w:val="none"/>
              </w:rPr>
            </w:pPr>
            <w:r>
              <w:rPr>
                <w:b/>
                <w:bCs/>
                <w:color w:val="auto"/>
                <w:sz w:val="21"/>
                <w:szCs w:val="21"/>
                <w:highlight w:val="none"/>
                <w:u w:val="none"/>
              </w:rPr>
              <w:t>环境要素</w:t>
            </w:r>
          </w:p>
        </w:tc>
        <w:tc>
          <w:tcPr>
            <w:tcW w:w="3024" w:type="pct"/>
            <w:noWrap w:val="0"/>
            <w:vAlign w:val="center"/>
          </w:tcPr>
          <w:p w14:paraId="4A90DA7A">
            <w:pPr>
              <w:adjustRightInd/>
              <w:spacing w:line="240" w:lineRule="auto"/>
              <w:ind w:firstLine="0" w:firstLineChars="0"/>
              <w:jc w:val="center"/>
              <w:rPr>
                <w:color w:val="auto"/>
                <w:sz w:val="21"/>
                <w:szCs w:val="21"/>
                <w:highlight w:val="none"/>
                <w:u w:val="none"/>
              </w:rPr>
            </w:pPr>
            <w:r>
              <w:rPr>
                <w:b/>
                <w:bCs/>
                <w:color w:val="auto"/>
                <w:sz w:val="21"/>
                <w:szCs w:val="21"/>
                <w:highlight w:val="none"/>
                <w:u w:val="none"/>
              </w:rPr>
              <w:t>现状评价因子</w:t>
            </w:r>
          </w:p>
        </w:tc>
        <w:tc>
          <w:tcPr>
            <w:tcW w:w="819" w:type="pct"/>
            <w:noWrap w:val="0"/>
            <w:vAlign w:val="center"/>
          </w:tcPr>
          <w:p w14:paraId="479BF96C">
            <w:pPr>
              <w:adjustRightInd/>
              <w:spacing w:line="240" w:lineRule="auto"/>
              <w:ind w:firstLine="0" w:firstLineChars="0"/>
              <w:jc w:val="center"/>
              <w:rPr>
                <w:b/>
                <w:bCs/>
                <w:color w:val="auto"/>
                <w:sz w:val="21"/>
                <w:szCs w:val="21"/>
                <w:highlight w:val="none"/>
                <w:u w:val="none"/>
              </w:rPr>
            </w:pPr>
            <w:r>
              <w:rPr>
                <w:b/>
                <w:bCs/>
                <w:color w:val="auto"/>
                <w:sz w:val="21"/>
                <w:szCs w:val="21"/>
                <w:highlight w:val="none"/>
                <w:u w:val="none"/>
              </w:rPr>
              <w:t>预测评价因子</w:t>
            </w:r>
          </w:p>
        </w:tc>
        <w:tc>
          <w:tcPr>
            <w:tcW w:w="578" w:type="pct"/>
            <w:noWrap w:val="0"/>
            <w:vAlign w:val="center"/>
          </w:tcPr>
          <w:p w14:paraId="4558B871">
            <w:pPr>
              <w:adjustRightInd/>
              <w:spacing w:line="240" w:lineRule="auto"/>
              <w:ind w:firstLine="0" w:firstLineChars="0"/>
              <w:jc w:val="center"/>
              <w:rPr>
                <w:b/>
                <w:bCs/>
                <w:color w:val="auto"/>
                <w:sz w:val="21"/>
                <w:szCs w:val="21"/>
                <w:highlight w:val="none"/>
                <w:u w:val="none"/>
              </w:rPr>
            </w:pPr>
            <w:r>
              <w:rPr>
                <w:b/>
                <w:bCs/>
                <w:color w:val="auto"/>
                <w:sz w:val="21"/>
                <w:szCs w:val="21"/>
                <w:highlight w:val="none"/>
                <w:u w:val="none"/>
              </w:rPr>
              <w:t>总量控制因子</w:t>
            </w:r>
          </w:p>
        </w:tc>
      </w:tr>
      <w:tr w14:paraId="1A7D681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30" w:hRule="atLeast"/>
          <w:jc w:val="center"/>
        </w:trPr>
        <w:tc>
          <w:tcPr>
            <w:tcW w:w="576" w:type="pct"/>
            <w:noWrap w:val="0"/>
            <w:vAlign w:val="center"/>
          </w:tcPr>
          <w:p w14:paraId="77ADFBB9">
            <w:pPr>
              <w:adjustRightInd/>
              <w:spacing w:line="240" w:lineRule="auto"/>
              <w:ind w:firstLine="0" w:firstLineChars="0"/>
              <w:jc w:val="center"/>
              <w:rPr>
                <w:color w:val="auto"/>
                <w:sz w:val="21"/>
                <w:szCs w:val="21"/>
                <w:highlight w:val="none"/>
                <w:u w:val="none"/>
              </w:rPr>
            </w:pPr>
            <w:r>
              <w:rPr>
                <w:color w:val="auto"/>
                <w:sz w:val="21"/>
                <w:szCs w:val="21"/>
                <w:highlight w:val="none"/>
                <w:u w:val="none"/>
              </w:rPr>
              <w:t>大气环境</w:t>
            </w:r>
          </w:p>
        </w:tc>
        <w:tc>
          <w:tcPr>
            <w:tcW w:w="3024" w:type="pct"/>
            <w:noWrap w:val="0"/>
            <w:vAlign w:val="center"/>
          </w:tcPr>
          <w:p w14:paraId="75ECFB06">
            <w:pPr>
              <w:pStyle w:val="14"/>
              <w:adjustRightInd/>
              <w:spacing w:before="0" w:line="240" w:lineRule="auto"/>
              <w:ind w:firstLine="0" w:firstLineChars="0"/>
              <w:rPr>
                <w:rFonts w:hint="default" w:ascii="Times New Roman" w:hAnsi="Times New Roman" w:eastAsia="宋体"/>
                <w:color w:val="auto"/>
                <w:sz w:val="21"/>
                <w:szCs w:val="21"/>
                <w:highlight w:val="none"/>
                <w:u w:val="none"/>
                <w:lang w:val="en-US" w:eastAsia="zh-CN"/>
              </w:rPr>
            </w:pPr>
            <w:r>
              <w:rPr>
                <w:rFonts w:ascii="Times New Roman" w:hAnsi="Times New Roman" w:eastAsia="宋体"/>
                <w:color w:val="auto"/>
                <w:sz w:val="21"/>
                <w:szCs w:val="21"/>
                <w:highlight w:val="none"/>
                <w:u w:val="none"/>
              </w:rPr>
              <w:t>SO</w:t>
            </w:r>
            <w:r>
              <w:rPr>
                <w:rFonts w:ascii="Times New Roman" w:hAnsi="Times New Roman" w:eastAsia="宋体"/>
                <w:color w:val="auto"/>
                <w:sz w:val="21"/>
                <w:szCs w:val="21"/>
                <w:highlight w:val="none"/>
                <w:u w:val="none"/>
                <w:vertAlign w:val="subscript"/>
              </w:rPr>
              <w:t>2</w:t>
            </w:r>
            <w:r>
              <w:rPr>
                <w:rFonts w:ascii="Times New Roman" w:hAnsi="Times New Roman" w:eastAsia="宋体"/>
                <w:color w:val="auto"/>
                <w:sz w:val="21"/>
                <w:szCs w:val="21"/>
                <w:highlight w:val="none"/>
                <w:u w:val="none"/>
              </w:rPr>
              <w:t>、NO</w:t>
            </w:r>
            <w:r>
              <w:rPr>
                <w:rFonts w:ascii="Times New Roman" w:hAnsi="Times New Roman" w:eastAsia="宋体"/>
                <w:color w:val="auto"/>
                <w:sz w:val="21"/>
                <w:szCs w:val="21"/>
                <w:highlight w:val="none"/>
                <w:u w:val="none"/>
                <w:vertAlign w:val="subscript"/>
              </w:rPr>
              <w:t>2</w:t>
            </w:r>
            <w:r>
              <w:rPr>
                <w:rFonts w:ascii="Times New Roman" w:hAnsi="Times New Roman" w:eastAsia="宋体"/>
                <w:color w:val="auto"/>
                <w:sz w:val="21"/>
                <w:szCs w:val="21"/>
                <w:highlight w:val="none"/>
                <w:u w:val="none"/>
              </w:rPr>
              <w:t>、PM</w:t>
            </w:r>
            <w:r>
              <w:rPr>
                <w:rFonts w:ascii="Times New Roman" w:hAnsi="Times New Roman" w:eastAsia="宋体"/>
                <w:color w:val="auto"/>
                <w:sz w:val="21"/>
                <w:szCs w:val="21"/>
                <w:highlight w:val="none"/>
                <w:u w:val="none"/>
                <w:vertAlign w:val="subscript"/>
              </w:rPr>
              <w:t>10</w:t>
            </w:r>
            <w:r>
              <w:rPr>
                <w:rFonts w:ascii="Times New Roman" w:hAnsi="Times New Roman" w:eastAsia="宋体"/>
                <w:color w:val="auto"/>
                <w:sz w:val="21"/>
                <w:szCs w:val="21"/>
                <w:highlight w:val="none"/>
                <w:u w:val="none"/>
              </w:rPr>
              <w:t>、PM</w:t>
            </w:r>
            <w:r>
              <w:rPr>
                <w:rFonts w:ascii="Times New Roman" w:hAnsi="Times New Roman" w:eastAsia="宋体"/>
                <w:color w:val="auto"/>
                <w:sz w:val="21"/>
                <w:szCs w:val="21"/>
                <w:highlight w:val="none"/>
                <w:u w:val="none"/>
                <w:vertAlign w:val="subscript"/>
              </w:rPr>
              <w:t>2.5</w:t>
            </w:r>
            <w:r>
              <w:rPr>
                <w:rFonts w:ascii="Times New Roman" w:hAnsi="Times New Roman" w:eastAsia="宋体"/>
                <w:color w:val="auto"/>
                <w:sz w:val="21"/>
                <w:szCs w:val="21"/>
                <w:highlight w:val="none"/>
                <w:u w:val="none"/>
              </w:rPr>
              <w:t>、CO、O</w:t>
            </w:r>
            <w:r>
              <w:rPr>
                <w:rFonts w:ascii="Times New Roman" w:hAnsi="Times New Roman" w:eastAsia="宋体"/>
                <w:color w:val="auto"/>
                <w:sz w:val="21"/>
                <w:szCs w:val="21"/>
                <w:highlight w:val="none"/>
                <w:u w:val="none"/>
                <w:vertAlign w:val="subscript"/>
              </w:rPr>
              <w:t>3</w:t>
            </w:r>
            <w:r>
              <w:rPr>
                <w:rFonts w:ascii="Times New Roman" w:hAnsi="Times New Roman" w:eastAsia="宋体"/>
                <w:color w:val="auto"/>
                <w:sz w:val="21"/>
                <w:szCs w:val="21"/>
                <w:highlight w:val="none"/>
                <w:u w:val="none"/>
              </w:rPr>
              <w:t>、</w:t>
            </w:r>
            <w:r>
              <w:rPr>
                <w:rFonts w:hint="eastAsia" w:ascii="Times New Roman" w:hAnsi="Times New Roman" w:eastAsia="宋体"/>
                <w:color w:val="auto"/>
                <w:sz w:val="21"/>
                <w:szCs w:val="21"/>
                <w:highlight w:val="none"/>
                <w:u w:val="none"/>
                <w:lang w:val="en-US" w:eastAsia="zh-CN"/>
              </w:rPr>
              <w:t>TSP</w:t>
            </w:r>
          </w:p>
        </w:tc>
        <w:tc>
          <w:tcPr>
            <w:tcW w:w="819" w:type="pct"/>
            <w:noWrap w:val="0"/>
            <w:vAlign w:val="center"/>
          </w:tcPr>
          <w:p w14:paraId="0CF82513">
            <w:pPr>
              <w:adjustRightInd/>
              <w:spacing w:line="240" w:lineRule="auto"/>
              <w:ind w:firstLine="0" w:firstLineChars="0"/>
              <w:jc w:val="center"/>
              <w:rPr>
                <w:rFonts w:hint="default" w:eastAsia="宋体"/>
                <w:color w:val="auto"/>
                <w:sz w:val="21"/>
                <w:szCs w:val="21"/>
                <w:highlight w:val="none"/>
                <w:u w:val="none"/>
                <w:lang w:val="en-US" w:eastAsia="zh-CN"/>
              </w:rPr>
            </w:pPr>
            <w:r>
              <w:rPr>
                <w:rFonts w:hint="eastAsia"/>
                <w:color w:val="auto"/>
                <w:sz w:val="21"/>
                <w:szCs w:val="21"/>
                <w:highlight w:val="none"/>
                <w:u w:val="none"/>
                <w:lang w:val="en-US" w:eastAsia="zh-CN"/>
              </w:rPr>
              <w:t>/</w:t>
            </w:r>
          </w:p>
        </w:tc>
        <w:tc>
          <w:tcPr>
            <w:tcW w:w="578" w:type="pct"/>
            <w:noWrap w:val="0"/>
            <w:vAlign w:val="center"/>
          </w:tcPr>
          <w:p w14:paraId="7585BA9F">
            <w:pPr>
              <w:pStyle w:val="14"/>
              <w:adjustRightInd/>
              <w:spacing w:before="0" w:line="240" w:lineRule="auto"/>
              <w:ind w:firstLine="0" w:firstLineChars="0"/>
              <w:rPr>
                <w:rFonts w:hint="eastAsia" w:ascii="Times New Roman" w:hAnsi="Times New Roman" w:eastAsia="宋体"/>
                <w:color w:val="auto"/>
                <w:sz w:val="21"/>
                <w:szCs w:val="21"/>
                <w:highlight w:val="none"/>
                <w:u w:val="none"/>
                <w:lang w:val="en-US" w:eastAsia="zh-CN"/>
              </w:rPr>
            </w:pPr>
            <w:r>
              <w:rPr>
                <w:rFonts w:hint="eastAsia" w:ascii="Times New Roman" w:hAnsi="Times New Roman" w:eastAsia="宋体"/>
                <w:color w:val="auto"/>
                <w:sz w:val="21"/>
                <w:szCs w:val="21"/>
                <w:highlight w:val="none"/>
                <w:u w:val="none"/>
                <w:lang w:val="en-US" w:eastAsia="zh-CN"/>
              </w:rPr>
              <w:t>/</w:t>
            </w:r>
          </w:p>
        </w:tc>
      </w:tr>
      <w:tr w14:paraId="34A6254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76" w:type="pct"/>
            <w:noWrap w:val="0"/>
            <w:vAlign w:val="center"/>
          </w:tcPr>
          <w:p w14:paraId="28AE15F7">
            <w:pPr>
              <w:adjustRightInd/>
              <w:spacing w:line="240" w:lineRule="auto"/>
              <w:ind w:firstLine="0" w:firstLineChars="0"/>
              <w:jc w:val="center"/>
              <w:rPr>
                <w:color w:val="auto"/>
                <w:sz w:val="21"/>
                <w:szCs w:val="21"/>
                <w:highlight w:val="none"/>
                <w:u w:val="none"/>
              </w:rPr>
            </w:pPr>
            <w:r>
              <w:rPr>
                <w:color w:val="auto"/>
                <w:sz w:val="21"/>
                <w:szCs w:val="21"/>
                <w:highlight w:val="none"/>
                <w:u w:val="none"/>
              </w:rPr>
              <w:t>地表水</w:t>
            </w:r>
          </w:p>
          <w:p w14:paraId="547945DD">
            <w:pPr>
              <w:adjustRightInd/>
              <w:spacing w:line="240" w:lineRule="auto"/>
              <w:ind w:firstLine="0" w:firstLineChars="0"/>
              <w:jc w:val="center"/>
              <w:rPr>
                <w:color w:val="auto"/>
                <w:sz w:val="21"/>
                <w:szCs w:val="21"/>
                <w:highlight w:val="yellow"/>
                <w:u w:val="none"/>
              </w:rPr>
            </w:pPr>
            <w:r>
              <w:rPr>
                <w:color w:val="auto"/>
                <w:sz w:val="21"/>
                <w:szCs w:val="21"/>
                <w:highlight w:val="none"/>
                <w:u w:val="none"/>
              </w:rPr>
              <w:t>环境</w:t>
            </w:r>
          </w:p>
        </w:tc>
        <w:tc>
          <w:tcPr>
            <w:tcW w:w="3024" w:type="pct"/>
            <w:noWrap w:val="0"/>
            <w:vAlign w:val="center"/>
          </w:tcPr>
          <w:p w14:paraId="5AAECDE9">
            <w:pPr>
              <w:adjustRightInd/>
              <w:spacing w:line="240" w:lineRule="auto"/>
              <w:ind w:firstLine="0" w:firstLineChars="0"/>
              <w:jc w:val="center"/>
              <w:rPr>
                <w:rFonts w:hint="default" w:eastAsia="宋体"/>
                <w:color w:val="auto"/>
                <w:sz w:val="21"/>
                <w:szCs w:val="21"/>
                <w:highlight w:val="none"/>
                <w:u w:val="none"/>
                <w:lang w:val="en-US" w:eastAsia="zh-CN"/>
              </w:rPr>
            </w:pPr>
            <w:r>
              <w:rPr>
                <w:color w:val="auto"/>
                <w:sz w:val="21"/>
                <w:szCs w:val="21"/>
                <w:highlight w:val="none"/>
                <w:u w:val="none"/>
              </w:rPr>
              <w:t>pH、</w:t>
            </w:r>
            <w:r>
              <w:rPr>
                <w:rFonts w:hint="eastAsia"/>
                <w:color w:val="auto"/>
                <w:sz w:val="21"/>
                <w:szCs w:val="21"/>
                <w:highlight w:val="none"/>
                <w:u w:val="none"/>
                <w:lang w:val="en-US" w:eastAsia="zh-CN"/>
              </w:rPr>
              <w:t>COD</w:t>
            </w:r>
            <w:r>
              <w:rPr>
                <w:rFonts w:hint="eastAsia"/>
                <w:color w:val="auto"/>
                <w:sz w:val="21"/>
                <w:szCs w:val="21"/>
                <w:highlight w:val="none"/>
                <w:u w:val="none"/>
                <w:vertAlign w:val="subscript"/>
                <w:lang w:val="en-US" w:eastAsia="zh-CN"/>
              </w:rPr>
              <w:t>Cr</w:t>
            </w:r>
            <w:r>
              <w:rPr>
                <w:rFonts w:hint="eastAsia"/>
                <w:color w:val="auto"/>
                <w:sz w:val="21"/>
                <w:szCs w:val="21"/>
                <w:highlight w:val="none"/>
                <w:u w:val="none"/>
                <w:lang w:val="en-US" w:eastAsia="zh-CN"/>
              </w:rPr>
              <w:t>、BOD</w:t>
            </w:r>
            <w:r>
              <w:rPr>
                <w:rFonts w:hint="eastAsia"/>
                <w:color w:val="auto"/>
                <w:sz w:val="21"/>
                <w:szCs w:val="21"/>
                <w:highlight w:val="none"/>
                <w:u w:val="none"/>
                <w:vertAlign w:val="subscript"/>
                <w:lang w:val="en-US" w:eastAsia="zh-CN"/>
              </w:rPr>
              <w:t>5</w:t>
            </w:r>
            <w:r>
              <w:rPr>
                <w:rFonts w:hint="eastAsia"/>
                <w:color w:val="auto"/>
                <w:sz w:val="21"/>
                <w:szCs w:val="21"/>
                <w:highlight w:val="none"/>
                <w:u w:val="none"/>
                <w:lang w:val="en-US" w:eastAsia="zh-CN"/>
              </w:rPr>
              <w:t>、氨氮、总磷、总氮、氰化物、总铬、六价铬、镍、铜、锌、砷、镉、铅、汞</w:t>
            </w:r>
          </w:p>
        </w:tc>
        <w:tc>
          <w:tcPr>
            <w:tcW w:w="819" w:type="pct"/>
            <w:noWrap w:val="0"/>
            <w:vAlign w:val="center"/>
          </w:tcPr>
          <w:p w14:paraId="3134F407">
            <w:pPr>
              <w:adjustRightInd/>
              <w:spacing w:line="240" w:lineRule="auto"/>
              <w:ind w:firstLine="0" w:firstLineChars="0"/>
              <w:jc w:val="center"/>
              <w:rPr>
                <w:color w:val="auto"/>
                <w:kern w:val="2"/>
                <w:sz w:val="21"/>
                <w:szCs w:val="21"/>
                <w:highlight w:val="none"/>
                <w:u w:val="none"/>
              </w:rPr>
            </w:pPr>
            <w:r>
              <w:rPr>
                <w:color w:val="auto"/>
                <w:kern w:val="2"/>
                <w:sz w:val="21"/>
                <w:szCs w:val="21"/>
                <w:highlight w:val="none"/>
                <w:u w:val="none"/>
              </w:rPr>
              <w:t>/</w:t>
            </w:r>
          </w:p>
        </w:tc>
        <w:tc>
          <w:tcPr>
            <w:tcW w:w="578" w:type="pct"/>
            <w:noWrap w:val="0"/>
            <w:vAlign w:val="center"/>
          </w:tcPr>
          <w:p w14:paraId="77E0B240">
            <w:pPr>
              <w:adjustRightInd/>
              <w:spacing w:line="240" w:lineRule="auto"/>
              <w:ind w:firstLine="0" w:firstLineChars="0"/>
              <w:jc w:val="center"/>
              <w:rPr>
                <w:rFonts w:hint="eastAsia" w:eastAsia="宋体"/>
                <w:bCs/>
                <w:color w:val="auto"/>
                <w:kern w:val="2"/>
                <w:sz w:val="21"/>
                <w:szCs w:val="21"/>
                <w:highlight w:val="none"/>
                <w:u w:val="none"/>
                <w:lang w:val="en-US" w:eastAsia="zh-CN"/>
              </w:rPr>
            </w:pPr>
            <w:r>
              <w:rPr>
                <w:rFonts w:hint="eastAsia"/>
                <w:bCs/>
                <w:color w:val="auto"/>
                <w:kern w:val="2"/>
                <w:sz w:val="21"/>
                <w:szCs w:val="21"/>
                <w:highlight w:val="none"/>
                <w:u w:val="none"/>
                <w:lang w:val="en-US" w:eastAsia="zh-CN"/>
              </w:rPr>
              <w:t>/</w:t>
            </w:r>
          </w:p>
        </w:tc>
      </w:tr>
      <w:tr w14:paraId="4103355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76" w:type="pct"/>
            <w:noWrap w:val="0"/>
            <w:vAlign w:val="center"/>
          </w:tcPr>
          <w:p w14:paraId="15C78631">
            <w:pPr>
              <w:adjustRightInd/>
              <w:spacing w:line="240" w:lineRule="auto"/>
              <w:ind w:firstLine="0" w:firstLineChars="0"/>
              <w:jc w:val="center"/>
              <w:rPr>
                <w:color w:val="auto"/>
                <w:sz w:val="21"/>
                <w:szCs w:val="21"/>
                <w:highlight w:val="none"/>
                <w:u w:val="none"/>
              </w:rPr>
            </w:pPr>
            <w:r>
              <w:rPr>
                <w:color w:val="auto"/>
                <w:sz w:val="21"/>
                <w:szCs w:val="21"/>
                <w:highlight w:val="none"/>
                <w:u w:val="none"/>
              </w:rPr>
              <w:t>地下水</w:t>
            </w:r>
          </w:p>
          <w:p w14:paraId="469C96DA">
            <w:pPr>
              <w:adjustRightInd/>
              <w:spacing w:line="240" w:lineRule="auto"/>
              <w:ind w:firstLine="0" w:firstLineChars="0"/>
              <w:jc w:val="center"/>
              <w:rPr>
                <w:color w:val="auto"/>
                <w:sz w:val="21"/>
                <w:szCs w:val="21"/>
                <w:highlight w:val="none"/>
                <w:u w:val="none"/>
              </w:rPr>
            </w:pPr>
            <w:r>
              <w:rPr>
                <w:color w:val="auto"/>
                <w:sz w:val="21"/>
                <w:szCs w:val="21"/>
                <w:highlight w:val="none"/>
                <w:u w:val="none"/>
              </w:rPr>
              <w:t>环境</w:t>
            </w:r>
          </w:p>
        </w:tc>
        <w:tc>
          <w:tcPr>
            <w:tcW w:w="3024" w:type="pct"/>
            <w:noWrap w:val="0"/>
            <w:vAlign w:val="center"/>
          </w:tcPr>
          <w:p w14:paraId="7B55C428">
            <w:pPr>
              <w:adjustRightInd/>
              <w:spacing w:line="240" w:lineRule="auto"/>
              <w:ind w:firstLine="0" w:firstLineChars="0"/>
              <w:jc w:val="center"/>
              <w:rPr>
                <w:color w:val="auto"/>
                <w:sz w:val="21"/>
                <w:szCs w:val="21"/>
                <w:highlight w:val="none"/>
                <w:u w:val="none"/>
              </w:rPr>
            </w:pPr>
            <w:r>
              <w:rPr>
                <w:rFonts w:hint="eastAsia" w:cs="Times New Roman"/>
                <w:kern w:val="0"/>
                <w:sz w:val="21"/>
                <w:szCs w:val="21"/>
                <w:highlight w:val="none"/>
                <w:lang w:val="en-US" w:eastAsia="zh-CN" w:bidi="ar"/>
              </w:rPr>
              <w:t>水位、pH、氨氮、硝酸盐、亚硝酸盐、挥发性酚类、氰化物、砷、汞、铬（六价）、总硬度、铅、氟化物、镉、铁、锰、</w:t>
            </w:r>
            <w:r>
              <w:rPr>
                <w:rFonts w:hint="eastAsia"/>
                <w:color w:val="auto"/>
                <w:sz w:val="21"/>
                <w:szCs w:val="21"/>
                <w:highlight w:val="none"/>
                <w:u w:val="none"/>
                <w:lang w:val="en-US" w:eastAsia="zh-CN"/>
              </w:rPr>
              <w:t>镍、铜、锌、</w:t>
            </w:r>
            <w:r>
              <w:rPr>
                <w:rFonts w:hint="eastAsia" w:cs="Times New Roman"/>
                <w:kern w:val="0"/>
                <w:sz w:val="21"/>
                <w:szCs w:val="21"/>
                <w:highlight w:val="none"/>
                <w:lang w:val="en-US" w:eastAsia="zh-CN" w:bidi="ar"/>
              </w:rPr>
              <w:t>溶解性总固体、高锰酸盐指数、硫酸盐、氯化物、总大肠菌群、细菌总数</w:t>
            </w:r>
            <w:r>
              <w:rPr>
                <w:rFonts w:hint="eastAsia" w:cs="宋体"/>
                <w:kern w:val="0"/>
                <w:sz w:val="21"/>
                <w:szCs w:val="21"/>
                <w:highlight w:val="none"/>
                <w:lang w:val="en-US" w:eastAsia="zh-CN" w:bidi="ar"/>
              </w:rPr>
              <w:t>、</w:t>
            </w:r>
            <w:r>
              <w:rPr>
                <w:rFonts w:hint="default" w:ascii="Times New Roman" w:hAnsi="Times New Roman" w:eastAsia="宋体" w:cs="Times New Roman"/>
                <w:kern w:val="0"/>
                <w:sz w:val="21"/>
                <w:szCs w:val="21"/>
                <w:highlight w:val="none"/>
                <w:lang w:val="en-US" w:eastAsia="zh-CN" w:bidi="ar"/>
              </w:rPr>
              <w:t>K</w:t>
            </w:r>
            <w:r>
              <w:rPr>
                <w:rFonts w:hint="default" w:ascii="Times New Roman" w:hAnsi="Times New Roman" w:eastAsia="宋体" w:cs="Times New Roman"/>
                <w:kern w:val="0"/>
                <w:sz w:val="21"/>
                <w:szCs w:val="21"/>
                <w:highlight w:val="none"/>
                <w:vertAlign w:val="superscript"/>
                <w:lang w:val="en-US" w:eastAsia="zh-CN" w:bidi="ar"/>
              </w:rPr>
              <w:t>+</w:t>
            </w:r>
            <w:r>
              <w:rPr>
                <w:rFonts w:hint="eastAsia" w:ascii="Times New Roman" w:hAnsi="Times New Roman" w:eastAsia="宋体" w:cs="宋体"/>
                <w:kern w:val="0"/>
                <w:sz w:val="21"/>
                <w:szCs w:val="21"/>
                <w:highlight w:val="none"/>
                <w:lang w:val="en-US" w:eastAsia="zh-CN" w:bidi="ar"/>
              </w:rPr>
              <w:t>、</w:t>
            </w:r>
            <w:r>
              <w:rPr>
                <w:rFonts w:hint="default" w:ascii="Times New Roman" w:hAnsi="Times New Roman" w:eastAsia="宋体" w:cs="Times New Roman"/>
                <w:kern w:val="0"/>
                <w:sz w:val="21"/>
                <w:szCs w:val="21"/>
                <w:highlight w:val="none"/>
                <w:lang w:val="en-US" w:eastAsia="zh-CN" w:bidi="ar"/>
              </w:rPr>
              <w:t>Na</w:t>
            </w:r>
            <w:r>
              <w:rPr>
                <w:rFonts w:hint="default" w:ascii="Times New Roman" w:hAnsi="Times New Roman" w:eastAsia="宋体" w:cs="Times New Roman"/>
                <w:kern w:val="0"/>
                <w:sz w:val="21"/>
                <w:szCs w:val="21"/>
                <w:highlight w:val="none"/>
                <w:vertAlign w:val="superscript"/>
                <w:lang w:val="en-US" w:eastAsia="zh-CN" w:bidi="ar"/>
              </w:rPr>
              <w:t>+</w:t>
            </w:r>
            <w:r>
              <w:rPr>
                <w:rFonts w:hint="eastAsia" w:ascii="Times New Roman" w:hAnsi="Times New Roman" w:eastAsia="宋体" w:cs="宋体"/>
                <w:kern w:val="0"/>
                <w:sz w:val="21"/>
                <w:szCs w:val="21"/>
                <w:highlight w:val="none"/>
                <w:lang w:val="en-US" w:eastAsia="zh-CN" w:bidi="ar"/>
              </w:rPr>
              <w:t>、</w:t>
            </w:r>
            <w:r>
              <w:rPr>
                <w:rFonts w:hint="default" w:ascii="Times New Roman" w:hAnsi="Times New Roman" w:eastAsia="宋体" w:cs="Times New Roman"/>
                <w:kern w:val="0"/>
                <w:sz w:val="21"/>
                <w:szCs w:val="21"/>
                <w:highlight w:val="none"/>
                <w:lang w:val="en-US" w:eastAsia="zh-CN" w:bidi="ar"/>
              </w:rPr>
              <w:t>Ca</w:t>
            </w:r>
            <w:r>
              <w:rPr>
                <w:rFonts w:hint="default" w:ascii="Times New Roman" w:hAnsi="Times New Roman" w:eastAsia="宋体" w:cs="Times New Roman"/>
                <w:kern w:val="0"/>
                <w:sz w:val="21"/>
                <w:szCs w:val="21"/>
                <w:highlight w:val="none"/>
                <w:vertAlign w:val="superscript"/>
                <w:lang w:val="en-US" w:eastAsia="zh-CN" w:bidi="ar"/>
              </w:rPr>
              <w:t>2+</w:t>
            </w:r>
            <w:r>
              <w:rPr>
                <w:rFonts w:hint="eastAsia" w:ascii="Times New Roman" w:hAnsi="Times New Roman" w:eastAsia="宋体" w:cs="宋体"/>
                <w:kern w:val="0"/>
                <w:sz w:val="21"/>
                <w:szCs w:val="21"/>
                <w:highlight w:val="none"/>
                <w:lang w:val="en-US" w:eastAsia="zh-CN" w:bidi="ar"/>
              </w:rPr>
              <w:t>、</w:t>
            </w:r>
            <w:r>
              <w:rPr>
                <w:rFonts w:hint="default" w:ascii="Times New Roman" w:hAnsi="Times New Roman" w:eastAsia="宋体" w:cs="Times New Roman"/>
                <w:kern w:val="0"/>
                <w:sz w:val="21"/>
                <w:szCs w:val="21"/>
                <w:highlight w:val="none"/>
                <w:lang w:val="en-US" w:eastAsia="zh-CN" w:bidi="ar"/>
              </w:rPr>
              <w:t>Mg</w:t>
            </w:r>
            <w:r>
              <w:rPr>
                <w:rFonts w:hint="default" w:ascii="Times New Roman" w:hAnsi="Times New Roman" w:eastAsia="宋体" w:cs="Times New Roman"/>
                <w:kern w:val="0"/>
                <w:sz w:val="21"/>
                <w:szCs w:val="21"/>
                <w:highlight w:val="none"/>
                <w:vertAlign w:val="superscript"/>
                <w:lang w:val="en-US" w:eastAsia="zh-CN" w:bidi="ar"/>
              </w:rPr>
              <w:t>2+</w:t>
            </w:r>
            <w:r>
              <w:rPr>
                <w:rFonts w:hint="eastAsia" w:ascii="Times New Roman" w:hAnsi="Times New Roman" w:eastAsia="宋体" w:cs="宋体"/>
                <w:kern w:val="0"/>
                <w:sz w:val="21"/>
                <w:szCs w:val="21"/>
                <w:highlight w:val="none"/>
                <w:lang w:val="en-US" w:eastAsia="zh-CN" w:bidi="ar"/>
              </w:rPr>
              <w:t>、</w:t>
            </w:r>
            <w:r>
              <w:rPr>
                <w:rFonts w:hint="default" w:ascii="Times New Roman" w:hAnsi="Times New Roman" w:eastAsia="宋体" w:cs="Times New Roman"/>
                <w:kern w:val="0"/>
                <w:sz w:val="21"/>
                <w:szCs w:val="21"/>
                <w:highlight w:val="none"/>
                <w:lang w:val="en-US" w:eastAsia="zh-CN" w:bidi="ar"/>
              </w:rPr>
              <w:t>CO</w:t>
            </w:r>
            <w:r>
              <w:rPr>
                <w:rFonts w:hint="default" w:ascii="Times New Roman" w:hAnsi="Times New Roman" w:eastAsia="宋体" w:cs="Times New Roman"/>
                <w:kern w:val="0"/>
                <w:sz w:val="21"/>
                <w:szCs w:val="21"/>
                <w:highlight w:val="none"/>
                <w:vertAlign w:val="subscript"/>
                <w:lang w:val="en-US" w:eastAsia="zh-CN" w:bidi="ar"/>
              </w:rPr>
              <w:t>3</w:t>
            </w:r>
            <w:r>
              <w:rPr>
                <w:rFonts w:hint="default" w:ascii="Times New Roman" w:hAnsi="Times New Roman" w:eastAsia="宋体" w:cs="Times New Roman"/>
                <w:kern w:val="0"/>
                <w:sz w:val="21"/>
                <w:szCs w:val="21"/>
                <w:highlight w:val="none"/>
                <w:vertAlign w:val="superscript"/>
                <w:lang w:val="en-US" w:eastAsia="zh-CN" w:bidi="ar"/>
              </w:rPr>
              <w:t>2-</w:t>
            </w:r>
            <w:r>
              <w:rPr>
                <w:rFonts w:hint="eastAsia" w:ascii="Times New Roman" w:hAnsi="Times New Roman" w:eastAsia="宋体" w:cs="宋体"/>
                <w:kern w:val="0"/>
                <w:sz w:val="21"/>
                <w:szCs w:val="21"/>
                <w:highlight w:val="none"/>
                <w:lang w:val="en-US" w:eastAsia="zh-CN" w:bidi="ar"/>
              </w:rPr>
              <w:t>、</w:t>
            </w:r>
            <w:r>
              <w:rPr>
                <w:rFonts w:hint="default" w:ascii="Times New Roman" w:hAnsi="Times New Roman" w:eastAsia="宋体" w:cs="Times New Roman"/>
                <w:kern w:val="0"/>
                <w:sz w:val="21"/>
                <w:szCs w:val="21"/>
                <w:highlight w:val="none"/>
                <w:lang w:val="en-US" w:eastAsia="zh-CN" w:bidi="ar"/>
              </w:rPr>
              <w:t>HCO</w:t>
            </w:r>
            <w:r>
              <w:rPr>
                <w:rFonts w:hint="default" w:ascii="Times New Roman" w:hAnsi="Times New Roman" w:eastAsia="宋体" w:cs="Times New Roman"/>
                <w:kern w:val="0"/>
                <w:sz w:val="21"/>
                <w:szCs w:val="21"/>
                <w:highlight w:val="none"/>
                <w:vertAlign w:val="subscript"/>
                <w:lang w:val="en-US" w:eastAsia="zh-CN" w:bidi="ar"/>
              </w:rPr>
              <w:t>3</w:t>
            </w:r>
            <w:r>
              <w:rPr>
                <w:rFonts w:hint="default" w:ascii="Times New Roman" w:hAnsi="Times New Roman" w:eastAsia="宋体" w:cs="Times New Roman"/>
                <w:kern w:val="0"/>
                <w:sz w:val="21"/>
                <w:szCs w:val="21"/>
                <w:highlight w:val="none"/>
                <w:vertAlign w:val="superscript"/>
                <w:lang w:val="en-US" w:eastAsia="zh-CN" w:bidi="ar"/>
              </w:rPr>
              <w:t>-</w:t>
            </w:r>
            <w:r>
              <w:rPr>
                <w:rFonts w:hint="eastAsia" w:ascii="Times New Roman" w:hAnsi="Times New Roman" w:eastAsia="宋体" w:cs="宋体"/>
                <w:kern w:val="0"/>
                <w:sz w:val="21"/>
                <w:szCs w:val="21"/>
                <w:highlight w:val="none"/>
                <w:lang w:val="en-US" w:eastAsia="zh-CN" w:bidi="ar"/>
              </w:rPr>
              <w:t>、</w:t>
            </w:r>
            <w:r>
              <w:rPr>
                <w:rFonts w:hint="default" w:ascii="Times New Roman" w:hAnsi="Times New Roman" w:eastAsia="宋体" w:cs="Times New Roman"/>
                <w:kern w:val="0"/>
                <w:sz w:val="21"/>
                <w:szCs w:val="21"/>
                <w:highlight w:val="none"/>
                <w:lang w:val="en-US" w:eastAsia="zh-CN" w:bidi="ar"/>
              </w:rPr>
              <w:t>Cl</w:t>
            </w:r>
            <w:r>
              <w:rPr>
                <w:rFonts w:hint="default" w:ascii="Times New Roman" w:hAnsi="Times New Roman" w:eastAsia="宋体" w:cs="Times New Roman"/>
                <w:kern w:val="0"/>
                <w:sz w:val="21"/>
                <w:szCs w:val="21"/>
                <w:highlight w:val="none"/>
                <w:vertAlign w:val="superscript"/>
                <w:lang w:val="en-US" w:eastAsia="zh-CN" w:bidi="ar"/>
              </w:rPr>
              <w:t>-</w:t>
            </w:r>
            <w:r>
              <w:rPr>
                <w:rFonts w:hint="eastAsia" w:ascii="Times New Roman" w:hAnsi="Times New Roman" w:eastAsia="宋体" w:cs="宋体"/>
                <w:kern w:val="0"/>
                <w:sz w:val="21"/>
                <w:szCs w:val="21"/>
                <w:highlight w:val="none"/>
                <w:lang w:val="en-US" w:eastAsia="zh-CN" w:bidi="ar"/>
              </w:rPr>
              <w:t>、</w:t>
            </w:r>
            <w:r>
              <w:rPr>
                <w:rFonts w:hint="default" w:ascii="Times New Roman" w:hAnsi="Times New Roman" w:eastAsia="宋体" w:cs="Times New Roman"/>
                <w:kern w:val="0"/>
                <w:sz w:val="21"/>
                <w:szCs w:val="21"/>
                <w:highlight w:val="none"/>
                <w:lang w:val="en-US" w:eastAsia="zh-CN" w:bidi="ar"/>
              </w:rPr>
              <w:t>SO</w:t>
            </w:r>
            <w:r>
              <w:rPr>
                <w:rFonts w:hint="default" w:ascii="Times New Roman" w:hAnsi="Times New Roman" w:eastAsia="宋体" w:cs="Times New Roman"/>
                <w:kern w:val="0"/>
                <w:sz w:val="21"/>
                <w:szCs w:val="21"/>
                <w:highlight w:val="none"/>
                <w:vertAlign w:val="subscript"/>
                <w:lang w:val="en-US" w:eastAsia="zh-CN" w:bidi="ar"/>
              </w:rPr>
              <w:t>4</w:t>
            </w:r>
            <w:r>
              <w:rPr>
                <w:rFonts w:hint="default" w:ascii="Times New Roman" w:hAnsi="Times New Roman" w:eastAsia="宋体" w:cs="Times New Roman"/>
                <w:kern w:val="0"/>
                <w:sz w:val="21"/>
                <w:szCs w:val="21"/>
                <w:highlight w:val="none"/>
                <w:vertAlign w:val="superscript"/>
                <w:lang w:val="en-US" w:eastAsia="zh-CN" w:bidi="ar"/>
              </w:rPr>
              <w:t>2-</w:t>
            </w:r>
          </w:p>
        </w:tc>
        <w:tc>
          <w:tcPr>
            <w:tcW w:w="819" w:type="pct"/>
            <w:noWrap w:val="0"/>
            <w:vAlign w:val="center"/>
          </w:tcPr>
          <w:p w14:paraId="73B87BF6">
            <w:pPr>
              <w:adjustRightInd/>
              <w:spacing w:line="240" w:lineRule="auto"/>
              <w:ind w:firstLine="0" w:firstLineChars="0"/>
              <w:jc w:val="center"/>
              <w:rPr>
                <w:rFonts w:hint="default" w:eastAsia="宋体"/>
                <w:color w:val="auto"/>
                <w:sz w:val="21"/>
                <w:szCs w:val="21"/>
                <w:highlight w:val="none"/>
                <w:u w:val="none"/>
                <w:lang w:val="en-US" w:eastAsia="zh-CN"/>
              </w:rPr>
            </w:pPr>
            <w:r>
              <w:rPr>
                <w:rFonts w:hint="eastAsia"/>
                <w:color w:val="auto"/>
                <w:sz w:val="21"/>
                <w:szCs w:val="21"/>
                <w:highlight w:val="none"/>
                <w:u w:val="none"/>
                <w:lang w:val="en-US" w:eastAsia="zh-CN"/>
              </w:rPr>
              <w:t>砷、锌、铅</w:t>
            </w:r>
          </w:p>
        </w:tc>
        <w:tc>
          <w:tcPr>
            <w:tcW w:w="578" w:type="pct"/>
            <w:noWrap w:val="0"/>
            <w:vAlign w:val="center"/>
          </w:tcPr>
          <w:p w14:paraId="0F939B11">
            <w:pPr>
              <w:adjustRightInd/>
              <w:spacing w:line="240" w:lineRule="auto"/>
              <w:ind w:firstLine="0" w:firstLineChars="0"/>
              <w:jc w:val="center"/>
              <w:rPr>
                <w:color w:val="auto"/>
                <w:sz w:val="21"/>
                <w:szCs w:val="21"/>
                <w:highlight w:val="yellow"/>
                <w:u w:val="none"/>
              </w:rPr>
            </w:pPr>
            <w:r>
              <w:rPr>
                <w:color w:val="auto"/>
                <w:sz w:val="21"/>
                <w:szCs w:val="21"/>
                <w:highlight w:val="none"/>
                <w:u w:val="none"/>
              </w:rPr>
              <w:t>/</w:t>
            </w:r>
          </w:p>
        </w:tc>
      </w:tr>
      <w:tr w14:paraId="00D8F36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76" w:type="pct"/>
            <w:noWrap w:val="0"/>
            <w:vAlign w:val="center"/>
          </w:tcPr>
          <w:p w14:paraId="763AEF5D">
            <w:pPr>
              <w:adjustRightInd/>
              <w:spacing w:line="240" w:lineRule="auto"/>
              <w:ind w:firstLine="0" w:firstLineChars="0"/>
              <w:jc w:val="center"/>
              <w:rPr>
                <w:color w:val="auto"/>
                <w:sz w:val="21"/>
                <w:szCs w:val="21"/>
                <w:highlight w:val="none"/>
                <w:u w:val="none"/>
              </w:rPr>
            </w:pPr>
            <w:r>
              <w:rPr>
                <w:color w:val="auto"/>
                <w:sz w:val="21"/>
                <w:szCs w:val="21"/>
                <w:highlight w:val="none"/>
                <w:u w:val="none"/>
              </w:rPr>
              <w:t>土壤环境</w:t>
            </w:r>
          </w:p>
        </w:tc>
        <w:tc>
          <w:tcPr>
            <w:tcW w:w="3024" w:type="pct"/>
            <w:noWrap w:val="0"/>
            <w:vAlign w:val="center"/>
          </w:tcPr>
          <w:p w14:paraId="6B268688">
            <w:pPr>
              <w:adjustRightInd/>
              <w:spacing w:line="240" w:lineRule="auto"/>
              <w:ind w:firstLine="0" w:firstLineChars="0"/>
              <w:jc w:val="center"/>
              <w:rPr>
                <w:rFonts w:hint="default" w:eastAsia="宋体"/>
                <w:color w:val="auto"/>
                <w:sz w:val="21"/>
                <w:szCs w:val="21"/>
                <w:highlight w:val="none"/>
                <w:u w:val="none"/>
                <w:lang w:val="en-US" w:eastAsia="zh-CN"/>
              </w:rPr>
            </w:pPr>
            <w:r>
              <w:rPr>
                <w:color w:val="auto"/>
                <w:sz w:val="21"/>
                <w:szCs w:val="21"/>
                <w:highlight w:val="none"/>
                <w:u w:val="none"/>
              </w:rPr>
              <w:t>pH值、砷、镉、铬（六价）、铜、铅、汞、镍、锌、四氯化碳、氯仿、氯甲烷、1</w:t>
            </w:r>
            <w:r>
              <w:rPr>
                <w:rFonts w:hint="eastAsia"/>
                <w:color w:val="auto"/>
                <w:sz w:val="21"/>
                <w:szCs w:val="21"/>
                <w:highlight w:val="none"/>
                <w:u w:val="none"/>
                <w:lang w:val="en-US" w:eastAsia="zh-CN"/>
              </w:rPr>
              <w:t>,</w:t>
            </w:r>
            <w:r>
              <w:rPr>
                <w:color w:val="auto"/>
                <w:sz w:val="21"/>
                <w:szCs w:val="21"/>
                <w:highlight w:val="none"/>
                <w:u w:val="none"/>
              </w:rPr>
              <w:t>1二氯乙烷、1</w:t>
            </w:r>
            <w:r>
              <w:rPr>
                <w:rFonts w:hint="eastAsia"/>
                <w:color w:val="auto"/>
                <w:sz w:val="21"/>
                <w:szCs w:val="21"/>
                <w:highlight w:val="none"/>
                <w:u w:val="none"/>
                <w:lang w:val="en-US" w:eastAsia="zh-CN"/>
              </w:rPr>
              <w:t>,</w:t>
            </w:r>
            <w:r>
              <w:rPr>
                <w:color w:val="auto"/>
                <w:sz w:val="21"/>
                <w:szCs w:val="21"/>
                <w:highlight w:val="none"/>
                <w:u w:val="none"/>
              </w:rPr>
              <w:t>2二氯乙烷、1</w:t>
            </w:r>
            <w:r>
              <w:rPr>
                <w:rFonts w:hint="eastAsia"/>
                <w:color w:val="auto"/>
                <w:sz w:val="21"/>
                <w:szCs w:val="21"/>
                <w:highlight w:val="none"/>
                <w:u w:val="none"/>
                <w:lang w:val="en-US" w:eastAsia="zh-CN"/>
              </w:rPr>
              <w:t>,</w:t>
            </w:r>
            <w:r>
              <w:rPr>
                <w:color w:val="auto"/>
                <w:sz w:val="21"/>
                <w:szCs w:val="21"/>
                <w:highlight w:val="none"/>
                <w:u w:val="none"/>
              </w:rPr>
              <w:t>1-二氯乙烯、顺-1</w:t>
            </w:r>
            <w:r>
              <w:rPr>
                <w:rFonts w:hint="eastAsia"/>
                <w:color w:val="auto"/>
                <w:sz w:val="21"/>
                <w:szCs w:val="21"/>
                <w:highlight w:val="none"/>
                <w:u w:val="none"/>
                <w:lang w:val="en-US" w:eastAsia="zh-CN"/>
              </w:rPr>
              <w:t>,</w:t>
            </w:r>
            <w:r>
              <w:rPr>
                <w:color w:val="auto"/>
                <w:sz w:val="21"/>
                <w:szCs w:val="21"/>
                <w:highlight w:val="none"/>
                <w:u w:val="none"/>
              </w:rPr>
              <w:t>2-二氯乙烯、反-1</w:t>
            </w:r>
            <w:r>
              <w:rPr>
                <w:rFonts w:hint="eastAsia"/>
                <w:color w:val="auto"/>
                <w:sz w:val="21"/>
                <w:szCs w:val="21"/>
                <w:highlight w:val="none"/>
                <w:u w:val="none"/>
                <w:lang w:val="en-US" w:eastAsia="zh-CN"/>
              </w:rPr>
              <w:t>,</w:t>
            </w:r>
            <w:r>
              <w:rPr>
                <w:color w:val="auto"/>
                <w:sz w:val="21"/>
                <w:szCs w:val="21"/>
                <w:highlight w:val="none"/>
                <w:u w:val="none"/>
              </w:rPr>
              <w:t>2-二氯乙烯、二氯甲烷、1</w:t>
            </w:r>
            <w:r>
              <w:rPr>
                <w:rFonts w:hint="eastAsia"/>
                <w:color w:val="auto"/>
                <w:sz w:val="21"/>
                <w:szCs w:val="21"/>
                <w:highlight w:val="none"/>
                <w:u w:val="none"/>
                <w:lang w:val="en-US" w:eastAsia="zh-CN"/>
              </w:rPr>
              <w:t>,</w:t>
            </w:r>
            <w:r>
              <w:rPr>
                <w:color w:val="auto"/>
                <w:sz w:val="21"/>
                <w:szCs w:val="21"/>
                <w:highlight w:val="none"/>
                <w:u w:val="none"/>
              </w:rPr>
              <w:t>2-二氯丙烷、1</w:t>
            </w:r>
            <w:r>
              <w:rPr>
                <w:rFonts w:hint="eastAsia"/>
                <w:color w:val="auto"/>
                <w:sz w:val="21"/>
                <w:szCs w:val="21"/>
                <w:highlight w:val="none"/>
                <w:u w:val="none"/>
                <w:lang w:val="en-US" w:eastAsia="zh-CN"/>
              </w:rPr>
              <w:t>,</w:t>
            </w:r>
            <w:r>
              <w:rPr>
                <w:color w:val="auto"/>
                <w:sz w:val="21"/>
                <w:szCs w:val="21"/>
                <w:highlight w:val="none"/>
                <w:u w:val="none"/>
              </w:rPr>
              <w:t>1</w:t>
            </w:r>
            <w:r>
              <w:rPr>
                <w:rFonts w:hint="eastAsia"/>
                <w:color w:val="auto"/>
                <w:sz w:val="21"/>
                <w:szCs w:val="21"/>
                <w:highlight w:val="none"/>
                <w:u w:val="none"/>
                <w:lang w:val="en-US" w:eastAsia="zh-CN"/>
              </w:rPr>
              <w:t>,</w:t>
            </w:r>
            <w:r>
              <w:rPr>
                <w:color w:val="auto"/>
                <w:sz w:val="21"/>
                <w:szCs w:val="21"/>
                <w:highlight w:val="none"/>
                <w:u w:val="none"/>
              </w:rPr>
              <w:t>1</w:t>
            </w:r>
            <w:r>
              <w:rPr>
                <w:rFonts w:hint="eastAsia"/>
                <w:color w:val="auto"/>
                <w:sz w:val="21"/>
                <w:szCs w:val="21"/>
                <w:highlight w:val="none"/>
                <w:u w:val="none"/>
                <w:lang w:val="en-US" w:eastAsia="zh-CN"/>
              </w:rPr>
              <w:t>,</w:t>
            </w:r>
            <w:r>
              <w:rPr>
                <w:color w:val="auto"/>
                <w:sz w:val="21"/>
                <w:szCs w:val="21"/>
                <w:highlight w:val="none"/>
                <w:u w:val="none"/>
              </w:rPr>
              <w:t>2-四氯乙烷、1</w:t>
            </w:r>
            <w:r>
              <w:rPr>
                <w:rFonts w:hint="eastAsia"/>
                <w:color w:val="auto"/>
                <w:sz w:val="21"/>
                <w:szCs w:val="21"/>
                <w:highlight w:val="none"/>
                <w:u w:val="none"/>
                <w:lang w:val="en-US" w:eastAsia="zh-CN"/>
              </w:rPr>
              <w:t>,</w:t>
            </w:r>
            <w:r>
              <w:rPr>
                <w:color w:val="auto"/>
                <w:sz w:val="21"/>
                <w:szCs w:val="21"/>
                <w:highlight w:val="none"/>
                <w:u w:val="none"/>
              </w:rPr>
              <w:t>1</w:t>
            </w:r>
            <w:r>
              <w:rPr>
                <w:rFonts w:hint="eastAsia"/>
                <w:color w:val="auto"/>
                <w:sz w:val="21"/>
                <w:szCs w:val="21"/>
                <w:highlight w:val="none"/>
                <w:u w:val="none"/>
                <w:lang w:val="en-US" w:eastAsia="zh-CN"/>
              </w:rPr>
              <w:t>,</w:t>
            </w:r>
            <w:r>
              <w:rPr>
                <w:color w:val="auto"/>
                <w:sz w:val="21"/>
                <w:szCs w:val="21"/>
                <w:highlight w:val="none"/>
                <w:u w:val="none"/>
              </w:rPr>
              <w:t>2</w:t>
            </w:r>
            <w:r>
              <w:rPr>
                <w:rFonts w:hint="eastAsia"/>
                <w:color w:val="auto"/>
                <w:sz w:val="21"/>
                <w:szCs w:val="21"/>
                <w:highlight w:val="none"/>
                <w:u w:val="none"/>
                <w:lang w:val="en-US" w:eastAsia="zh-CN"/>
              </w:rPr>
              <w:t>,</w:t>
            </w:r>
            <w:r>
              <w:rPr>
                <w:color w:val="auto"/>
                <w:sz w:val="21"/>
                <w:szCs w:val="21"/>
                <w:highlight w:val="none"/>
                <w:u w:val="none"/>
              </w:rPr>
              <w:t>2-四氯乙烷、四氯乙烯、1</w:t>
            </w:r>
            <w:r>
              <w:rPr>
                <w:rFonts w:hint="eastAsia"/>
                <w:color w:val="auto"/>
                <w:sz w:val="21"/>
                <w:szCs w:val="21"/>
                <w:highlight w:val="none"/>
                <w:u w:val="none"/>
                <w:lang w:val="en-US" w:eastAsia="zh-CN"/>
              </w:rPr>
              <w:t>,</w:t>
            </w:r>
            <w:r>
              <w:rPr>
                <w:color w:val="auto"/>
                <w:sz w:val="21"/>
                <w:szCs w:val="21"/>
                <w:highlight w:val="none"/>
                <w:u w:val="none"/>
              </w:rPr>
              <w:t>1</w:t>
            </w:r>
            <w:r>
              <w:rPr>
                <w:rFonts w:hint="eastAsia"/>
                <w:color w:val="auto"/>
                <w:sz w:val="21"/>
                <w:szCs w:val="21"/>
                <w:highlight w:val="none"/>
                <w:u w:val="none"/>
                <w:lang w:val="en-US" w:eastAsia="zh-CN"/>
              </w:rPr>
              <w:t>,</w:t>
            </w:r>
            <w:r>
              <w:rPr>
                <w:color w:val="auto"/>
                <w:sz w:val="21"/>
                <w:szCs w:val="21"/>
                <w:highlight w:val="none"/>
                <w:u w:val="none"/>
              </w:rPr>
              <w:t>1-三氯乙烷、1</w:t>
            </w:r>
            <w:r>
              <w:rPr>
                <w:rFonts w:hint="eastAsia"/>
                <w:color w:val="auto"/>
                <w:sz w:val="21"/>
                <w:szCs w:val="21"/>
                <w:highlight w:val="none"/>
                <w:u w:val="none"/>
                <w:lang w:val="en-US" w:eastAsia="zh-CN"/>
              </w:rPr>
              <w:t>,</w:t>
            </w:r>
            <w:r>
              <w:rPr>
                <w:color w:val="auto"/>
                <w:sz w:val="21"/>
                <w:szCs w:val="21"/>
                <w:highlight w:val="none"/>
                <w:u w:val="none"/>
              </w:rPr>
              <w:t>1</w:t>
            </w:r>
            <w:r>
              <w:rPr>
                <w:rFonts w:hint="eastAsia"/>
                <w:color w:val="auto"/>
                <w:sz w:val="21"/>
                <w:szCs w:val="21"/>
                <w:highlight w:val="none"/>
                <w:u w:val="none"/>
                <w:lang w:val="en-US" w:eastAsia="zh-CN"/>
              </w:rPr>
              <w:t>,</w:t>
            </w:r>
            <w:r>
              <w:rPr>
                <w:color w:val="auto"/>
                <w:sz w:val="21"/>
                <w:szCs w:val="21"/>
                <w:highlight w:val="none"/>
                <w:u w:val="none"/>
              </w:rPr>
              <w:t>2-三氯乙烷、三氯乙烯、1</w:t>
            </w:r>
            <w:r>
              <w:rPr>
                <w:rFonts w:hint="eastAsia"/>
                <w:color w:val="auto"/>
                <w:sz w:val="21"/>
                <w:szCs w:val="21"/>
                <w:highlight w:val="none"/>
                <w:u w:val="none"/>
                <w:lang w:val="en-US" w:eastAsia="zh-CN"/>
              </w:rPr>
              <w:t>,</w:t>
            </w:r>
            <w:r>
              <w:rPr>
                <w:color w:val="auto"/>
                <w:sz w:val="21"/>
                <w:szCs w:val="21"/>
                <w:highlight w:val="none"/>
                <w:u w:val="none"/>
              </w:rPr>
              <w:t>2，3-三氯丙烷、氯乙烯、苯、氯苯、1</w:t>
            </w:r>
            <w:r>
              <w:rPr>
                <w:rFonts w:hint="eastAsia"/>
                <w:color w:val="auto"/>
                <w:sz w:val="21"/>
                <w:szCs w:val="21"/>
                <w:highlight w:val="none"/>
                <w:u w:val="none"/>
                <w:lang w:val="en-US" w:eastAsia="zh-CN"/>
              </w:rPr>
              <w:t>,</w:t>
            </w:r>
            <w:r>
              <w:rPr>
                <w:color w:val="auto"/>
                <w:sz w:val="21"/>
                <w:szCs w:val="21"/>
                <w:highlight w:val="none"/>
                <w:u w:val="none"/>
              </w:rPr>
              <w:t>2-二氯苯、1</w:t>
            </w:r>
            <w:r>
              <w:rPr>
                <w:rFonts w:hint="eastAsia"/>
                <w:color w:val="auto"/>
                <w:sz w:val="21"/>
                <w:szCs w:val="21"/>
                <w:highlight w:val="none"/>
                <w:u w:val="none"/>
                <w:lang w:val="en-US" w:eastAsia="zh-CN"/>
              </w:rPr>
              <w:t>,</w:t>
            </w:r>
            <w:r>
              <w:rPr>
                <w:color w:val="auto"/>
                <w:sz w:val="21"/>
                <w:szCs w:val="21"/>
                <w:highlight w:val="none"/>
                <w:u w:val="none"/>
              </w:rPr>
              <w:t>4-二氯苯、乙苯、苯乙烯、甲苯、间，对二甲苯、邻二甲苯、硝基苯、苯胺、2-氯酚、苯并[a]蒽、苯并[a]芘、苯并[b]荧蒽、苯并[k]荧蒽、䓛、二苯并[a</w:t>
            </w:r>
            <w:r>
              <w:rPr>
                <w:rFonts w:hint="eastAsia"/>
                <w:color w:val="auto"/>
                <w:sz w:val="21"/>
                <w:szCs w:val="21"/>
                <w:highlight w:val="none"/>
                <w:u w:val="none"/>
                <w:lang w:val="en-US" w:eastAsia="zh-CN"/>
              </w:rPr>
              <w:t>,</w:t>
            </w:r>
            <w:r>
              <w:rPr>
                <w:color w:val="auto"/>
                <w:sz w:val="21"/>
                <w:szCs w:val="21"/>
                <w:highlight w:val="none"/>
                <w:u w:val="none"/>
              </w:rPr>
              <w:t>h]蒽、茚并[1</w:t>
            </w:r>
            <w:r>
              <w:rPr>
                <w:rFonts w:hint="eastAsia"/>
                <w:color w:val="auto"/>
                <w:sz w:val="21"/>
                <w:szCs w:val="21"/>
                <w:highlight w:val="none"/>
                <w:u w:val="none"/>
                <w:lang w:val="en-US" w:eastAsia="zh-CN"/>
              </w:rPr>
              <w:t>,</w:t>
            </w:r>
            <w:r>
              <w:rPr>
                <w:color w:val="auto"/>
                <w:sz w:val="21"/>
                <w:szCs w:val="21"/>
                <w:highlight w:val="none"/>
                <w:u w:val="none"/>
              </w:rPr>
              <w:t>2</w:t>
            </w:r>
            <w:r>
              <w:rPr>
                <w:rFonts w:hint="eastAsia"/>
                <w:color w:val="auto"/>
                <w:sz w:val="21"/>
                <w:szCs w:val="21"/>
                <w:highlight w:val="none"/>
                <w:u w:val="none"/>
                <w:lang w:val="en-US" w:eastAsia="zh-CN"/>
              </w:rPr>
              <w:t>,</w:t>
            </w:r>
            <w:r>
              <w:rPr>
                <w:color w:val="auto"/>
                <w:sz w:val="21"/>
                <w:szCs w:val="21"/>
                <w:highlight w:val="none"/>
                <w:u w:val="none"/>
              </w:rPr>
              <w:t>3-cd]芘、萘</w:t>
            </w:r>
            <w:r>
              <w:rPr>
                <w:rFonts w:hint="eastAsia"/>
                <w:color w:val="auto"/>
                <w:sz w:val="21"/>
                <w:szCs w:val="21"/>
                <w:highlight w:val="none"/>
                <w:u w:val="none"/>
                <w:lang w:eastAsia="zh-CN"/>
              </w:rPr>
              <w:t>、</w:t>
            </w:r>
            <w:r>
              <w:rPr>
                <w:rFonts w:hint="eastAsia"/>
                <w:color w:val="auto"/>
                <w:sz w:val="21"/>
                <w:szCs w:val="21"/>
                <w:highlight w:val="none"/>
                <w:u w:val="none"/>
                <w:lang w:val="en-US" w:eastAsia="zh-CN"/>
              </w:rPr>
              <w:t>总铬、锌、氰化物</w:t>
            </w:r>
          </w:p>
        </w:tc>
        <w:tc>
          <w:tcPr>
            <w:tcW w:w="819" w:type="pct"/>
            <w:noWrap w:val="0"/>
            <w:vAlign w:val="center"/>
          </w:tcPr>
          <w:p w14:paraId="1FC8F9A8">
            <w:pPr>
              <w:adjustRightInd/>
              <w:spacing w:line="240" w:lineRule="auto"/>
              <w:ind w:firstLine="0" w:firstLineChars="0"/>
              <w:jc w:val="center"/>
              <w:rPr>
                <w:rFonts w:hint="eastAsia" w:eastAsia="宋体"/>
                <w:color w:val="auto"/>
                <w:sz w:val="21"/>
                <w:szCs w:val="21"/>
                <w:highlight w:val="none"/>
                <w:u w:val="none"/>
                <w:lang w:val="en-US" w:eastAsia="zh-CN"/>
              </w:rPr>
            </w:pPr>
            <w:r>
              <w:rPr>
                <w:rFonts w:hint="eastAsia"/>
                <w:color w:val="auto"/>
                <w:sz w:val="21"/>
                <w:szCs w:val="21"/>
                <w:highlight w:val="none"/>
                <w:u w:val="none"/>
                <w:lang w:val="en-US" w:eastAsia="zh-CN"/>
              </w:rPr>
              <w:t>/</w:t>
            </w:r>
          </w:p>
        </w:tc>
        <w:tc>
          <w:tcPr>
            <w:tcW w:w="578" w:type="pct"/>
            <w:noWrap w:val="0"/>
            <w:vAlign w:val="center"/>
          </w:tcPr>
          <w:p w14:paraId="58E897D0">
            <w:pPr>
              <w:adjustRightInd/>
              <w:spacing w:line="240" w:lineRule="auto"/>
              <w:ind w:firstLine="0" w:firstLineChars="0"/>
              <w:jc w:val="center"/>
              <w:rPr>
                <w:color w:val="auto"/>
                <w:sz w:val="21"/>
                <w:szCs w:val="21"/>
                <w:highlight w:val="yellow"/>
                <w:u w:val="none"/>
              </w:rPr>
            </w:pPr>
            <w:r>
              <w:rPr>
                <w:color w:val="auto"/>
                <w:sz w:val="21"/>
                <w:szCs w:val="21"/>
                <w:highlight w:val="none"/>
                <w:u w:val="none"/>
              </w:rPr>
              <w:t>/</w:t>
            </w:r>
          </w:p>
        </w:tc>
      </w:tr>
      <w:tr w14:paraId="48DFC30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76" w:type="pct"/>
            <w:noWrap w:val="0"/>
            <w:vAlign w:val="center"/>
          </w:tcPr>
          <w:p w14:paraId="62C35EE5">
            <w:pPr>
              <w:adjustRightInd/>
              <w:spacing w:line="240" w:lineRule="auto"/>
              <w:ind w:firstLine="0" w:firstLineChars="0"/>
              <w:jc w:val="center"/>
              <w:rPr>
                <w:color w:val="auto"/>
                <w:sz w:val="21"/>
                <w:szCs w:val="21"/>
                <w:highlight w:val="none"/>
                <w:u w:val="none"/>
              </w:rPr>
            </w:pPr>
            <w:r>
              <w:rPr>
                <w:color w:val="auto"/>
                <w:sz w:val="21"/>
                <w:szCs w:val="21"/>
                <w:highlight w:val="none"/>
                <w:u w:val="none"/>
              </w:rPr>
              <w:t>声环境</w:t>
            </w:r>
          </w:p>
        </w:tc>
        <w:tc>
          <w:tcPr>
            <w:tcW w:w="3024" w:type="pct"/>
            <w:noWrap w:val="0"/>
            <w:vAlign w:val="center"/>
          </w:tcPr>
          <w:p w14:paraId="6986B098">
            <w:pPr>
              <w:adjustRightInd/>
              <w:spacing w:line="240" w:lineRule="auto"/>
              <w:ind w:firstLine="0" w:firstLineChars="0"/>
              <w:jc w:val="center"/>
              <w:rPr>
                <w:color w:val="auto"/>
                <w:sz w:val="21"/>
                <w:szCs w:val="21"/>
                <w:highlight w:val="none"/>
                <w:u w:val="none"/>
              </w:rPr>
            </w:pPr>
            <w:r>
              <w:rPr>
                <w:color w:val="auto"/>
                <w:sz w:val="21"/>
                <w:szCs w:val="21"/>
                <w:highlight w:val="none"/>
                <w:u w:val="none"/>
              </w:rPr>
              <w:t>昼、夜等效连续A声级</w:t>
            </w:r>
          </w:p>
        </w:tc>
        <w:tc>
          <w:tcPr>
            <w:tcW w:w="819" w:type="pct"/>
            <w:noWrap w:val="0"/>
            <w:vAlign w:val="center"/>
          </w:tcPr>
          <w:p w14:paraId="1B874C2B">
            <w:pPr>
              <w:adjustRightInd/>
              <w:spacing w:line="240" w:lineRule="auto"/>
              <w:ind w:firstLine="0" w:firstLineChars="0"/>
              <w:jc w:val="center"/>
              <w:rPr>
                <w:color w:val="auto"/>
                <w:sz w:val="21"/>
                <w:szCs w:val="21"/>
                <w:highlight w:val="none"/>
                <w:u w:val="none"/>
              </w:rPr>
            </w:pPr>
            <w:r>
              <w:rPr>
                <w:color w:val="auto"/>
                <w:sz w:val="21"/>
                <w:szCs w:val="21"/>
                <w:highlight w:val="none"/>
                <w:u w:val="none"/>
              </w:rPr>
              <w:t>等效连续A</w:t>
            </w:r>
          </w:p>
          <w:p w14:paraId="020F0F0D">
            <w:pPr>
              <w:adjustRightInd/>
              <w:spacing w:line="240" w:lineRule="auto"/>
              <w:ind w:firstLine="0" w:firstLineChars="0"/>
              <w:jc w:val="center"/>
              <w:rPr>
                <w:color w:val="auto"/>
                <w:sz w:val="21"/>
                <w:szCs w:val="21"/>
                <w:highlight w:val="none"/>
                <w:u w:val="none"/>
              </w:rPr>
            </w:pPr>
            <w:r>
              <w:rPr>
                <w:color w:val="auto"/>
                <w:sz w:val="21"/>
                <w:szCs w:val="21"/>
                <w:highlight w:val="none"/>
                <w:u w:val="none"/>
              </w:rPr>
              <w:t>声级</w:t>
            </w:r>
          </w:p>
        </w:tc>
        <w:tc>
          <w:tcPr>
            <w:tcW w:w="578" w:type="pct"/>
            <w:noWrap w:val="0"/>
            <w:vAlign w:val="center"/>
          </w:tcPr>
          <w:p w14:paraId="00731357">
            <w:pPr>
              <w:adjustRightInd/>
              <w:spacing w:line="240" w:lineRule="auto"/>
              <w:ind w:firstLine="0" w:firstLineChars="0"/>
              <w:jc w:val="center"/>
              <w:rPr>
                <w:color w:val="auto"/>
                <w:sz w:val="21"/>
                <w:szCs w:val="21"/>
                <w:highlight w:val="none"/>
                <w:u w:val="none"/>
              </w:rPr>
            </w:pPr>
            <w:r>
              <w:rPr>
                <w:color w:val="auto"/>
                <w:sz w:val="21"/>
                <w:szCs w:val="21"/>
                <w:highlight w:val="none"/>
                <w:u w:val="none"/>
              </w:rPr>
              <w:t>/</w:t>
            </w:r>
          </w:p>
        </w:tc>
      </w:tr>
      <w:tr w14:paraId="106A8FC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76" w:type="pct"/>
            <w:noWrap w:val="0"/>
            <w:vAlign w:val="center"/>
          </w:tcPr>
          <w:p w14:paraId="1351B4C2">
            <w:pPr>
              <w:adjustRightInd/>
              <w:spacing w:line="240" w:lineRule="auto"/>
              <w:ind w:firstLine="0" w:firstLineChars="0"/>
              <w:jc w:val="center"/>
              <w:rPr>
                <w:color w:val="auto"/>
                <w:sz w:val="21"/>
                <w:szCs w:val="21"/>
                <w:highlight w:val="none"/>
                <w:u w:val="none"/>
              </w:rPr>
            </w:pPr>
            <w:r>
              <w:rPr>
                <w:color w:val="auto"/>
                <w:sz w:val="21"/>
                <w:szCs w:val="21"/>
                <w:highlight w:val="none"/>
                <w:u w:val="none"/>
              </w:rPr>
              <w:t>生态环境</w:t>
            </w:r>
          </w:p>
        </w:tc>
        <w:tc>
          <w:tcPr>
            <w:tcW w:w="4423" w:type="pct"/>
            <w:gridSpan w:val="3"/>
            <w:noWrap w:val="0"/>
            <w:vAlign w:val="center"/>
          </w:tcPr>
          <w:p w14:paraId="3439C660">
            <w:pPr>
              <w:adjustRightInd/>
              <w:spacing w:line="240" w:lineRule="auto"/>
              <w:ind w:firstLine="0" w:firstLineChars="0"/>
              <w:jc w:val="center"/>
              <w:rPr>
                <w:color w:val="auto"/>
                <w:sz w:val="21"/>
                <w:szCs w:val="21"/>
                <w:highlight w:val="none"/>
                <w:u w:val="none"/>
              </w:rPr>
            </w:pPr>
            <w:r>
              <w:rPr>
                <w:color w:val="auto"/>
                <w:sz w:val="21"/>
                <w:szCs w:val="21"/>
                <w:highlight w:val="none"/>
                <w:u w:val="none"/>
              </w:rPr>
              <w:t>动植物、土地利用、地质灾害</w:t>
            </w:r>
          </w:p>
        </w:tc>
      </w:tr>
    </w:tbl>
    <w:p w14:paraId="513D630C">
      <w:pPr>
        <w:pStyle w:val="8"/>
        <w:numPr>
          <w:ilvl w:val="1"/>
          <w:numId w:val="1"/>
        </w:numPr>
        <w:tabs>
          <w:tab w:val="clear" w:pos="420"/>
        </w:tabs>
        <w:bidi w:val="0"/>
        <w:ind w:left="567" w:leftChars="0" w:hanging="567" w:firstLineChars="0"/>
        <w:rPr>
          <w:rFonts w:hint="eastAsia"/>
          <w:highlight w:val="none"/>
          <w:lang w:val="en-US" w:eastAsia="zh-CN"/>
        </w:rPr>
      </w:pPr>
      <w:bookmarkStart w:id="20" w:name="_Toc24405"/>
      <w:bookmarkStart w:id="21" w:name="_Toc8849"/>
      <w:r>
        <w:rPr>
          <w:rFonts w:hint="eastAsia"/>
          <w:highlight w:val="none"/>
          <w:lang w:val="en-US" w:eastAsia="zh-CN"/>
        </w:rPr>
        <w:t>环境功能区划及评价标准</w:t>
      </w:r>
      <w:bookmarkEnd w:id="20"/>
      <w:bookmarkEnd w:id="21"/>
    </w:p>
    <w:p w14:paraId="3D6A8BB3">
      <w:pPr>
        <w:pStyle w:val="9"/>
        <w:numPr>
          <w:ilvl w:val="2"/>
          <w:numId w:val="1"/>
        </w:numPr>
        <w:bidi w:val="0"/>
        <w:ind w:left="709" w:leftChars="0" w:hanging="709" w:firstLineChars="0"/>
        <w:rPr>
          <w:rFonts w:hint="eastAsia"/>
          <w:highlight w:val="none"/>
          <w:u w:val="none" w:color="auto"/>
          <w:lang w:val="en-US" w:eastAsia="zh-CN"/>
        </w:rPr>
      </w:pPr>
      <w:bookmarkStart w:id="22" w:name="_Toc6819"/>
      <w:r>
        <w:rPr>
          <w:rFonts w:hint="eastAsia"/>
          <w:highlight w:val="none"/>
          <w:u w:val="none" w:color="auto"/>
          <w:lang w:val="en-US" w:eastAsia="zh-CN"/>
        </w:rPr>
        <w:t>环境功能区划</w:t>
      </w:r>
      <w:bookmarkEnd w:id="22"/>
    </w:p>
    <w:p w14:paraId="243BEE12">
      <w:pPr>
        <w:bidi w:val="0"/>
        <w:rPr>
          <w:rFonts w:hint="eastAsia"/>
          <w:b/>
          <w:bCs/>
          <w:highlight w:val="none"/>
          <w:u w:val="none" w:color="auto"/>
          <w:lang w:val="en-US" w:eastAsia="zh-CN"/>
        </w:rPr>
      </w:pPr>
      <w:r>
        <w:rPr>
          <w:rFonts w:hint="eastAsia"/>
          <w:b/>
          <w:bCs/>
          <w:highlight w:val="none"/>
          <w:u w:val="none" w:color="auto"/>
          <w:lang w:val="en-US" w:eastAsia="zh-CN"/>
        </w:rPr>
        <w:t>（1）大气环境功能区</w:t>
      </w:r>
    </w:p>
    <w:p w14:paraId="02F271F1">
      <w:pPr>
        <w:bidi w:val="0"/>
        <w:rPr>
          <w:rFonts w:hint="eastAsia"/>
          <w:highlight w:val="none"/>
          <w:u w:val="none" w:color="auto"/>
          <w:lang w:val="en-US" w:eastAsia="zh-CN"/>
        </w:rPr>
      </w:pPr>
      <w:r>
        <w:rPr>
          <w:rFonts w:hint="eastAsia"/>
          <w:highlight w:val="none"/>
          <w:u w:val="none" w:color="auto"/>
          <w:lang w:val="en-US" w:eastAsia="zh-CN"/>
        </w:rPr>
        <w:t>本项目位于岳阳市平江县三阳乡，执行《环境空气质量标准》（GB3095-2012）中二级标准。</w:t>
      </w:r>
    </w:p>
    <w:p w14:paraId="4EF4D686">
      <w:pPr>
        <w:bidi w:val="0"/>
        <w:rPr>
          <w:rFonts w:hint="eastAsia"/>
          <w:b/>
          <w:bCs/>
          <w:highlight w:val="none"/>
          <w:u w:val="none" w:color="auto"/>
          <w:lang w:val="en-US" w:eastAsia="zh-CN"/>
        </w:rPr>
      </w:pPr>
      <w:r>
        <w:rPr>
          <w:rFonts w:hint="eastAsia"/>
          <w:b/>
          <w:bCs/>
          <w:highlight w:val="none"/>
          <w:u w:val="none" w:color="auto"/>
          <w:lang w:val="en-US" w:eastAsia="zh-CN"/>
        </w:rPr>
        <w:t>（2）地表水环境功能区</w:t>
      </w:r>
    </w:p>
    <w:p w14:paraId="5AA7E96A">
      <w:pPr>
        <w:bidi w:val="0"/>
        <w:rPr>
          <w:rFonts w:hint="default" w:ascii="Times New Roman" w:hAnsi="Times New Roman" w:cs="Times New Roman"/>
          <w:highlight w:val="none"/>
          <w:u w:val="none" w:color="auto"/>
          <w:lang w:val="en-US" w:eastAsia="zh-CN"/>
        </w:rPr>
      </w:pPr>
      <w:r>
        <w:rPr>
          <w:rFonts w:hint="eastAsia" w:cs="Times New Roman"/>
          <w:highlight w:val="none"/>
          <w:u w:val="none" w:color="auto"/>
          <w:lang w:val="en-US" w:eastAsia="zh-CN"/>
        </w:rPr>
        <w:t>本</w:t>
      </w:r>
      <w:r>
        <w:rPr>
          <w:rFonts w:hint="default" w:ascii="Times New Roman" w:hAnsi="Times New Roman" w:cs="Times New Roman"/>
          <w:highlight w:val="none"/>
          <w:u w:val="none" w:color="auto"/>
          <w:lang w:val="en-US" w:eastAsia="zh-CN"/>
        </w:rPr>
        <w:t>项目</w:t>
      </w:r>
      <w:r>
        <w:rPr>
          <w:rFonts w:hint="eastAsia" w:cs="Times New Roman"/>
          <w:highlight w:val="none"/>
          <w:u w:val="none" w:color="auto"/>
          <w:lang w:val="en-US" w:eastAsia="zh-CN"/>
        </w:rPr>
        <w:t>区域</w:t>
      </w:r>
      <w:r>
        <w:rPr>
          <w:rFonts w:hint="default" w:ascii="Times New Roman" w:hAnsi="Times New Roman" w:cs="Times New Roman"/>
          <w:highlight w:val="none"/>
          <w:u w:val="none" w:color="auto"/>
          <w:lang w:val="en-US" w:eastAsia="zh-CN"/>
        </w:rPr>
        <w:t>地表水体为</w:t>
      </w:r>
      <w:r>
        <w:rPr>
          <w:rFonts w:hint="eastAsia" w:cs="Times New Roman"/>
          <w:highlight w:val="none"/>
          <w:u w:val="none" w:color="auto"/>
          <w:lang w:val="en-US" w:eastAsia="zh-CN"/>
        </w:rPr>
        <w:t>山涧小溪</w:t>
      </w:r>
      <w:r>
        <w:rPr>
          <w:rFonts w:hint="default" w:ascii="Times New Roman" w:hAnsi="Times New Roman" w:cs="Times New Roman"/>
          <w:highlight w:val="none"/>
          <w:u w:val="none" w:color="auto"/>
          <w:lang w:val="en-US" w:eastAsia="zh-CN"/>
        </w:rPr>
        <w:t>，</w:t>
      </w:r>
      <w:r>
        <w:rPr>
          <w:rFonts w:hint="eastAsia" w:cs="Times New Roman"/>
          <w:highlight w:val="none"/>
          <w:u w:val="none" w:color="auto"/>
          <w:lang w:val="en-US" w:eastAsia="zh-CN"/>
        </w:rPr>
        <w:t>执行《地表水环境质量标准》（GB3838-2002）中</w:t>
      </w:r>
      <w:r>
        <w:rPr>
          <w:rFonts w:hint="default" w:ascii="Times New Roman" w:hAnsi="Times New Roman" w:eastAsia="宋体" w:cs="Times New Roman"/>
          <w:highlight w:val="none"/>
          <w:u w:val="none" w:color="auto"/>
          <w:lang w:val="en-US" w:eastAsia="zh-CN"/>
        </w:rPr>
        <w:t>Ⅲ</w:t>
      </w:r>
      <w:r>
        <w:rPr>
          <w:rFonts w:hint="default" w:ascii="Times New Roman" w:hAnsi="Times New Roman" w:cs="Times New Roman"/>
          <w:highlight w:val="none"/>
          <w:u w:val="none" w:color="auto"/>
          <w:lang w:val="en-US" w:eastAsia="zh-CN"/>
        </w:rPr>
        <w:t>类水质标准。</w:t>
      </w:r>
    </w:p>
    <w:p w14:paraId="1FB249D9">
      <w:pPr>
        <w:bidi w:val="0"/>
        <w:rPr>
          <w:rFonts w:hint="eastAsia"/>
          <w:b/>
          <w:bCs/>
          <w:highlight w:val="none"/>
          <w:u w:val="none" w:color="auto"/>
          <w:lang w:val="en-US" w:eastAsia="zh-CN"/>
        </w:rPr>
      </w:pPr>
      <w:r>
        <w:rPr>
          <w:rFonts w:hint="eastAsia"/>
          <w:b/>
          <w:bCs/>
          <w:highlight w:val="none"/>
          <w:u w:val="none" w:color="auto"/>
          <w:lang w:val="en-US" w:eastAsia="zh-CN"/>
        </w:rPr>
        <w:t>（3）地下水环境功能区</w:t>
      </w:r>
    </w:p>
    <w:p w14:paraId="32DF253B">
      <w:pPr>
        <w:bidi w:val="0"/>
        <w:rPr>
          <w:rFonts w:hint="default" w:ascii="Times New Roman" w:hAnsi="Times New Roman" w:cs="Times New Roman"/>
          <w:highlight w:val="none"/>
          <w:u w:val="none" w:color="auto"/>
          <w:lang w:val="en-US" w:eastAsia="zh-CN"/>
        </w:rPr>
      </w:pPr>
      <w:r>
        <w:rPr>
          <w:rFonts w:hint="default" w:ascii="Times New Roman" w:hAnsi="Times New Roman" w:cs="Times New Roman"/>
          <w:highlight w:val="none"/>
          <w:u w:val="none" w:color="auto"/>
          <w:lang w:val="en-US" w:eastAsia="zh-CN"/>
        </w:rPr>
        <w:t>项目地下水执行《地下水质量标准》（GB/T14848-2017）Ⅲ类标准。</w:t>
      </w:r>
    </w:p>
    <w:p w14:paraId="0EAE5AB1">
      <w:pPr>
        <w:bidi w:val="0"/>
        <w:rPr>
          <w:rFonts w:hint="default" w:ascii="Times New Roman" w:hAnsi="Times New Roman" w:cs="Times New Roman"/>
          <w:b/>
          <w:bCs/>
          <w:highlight w:val="none"/>
          <w:u w:val="none" w:color="auto"/>
          <w:lang w:val="en-US" w:eastAsia="zh-CN"/>
        </w:rPr>
      </w:pPr>
      <w:r>
        <w:rPr>
          <w:rFonts w:hint="default" w:ascii="Times New Roman" w:hAnsi="Times New Roman" w:cs="Times New Roman"/>
          <w:b/>
          <w:bCs/>
          <w:highlight w:val="none"/>
          <w:u w:val="none" w:color="auto"/>
          <w:lang w:val="en-US" w:eastAsia="zh-CN"/>
        </w:rPr>
        <w:t>（4）声环境功能区</w:t>
      </w:r>
    </w:p>
    <w:p w14:paraId="7615C311">
      <w:pPr>
        <w:bidi w:val="0"/>
        <w:rPr>
          <w:rFonts w:hint="default" w:ascii="Times New Roman" w:hAnsi="Times New Roman" w:cs="Times New Roman"/>
          <w:highlight w:val="none"/>
          <w:u w:val="none" w:color="auto"/>
          <w:lang w:val="en-US" w:eastAsia="zh-CN"/>
        </w:rPr>
      </w:pPr>
      <w:r>
        <w:rPr>
          <w:rFonts w:hint="default" w:ascii="Times New Roman" w:hAnsi="Times New Roman" w:cs="Times New Roman"/>
          <w:highlight w:val="none"/>
          <w:u w:val="none" w:color="auto"/>
          <w:lang w:val="en-US" w:eastAsia="zh-CN"/>
        </w:rPr>
        <w:t>根据《声环境质量标准》（GB3096-2008）中对噪声区域的划分，本项目为</w:t>
      </w:r>
      <w:r>
        <w:rPr>
          <w:rFonts w:hint="eastAsia" w:cs="Times New Roman"/>
          <w:highlight w:val="none"/>
          <w:u w:val="none" w:color="auto"/>
          <w:lang w:val="en-US" w:eastAsia="zh-CN"/>
        </w:rPr>
        <w:t>1</w:t>
      </w:r>
      <w:r>
        <w:rPr>
          <w:rFonts w:hint="default" w:ascii="Times New Roman" w:hAnsi="Times New Roman" w:cs="Times New Roman"/>
          <w:highlight w:val="none"/>
          <w:u w:val="none" w:color="auto"/>
          <w:lang w:val="en-US" w:eastAsia="zh-CN"/>
        </w:rPr>
        <w:t>类声环境功能区，执行《声环境质量标准》（GB3096-2008）</w:t>
      </w:r>
      <w:r>
        <w:rPr>
          <w:rFonts w:hint="eastAsia" w:cs="Times New Roman"/>
          <w:highlight w:val="none"/>
          <w:u w:val="none" w:color="auto"/>
          <w:lang w:val="en-US" w:eastAsia="zh-CN"/>
        </w:rPr>
        <w:t>中1</w:t>
      </w:r>
      <w:r>
        <w:rPr>
          <w:rFonts w:hint="default" w:ascii="Times New Roman" w:hAnsi="Times New Roman" w:cs="Times New Roman"/>
          <w:highlight w:val="none"/>
          <w:u w:val="none" w:color="auto"/>
          <w:lang w:val="en-US" w:eastAsia="zh-CN"/>
        </w:rPr>
        <w:t>类</w:t>
      </w:r>
      <w:r>
        <w:rPr>
          <w:rFonts w:hint="eastAsia" w:cs="Times New Roman"/>
          <w:highlight w:val="none"/>
          <w:u w:val="none" w:color="auto"/>
          <w:lang w:val="en-US" w:eastAsia="zh-CN"/>
        </w:rPr>
        <w:t>标准</w:t>
      </w:r>
      <w:r>
        <w:rPr>
          <w:rFonts w:hint="default" w:ascii="Times New Roman" w:hAnsi="Times New Roman" w:cs="Times New Roman"/>
          <w:highlight w:val="none"/>
          <w:u w:val="none" w:color="auto"/>
          <w:lang w:val="en-US" w:eastAsia="zh-CN"/>
        </w:rPr>
        <w:t>。</w:t>
      </w:r>
    </w:p>
    <w:p w14:paraId="67014DF3">
      <w:pPr>
        <w:bidi w:val="0"/>
        <w:rPr>
          <w:rFonts w:hint="eastAsia"/>
          <w:b/>
          <w:bCs/>
          <w:highlight w:val="none"/>
          <w:u w:val="none" w:color="auto"/>
          <w:lang w:val="en-US" w:eastAsia="zh-CN"/>
        </w:rPr>
      </w:pPr>
      <w:r>
        <w:rPr>
          <w:rFonts w:hint="eastAsia"/>
          <w:b/>
          <w:bCs/>
          <w:highlight w:val="none"/>
          <w:u w:val="none" w:color="auto"/>
          <w:lang w:val="en-US" w:eastAsia="zh-CN"/>
        </w:rPr>
        <w:t>（5）项目所在区域环境功能属性汇总</w:t>
      </w:r>
    </w:p>
    <w:p w14:paraId="1A53A3BE">
      <w:pPr>
        <w:bidi w:val="0"/>
        <w:rPr>
          <w:rFonts w:hint="eastAsia"/>
          <w:highlight w:val="none"/>
          <w:u w:val="none" w:color="auto"/>
          <w:lang w:val="en-US" w:eastAsia="zh-CN"/>
        </w:rPr>
      </w:pPr>
      <w:r>
        <w:rPr>
          <w:rFonts w:hint="eastAsia"/>
          <w:highlight w:val="none"/>
          <w:u w:val="none" w:color="auto"/>
          <w:lang w:val="en-US" w:eastAsia="zh-CN"/>
        </w:rPr>
        <w:t>本项目所在地区域功能属性见表2.4-1。</w:t>
      </w:r>
    </w:p>
    <w:p w14:paraId="0C713362">
      <w:pPr>
        <w:bidi w:val="0"/>
        <w:ind w:left="0" w:leftChars="0" w:firstLine="0" w:firstLineChars="0"/>
        <w:jc w:val="center"/>
        <w:rPr>
          <w:rFonts w:hint="eastAsia"/>
          <w:b/>
          <w:bCs/>
          <w:sz w:val="21"/>
          <w:szCs w:val="21"/>
          <w:highlight w:val="none"/>
          <w:u w:val="none" w:color="auto"/>
          <w:lang w:val="en-US" w:eastAsia="zh-CN"/>
        </w:rPr>
      </w:pPr>
    </w:p>
    <w:p w14:paraId="1B162B10">
      <w:pPr>
        <w:bidi w:val="0"/>
        <w:ind w:left="0" w:leftChars="0" w:firstLine="0" w:firstLineChars="0"/>
        <w:jc w:val="center"/>
        <w:rPr>
          <w:rFonts w:hint="eastAsia"/>
          <w:b/>
          <w:bCs/>
          <w:sz w:val="21"/>
          <w:szCs w:val="21"/>
          <w:highlight w:val="none"/>
          <w:u w:val="none" w:color="auto"/>
          <w:lang w:val="en-US" w:eastAsia="zh-CN"/>
        </w:rPr>
      </w:pPr>
    </w:p>
    <w:p w14:paraId="6BCEE20E">
      <w:pPr>
        <w:bidi w:val="0"/>
        <w:ind w:left="0" w:leftChars="0" w:firstLine="0" w:firstLineChars="0"/>
        <w:jc w:val="center"/>
        <w:rPr>
          <w:rFonts w:hint="eastAsia"/>
          <w:b/>
          <w:bCs/>
          <w:sz w:val="21"/>
          <w:szCs w:val="21"/>
          <w:highlight w:val="yellow"/>
          <w:u w:val="none" w:color="auto"/>
          <w:lang w:val="en-US" w:eastAsia="zh-CN"/>
        </w:rPr>
      </w:pPr>
      <w:r>
        <w:rPr>
          <w:rFonts w:hint="eastAsia"/>
          <w:b/>
          <w:bCs/>
          <w:sz w:val="21"/>
          <w:szCs w:val="21"/>
          <w:highlight w:val="none"/>
          <w:u w:val="none" w:color="auto"/>
          <w:lang w:val="en-US" w:eastAsia="zh-CN"/>
        </w:rPr>
        <w:t>表2.4-1  项目拟选址区环境功能属性</w:t>
      </w:r>
    </w:p>
    <w:tbl>
      <w:tblPr>
        <w:tblStyle w:val="35"/>
        <w:tblW w:w="5000" w:type="pct"/>
        <w:tblInd w:w="0" w:type="dxa"/>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autofit"/>
        <w:tblCellMar>
          <w:top w:w="0" w:type="dxa"/>
          <w:left w:w="108" w:type="dxa"/>
          <w:bottom w:w="0" w:type="dxa"/>
          <w:right w:w="108" w:type="dxa"/>
        </w:tblCellMar>
      </w:tblPr>
      <w:tblGrid>
        <w:gridCol w:w="923"/>
        <w:gridCol w:w="2830"/>
        <w:gridCol w:w="5479"/>
      </w:tblGrid>
      <w:tr w14:paraId="79CFC63F">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90" w:hRule="atLeast"/>
          <w:tblHeader/>
        </w:trPr>
        <w:tc>
          <w:tcPr>
            <w:tcW w:w="500" w:type="pct"/>
            <w:noWrap w:val="0"/>
            <w:vAlign w:val="center"/>
          </w:tcPr>
          <w:p w14:paraId="1885649A">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cs="Times New Roman"/>
                <w:b/>
                <w:bCs/>
                <w:sz w:val="21"/>
                <w:szCs w:val="21"/>
                <w:highlight w:val="none"/>
                <w:u w:val="none" w:color="auto"/>
                <w:lang w:val="en-US" w:eastAsia="zh-CN"/>
              </w:rPr>
            </w:pPr>
            <w:r>
              <w:rPr>
                <w:rFonts w:hint="default" w:ascii="Times New Roman" w:hAnsi="Times New Roman" w:cs="Times New Roman"/>
                <w:b/>
                <w:bCs/>
                <w:sz w:val="21"/>
                <w:szCs w:val="21"/>
                <w:highlight w:val="none"/>
                <w:u w:val="none" w:color="auto"/>
                <w:lang w:val="en-US" w:eastAsia="zh-CN"/>
              </w:rPr>
              <w:t>编号</w:t>
            </w:r>
          </w:p>
        </w:tc>
        <w:tc>
          <w:tcPr>
            <w:tcW w:w="1532" w:type="pct"/>
            <w:noWrap w:val="0"/>
            <w:vAlign w:val="center"/>
          </w:tcPr>
          <w:p w14:paraId="1A882674">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cs="Times New Roman"/>
                <w:b/>
                <w:bCs/>
                <w:sz w:val="21"/>
                <w:szCs w:val="21"/>
                <w:highlight w:val="none"/>
                <w:u w:val="none" w:color="auto"/>
                <w:lang w:val="en-US" w:eastAsia="zh-CN"/>
              </w:rPr>
            </w:pPr>
            <w:r>
              <w:rPr>
                <w:rFonts w:hint="default" w:ascii="Times New Roman" w:hAnsi="Times New Roman" w:cs="Times New Roman"/>
                <w:b/>
                <w:bCs/>
                <w:sz w:val="21"/>
                <w:szCs w:val="21"/>
                <w:highlight w:val="none"/>
                <w:u w:val="none" w:color="auto"/>
                <w:lang w:val="en-US" w:eastAsia="zh-CN"/>
              </w:rPr>
              <w:t>项目</w:t>
            </w:r>
          </w:p>
        </w:tc>
        <w:tc>
          <w:tcPr>
            <w:tcW w:w="2966" w:type="pct"/>
            <w:noWrap w:val="0"/>
            <w:vAlign w:val="center"/>
          </w:tcPr>
          <w:p w14:paraId="7C875B7D">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cs="Times New Roman"/>
                <w:b/>
                <w:bCs/>
                <w:sz w:val="21"/>
                <w:szCs w:val="21"/>
                <w:highlight w:val="none"/>
                <w:u w:val="none" w:color="auto"/>
                <w:lang w:val="en-US" w:eastAsia="zh-CN"/>
              </w:rPr>
            </w:pPr>
            <w:r>
              <w:rPr>
                <w:rFonts w:hint="default" w:ascii="Times New Roman" w:hAnsi="Times New Roman" w:cs="Times New Roman"/>
                <w:b/>
                <w:bCs/>
                <w:sz w:val="21"/>
                <w:szCs w:val="21"/>
                <w:highlight w:val="none"/>
                <w:u w:val="none" w:color="auto"/>
                <w:lang w:val="en-US" w:eastAsia="zh-CN"/>
              </w:rPr>
              <w:t>功能属性及执行标准</w:t>
            </w:r>
          </w:p>
        </w:tc>
      </w:tr>
      <w:tr w14:paraId="09DD1863">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c>
          <w:tcPr>
            <w:tcW w:w="500" w:type="pct"/>
            <w:noWrap w:val="0"/>
            <w:vAlign w:val="center"/>
          </w:tcPr>
          <w:p w14:paraId="07F72FF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highlight w:val="none"/>
                <w:u w:val="none" w:color="auto"/>
                <w:lang w:val="en-US" w:eastAsia="zh-CN"/>
              </w:rPr>
            </w:pPr>
            <w:r>
              <w:rPr>
                <w:rFonts w:hint="default" w:ascii="Times New Roman" w:hAnsi="Times New Roman" w:cs="Times New Roman"/>
                <w:sz w:val="21"/>
                <w:szCs w:val="21"/>
                <w:highlight w:val="none"/>
                <w:u w:val="none" w:color="auto"/>
                <w:lang w:val="en-US" w:eastAsia="zh-CN"/>
              </w:rPr>
              <w:t>1</w:t>
            </w:r>
          </w:p>
        </w:tc>
        <w:tc>
          <w:tcPr>
            <w:tcW w:w="1532" w:type="pct"/>
            <w:noWrap w:val="0"/>
            <w:vAlign w:val="center"/>
          </w:tcPr>
          <w:p w14:paraId="4140570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highlight w:val="none"/>
                <w:u w:val="none" w:color="auto"/>
                <w:lang w:val="en-US" w:eastAsia="zh-CN"/>
              </w:rPr>
            </w:pPr>
            <w:r>
              <w:rPr>
                <w:rFonts w:hint="default" w:ascii="Times New Roman" w:hAnsi="Times New Roman" w:cs="Times New Roman"/>
                <w:sz w:val="21"/>
                <w:szCs w:val="21"/>
                <w:highlight w:val="none"/>
                <w:u w:val="none" w:color="auto"/>
                <w:lang w:val="en-US" w:eastAsia="zh-CN"/>
              </w:rPr>
              <w:t>地表水环境功能区</w:t>
            </w:r>
          </w:p>
        </w:tc>
        <w:tc>
          <w:tcPr>
            <w:tcW w:w="2966" w:type="pct"/>
            <w:noWrap w:val="0"/>
            <w:vAlign w:val="center"/>
          </w:tcPr>
          <w:p w14:paraId="50DDB1F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highlight w:val="none"/>
                <w:u w:val="none" w:color="auto"/>
                <w:lang w:val="en-US" w:eastAsia="zh-CN"/>
              </w:rPr>
            </w:pPr>
            <w:r>
              <w:rPr>
                <w:rFonts w:hint="default" w:ascii="Times New Roman" w:hAnsi="Times New Roman" w:cs="Times New Roman"/>
                <w:sz w:val="21"/>
                <w:szCs w:val="21"/>
                <w:highlight w:val="none"/>
                <w:u w:val="none" w:color="auto"/>
                <w:lang w:val="en-US" w:eastAsia="zh-CN"/>
              </w:rPr>
              <w:t>《地表水环境质量标准》（GB3838-2002）Ⅲ类标准</w:t>
            </w:r>
          </w:p>
        </w:tc>
      </w:tr>
      <w:tr w14:paraId="79E7B76E">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c>
          <w:tcPr>
            <w:tcW w:w="500" w:type="pct"/>
            <w:noWrap w:val="0"/>
            <w:vAlign w:val="center"/>
          </w:tcPr>
          <w:p w14:paraId="787D513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highlight w:val="none"/>
                <w:u w:val="none" w:color="auto"/>
                <w:lang w:val="en-US" w:eastAsia="zh-CN"/>
              </w:rPr>
            </w:pPr>
            <w:r>
              <w:rPr>
                <w:rFonts w:hint="default" w:ascii="Times New Roman" w:hAnsi="Times New Roman" w:cs="Times New Roman"/>
                <w:sz w:val="21"/>
                <w:szCs w:val="21"/>
                <w:highlight w:val="none"/>
                <w:u w:val="none" w:color="auto"/>
                <w:lang w:val="en-US" w:eastAsia="zh-CN"/>
              </w:rPr>
              <w:t>2</w:t>
            </w:r>
          </w:p>
        </w:tc>
        <w:tc>
          <w:tcPr>
            <w:tcW w:w="1532" w:type="pct"/>
            <w:noWrap w:val="0"/>
            <w:vAlign w:val="center"/>
          </w:tcPr>
          <w:p w14:paraId="2BE07E9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highlight w:val="none"/>
                <w:u w:val="none" w:color="auto"/>
                <w:lang w:val="en-US" w:eastAsia="zh-CN"/>
              </w:rPr>
            </w:pPr>
            <w:r>
              <w:rPr>
                <w:rFonts w:hint="default" w:ascii="Times New Roman" w:hAnsi="Times New Roman" w:cs="Times New Roman"/>
                <w:sz w:val="21"/>
                <w:szCs w:val="21"/>
                <w:highlight w:val="none"/>
                <w:u w:val="none" w:color="auto"/>
                <w:lang w:val="en-US" w:eastAsia="zh-CN"/>
              </w:rPr>
              <w:t>地下水环境功能区</w:t>
            </w:r>
          </w:p>
        </w:tc>
        <w:tc>
          <w:tcPr>
            <w:tcW w:w="2966" w:type="pct"/>
            <w:noWrap w:val="0"/>
            <w:vAlign w:val="center"/>
          </w:tcPr>
          <w:p w14:paraId="4C2D041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highlight w:val="none"/>
                <w:u w:val="none" w:color="auto"/>
                <w:lang w:val="en-US" w:eastAsia="zh-CN"/>
              </w:rPr>
            </w:pPr>
            <w:r>
              <w:rPr>
                <w:rFonts w:hint="default" w:ascii="Times New Roman" w:hAnsi="Times New Roman" w:cs="Times New Roman"/>
                <w:sz w:val="21"/>
                <w:szCs w:val="21"/>
                <w:highlight w:val="none"/>
                <w:u w:val="none" w:color="auto"/>
                <w:lang w:val="en-US" w:eastAsia="zh-CN"/>
              </w:rPr>
              <w:t>《地下水质量标准》（GB/T14848-2017）Ⅲ类标准</w:t>
            </w:r>
          </w:p>
        </w:tc>
      </w:tr>
      <w:tr w14:paraId="44036B27">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c>
          <w:tcPr>
            <w:tcW w:w="500" w:type="pct"/>
            <w:noWrap w:val="0"/>
            <w:vAlign w:val="center"/>
          </w:tcPr>
          <w:p w14:paraId="748F5CD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highlight w:val="none"/>
                <w:u w:val="none" w:color="auto"/>
                <w:lang w:val="en-US" w:eastAsia="zh-CN"/>
              </w:rPr>
            </w:pPr>
            <w:r>
              <w:rPr>
                <w:rFonts w:hint="default" w:ascii="Times New Roman" w:hAnsi="Times New Roman" w:cs="Times New Roman"/>
                <w:sz w:val="21"/>
                <w:szCs w:val="21"/>
                <w:highlight w:val="none"/>
                <w:u w:val="none" w:color="auto"/>
                <w:lang w:val="en-US" w:eastAsia="zh-CN"/>
              </w:rPr>
              <w:t>3</w:t>
            </w:r>
          </w:p>
        </w:tc>
        <w:tc>
          <w:tcPr>
            <w:tcW w:w="1532" w:type="pct"/>
            <w:noWrap w:val="0"/>
            <w:vAlign w:val="center"/>
          </w:tcPr>
          <w:p w14:paraId="7707AB4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highlight w:val="none"/>
                <w:u w:val="none" w:color="auto"/>
                <w:lang w:val="en-US" w:eastAsia="zh-CN"/>
              </w:rPr>
            </w:pPr>
            <w:r>
              <w:rPr>
                <w:rFonts w:hint="default" w:ascii="Times New Roman" w:hAnsi="Times New Roman" w:cs="Times New Roman"/>
                <w:sz w:val="21"/>
                <w:szCs w:val="21"/>
                <w:highlight w:val="none"/>
                <w:u w:val="none" w:color="auto"/>
                <w:lang w:val="en-US" w:eastAsia="zh-CN"/>
              </w:rPr>
              <w:t>环境空气质量功能区</w:t>
            </w:r>
          </w:p>
        </w:tc>
        <w:tc>
          <w:tcPr>
            <w:tcW w:w="2966" w:type="pct"/>
            <w:noWrap w:val="0"/>
            <w:vAlign w:val="center"/>
          </w:tcPr>
          <w:p w14:paraId="4F21E89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highlight w:val="none"/>
                <w:u w:val="none" w:color="auto"/>
                <w:lang w:val="en-US" w:eastAsia="zh-CN"/>
              </w:rPr>
            </w:pPr>
            <w:r>
              <w:rPr>
                <w:rFonts w:hint="default" w:ascii="Times New Roman" w:hAnsi="Times New Roman" w:cs="Times New Roman"/>
                <w:sz w:val="21"/>
                <w:szCs w:val="21"/>
                <w:highlight w:val="none"/>
                <w:u w:val="none" w:color="auto"/>
                <w:lang w:val="en-US" w:eastAsia="zh-CN"/>
              </w:rPr>
              <w:t>二类区，环境空气质量执行《环境空气质量标准》</w:t>
            </w:r>
          </w:p>
          <w:p w14:paraId="6774003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highlight w:val="none"/>
                <w:u w:val="none" w:color="auto"/>
                <w:lang w:val="en-US" w:eastAsia="zh-CN"/>
              </w:rPr>
            </w:pPr>
            <w:r>
              <w:rPr>
                <w:rFonts w:hint="default" w:ascii="Times New Roman" w:hAnsi="Times New Roman" w:cs="Times New Roman"/>
                <w:sz w:val="21"/>
                <w:szCs w:val="21"/>
                <w:highlight w:val="none"/>
                <w:u w:val="none" w:color="auto"/>
                <w:lang w:val="en-US" w:eastAsia="zh-CN"/>
              </w:rPr>
              <w:t>（GB3095-2012）中的二级标准</w:t>
            </w:r>
          </w:p>
        </w:tc>
      </w:tr>
      <w:tr w14:paraId="36186464">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c>
          <w:tcPr>
            <w:tcW w:w="500" w:type="pct"/>
            <w:noWrap w:val="0"/>
            <w:vAlign w:val="center"/>
          </w:tcPr>
          <w:p w14:paraId="046DC9D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highlight w:val="none"/>
                <w:u w:val="none" w:color="auto"/>
                <w:lang w:val="en-US" w:eastAsia="zh-CN"/>
              </w:rPr>
            </w:pPr>
            <w:r>
              <w:rPr>
                <w:rFonts w:hint="default" w:ascii="Times New Roman" w:hAnsi="Times New Roman" w:cs="Times New Roman"/>
                <w:sz w:val="21"/>
                <w:szCs w:val="21"/>
                <w:highlight w:val="none"/>
                <w:u w:val="none" w:color="auto"/>
                <w:lang w:val="en-US" w:eastAsia="zh-CN"/>
              </w:rPr>
              <w:t>4</w:t>
            </w:r>
          </w:p>
        </w:tc>
        <w:tc>
          <w:tcPr>
            <w:tcW w:w="1532" w:type="pct"/>
            <w:noWrap w:val="0"/>
            <w:vAlign w:val="center"/>
          </w:tcPr>
          <w:p w14:paraId="555447A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highlight w:val="none"/>
                <w:u w:val="none" w:color="auto"/>
                <w:lang w:val="en-US" w:eastAsia="zh-CN"/>
              </w:rPr>
            </w:pPr>
            <w:r>
              <w:rPr>
                <w:rFonts w:hint="default" w:ascii="Times New Roman" w:hAnsi="Times New Roman" w:cs="Times New Roman"/>
                <w:sz w:val="21"/>
                <w:szCs w:val="21"/>
                <w:highlight w:val="none"/>
                <w:u w:val="none" w:color="auto"/>
                <w:lang w:val="en-US" w:eastAsia="zh-CN"/>
              </w:rPr>
              <w:t>声环境功能区</w:t>
            </w:r>
          </w:p>
        </w:tc>
        <w:tc>
          <w:tcPr>
            <w:tcW w:w="2966" w:type="pct"/>
            <w:noWrap w:val="0"/>
            <w:vAlign w:val="center"/>
          </w:tcPr>
          <w:p w14:paraId="2249D51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highlight w:val="none"/>
                <w:u w:val="none" w:color="auto"/>
                <w:lang w:val="en-US" w:eastAsia="zh-CN"/>
              </w:rPr>
            </w:pPr>
            <w:r>
              <w:rPr>
                <w:rFonts w:hint="eastAsia" w:cs="Times New Roman"/>
                <w:sz w:val="21"/>
                <w:szCs w:val="21"/>
                <w:highlight w:val="none"/>
                <w:u w:val="none" w:color="auto"/>
                <w:lang w:val="en-US" w:eastAsia="zh-CN"/>
              </w:rPr>
              <w:t>1</w:t>
            </w:r>
            <w:r>
              <w:rPr>
                <w:rFonts w:hint="default" w:ascii="Times New Roman" w:hAnsi="Times New Roman" w:cs="Times New Roman"/>
                <w:sz w:val="21"/>
                <w:szCs w:val="21"/>
                <w:highlight w:val="none"/>
                <w:u w:val="none" w:color="auto"/>
                <w:lang w:val="en-US" w:eastAsia="zh-CN"/>
              </w:rPr>
              <w:t>类声环境功能区，执行《声环境质量标准》</w:t>
            </w:r>
          </w:p>
          <w:p w14:paraId="46EF7BE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highlight w:val="none"/>
                <w:u w:val="none" w:color="auto"/>
                <w:lang w:val="en-US" w:eastAsia="zh-CN"/>
              </w:rPr>
            </w:pPr>
            <w:r>
              <w:rPr>
                <w:rFonts w:hint="default" w:ascii="Times New Roman" w:hAnsi="Times New Roman" w:cs="Times New Roman"/>
                <w:sz w:val="21"/>
                <w:szCs w:val="21"/>
                <w:highlight w:val="none"/>
                <w:u w:val="none" w:color="auto"/>
                <w:lang w:val="en-US" w:eastAsia="zh-CN"/>
              </w:rPr>
              <w:t>（GB3096-2008）</w:t>
            </w:r>
            <w:r>
              <w:rPr>
                <w:rFonts w:hint="eastAsia" w:cs="Times New Roman"/>
                <w:sz w:val="21"/>
                <w:szCs w:val="21"/>
                <w:highlight w:val="none"/>
                <w:u w:val="none" w:color="auto"/>
                <w:lang w:val="en-US" w:eastAsia="zh-CN"/>
              </w:rPr>
              <w:t>1</w:t>
            </w:r>
            <w:r>
              <w:rPr>
                <w:rFonts w:hint="default" w:ascii="Times New Roman" w:hAnsi="Times New Roman" w:cs="Times New Roman"/>
                <w:sz w:val="21"/>
                <w:szCs w:val="21"/>
                <w:highlight w:val="none"/>
                <w:u w:val="none" w:color="auto"/>
                <w:lang w:val="en-US" w:eastAsia="zh-CN"/>
              </w:rPr>
              <w:t>类</w:t>
            </w:r>
            <w:r>
              <w:rPr>
                <w:rFonts w:hint="eastAsia" w:cs="Times New Roman"/>
                <w:sz w:val="21"/>
                <w:szCs w:val="21"/>
                <w:highlight w:val="none"/>
                <w:u w:val="none" w:color="auto"/>
                <w:lang w:val="en-US" w:eastAsia="zh-CN"/>
              </w:rPr>
              <w:t>标准</w:t>
            </w:r>
          </w:p>
        </w:tc>
      </w:tr>
      <w:tr w14:paraId="14132EF0">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c>
          <w:tcPr>
            <w:tcW w:w="500" w:type="pct"/>
            <w:noWrap w:val="0"/>
            <w:vAlign w:val="center"/>
          </w:tcPr>
          <w:p w14:paraId="5C08037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highlight w:val="none"/>
                <w:u w:val="none" w:color="auto"/>
                <w:lang w:val="en-US" w:eastAsia="zh-CN"/>
              </w:rPr>
            </w:pPr>
            <w:r>
              <w:rPr>
                <w:rFonts w:hint="default" w:ascii="Times New Roman" w:hAnsi="Times New Roman" w:cs="Times New Roman"/>
                <w:sz w:val="21"/>
                <w:szCs w:val="21"/>
                <w:highlight w:val="none"/>
                <w:u w:val="none" w:color="auto"/>
                <w:lang w:val="en-US" w:eastAsia="zh-CN"/>
              </w:rPr>
              <w:t>5</w:t>
            </w:r>
          </w:p>
        </w:tc>
        <w:tc>
          <w:tcPr>
            <w:tcW w:w="1532" w:type="pct"/>
            <w:noWrap w:val="0"/>
            <w:vAlign w:val="center"/>
          </w:tcPr>
          <w:p w14:paraId="5D6D933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highlight w:val="none"/>
                <w:u w:val="none" w:color="auto"/>
                <w:lang w:val="en-US" w:eastAsia="zh-CN"/>
              </w:rPr>
            </w:pPr>
            <w:r>
              <w:rPr>
                <w:rFonts w:hint="default" w:ascii="Times New Roman" w:hAnsi="Times New Roman" w:cs="Times New Roman"/>
                <w:sz w:val="21"/>
                <w:szCs w:val="21"/>
                <w:highlight w:val="none"/>
                <w:u w:val="none" w:color="auto"/>
                <w:lang w:val="en-US" w:eastAsia="zh-CN"/>
              </w:rPr>
              <w:t>是否基本农田保护区</w:t>
            </w:r>
          </w:p>
        </w:tc>
        <w:tc>
          <w:tcPr>
            <w:tcW w:w="2966" w:type="pct"/>
            <w:noWrap w:val="0"/>
            <w:vAlign w:val="center"/>
          </w:tcPr>
          <w:p w14:paraId="073430D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highlight w:val="none"/>
                <w:u w:val="none" w:color="auto"/>
                <w:lang w:val="en-US" w:eastAsia="zh-CN"/>
              </w:rPr>
            </w:pPr>
            <w:r>
              <w:rPr>
                <w:rFonts w:hint="default" w:ascii="Times New Roman" w:hAnsi="Times New Roman" w:cs="Times New Roman"/>
                <w:sz w:val="21"/>
                <w:szCs w:val="21"/>
                <w:highlight w:val="none"/>
                <w:u w:val="none" w:color="auto"/>
                <w:lang w:val="en-US" w:eastAsia="zh-CN"/>
              </w:rPr>
              <w:t>否</w:t>
            </w:r>
          </w:p>
        </w:tc>
      </w:tr>
      <w:tr w14:paraId="48F48289">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c>
          <w:tcPr>
            <w:tcW w:w="500" w:type="pct"/>
            <w:noWrap w:val="0"/>
            <w:vAlign w:val="center"/>
          </w:tcPr>
          <w:p w14:paraId="2BE2C81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highlight w:val="none"/>
                <w:u w:val="none" w:color="auto"/>
                <w:lang w:val="en-US" w:eastAsia="zh-CN"/>
              </w:rPr>
            </w:pPr>
            <w:r>
              <w:rPr>
                <w:rFonts w:hint="default" w:ascii="Times New Roman" w:hAnsi="Times New Roman" w:cs="Times New Roman"/>
                <w:sz w:val="21"/>
                <w:szCs w:val="21"/>
                <w:highlight w:val="none"/>
                <w:u w:val="none" w:color="auto"/>
                <w:lang w:val="en-US" w:eastAsia="zh-CN"/>
              </w:rPr>
              <w:t>6</w:t>
            </w:r>
          </w:p>
        </w:tc>
        <w:tc>
          <w:tcPr>
            <w:tcW w:w="1532" w:type="pct"/>
            <w:noWrap w:val="0"/>
            <w:vAlign w:val="center"/>
          </w:tcPr>
          <w:p w14:paraId="217C36E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highlight w:val="none"/>
                <w:u w:val="none" w:color="auto"/>
                <w:lang w:val="en-US" w:eastAsia="zh-CN"/>
              </w:rPr>
            </w:pPr>
            <w:r>
              <w:rPr>
                <w:rFonts w:hint="default" w:ascii="Times New Roman" w:hAnsi="Times New Roman" w:cs="Times New Roman"/>
                <w:sz w:val="21"/>
                <w:szCs w:val="21"/>
                <w:highlight w:val="none"/>
                <w:u w:val="none" w:color="auto"/>
                <w:lang w:val="en-US" w:eastAsia="zh-CN"/>
              </w:rPr>
              <w:t>是否森林公园</w:t>
            </w:r>
          </w:p>
        </w:tc>
        <w:tc>
          <w:tcPr>
            <w:tcW w:w="2966" w:type="pct"/>
            <w:noWrap w:val="0"/>
            <w:vAlign w:val="center"/>
          </w:tcPr>
          <w:p w14:paraId="18021FC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highlight w:val="none"/>
                <w:u w:val="none" w:color="auto"/>
                <w:lang w:val="en-US" w:eastAsia="zh-CN"/>
              </w:rPr>
            </w:pPr>
            <w:r>
              <w:rPr>
                <w:rFonts w:hint="eastAsia" w:cs="Times New Roman"/>
                <w:sz w:val="21"/>
                <w:szCs w:val="21"/>
                <w:highlight w:val="none"/>
                <w:u w:val="none" w:color="auto"/>
                <w:lang w:val="en-US" w:eastAsia="zh-CN"/>
              </w:rPr>
              <w:t>否</w:t>
            </w:r>
          </w:p>
        </w:tc>
      </w:tr>
      <w:tr w14:paraId="440D1C91">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c>
          <w:tcPr>
            <w:tcW w:w="500" w:type="pct"/>
            <w:noWrap w:val="0"/>
            <w:vAlign w:val="center"/>
          </w:tcPr>
          <w:p w14:paraId="05413E3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highlight w:val="none"/>
                <w:u w:val="none" w:color="auto"/>
                <w:lang w:val="en-US" w:eastAsia="zh-CN"/>
              </w:rPr>
            </w:pPr>
            <w:r>
              <w:rPr>
                <w:rFonts w:hint="default" w:ascii="Times New Roman" w:hAnsi="Times New Roman" w:cs="Times New Roman"/>
                <w:sz w:val="21"/>
                <w:szCs w:val="21"/>
                <w:highlight w:val="none"/>
                <w:u w:val="none" w:color="auto"/>
                <w:lang w:val="en-US" w:eastAsia="zh-CN"/>
              </w:rPr>
              <w:t>7</w:t>
            </w:r>
          </w:p>
        </w:tc>
        <w:tc>
          <w:tcPr>
            <w:tcW w:w="1532" w:type="pct"/>
            <w:noWrap w:val="0"/>
            <w:vAlign w:val="center"/>
          </w:tcPr>
          <w:p w14:paraId="067C4AF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highlight w:val="none"/>
                <w:u w:val="none" w:color="auto"/>
                <w:lang w:val="en-US" w:eastAsia="zh-CN"/>
              </w:rPr>
            </w:pPr>
            <w:r>
              <w:rPr>
                <w:rFonts w:hint="default" w:ascii="Times New Roman" w:hAnsi="Times New Roman" w:cs="Times New Roman"/>
                <w:sz w:val="21"/>
                <w:szCs w:val="21"/>
                <w:highlight w:val="none"/>
                <w:u w:val="none" w:color="auto"/>
                <w:lang w:val="en-US" w:eastAsia="zh-CN"/>
              </w:rPr>
              <w:t>是否生态功能保护区</w:t>
            </w:r>
          </w:p>
        </w:tc>
        <w:tc>
          <w:tcPr>
            <w:tcW w:w="2966" w:type="pct"/>
            <w:noWrap w:val="0"/>
            <w:vAlign w:val="center"/>
          </w:tcPr>
          <w:p w14:paraId="143D479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highlight w:val="none"/>
                <w:u w:val="none" w:color="auto"/>
                <w:lang w:val="en-US" w:eastAsia="zh-CN"/>
              </w:rPr>
            </w:pPr>
            <w:r>
              <w:rPr>
                <w:rFonts w:hint="default" w:ascii="Times New Roman" w:hAnsi="Times New Roman" w:cs="Times New Roman"/>
                <w:sz w:val="21"/>
                <w:szCs w:val="21"/>
                <w:highlight w:val="none"/>
                <w:u w:val="none" w:color="auto"/>
                <w:lang w:val="en-US" w:eastAsia="zh-CN"/>
              </w:rPr>
              <w:t>否</w:t>
            </w:r>
          </w:p>
        </w:tc>
      </w:tr>
      <w:tr w14:paraId="382521FC">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c>
          <w:tcPr>
            <w:tcW w:w="500" w:type="pct"/>
            <w:noWrap w:val="0"/>
            <w:vAlign w:val="center"/>
          </w:tcPr>
          <w:p w14:paraId="0EB350E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highlight w:val="none"/>
                <w:u w:val="none" w:color="auto"/>
                <w:lang w:val="en-US" w:eastAsia="zh-CN"/>
              </w:rPr>
            </w:pPr>
            <w:r>
              <w:rPr>
                <w:rFonts w:hint="default" w:ascii="Times New Roman" w:hAnsi="Times New Roman" w:cs="Times New Roman"/>
                <w:sz w:val="21"/>
                <w:szCs w:val="21"/>
                <w:highlight w:val="none"/>
                <w:u w:val="none" w:color="auto"/>
                <w:lang w:val="en-US" w:eastAsia="zh-CN"/>
              </w:rPr>
              <w:t>8</w:t>
            </w:r>
          </w:p>
        </w:tc>
        <w:tc>
          <w:tcPr>
            <w:tcW w:w="1532" w:type="pct"/>
            <w:noWrap w:val="0"/>
            <w:vAlign w:val="center"/>
          </w:tcPr>
          <w:p w14:paraId="2386B01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highlight w:val="none"/>
                <w:u w:val="none" w:color="auto"/>
                <w:lang w:val="en-US" w:eastAsia="zh-CN"/>
              </w:rPr>
            </w:pPr>
            <w:r>
              <w:rPr>
                <w:rFonts w:hint="default" w:ascii="Times New Roman" w:hAnsi="Times New Roman" w:cs="Times New Roman"/>
                <w:sz w:val="21"/>
                <w:szCs w:val="21"/>
                <w:highlight w:val="none"/>
                <w:u w:val="none" w:color="auto"/>
                <w:lang w:val="en-US" w:eastAsia="zh-CN"/>
              </w:rPr>
              <w:t>是否水土流失重点防治区</w:t>
            </w:r>
          </w:p>
        </w:tc>
        <w:tc>
          <w:tcPr>
            <w:tcW w:w="2966" w:type="pct"/>
            <w:noWrap w:val="0"/>
            <w:vAlign w:val="center"/>
          </w:tcPr>
          <w:p w14:paraId="0BD62BA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highlight w:val="none"/>
                <w:u w:val="none" w:color="auto"/>
                <w:lang w:val="en-US" w:eastAsia="zh-CN"/>
              </w:rPr>
            </w:pPr>
            <w:r>
              <w:rPr>
                <w:rFonts w:hint="default" w:ascii="Times New Roman" w:hAnsi="Times New Roman" w:cs="Times New Roman"/>
                <w:sz w:val="21"/>
                <w:szCs w:val="21"/>
                <w:highlight w:val="none"/>
                <w:u w:val="none" w:color="auto"/>
                <w:lang w:val="en-US" w:eastAsia="zh-CN"/>
              </w:rPr>
              <w:t>否</w:t>
            </w:r>
          </w:p>
        </w:tc>
      </w:tr>
      <w:tr w14:paraId="00399F72">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c>
          <w:tcPr>
            <w:tcW w:w="500" w:type="pct"/>
            <w:noWrap w:val="0"/>
            <w:vAlign w:val="center"/>
          </w:tcPr>
          <w:p w14:paraId="2159B13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highlight w:val="none"/>
                <w:u w:val="none" w:color="auto"/>
                <w:lang w:val="en-US" w:eastAsia="zh-CN"/>
              </w:rPr>
            </w:pPr>
            <w:r>
              <w:rPr>
                <w:rFonts w:hint="default" w:ascii="Times New Roman" w:hAnsi="Times New Roman" w:cs="Times New Roman"/>
                <w:sz w:val="21"/>
                <w:szCs w:val="21"/>
                <w:highlight w:val="none"/>
                <w:u w:val="none" w:color="auto"/>
                <w:lang w:val="en-US" w:eastAsia="zh-CN"/>
              </w:rPr>
              <w:t>9</w:t>
            </w:r>
          </w:p>
        </w:tc>
        <w:tc>
          <w:tcPr>
            <w:tcW w:w="1532" w:type="pct"/>
            <w:noWrap w:val="0"/>
            <w:vAlign w:val="center"/>
          </w:tcPr>
          <w:p w14:paraId="733F66B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highlight w:val="none"/>
                <w:u w:val="none" w:color="auto"/>
                <w:lang w:val="en-US" w:eastAsia="zh-CN"/>
              </w:rPr>
            </w:pPr>
            <w:r>
              <w:rPr>
                <w:rFonts w:hint="default" w:ascii="Times New Roman" w:hAnsi="Times New Roman" w:cs="Times New Roman"/>
                <w:sz w:val="21"/>
                <w:szCs w:val="21"/>
                <w:highlight w:val="none"/>
                <w:u w:val="none" w:color="auto"/>
                <w:lang w:val="en-US" w:eastAsia="zh-CN"/>
              </w:rPr>
              <w:t>是否人口密集区</w:t>
            </w:r>
          </w:p>
        </w:tc>
        <w:tc>
          <w:tcPr>
            <w:tcW w:w="2966" w:type="pct"/>
            <w:noWrap w:val="0"/>
            <w:vAlign w:val="center"/>
          </w:tcPr>
          <w:p w14:paraId="2B78983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highlight w:val="none"/>
                <w:u w:val="none" w:color="auto"/>
                <w:lang w:val="en-US" w:eastAsia="zh-CN"/>
              </w:rPr>
            </w:pPr>
            <w:r>
              <w:rPr>
                <w:rFonts w:hint="default" w:ascii="Times New Roman" w:hAnsi="Times New Roman" w:cs="Times New Roman"/>
                <w:sz w:val="21"/>
                <w:szCs w:val="21"/>
                <w:highlight w:val="none"/>
                <w:u w:val="none" w:color="auto"/>
                <w:lang w:val="en-US" w:eastAsia="zh-CN"/>
              </w:rPr>
              <w:t>否</w:t>
            </w:r>
          </w:p>
        </w:tc>
      </w:tr>
      <w:tr w14:paraId="3D6CA9D9">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c>
          <w:tcPr>
            <w:tcW w:w="500" w:type="pct"/>
            <w:noWrap w:val="0"/>
            <w:vAlign w:val="center"/>
          </w:tcPr>
          <w:p w14:paraId="5C74CD9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highlight w:val="none"/>
                <w:u w:val="none" w:color="auto"/>
                <w:lang w:val="en-US" w:eastAsia="zh-CN"/>
              </w:rPr>
            </w:pPr>
            <w:r>
              <w:rPr>
                <w:rFonts w:hint="default" w:ascii="Times New Roman" w:hAnsi="Times New Roman" w:cs="Times New Roman"/>
                <w:sz w:val="21"/>
                <w:szCs w:val="21"/>
                <w:highlight w:val="none"/>
                <w:u w:val="none" w:color="auto"/>
                <w:lang w:val="en-US" w:eastAsia="zh-CN"/>
              </w:rPr>
              <w:t>10</w:t>
            </w:r>
          </w:p>
        </w:tc>
        <w:tc>
          <w:tcPr>
            <w:tcW w:w="1532" w:type="pct"/>
            <w:noWrap w:val="0"/>
            <w:vAlign w:val="center"/>
          </w:tcPr>
          <w:p w14:paraId="538F461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highlight w:val="none"/>
                <w:u w:val="none" w:color="auto"/>
                <w:lang w:val="en-US" w:eastAsia="zh-CN"/>
              </w:rPr>
            </w:pPr>
            <w:r>
              <w:rPr>
                <w:rFonts w:hint="default" w:ascii="Times New Roman" w:hAnsi="Times New Roman" w:cs="Times New Roman"/>
                <w:sz w:val="21"/>
                <w:szCs w:val="21"/>
                <w:highlight w:val="none"/>
                <w:u w:val="none" w:color="auto"/>
                <w:lang w:val="en-US" w:eastAsia="zh-CN"/>
              </w:rPr>
              <w:t>是否重点文物保护单位</w:t>
            </w:r>
          </w:p>
        </w:tc>
        <w:tc>
          <w:tcPr>
            <w:tcW w:w="2966" w:type="pct"/>
            <w:noWrap w:val="0"/>
            <w:vAlign w:val="center"/>
          </w:tcPr>
          <w:p w14:paraId="1D7C312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highlight w:val="none"/>
                <w:u w:val="none" w:color="auto"/>
                <w:lang w:val="en-US" w:eastAsia="zh-CN"/>
              </w:rPr>
            </w:pPr>
            <w:r>
              <w:rPr>
                <w:rFonts w:hint="default" w:ascii="Times New Roman" w:hAnsi="Times New Roman" w:cs="Times New Roman"/>
                <w:sz w:val="21"/>
                <w:szCs w:val="21"/>
                <w:highlight w:val="none"/>
                <w:u w:val="none" w:color="auto"/>
                <w:lang w:val="en-US" w:eastAsia="zh-CN"/>
              </w:rPr>
              <w:t>否</w:t>
            </w:r>
          </w:p>
        </w:tc>
      </w:tr>
      <w:tr w14:paraId="61CF9DF6">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c>
          <w:tcPr>
            <w:tcW w:w="500" w:type="pct"/>
            <w:noWrap w:val="0"/>
            <w:vAlign w:val="center"/>
          </w:tcPr>
          <w:p w14:paraId="0567E45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highlight w:val="none"/>
                <w:u w:val="none" w:color="auto"/>
                <w:lang w:val="en-US" w:eastAsia="zh-CN"/>
              </w:rPr>
            </w:pPr>
            <w:r>
              <w:rPr>
                <w:rFonts w:hint="default" w:ascii="Times New Roman" w:hAnsi="Times New Roman" w:cs="Times New Roman"/>
                <w:sz w:val="21"/>
                <w:szCs w:val="21"/>
                <w:highlight w:val="none"/>
                <w:u w:val="none" w:color="auto"/>
                <w:lang w:val="en-US" w:eastAsia="zh-CN"/>
              </w:rPr>
              <w:t>11</w:t>
            </w:r>
          </w:p>
        </w:tc>
        <w:tc>
          <w:tcPr>
            <w:tcW w:w="1532" w:type="pct"/>
            <w:noWrap w:val="0"/>
            <w:vAlign w:val="center"/>
          </w:tcPr>
          <w:p w14:paraId="61DB51A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highlight w:val="none"/>
                <w:u w:val="none" w:color="auto"/>
                <w:lang w:val="en-US" w:eastAsia="zh-CN"/>
              </w:rPr>
            </w:pPr>
            <w:r>
              <w:rPr>
                <w:rFonts w:hint="default" w:ascii="Times New Roman" w:hAnsi="Times New Roman" w:cs="Times New Roman"/>
                <w:sz w:val="21"/>
                <w:szCs w:val="21"/>
                <w:highlight w:val="none"/>
                <w:u w:val="none" w:color="auto"/>
                <w:lang w:val="en-US" w:eastAsia="zh-CN"/>
              </w:rPr>
              <w:t>是否三河、三湖、两控区</w:t>
            </w:r>
          </w:p>
        </w:tc>
        <w:tc>
          <w:tcPr>
            <w:tcW w:w="2966" w:type="pct"/>
            <w:noWrap w:val="0"/>
            <w:vAlign w:val="center"/>
          </w:tcPr>
          <w:p w14:paraId="4598BCC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highlight w:val="none"/>
                <w:u w:val="none" w:color="auto"/>
                <w:lang w:val="en-US" w:eastAsia="zh-CN"/>
              </w:rPr>
            </w:pPr>
            <w:r>
              <w:rPr>
                <w:rFonts w:hint="default" w:ascii="Times New Roman" w:hAnsi="Times New Roman" w:cs="Times New Roman"/>
                <w:sz w:val="21"/>
                <w:szCs w:val="21"/>
                <w:highlight w:val="none"/>
                <w:u w:val="none" w:color="auto"/>
                <w:lang w:val="en-US" w:eastAsia="zh-CN"/>
              </w:rPr>
              <w:t>是，两控区</w:t>
            </w:r>
          </w:p>
        </w:tc>
      </w:tr>
      <w:tr w14:paraId="4360D415">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c>
          <w:tcPr>
            <w:tcW w:w="500" w:type="pct"/>
            <w:noWrap w:val="0"/>
            <w:vAlign w:val="center"/>
          </w:tcPr>
          <w:p w14:paraId="0B1CF06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highlight w:val="none"/>
                <w:u w:val="none" w:color="auto"/>
                <w:lang w:val="en-US" w:eastAsia="zh-CN"/>
              </w:rPr>
            </w:pPr>
            <w:r>
              <w:rPr>
                <w:rFonts w:hint="default" w:ascii="Times New Roman" w:hAnsi="Times New Roman" w:cs="Times New Roman"/>
                <w:sz w:val="21"/>
                <w:szCs w:val="21"/>
                <w:highlight w:val="none"/>
                <w:u w:val="none" w:color="auto"/>
                <w:lang w:val="en-US" w:eastAsia="zh-CN"/>
              </w:rPr>
              <w:t>12</w:t>
            </w:r>
          </w:p>
        </w:tc>
        <w:tc>
          <w:tcPr>
            <w:tcW w:w="1532" w:type="pct"/>
            <w:noWrap w:val="0"/>
            <w:vAlign w:val="center"/>
          </w:tcPr>
          <w:p w14:paraId="3BA611F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highlight w:val="none"/>
                <w:u w:val="none" w:color="auto"/>
                <w:lang w:val="en-US" w:eastAsia="zh-CN"/>
              </w:rPr>
            </w:pPr>
            <w:r>
              <w:rPr>
                <w:rFonts w:hint="default" w:ascii="Times New Roman" w:hAnsi="Times New Roman" w:cs="Times New Roman"/>
                <w:sz w:val="21"/>
                <w:szCs w:val="21"/>
                <w:highlight w:val="none"/>
                <w:u w:val="none" w:color="auto"/>
                <w:lang w:val="en-US" w:eastAsia="zh-CN"/>
              </w:rPr>
              <w:t>是否水库库区</w:t>
            </w:r>
          </w:p>
        </w:tc>
        <w:tc>
          <w:tcPr>
            <w:tcW w:w="2966" w:type="pct"/>
            <w:noWrap w:val="0"/>
            <w:vAlign w:val="center"/>
          </w:tcPr>
          <w:p w14:paraId="73265AE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highlight w:val="none"/>
                <w:u w:val="none" w:color="auto"/>
                <w:lang w:val="en-US" w:eastAsia="zh-CN"/>
              </w:rPr>
            </w:pPr>
            <w:r>
              <w:rPr>
                <w:rFonts w:hint="default" w:ascii="Times New Roman" w:hAnsi="Times New Roman" w:cs="Times New Roman"/>
                <w:sz w:val="21"/>
                <w:szCs w:val="21"/>
                <w:highlight w:val="none"/>
                <w:u w:val="none" w:color="auto"/>
                <w:lang w:val="en-US" w:eastAsia="zh-CN"/>
              </w:rPr>
              <w:t>否</w:t>
            </w:r>
          </w:p>
        </w:tc>
      </w:tr>
      <w:tr w14:paraId="1151DFE4">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c>
          <w:tcPr>
            <w:tcW w:w="500" w:type="pct"/>
            <w:noWrap w:val="0"/>
            <w:vAlign w:val="center"/>
          </w:tcPr>
          <w:p w14:paraId="338C744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highlight w:val="none"/>
                <w:u w:val="none" w:color="auto"/>
                <w:lang w:val="en-US" w:eastAsia="zh-CN"/>
              </w:rPr>
            </w:pPr>
            <w:r>
              <w:rPr>
                <w:rFonts w:hint="default" w:ascii="Times New Roman" w:hAnsi="Times New Roman" w:cs="Times New Roman"/>
                <w:sz w:val="21"/>
                <w:szCs w:val="21"/>
                <w:highlight w:val="none"/>
                <w:u w:val="none" w:color="auto"/>
                <w:lang w:val="en-US" w:eastAsia="zh-CN"/>
              </w:rPr>
              <w:t>13</w:t>
            </w:r>
          </w:p>
        </w:tc>
        <w:tc>
          <w:tcPr>
            <w:tcW w:w="1532" w:type="pct"/>
            <w:noWrap w:val="0"/>
            <w:vAlign w:val="center"/>
          </w:tcPr>
          <w:p w14:paraId="3582062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highlight w:val="none"/>
                <w:u w:val="none" w:color="auto"/>
                <w:lang w:val="en-US" w:eastAsia="zh-CN"/>
              </w:rPr>
            </w:pPr>
            <w:r>
              <w:rPr>
                <w:rFonts w:hint="default" w:ascii="Times New Roman" w:hAnsi="Times New Roman" w:cs="Times New Roman"/>
                <w:sz w:val="21"/>
                <w:szCs w:val="21"/>
                <w:highlight w:val="none"/>
                <w:u w:val="none" w:color="auto"/>
                <w:lang w:val="en-US" w:eastAsia="zh-CN"/>
              </w:rPr>
              <w:t>是否污水处理厂集水范围</w:t>
            </w:r>
          </w:p>
        </w:tc>
        <w:tc>
          <w:tcPr>
            <w:tcW w:w="2966" w:type="pct"/>
            <w:noWrap w:val="0"/>
            <w:vAlign w:val="center"/>
          </w:tcPr>
          <w:p w14:paraId="48D06F0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highlight w:val="none"/>
                <w:u w:val="none" w:color="auto"/>
                <w:lang w:val="en-US" w:eastAsia="zh-CN"/>
              </w:rPr>
            </w:pPr>
            <w:r>
              <w:rPr>
                <w:rFonts w:hint="eastAsia" w:cs="Times New Roman"/>
                <w:sz w:val="21"/>
                <w:szCs w:val="21"/>
                <w:highlight w:val="none"/>
                <w:u w:val="none" w:color="auto"/>
                <w:lang w:val="en-US" w:eastAsia="zh-CN"/>
              </w:rPr>
              <w:t>否</w:t>
            </w:r>
          </w:p>
        </w:tc>
      </w:tr>
      <w:tr w14:paraId="57124AAE">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c>
          <w:tcPr>
            <w:tcW w:w="500" w:type="pct"/>
            <w:noWrap w:val="0"/>
            <w:vAlign w:val="center"/>
          </w:tcPr>
          <w:p w14:paraId="13818FB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highlight w:val="none"/>
                <w:u w:val="none" w:color="auto"/>
                <w:lang w:val="en-US" w:eastAsia="zh-CN"/>
              </w:rPr>
            </w:pPr>
            <w:r>
              <w:rPr>
                <w:rFonts w:hint="default" w:ascii="Times New Roman" w:hAnsi="Times New Roman" w:cs="Times New Roman"/>
                <w:sz w:val="21"/>
                <w:szCs w:val="21"/>
                <w:highlight w:val="none"/>
                <w:u w:val="none" w:color="auto"/>
                <w:lang w:val="en-US" w:eastAsia="zh-CN"/>
              </w:rPr>
              <w:t>14</w:t>
            </w:r>
          </w:p>
        </w:tc>
        <w:tc>
          <w:tcPr>
            <w:tcW w:w="1532" w:type="pct"/>
            <w:noWrap w:val="0"/>
            <w:vAlign w:val="center"/>
          </w:tcPr>
          <w:p w14:paraId="04093FE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highlight w:val="none"/>
                <w:u w:val="none" w:color="auto"/>
                <w:lang w:val="en-US" w:eastAsia="zh-CN"/>
              </w:rPr>
            </w:pPr>
            <w:r>
              <w:rPr>
                <w:rFonts w:hint="default" w:ascii="Times New Roman" w:hAnsi="Times New Roman" w:cs="Times New Roman"/>
                <w:sz w:val="21"/>
                <w:szCs w:val="21"/>
                <w:highlight w:val="none"/>
                <w:u w:val="none" w:color="auto"/>
                <w:lang w:val="en-US" w:eastAsia="zh-CN"/>
              </w:rPr>
              <w:t>是否属于生态敏感与脆弱区</w:t>
            </w:r>
          </w:p>
        </w:tc>
        <w:tc>
          <w:tcPr>
            <w:tcW w:w="2966" w:type="pct"/>
            <w:noWrap w:val="0"/>
            <w:vAlign w:val="center"/>
          </w:tcPr>
          <w:p w14:paraId="3FCF97B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highlight w:val="none"/>
                <w:u w:val="none" w:color="auto"/>
                <w:lang w:val="en-US" w:eastAsia="zh-CN"/>
              </w:rPr>
            </w:pPr>
            <w:r>
              <w:rPr>
                <w:rFonts w:hint="default" w:ascii="Times New Roman" w:hAnsi="Times New Roman" w:cs="Times New Roman"/>
                <w:sz w:val="21"/>
                <w:szCs w:val="21"/>
                <w:highlight w:val="none"/>
                <w:u w:val="none" w:color="auto"/>
                <w:lang w:val="en-US" w:eastAsia="zh-CN"/>
              </w:rPr>
              <w:t>否</w:t>
            </w:r>
          </w:p>
        </w:tc>
      </w:tr>
    </w:tbl>
    <w:p w14:paraId="64DF73F4">
      <w:pPr>
        <w:pStyle w:val="9"/>
        <w:numPr>
          <w:ilvl w:val="2"/>
          <w:numId w:val="1"/>
        </w:numPr>
        <w:bidi w:val="0"/>
        <w:ind w:left="709" w:leftChars="0" w:hanging="709" w:firstLineChars="0"/>
        <w:rPr>
          <w:rFonts w:hint="default"/>
          <w:highlight w:val="none"/>
          <w:lang w:val="en-US" w:eastAsia="zh-CN"/>
        </w:rPr>
      </w:pPr>
      <w:r>
        <w:rPr>
          <w:rFonts w:hint="eastAsia"/>
          <w:highlight w:val="none"/>
          <w:lang w:val="en-US" w:eastAsia="zh-CN"/>
        </w:rPr>
        <w:t>环境质量标准</w:t>
      </w:r>
    </w:p>
    <w:p w14:paraId="0BEF1539">
      <w:pPr>
        <w:numPr>
          <w:ilvl w:val="0"/>
          <w:numId w:val="0"/>
        </w:numPr>
        <w:tabs>
          <w:tab w:val="left" w:pos="420"/>
        </w:tabs>
        <w:bidi w:val="0"/>
        <w:ind w:leftChars="200"/>
        <w:rPr>
          <w:rFonts w:hint="eastAsia"/>
          <w:b/>
          <w:bCs/>
          <w:highlight w:val="none"/>
          <w:lang w:val="en-US" w:eastAsia="zh-CN"/>
        </w:rPr>
      </w:pPr>
      <w:r>
        <w:rPr>
          <w:rFonts w:hint="eastAsia"/>
          <w:b/>
          <w:bCs/>
          <w:highlight w:val="none"/>
          <w:lang w:val="en-US" w:eastAsia="zh-CN"/>
        </w:rPr>
        <w:t>（1）环境空气</w:t>
      </w:r>
    </w:p>
    <w:p w14:paraId="6506C908">
      <w:pPr>
        <w:bidi w:val="0"/>
        <w:rPr>
          <w:rFonts w:hint="eastAsia"/>
          <w:highlight w:val="none"/>
          <w:lang w:val="en-US" w:eastAsia="zh-CN"/>
        </w:rPr>
      </w:pPr>
      <w:r>
        <w:rPr>
          <w:rFonts w:hint="eastAsia"/>
          <w:highlight w:val="none"/>
          <w:lang w:val="en-US" w:eastAsia="zh-CN"/>
        </w:rPr>
        <w:t>执行《环境空气质量标准》（GB3095-2012）中二级标准。</w:t>
      </w:r>
    </w:p>
    <w:p w14:paraId="1AA0C83B">
      <w:pPr>
        <w:bidi w:val="0"/>
        <w:ind w:left="0" w:leftChars="0" w:firstLine="0" w:firstLineChars="0"/>
        <w:jc w:val="center"/>
        <w:rPr>
          <w:rFonts w:hint="eastAsia"/>
          <w:b/>
          <w:bCs/>
          <w:color w:val="auto"/>
          <w:sz w:val="21"/>
          <w:szCs w:val="21"/>
          <w:highlight w:val="none"/>
          <w:u w:val="none" w:color="auto"/>
          <w:lang w:val="en-US" w:eastAsia="zh-CN"/>
        </w:rPr>
      </w:pPr>
      <w:r>
        <w:rPr>
          <w:rFonts w:hint="eastAsia"/>
          <w:b/>
          <w:bCs/>
          <w:color w:val="auto"/>
          <w:sz w:val="21"/>
          <w:szCs w:val="21"/>
          <w:highlight w:val="none"/>
          <w:u w:val="none" w:color="auto"/>
          <w:lang w:val="en-US" w:eastAsia="zh-CN"/>
        </w:rPr>
        <w:t>表2.4-2  环境空气质量标准    单位：mg/m</w:t>
      </w:r>
      <w:r>
        <w:rPr>
          <w:rFonts w:hint="eastAsia"/>
          <w:b/>
          <w:bCs/>
          <w:color w:val="auto"/>
          <w:sz w:val="21"/>
          <w:szCs w:val="21"/>
          <w:highlight w:val="none"/>
          <w:u w:val="none" w:color="auto"/>
          <w:vertAlign w:val="superscript"/>
          <w:lang w:val="en-US" w:eastAsia="zh-CN"/>
        </w:rPr>
        <w:t>3</w:t>
      </w:r>
    </w:p>
    <w:tbl>
      <w:tblPr>
        <w:tblStyle w:val="35"/>
        <w:tblW w:w="4996"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500"/>
        <w:gridCol w:w="873"/>
        <w:gridCol w:w="886"/>
        <w:gridCol w:w="1211"/>
        <w:gridCol w:w="1227"/>
        <w:gridCol w:w="3528"/>
      </w:tblGrid>
      <w:tr w14:paraId="111F1FF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tblHeader/>
          <w:jc w:val="center"/>
        </w:trPr>
        <w:tc>
          <w:tcPr>
            <w:tcW w:w="813" w:type="pct"/>
            <w:noWrap w:val="0"/>
            <w:vAlign w:val="center"/>
          </w:tcPr>
          <w:p w14:paraId="76107D80">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b/>
                <w:bCs/>
                <w:color w:val="auto"/>
                <w:sz w:val="21"/>
                <w:szCs w:val="21"/>
                <w:highlight w:val="none"/>
                <w:u w:val="none" w:color="auto"/>
                <w:lang w:val="en-US" w:eastAsia="zh-CN"/>
              </w:rPr>
            </w:pPr>
            <w:r>
              <w:rPr>
                <w:rFonts w:hint="eastAsia"/>
                <w:b/>
                <w:bCs/>
                <w:color w:val="auto"/>
                <w:sz w:val="21"/>
                <w:szCs w:val="21"/>
                <w:highlight w:val="none"/>
                <w:u w:val="none" w:color="auto"/>
                <w:lang w:val="en-US" w:eastAsia="zh-CN"/>
              </w:rPr>
              <w:t>污染物名称</w:t>
            </w:r>
          </w:p>
        </w:tc>
        <w:tc>
          <w:tcPr>
            <w:tcW w:w="473" w:type="pct"/>
            <w:noWrap w:val="0"/>
            <w:vAlign w:val="center"/>
          </w:tcPr>
          <w:p w14:paraId="13584D9F">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b/>
                <w:bCs/>
                <w:color w:val="auto"/>
                <w:sz w:val="21"/>
                <w:szCs w:val="21"/>
                <w:highlight w:val="none"/>
                <w:u w:val="none" w:color="auto"/>
                <w:lang w:val="en-US" w:eastAsia="zh-CN"/>
              </w:rPr>
            </w:pPr>
            <w:r>
              <w:rPr>
                <w:rFonts w:hint="eastAsia"/>
                <w:b/>
                <w:bCs/>
                <w:color w:val="auto"/>
                <w:sz w:val="21"/>
                <w:szCs w:val="21"/>
                <w:highlight w:val="none"/>
                <w:u w:val="none" w:color="auto"/>
                <w:lang w:val="en-US" w:eastAsia="zh-CN"/>
              </w:rPr>
              <w:t>年平均</w:t>
            </w:r>
          </w:p>
        </w:tc>
        <w:tc>
          <w:tcPr>
            <w:tcW w:w="480" w:type="pct"/>
            <w:noWrap w:val="0"/>
            <w:vAlign w:val="center"/>
          </w:tcPr>
          <w:p w14:paraId="52142153">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b/>
                <w:bCs/>
                <w:color w:val="auto"/>
                <w:sz w:val="21"/>
                <w:szCs w:val="21"/>
                <w:highlight w:val="none"/>
                <w:u w:val="none" w:color="auto"/>
                <w:lang w:val="en-US" w:eastAsia="zh-CN"/>
              </w:rPr>
            </w:pPr>
            <w:r>
              <w:rPr>
                <w:rFonts w:hint="eastAsia"/>
                <w:b/>
                <w:bCs/>
                <w:color w:val="auto"/>
                <w:sz w:val="21"/>
                <w:szCs w:val="21"/>
                <w:highlight w:val="none"/>
                <w:u w:val="none" w:color="auto"/>
                <w:lang w:val="en-US" w:eastAsia="zh-CN"/>
              </w:rPr>
              <w:t>日平均</w:t>
            </w:r>
          </w:p>
        </w:tc>
        <w:tc>
          <w:tcPr>
            <w:tcW w:w="656" w:type="pct"/>
            <w:noWrap w:val="0"/>
            <w:vAlign w:val="center"/>
          </w:tcPr>
          <w:p w14:paraId="4538414E">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b/>
                <w:bCs/>
                <w:color w:val="auto"/>
                <w:sz w:val="21"/>
                <w:szCs w:val="21"/>
                <w:highlight w:val="none"/>
                <w:u w:val="none" w:color="auto"/>
                <w:lang w:val="en-US" w:eastAsia="zh-CN"/>
              </w:rPr>
            </w:pPr>
            <w:r>
              <w:rPr>
                <w:rFonts w:hint="eastAsia"/>
                <w:b/>
                <w:bCs/>
                <w:color w:val="auto"/>
                <w:sz w:val="21"/>
                <w:szCs w:val="21"/>
                <w:highlight w:val="none"/>
                <w:u w:val="none" w:color="auto"/>
                <w:lang w:val="en-US" w:eastAsia="zh-CN"/>
              </w:rPr>
              <w:t>8小时平均</w:t>
            </w:r>
          </w:p>
        </w:tc>
        <w:tc>
          <w:tcPr>
            <w:tcW w:w="665" w:type="pct"/>
            <w:noWrap w:val="0"/>
            <w:vAlign w:val="center"/>
          </w:tcPr>
          <w:p w14:paraId="3B54D4F0">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b/>
                <w:bCs/>
                <w:color w:val="auto"/>
                <w:sz w:val="21"/>
                <w:szCs w:val="21"/>
                <w:highlight w:val="none"/>
                <w:u w:val="none" w:color="auto"/>
                <w:lang w:val="en-US" w:eastAsia="zh-CN"/>
              </w:rPr>
            </w:pPr>
            <w:r>
              <w:rPr>
                <w:rFonts w:hint="eastAsia"/>
                <w:b/>
                <w:bCs/>
                <w:color w:val="auto"/>
                <w:sz w:val="21"/>
                <w:szCs w:val="21"/>
                <w:highlight w:val="none"/>
                <w:u w:val="none" w:color="auto"/>
                <w:lang w:val="en-US" w:eastAsia="zh-CN"/>
              </w:rPr>
              <w:t>1小时平均</w:t>
            </w:r>
          </w:p>
        </w:tc>
        <w:tc>
          <w:tcPr>
            <w:tcW w:w="1912" w:type="pct"/>
            <w:noWrap w:val="0"/>
            <w:vAlign w:val="center"/>
          </w:tcPr>
          <w:p w14:paraId="115D1AC7">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b/>
                <w:bCs/>
                <w:color w:val="auto"/>
                <w:sz w:val="21"/>
                <w:szCs w:val="21"/>
                <w:highlight w:val="none"/>
                <w:u w:val="none" w:color="auto"/>
                <w:lang w:val="en-US" w:eastAsia="zh-CN"/>
              </w:rPr>
            </w:pPr>
            <w:r>
              <w:rPr>
                <w:rFonts w:hint="eastAsia"/>
                <w:b/>
                <w:bCs/>
                <w:color w:val="auto"/>
                <w:sz w:val="21"/>
                <w:szCs w:val="21"/>
                <w:highlight w:val="none"/>
                <w:u w:val="none" w:color="auto"/>
                <w:lang w:val="en-US" w:eastAsia="zh-CN"/>
              </w:rPr>
              <w:t>备注</w:t>
            </w:r>
          </w:p>
        </w:tc>
      </w:tr>
      <w:tr w14:paraId="3438909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813" w:type="pct"/>
            <w:noWrap w:val="0"/>
            <w:vAlign w:val="center"/>
          </w:tcPr>
          <w:p w14:paraId="7B9A43A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highlight w:val="none"/>
                <w:u w:val="none" w:color="auto"/>
                <w:lang w:val="en-US" w:eastAsia="zh-CN"/>
              </w:rPr>
            </w:pPr>
            <w:r>
              <w:rPr>
                <w:rFonts w:hint="eastAsia"/>
                <w:color w:val="auto"/>
                <w:sz w:val="21"/>
                <w:szCs w:val="21"/>
                <w:highlight w:val="none"/>
                <w:u w:val="none" w:color="auto"/>
                <w:lang w:val="en-US" w:eastAsia="zh-CN"/>
              </w:rPr>
              <w:t>SO</w:t>
            </w:r>
            <w:r>
              <w:rPr>
                <w:rFonts w:hint="eastAsia"/>
                <w:color w:val="auto"/>
                <w:sz w:val="21"/>
                <w:szCs w:val="21"/>
                <w:highlight w:val="none"/>
                <w:u w:val="none" w:color="auto"/>
                <w:vertAlign w:val="subscript"/>
                <w:lang w:val="en-US" w:eastAsia="zh-CN"/>
              </w:rPr>
              <w:t>2</w:t>
            </w:r>
          </w:p>
        </w:tc>
        <w:tc>
          <w:tcPr>
            <w:tcW w:w="473" w:type="pct"/>
            <w:noWrap w:val="0"/>
            <w:vAlign w:val="center"/>
          </w:tcPr>
          <w:p w14:paraId="4DBB186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highlight w:val="none"/>
                <w:u w:val="none" w:color="auto"/>
                <w:lang w:val="en-US" w:eastAsia="zh-CN"/>
              </w:rPr>
            </w:pPr>
            <w:r>
              <w:rPr>
                <w:rFonts w:hint="eastAsia"/>
                <w:color w:val="auto"/>
                <w:sz w:val="21"/>
                <w:szCs w:val="21"/>
                <w:highlight w:val="none"/>
                <w:u w:val="none" w:color="auto"/>
                <w:lang w:val="en-US" w:eastAsia="zh-CN"/>
              </w:rPr>
              <w:t>0.06</w:t>
            </w:r>
          </w:p>
        </w:tc>
        <w:tc>
          <w:tcPr>
            <w:tcW w:w="480" w:type="pct"/>
            <w:noWrap w:val="0"/>
            <w:vAlign w:val="center"/>
          </w:tcPr>
          <w:p w14:paraId="1FB5591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highlight w:val="none"/>
                <w:u w:val="none" w:color="auto"/>
                <w:lang w:val="en-US" w:eastAsia="zh-CN"/>
              </w:rPr>
            </w:pPr>
            <w:r>
              <w:rPr>
                <w:rFonts w:hint="eastAsia"/>
                <w:color w:val="auto"/>
                <w:sz w:val="21"/>
                <w:szCs w:val="21"/>
                <w:highlight w:val="none"/>
                <w:u w:val="none" w:color="auto"/>
                <w:lang w:val="en-US" w:eastAsia="zh-CN"/>
              </w:rPr>
              <w:t>0.15</w:t>
            </w:r>
          </w:p>
        </w:tc>
        <w:tc>
          <w:tcPr>
            <w:tcW w:w="656" w:type="pct"/>
            <w:noWrap w:val="0"/>
            <w:vAlign w:val="center"/>
          </w:tcPr>
          <w:p w14:paraId="466F2F5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highlight w:val="none"/>
                <w:u w:val="none" w:color="auto"/>
                <w:lang w:val="en-US" w:eastAsia="zh-CN"/>
              </w:rPr>
            </w:pPr>
            <w:r>
              <w:rPr>
                <w:rFonts w:hint="eastAsia"/>
                <w:color w:val="auto"/>
                <w:sz w:val="21"/>
                <w:szCs w:val="21"/>
                <w:highlight w:val="none"/>
                <w:u w:val="none" w:color="auto"/>
                <w:lang w:val="en-US" w:eastAsia="zh-CN"/>
              </w:rPr>
              <w:t>/</w:t>
            </w:r>
          </w:p>
        </w:tc>
        <w:tc>
          <w:tcPr>
            <w:tcW w:w="665" w:type="pct"/>
            <w:noWrap w:val="0"/>
            <w:vAlign w:val="center"/>
          </w:tcPr>
          <w:p w14:paraId="04D6BE7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highlight w:val="none"/>
                <w:u w:val="none" w:color="auto"/>
                <w:lang w:val="en-US" w:eastAsia="zh-CN"/>
              </w:rPr>
            </w:pPr>
            <w:r>
              <w:rPr>
                <w:rFonts w:hint="eastAsia"/>
                <w:color w:val="auto"/>
                <w:sz w:val="21"/>
                <w:szCs w:val="21"/>
                <w:highlight w:val="none"/>
                <w:u w:val="none" w:color="auto"/>
                <w:lang w:val="en-US" w:eastAsia="zh-CN"/>
              </w:rPr>
              <w:t>0.50</w:t>
            </w:r>
          </w:p>
        </w:tc>
        <w:tc>
          <w:tcPr>
            <w:tcW w:w="1912" w:type="pct"/>
            <w:vMerge w:val="restart"/>
            <w:noWrap w:val="0"/>
            <w:vAlign w:val="center"/>
          </w:tcPr>
          <w:p w14:paraId="0ADFBB6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highlight w:val="none"/>
                <w:u w:val="none" w:color="auto"/>
                <w:lang w:val="en-US" w:eastAsia="zh-CN"/>
              </w:rPr>
            </w:pPr>
            <w:r>
              <w:rPr>
                <w:rFonts w:hint="eastAsia"/>
                <w:color w:val="auto"/>
                <w:sz w:val="21"/>
                <w:szCs w:val="21"/>
                <w:highlight w:val="none"/>
                <w:u w:val="none" w:color="auto"/>
                <w:lang w:val="en-US" w:eastAsia="zh-CN"/>
              </w:rPr>
              <w:t>《环境空气质量标准》（GB3095-2012）</w:t>
            </w:r>
          </w:p>
        </w:tc>
      </w:tr>
      <w:tr w14:paraId="1F144E1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813" w:type="pct"/>
            <w:noWrap w:val="0"/>
            <w:vAlign w:val="center"/>
          </w:tcPr>
          <w:p w14:paraId="14867CE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highlight w:val="none"/>
                <w:u w:val="none" w:color="auto"/>
                <w:lang w:val="en-US" w:eastAsia="zh-CN"/>
              </w:rPr>
            </w:pPr>
            <w:r>
              <w:rPr>
                <w:rFonts w:hint="eastAsia"/>
                <w:color w:val="auto"/>
                <w:sz w:val="21"/>
                <w:szCs w:val="21"/>
                <w:highlight w:val="none"/>
                <w:u w:val="none" w:color="auto"/>
                <w:lang w:val="en-US" w:eastAsia="zh-CN"/>
              </w:rPr>
              <w:t>NO</w:t>
            </w:r>
            <w:r>
              <w:rPr>
                <w:rFonts w:hint="eastAsia"/>
                <w:color w:val="auto"/>
                <w:sz w:val="21"/>
                <w:szCs w:val="21"/>
                <w:highlight w:val="none"/>
                <w:u w:val="none" w:color="auto"/>
                <w:vertAlign w:val="subscript"/>
                <w:lang w:val="en-US" w:eastAsia="zh-CN"/>
              </w:rPr>
              <w:t>2</w:t>
            </w:r>
          </w:p>
        </w:tc>
        <w:tc>
          <w:tcPr>
            <w:tcW w:w="473" w:type="pct"/>
            <w:noWrap w:val="0"/>
            <w:vAlign w:val="center"/>
          </w:tcPr>
          <w:p w14:paraId="6527F2F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highlight w:val="none"/>
                <w:u w:val="none" w:color="auto"/>
                <w:lang w:val="en-US" w:eastAsia="zh-CN"/>
              </w:rPr>
            </w:pPr>
            <w:r>
              <w:rPr>
                <w:rFonts w:hint="eastAsia"/>
                <w:color w:val="auto"/>
                <w:sz w:val="21"/>
                <w:szCs w:val="21"/>
                <w:highlight w:val="none"/>
                <w:u w:val="none" w:color="auto"/>
                <w:lang w:val="en-US" w:eastAsia="zh-CN"/>
              </w:rPr>
              <w:t>0.04</w:t>
            </w:r>
          </w:p>
        </w:tc>
        <w:tc>
          <w:tcPr>
            <w:tcW w:w="480" w:type="pct"/>
            <w:noWrap w:val="0"/>
            <w:vAlign w:val="center"/>
          </w:tcPr>
          <w:p w14:paraId="5A341C5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highlight w:val="none"/>
                <w:u w:val="none" w:color="auto"/>
                <w:lang w:val="en-US" w:eastAsia="zh-CN"/>
              </w:rPr>
            </w:pPr>
            <w:r>
              <w:rPr>
                <w:rFonts w:hint="eastAsia"/>
                <w:color w:val="auto"/>
                <w:sz w:val="21"/>
                <w:szCs w:val="21"/>
                <w:highlight w:val="none"/>
                <w:u w:val="none" w:color="auto"/>
                <w:lang w:val="en-US" w:eastAsia="zh-CN"/>
              </w:rPr>
              <w:t>0.08</w:t>
            </w:r>
          </w:p>
        </w:tc>
        <w:tc>
          <w:tcPr>
            <w:tcW w:w="656" w:type="pct"/>
            <w:noWrap w:val="0"/>
            <w:vAlign w:val="center"/>
          </w:tcPr>
          <w:p w14:paraId="0083C98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highlight w:val="none"/>
                <w:u w:val="none" w:color="auto"/>
                <w:lang w:val="en-US" w:eastAsia="zh-CN"/>
              </w:rPr>
            </w:pPr>
            <w:r>
              <w:rPr>
                <w:rFonts w:hint="eastAsia"/>
                <w:color w:val="auto"/>
                <w:sz w:val="21"/>
                <w:szCs w:val="21"/>
                <w:highlight w:val="none"/>
                <w:u w:val="none" w:color="auto"/>
                <w:lang w:val="en-US" w:eastAsia="zh-CN"/>
              </w:rPr>
              <w:t>/</w:t>
            </w:r>
          </w:p>
        </w:tc>
        <w:tc>
          <w:tcPr>
            <w:tcW w:w="665" w:type="pct"/>
            <w:noWrap w:val="0"/>
            <w:vAlign w:val="center"/>
          </w:tcPr>
          <w:p w14:paraId="23739C1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highlight w:val="none"/>
                <w:u w:val="none" w:color="auto"/>
                <w:lang w:val="en-US" w:eastAsia="zh-CN"/>
              </w:rPr>
            </w:pPr>
            <w:r>
              <w:rPr>
                <w:rFonts w:hint="eastAsia"/>
                <w:color w:val="auto"/>
                <w:sz w:val="21"/>
                <w:szCs w:val="21"/>
                <w:highlight w:val="none"/>
                <w:u w:val="none" w:color="auto"/>
                <w:lang w:val="en-US" w:eastAsia="zh-CN"/>
              </w:rPr>
              <w:t>0.2</w:t>
            </w:r>
          </w:p>
        </w:tc>
        <w:tc>
          <w:tcPr>
            <w:tcW w:w="1912" w:type="pct"/>
            <w:vMerge w:val="continue"/>
            <w:noWrap w:val="0"/>
            <w:vAlign w:val="center"/>
          </w:tcPr>
          <w:p w14:paraId="3A72F4A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highlight w:val="none"/>
                <w:u w:val="none" w:color="auto"/>
                <w:lang w:val="en-US" w:eastAsia="zh-CN"/>
              </w:rPr>
            </w:pPr>
          </w:p>
        </w:tc>
      </w:tr>
      <w:tr w14:paraId="5B31A74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813" w:type="pct"/>
            <w:noWrap w:val="0"/>
            <w:vAlign w:val="center"/>
          </w:tcPr>
          <w:p w14:paraId="7587CB8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highlight w:val="none"/>
                <w:u w:val="none" w:color="auto"/>
                <w:lang w:val="en-US" w:eastAsia="zh-CN"/>
              </w:rPr>
            </w:pPr>
            <w:r>
              <w:rPr>
                <w:rFonts w:hint="eastAsia"/>
                <w:color w:val="auto"/>
                <w:sz w:val="21"/>
                <w:szCs w:val="21"/>
                <w:highlight w:val="none"/>
                <w:u w:val="none" w:color="auto"/>
                <w:lang w:val="en-US" w:eastAsia="zh-CN"/>
              </w:rPr>
              <w:t>CO</w:t>
            </w:r>
          </w:p>
        </w:tc>
        <w:tc>
          <w:tcPr>
            <w:tcW w:w="473" w:type="pct"/>
            <w:noWrap w:val="0"/>
            <w:vAlign w:val="center"/>
          </w:tcPr>
          <w:p w14:paraId="4610762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highlight w:val="none"/>
                <w:u w:val="none" w:color="auto"/>
                <w:lang w:val="en-US" w:eastAsia="zh-CN"/>
              </w:rPr>
            </w:pPr>
            <w:r>
              <w:rPr>
                <w:rFonts w:hint="eastAsia"/>
                <w:color w:val="auto"/>
                <w:sz w:val="21"/>
                <w:szCs w:val="21"/>
                <w:highlight w:val="none"/>
                <w:u w:val="none" w:color="auto"/>
                <w:lang w:val="en-US" w:eastAsia="zh-CN"/>
              </w:rPr>
              <w:t>/</w:t>
            </w:r>
          </w:p>
        </w:tc>
        <w:tc>
          <w:tcPr>
            <w:tcW w:w="480" w:type="pct"/>
            <w:noWrap w:val="0"/>
            <w:vAlign w:val="center"/>
          </w:tcPr>
          <w:p w14:paraId="1093623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highlight w:val="none"/>
                <w:u w:val="none" w:color="auto"/>
                <w:lang w:val="en-US" w:eastAsia="zh-CN"/>
              </w:rPr>
            </w:pPr>
            <w:r>
              <w:rPr>
                <w:rFonts w:hint="eastAsia"/>
                <w:color w:val="auto"/>
                <w:sz w:val="21"/>
                <w:szCs w:val="21"/>
                <w:highlight w:val="none"/>
                <w:u w:val="none" w:color="auto"/>
                <w:lang w:val="en-US" w:eastAsia="zh-CN"/>
              </w:rPr>
              <w:t>4</w:t>
            </w:r>
          </w:p>
        </w:tc>
        <w:tc>
          <w:tcPr>
            <w:tcW w:w="656" w:type="pct"/>
            <w:noWrap w:val="0"/>
            <w:vAlign w:val="center"/>
          </w:tcPr>
          <w:p w14:paraId="59CD46D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highlight w:val="none"/>
                <w:u w:val="none" w:color="auto"/>
                <w:lang w:val="en-US" w:eastAsia="zh-CN"/>
              </w:rPr>
            </w:pPr>
            <w:r>
              <w:rPr>
                <w:rFonts w:hint="eastAsia"/>
                <w:color w:val="auto"/>
                <w:sz w:val="21"/>
                <w:szCs w:val="21"/>
                <w:highlight w:val="none"/>
                <w:u w:val="none" w:color="auto"/>
                <w:lang w:val="en-US" w:eastAsia="zh-CN"/>
              </w:rPr>
              <w:t>/</w:t>
            </w:r>
          </w:p>
        </w:tc>
        <w:tc>
          <w:tcPr>
            <w:tcW w:w="665" w:type="pct"/>
            <w:noWrap w:val="0"/>
            <w:vAlign w:val="center"/>
          </w:tcPr>
          <w:p w14:paraId="1BFEBA7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highlight w:val="none"/>
                <w:u w:val="none" w:color="auto"/>
                <w:lang w:val="en-US" w:eastAsia="zh-CN"/>
              </w:rPr>
            </w:pPr>
            <w:r>
              <w:rPr>
                <w:rFonts w:hint="eastAsia"/>
                <w:color w:val="auto"/>
                <w:sz w:val="21"/>
                <w:szCs w:val="21"/>
                <w:highlight w:val="none"/>
                <w:u w:val="none" w:color="auto"/>
                <w:lang w:val="en-US" w:eastAsia="zh-CN"/>
              </w:rPr>
              <w:t>10</w:t>
            </w:r>
          </w:p>
        </w:tc>
        <w:tc>
          <w:tcPr>
            <w:tcW w:w="1912" w:type="pct"/>
            <w:vMerge w:val="continue"/>
            <w:noWrap w:val="0"/>
            <w:vAlign w:val="center"/>
          </w:tcPr>
          <w:p w14:paraId="6BC8D74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highlight w:val="none"/>
                <w:u w:val="none" w:color="auto"/>
                <w:lang w:val="en-US" w:eastAsia="zh-CN"/>
              </w:rPr>
            </w:pPr>
          </w:p>
        </w:tc>
      </w:tr>
      <w:tr w14:paraId="4FB28F0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813" w:type="pct"/>
            <w:noWrap w:val="0"/>
            <w:vAlign w:val="center"/>
          </w:tcPr>
          <w:p w14:paraId="6EE0B8D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highlight w:val="none"/>
                <w:u w:val="none" w:color="auto"/>
                <w:lang w:val="en-US" w:eastAsia="zh-CN"/>
              </w:rPr>
            </w:pPr>
            <w:r>
              <w:rPr>
                <w:rFonts w:hint="eastAsia"/>
                <w:color w:val="auto"/>
                <w:sz w:val="21"/>
                <w:szCs w:val="21"/>
                <w:highlight w:val="none"/>
                <w:u w:val="none" w:color="auto"/>
                <w:lang w:val="en-US" w:eastAsia="zh-CN"/>
              </w:rPr>
              <w:t>O</w:t>
            </w:r>
            <w:r>
              <w:rPr>
                <w:rFonts w:hint="eastAsia"/>
                <w:color w:val="auto"/>
                <w:sz w:val="21"/>
                <w:szCs w:val="21"/>
                <w:highlight w:val="none"/>
                <w:u w:val="none" w:color="auto"/>
                <w:vertAlign w:val="subscript"/>
                <w:lang w:val="en-US" w:eastAsia="zh-CN"/>
              </w:rPr>
              <w:t>3</w:t>
            </w:r>
          </w:p>
        </w:tc>
        <w:tc>
          <w:tcPr>
            <w:tcW w:w="473" w:type="pct"/>
            <w:noWrap w:val="0"/>
            <w:vAlign w:val="center"/>
          </w:tcPr>
          <w:p w14:paraId="2F85835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highlight w:val="none"/>
                <w:u w:val="none" w:color="auto"/>
                <w:lang w:val="en-US" w:eastAsia="zh-CN"/>
              </w:rPr>
            </w:pPr>
            <w:r>
              <w:rPr>
                <w:rFonts w:hint="eastAsia"/>
                <w:color w:val="auto"/>
                <w:sz w:val="21"/>
                <w:szCs w:val="21"/>
                <w:highlight w:val="none"/>
                <w:u w:val="none" w:color="auto"/>
                <w:lang w:val="en-US" w:eastAsia="zh-CN"/>
              </w:rPr>
              <w:t>/</w:t>
            </w:r>
          </w:p>
        </w:tc>
        <w:tc>
          <w:tcPr>
            <w:tcW w:w="480" w:type="pct"/>
            <w:noWrap w:val="0"/>
            <w:vAlign w:val="center"/>
          </w:tcPr>
          <w:p w14:paraId="781EE29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highlight w:val="none"/>
                <w:u w:val="none" w:color="auto"/>
                <w:lang w:val="en-US" w:eastAsia="zh-CN"/>
              </w:rPr>
            </w:pPr>
            <w:r>
              <w:rPr>
                <w:rFonts w:hint="eastAsia"/>
                <w:color w:val="auto"/>
                <w:sz w:val="21"/>
                <w:szCs w:val="21"/>
                <w:highlight w:val="none"/>
                <w:u w:val="none" w:color="auto"/>
                <w:lang w:val="en-US" w:eastAsia="zh-CN"/>
              </w:rPr>
              <w:t>/</w:t>
            </w:r>
          </w:p>
        </w:tc>
        <w:tc>
          <w:tcPr>
            <w:tcW w:w="656" w:type="pct"/>
            <w:noWrap w:val="0"/>
            <w:vAlign w:val="center"/>
          </w:tcPr>
          <w:p w14:paraId="36BBCE8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highlight w:val="none"/>
                <w:u w:val="none" w:color="auto"/>
                <w:lang w:val="en-US" w:eastAsia="zh-CN"/>
              </w:rPr>
            </w:pPr>
            <w:r>
              <w:rPr>
                <w:rFonts w:hint="eastAsia"/>
                <w:color w:val="auto"/>
                <w:sz w:val="21"/>
                <w:szCs w:val="21"/>
                <w:highlight w:val="none"/>
                <w:u w:val="none" w:color="auto"/>
                <w:lang w:val="en-US" w:eastAsia="zh-CN"/>
              </w:rPr>
              <w:t>0.16</w:t>
            </w:r>
          </w:p>
        </w:tc>
        <w:tc>
          <w:tcPr>
            <w:tcW w:w="665" w:type="pct"/>
            <w:noWrap w:val="0"/>
            <w:vAlign w:val="center"/>
          </w:tcPr>
          <w:p w14:paraId="64C2040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highlight w:val="none"/>
                <w:u w:val="none" w:color="auto"/>
                <w:lang w:val="en-US" w:eastAsia="zh-CN"/>
              </w:rPr>
            </w:pPr>
            <w:r>
              <w:rPr>
                <w:rFonts w:hint="eastAsia"/>
                <w:color w:val="auto"/>
                <w:sz w:val="21"/>
                <w:szCs w:val="21"/>
                <w:highlight w:val="none"/>
                <w:u w:val="none" w:color="auto"/>
                <w:lang w:val="en-US" w:eastAsia="zh-CN"/>
              </w:rPr>
              <w:t>0.2</w:t>
            </w:r>
          </w:p>
        </w:tc>
        <w:tc>
          <w:tcPr>
            <w:tcW w:w="1912" w:type="pct"/>
            <w:vMerge w:val="continue"/>
            <w:noWrap w:val="0"/>
            <w:vAlign w:val="center"/>
          </w:tcPr>
          <w:p w14:paraId="6479BF1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highlight w:val="none"/>
                <w:u w:val="none" w:color="auto"/>
                <w:lang w:val="en-US" w:eastAsia="zh-CN"/>
              </w:rPr>
            </w:pPr>
          </w:p>
        </w:tc>
      </w:tr>
      <w:tr w14:paraId="1B3C6BD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813" w:type="pct"/>
            <w:noWrap w:val="0"/>
            <w:vAlign w:val="center"/>
          </w:tcPr>
          <w:p w14:paraId="07CD9F2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highlight w:val="none"/>
                <w:u w:val="none" w:color="auto"/>
                <w:lang w:val="en-US" w:eastAsia="zh-CN"/>
              </w:rPr>
            </w:pPr>
            <w:r>
              <w:rPr>
                <w:rFonts w:hint="eastAsia"/>
                <w:color w:val="auto"/>
                <w:sz w:val="21"/>
                <w:szCs w:val="21"/>
                <w:highlight w:val="none"/>
                <w:u w:val="none" w:color="auto"/>
                <w:lang w:val="en-US" w:eastAsia="zh-CN"/>
              </w:rPr>
              <w:t>PM</w:t>
            </w:r>
            <w:r>
              <w:rPr>
                <w:rFonts w:hint="eastAsia"/>
                <w:color w:val="auto"/>
                <w:sz w:val="21"/>
                <w:szCs w:val="21"/>
                <w:highlight w:val="none"/>
                <w:u w:val="none" w:color="auto"/>
                <w:vertAlign w:val="subscript"/>
                <w:lang w:val="en-US" w:eastAsia="zh-CN"/>
              </w:rPr>
              <w:t>10</w:t>
            </w:r>
          </w:p>
        </w:tc>
        <w:tc>
          <w:tcPr>
            <w:tcW w:w="473" w:type="pct"/>
            <w:noWrap w:val="0"/>
            <w:vAlign w:val="center"/>
          </w:tcPr>
          <w:p w14:paraId="622E989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highlight w:val="none"/>
                <w:u w:val="none" w:color="auto"/>
                <w:lang w:val="en-US" w:eastAsia="zh-CN"/>
              </w:rPr>
            </w:pPr>
            <w:r>
              <w:rPr>
                <w:rFonts w:hint="eastAsia"/>
                <w:color w:val="auto"/>
                <w:sz w:val="21"/>
                <w:szCs w:val="21"/>
                <w:highlight w:val="none"/>
                <w:u w:val="none" w:color="auto"/>
                <w:lang w:val="en-US" w:eastAsia="zh-CN"/>
              </w:rPr>
              <w:t>0.07</w:t>
            </w:r>
          </w:p>
        </w:tc>
        <w:tc>
          <w:tcPr>
            <w:tcW w:w="480" w:type="pct"/>
            <w:noWrap w:val="0"/>
            <w:vAlign w:val="center"/>
          </w:tcPr>
          <w:p w14:paraId="7E71F0E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highlight w:val="none"/>
                <w:u w:val="none" w:color="auto"/>
                <w:lang w:val="en-US" w:eastAsia="zh-CN"/>
              </w:rPr>
            </w:pPr>
            <w:r>
              <w:rPr>
                <w:rFonts w:hint="eastAsia"/>
                <w:color w:val="auto"/>
                <w:sz w:val="21"/>
                <w:szCs w:val="21"/>
                <w:highlight w:val="none"/>
                <w:u w:val="none" w:color="auto"/>
                <w:lang w:val="en-US" w:eastAsia="zh-CN"/>
              </w:rPr>
              <w:t>0.15</w:t>
            </w:r>
          </w:p>
        </w:tc>
        <w:tc>
          <w:tcPr>
            <w:tcW w:w="656" w:type="pct"/>
            <w:noWrap w:val="0"/>
            <w:vAlign w:val="center"/>
          </w:tcPr>
          <w:p w14:paraId="6F89481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highlight w:val="none"/>
                <w:u w:val="none" w:color="auto"/>
                <w:lang w:val="en-US" w:eastAsia="zh-CN"/>
              </w:rPr>
            </w:pPr>
            <w:r>
              <w:rPr>
                <w:rFonts w:hint="eastAsia"/>
                <w:color w:val="auto"/>
                <w:sz w:val="21"/>
                <w:szCs w:val="21"/>
                <w:highlight w:val="none"/>
                <w:u w:val="none" w:color="auto"/>
                <w:lang w:val="en-US" w:eastAsia="zh-CN"/>
              </w:rPr>
              <w:t>/</w:t>
            </w:r>
          </w:p>
        </w:tc>
        <w:tc>
          <w:tcPr>
            <w:tcW w:w="665" w:type="pct"/>
            <w:noWrap w:val="0"/>
            <w:vAlign w:val="center"/>
          </w:tcPr>
          <w:p w14:paraId="500C48D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highlight w:val="none"/>
                <w:u w:val="none" w:color="auto"/>
                <w:lang w:val="en-US" w:eastAsia="zh-CN"/>
              </w:rPr>
            </w:pPr>
            <w:r>
              <w:rPr>
                <w:rFonts w:hint="eastAsia"/>
                <w:color w:val="auto"/>
                <w:sz w:val="21"/>
                <w:szCs w:val="21"/>
                <w:highlight w:val="none"/>
                <w:u w:val="none" w:color="auto"/>
                <w:lang w:val="en-US" w:eastAsia="zh-CN"/>
              </w:rPr>
              <w:t>/</w:t>
            </w:r>
          </w:p>
        </w:tc>
        <w:tc>
          <w:tcPr>
            <w:tcW w:w="1912" w:type="pct"/>
            <w:vMerge w:val="continue"/>
            <w:noWrap w:val="0"/>
            <w:vAlign w:val="center"/>
          </w:tcPr>
          <w:p w14:paraId="566A2BE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highlight w:val="none"/>
                <w:u w:val="none" w:color="auto"/>
                <w:lang w:val="en-US" w:eastAsia="zh-CN"/>
              </w:rPr>
            </w:pPr>
          </w:p>
        </w:tc>
      </w:tr>
      <w:tr w14:paraId="36C9A10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813" w:type="pct"/>
            <w:noWrap w:val="0"/>
            <w:vAlign w:val="center"/>
          </w:tcPr>
          <w:p w14:paraId="46EFC50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highlight w:val="none"/>
                <w:u w:val="none" w:color="auto"/>
                <w:lang w:val="en-US" w:eastAsia="zh-CN"/>
              </w:rPr>
            </w:pPr>
            <w:r>
              <w:rPr>
                <w:rFonts w:hint="eastAsia"/>
                <w:color w:val="auto"/>
                <w:sz w:val="21"/>
                <w:szCs w:val="21"/>
                <w:highlight w:val="none"/>
                <w:u w:val="none" w:color="auto"/>
                <w:lang w:val="en-US" w:eastAsia="zh-CN"/>
              </w:rPr>
              <w:t>PM</w:t>
            </w:r>
            <w:r>
              <w:rPr>
                <w:rFonts w:hint="eastAsia"/>
                <w:color w:val="auto"/>
                <w:sz w:val="21"/>
                <w:szCs w:val="21"/>
                <w:highlight w:val="none"/>
                <w:u w:val="none" w:color="auto"/>
                <w:vertAlign w:val="subscript"/>
                <w:lang w:val="en-US" w:eastAsia="zh-CN"/>
              </w:rPr>
              <w:t>2.5</w:t>
            </w:r>
          </w:p>
        </w:tc>
        <w:tc>
          <w:tcPr>
            <w:tcW w:w="473" w:type="pct"/>
            <w:noWrap w:val="0"/>
            <w:vAlign w:val="center"/>
          </w:tcPr>
          <w:p w14:paraId="6298619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highlight w:val="none"/>
                <w:u w:val="none" w:color="auto"/>
                <w:lang w:val="en-US" w:eastAsia="zh-CN"/>
              </w:rPr>
            </w:pPr>
            <w:r>
              <w:rPr>
                <w:rFonts w:hint="eastAsia"/>
                <w:color w:val="auto"/>
                <w:sz w:val="21"/>
                <w:szCs w:val="21"/>
                <w:highlight w:val="none"/>
                <w:u w:val="none" w:color="auto"/>
                <w:lang w:val="en-US" w:eastAsia="zh-CN"/>
              </w:rPr>
              <w:t>0.35</w:t>
            </w:r>
          </w:p>
        </w:tc>
        <w:tc>
          <w:tcPr>
            <w:tcW w:w="480" w:type="pct"/>
            <w:noWrap w:val="0"/>
            <w:vAlign w:val="center"/>
          </w:tcPr>
          <w:p w14:paraId="11F1928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highlight w:val="none"/>
                <w:u w:val="none" w:color="auto"/>
                <w:lang w:val="en-US" w:eastAsia="zh-CN"/>
              </w:rPr>
            </w:pPr>
            <w:r>
              <w:rPr>
                <w:rFonts w:hint="eastAsia"/>
                <w:color w:val="auto"/>
                <w:sz w:val="21"/>
                <w:szCs w:val="21"/>
                <w:highlight w:val="none"/>
                <w:u w:val="none" w:color="auto"/>
                <w:lang w:val="en-US" w:eastAsia="zh-CN"/>
              </w:rPr>
              <w:t>0.75</w:t>
            </w:r>
          </w:p>
        </w:tc>
        <w:tc>
          <w:tcPr>
            <w:tcW w:w="656" w:type="pct"/>
            <w:noWrap w:val="0"/>
            <w:vAlign w:val="center"/>
          </w:tcPr>
          <w:p w14:paraId="31292CB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highlight w:val="none"/>
                <w:u w:val="none" w:color="auto"/>
                <w:lang w:val="en-US" w:eastAsia="zh-CN"/>
              </w:rPr>
            </w:pPr>
            <w:r>
              <w:rPr>
                <w:rFonts w:hint="eastAsia"/>
                <w:color w:val="auto"/>
                <w:sz w:val="21"/>
                <w:szCs w:val="21"/>
                <w:highlight w:val="none"/>
                <w:u w:val="none" w:color="auto"/>
                <w:lang w:val="en-US" w:eastAsia="zh-CN"/>
              </w:rPr>
              <w:t>/</w:t>
            </w:r>
          </w:p>
        </w:tc>
        <w:tc>
          <w:tcPr>
            <w:tcW w:w="665" w:type="pct"/>
            <w:noWrap w:val="0"/>
            <w:vAlign w:val="center"/>
          </w:tcPr>
          <w:p w14:paraId="2F63144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highlight w:val="none"/>
                <w:u w:val="none" w:color="auto"/>
                <w:lang w:val="en-US" w:eastAsia="zh-CN"/>
              </w:rPr>
            </w:pPr>
            <w:r>
              <w:rPr>
                <w:rFonts w:hint="eastAsia"/>
                <w:color w:val="auto"/>
                <w:sz w:val="21"/>
                <w:szCs w:val="21"/>
                <w:highlight w:val="none"/>
                <w:u w:val="none" w:color="auto"/>
                <w:lang w:val="en-US" w:eastAsia="zh-CN"/>
              </w:rPr>
              <w:t>/</w:t>
            </w:r>
          </w:p>
        </w:tc>
        <w:tc>
          <w:tcPr>
            <w:tcW w:w="1912" w:type="pct"/>
            <w:vMerge w:val="continue"/>
            <w:noWrap w:val="0"/>
            <w:vAlign w:val="center"/>
          </w:tcPr>
          <w:p w14:paraId="6B0D202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highlight w:val="none"/>
                <w:u w:val="none" w:color="auto"/>
                <w:lang w:val="en-US" w:eastAsia="zh-CN"/>
              </w:rPr>
            </w:pPr>
          </w:p>
        </w:tc>
      </w:tr>
      <w:tr w14:paraId="3CAE0C8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813" w:type="pct"/>
            <w:noWrap w:val="0"/>
            <w:vAlign w:val="center"/>
          </w:tcPr>
          <w:p w14:paraId="3167B1A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sz w:val="21"/>
                <w:szCs w:val="21"/>
                <w:highlight w:val="none"/>
                <w:u w:val="none" w:color="auto"/>
                <w:lang w:val="en-US" w:eastAsia="zh-CN"/>
              </w:rPr>
            </w:pPr>
            <w:r>
              <w:rPr>
                <w:rFonts w:hint="eastAsia"/>
                <w:color w:val="auto"/>
                <w:sz w:val="21"/>
                <w:szCs w:val="21"/>
                <w:highlight w:val="none"/>
                <w:u w:val="none" w:color="auto"/>
                <w:lang w:val="en-US" w:eastAsia="zh-CN"/>
              </w:rPr>
              <w:t>TSP</w:t>
            </w:r>
          </w:p>
        </w:tc>
        <w:tc>
          <w:tcPr>
            <w:tcW w:w="473" w:type="pct"/>
            <w:noWrap w:val="0"/>
            <w:vAlign w:val="center"/>
          </w:tcPr>
          <w:p w14:paraId="64C75D8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sz w:val="21"/>
                <w:szCs w:val="21"/>
                <w:highlight w:val="none"/>
                <w:u w:val="none" w:color="auto"/>
                <w:lang w:val="en-US" w:eastAsia="zh-CN"/>
              </w:rPr>
            </w:pPr>
            <w:r>
              <w:rPr>
                <w:rFonts w:hint="eastAsia"/>
                <w:color w:val="auto"/>
                <w:sz w:val="21"/>
                <w:szCs w:val="21"/>
                <w:highlight w:val="none"/>
                <w:u w:val="none" w:color="auto"/>
                <w:lang w:val="en-US" w:eastAsia="zh-CN"/>
              </w:rPr>
              <w:t>0.2</w:t>
            </w:r>
          </w:p>
        </w:tc>
        <w:tc>
          <w:tcPr>
            <w:tcW w:w="480" w:type="pct"/>
            <w:noWrap w:val="0"/>
            <w:vAlign w:val="center"/>
          </w:tcPr>
          <w:p w14:paraId="5DF500C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sz w:val="21"/>
                <w:szCs w:val="21"/>
                <w:highlight w:val="none"/>
                <w:u w:val="none" w:color="auto"/>
                <w:lang w:val="en-US" w:eastAsia="zh-CN"/>
              </w:rPr>
            </w:pPr>
            <w:r>
              <w:rPr>
                <w:rFonts w:hint="eastAsia"/>
                <w:color w:val="auto"/>
                <w:sz w:val="21"/>
                <w:szCs w:val="21"/>
                <w:highlight w:val="none"/>
                <w:u w:val="none" w:color="auto"/>
                <w:lang w:val="en-US" w:eastAsia="zh-CN"/>
              </w:rPr>
              <w:t>0.3</w:t>
            </w:r>
          </w:p>
        </w:tc>
        <w:tc>
          <w:tcPr>
            <w:tcW w:w="656" w:type="pct"/>
            <w:noWrap w:val="0"/>
            <w:vAlign w:val="center"/>
          </w:tcPr>
          <w:p w14:paraId="517FD17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sz w:val="21"/>
                <w:szCs w:val="21"/>
                <w:highlight w:val="none"/>
                <w:u w:val="none" w:color="auto"/>
                <w:lang w:val="en-US" w:eastAsia="zh-CN"/>
              </w:rPr>
            </w:pPr>
            <w:r>
              <w:rPr>
                <w:rFonts w:hint="eastAsia"/>
                <w:color w:val="auto"/>
                <w:sz w:val="21"/>
                <w:szCs w:val="21"/>
                <w:highlight w:val="none"/>
                <w:u w:val="none" w:color="auto"/>
                <w:lang w:val="en-US" w:eastAsia="zh-CN"/>
              </w:rPr>
              <w:t>/</w:t>
            </w:r>
          </w:p>
        </w:tc>
        <w:tc>
          <w:tcPr>
            <w:tcW w:w="665" w:type="pct"/>
            <w:noWrap w:val="0"/>
            <w:vAlign w:val="center"/>
          </w:tcPr>
          <w:p w14:paraId="5A95478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sz w:val="21"/>
                <w:szCs w:val="21"/>
                <w:highlight w:val="none"/>
                <w:u w:val="none" w:color="auto"/>
                <w:lang w:val="en-US" w:eastAsia="zh-CN"/>
              </w:rPr>
            </w:pPr>
            <w:r>
              <w:rPr>
                <w:rFonts w:hint="eastAsia"/>
                <w:color w:val="auto"/>
                <w:sz w:val="21"/>
                <w:szCs w:val="21"/>
                <w:highlight w:val="none"/>
                <w:u w:val="none" w:color="auto"/>
                <w:lang w:val="en-US" w:eastAsia="zh-CN"/>
              </w:rPr>
              <w:t>/</w:t>
            </w:r>
          </w:p>
        </w:tc>
        <w:tc>
          <w:tcPr>
            <w:tcW w:w="1912" w:type="pct"/>
            <w:vMerge w:val="continue"/>
            <w:noWrap w:val="0"/>
            <w:vAlign w:val="center"/>
          </w:tcPr>
          <w:p w14:paraId="1A6B5AA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highlight w:val="none"/>
                <w:u w:val="none" w:color="auto"/>
                <w:lang w:val="en-US" w:eastAsia="zh-CN"/>
              </w:rPr>
            </w:pPr>
          </w:p>
        </w:tc>
      </w:tr>
    </w:tbl>
    <w:p w14:paraId="73FF0486">
      <w:pPr>
        <w:bidi w:val="0"/>
        <w:rPr>
          <w:rFonts w:hint="eastAsia"/>
          <w:b/>
          <w:bCs/>
          <w:color w:val="auto"/>
          <w:highlight w:val="none"/>
          <w:u w:val="none" w:color="auto"/>
          <w:lang w:val="en-US" w:eastAsia="zh-CN"/>
        </w:rPr>
      </w:pPr>
      <w:r>
        <w:rPr>
          <w:rFonts w:hint="eastAsia"/>
          <w:b/>
          <w:bCs/>
          <w:color w:val="auto"/>
          <w:highlight w:val="none"/>
          <w:u w:val="none" w:color="auto"/>
          <w:lang w:val="en-US" w:eastAsia="zh-CN"/>
        </w:rPr>
        <w:t>（2）地表水环境</w:t>
      </w:r>
    </w:p>
    <w:p w14:paraId="6ABE1823">
      <w:pPr>
        <w:bidi w:val="0"/>
        <w:rPr>
          <w:rFonts w:hint="default" w:ascii="Times New Roman" w:hAnsi="Times New Roman" w:cs="Times New Roman"/>
          <w:color w:val="auto"/>
          <w:highlight w:val="yellow"/>
          <w:u w:val="none" w:color="auto"/>
          <w:lang w:val="en-US" w:eastAsia="zh-CN"/>
        </w:rPr>
      </w:pPr>
      <w:r>
        <w:rPr>
          <w:rFonts w:hint="eastAsia" w:cs="Times New Roman"/>
          <w:highlight w:val="none"/>
          <w:u w:val="none" w:color="auto"/>
          <w:lang w:val="en-US" w:eastAsia="zh-CN"/>
        </w:rPr>
        <w:t>评价区域执行《地表水环境质量标准》（GB3838-2002）中</w:t>
      </w:r>
      <w:r>
        <w:rPr>
          <w:rFonts w:hint="default" w:ascii="Times New Roman" w:hAnsi="Times New Roman" w:eastAsia="宋体" w:cs="Times New Roman"/>
          <w:highlight w:val="none"/>
          <w:u w:val="none" w:color="auto"/>
          <w:lang w:val="en-US" w:eastAsia="zh-CN"/>
        </w:rPr>
        <w:t>Ⅲ</w:t>
      </w:r>
      <w:r>
        <w:rPr>
          <w:rFonts w:hint="default" w:ascii="Times New Roman" w:hAnsi="Times New Roman" w:cs="Times New Roman"/>
          <w:highlight w:val="none"/>
          <w:u w:val="none" w:color="auto"/>
          <w:lang w:val="en-US" w:eastAsia="zh-CN"/>
        </w:rPr>
        <w:t>类水质标准</w:t>
      </w:r>
      <w:r>
        <w:rPr>
          <w:rFonts w:hint="default" w:ascii="Times New Roman" w:hAnsi="Times New Roman" w:cs="Times New Roman"/>
          <w:color w:val="auto"/>
          <w:highlight w:val="none"/>
          <w:u w:val="none" w:color="auto"/>
          <w:lang w:val="en-US" w:eastAsia="zh-CN"/>
        </w:rPr>
        <w:t>。</w:t>
      </w:r>
    </w:p>
    <w:p w14:paraId="2CAFFB11">
      <w:pPr>
        <w:bidi w:val="0"/>
        <w:ind w:left="0" w:leftChars="0" w:firstLine="0" w:firstLineChars="0"/>
        <w:jc w:val="center"/>
        <w:rPr>
          <w:rFonts w:hint="eastAsia"/>
          <w:b/>
          <w:bCs/>
          <w:color w:val="auto"/>
          <w:sz w:val="21"/>
          <w:szCs w:val="21"/>
          <w:highlight w:val="none"/>
          <w:u w:val="none" w:color="auto"/>
          <w:lang w:val="en-US" w:eastAsia="zh-CN"/>
        </w:rPr>
      </w:pPr>
      <w:r>
        <w:rPr>
          <w:rFonts w:hint="eastAsia"/>
          <w:b/>
          <w:bCs/>
          <w:color w:val="auto"/>
          <w:sz w:val="21"/>
          <w:szCs w:val="21"/>
          <w:highlight w:val="none"/>
          <w:u w:val="none" w:color="auto"/>
          <w:lang w:val="en-US" w:eastAsia="zh-CN"/>
        </w:rPr>
        <w:t>表2.4-3  地表水环境质量标准</w:t>
      </w:r>
    </w:p>
    <w:tbl>
      <w:tblPr>
        <w:tblStyle w:val="36"/>
        <w:tblW w:w="4996"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862"/>
        <w:gridCol w:w="2458"/>
        <w:gridCol w:w="1279"/>
        <w:gridCol w:w="956"/>
        <w:gridCol w:w="3670"/>
      </w:tblGrid>
      <w:tr w14:paraId="48464A3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blHeader/>
        </w:trPr>
        <w:tc>
          <w:tcPr>
            <w:tcW w:w="468" w:type="pct"/>
            <w:vMerge w:val="restart"/>
            <w:vAlign w:val="center"/>
          </w:tcPr>
          <w:p w14:paraId="45D0436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bCs/>
                <w:color w:val="auto"/>
                <w:sz w:val="21"/>
                <w:szCs w:val="21"/>
                <w:highlight w:val="none"/>
                <w:u w:val="none" w:color="auto"/>
                <w:lang w:val="en-US" w:eastAsia="zh-CN"/>
              </w:rPr>
            </w:pPr>
            <w:r>
              <w:rPr>
                <w:rFonts w:hint="default"/>
                <w:b/>
                <w:bCs/>
                <w:color w:val="auto"/>
                <w:sz w:val="21"/>
                <w:szCs w:val="21"/>
                <w:highlight w:val="none"/>
                <w:u w:val="none" w:color="auto"/>
                <w:lang w:val="en-US" w:eastAsia="zh-CN"/>
              </w:rPr>
              <w:t>评价</w:t>
            </w:r>
          </w:p>
          <w:p w14:paraId="2A35AAD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bCs/>
                <w:color w:val="auto"/>
                <w:kern w:val="2"/>
                <w:sz w:val="21"/>
                <w:szCs w:val="21"/>
                <w:highlight w:val="none"/>
                <w:u w:val="none" w:color="auto"/>
                <w:lang w:val="en-US" w:eastAsia="zh-CN" w:bidi="ar-SA"/>
              </w:rPr>
            </w:pPr>
            <w:r>
              <w:rPr>
                <w:rFonts w:hint="default"/>
                <w:b/>
                <w:bCs/>
                <w:color w:val="auto"/>
                <w:sz w:val="21"/>
                <w:szCs w:val="21"/>
                <w:highlight w:val="none"/>
                <w:u w:val="none" w:color="auto"/>
                <w:lang w:val="en-US" w:eastAsia="zh-CN"/>
              </w:rPr>
              <w:t>对象</w:t>
            </w:r>
          </w:p>
        </w:tc>
        <w:tc>
          <w:tcPr>
            <w:tcW w:w="1332" w:type="pct"/>
            <w:vMerge w:val="restart"/>
            <w:vAlign w:val="center"/>
          </w:tcPr>
          <w:p w14:paraId="22EA27A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bCs/>
                <w:color w:val="auto"/>
                <w:kern w:val="2"/>
                <w:sz w:val="21"/>
                <w:szCs w:val="21"/>
                <w:highlight w:val="none"/>
                <w:u w:val="none" w:color="auto"/>
                <w:lang w:val="en-US" w:eastAsia="zh-CN" w:bidi="ar-SA"/>
              </w:rPr>
            </w:pPr>
            <w:r>
              <w:rPr>
                <w:rFonts w:hint="default"/>
                <w:b/>
                <w:bCs/>
                <w:color w:val="auto"/>
                <w:sz w:val="21"/>
                <w:szCs w:val="21"/>
                <w:highlight w:val="none"/>
                <w:u w:val="none" w:color="auto"/>
                <w:lang w:val="en-US" w:eastAsia="zh-CN"/>
              </w:rPr>
              <w:t>评价标准名称</w:t>
            </w:r>
          </w:p>
        </w:tc>
        <w:tc>
          <w:tcPr>
            <w:tcW w:w="693" w:type="pct"/>
            <w:vMerge w:val="restart"/>
            <w:vAlign w:val="center"/>
          </w:tcPr>
          <w:p w14:paraId="676A80B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bCs/>
                <w:color w:val="auto"/>
                <w:kern w:val="2"/>
                <w:sz w:val="21"/>
                <w:szCs w:val="21"/>
                <w:highlight w:val="none"/>
                <w:u w:val="none" w:color="auto"/>
                <w:lang w:val="en-US" w:eastAsia="zh-CN" w:bidi="ar-SA"/>
              </w:rPr>
            </w:pPr>
            <w:r>
              <w:rPr>
                <w:rFonts w:hint="default"/>
                <w:b/>
                <w:bCs/>
                <w:color w:val="auto"/>
                <w:sz w:val="21"/>
                <w:szCs w:val="21"/>
                <w:highlight w:val="none"/>
                <w:u w:val="none" w:color="auto"/>
                <w:lang w:val="en-US" w:eastAsia="zh-CN"/>
              </w:rPr>
              <w:t>评价因子</w:t>
            </w:r>
          </w:p>
        </w:tc>
        <w:tc>
          <w:tcPr>
            <w:tcW w:w="2506" w:type="pct"/>
            <w:gridSpan w:val="2"/>
            <w:vAlign w:val="center"/>
          </w:tcPr>
          <w:p w14:paraId="4A83DFE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bCs/>
                <w:color w:val="auto"/>
                <w:kern w:val="2"/>
                <w:sz w:val="21"/>
                <w:szCs w:val="21"/>
                <w:highlight w:val="none"/>
                <w:u w:val="none" w:color="auto"/>
                <w:lang w:val="en-US" w:eastAsia="zh-CN" w:bidi="ar-SA"/>
              </w:rPr>
            </w:pPr>
            <w:r>
              <w:rPr>
                <w:rFonts w:hint="default"/>
                <w:b/>
                <w:bCs/>
                <w:color w:val="auto"/>
                <w:sz w:val="21"/>
                <w:szCs w:val="21"/>
                <w:highlight w:val="none"/>
                <w:u w:val="none" w:color="auto"/>
                <w:lang w:val="en-US" w:eastAsia="zh-CN"/>
              </w:rPr>
              <w:t>标准值</w:t>
            </w:r>
          </w:p>
        </w:tc>
      </w:tr>
      <w:tr w14:paraId="12691FF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blHeader/>
        </w:trPr>
        <w:tc>
          <w:tcPr>
            <w:tcW w:w="468" w:type="pct"/>
            <w:vMerge w:val="continue"/>
            <w:vAlign w:val="center"/>
          </w:tcPr>
          <w:p w14:paraId="0587C44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bCs/>
                <w:color w:val="auto"/>
                <w:kern w:val="2"/>
                <w:sz w:val="21"/>
                <w:szCs w:val="21"/>
                <w:highlight w:val="none"/>
                <w:u w:val="none" w:color="auto"/>
                <w:lang w:val="en-US" w:eastAsia="zh-CN" w:bidi="ar-SA"/>
              </w:rPr>
            </w:pPr>
          </w:p>
        </w:tc>
        <w:tc>
          <w:tcPr>
            <w:tcW w:w="1332" w:type="pct"/>
            <w:vMerge w:val="continue"/>
            <w:vAlign w:val="center"/>
          </w:tcPr>
          <w:p w14:paraId="2BABD61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bCs/>
                <w:color w:val="auto"/>
                <w:kern w:val="2"/>
                <w:sz w:val="21"/>
                <w:szCs w:val="21"/>
                <w:highlight w:val="none"/>
                <w:u w:val="none" w:color="auto"/>
                <w:lang w:val="en-US" w:eastAsia="zh-CN" w:bidi="ar-SA"/>
              </w:rPr>
            </w:pPr>
          </w:p>
        </w:tc>
        <w:tc>
          <w:tcPr>
            <w:tcW w:w="693" w:type="pct"/>
            <w:vMerge w:val="continue"/>
            <w:vAlign w:val="center"/>
          </w:tcPr>
          <w:p w14:paraId="1C2889C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bCs/>
                <w:color w:val="auto"/>
                <w:kern w:val="2"/>
                <w:sz w:val="21"/>
                <w:szCs w:val="21"/>
                <w:highlight w:val="none"/>
                <w:u w:val="none" w:color="auto"/>
                <w:lang w:val="en-US" w:eastAsia="zh-CN" w:bidi="ar-SA"/>
              </w:rPr>
            </w:pPr>
          </w:p>
        </w:tc>
        <w:tc>
          <w:tcPr>
            <w:tcW w:w="518" w:type="pct"/>
            <w:vAlign w:val="center"/>
          </w:tcPr>
          <w:p w14:paraId="4F30491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bCs/>
                <w:color w:val="auto"/>
                <w:kern w:val="2"/>
                <w:sz w:val="21"/>
                <w:szCs w:val="21"/>
                <w:highlight w:val="none"/>
                <w:u w:val="none" w:color="auto"/>
                <w:lang w:val="en-US" w:eastAsia="zh-CN" w:bidi="ar-SA"/>
              </w:rPr>
            </w:pPr>
            <w:r>
              <w:rPr>
                <w:rFonts w:hint="default"/>
                <w:b/>
                <w:bCs/>
                <w:color w:val="auto"/>
                <w:sz w:val="21"/>
                <w:szCs w:val="21"/>
                <w:highlight w:val="none"/>
                <w:u w:val="none" w:color="auto"/>
                <w:lang w:val="en-US" w:eastAsia="zh-CN"/>
              </w:rPr>
              <w:t>单位</w:t>
            </w:r>
          </w:p>
        </w:tc>
        <w:tc>
          <w:tcPr>
            <w:tcW w:w="1988" w:type="pct"/>
            <w:vAlign w:val="center"/>
          </w:tcPr>
          <w:p w14:paraId="0F018D4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kern w:val="2"/>
                <w:sz w:val="21"/>
                <w:szCs w:val="21"/>
                <w:highlight w:val="none"/>
                <w:u w:val="none" w:color="auto"/>
                <w:lang w:val="en-US" w:eastAsia="zh-CN" w:bidi="ar-SA"/>
              </w:rPr>
            </w:pPr>
            <w:r>
              <w:rPr>
                <w:rFonts w:hint="default"/>
                <w:b/>
                <w:bCs/>
                <w:color w:val="auto"/>
                <w:sz w:val="21"/>
                <w:szCs w:val="21"/>
                <w:highlight w:val="none"/>
                <w:u w:val="none" w:color="auto"/>
                <w:lang w:val="en-US" w:eastAsia="zh-CN"/>
              </w:rPr>
              <w:t>Ⅲ类</w:t>
            </w:r>
          </w:p>
        </w:tc>
      </w:tr>
      <w:tr w14:paraId="3888B8C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68" w:type="pct"/>
            <w:vMerge w:val="restart"/>
            <w:vAlign w:val="center"/>
          </w:tcPr>
          <w:p w14:paraId="0AC7FCB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sz w:val="21"/>
                <w:szCs w:val="21"/>
                <w:highlight w:val="none"/>
                <w:u w:val="none" w:color="auto"/>
              </w:rPr>
            </w:pPr>
            <w:r>
              <w:rPr>
                <w:rFonts w:hint="default"/>
                <w:color w:val="auto"/>
                <w:sz w:val="21"/>
                <w:szCs w:val="21"/>
                <w:highlight w:val="none"/>
                <w:u w:val="none" w:color="auto"/>
              </w:rPr>
              <w:t>地表水</w:t>
            </w:r>
          </w:p>
          <w:p w14:paraId="65CB23F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21"/>
                <w:szCs w:val="21"/>
                <w:highlight w:val="none"/>
                <w:u w:val="none" w:color="auto"/>
                <w:lang w:val="en-US" w:eastAsia="zh-CN" w:bidi="ar-SA"/>
              </w:rPr>
            </w:pPr>
            <w:r>
              <w:rPr>
                <w:rFonts w:hint="default"/>
                <w:color w:val="auto"/>
                <w:sz w:val="21"/>
                <w:szCs w:val="21"/>
                <w:highlight w:val="none"/>
                <w:u w:val="none" w:color="auto"/>
              </w:rPr>
              <w:t>环境</w:t>
            </w:r>
          </w:p>
        </w:tc>
        <w:tc>
          <w:tcPr>
            <w:tcW w:w="1332" w:type="pct"/>
            <w:vMerge w:val="restart"/>
            <w:vAlign w:val="center"/>
          </w:tcPr>
          <w:p w14:paraId="450F660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21"/>
                <w:szCs w:val="21"/>
                <w:highlight w:val="none"/>
                <w:u w:val="none" w:color="auto"/>
                <w:lang w:val="en-US" w:eastAsia="zh-CN" w:bidi="ar-SA"/>
              </w:rPr>
            </w:pPr>
            <w:r>
              <w:rPr>
                <w:rFonts w:hint="default"/>
                <w:color w:val="auto"/>
                <w:sz w:val="21"/>
                <w:szCs w:val="21"/>
                <w:highlight w:val="none"/>
                <w:u w:val="none" w:color="auto"/>
              </w:rPr>
              <w:t>《地表水环境质量标准》（GB3838-2002）</w:t>
            </w:r>
          </w:p>
        </w:tc>
        <w:tc>
          <w:tcPr>
            <w:tcW w:w="693" w:type="pct"/>
            <w:vAlign w:val="center"/>
          </w:tcPr>
          <w:p w14:paraId="5416BD3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21"/>
                <w:szCs w:val="21"/>
                <w:highlight w:val="none"/>
                <w:u w:val="none" w:color="auto"/>
                <w:lang w:val="en-US" w:eastAsia="zh-CN" w:bidi="ar-SA"/>
              </w:rPr>
            </w:pPr>
            <w:r>
              <w:rPr>
                <w:rFonts w:hint="default"/>
                <w:color w:val="auto"/>
                <w:sz w:val="21"/>
                <w:szCs w:val="21"/>
                <w:highlight w:val="none"/>
                <w:u w:val="none" w:color="auto"/>
              </w:rPr>
              <w:t>pH</w:t>
            </w:r>
          </w:p>
        </w:tc>
        <w:tc>
          <w:tcPr>
            <w:tcW w:w="518" w:type="pct"/>
            <w:vAlign w:val="center"/>
          </w:tcPr>
          <w:p w14:paraId="7A625E3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21"/>
                <w:szCs w:val="21"/>
                <w:highlight w:val="none"/>
                <w:u w:val="none" w:color="auto"/>
                <w:lang w:val="en-US" w:eastAsia="zh-CN" w:bidi="ar-SA"/>
              </w:rPr>
            </w:pPr>
            <w:r>
              <w:rPr>
                <w:rFonts w:hint="default"/>
                <w:color w:val="auto"/>
                <w:sz w:val="21"/>
                <w:szCs w:val="21"/>
                <w:highlight w:val="none"/>
                <w:u w:val="none" w:color="auto"/>
              </w:rPr>
              <w:t>无量纲</w:t>
            </w:r>
          </w:p>
        </w:tc>
        <w:tc>
          <w:tcPr>
            <w:tcW w:w="1988" w:type="pct"/>
            <w:vAlign w:val="center"/>
          </w:tcPr>
          <w:p w14:paraId="28A2770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color w:val="auto"/>
                <w:sz w:val="21"/>
                <w:szCs w:val="21"/>
                <w:highlight w:val="none"/>
                <w:u w:val="none" w:color="auto"/>
              </w:rPr>
              <w:t>6</w:t>
            </w:r>
            <w:r>
              <w:rPr>
                <w:rFonts w:hint="eastAsia"/>
                <w:color w:val="auto"/>
                <w:sz w:val="21"/>
                <w:szCs w:val="21"/>
                <w:highlight w:val="none"/>
                <w:u w:val="none" w:color="auto"/>
                <w:lang w:val="en-US" w:eastAsia="zh-CN"/>
              </w:rPr>
              <w:t>~</w:t>
            </w:r>
            <w:r>
              <w:rPr>
                <w:rFonts w:hint="default"/>
                <w:color w:val="auto"/>
                <w:sz w:val="21"/>
                <w:szCs w:val="21"/>
                <w:highlight w:val="none"/>
                <w:u w:val="none" w:color="auto"/>
              </w:rPr>
              <w:t>9</w:t>
            </w:r>
          </w:p>
        </w:tc>
      </w:tr>
      <w:tr w14:paraId="4BB7557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68" w:type="pct"/>
            <w:vMerge w:val="continue"/>
            <w:vAlign w:val="center"/>
          </w:tcPr>
          <w:p w14:paraId="1CB21DE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21"/>
                <w:szCs w:val="21"/>
                <w:highlight w:val="none"/>
                <w:u w:val="none" w:color="auto"/>
                <w:lang w:val="en-US" w:eastAsia="zh-CN" w:bidi="ar-SA"/>
              </w:rPr>
            </w:pPr>
          </w:p>
        </w:tc>
        <w:tc>
          <w:tcPr>
            <w:tcW w:w="1332" w:type="pct"/>
            <w:vMerge w:val="continue"/>
            <w:vAlign w:val="center"/>
          </w:tcPr>
          <w:p w14:paraId="3F6CBB1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21"/>
                <w:szCs w:val="21"/>
                <w:highlight w:val="none"/>
                <w:u w:val="none" w:color="auto"/>
                <w:lang w:val="en-US" w:eastAsia="zh-CN" w:bidi="ar-SA"/>
              </w:rPr>
            </w:pPr>
          </w:p>
        </w:tc>
        <w:tc>
          <w:tcPr>
            <w:tcW w:w="693" w:type="pct"/>
            <w:vAlign w:val="center"/>
          </w:tcPr>
          <w:p w14:paraId="2AA42E5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21"/>
                <w:szCs w:val="21"/>
                <w:highlight w:val="none"/>
                <w:u w:val="none" w:color="auto"/>
                <w:lang w:val="en-US" w:eastAsia="zh-CN" w:bidi="ar-SA"/>
              </w:rPr>
            </w:pPr>
            <w:r>
              <w:rPr>
                <w:rFonts w:hint="default"/>
                <w:color w:val="auto"/>
                <w:sz w:val="21"/>
                <w:szCs w:val="21"/>
                <w:highlight w:val="none"/>
                <w:u w:val="none" w:color="auto"/>
              </w:rPr>
              <w:t>COD</w:t>
            </w:r>
            <w:r>
              <w:rPr>
                <w:rFonts w:hint="default"/>
                <w:color w:val="auto"/>
                <w:sz w:val="21"/>
                <w:szCs w:val="21"/>
                <w:highlight w:val="none"/>
                <w:u w:val="none" w:color="auto"/>
                <w:vertAlign w:val="subscript"/>
              </w:rPr>
              <w:t>Cr</w:t>
            </w:r>
          </w:p>
        </w:tc>
        <w:tc>
          <w:tcPr>
            <w:tcW w:w="518" w:type="pct"/>
            <w:vAlign w:val="center"/>
          </w:tcPr>
          <w:p w14:paraId="619DA62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21"/>
                <w:szCs w:val="21"/>
                <w:highlight w:val="none"/>
                <w:u w:val="none" w:color="auto"/>
                <w:lang w:val="en-US" w:eastAsia="zh-CN" w:bidi="ar-SA"/>
              </w:rPr>
            </w:pPr>
            <w:r>
              <w:rPr>
                <w:rFonts w:hint="default"/>
                <w:color w:val="auto"/>
                <w:sz w:val="21"/>
                <w:szCs w:val="21"/>
                <w:highlight w:val="none"/>
                <w:u w:val="none" w:color="auto"/>
              </w:rPr>
              <w:t>mg/L</w:t>
            </w:r>
          </w:p>
        </w:tc>
        <w:tc>
          <w:tcPr>
            <w:tcW w:w="1988" w:type="pct"/>
            <w:vAlign w:val="center"/>
          </w:tcPr>
          <w:p w14:paraId="45C30FB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MS UI Gothic" w:cs="Times New Roman"/>
                <w:color w:val="auto"/>
                <w:sz w:val="21"/>
                <w:szCs w:val="21"/>
                <w:highlight w:val="none"/>
                <w:u w:val="none" w:color="auto"/>
              </w:rPr>
              <w:t>≤</w:t>
            </w:r>
            <w:r>
              <w:rPr>
                <w:rFonts w:hint="eastAsia" w:eastAsia="宋体" w:cs="Times New Roman"/>
                <w:color w:val="auto"/>
                <w:sz w:val="21"/>
                <w:szCs w:val="21"/>
                <w:highlight w:val="none"/>
                <w:u w:val="none" w:color="auto"/>
                <w:lang w:val="en-US" w:eastAsia="zh-CN"/>
              </w:rPr>
              <w:t>20</w:t>
            </w:r>
          </w:p>
        </w:tc>
      </w:tr>
      <w:tr w14:paraId="1485A77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68" w:type="pct"/>
            <w:vMerge w:val="continue"/>
            <w:vAlign w:val="center"/>
          </w:tcPr>
          <w:p w14:paraId="115CC22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21"/>
                <w:szCs w:val="21"/>
                <w:highlight w:val="none"/>
                <w:u w:val="none" w:color="auto"/>
                <w:lang w:val="en-US" w:eastAsia="zh-CN" w:bidi="ar-SA"/>
              </w:rPr>
            </w:pPr>
          </w:p>
        </w:tc>
        <w:tc>
          <w:tcPr>
            <w:tcW w:w="1332" w:type="pct"/>
            <w:vMerge w:val="continue"/>
            <w:vAlign w:val="center"/>
          </w:tcPr>
          <w:p w14:paraId="1263B19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21"/>
                <w:szCs w:val="21"/>
                <w:highlight w:val="none"/>
                <w:u w:val="none" w:color="auto"/>
                <w:lang w:val="en-US" w:eastAsia="zh-CN" w:bidi="ar-SA"/>
              </w:rPr>
            </w:pPr>
          </w:p>
        </w:tc>
        <w:tc>
          <w:tcPr>
            <w:tcW w:w="693" w:type="pct"/>
            <w:vAlign w:val="center"/>
          </w:tcPr>
          <w:p w14:paraId="6B46526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21"/>
                <w:szCs w:val="21"/>
                <w:highlight w:val="none"/>
                <w:u w:val="none" w:color="auto"/>
                <w:lang w:val="en-US" w:eastAsia="zh-CN" w:bidi="ar-SA"/>
              </w:rPr>
            </w:pPr>
            <w:r>
              <w:rPr>
                <w:rFonts w:hint="default"/>
                <w:color w:val="auto"/>
                <w:sz w:val="21"/>
                <w:szCs w:val="21"/>
                <w:highlight w:val="none"/>
                <w:u w:val="none" w:color="auto"/>
              </w:rPr>
              <w:t>BOD</w:t>
            </w:r>
            <w:r>
              <w:rPr>
                <w:rFonts w:hint="default"/>
                <w:color w:val="auto"/>
                <w:sz w:val="21"/>
                <w:szCs w:val="21"/>
                <w:highlight w:val="none"/>
                <w:u w:val="none" w:color="auto"/>
                <w:vertAlign w:val="subscript"/>
              </w:rPr>
              <w:t>5</w:t>
            </w:r>
          </w:p>
        </w:tc>
        <w:tc>
          <w:tcPr>
            <w:tcW w:w="518" w:type="pct"/>
            <w:vAlign w:val="center"/>
          </w:tcPr>
          <w:p w14:paraId="22239D9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21"/>
                <w:szCs w:val="21"/>
                <w:highlight w:val="none"/>
                <w:u w:val="none" w:color="auto"/>
                <w:lang w:val="en-US" w:eastAsia="zh-CN" w:bidi="ar-SA"/>
              </w:rPr>
            </w:pPr>
            <w:r>
              <w:rPr>
                <w:rFonts w:hint="default"/>
                <w:color w:val="auto"/>
                <w:sz w:val="21"/>
                <w:szCs w:val="21"/>
                <w:highlight w:val="none"/>
                <w:u w:val="none" w:color="auto"/>
              </w:rPr>
              <w:t>mg/L</w:t>
            </w:r>
          </w:p>
        </w:tc>
        <w:tc>
          <w:tcPr>
            <w:tcW w:w="1988" w:type="pct"/>
            <w:vAlign w:val="center"/>
          </w:tcPr>
          <w:p w14:paraId="0E0BE39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MS UI Gothic" w:cs="Times New Roman"/>
                <w:color w:val="auto"/>
                <w:sz w:val="21"/>
                <w:szCs w:val="21"/>
                <w:highlight w:val="none"/>
                <w:u w:val="none" w:color="auto"/>
              </w:rPr>
              <w:t>≤</w:t>
            </w:r>
            <w:r>
              <w:rPr>
                <w:rFonts w:hint="eastAsia" w:eastAsia="宋体" w:cs="Times New Roman"/>
                <w:color w:val="auto"/>
                <w:sz w:val="21"/>
                <w:szCs w:val="21"/>
                <w:highlight w:val="none"/>
                <w:u w:val="none" w:color="auto"/>
                <w:lang w:val="en-US" w:eastAsia="zh-CN"/>
              </w:rPr>
              <w:t>4</w:t>
            </w:r>
          </w:p>
        </w:tc>
      </w:tr>
      <w:tr w14:paraId="7605671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68" w:type="pct"/>
            <w:vMerge w:val="continue"/>
            <w:vAlign w:val="center"/>
          </w:tcPr>
          <w:p w14:paraId="726618B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21"/>
                <w:szCs w:val="21"/>
                <w:highlight w:val="none"/>
                <w:u w:val="none" w:color="auto"/>
                <w:lang w:val="en-US" w:eastAsia="zh-CN" w:bidi="ar-SA"/>
              </w:rPr>
            </w:pPr>
          </w:p>
        </w:tc>
        <w:tc>
          <w:tcPr>
            <w:tcW w:w="1332" w:type="pct"/>
            <w:vMerge w:val="continue"/>
            <w:vAlign w:val="center"/>
          </w:tcPr>
          <w:p w14:paraId="6407957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21"/>
                <w:szCs w:val="21"/>
                <w:highlight w:val="none"/>
                <w:u w:val="none" w:color="auto"/>
                <w:lang w:val="en-US" w:eastAsia="zh-CN" w:bidi="ar-SA"/>
              </w:rPr>
            </w:pPr>
          </w:p>
        </w:tc>
        <w:tc>
          <w:tcPr>
            <w:tcW w:w="693" w:type="pct"/>
            <w:vAlign w:val="center"/>
          </w:tcPr>
          <w:p w14:paraId="2416707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21"/>
                <w:szCs w:val="21"/>
                <w:highlight w:val="none"/>
                <w:u w:val="none" w:color="auto"/>
                <w:lang w:val="en-US" w:eastAsia="zh-CN" w:bidi="ar-SA"/>
              </w:rPr>
            </w:pPr>
            <w:r>
              <w:rPr>
                <w:rFonts w:hint="default"/>
                <w:color w:val="auto"/>
                <w:sz w:val="21"/>
                <w:szCs w:val="21"/>
                <w:highlight w:val="none"/>
                <w:u w:val="none" w:color="auto"/>
              </w:rPr>
              <w:t>氨氮</w:t>
            </w:r>
          </w:p>
        </w:tc>
        <w:tc>
          <w:tcPr>
            <w:tcW w:w="518" w:type="pct"/>
            <w:vAlign w:val="center"/>
          </w:tcPr>
          <w:p w14:paraId="43BE5D0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21"/>
                <w:szCs w:val="21"/>
                <w:highlight w:val="none"/>
                <w:u w:val="none" w:color="auto"/>
                <w:lang w:val="en-US" w:eastAsia="zh-CN" w:bidi="ar-SA"/>
              </w:rPr>
            </w:pPr>
            <w:r>
              <w:rPr>
                <w:rFonts w:hint="default"/>
                <w:color w:val="auto"/>
                <w:sz w:val="21"/>
                <w:szCs w:val="21"/>
                <w:highlight w:val="none"/>
                <w:u w:val="none" w:color="auto"/>
              </w:rPr>
              <w:t>mg/L</w:t>
            </w:r>
          </w:p>
        </w:tc>
        <w:tc>
          <w:tcPr>
            <w:tcW w:w="1988" w:type="pct"/>
            <w:vAlign w:val="center"/>
          </w:tcPr>
          <w:p w14:paraId="0CDF13A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MS UI Gothic" w:cs="Times New Roman"/>
                <w:color w:val="auto"/>
                <w:sz w:val="21"/>
                <w:szCs w:val="21"/>
                <w:highlight w:val="none"/>
                <w:u w:val="none" w:color="auto"/>
              </w:rPr>
              <w:t>≤</w:t>
            </w:r>
            <w:r>
              <w:rPr>
                <w:rFonts w:hint="eastAsia" w:eastAsia="宋体" w:cs="Times New Roman"/>
                <w:color w:val="auto"/>
                <w:sz w:val="21"/>
                <w:szCs w:val="21"/>
                <w:highlight w:val="none"/>
                <w:u w:val="none" w:color="auto"/>
                <w:lang w:val="en-US" w:eastAsia="zh-CN"/>
              </w:rPr>
              <w:t>1.0</w:t>
            </w:r>
          </w:p>
        </w:tc>
      </w:tr>
      <w:tr w14:paraId="5805A28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68" w:type="pct"/>
            <w:vMerge w:val="continue"/>
            <w:vAlign w:val="center"/>
          </w:tcPr>
          <w:p w14:paraId="5302F67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21"/>
                <w:szCs w:val="21"/>
                <w:highlight w:val="none"/>
                <w:u w:val="none" w:color="auto"/>
                <w:lang w:val="en-US" w:eastAsia="zh-CN" w:bidi="ar-SA"/>
              </w:rPr>
            </w:pPr>
          </w:p>
        </w:tc>
        <w:tc>
          <w:tcPr>
            <w:tcW w:w="1332" w:type="pct"/>
            <w:vMerge w:val="continue"/>
            <w:vAlign w:val="center"/>
          </w:tcPr>
          <w:p w14:paraId="2CF8EBA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21"/>
                <w:szCs w:val="21"/>
                <w:highlight w:val="none"/>
                <w:u w:val="none" w:color="auto"/>
                <w:lang w:val="en-US" w:eastAsia="zh-CN" w:bidi="ar-SA"/>
              </w:rPr>
            </w:pPr>
          </w:p>
        </w:tc>
        <w:tc>
          <w:tcPr>
            <w:tcW w:w="693" w:type="pct"/>
            <w:vAlign w:val="center"/>
          </w:tcPr>
          <w:p w14:paraId="3508971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u w:val="none" w:color="auto"/>
                <w:lang w:val="en-US" w:eastAsia="zh-CN"/>
              </w:rPr>
            </w:pPr>
            <w:r>
              <w:rPr>
                <w:rFonts w:hint="eastAsia" w:cs="Times New Roman"/>
                <w:color w:val="auto"/>
                <w:sz w:val="21"/>
                <w:szCs w:val="21"/>
                <w:highlight w:val="none"/>
                <w:u w:val="none" w:color="auto"/>
                <w:lang w:val="en-US" w:eastAsia="zh-CN"/>
              </w:rPr>
              <w:t>总磷</w:t>
            </w:r>
          </w:p>
        </w:tc>
        <w:tc>
          <w:tcPr>
            <w:tcW w:w="518" w:type="pct"/>
            <w:vAlign w:val="center"/>
          </w:tcPr>
          <w:p w14:paraId="1344C31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21"/>
                <w:szCs w:val="21"/>
                <w:highlight w:val="none"/>
                <w:u w:val="none" w:color="auto"/>
                <w:lang w:val="en-US" w:eastAsia="zh-CN" w:bidi="ar-SA"/>
              </w:rPr>
            </w:pPr>
            <w:r>
              <w:rPr>
                <w:rFonts w:hint="default"/>
                <w:color w:val="auto"/>
                <w:sz w:val="21"/>
                <w:szCs w:val="21"/>
                <w:highlight w:val="none"/>
                <w:u w:val="none" w:color="auto"/>
              </w:rPr>
              <w:t>mg/L</w:t>
            </w:r>
          </w:p>
        </w:tc>
        <w:tc>
          <w:tcPr>
            <w:tcW w:w="1988" w:type="pct"/>
            <w:vAlign w:val="center"/>
          </w:tcPr>
          <w:p w14:paraId="2E9EAE8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MS UI Gothic" w:cs="Times New Roman"/>
                <w:color w:val="auto"/>
                <w:sz w:val="21"/>
                <w:szCs w:val="21"/>
                <w:highlight w:val="none"/>
                <w:u w:val="none" w:color="auto"/>
              </w:rPr>
              <w:t>≤</w:t>
            </w:r>
            <w:r>
              <w:rPr>
                <w:rFonts w:hint="eastAsia" w:eastAsia="宋体" w:cs="Times New Roman"/>
                <w:color w:val="auto"/>
                <w:sz w:val="21"/>
                <w:szCs w:val="21"/>
                <w:highlight w:val="none"/>
                <w:u w:val="none" w:color="auto"/>
                <w:lang w:val="en-US" w:eastAsia="zh-CN"/>
              </w:rPr>
              <w:t>0.2（湖、库0.05）</w:t>
            </w:r>
          </w:p>
        </w:tc>
      </w:tr>
      <w:tr w14:paraId="265A62D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68" w:type="pct"/>
            <w:vMerge w:val="continue"/>
            <w:vAlign w:val="center"/>
          </w:tcPr>
          <w:p w14:paraId="032CC0C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21"/>
                <w:szCs w:val="21"/>
                <w:highlight w:val="none"/>
                <w:u w:val="none" w:color="auto"/>
                <w:lang w:val="en-US" w:eastAsia="zh-CN" w:bidi="ar-SA"/>
              </w:rPr>
            </w:pPr>
          </w:p>
        </w:tc>
        <w:tc>
          <w:tcPr>
            <w:tcW w:w="1332" w:type="pct"/>
            <w:vMerge w:val="continue"/>
            <w:vAlign w:val="center"/>
          </w:tcPr>
          <w:p w14:paraId="45ACDB9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21"/>
                <w:szCs w:val="21"/>
                <w:highlight w:val="none"/>
                <w:u w:val="none" w:color="auto"/>
                <w:lang w:val="en-US" w:eastAsia="zh-CN" w:bidi="ar-SA"/>
              </w:rPr>
            </w:pPr>
          </w:p>
        </w:tc>
        <w:tc>
          <w:tcPr>
            <w:tcW w:w="693" w:type="pct"/>
            <w:vAlign w:val="center"/>
          </w:tcPr>
          <w:p w14:paraId="79D1FB1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u w:val="none" w:color="auto"/>
                <w:lang w:val="en-US" w:eastAsia="zh-CN"/>
              </w:rPr>
            </w:pPr>
            <w:r>
              <w:rPr>
                <w:rFonts w:hint="eastAsia" w:cs="Times New Roman"/>
                <w:color w:val="auto"/>
                <w:sz w:val="21"/>
                <w:szCs w:val="21"/>
                <w:highlight w:val="none"/>
                <w:u w:val="none" w:color="auto"/>
                <w:lang w:val="en-US" w:eastAsia="zh-CN"/>
              </w:rPr>
              <w:t>总氮</w:t>
            </w:r>
          </w:p>
        </w:tc>
        <w:tc>
          <w:tcPr>
            <w:tcW w:w="518" w:type="pct"/>
            <w:vAlign w:val="center"/>
          </w:tcPr>
          <w:p w14:paraId="7E90591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21"/>
                <w:szCs w:val="21"/>
                <w:highlight w:val="none"/>
                <w:u w:val="none" w:color="auto"/>
                <w:lang w:val="en-US" w:eastAsia="zh-CN" w:bidi="ar-SA"/>
              </w:rPr>
            </w:pPr>
            <w:r>
              <w:rPr>
                <w:rFonts w:hint="default"/>
                <w:color w:val="auto"/>
                <w:sz w:val="21"/>
                <w:szCs w:val="21"/>
                <w:highlight w:val="none"/>
                <w:u w:val="none" w:color="auto"/>
              </w:rPr>
              <w:t>mg/L</w:t>
            </w:r>
          </w:p>
        </w:tc>
        <w:tc>
          <w:tcPr>
            <w:tcW w:w="1988" w:type="pct"/>
            <w:vAlign w:val="center"/>
          </w:tcPr>
          <w:p w14:paraId="44449F0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MS UI Gothic" w:cs="Times New Roman"/>
                <w:color w:val="auto"/>
                <w:sz w:val="21"/>
                <w:szCs w:val="21"/>
                <w:highlight w:val="none"/>
                <w:u w:val="none" w:color="auto"/>
              </w:rPr>
              <w:t>≤</w:t>
            </w:r>
            <w:r>
              <w:rPr>
                <w:rFonts w:hint="eastAsia" w:eastAsia="宋体" w:cs="Times New Roman"/>
                <w:color w:val="auto"/>
                <w:sz w:val="21"/>
                <w:szCs w:val="21"/>
                <w:highlight w:val="none"/>
                <w:u w:val="none" w:color="auto"/>
                <w:lang w:val="en-US" w:eastAsia="zh-CN"/>
              </w:rPr>
              <w:t>1.0</w:t>
            </w:r>
          </w:p>
        </w:tc>
      </w:tr>
      <w:tr w14:paraId="4456E81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68" w:type="pct"/>
            <w:vMerge w:val="continue"/>
            <w:vAlign w:val="center"/>
          </w:tcPr>
          <w:p w14:paraId="730BF79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21"/>
                <w:szCs w:val="21"/>
                <w:highlight w:val="none"/>
                <w:u w:val="none" w:color="auto"/>
                <w:lang w:val="en-US" w:eastAsia="zh-CN" w:bidi="ar-SA"/>
              </w:rPr>
            </w:pPr>
          </w:p>
        </w:tc>
        <w:tc>
          <w:tcPr>
            <w:tcW w:w="1332" w:type="pct"/>
            <w:vMerge w:val="continue"/>
            <w:vAlign w:val="center"/>
          </w:tcPr>
          <w:p w14:paraId="04A2AD4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21"/>
                <w:szCs w:val="21"/>
                <w:highlight w:val="none"/>
                <w:u w:val="none" w:color="auto"/>
                <w:lang w:val="en-US" w:eastAsia="zh-CN" w:bidi="ar-SA"/>
              </w:rPr>
            </w:pPr>
          </w:p>
        </w:tc>
        <w:tc>
          <w:tcPr>
            <w:tcW w:w="693" w:type="pct"/>
            <w:vAlign w:val="center"/>
          </w:tcPr>
          <w:p w14:paraId="1C80555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u w:val="none" w:color="auto"/>
                <w:lang w:val="en-US" w:eastAsia="zh-CN"/>
              </w:rPr>
            </w:pPr>
            <w:r>
              <w:rPr>
                <w:rFonts w:hint="eastAsia" w:cs="Times New Roman"/>
                <w:color w:val="auto"/>
                <w:sz w:val="21"/>
                <w:szCs w:val="21"/>
                <w:highlight w:val="none"/>
                <w:u w:val="none" w:color="auto"/>
                <w:lang w:val="en-US" w:eastAsia="zh-CN"/>
              </w:rPr>
              <w:t>氰化物</w:t>
            </w:r>
          </w:p>
        </w:tc>
        <w:tc>
          <w:tcPr>
            <w:tcW w:w="518" w:type="pct"/>
            <w:vAlign w:val="center"/>
          </w:tcPr>
          <w:p w14:paraId="640F770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21"/>
                <w:szCs w:val="21"/>
                <w:highlight w:val="none"/>
                <w:u w:val="none" w:color="auto"/>
                <w:lang w:val="en-US" w:eastAsia="zh-CN" w:bidi="ar-SA"/>
              </w:rPr>
            </w:pPr>
            <w:r>
              <w:rPr>
                <w:rFonts w:hint="default"/>
                <w:color w:val="auto"/>
                <w:sz w:val="21"/>
                <w:szCs w:val="21"/>
                <w:highlight w:val="none"/>
                <w:u w:val="none" w:color="auto"/>
              </w:rPr>
              <w:t>mg/L</w:t>
            </w:r>
          </w:p>
        </w:tc>
        <w:tc>
          <w:tcPr>
            <w:tcW w:w="1988" w:type="pct"/>
            <w:vAlign w:val="center"/>
          </w:tcPr>
          <w:p w14:paraId="28452BD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MS UI Gothic" w:cs="Times New Roman"/>
                <w:color w:val="auto"/>
                <w:sz w:val="21"/>
                <w:szCs w:val="21"/>
                <w:highlight w:val="none"/>
                <w:u w:val="none" w:color="auto"/>
              </w:rPr>
              <w:t>≤</w:t>
            </w:r>
            <w:r>
              <w:rPr>
                <w:rFonts w:hint="eastAsia" w:eastAsia="宋体" w:cs="Times New Roman"/>
                <w:color w:val="auto"/>
                <w:sz w:val="21"/>
                <w:szCs w:val="21"/>
                <w:highlight w:val="none"/>
                <w:u w:val="none" w:color="auto"/>
                <w:lang w:val="en-US" w:eastAsia="zh-CN"/>
              </w:rPr>
              <w:t>0.2</w:t>
            </w:r>
          </w:p>
        </w:tc>
      </w:tr>
      <w:tr w14:paraId="42623C5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68" w:type="pct"/>
            <w:vMerge w:val="continue"/>
            <w:vAlign w:val="center"/>
          </w:tcPr>
          <w:p w14:paraId="5E2E8DE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21"/>
                <w:szCs w:val="21"/>
                <w:highlight w:val="none"/>
                <w:u w:val="none" w:color="auto"/>
                <w:lang w:val="en-US" w:eastAsia="zh-CN" w:bidi="ar-SA"/>
              </w:rPr>
            </w:pPr>
          </w:p>
        </w:tc>
        <w:tc>
          <w:tcPr>
            <w:tcW w:w="1332" w:type="pct"/>
            <w:vMerge w:val="continue"/>
            <w:vAlign w:val="center"/>
          </w:tcPr>
          <w:p w14:paraId="61A7781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21"/>
                <w:szCs w:val="21"/>
                <w:highlight w:val="none"/>
                <w:u w:val="none" w:color="auto"/>
                <w:lang w:val="en-US" w:eastAsia="zh-CN" w:bidi="ar-SA"/>
              </w:rPr>
            </w:pPr>
          </w:p>
        </w:tc>
        <w:tc>
          <w:tcPr>
            <w:tcW w:w="693" w:type="pct"/>
            <w:vAlign w:val="center"/>
          </w:tcPr>
          <w:p w14:paraId="7EADBD1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u w:val="none" w:color="auto"/>
                <w:lang w:val="en-US" w:eastAsia="zh-CN"/>
              </w:rPr>
            </w:pPr>
            <w:r>
              <w:rPr>
                <w:rFonts w:hint="eastAsia" w:cs="Times New Roman"/>
                <w:color w:val="auto"/>
                <w:sz w:val="21"/>
                <w:szCs w:val="21"/>
                <w:highlight w:val="none"/>
                <w:u w:val="none" w:color="auto"/>
                <w:lang w:val="en-US" w:eastAsia="zh-CN"/>
              </w:rPr>
              <w:t>总铬</w:t>
            </w:r>
          </w:p>
        </w:tc>
        <w:tc>
          <w:tcPr>
            <w:tcW w:w="518" w:type="pct"/>
            <w:vAlign w:val="center"/>
          </w:tcPr>
          <w:p w14:paraId="12CA950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21"/>
                <w:szCs w:val="21"/>
                <w:highlight w:val="none"/>
                <w:u w:val="none" w:color="auto"/>
                <w:lang w:val="en-US" w:eastAsia="zh-CN" w:bidi="ar-SA"/>
              </w:rPr>
            </w:pPr>
            <w:r>
              <w:rPr>
                <w:rFonts w:hint="default"/>
                <w:color w:val="auto"/>
                <w:sz w:val="21"/>
                <w:szCs w:val="21"/>
                <w:highlight w:val="none"/>
                <w:u w:val="none" w:color="auto"/>
              </w:rPr>
              <w:t>mg/L</w:t>
            </w:r>
          </w:p>
        </w:tc>
        <w:tc>
          <w:tcPr>
            <w:tcW w:w="1988" w:type="pct"/>
            <w:vAlign w:val="center"/>
          </w:tcPr>
          <w:p w14:paraId="6B4DA27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cs="Times New Roman"/>
                <w:color w:val="auto"/>
                <w:kern w:val="2"/>
                <w:sz w:val="21"/>
                <w:szCs w:val="21"/>
                <w:highlight w:val="none"/>
                <w:u w:val="none" w:color="auto"/>
                <w:lang w:val="en-US" w:eastAsia="zh-CN" w:bidi="ar-SA"/>
              </w:rPr>
              <w:t>/</w:t>
            </w:r>
          </w:p>
        </w:tc>
      </w:tr>
      <w:tr w14:paraId="7E5ED96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68" w:type="pct"/>
            <w:vMerge w:val="continue"/>
            <w:vAlign w:val="center"/>
          </w:tcPr>
          <w:p w14:paraId="1AB856B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21"/>
                <w:szCs w:val="21"/>
                <w:highlight w:val="none"/>
                <w:u w:val="none" w:color="auto"/>
                <w:lang w:val="en-US" w:eastAsia="zh-CN" w:bidi="ar-SA"/>
              </w:rPr>
            </w:pPr>
          </w:p>
        </w:tc>
        <w:tc>
          <w:tcPr>
            <w:tcW w:w="1332" w:type="pct"/>
            <w:vMerge w:val="continue"/>
            <w:vAlign w:val="center"/>
          </w:tcPr>
          <w:p w14:paraId="1FDCA3E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21"/>
                <w:szCs w:val="21"/>
                <w:highlight w:val="none"/>
                <w:u w:val="none" w:color="auto"/>
                <w:lang w:val="en-US" w:eastAsia="zh-CN" w:bidi="ar-SA"/>
              </w:rPr>
            </w:pPr>
          </w:p>
        </w:tc>
        <w:tc>
          <w:tcPr>
            <w:tcW w:w="693" w:type="pct"/>
            <w:vAlign w:val="center"/>
          </w:tcPr>
          <w:p w14:paraId="35B9599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u w:val="none" w:color="auto"/>
                <w:lang w:val="en-US" w:eastAsia="zh-CN"/>
              </w:rPr>
            </w:pPr>
            <w:r>
              <w:rPr>
                <w:rFonts w:hint="eastAsia" w:cs="Times New Roman"/>
                <w:color w:val="auto"/>
                <w:sz w:val="21"/>
                <w:szCs w:val="21"/>
                <w:highlight w:val="none"/>
                <w:u w:val="none" w:color="auto"/>
                <w:lang w:val="en-US" w:eastAsia="zh-CN"/>
              </w:rPr>
              <w:t>六价铬</w:t>
            </w:r>
          </w:p>
        </w:tc>
        <w:tc>
          <w:tcPr>
            <w:tcW w:w="518" w:type="pct"/>
            <w:vAlign w:val="center"/>
          </w:tcPr>
          <w:p w14:paraId="4F8F4F7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21"/>
                <w:szCs w:val="21"/>
                <w:highlight w:val="none"/>
                <w:u w:val="none" w:color="auto"/>
                <w:lang w:val="en-US" w:eastAsia="zh-CN" w:bidi="ar-SA"/>
              </w:rPr>
            </w:pPr>
            <w:r>
              <w:rPr>
                <w:rFonts w:hint="default"/>
                <w:color w:val="auto"/>
                <w:sz w:val="21"/>
                <w:szCs w:val="21"/>
                <w:highlight w:val="none"/>
                <w:u w:val="none" w:color="auto"/>
              </w:rPr>
              <w:t>mg/L</w:t>
            </w:r>
          </w:p>
        </w:tc>
        <w:tc>
          <w:tcPr>
            <w:tcW w:w="1988" w:type="pct"/>
            <w:vAlign w:val="center"/>
          </w:tcPr>
          <w:p w14:paraId="20BC9A3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MS UI Gothic" w:cs="Times New Roman"/>
                <w:color w:val="auto"/>
                <w:sz w:val="21"/>
                <w:szCs w:val="21"/>
                <w:highlight w:val="none"/>
                <w:u w:val="none" w:color="auto"/>
              </w:rPr>
              <w:t>≤</w:t>
            </w:r>
            <w:r>
              <w:rPr>
                <w:rFonts w:hint="eastAsia" w:eastAsia="宋体" w:cs="Times New Roman"/>
                <w:color w:val="auto"/>
                <w:sz w:val="21"/>
                <w:szCs w:val="21"/>
                <w:highlight w:val="none"/>
                <w:u w:val="none" w:color="auto"/>
                <w:lang w:val="en-US" w:eastAsia="zh-CN"/>
              </w:rPr>
              <w:t>0.05</w:t>
            </w:r>
          </w:p>
        </w:tc>
      </w:tr>
      <w:tr w14:paraId="7491FCB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68" w:type="pct"/>
            <w:vMerge w:val="continue"/>
            <w:vAlign w:val="center"/>
          </w:tcPr>
          <w:p w14:paraId="3F556AC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21"/>
                <w:szCs w:val="21"/>
                <w:highlight w:val="none"/>
                <w:u w:val="none" w:color="auto"/>
                <w:lang w:val="en-US" w:eastAsia="zh-CN" w:bidi="ar-SA"/>
              </w:rPr>
            </w:pPr>
          </w:p>
        </w:tc>
        <w:tc>
          <w:tcPr>
            <w:tcW w:w="1332" w:type="pct"/>
            <w:vMerge w:val="continue"/>
            <w:vAlign w:val="center"/>
          </w:tcPr>
          <w:p w14:paraId="58BB072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21"/>
                <w:szCs w:val="21"/>
                <w:highlight w:val="none"/>
                <w:u w:val="none" w:color="auto"/>
                <w:lang w:val="en-US" w:eastAsia="zh-CN" w:bidi="ar-SA"/>
              </w:rPr>
            </w:pPr>
          </w:p>
        </w:tc>
        <w:tc>
          <w:tcPr>
            <w:tcW w:w="693" w:type="pct"/>
            <w:vAlign w:val="center"/>
          </w:tcPr>
          <w:p w14:paraId="62C010D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u w:val="none" w:color="auto"/>
                <w:lang w:val="en-US" w:eastAsia="zh-CN"/>
              </w:rPr>
            </w:pPr>
            <w:r>
              <w:rPr>
                <w:rFonts w:hint="eastAsia" w:cs="Times New Roman"/>
                <w:color w:val="auto"/>
                <w:sz w:val="21"/>
                <w:szCs w:val="21"/>
                <w:highlight w:val="none"/>
                <w:u w:val="none" w:color="auto"/>
                <w:lang w:val="en-US" w:eastAsia="zh-CN"/>
              </w:rPr>
              <w:t>镍</w:t>
            </w:r>
          </w:p>
        </w:tc>
        <w:tc>
          <w:tcPr>
            <w:tcW w:w="518" w:type="pct"/>
            <w:vAlign w:val="center"/>
          </w:tcPr>
          <w:p w14:paraId="11232A7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color w:val="auto"/>
                <w:sz w:val="21"/>
                <w:szCs w:val="21"/>
                <w:highlight w:val="none"/>
                <w:u w:val="none" w:color="auto"/>
              </w:rPr>
              <w:t>mg/L</w:t>
            </w:r>
          </w:p>
        </w:tc>
        <w:tc>
          <w:tcPr>
            <w:tcW w:w="1988" w:type="pct"/>
            <w:vAlign w:val="center"/>
          </w:tcPr>
          <w:p w14:paraId="1C1A613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MS UI Gothic" w:cs="Times New Roman"/>
                <w:color w:val="auto"/>
                <w:sz w:val="21"/>
                <w:szCs w:val="21"/>
                <w:highlight w:val="none"/>
                <w:u w:val="none" w:color="auto"/>
              </w:rPr>
              <w:t>≤</w:t>
            </w:r>
            <w:r>
              <w:rPr>
                <w:rFonts w:hint="eastAsia" w:eastAsia="宋体" w:cs="Times New Roman"/>
                <w:color w:val="auto"/>
                <w:sz w:val="21"/>
                <w:szCs w:val="21"/>
                <w:highlight w:val="none"/>
                <w:u w:val="none" w:color="auto"/>
                <w:lang w:val="en-US" w:eastAsia="zh-CN"/>
              </w:rPr>
              <w:t>0.02</w:t>
            </w:r>
          </w:p>
        </w:tc>
      </w:tr>
      <w:tr w14:paraId="728DCB7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68" w:type="pct"/>
            <w:vMerge w:val="continue"/>
            <w:vAlign w:val="center"/>
          </w:tcPr>
          <w:p w14:paraId="6C3C8D6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21"/>
                <w:szCs w:val="21"/>
                <w:highlight w:val="none"/>
                <w:u w:val="none" w:color="auto"/>
                <w:lang w:val="en-US" w:eastAsia="zh-CN" w:bidi="ar-SA"/>
              </w:rPr>
            </w:pPr>
          </w:p>
        </w:tc>
        <w:tc>
          <w:tcPr>
            <w:tcW w:w="1332" w:type="pct"/>
            <w:vMerge w:val="continue"/>
            <w:vAlign w:val="center"/>
          </w:tcPr>
          <w:p w14:paraId="7403631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21"/>
                <w:szCs w:val="21"/>
                <w:highlight w:val="none"/>
                <w:u w:val="none" w:color="auto"/>
                <w:lang w:val="en-US" w:eastAsia="zh-CN" w:bidi="ar-SA"/>
              </w:rPr>
            </w:pPr>
          </w:p>
        </w:tc>
        <w:tc>
          <w:tcPr>
            <w:tcW w:w="693" w:type="pct"/>
            <w:vAlign w:val="center"/>
          </w:tcPr>
          <w:p w14:paraId="0FA7C19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u w:val="none" w:color="auto"/>
                <w:lang w:val="en-US" w:eastAsia="zh-CN"/>
              </w:rPr>
            </w:pPr>
            <w:r>
              <w:rPr>
                <w:rFonts w:hint="eastAsia" w:cs="Times New Roman"/>
                <w:color w:val="auto"/>
                <w:sz w:val="21"/>
                <w:szCs w:val="21"/>
                <w:highlight w:val="none"/>
                <w:u w:val="none" w:color="auto"/>
                <w:lang w:val="en-US" w:eastAsia="zh-CN"/>
              </w:rPr>
              <w:t>铜</w:t>
            </w:r>
          </w:p>
        </w:tc>
        <w:tc>
          <w:tcPr>
            <w:tcW w:w="518" w:type="pct"/>
            <w:vAlign w:val="center"/>
          </w:tcPr>
          <w:p w14:paraId="0E926AA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highlight w:val="none"/>
                <w:u w:val="none" w:color="auto"/>
                <w:lang w:val="en-US" w:eastAsia="zh-CN"/>
              </w:rPr>
            </w:pPr>
            <w:r>
              <w:rPr>
                <w:rFonts w:hint="default"/>
                <w:color w:val="auto"/>
                <w:sz w:val="21"/>
                <w:szCs w:val="21"/>
                <w:highlight w:val="none"/>
                <w:u w:val="none" w:color="auto"/>
              </w:rPr>
              <w:t>mg/L</w:t>
            </w:r>
          </w:p>
        </w:tc>
        <w:tc>
          <w:tcPr>
            <w:tcW w:w="1988" w:type="pct"/>
            <w:vAlign w:val="center"/>
          </w:tcPr>
          <w:p w14:paraId="2D23ECB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MS UI Gothic" w:cs="Times New Roman"/>
                <w:color w:val="auto"/>
                <w:sz w:val="21"/>
                <w:szCs w:val="21"/>
                <w:highlight w:val="none"/>
                <w:u w:val="none" w:color="auto"/>
              </w:rPr>
              <w:t>≤</w:t>
            </w:r>
            <w:r>
              <w:rPr>
                <w:rFonts w:hint="eastAsia" w:eastAsia="宋体" w:cs="Times New Roman"/>
                <w:color w:val="auto"/>
                <w:sz w:val="21"/>
                <w:szCs w:val="21"/>
                <w:highlight w:val="none"/>
                <w:u w:val="none" w:color="auto"/>
                <w:lang w:val="en-US" w:eastAsia="zh-CN"/>
              </w:rPr>
              <w:t>1.0</w:t>
            </w:r>
          </w:p>
        </w:tc>
      </w:tr>
      <w:tr w14:paraId="0DD804A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68" w:type="pct"/>
            <w:vMerge w:val="continue"/>
            <w:vAlign w:val="center"/>
          </w:tcPr>
          <w:p w14:paraId="69D9942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21"/>
                <w:szCs w:val="21"/>
                <w:highlight w:val="none"/>
                <w:u w:val="none" w:color="auto"/>
                <w:lang w:val="en-US" w:eastAsia="zh-CN" w:bidi="ar-SA"/>
              </w:rPr>
            </w:pPr>
          </w:p>
        </w:tc>
        <w:tc>
          <w:tcPr>
            <w:tcW w:w="1332" w:type="pct"/>
            <w:vMerge w:val="continue"/>
            <w:vAlign w:val="center"/>
          </w:tcPr>
          <w:p w14:paraId="56C4044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21"/>
                <w:szCs w:val="21"/>
                <w:highlight w:val="none"/>
                <w:u w:val="none" w:color="auto"/>
                <w:lang w:val="en-US" w:eastAsia="zh-CN" w:bidi="ar-SA"/>
              </w:rPr>
            </w:pPr>
          </w:p>
        </w:tc>
        <w:tc>
          <w:tcPr>
            <w:tcW w:w="693" w:type="pct"/>
            <w:vAlign w:val="center"/>
          </w:tcPr>
          <w:p w14:paraId="260D9AE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sz w:val="21"/>
                <w:szCs w:val="21"/>
                <w:highlight w:val="none"/>
                <w:u w:val="none" w:color="auto"/>
                <w:lang w:val="en-US" w:eastAsia="zh-CN"/>
              </w:rPr>
            </w:pPr>
            <w:r>
              <w:rPr>
                <w:rFonts w:hint="eastAsia" w:cs="Times New Roman"/>
                <w:color w:val="auto"/>
                <w:sz w:val="21"/>
                <w:szCs w:val="21"/>
                <w:highlight w:val="none"/>
                <w:u w:val="none" w:color="auto"/>
                <w:lang w:val="en-US" w:eastAsia="zh-CN"/>
              </w:rPr>
              <w:t>锌</w:t>
            </w:r>
          </w:p>
        </w:tc>
        <w:tc>
          <w:tcPr>
            <w:tcW w:w="518" w:type="pct"/>
            <w:vAlign w:val="center"/>
          </w:tcPr>
          <w:p w14:paraId="561258A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sz w:val="21"/>
                <w:szCs w:val="21"/>
                <w:highlight w:val="none"/>
                <w:u w:val="none" w:color="auto"/>
              </w:rPr>
            </w:pPr>
            <w:r>
              <w:rPr>
                <w:rFonts w:hint="default"/>
                <w:color w:val="auto"/>
                <w:sz w:val="21"/>
                <w:szCs w:val="21"/>
                <w:highlight w:val="none"/>
                <w:u w:val="none" w:color="auto"/>
              </w:rPr>
              <w:t>mg/L</w:t>
            </w:r>
          </w:p>
        </w:tc>
        <w:tc>
          <w:tcPr>
            <w:tcW w:w="1988" w:type="pct"/>
            <w:vAlign w:val="center"/>
          </w:tcPr>
          <w:p w14:paraId="42A5757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MS UI Gothic" w:cs="Times New Roman"/>
                <w:color w:val="auto"/>
                <w:sz w:val="21"/>
                <w:szCs w:val="21"/>
                <w:highlight w:val="none"/>
                <w:u w:val="none" w:color="auto"/>
              </w:rPr>
              <w:t>≤</w:t>
            </w:r>
            <w:r>
              <w:rPr>
                <w:rFonts w:hint="eastAsia" w:eastAsia="宋体" w:cs="Times New Roman"/>
                <w:color w:val="auto"/>
                <w:sz w:val="21"/>
                <w:szCs w:val="21"/>
                <w:highlight w:val="none"/>
                <w:u w:val="none" w:color="auto"/>
                <w:lang w:val="en-US" w:eastAsia="zh-CN"/>
              </w:rPr>
              <w:t>1.0</w:t>
            </w:r>
          </w:p>
        </w:tc>
      </w:tr>
      <w:tr w14:paraId="533C756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68" w:type="pct"/>
            <w:vMerge w:val="continue"/>
            <w:vAlign w:val="center"/>
          </w:tcPr>
          <w:p w14:paraId="5B2AFF8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21"/>
                <w:szCs w:val="21"/>
                <w:highlight w:val="none"/>
                <w:u w:val="none" w:color="auto"/>
                <w:lang w:val="en-US" w:eastAsia="zh-CN" w:bidi="ar-SA"/>
              </w:rPr>
            </w:pPr>
          </w:p>
        </w:tc>
        <w:tc>
          <w:tcPr>
            <w:tcW w:w="1332" w:type="pct"/>
            <w:vMerge w:val="continue"/>
            <w:vAlign w:val="center"/>
          </w:tcPr>
          <w:p w14:paraId="4381E44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21"/>
                <w:szCs w:val="21"/>
                <w:highlight w:val="none"/>
                <w:u w:val="none" w:color="auto"/>
                <w:lang w:val="en-US" w:eastAsia="zh-CN" w:bidi="ar-SA"/>
              </w:rPr>
            </w:pPr>
          </w:p>
        </w:tc>
        <w:tc>
          <w:tcPr>
            <w:tcW w:w="693" w:type="pct"/>
            <w:vAlign w:val="center"/>
          </w:tcPr>
          <w:p w14:paraId="312639B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sz w:val="21"/>
                <w:szCs w:val="21"/>
                <w:highlight w:val="none"/>
                <w:u w:val="none" w:color="auto"/>
                <w:lang w:val="en-US" w:eastAsia="zh-CN"/>
              </w:rPr>
            </w:pPr>
            <w:r>
              <w:rPr>
                <w:rFonts w:hint="eastAsia" w:cs="Times New Roman"/>
                <w:color w:val="auto"/>
                <w:sz w:val="21"/>
                <w:szCs w:val="21"/>
                <w:highlight w:val="none"/>
                <w:u w:val="none" w:color="auto"/>
                <w:lang w:val="en-US" w:eastAsia="zh-CN"/>
              </w:rPr>
              <w:t>砷</w:t>
            </w:r>
          </w:p>
        </w:tc>
        <w:tc>
          <w:tcPr>
            <w:tcW w:w="518" w:type="pct"/>
            <w:vAlign w:val="center"/>
          </w:tcPr>
          <w:p w14:paraId="65FE4BA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sz w:val="21"/>
                <w:szCs w:val="21"/>
                <w:highlight w:val="none"/>
                <w:u w:val="none" w:color="auto"/>
              </w:rPr>
            </w:pPr>
            <w:r>
              <w:rPr>
                <w:rFonts w:hint="default"/>
                <w:color w:val="auto"/>
                <w:sz w:val="21"/>
                <w:szCs w:val="21"/>
                <w:highlight w:val="none"/>
                <w:u w:val="none" w:color="auto"/>
              </w:rPr>
              <w:t>mg/L</w:t>
            </w:r>
          </w:p>
        </w:tc>
        <w:tc>
          <w:tcPr>
            <w:tcW w:w="1988" w:type="pct"/>
            <w:vAlign w:val="center"/>
          </w:tcPr>
          <w:p w14:paraId="3CD0933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MS UI Gothic" w:cs="Times New Roman"/>
                <w:color w:val="auto"/>
                <w:sz w:val="21"/>
                <w:szCs w:val="21"/>
                <w:highlight w:val="none"/>
                <w:u w:val="none" w:color="auto"/>
              </w:rPr>
              <w:t>≤</w:t>
            </w:r>
            <w:r>
              <w:rPr>
                <w:rFonts w:hint="eastAsia" w:eastAsia="宋体" w:cs="Times New Roman"/>
                <w:color w:val="auto"/>
                <w:sz w:val="21"/>
                <w:szCs w:val="21"/>
                <w:highlight w:val="none"/>
                <w:u w:val="none" w:color="auto"/>
                <w:lang w:val="en-US" w:eastAsia="zh-CN"/>
              </w:rPr>
              <w:t>0.05</w:t>
            </w:r>
          </w:p>
        </w:tc>
      </w:tr>
      <w:tr w14:paraId="3C69830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68" w:type="pct"/>
            <w:vMerge w:val="continue"/>
            <w:vAlign w:val="center"/>
          </w:tcPr>
          <w:p w14:paraId="3356A4D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21"/>
                <w:szCs w:val="21"/>
                <w:highlight w:val="none"/>
                <w:u w:val="none" w:color="auto"/>
                <w:lang w:val="en-US" w:eastAsia="zh-CN" w:bidi="ar-SA"/>
              </w:rPr>
            </w:pPr>
          </w:p>
        </w:tc>
        <w:tc>
          <w:tcPr>
            <w:tcW w:w="1332" w:type="pct"/>
            <w:vMerge w:val="continue"/>
            <w:vAlign w:val="center"/>
          </w:tcPr>
          <w:p w14:paraId="02AC597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21"/>
                <w:szCs w:val="21"/>
                <w:highlight w:val="none"/>
                <w:u w:val="none" w:color="auto"/>
                <w:lang w:val="en-US" w:eastAsia="zh-CN" w:bidi="ar-SA"/>
              </w:rPr>
            </w:pPr>
          </w:p>
        </w:tc>
        <w:tc>
          <w:tcPr>
            <w:tcW w:w="693" w:type="pct"/>
            <w:vAlign w:val="center"/>
          </w:tcPr>
          <w:p w14:paraId="3B5FFCB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sz w:val="21"/>
                <w:szCs w:val="21"/>
                <w:highlight w:val="none"/>
                <w:u w:val="none" w:color="auto"/>
                <w:lang w:val="en-US" w:eastAsia="zh-CN"/>
              </w:rPr>
            </w:pPr>
            <w:r>
              <w:rPr>
                <w:rFonts w:hint="eastAsia" w:cs="Times New Roman"/>
                <w:color w:val="auto"/>
                <w:sz w:val="21"/>
                <w:szCs w:val="21"/>
                <w:highlight w:val="none"/>
                <w:u w:val="none" w:color="auto"/>
                <w:lang w:val="en-US" w:eastAsia="zh-CN"/>
              </w:rPr>
              <w:t>镉</w:t>
            </w:r>
          </w:p>
        </w:tc>
        <w:tc>
          <w:tcPr>
            <w:tcW w:w="518" w:type="pct"/>
            <w:vAlign w:val="center"/>
          </w:tcPr>
          <w:p w14:paraId="618CD05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sz w:val="21"/>
                <w:szCs w:val="21"/>
                <w:highlight w:val="none"/>
                <w:u w:val="none" w:color="auto"/>
              </w:rPr>
            </w:pPr>
            <w:r>
              <w:rPr>
                <w:rFonts w:hint="default"/>
                <w:color w:val="auto"/>
                <w:sz w:val="21"/>
                <w:szCs w:val="21"/>
                <w:highlight w:val="none"/>
                <w:u w:val="none" w:color="auto"/>
              </w:rPr>
              <w:t>mg/L</w:t>
            </w:r>
          </w:p>
        </w:tc>
        <w:tc>
          <w:tcPr>
            <w:tcW w:w="1988" w:type="pct"/>
            <w:vAlign w:val="center"/>
          </w:tcPr>
          <w:p w14:paraId="585A1A5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MS UI Gothic" w:cs="Times New Roman"/>
                <w:color w:val="auto"/>
                <w:sz w:val="21"/>
                <w:szCs w:val="21"/>
                <w:highlight w:val="none"/>
                <w:u w:val="none" w:color="auto"/>
              </w:rPr>
              <w:t>≤</w:t>
            </w:r>
            <w:r>
              <w:rPr>
                <w:rFonts w:hint="eastAsia" w:eastAsia="宋体" w:cs="Times New Roman"/>
                <w:color w:val="auto"/>
                <w:sz w:val="21"/>
                <w:szCs w:val="21"/>
                <w:highlight w:val="none"/>
                <w:u w:val="none" w:color="auto"/>
                <w:lang w:val="en-US" w:eastAsia="zh-CN"/>
              </w:rPr>
              <w:t>0.005</w:t>
            </w:r>
          </w:p>
        </w:tc>
      </w:tr>
      <w:tr w14:paraId="40704F0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68" w:type="pct"/>
            <w:vMerge w:val="continue"/>
            <w:vAlign w:val="center"/>
          </w:tcPr>
          <w:p w14:paraId="6EA58F3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21"/>
                <w:szCs w:val="21"/>
                <w:highlight w:val="none"/>
                <w:u w:val="none" w:color="auto"/>
                <w:lang w:val="en-US" w:eastAsia="zh-CN" w:bidi="ar-SA"/>
              </w:rPr>
            </w:pPr>
          </w:p>
        </w:tc>
        <w:tc>
          <w:tcPr>
            <w:tcW w:w="1332" w:type="pct"/>
            <w:vMerge w:val="continue"/>
            <w:vAlign w:val="center"/>
          </w:tcPr>
          <w:p w14:paraId="24F8C37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21"/>
                <w:szCs w:val="21"/>
                <w:highlight w:val="none"/>
                <w:u w:val="none" w:color="auto"/>
                <w:lang w:val="en-US" w:eastAsia="zh-CN" w:bidi="ar-SA"/>
              </w:rPr>
            </w:pPr>
          </w:p>
        </w:tc>
        <w:tc>
          <w:tcPr>
            <w:tcW w:w="693" w:type="pct"/>
            <w:vAlign w:val="center"/>
          </w:tcPr>
          <w:p w14:paraId="59F710A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sz w:val="21"/>
                <w:szCs w:val="21"/>
                <w:highlight w:val="none"/>
                <w:u w:val="none" w:color="auto"/>
                <w:lang w:val="en-US" w:eastAsia="zh-CN"/>
              </w:rPr>
            </w:pPr>
            <w:r>
              <w:rPr>
                <w:rFonts w:hint="eastAsia" w:cs="Times New Roman"/>
                <w:color w:val="auto"/>
                <w:sz w:val="21"/>
                <w:szCs w:val="21"/>
                <w:highlight w:val="none"/>
                <w:u w:val="none" w:color="auto"/>
                <w:lang w:val="en-US" w:eastAsia="zh-CN"/>
              </w:rPr>
              <w:t>铅</w:t>
            </w:r>
          </w:p>
        </w:tc>
        <w:tc>
          <w:tcPr>
            <w:tcW w:w="518" w:type="pct"/>
            <w:vAlign w:val="center"/>
          </w:tcPr>
          <w:p w14:paraId="10B07AA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sz w:val="21"/>
                <w:szCs w:val="21"/>
                <w:highlight w:val="none"/>
                <w:u w:val="none" w:color="auto"/>
              </w:rPr>
            </w:pPr>
            <w:r>
              <w:rPr>
                <w:rFonts w:hint="default"/>
                <w:color w:val="auto"/>
                <w:sz w:val="21"/>
                <w:szCs w:val="21"/>
                <w:highlight w:val="none"/>
                <w:u w:val="none" w:color="auto"/>
              </w:rPr>
              <w:t>mg/L</w:t>
            </w:r>
          </w:p>
        </w:tc>
        <w:tc>
          <w:tcPr>
            <w:tcW w:w="1988" w:type="pct"/>
            <w:vAlign w:val="center"/>
          </w:tcPr>
          <w:p w14:paraId="6DB9929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MS UI Gothic" w:cs="Times New Roman"/>
                <w:color w:val="auto"/>
                <w:sz w:val="21"/>
                <w:szCs w:val="21"/>
                <w:highlight w:val="none"/>
                <w:u w:val="none" w:color="auto"/>
              </w:rPr>
              <w:t>≤</w:t>
            </w:r>
            <w:r>
              <w:rPr>
                <w:rFonts w:hint="eastAsia" w:eastAsia="宋体" w:cs="Times New Roman"/>
                <w:color w:val="auto"/>
                <w:sz w:val="21"/>
                <w:szCs w:val="21"/>
                <w:highlight w:val="none"/>
                <w:u w:val="none" w:color="auto"/>
                <w:lang w:val="en-US" w:eastAsia="zh-CN"/>
              </w:rPr>
              <w:t>0.05</w:t>
            </w:r>
          </w:p>
        </w:tc>
      </w:tr>
      <w:tr w14:paraId="11BB162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68" w:type="pct"/>
            <w:vMerge w:val="continue"/>
            <w:vAlign w:val="center"/>
          </w:tcPr>
          <w:p w14:paraId="5222F8A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21"/>
                <w:szCs w:val="21"/>
                <w:highlight w:val="none"/>
                <w:u w:val="none" w:color="auto"/>
                <w:lang w:val="en-US" w:eastAsia="zh-CN" w:bidi="ar-SA"/>
              </w:rPr>
            </w:pPr>
          </w:p>
        </w:tc>
        <w:tc>
          <w:tcPr>
            <w:tcW w:w="1332" w:type="pct"/>
            <w:vMerge w:val="continue"/>
            <w:vAlign w:val="center"/>
          </w:tcPr>
          <w:p w14:paraId="10336BD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21"/>
                <w:szCs w:val="21"/>
                <w:highlight w:val="none"/>
                <w:u w:val="none" w:color="auto"/>
                <w:lang w:val="en-US" w:eastAsia="zh-CN" w:bidi="ar-SA"/>
              </w:rPr>
            </w:pPr>
          </w:p>
        </w:tc>
        <w:tc>
          <w:tcPr>
            <w:tcW w:w="693" w:type="pct"/>
            <w:vAlign w:val="center"/>
          </w:tcPr>
          <w:p w14:paraId="6AA7B2B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sz w:val="21"/>
                <w:szCs w:val="21"/>
                <w:highlight w:val="none"/>
                <w:u w:val="none" w:color="auto"/>
                <w:lang w:val="en-US" w:eastAsia="zh-CN"/>
              </w:rPr>
            </w:pPr>
            <w:r>
              <w:rPr>
                <w:rFonts w:hint="eastAsia" w:cs="Times New Roman"/>
                <w:color w:val="auto"/>
                <w:sz w:val="21"/>
                <w:szCs w:val="21"/>
                <w:highlight w:val="none"/>
                <w:u w:val="none" w:color="auto"/>
                <w:lang w:val="en-US" w:eastAsia="zh-CN"/>
              </w:rPr>
              <w:t>汞</w:t>
            </w:r>
          </w:p>
        </w:tc>
        <w:tc>
          <w:tcPr>
            <w:tcW w:w="518" w:type="pct"/>
            <w:vAlign w:val="center"/>
          </w:tcPr>
          <w:p w14:paraId="4B18338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sz w:val="21"/>
                <w:szCs w:val="21"/>
                <w:highlight w:val="none"/>
                <w:u w:val="none" w:color="auto"/>
              </w:rPr>
            </w:pPr>
            <w:r>
              <w:rPr>
                <w:rFonts w:hint="default"/>
                <w:color w:val="auto"/>
                <w:sz w:val="21"/>
                <w:szCs w:val="21"/>
                <w:highlight w:val="none"/>
                <w:u w:val="none" w:color="auto"/>
              </w:rPr>
              <w:t>mg/L</w:t>
            </w:r>
          </w:p>
        </w:tc>
        <w:tc>
          <w:tcPr>
            <w:tcW w:w="1988" w:type="pct"/>
            <w:vAlign w:val="center"/>
          </w:tcPr>
          <w:p w14:paraId="6126AA0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MS UI Gothic" w:cs="Times New Roman"/>
                <w:color w:val="auto"/>
                <w:sz w:val="21"/>
                <w:szCs w:val="21"/>
                <w:highlight w:val="none"/>
                <w:u w:val="none" w:color="auto"/>
              </w:rPr>
              <w:t>≤</w:t>
            </w:r>
            <w:r>
              <w:rPr>
                <w:rFonts w:hint="eastAsia" w:eastAsia="宋体" w:cs="Times New Roman"/>
                <w:color w:val="auto"/>
                <w:sz w:val="21"/>
                <w:szCs w:val="21"/>
                <w:highlight w:val="none"/>
                <w:u w:val="none" w:color="auto"/>
                <w:lang w:val="en-US" w:eastAsia="zh-CN"/>
              </w:rPr>
              <w:t>0.0001</w:t>
            </w:r>
          </w:p>
        </w:tc>
      </w:tr>
      <w:tr w14:paraId="5A31B06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000" w:type="pct"/>
            <w:gridSpan w:val="5"/>
            <w:vAlign w:val="center"/>
          </w:tcPr>
          <w:p w14:paraId="18337CFE">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eastAsia="宋体" w:cs="Times New Roman"/>
                <w:color w:val="auto"/>
                <w:sz w:val="21"/>
                <w:szCs w:val="21"/>
                <w:highlight w:val="none"/>
                <w:u w:val="none" w:color="auto"/>
                <w:lang w:val="en-US" w:eastAsia="zh-CN"/>
              </w:rPr>
            </w:pPr>
            <w:r>
              <w:rPr>
                <w:rFonts w:hint="eastAsia" w:eastAsia="宋体" w:cs="Times New Roman"/>
                <w:color w:val="auto"/>
                <w:sz w:val="21"/>
                <w:szCs w:val="21"/>
                <w:highlight w:val="none"/>
                <w:u w:val="none" w:color="auto"/>
                <w:lang w:val="en-US" w:eastAsia="zh-CN"/>
              </w:rPr>
              <w:t>注：镍执行《地表水环境质量标准》（GB3838-2002）中表3集中式生活饮用水地表水源地特定项目标准限值。</w:t>
            </w:r>
          </w:p>
        </w:tc>
      </w:tr>
    </w:tbl>
    <w:p w14:paraId="0A3CFF94">
      <w:pPr>
        <w:bidi w:val="0"/>
        <w:rPr>
          <w:rFonts w:hint="eastAsia"/>
          <w:b/>
          <w:bCs/>
          <w:color w:val="auto"/>
          <w:highlight w:val="none"/>
          <w:u w:val="none" w:color="auto"/>
          <w:lang w:val="en-US" w:eastAsia="zh-CN"/>
        </w:rPr>
      </w:pPr>
      <w:r>
        <w:rPr>
          <w:rFonts w:hint="eastAsia"/>
          <w:b/>
          <w:bCs/>
          <w:color w:val="auto"/>
          <w:highlight w:val="none"/>
          <w:u w:val="none" w:color="auto"/>
          <w:lang w:val="en-US" w:eastAsia="zh-CN"/>
        </w:rPr>
        <w:t>（3）地下水环境</w:t>
      </w:r>
    </w:p>
    <w:p w14:paraId="446B0405">
      <w:pPr>
        <w:bidi w:val="0"/>
        <w:ind w:left="0" w:leftChars="0" w:firstLine="0" w:firstLineChars="0"/>
        <w:jc w:val="center"/>
        <w:rPr>
          <w:rFonts w:hint="eastAsia" w:ascii="Times New Roman" w:hAnsi="Times New Roman" w:eastAsia="宋体" w:cs="Times New Roman"/>
          <w:color w:val="auto"/>
          <w:highlight w:val="none"/>
          <w:u w:val="none" w:color="auto"/>
          <w:lang w:eastAsia="zh-CN"/>
        </w:rPr>
      </w:pPr>
      <w:r>
        <w:rPr>
          <w:rFonts w:hint="eastAsia" w:cs="Times New Roman"/>
          <w:color w:val="auto"/>
          <w:highlight w:val="none"/>
          <w:u w:val="none" w:color="auto"/>
          <w:lang w:eastAsia="zh-CN"/>
        </w:rPr>
        <w:t>项目所在区域地下水执行</w:t>
      </w:r>
      <w:r>
        <w:rPr>
          <w:rFonts w:hint="default" w:ascii="Times New Roman" w:hAnsi="Times New Roman" w:cs="Times New Roman"/>
          <w:color w:val="auto"/>
          <w:highlight w:val="none"/>
          <w:u w:val="none" w:color="auto"/>
        </w:rPr>
        <w:t>《地下水质量标准》（GB/T14848-2017）Ⅲ类标准</w:t>
      </w:r>
      <w:r>
        <w:rPr>
          <w:rFonts w:hint="eastAsia" w:cs="Times New Roman"/>
          <w:color w:val="auto"/>
          <w:highlight w:val="none"/>
          <w:u w:val="none" w:color="auto"/>
          <w:lang w:eastAsia="zh-CN"/>
        </w:rPr>
        <w:t>。</w:t>
      </w:r>
    </w:p>
    <w:p w14:paraId="1AA059B2">
      <w:pPr>
        <w:bidi w:val="0"/>
        <w:ind w:left="0" w:leftChars="0" w:firstLine="0" w:firstLineChars="0"/>
        <w:jc w:val="center"/>
        <w:rPr>
          <w:rFonts w:hint="eastAsia"/>
          <w:b/>
          <w:bCs/>
          <w:color w:val="auto"/>
          <w:sz w:val="21"/>
          <w:szCs w:val="21"/>
          <w:highlight w:val="none"/>
          <w:u w:val="none" w:color="auto"/>
          <w:lang w:val="en-US" w:eastAsia="zh-CN"/>
        </w:rPr>
      </w:pPr>
      <w:r>
        <w:rPr>
          <w:rFonts w:hint="eastAsia"/>
          <w:b/>
          <w:bCs/>
          <w:color w:val="auto"/>
          <w:sz w:val="21"/>
          <w:szCs w:val="21"/>
          <w:highlight w:val="none"/>
          <w:u w:val="none" w:color="auto"/>
          <w:lang w:val="en-US" w:eastAsia="zh-CN"/>
        </w:rPr>
        <w:t>表2.4-4  地下水质量标准</w:t>
      </w:r>
    </w:p>
    <w:tbl>
      <w:tblPr>
        <w:tblStyle w:val="35"/>
        <w:tblW w:w="4996"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378"/>
        <w:gridCol w:w="2042"/>
        <w:gridCol w:w="2417"/>
        <w:gridCol w:w="2012"/>
        <w:gridCol w:w="1377"/>
      </w:tblGrid>
      <w:tr w14:paraId="62BC035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tblHeader/>
          <w:jc w:val="center"/>
        </w:trPr>
        <w:tc>
          <w:tcPr>
            <w:tcW w:w="746" w:type="pct"/>
            <w:noWrap w:val="0"/>
            <w:vAlign w:val="center"/>
          </w:tcPr>
          <w:p w14:paraId="04AEB224">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cs="Times New Roman"/>
                <w:b/>
                <w:bCs/>
                <w:color w:val="auto"/>
                <w:sz w:val="21"/>
                <w:szCs w:val="21"/>
                <w:highlight w:val="none"/>
                <w:u w:val="none" w:color="auto"/>
                <w:lang w:val="en-US" w:eastAsia="zh-CN"/>
              </w:rPr>
            </w:pPr>
            <w:r>
              <w:rPr>
                <w:rFonts w:hint="default" w:ascii="Times New Roman" w:hAnsi="Times New Roman" w:cs="Times New Roman"/>
                <w:b/>
                <w:bCs/>
                <w:color w:val="auto"/>
                <w:sz w:val="21"/>
                <w:szCs w:val="21"/>
                <w:highlight w:val="none"/>
                <w:u w:val="none" w:color="auto"/>
                <w:lang w:val="en-US" w:eastAsia="zh-CN"/>
              </w:rPr>
              <w:t>评价对象</w:t>
            </w:r>
          </w:p>
        </w:tc>
        <w:tc>
          <w:tcPr>
            <w:tcW w:w="1106" w:type="pct"/>
            <w:noWrap w:val="0"/>
            <w:vAlign w:val="center"/>
          </w:tcPr>
          <w:p w14:paraId="221B17B8">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cs="Times New Roman"/>
                <w:b/>
                <w:bCs/>
                <w:color w:val="auto"/>
                <w:sz w:val="21"/>
                <w:szCs w:val="21"/>
                <w:highlight w:val="none"/>
                <w:u w:val="none" w:color="auto"/>
                <w:lang w:val="en-US" w:eastAsia="zh-CN"/>
              </w:rPr>
            </w:pPr>
            <w:r>
              <w:rPr>
                <w:rFonts w:hint="default" w:ascii="Times New Roman" w:hAnsi="Times New Roman" w:cs="Times New Roman"/>
                <w:b/>
                <w:bCs/>
                <w:color w:val="auto"/>
                <w:sz w:val="21"/>
                <w:szCs w:val="21"/>
                <w:highlight w:val="none"/>
                <w:u w:val="none" w:color="auto"/>
                <w:lang w:val="en-US" w:eastAsia="zh-CN"/>
              </w:rPr>
              <w:t>评价标准名称</w:t>
            </w:r>
          </w:p>
        </w:tc>
        <w:tc>
          <w:tcPr>
            <w:tcW w:w="1309" w:type="pct"/>
            <w:noWrap w:val="0"/>
            <w:vAlign w:val="center"/>
          </w:tcPr>
          <w:p w14:paraId="48C25DAA">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cs="Times New Roman"/>
                <w:b/>
                <w:bCs/>
                <w:color w:val="auto"/>
                <w:sz w:val="21"/>
                <w:szCs w:val="21"/>
                <w:highlight w:val="none"/>
                <w:u w:val="none" w:color="auto"/>
                <w:lang w:val="en-US" w:eastAsia="zh-CN"/>
              </w:rPr>
            </w:pPr>
            <w:r>
              <w:rPr>
                <w:rFonts w:hint="default" w:ascii="Times New Roman" w:hAnsi="Times New Roman" w:cs="Times New Roman"/>
                <w:b/>
                <w:bCs/>
                <w:color w:val="auto"/>
                <w:sz w:val="21"/>
                <w:szCs w:val="21"/>
                <w:highlight w:val="none"/>
                <w:u w:val="none" w:color="auto"/>
                <w:lang w:val="en-US" w:eastAsia="zh-CN"/>
              </w:rPr>
              <w:t>评价因子</w:t>
            </w:r>
          </w:p>
        </w:tc>
        <w:tc>
          <w:tcPr>
            <w:tcW w:w="1090" w:type="pct"/>
            <w:noWrap w:val="0"/>
            <w:vAlign w:val="center"/>
          </w:tcPr>
          <w:p w14:paraId="3799D799">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cs="Times New Roman"/>
                <w:b/>
                <w:bCs/>
                <w:color w:val="auto"/>
                <w:sz w:val="21"/>
                <w:szCs w:val="21"/>
                <w:highlight w:val="none"/>
                <w:u w:val="none" w:color="auto"/>
                <w:lang w:val="en-US" w:eastAsia="zh-CN"/>
              </w:rPr>
            </w:pPr>
            <w:r>
              <w:rPr>
                <w:rFonts w:hint="default" w:ascii="Times New Roman" w:hAnsi="Times New Roman" w:cs="Times New Roman"/>
                <w:b/>
                <w:bCs/>
                <w:color w:val="auto"/>
                <w:sz w:val="21"/>
                <w:szCs w:val="21"/>
                <w:highlight w:val="none"/>
                <w:u w:val="none" w:color="auto"/>
                <w:lang w:val="en-US" w:eastAsia="zh-CN"/>
              </w:rPr>
              <w:t>单位</w:t>
            </w:r>
          </w:p>
        </w:tc>
        <w:tc>
          <w:tcPr>
            <w:tcW w:w="746" w:type="pct"/>
            <w:noWrap w:val="0"/>
            <w:vAlign w:val="center"/>
          </w:tcPr>
          <w:p w14:paraId="2B461570">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cs="Times New Roman"/>
                <w:b/>
                <w:bCs/>
                <w:color w:val="auto"/>
                <w:sz w:val="21"/>
                <w:szCs w:val="21"/>
                <w:highlight w:val="none"/>
                <w:u w:val="none" w:color="auto"/>
                <w:lang w:val="en-US" w:eastAsia="zh-CN"/>
              </w:rPr>
            </w:pPr>
            <w:r>
              <w:rPr>
                <w:rFonts w:hint="default" w:ascii="Times New Roman" w:hAnsi="Times New Roman" w:cs="Times New Roman"/>
                <w:b/>
                <w:bCs/>
                <w:color w:val="auto"/>
                <w:sz w:val="21"/>
                <w:szCs w:val="21"/>
                <w:highlight w:val="none"/>
                <w:u w:val="none" w:color="auto"/>
                <w:lang w:val="en-US" w:eastAsia="zh-CN"/>
              </w:rPr>
              <w:t>Ⅲ类标准值</w:t>
            </w:r>
          </w:p>
        </w:tc>
      </w:tr>
      <w:tr w14:paraId="54CE487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46" w:type="pct"/>
            <w:vMerge w:val="restart"/>
            <w:noWrap w:val="0"/>
            <w:vAlign w:val="center"/>
          </w:tcPr>
          <w:p w14:paraId="6B9F4C0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highlight w:val="none"/>
                <w:u w:val="none" w:color="auto"/>
                <w:lang w:val="en-US" w:eastAsia="zh-CN"/>
              </w:rPr>
            </w:pPr>
            <w:r>
              <w:rPr>
                <w:rFonts w:hint="eastAsia"/>
                <w:color w:val="auto"/>
                <w:sz w:val="21"/>
                <w:szCs w:val="21"/>
                <w:highlight w:val="none"/>
                <w:u w:val="none" w:color="auto"/>
                <w:lang w:val="en-US" w:eastAsia="zh-CN"/>
              </w:rPr>
              <w:t>地下水环境</w:t>
            </w:r>
          </w:p>
        </w:tc>
        <w:tc>
          <w:tcPr>
            <w:tcW w:w="1106" w:type="pct"/>
            <w:vMerge w:val="restart"/>
            <w:noWrap w:val="0"/>
            <w:vAlign w:val="center"/>
          </w:tcPr>
          <w:p w14:paraId="14CB4DB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highlight w:val="none"/>
                <w:u w:val="none" w:color="auto"/>
                <w:lang w:val="en-US" w:eastAsia="zh-CN"/>
              </w:rPr>
            </w:pPr>
            <w:r>
              <w:rPr>
                <w:rFonts w:hint="eastAsia"/>
                <w:color w:val="auto"/>
                <w:sz w:val="21"/>
                <w:szCs w:val="21"/>
                <w:highlight w:val="none"/>
                <w:u w:val="none" w:color="auto"/>
                <w:lang w:val="en-US" w:eastAsia="zh-CN"/>
              </w:rPr>
              <w:t>《地下水质量标准》（GB/T14848-2017）</w:t>
            </w:r>
          </w:p>
        </w:tc>
        <w:tc>
          <w:tcPr>
            <w:tcW w:w="1309" w:type="pct"/>
            <w:noWrap w:val="0"/>
            <w:vAlign w:val="center"/>
          </w:tcPr>
          <w:p w14:paraId="1005BD5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color w:val="auto"/>
                <w:sz w:val="21"/>
                <w:szCs w:val="21"/>
                <w:highlight w:val="none"/>
                <w:u w:val="none" w:color="auto"/>
                <w:lang w:val="en-US" w:eastAsia="zh-CN"/>
              </w:rPr>
            </w:pPr>
            <w:r>
              <w:rPr>
                <w:rFonts w:hint="eastAsia" w:ascii="Times New Roman" w:hAnsi="Times New Roman" w:cs="Times New Roman"/>
                <w:color w:val="auto"/>
                <w:sz w:val="21"/>
                <w:szCs w:val="21"/>
                <w:highlight w:val="none"/>
                <w:u w:val="none" w:color="auto"/>
                <w:lang w:val="en-US" w:eastAsia="zh-CN"/>
              </w:rPr>
              <w:t>pH</w:t>
            </w:r>
          </w:p>
        </w:tc>
        <w:tc>
          <w:tcPr>
            <w:tcW w:w="1090" w:type="pct"/>
            <w:noWrap w:val="0"/>
            <w:vAlign w:val="center"/>
          </w:tcPr>
          <w:p w14:paraId="301324C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highlight w:val="none"/>
                <w:u w:val="none" w:color="auto"/>
                <w:lang w:val="en-US" w:eastAsia="zh-CN"/>
              </w:rPr>
            </w:pPr>
            <w:r>
              <w:rPr>
                <w:rFonts w:hint="eastAsia"/>
                <w:color w:val="auto"/>
                <w:sz w:val="21"/>
                <w:szCs w:val="21"/>
                <w:highlight w:val="none"/>
                <w:u w:val="none" w:color="auto"/>
                <w:lang w:val="en-US" w:eastAsia="zh-CN"/>
              </w:rPr>
              <w:t>无量纲</w:t>
            </w:r>
          </w:p>
        </w:tc>
        <w:tc>
          <w:tcPr>
            <w:tcW w:w="746" w:type="pct"/>
            <w:noWrap w:val="0"/>
            <w:vAlign w:val="center"/>
          </w:tcPr>
          <w:p w14:paraId="75685F1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yellow"/>
                <w:u w:val="none" w:color="auto"/>
                <w:lang w:val="en-US" w:eastAsia="zh-CN"/>
              </w:rPr>
            </w:pPr>
            <w:r>
              <w:rPr>
                <w:rFonts w:hint="default" w:ascii="Times New Roman" w:hAnsi="Times New Roman" w:cs="Times New Roman"/>
                <w:color w:val="auto"/>
                <w:sz w:val="21"/>
                <w:szCs w:val="21"/>
                <w:highlight w:val="none"/>
                <w:u w:val="none" w:color="auto"/>
                <w:lang w:val="en-US" w:eastAsia="zh-CN"/>
              </w:rPr>
              <w:t>6.5~8.5</w:t>
            </w:r>
          </w:p>
        </w:tc>
      </w:tr>
      <w:tr w14:paraId="333152E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46" w:type="pct"/>
            <w:vMerge w:val="continue"/>
            <w:noWrap w:val="0"/>
            <w:vAlign w:val="center"/>
          </w:tcPr>
          <w:p w14:paraId="43D989D7">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color w:val="auto"/>
                <w:sz w:val="21"/>
                <w:szCs w:val="21"/>
                <w:highlight w:val="yellow"/>
                <w:u w:val="none" w:color="auto"/>
                <w:lang w:val="en-US" w:eastAsia="zh-CN"/>
              </w:rPr>
            </w:pPr>
          </w:p>
        </w:tc>
        <w:tc>
          <w:tcPr>
            <w:tcW w:w="1106" w:type="pct"/>
            <w:vMerge w:val="continue"/>
            <w:noWrap w:val="0"/>
            <w:vAlign w:val="center"/>
          </w:tcPr>
          <w:p w14:paraId="4FCCBFBF">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color w:val="auto"/>
                <w:sz w:val="21"/>
                <w:szCs w:val="21"/>
                <w:highlight w:val="yellow"/>
                <w:u w:val="none" w:color="auto"/>
                <w:lang w:val="en-US" w:eastAsia="zh-CN"/>
              </w:rPr>
            </w:pPr>
          </w:p>
        </w:tc>
        <w:tc>
          <w:tcPr>
            <w:tcW w:w="1309" w:type="pct"/>
            <w:noWrap w:val="0"/>
            <w:vAlign w:val="center"/>
          </w:tcPr>
          <w:p w14:paraId="5E85757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color w:val="auto"/>
                <w:sz w:val="21"/>
                <w:szCs w:val="21"/>
                <w:highlight w:val="none"/>
                <w:u w:val="none" w:color="auto"/>
                <w:lang w:val="en-US" w:eastAsia="zh-CN"/>
              </w:rPr>
            </w:pPr>
            <w:r>
              <w:rPr>
                <w:rFonts w:hint="eastAsia" w:ascii="Times New Roman" w:hAnsi="Times New Roman" w:cs="Times New Roman"/>
                <w:color w:val="auto"/>
                <w:sz w:val="21"/>
                <w:szCs w:val="21"/>
                <w:highlight w:val="none"/>
                <w:u w:val="none" w:color="auto"/>
                <w:lang w:val="en-US" w:eastAsia="zh-CN"/>
              </w:rPr>
              <w:t>氨氮</w:t>
            </w:r>
          </w:p>
        </w:tc>
        <w:tc>
          <w:tcPr>
            <w:tcW w:w="1090" w:type="pct"/>
            <w:noWrap w:val="0"/>
            <w:vAlign w:val="center"/>
          </w:tcPr>
          <w:p w14:paraId="4AD08DA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highlight w:val="none"/>
                <w:u w:val="none" w:color="auto"/>
                <w:lang w:val="en-US" w:eastAsia="zh-CN"/>
              </w:rPr>
            </w:pPr>
            <w:r>
              <w:rPr>
                <w:rFonts w:hint="eastAsia"/>
                <w:color w:val="auto"/>
                <w:sz w:val="21"/>
                <w:szCs w:val="21"/>
                <w:highlight w:val="none"/>
                <w:u w:val="none" w:color="auto"/>
                <w:lang w:val="en-US" w:eastAsia="zh-CN"/>
              </w:rPr>
              <w:t>mg/L</w:t>
            </w:r>
          </w:p>
        </w:tc>
        <w:tc>
          <w:tcPr>
            <w:tcW w:w="746" w:type="pct"/>
            <w:noWrap w:val="0"/>
            <w:vAlign w:val="center"/>
          </w:tcPr>
          <w:p w14:paraId="291BE35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yellow"/>
                <w:u w:val="none" w:color="auto"/>
                <w:lang w:val="en-US" w:eastAsia="zh-CN"/>
              </w:rPr>
            </w:pPr>
            <w:r>
              <w:rPr>
                <w:rFonts w:hint="default" w:ascii="Times New Roman" w:hAnsi="Times New Roman" w:cs="Times New Roman"/>
                <w:color w:val="auto"/>
                <w:sz w:val="21"/>
                <w:szCs w:val="21"/>
                <w:highlight w:val="none"/>
                <w:u w:val="none" w:color="auto"/>
                <w:lang w:val="en-US" w:eastAsia="zh-CN"/>
              </w:rPr>
              <w:t>≤0.5</w:t>
            </w:r>
          </w:p>
        </w:tc>
      </w:tr>
      <w:tr w14:paraId="661049D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46" w:type="pct"/>
            <w:vMerge w:val="continue"/>
            <w:noWrap w:val="0"/>
            <w:vAlign w:val="center"/>
          </w:tcPr>
          <w:p w14:paraId="41F03946">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color w:val="auto"/>
                <w:sz w:val="21"/>
                <w:szCs w:val="21"/>
                <w:highlight w:val="yellow"/>
                <w:u w:val="none" w:color="auto"/>
                <w:lang w:val="en-US" w:eastAsia="zh-CN"/>
              </w:rPr>
            </w:pPr>
          </w:p>
        </w:tc>
        <w:tc>
          <w:tcPr>
            <w:tcW w:w="1106" w:type="pct"/>
            <w:vMerge w:val="continue"/>
            <w:noWrap w:val="0"/>
            <w:vAlign w:val="center"/>
          </w:tcPr>
          <w:p w14:paraId="36229D63">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color w:val="auto"/>
                <w:sz w:val="21"/>
                <w:szCs w:val="21"/>
                <w:highlight w:val="yellow"/>
                <w:u w:val="none" w:color="auto"/>
                <w:lang w:val="en-US" w:eastAsia="zh-CN"/>
              </w:rPr>
            </w:pPr>
          </w:p>
        </w:tc>
        <w:tc>
          <w:tcPr>
            <w:tcW w:w="1309" w:type="pct"/>
            <w:shd w:val="clear" w:color="auto" w:fill="auto"/>
            <w:noWrap w:val="0"/>
            <w:vAlign w:val="center"/>
          </w:tcPr>
          <w:p w14:paraId="05381F9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cs="Times New Roman"/>
                <w:color w:val="auto"/>
                <w:sz w:val="21"/>
                <w:szCs w:val="21"/>
                <w:highlight w:val="none"/>
                <w:u w:val="none" w:color="auto"/>
                <w:lang w:val="en-US" w:eastAsia="zh-CN"/>
              </w:rPr>
              <w:t>硝酸盐</w:t>
            </w:r>
          </w:p>
        </w:tc>
        <w:tc>
          <w:tcPr>
            <w:tcW w:w="1090" w:type="pct"/>
            <w:shd w:val="clear" w:color="auto" w:fill="auto"/>
            <w:noWrap w:val="0"/>
            <w:vAlign w:val="center"/>
          </w:tcPr>
          <w:p w14:paraId="58764D0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21"/>
                <w:szCs w:val="21"/>
                <w:highlight w:val="none"/>
                <w:u w:val="none" w:color="auto"/>
                <w:lang w:val="en-US" w:eastAsia="zh-CN" w:bidi="ar-SA"/>
              </w:rPr>
            </w:pPr>
            <w:r>
              <w:rPr>
                <w:rFonts w:hint="eastAsia"/>
                <w:color w:val="auto"/>
                <w:sz w:val="21"/>
                <w:szCs w:val="21"/>
                <w:highlight w:val="none"/>
                <w:u w:val="none" w:color="auto"/>
                <w:lang w:val="en-US" w:eastAsia="zh-CN"/>
              </w:rPr>
              <w:t>mg/L</w:t>
            </w:r>
          </w:p>
        </w:tc>
        <w:tc>
          <w:tcPr>
            <w:tcW w:w="746" w:type="pct"/>
            <w:shd w:val="clear" w:color="auto" w:fill="auto"/>
            <w:noWrap w:val="0"/>
            <w:vAlign w:val="center"/>
          </w:tcPr>
          <w:p w14:paraId="08E308C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cs="Times New Roman"/>
                <w:color w:val="auto"/>
                <w:sz w:val="21"/>
                <w:szCs w:val="21"/>
                <w:highlight w:val="none"/>
                <w:u w:val="none" w:color="auto"/>
                <w:lang w:val="en-US" w:eastAsia="zh-CN"/>
              </w:rPr>
              <w:t>≤20</w:t>
            </w:r>
          </w:p>
        </w:tc>
      </w:tr>
      <w:tr w14:paraId="5F25766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46" w:type="pct"/>
            <w:vMerge w:val="continue"/>
            <w:noWrap w:val="0"/>
            <w:vAlign w:val="center"/>
          </w:tcPr>
          <w:p w14:paraId="4786B241">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color w:val="auto"/>
                <w:sz w:val="21"/>
                <w:szCs w:val="21"/>
                <w:highlight w:val="yellow"/>
                <w:u w:val="none" w:color="auto"/>
                <w:lang w:val="en-US" w:eastAsia="zh-CN"/>
              </w:rPr>
            </w:pPr>
          </w:p>
        </w:tc>
        <w:tc>
          <w:tcPr>
            <w:tcW w:w="1106" w:type="pct"/>
            <w:vMerge w:val="continue"/>
            <w:noWrap w:val="0"/>
            <w:vAlign w:val="center"/>
          </w:tcPr>
          <w:p w14:paraId="5D41D961">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color w:val="auto"/>
                <w:sz w:val="21"/>
                <w:szCs w:val="21"/>
                <w:highlight w:val="yellow"/>
                <w:u w:val="none" w:color="auto"/>
                <w:lang w:val="en-US" w:eastAsia="zh-CN"/>
              </w:rPr>
            </w:pPr>
          </w:p>
        </w:tc>
        <w:tc>
          <w:tcPr>
            <w:tcW w:w="1309" w:type="pct"/>
            <w:shd w:val="clear" w:color="auto" w:fill="auto"/>
            <w:noWrap w:val="0"/>
            <w:vAlign w:val="center"/>
          </w:tcPr>
          <w:p w14:paraId="4C5698B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cs="Times New Roman"/>
                <w:color w:val="auto"/>
                <w:sz w:val="21"/>
                <w:szCs w:val="21"/>
                <w:highlight w:val="none"/>
                <w:u w:val="none" w:color="auto"/>
                <w:lang w:val="en-US" w:eastAsia="zh-CN"/>
              </w:rPr>
              <w:t>亚硝酸盐</w:t>
            </w:r>
          </w:p>
        </w:tc>
        <w:tc>
          <w:tcPr>
            <w:tcW w:w="1090" w:type="pct"/>
            <w:shd w:val="clear" w:color="auto" w:fill="auto"/>
            <w:noWrap w:val="0"/>
            <w:vAlign w:val="center"/>
          </w:tcPr>
          <w:p w14:paraId="7974F59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21"/>
                <w:szCs w:val="21"/>
                <w:highlight w:val="none"/>
                <w:u w:val="none" w:color="auto"/>
                <w:lang w:val="en-US" w:eastAsia="zh-CN" w:bidi="ar-SA"/>
              </w:rPr>
            </w:pPr>
            <w:r>
              <w:rPr>
                <w:rFonts w:hint="eastAsia"/>
                <w:color w:val="auto"/>
                <w:sz w:val="21"/>
                <w:szCs w:val="21"/>
                <w:highlight w:val="none"/>
                <w:u w:val="none" w:color="auto"/>
                <w:lang w:val="en-US" w:eastAsia="zh-CN"/>
              </w:rPr>
              <w:t>mg/L</w:t>
            </w:r>
          </w:p>
        </w:tc>
        <w:tc>
          <w:tcPr>
            <w:tcW w:w="746" w:type="pct"/>
            <w:shd w:val="clear" w:color="auto" w:fill="auto"/>
            <w:noWrap w:val="0"/>
            <w:vAlign w:val="center"/>
          </w:tcPr>
          <w:p w14:paraId="43A03CC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cs="Times New Roman"/>
                <w:color w:val="auto"/>
                <w:sz w:val="21"/>
                <w:szCs w:val="21"/>
                <w:highlight w:val="none"/>
                <w:u w:val="none" w:color="auto"/>
                <w:lang w:val="en-US" w:eastAsia="zh-CN"/>
              </w:rPr>
              <w:t>≤1.0</w:t>
            </w:r>
          </w:p>
        </w:tc>
      </w:tr>
      <w:tr w14:paraId="1E07184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46" w:type="pct"/>
            <w:vMerge w:val="continue"/>
            <w:noWrap w:val="0"/>
            <w:vAlign w:val="center"/>
          </w:tcPr>
          <w:p w14:paraId="23A8809A">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color w:val="auto"/>
                <w:sz w:val="21"/>
                <w:szCs w:val="21"/>
                <w:highlight w:val="yellow"/>
                <w:u w:val="none" w:color="auto"/>
                <w:lang w:val="en-US" w:eastAsia="zh-CN"/>
              </w:rPr>
            </w:pPr>
          </w:p>
        </w:tc>
        <w:tc>
          <w:tcPr>
            <w:tcW w:w="1106" w:type="pct"/>
            <w:vMerge w:val="continue"/>
            <w:noWrap w:val="0"/>
            <w:vAlign w:val="center"/>
          </w:tcPr>
          <w:p w14:paraId="0A774471">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color w:val="auto"/>
                <w:sz w:val="21"/>
                <w:szCs w:val="21"/>
                <w:highlight w:val="yellow"/>
                <w:u w:val="none" w:color="auto"/>
                <w:lang w:val="en-US" w:eastAsia="zh-CN"/>
              </w:rPr>
            </w:pPr>
          </w:p>
        </w:tc>
        <w:tc>
          <w:tcPr>
            <w:tcW w:w="1309" w:type="pct"/>
            <w:shd w:val="clear" w:color="auto" w:fill="auto"/>
            <w:noWrap w:val="0"/>
            <w:vAlign w:val="center"/>
          </w:tcPr>
          <w:p w14:paraId="2A73F77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u w:val="none" w:color="auto"/>
                <w:lang w:val="en-US" w:eastAsia="zh-CN"/>
              </w:rPr>
            </w:pPr>
            <w:r>
              <w:rPr>
                <w:rFonts w:hint="eastAsia" w:cs="Times New Roman"/>
                <w:color w:val="auto"/>
                <w:sz w:val="21"/>
                <w:szCs w:val="21"/>
                <w:highlight w:val="none"/>
                <w:u w:val="none" w:color="auto"/>
                <w:lang w:val="en-US" w:eastAsia="zh-CN"/>
              </w:rPr>
              <w:t>挥发性酚类</w:t>
            </w:r>
          </w:p>
        </w:tc>
        <w:tc>
          <w:tcPr>
            <w:tcW w:w="1090" w:type="pct"/>
            <w:shd w:val="clear" w:color="auto" w:fill="auto"/>
            <w:noWrap w:val="0"/>
            <w:vAlign w:val="center"/>
          </w:tcPr>
          <w:p w14:paraId="2C5B128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sz w:val="21"/>
                <w:szCs w:val="21"/>
                <w:highlight w:val="none"/>
                <w:u w:val="none" w:color="auto"/>
                <w:lang w:val="en-US" w:eastAsia="zh-CN"/>
              </w:rPr>
            </w:pPr>
            <w:r>
              <w:rPr>
                <w:rFonts w:hint="eastAsia"/>
                <w:color w:val="auto"/>
                <w:sz w:val="21"/>
                <w:szCs w:val="21"/>
                <w:highlight w:val="none"/>
                <w:u w:val="none" w:color="auto"/>
                <w:lang w:val="en-US" w:eastAsia="zh-CN"/>
              </w:rPr>
              <w:t>mg/L</w:t>
            </w:r>
          </w:p>
        </w:tc>
        <w:tc>
          <w:tcPr>
            <w:tcW w:w="746" w:type="pct"/>
            <w:shd w:val="clear" w:color="auto" w:fill="auto"/>
            <w:noWrap w:val="0"/>
            <w:vAlign w:val="center"/>
          </w:tcPr>
          <w:p w14:paraId="2E2BCA2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yellow"/>
                <w:u w:val="none" w:color="auto"/>
                <w:lang w:val="en-US" w:eastAsia="zh-CN"/>
              </w:rPr>
            </w:pPr>
            <w:r>
              <w:rPr>
                <w:rFonts w:hint="default" w:ascii="Times New Roman" w:hAnsi="Times New Roman" w:cs="Times New Roman"/>
                <w:color w:val="auto"/>
                <w:sz w:val="21"/>
                <w:szCs w:val="21"/>
                <w:highlight w:val="none"/>
                <w:u w:val="none" w:color="auto"/>
                <w:lang w:val="en-US" w:eastAsia="zh-CN"/>
              </w:rPr>
              <w:t>≤</w:t>
            </w:r>
            <w:r>
              <w:rPr>
                <w:rFonts w:hint="eastAsia" w:cs="Times New Roman"/>
                <w:color w:val="auto"/>
                <w:sz w:val="21"/>
                <w:szCs w:val="21"/>
                <w:highlight w:val="none"/>
                <w:u w:val="none" w:color="auto"/>
                <w:lang w:val="en-US" w:eastAsia="zh-CN"/>
              </w:rPr>
              <w:t>0.002</w:t>
            </w:r>
          </w:p>
        </w:tc>
      </w:tr>
      <w:tr w14:paraId="5B059C0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46" w:type="pct"/>
            <w:vMerge w:val="continue"/>
            <w:noWrap w:val="0"/>
            <w:vAlign w:val="center"/>
          </w:tcPr>
          <w:p w14:paraId="2DF13447">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color w:val="auto"/>
                <w:sz w:val="21"/>
                <w:szCs w:val="21"/>
                <w:highlight w:val="yellow"/>
                <w:u w:val="none" w:color="auto"/>
                <w:lang w:val="en-US" w:eastAsia="zh-CN"/>
              </w:rPr>
            </w:pPr>
          </w:p>
        </w:tc>
        <w:tc>
          <w:tcPr>
            <w:tcW w:w="1106" w:type="pct"/>
            <w:vMerge w:val="continue"/>
            <w:noWrap w:val="0"/>
            <w:vAlign w:val="center"/>
          </w:tcPr>
          <w:p w14:paraId="5664D487">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color w:val="auto"/>
                <w:sz w:val="21"/>
                <w:szCs w:val="21"/>
                <w:highlight w:val="yellow"/>
                <w:u w:val="none" w:color="auto"/>
                <w:lang w:val="en-US" w:eastAsia="zh-CN"/>
              </w:rPr>
            </w:pPr>
          </w:p>
        </w:tc>
        <w:tc>
          <w:tcPr>
            <w:tcW w:w="1309" w:type="pct"/>
            <w:shd w:val="clear" w:color="auto" w:fill="auto"/>
            <w:noWrap w:val="0"/>
            <w:vAlign w:val="center"/>
          </w:tcPr>
          <w:p w14:paraId="71B34B0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cs="Times New Roman"/>
                <w:color w:val="auto"/>
                <w:sz w:val="21"/>
                <w:szCs w:val="21"/>
                <w:highlight w:val="none"/>
                <w:u w:val="none" w:color="auto"/>
                <w:lang w:val="en-US" w:eastAsia="zh-CN"/>
              </w:rPr>
              <w:t>氰化物</w:t>
            </w:r>
          </w:p>
        </w:tc>
        <w:tc>
          <w:tcPr>
            <w:tcW w:w="1090" w:type="pct"/>
            <w:shd w:val="clear" w:color="auto" w:fill="auto"/>
            <w:noWrap w:val="0"/>
            <w:vAlign w:val="center"/>
          </w:tcPr>
          <w:p w14:paraId="3151491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21"/>
                <w:szCs w:val="21"/>
                <w:highlight w:val="none"/>
                <w:u w:val="none" w:color="auto"/>
                <w:lang w:val="en-US" w:eastAsia="zh-CN" w:bidi="ar-SA"/>
              </w:rPr>
            </w:pPr>
            <w:r>
              <w:rPr>
                <w:rFonts w:hint="eastAsia"/>
                <w:color w:val="auto"/>
                <w:sz w:val="21"/>
                <w:szCs w:val="21"/>
                <w:highlight w:val="none"/>
                <w:u w:val="none" w:color="auto"/>
                <w:lang w:val="en-US" w:eastAsia="zh-CN"/>
              </w:rPr>
              <w:t>mg/L</w:t>
            </w:r>
          </w:p>
        </w:tc>
        <w:tc>
          <w:tcPr>
            <w:tcW w:w="746" w:type="pct"/>
            <w:shd w:val="clear" w:color="auto" w:fill="auto"/>
            <w:noWrap w:val="0"/>
            <w:vAlign w:val="center"/>
          </w:tcPr>
          <w:p w14:paraId="72D4316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cs="Times New Roman"/>
                <w:color w:val="auto"/>
                <w:sz w:val="21"/>
                <w:szCs w:val="21"/>
                <w:highlight w:val="none"/>
                <w:u w:val="none" w:color="auto"/>
                <w:lang w:val="en-US" w:eastAsia="zh-CN"/>
              </w:rPr>
              <w:t>≤0.05</w:t>
            </w:r>
          </w:p>
        </w:tc>
      </w:tr>
      <w:tr w14:paraId="044E298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46" w:type="pct"/>
            <w:vMerge w:val="continue"/>
            <w:noWrap w:val="0"/>
            <w:vAlign w:val="center"/>
          </w:tcPr>
          <w:p w14:paraId="18DF6660">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color w:val="auto"/>
                <w:sz w:val="21"/>
                <w:szCs w:val="21"/>
                <w:highlight w:val="yellow"/>
                <w:u w:val="none" w:color="auto"/>
                <w:lang w:val="en-US" w:eastAsia="zh-CN"/>
              </w:rPr>
            </w:pPr>
          </w:p>
        </w:tc>
        <w:tc>
          <w:tcPr>
            <w:tcW w:w="1106" w:type="pct"/>
            <w:vMerge w:val="continue"/>
            <w:noWrap w:val="0"/>
            <w:vAlign w:val="center"/>
          </w:tcPr>
          <w:p w14:paraId="6FA032F9">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color w:val="auto"/>
                <w:sz w:val="21"/>
                <w:szCs w:val="21"/>
                <w:highlight w:val="yellow"/>
                <w:u w:val="none" w:color="auto"/>
                <w:lang w:val="en-US" w:eastAsia="zh-CN"/>
              </w:rPr>
            </w:pPr>
          </w:p>
        </w:tc>
        <w:tc>
          <w:tcPr>
            <w:tcW w:w="1309" w:type="pct"/>
            <w:shd w:val="clear" w:color="auto" w:fill="auto"/>
            <w:noWrap w:val="0"/>
            <w:vAlign w:val="center"/>
          </w:tcPr>
          <w:p w14:paraId="3524AC2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cs="Times New Roman"/>
                <w:color w:val="auto"/>
                <w:sz w:val="21"/>
                <w:szCs w:val="21"/>
                <w:highlight w:val="none"/>
                <w:u w:val="none" w:color="auto"/>
                <w:lang w:val="en-US" w:eastAsia="zh-CN"/>
              </w:rPr>
              <w:t>砷</w:t>
            </w:r>
          </w:p>
        </w:tc>
        <w:tc>
          <w:tcPr>
            <w:tcW w:w="1090" w:type="pct"/>
            <w:shd w:val="clear" w:color="auto" w:fill="auto"/>
            <w:noWrap w:val="0"/>
            <w:vAlign w:val="center"/>
          </w:tcPr>
          <w:p w14:paraId="30A5064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21"/>
                <w:szCs w:val="21"/>
                <w:highlight w:val="none"/>
                <w:u w:val="none" w:color="auto"/>
                <w:lang w:val="en-US" w:eastAsia="zh-CN" w:bidi="ar-SA"/>
              </w:rPr>
            </w:pPr>
            <w:r>
              <w:rPr>
                <w:rFonts w:hint="eastAsia"/>
                <w:color w:val="auto"/>
                <w:sz w:val="21"/>
                <w:szCs w:val="21"/>
                <w:highlight w:val="none"/>
                <w:u w:val="none" w:color="auto"/>
                <w:lang w:val="en-US" w:eastAsia="zh-CN"/>
              </w:rPr>
              <w:t>mg/L</w:t>
            </w:r>
          </w:p>
        </w:tc>
        <w:tc>
          <w:tcPr>
            <w:tcW w:w="746" w:type="pct"/>
            <w:shd w:val="clear" w:color="auto" w:fill="auto"/>
            <w:noWrap w:val="0"/>
            <w:vAlign w:val="center"/>
          </w:tcPr>
          <w:p w14:paraId="3339F20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cs="Times New Roman"/>
                <w:color w:val="auto"/>
                <w:sz w:val="21"/>
                <w:szCs w:val="21"/>
                <w:highlight w:val="none"/>
                <w:u w:val="none" w:color="auto"/>
                <w:lang w:val="en-US" w:eastAsia="zh-CN"/>
              </w:rPr>
              <w:t>≤0.01</w:t>
            </w:r>
          </w:p>
        </w:tc>
      </w:tr>
      <w:tr w14:paraId="303C875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46" w:type="pct"/>
            <w:vMerge w:val="continue"/>
            <w:noWrap w:val="0"/>
            <w:vAlign w:val="center"/>
          </w:tcPr>
          <w:p w14:paraId="2512DA5B">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color w:val="auto"/>
                <w:sz w:val="21"/>
                <w:szCs w:val="21"/>
                <w:highlight w:val="yellow"/>
                <w:u w:val="none" w:color="auto"/>
                <w:lang w:val="en-US" w:eastAsia="zh-CN"/>
              </w:rPr>
            </w:pPr>
          </w:p>
        </w:tc>
        <w:tc>
          <w:tcPr>
            <w:tcW w:w="1106" w:type="pct"/>
            <w:vMerge w:val="continue"/>
            <w:noWrap w:val="0"/>
            <w:vAlign w:val="center"/>
          </w:tcPr>
          <w:p w14:paraId="2EFFFF7B">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color w:val="auto"/>
                <w:sz w:val="21"/>
                <w:szCs w:val="21"/>
                <w:highlight w:val="yellow"/>
                <w:u w:val="none" w:color="auto"/>
                <w:lang w:val="en-US" w:eastAsia="zh-CN"/>
              </w:rPr>
            </w:pPr>
          </w:p>
        </w:tc>
        <w:tc>
          <w:tcPr>
            <w:tcW w:w="1309" w:type="pct"/>
            <w:shd w:val="clear" w:color="auto" w:fill="auto"/>
            <w:noWrap w:val="0"/>
            <w:vAlign w:val="center"/>
          </w:tcPr>
          <w:p w14:paraId="3BFD734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cs="Times New Roman"/>
                <w:color w:val="auto"/>
                <w:sz w:val="21"/>
                <w:szCs w:val="21"/>
                <w:highlight w:val="none"/>
                <w:u w:val="none" w:color="auto"/>
                <w:lang w:val="en-US" w:eastAsia="zh-CN"/>
              </w:rPr>
              <w:t>汞</w:t>
            </w:r>
          </w:p>
        </w:tc>
        <w:tc>
          <w:tcPr>
            <w:tcW w:w="1090" w:type="pct"/>
            <w:shd w:val="clear" w:color="auto" w:fill="auto"/>
            <w:noWrap w:val="0"/>
            <w:vAlign w:val="center"/>
          </w:tcPr>
          <w:p w14:paraId="3B25F65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21"/>
                <w:szCs w:val="21"/>
                <w:highlight w:val="none"/>
                <w:u w:val="none" w:color="auto"/>
                <w:lang w:val="en-US" w:eastAsia="zh-CN" w:bidi="ar-SA"/>
              </w:rPr>
            </w:pPr>
            <w:r>
              <w:rPr>
                <w:rFonts w:hint="eastAsia"/>
                <w:color w:val="auto"/>
                <w:sz w:val="21"/>
                <w:szCs w:val="21"/>
                <w:highlight w:val="none"/>
                <w:u w:val="none" w:color="auto"/>
                <w:lang w:val="en-US" w:eastAsia="zh-CN"/>
              </w:rPr>
              <w:t>mg/L</w:t>
            </w:r>
          </w:p>
        </w:tc>
        <w:tc>
          <w:tcPr>
            <w:tcW w:w="746" w:type="pct"/>
            <w:shd w:val="clear" w:color="auto" w:fill="auto"/>
            <w:noWrap w:val="0"/>
            <w:vAlign w:val="center"/>
          </w:tcPr>
          <w:p w14:paraId="2CF9E61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cs="Times New Roman"/>
                <w:color w:val="auto"/>
                <w:sz w:val="21"/>
                <w:szCs w:val="21"/>
                <w:highlight w:val="none"/>
                <w:u w:val="none" w:color="auto"/>
                <w:lang w:val="en-US" w:eastAsia="zh-CN"/>
              </w:rPr>
              <w:t>≤0.001</w:t>
            </w:r>
          </w:p>
        </w:tc>
      </w:tr>
      <w:tr w14:paraId="54DB219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46" w:type="pct"/>
            <w:vMerge w:val="continue"/>
            <w:noWrap w:val="0"/>
            <w:vAlign w:val="center"/>
          </w:tcPr>
          <w:p w14:paraId="2576136D">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color w:val="auto"/>
                <w:sz w:val="21"/>
                <w:szCs w:val="21"/>
                <w:highlight w:val="yellow"/>
                <w:u w:val="none" w:color="auto"/>
                <w:lang w:val="en-US" w:eastAsia="zh-CN"/>
              </w:rPr>
            </w:pPr>
          </w:p>
        </w:tc>
        <w:tc>
          <w:tcPr>
            <w:tcW w:w="1106" w:type="pct"/>
            <w:vMerge w:val="continue"/>
            <w:noWrap w:val="0"/>
            <w:vAlign w:val="center"/>
          </w:tcPr>
          <w:p w14:paraId="4ABDA663">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color w:val="auto"/>
                <w:sz w:val="21"/>
                <w:szCs w:val="21"/>
                <w:highlight w:val="yellow"/>
                <w:u w:val="none" w:color="auto"/>
                <w:lang w:val="en-US" w:eastAsia="zh-CN"/>
              </w:rPr>
            </w:pPr>
          </w:p>
        </w:tc>
        <w:tc>
          <w:tcPr>
            <w:tcW w:w="1309" w:type="pct"/>
            <w:shd w:val="clear" w:color="auto" w:fill="auto"/>
            <w:noWrap w:val="0"/>
            <w:vAlign w:val="center"/>
          </w:tcPr>
          <w:p w14:paraId="559D730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cs="Times New Roman"/>
                <w:color w:val="auto"/>
                <w:sz w:val="21"/>
                <w:szCs w:val="21"/>
                <w:highlight w:val="none"/>
                <w:u w:val="none" w:color="auto"/>
                <w:lang w:val="en-US" w:eastAsia="zh-CN"/>
              </w:rPr>
              <w:t>铬</w:t>
            </w:r>
            <w:r>
              <w:rPr>
                <w:rFonts w:hint="eastAsia" w:cs="Times New Roman"/>
                <w:color w:val="auto"/>
                <w:sz w:val="21"/>
                <w:szCs w:val="21"/>
                <w:highlight w:val="none"/>
                <w:u w:val="none" w:color="auto"/>
                <w:lang w:val="en-US" w:eastAsia="zh-CN"/>
              </w:rPr>
              <w:t>（</w:t>
            </w:r>
            <w:r>
              <w:rPr>
                <w:rFonts w:hint="eastAsia" w:ascii="Times New Roman" w:hAnsi="Times New Roman" w:cs="Times New Roman"/>
                <w:color w:val="auto"/>
                <w:sz w:val="21"/>
                <w:szCs w:val="21"/>
                <w:highlight w:val="none"/>
                <w:u w:val="none" w:color="auto"/>
                <w:lang w:val="en-US" w:eastAsia="zh-CN"/>
              </w:rPr>
              <w:t>六价</w:t>
            </w:r>
            <w:r>
              <w:rPr>
                <w:rFonts w:hint="eastAsia" w:cs="Times New Roman"/>
                <w:color w:val="auto"/>
                <w:sz w:val="21"/>
                <w:szCs w:val="21"/>
                <w:highlight w:val="none"/>
                <w:u w:val="none" w:color="auto"/>
                <w:lang w:val="en-US" w:eastAsia="zh-CN"/>
              </w:rPr>
              <w:t>）</w:t>
            </w:r>
          </w:p>
        </w:tc>
        <w:tc>
          <w:tcPr>
            <w:tcW w:w="1090" w:type="pct"/>
            <w:shd w:val="clear" w:color="auto" w:fill="auto"/>
            <w:noWrap w:val="0"/>
            <w:vAlign w:val="center"/>
          </w:tcPr>
          <w:p w14:paraId="32EC12E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21"/>
                <w:szCs w:val="21"/>
                <w:highlight w:val="none"/>
                <w:u w:val="none" w:color="auto"/>
                <w:lang w:val="en-US" w:eastAsia="zh-CN" w:bidi="ar-SA"/>
              </w:rPr>
            </w:pPr>
            <w:r>
              <w:rPr>
                <w:rFonts w:hint="eastAsia"/>
                <w:color w:val="auto"/>
                <w:sz w:val="21"/>
                <w:szCs w:val="21"/>
                <w:highlight w:val="none"/>
                <w:u w:val="none" w:color="auto"/>
                <w:lang w:val="en-US" w:eastAsia="zh-CN"/>
              </w:rPr>
              <w:t>mg/L</w:t>
            </w:r>
          </w:p>
        </w:tc>
        <w:tc>
          <w:tcPr>
            <w:tcW w:w="746" w:type="pct"/>
            <w:shd w:val="clear" w:color="auto" w:fill="auto"/>
            <w:noWrap w:val="0"/>
            <w:vAlign w:val="center"/>
          </w:tcPr>
          <w:p w14:paraId="764D724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highlight w:val="yellow"/>
                <w:u w:val="none" w:color="auto"/>
                <w:lang w:val="en-US" w:eastAsia="zh-CN" w:bidi="ar-SA"/>
              </w:rPr>
            </w:pPr>
            <w:r>
              <w:rPr>
                <w:rFonts w:hint="default" w:ascii="Times New Roman" w:hAnsi="Times New Roman" w:cs="Times New Roman"/>
                <w:color w:val="auto"/>
                <w:sz w:val="21"/>
                <w:szCs w:val="21"/>
                <w:highlight w:val="none"/>
                <w:u w:val="none" w:color="auto"/>
                <w:lang w:val="en-US" w:eastAsia="zh-CN"/>
              </w:rPr>
              <w:t>≤0.05</w:t>
            </w:r>
          </w:p>
        </w:tc>
      </w:tr>
      <w:tr w14:paraId="433E18A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46" w:type="pct"/>
            <w:vMerge w:val="continue"/>
            <w:noWrap w:val="0"/>
            <w:vAlign w:val="center"/>
          </w:tcPr>
          <w:p w14:paraId="5FC0ADD6">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color w:val="auto"/>
                <w:sz w:val="21"/>
                <w:szCs w:val="21"/>
                <w:highlight w:val="yellow"/>
                <w:u w:val="none" w:color="auto"/>
                <w:lang w:val="en-US" w:eastAsia="zh-CN"/>
              </w:rPr>
            </w:pPr>
          </w:p>
        </w:tc>
        <w:tc>
          <w:tcPr>
            <w:tcW w:w="1106" w:type="pct"/>
            <w:vMerge w:val="continue"/>
            <w:noWrap w:val="0"/>
            <w:vAlign w:val="center"/>
          </w:tcPr>
          <w:p w14:paraId="2C0E57B5">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color w:val="auto"/>
                <w:sz w:val="21"/>
                <w:szCs w:val="21"/>
                <w:highlight w:val="yellow"/>
                <w:u w:val="none" w:color="auto"/>
                <w:lang w:val="en-US" w:eastAsia="zh-CN"/>
              </w:rPr>
            </w:pPr>
          </w:p>
        </w:tc>
        <w:tc>
          <w:tcPr>
            <w:tcW w:w="1309" w:type="pct"/>
            <w:shd w:val="clear" w:color="auto" w:fill="auto"/>
            <w:noWrap w:val="0"/>
            <w:vAlign w:val="center"/>
          </w:tcPr>
          <w:p w14:paraId="115C147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cs="Times New Roman"/>
                <w:color w:val="auto"/>
                <w:sz w:val="21"/>
                <w:szCs w:val="21"/>
                <w:highlight w:val="none"/>
                <w:u w:val="none" w:color="auto"/>
                <w:lang w:val="en-US" w:eastAsia="zh-CN"/>
              </w:rPr>
              <w:t>总硬度</w:t>
            </w:r>
          </w:p>
        </w:tc>
        <w:tc>
          <w:tcPr>
            <w:tcW w:w="1090" w:type="pct"/>
            <w:shd w:val="clear" w:color="auto" w:fill="auto"/>
            <w:noWrap w:val="0"/>
            <w:vAlign w:val="center"/>
          </w:tcPr>
          <w:p w14:paraId="1CB7481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21"/>
                <w:szCs w:val="21"/>
                <w:highlight w:val="none"/>
                <w:u w:val="none" w:color="auto"/>
                <w:lang w:val="en-US" w:eastAsia="zh-CN" w:bidi="ar-SA"/>
              </w:rPr>
            </w:pPr>
            <w:r>
              <w:rPr>
                <w:rFonts w:hint="eastAsia"/>
                <w:color w:val="auto"/>
                <w:sz w:val="21"/>
                <w:szCs w:val="21"/>
                <w:highlight w:val="none"/>
                <w:u w:val="none" w:color="auto"/>
                <w:lang w:val="en-US" w:eastAsia="zh-CN"/>
              </w:rPr>
              <w:t>mg/L</w:t>
            </w:r>
          </w:p>
        </w:tc>
        <w:tc>
          <w:tcPr>
            <w:tcW w:w="746" w:type="pct"/>
            <w:shd w:val="clear" w:color="auto" w:fill="auto"/>
            <w:noWrap w:val="0"/>
            <w:vAlign w:val="center"/>
          </w:tcPr>
          <w:p w14:paraId="3DC3288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highlight w:val="yellow"/>
                <w:u w:val="none" w:color="auto"/>
                <w:lang w:val="en-US" w:eastAsia="zh-CN" w:bidi="ar-SA"/>
              </w:rPr>
            </w:pPr>
            <w:r>
              <w:rPr>
                <w:rFonts w:hint="default" w:ascii="Times New Roman" w:hAnsi="Times New Roman" w:cs="Times New Roman"/>
                <w:color w:val="auto"/>
                <w:sz w:val="21"/>
                <w:szCs w:val="21"/>
                <w:highlight w:val="none"/>
                <w:u w:val="none" w:color="auto"/>
                <w:lang w:val="en-US" w:eastAsia="zh-CN"/>
              </w:rPr>
              <w:t>≤450</w:t>
            </w:r>
          </w:p>
        </w:tc>
      </w:tr>
      <w:tr w14:paraId="3D002F3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46" w:type="pct"/>
            <w:vMerge w:val="continue"/>
            <w:noWrap w:val="0"/>
            <w:vAlign w:val="center"/>
          </w:tcPr>
          <w:p w14:paraId="52186565">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color w:val="auto"/>
                <w:sz w:val="21"/>
                <w:szCs w:val="21"/>
                <w:highlight w:val="yellow"/>
                <w:u w:val="none" w:color="auto"/>
                <w:lang w:val="en-US" w:eastAsia="zh-CN"/>
              </w:rPr>
            </w:pPr>
          </w:p>
        </w:tc>
        <w:tc>
          <w:tcPr>
            <w:tcW w:w="1106" w:type="pct"/>
            <w:vMerge w:val="continue"/>
            <w:noWrap w:val="0"/>
            <w:vAlign w:val="center"/>
          </w:tcPr>
          <w:p w14:paraId="2BE0BB48">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color w:val="auto"/>
                <w:sz w:val="21"/>
                <w:szCs w:val="21"/>
                <w:highlight w:val="yellow"/>
                <w:u w:val="none" w:color="auto"/>
                <w:lang w:val="en-US" w:eastAsia="zh-CN"/>
              </w:rPr>
            </w:pPr>
          </w:p>
        </w:tc>
        <w:tc>
          <w:tcPr>
            <w:tcW w:w="1309" w:type="pct"/>
            <w:shd w:val="clear" w:color="auto" w:fill="auto"/>
            <w:noWrap w:val="0"/>
            <w:vAlign w:val="center"/>
          </w:tcPr>
          <w:p w14:paraId="7896279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cs="Times New Roman"/>
                <w:color w:val="auto"/>
                <w:sz w:val="21"/>
                <w:szCs w:val="21"/>
                <w:highlight w:val="none"/>
                <w:u w:val="none" w:color="auto"/>
                <w:lang w:val="en-US" w:eastAsia="zh-CN"/>
              </w:rPr>
              <w:t>铅</w:t>
            </w:r>
          </w:p>
        </w:tc>
        <w:tc>
          <w:tcPr>
            <w:tcW w:w="1090" w:type="pct"/>
            <w:shd w:val="clear" w:color="auto" w:fill="auto"/>
            <w:noWrap w:val="0"/>
            <w:vAlign w:val="center"/>
          </w:tcPr>
          <w:p w14:paraId="247041C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21"/>
                <w:szCs w:val="21"/>
                <w:highlight w:val="none"/>
                <w:u w:val="none" w:color="auto"/>
                <w:lang w:val="en-US" w:eastAsia="zh-CN" w:bidi="ar-SA"/>
              </w:rPr>
            </w:pPr>
            <w:r>
              <w:rPr>
                <w:rFonts w:hint="eastAsia"/>
                <w:color w:val="auto"/>
                <w:sz w:val="21"/>
                <w:szCs w:val="21"/>
                <w:highlight w:val="none"/>
                <w:u w:val="none" w:color="auto"/>
                <w:lang w:val="en-US" w:eastAsia="zh-CN"/>
              </w:rPr>
              <w:t>mg/L</w:t>
            </w:r>
          </w:p>
        </w:tc>
        <w:tc>
          <w:tcPr>
            <w:tcW w:w="746" w:type="pct"/>
            <w:shd w:val="clear" w:color="auto" w:fill="auto"/>
            <w:noWrap w:val="0"/>
            <w:vAlign w:val="center"/>
          </w:tcPr>
          <w:p w14:paraId="561D7F1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highlight w:val="yellow"/>
                <w:u w:val="none" w:color="auto"/>
                <w:lang w:val="en-US" w:eastAsia="zh-CN" w:bidi="ar-SA"/>
              </w:rPr>
            </w:pPr>
            <w:r>
              <w:rPr>
                <w:rFonts w:hint="default" w:ascii="Times New Roman" w:hAnsi="Times New Roman" w:cs="Times New Roman"/>
                <w:color w:val="auto"/>
                <w:sz w:val="21"/>
                <w:szCs w:val="21"/>
                <w:highlight w:val="none"/>
                <w:u w:val="none" w:color="auto"/>
                <w:lang w:val="en-US" w:eastAsia="zh-CN"/>
              </w:rPr>
              <w:t>≤0.01</w:t>
            </w:r>
          </w:p>
        </w:tc>
      </w:tr>
      <w:tr w14:paraId="0467CBB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46" w:type="pct"/>
            <w:vMerge w:val="continue"/>
            <w:noWrap w:val="0"/>
            <w:vAlign w:val="center"/>
          </w:tcPr>
          <w:p w14:paraId="714CC462">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color w:val="auto"/>
                <w:sz w:val="21"/>
                <w:szCs w:val="21"/>
                <w:highlight w:val="yellow"/>
                <w:u w:val="none" w:color="auto"/>
                <w:lang w:val="en-US" w:eastAsia="zh-CN"/>
              </w:rPr>
            </w:pPr>
          </w:p>
        </w:tc>
        <w:tc>
          <w:tcPr>
            <w:tcW w:w="1106" w:type="pct"/>
            <w:vMerge w:val="continue"/>
            <w:noWrap w:val="0"/>
            <w:vAlign w:val="center"/>
          </w:tcPr>
          <w:p w14:paraId="5701D6AA">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color w:val="auto"/>
                <w:sz w:val="21"/>
                <w:szCs w:val="21"/>
                <w:highlight w:val="yellow"/>
                <w:u w:val="none" w:color="auto"/>
                <w:lang w:val="en-US" w:eastAsia="zh-CN"/>
              </w:rPr>
            </w:pPr>
          </w:p>
        </w:tc>
        <w:tc>
          <w:tcPr>
            <w:tcW w:w="1309" w:type="pct"/>
            <w:shd w:val="clear" w:color="auto" w:fill="auto"/>
            <w:noWrap w:val="0"/>
            <w:vAlign w:val="center"/>
          </w:tcPr>
          <w:p w14:paraId="3F20E76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cs="Times New Roman"/>
                <w:color w:val="auto"/>
                <w:sz w:val="21"/>
                <w:szCs w:val="21"/>
                <w:highlight w:val="none"/>
                <w:u w:val="none" w:color="auto"/>
                <w:lang w:val="en-US" w:eastAsia="zh-CN"/>
              </w:rPr>
              <w:t>氟化物</w:t>
            </w:r>
          </w:p>
        </w:tc>
        <w:tc>
          <w:tcPr>
            <w:tcW w:w="1090" w:type="pct"/>
            <w:shd w:val="clear" w:color="auto" w:fill="auto"/>
            <w:noWrap w:val="0"/>
            <w:vAlign w:val="center"/>
          </w:tcPr>
          <w:p w14:paraId="568BB1E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21"/>
                <w:szCs w:val="21"/>
                <w:highlight w:val="none"/>
                <w:u w:val="none" w:color="auto"/>
                <w:lang w:val="en-US" w:eastAsia="zh-CN" w:bidi="ar-SA"/>
              </w:rPr>
            </w:pPr>
            <w:r>
              <w:rPr>
                <w:rFonts w:hint="eastAsia"/>
                <w:color w:val="auto"/>
                <w:sz w:val="21"/>
                <w:szCs w:val="21"/>
                <w:highlight w:val="none"/>
                <w:u w:val="none" w:color="auto"/>
                <w:lang w:val="en-US" w:eastAsia="zh-CN"/>
              </w:rPr>
              <w:t>mg/L</w:t>
            </w:r>
          </w:p>
        </w:tc>
        <w:tc>
          <w:tcPr>
            <w:tcW w:w="746" w:type="pct"/>
            <w:shd w:val="clear" w:color="auto" w:fill="auto"/>
            <w:noWrap w:val="0"/>
            <w:vAlign w:val="center"/>
          </w:tcPr>
          <w:p w14:paraId="33E7E4F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highlight w:val="yellow"/>
                <w:u w:val="none" w:color="auto"/>
                <w:lang w:val="en-US" w:eastAsia="zh-CN" w:bidi="ar-SA"/>
              </w:rPr>
            </w:pPr>
            <w:r>
              <w:rPr>
                <w:rFonts w:hint="default" w:ascii="Times New Roman" w:hAnsi="Times New Roman" w:cs="Times New Roman"/>
                <w:color w:val="auto"/>
                <w:sz w:val="21"/>
                <w:szCs w:val="21"/>
                <w:highlight w:val="none"/>
                <w:u w:val="none" w:color="auto"/>
                <w:lang w:val="en-US" w:eastAsia="zh-CN"/>
              </w:rPr>
              <w:t>≤1.0</w:t>
            </w:r>
          </w:p>
        </w:tc>
      </w:tr>
      <w:tr w14:paraId="3240706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46" w:type="pct"/>
            <w:vMerge w:val="continue"/>
            <w:noWrap w:val="0"/>
            <w:vAlign w:val="center"/>
          </w:tcPr>
          <w:p w14:paraId="550B4643">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color w:val="auto"/>
                <w:sz w:val="21"/>
                <w:szCs w:val="21"/>
                <w:highlight w:val="yellow"/>
                <w:u w:val="none" w:color="auto"/>
                <w:lang w:val="en-US" w:eastAsia="zh-CN"/>
              </w:rPr>
            </w:pPr>
          </w:p>
        </w:tc>
        <w:tc>
          <w:tcPr>
            <w:tcW w:w="1106" w:type="pct"/>
            <w:vMerge w:val="continue"/>
            <w:noWrap w:val="0"/>
            <w:vAlign w:val="center"/>
          </w:tcPr>
          <w:p w14:paraId="69160757">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color w:val="auto"/>
                <w:sz w:val="21"/>
                <w:szCs w:val="21"/>
                <w:highlight w:val="yellow"/>
                <w:u w:val="none" w:color="auto"/>
                <w:lang w:val="en-US" w:eastAsia="zh-CN"/>
              </w:rPr>
            </w:pPr>
          </w:p>
        </w:tc>
        <w:tc>
          <w:tcPr>
            <w:tcW w:w="1309" w:type="pct"/>
            <w:shd w:val="clear" w:color="auto" w:fill="auto"/>
            <w:noWrap w:val="0"/>
            <w:vAlign w:val="center"/>
          </w:tcPr>
          <w:p w14:paraId="6420F33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cs="Times New Roman"/>
                <w:color w:val="auto"/>
                <w:sz w:val="21"/>
                <w:szCs w:val="21"/>
                <w:highlight w:val="none"/>
                <w:u w:val="none" w:color="auto"/>
                <w:lang w:val="en-US" w:eastAsia="zh-CN"/>
              </w:rPr>
              <w:t>镉</w:t>
            </w:r>
          </w:p>
        </w:tc>
        <w:tc>
          <w:tcPr>
            <w:tcW w:w="1090" w:type="pct"/>
            <w:shd w:val="clear" w:color="auto" w:fill="auto"/>
            <w:noWrap w:val="0"/>
            <w:vAlign w:val="top"/>
          </w:tcPr>
          <w:p w14:paraId="2D8388D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21"/>
                <w:szCs w:val="21"/>
                <w:highlight w:val="none"/>
                <w:u w:val="none" w:color="auto"/>
                <w:lang w:val="en-US" w:eastAsia="zh-CN" w:bidi="ar-SA"/>
              </w:rPr>
            </w:pPr>
            <w:r>
              <w:rPr>
                <w:rFonts w:hint="eastAsia"/>
                <w:color w:val="auto"/>
                <w:sz w:val="21"/>
                <w:szCs w:val="21"/>
                <w:highlight w:val="none"/>
                <w:u w:val="none" w:color="auto"/>
                <w:lang w:val="en-US" w:eastAsia="zh-CN"/>
              </w:rPr>
              <w:t>mg/L</w:t>
            </w:r>
          </w:p>
        </w:tc>
        <w:tc>
          <w:tcPr>
            <w:tcW w:w="746" w:type="pct"/>
            <w:shd w:val="clear" w:color="auto" w:fill="auto"/>
            <w:noWrap w:val="0"/>
            <w:vAlign w:val="center"/>
          </w:tcPr>
          <w:p w14:paraId="372D61F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cs="Times New Roman"/>
                <w:color w:val="auto"/>
                <w:sz w:val="21"/>
                <w:szCs w:val="21"/>
                <w:highlight w:val="none"/>
                <w:u w:val="none" w:color="auto"/>
                <w:lang w:val="en-US" w:eastAsia="zh-CN"/>
              </w:rPr>
              <w:t>≤0.005</w:t>
            </w:r>
          </w:p>
        </w:tc>
      </w:tr>
      <w:tr w14:paraId="384103B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46" w:type="pct"/>
            <w:vMerge w:val="continue"/>
            <w:noWrap w:val="0"/>
            <w:vAlign w:val="center"/>
          </w:tcPr>
          <w:p w14:paraId="37E42316">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color w:val="auto"/>
                <w:sz w:val="21"/>
                <w:szCs w:val="21"/>
                <w:highlight w:val="yellow"/>
                <w:u w:val="none" w:color="auto"/>
                <w:lang w:val="en-US" w:eastAsia="zh-CN"/>
              </w:rPr>
            </w:pPr>
          </w:p>
        </w:tc>
        <w:tc>
          <w:tcPr>
            <w:tcW w:w="1106" w:type="pct"/>
            <w:vMerge w:val="continue"/>
            <w:noWrap w:val="0"/>
            <w:vAlign w:val="center"/>
          </w:tcPr>
          <w:p w14:paraId="792994D7">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color w:val="auto"/>
                <w:sz w:val="21"/>
                <w:szCs w:val="21"/>
                <w:highlight w:val="yellow"/>
                <w:u w:val="none" w:color="auto"/>
                <w:lang w:val="en-US" w:eastAsia="zh-CN"/>
              </w:rPr>
            </w:pPr>
          </w:p>
        </w:tc>
        <w:tc>
          <w:tcPr>
            <w:tcW w:w="1309" w:type="pct"/>
            <w:shd w:val="clear" w:color="auto" w:fill="auto"/>
            <w:noWrap w:val="0"/>
            <w:vAlign w:val="center"/>
          </w:tcPr>
          <w:p w14:paraId="0E25988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cs="Times New Roman"/>
                <w:color w:val="auto"/>
                <w:sz w:val="21"/>
                <w:szCs w:val="21"/>
                <w:highlight w:val="none"/>
                <w:u w:val="none" w:color="auto"/>
                <w:lang w:val="en-US" w:eastAsia="zh-CN"/>
              </w:rPr>
              <w:t>铁</w:t>
            </w:r>
          </w:p>
        </w:tc>
        <w:tc>
          <w:tcPr>
            <w:tcW w:w="1090" w:type="pct"/>
            <w:shd w:val="clear" w:color="auto" w:fill="auto"/>
            <w:noWrap w:val="0"/>
            <w:vAlign w:val="top"/>
          </w:tcPr>
          <w:p w14:paraId="290406A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21"/>
                <w:szCs w:val="21"/>
                <w:highlight w:val="none"/>
                <w:u w:val="none" w:color="auto"/>
                <w:lang w:val="en-US" w:eastAsia="zh-CN" w:bidi="ar-SA"/>
              </w:rPr>
            </w:pPr>
            <w:r>
              <w:rPr>
                <w:rFonts w:hint="eastAsia"/>
                <w:color w:val="auto"/>
                <w:sz w:val="21"/>
                <w:szCs w:val="21"/>
                <w:highlight w:val="none"/>
                <w:u w:val="none" w:color="auto"/>
                <w:lang w:val="en-US" w:eastAsia="zh-CN"/>
              </w:rPr>
              <w:t>mg/L</w:t>
            </w:r>
          </w:p>
        </w:tc>
        <w:tc>
          <w:tcPr>
            <w:tcW w:w="746" w:type="pct"/>
            <w:shd w:val="clear" w:color="auto" w:fill="auto"/>
            <w:noWrap w:val="0"/>
            <w:vAlign w:val="center"/>
          </w:tcPr>
          <w:p w14:paraId="133364D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highlight w:val="yellow"/>
                <w:u w:val="none" w:color="auto"/>
                <w:lang w:val="en-US" w:eastAsia="zh-CN" w:bidi="ar-SA"/>
              </w:rPr>
            </w:pPr>
            <w:r>
              <w:rPr>
                <w:rFonts w:hint="default" w:ascii="Times New Roman" w:hAnsi="Times New Roman" w:cs="Times New Roman"/>
                <w:color w:val="auto"/>
                <w:sz w:val="21"/>
                <w:szCs w:val="21"/>
                <w:highlight w:val="none"/>
                <w:u w:val="none" w:color="auto"/>
                <w:lang w:val="en-US" w:eastAsia="zh-CN"/>
              </w:rPr>
              <w:t>≤0.3</w:t>
            </w:r>
          </w:p>
        </w:tc>
      </w:tr>
      <w:tr w14:paraId="55AD904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46" w:type="pct"/>
            <w:vMerge w:val="continue"/>
            <w:noWrap w:val="0"/>
            <w:vAlign w:val="center"/>
          </w:tcPr>
          <w:p w14:paraId="3324F054">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color w:val="auto"/>
                <w:sz w:val="21"/>
                <w:szCs w:val="21"/>
                <w:highlight w:val="yellow"/>
                <w:u w:val="none" w:color="auto"/>
                <w:lang w:val="en-US" w:eastAsia="zh-CN"/>
              </w:rPr>
            </w:pPr>
          </w:p>
        </w:tc>
        <w:tc>
          <w:tcPr>
            <w:tcW w:w="1106" w:type="pct"/>
            <w:vMerge w:val="continue"/>
            <w:noWrap w:val="0"/>
            <w:vAlign w:val="center"/>
          </w:tcPr>
          <w:p w14:paraId="649566AB">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color w:val="auto"/>
                <w:sz w:val="21"/>
                <w:szCs w:val="21"/>
                <w:highlight w:val="yellow"/>
                <w:u w:val="none" w:color="auto"/>
                <w:lang w:val="en-US" w:eastAsia="zh-CN"/>
              </w:rPr>
            </w:pPr>
          </w:p>
        </w:tc>
        <w:tc>
          <w:tcPr>
            <w:tcW w:w="1309" w:type="pct"/>
            <w:shd w:val="clear" w:color="auto" w:fill="auto"/>
            <w:noWrap w:val="0"/>
            <w:vAlign w:val="center"/>
          </w:tcPr>
          <w:p w14:paraId="7417F44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cs="Times New Roman"/>
                <w:color w:val="auto"/>
                <w:sz w:val="21"/>
                <w:szCs w:val="21"/>
                <w:highlight w:val="none"/>
                <w:u w:val="none" w:color="auto"/>
                <w:lang w:val="en-US" w:eastAsia="zh-CN"/>
              </w:rPr>
              <w:t>锰</w:t>
            </w:r>
          </w:p>
        </w:tc>
        <w:tc>
          <w:tcPr>
            <w:tcW w:w="1090" w:type="pct"/>
            <w:shd w:val="clear" w:color="auto" w:fill="auto"/>
            <w:noWrap w:val="0"/>
            <w:vAlign w:val="top"/>
          </w:tcPr>
          <w:p w14:paraId="575F35B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21"/>
                <w:szCs w:val="21"/>
                <w:highlight w:val="none"/>
                <w:u w:val="none" w:color="auto"/>
                <w:lang w:val="en-US" w:eastAsia="zh-CN" w:bidi="ar-SA"/>
              </w:rPr>
            </w:pPr>
            <w:r>
              <w:rPr>
                <w:rFonts w:hint="eastAsia"/>
                <w:color w:val="auto"/>
                <w:sz w:val="21"/>
                <w:szCs w:val="21"/>
                <w:highlight w:val="none"/>
                <w:u w:val="none" w:color="auto"/>
                <w:lang w:val="en-US" w:eastAsia="zh-CN"/>
              </w:rPr>
              <w:t>mg/L</w:t>
            </w:r>
          </w:p>
        </w:tc>
        <w:tc>
          <w:tcPr>
            <w:tcW w:w="746" w:type="pct"/>
            <w:shd w:val="clear" w:color="auto" w:fill="auto"/>
            <w:noWrap w:val="0"/>
            <w:vAlign w:val="center"/>
          </w:tcPr>
          <w:p w14:paraId="7C42C57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highlight w:val="yellow"/>
                <w:u w:val="none" w:color="auto"/>
                <w:lang w:val="en-US" w:eastAsia="zh-CN" w:bidi="ar-SA"/>
              </w:rPr>
            </w:pPr>
            <w:r>
              <w:rPr>
                <w:rFonts w:hint="default" w:ascii="Times New Roman" w:hAnsi="Times New Roman" w:cs="Times New Roman"/>
                <w:color w:val="auto"/>
                <w:sz w:val="21"/>
                <w:szCs w:val="21"/>
                <w:highlight w:val="none"/>
                <w:u w:val="none" w:color="auto"/>
                <w:lang w:val="en-US" w:eastAsia="zh-CN"/>
              </w:rPr>
              <w:t>≤0.1</w:t>
            </w:r>
          </w:p>
        </w:tc>
      </w:tr>
      <w:tr w14:paraId="1318B8C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46" w:type="pct"/>
            <w:vMerge w:val="continue"/>
            <w:noWrap w:val="0"/>
            <w:vAlign w:val="center"/>
          </w:tcPr>
          <w:p w14:paraId="1895B3E1">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color w:val="auto"/>
                <w:sz w:val="21"/>
                <w:szCs w:val="21"/>
                <w:highlight w:val="yellow"/>
                <w:u w:val="none" w:color="auto"/>
                <w:lang w:val="en-US" w:eastAsia="zh-CN"/>
              </w:rPr>
            </w:pPr>
          </w:p>
        </w:tc>
        <w:tc>
          <w:tcPr>
            <w:tcW w:w="1106" w:type="pct"/>
            <w:vMerge w:val="continue"/>
            <w:noWrap w:val="0"/>
            <w:vAlign w:val="center"/>
          </w:tcPr>
          <w:p w14:paraId="230E8F25">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color w:val="auto"/>
                <w:sz w:val="21"/>
                <w:szCs w:val="21"/>
                <w:highlight w:val="yellow"/>
                <w:u w:val="none" w:color="auto"/>
                <w:lang w:val="en-US" w:eastAsia="zh-CN"/>
              </w:rPr>
            </w:pPr>
          </w:p>
        </w:tc>
        <w:tc>
          <w:tcPr>
            <w:tcW w:w="1309" w:type="pct"/>
            <w:noWrap w:val="0"/>
            <w:vAlign w:val="center"/>
          </w:tcPr>
          <w:p w14:paraId="1068939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u w:val="none" w:color="auto"/>
                <w:lang w:val="en-US" w:eastAsia="zh-CN"/>
              </w:rPr>
            </w:pPr>
            <w:r>
              <w:rPr>
                <w:rFonts w:hint="eastAsia" w:cs="Times New Roman"/>
                <w:color w:val="auto"/>
                <w:sz w:val="21"/>
                <w:szCs w:val="21"/>
                <w:highlight w:val="none"/>
                <w:u w:val="none" w:color="auto"/>
                <w:lang w:val="en-US" w:eastAsia="zh-CN"/>
              </w:rPr>
              <w:t>镍</w:t>
            </w:r>
          </w:p>
        </w:tc>
        <w:tc>
          <w:tcPr>
            <w:tcW w:w="1090" w:type="pct"/>
            <w:shd w:val="clear" w:color="auto" w:fill="auto"/>
            <w:noWrap w:val="0"/>
            <w:vAlign w:val="center"/>
          </w:tcPr>
          <w:p w14:paraId="7FFD08C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21"/>
                <w:szCs w:val="21"/>
                <w:highlight w:val="none"/>
                <w:u w:val="none" w:color="auto"/>
                <w:lang w:val="en-US" w:eastAsia="zh-CN" w:bidi="ar-SA"/>
              </w:rPr>
            </w:pPr>
            <w:r>
              <w:rPr>
                <w:rFonts w:hint="eastAsia"/>
                <w:color w:val="auto"/>
                <w:sz w:val="21"/>
                <w:szCs w:val="21"/>
                <w:highlight w:val="none"/>
                <w:u w:val="none" w:color="auto"/>
                <w:lang w:val="en-US" w:eastAsia="zh-CN"/>
              </w:rPr>
              <w:t>mg/L</w:t>
            </w:r>
          </w:p>
        </w:tc>
        <w:tc>
          <w:tcPr>
            <w:tcW w:w="746" w:type="pct"/>
            <w:noWrap w:val="0"/>
            <w:vAlign w:val="center"/>
          </w:tcPr>
          <w:p w14:paraId="065B13C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yellow"/>
                <w:u w:val="none" w:color="auto"/>
                <w:lang w:val="en-US" w:eastAsia="zh-CN"/>
              </w:rPr>
            </w:pPr>
            <w:r>
              <w:rPr>
                <w:rFonts w:hint="default" w:ascii="Times New Roman" w:hAnsi="Times New Roman" w:cs="Times New Roman"/>
                <w:color w:val="auto"/>
                <w:sz w:val="21"/>
                <w:szCs w:val="21"/>
                <w:highlight w:val="none"/>
                <w:u w:val="none" w:color="auto"/>
                <w:lang w:val="en-US" w:eastAsia="zh-CN"/>
              </w:rPr>
              <w:t>≤</w:t>
            </w:r>
            <w:r>
              <w:rPr>
                <w:rFonts w:hint="eastAsia" w:cs="Times New Roman"/>
                <w:color w:val="auto"/>
                <w:sz w:val="21"/>
                <w:szCs w:val="21"/>
                <w:highlight w:val="none"/>
                <w:u w:val="none" w:color="auto"/>
                <w:lang w:val="en-US" w:eastAsia="zh-CN"/>
              </w:rPr>
              <w:t>0.02</w:t>
            </w:r>
          </w:p>
        </w:tc>
      </w:tr>
      <w:tr w14:paraId="3DAF177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46" w:type="pct"/>
            <w:vMerge w:val="continue"/>
            <w:noWrap w:val="0"/>
            <w:vAlign w:val="center"/>
          </w:tcPr>
          <w:p w14:paraId="29C38DC4">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color w:val="auto"/>
                <w:sz w:val="21"/>
                <w:szCs w:val="21"/>
                <w:highlight w:val="yellow"/>
                <w:u w:val="none" w:color="auto"/>
                <w:lang w:val="en-US" w:eastAsia="zh-CN"/>
              </w:rPr>
            </w:pPr>
          </w:p>
        </w:tc>
        <w:tc>
          <w:tcPr>
            <w:tcW w:w="1106" w:type="pct"/>
            <w:vMerge w:val="continue"/>
            <w:noWrap w:val="0"/>
            <w:vAlign w:val="center"/>
          </w:tcPr>
          <w:p w14:paraId="216AA295">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color w:val="auto"/>
                <w:sz w:val="21"/>
                <w:szCs w:val="21"/>
                <w:highlight w:val="yellow"/>
                <w:u w:val="none" w:color="auto"/>
                <w:lang w:val="en-US" w:eastAsia="zh-CN"/>
              </w:rPr>
            </w:pPr>
          </w:p>
        </w:tc>
        <w:tc>
          <w:tcPr>
            <w:tcW w:w="1309" w:type="pct"/>
            <w:noWrap w:val="0"/>
            <w:vAlign w:val="center"/>
          </w:tcPr>
          <w:p w14:paraId="7C4DE40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u w:val="none" w:color="auto"/>
                <w:lang w:val="en-US" w:eastAsia="zh-CN"/>
              </w:rPr>
            </w:pPr>
            <w:r>
              <w:rPr>
                <w:rFonts w:hint="eastAsia" w:cs="Times New Roman"/>
                <w:color w:val="auto"/>
                <w:sz w:val="21"/>
                <w:szCs w:val="21"/>
                <w:highlight w:val="none"/>
                <w:u w:val="none" w:color="auto"/>
                <w:lang w:val="en-US" w:eastAsia="zh-CN"/>
              </w:rPr>
              <w:t>铜</w:t>
            </w:r>
          </w:p>
        </w:tc>
        <w:tc>
          <w:tcPr>
            <w:tcW w:w="1090" w:type="pct"/>
            <w:shd w:val="clear" w:color="auto" w:fill="auto"/>
            <w:noWrap w:val="0"/>
            <w:vAlign w:val="center"/>
          </w:tcPr>
          <w:p w14:paraId="19DCB5B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21"/>
                <w:szCs w:val="21"/>
                <w:highlight w:val="none"/>
                <w:u w:val="none" w:color="auto"/>
                <w:lang w:val="en-US" w:eastAsia="zh-CN" w:bidi="ar-SA"/>
              </w:rPr>
            </w:pPr>
            <w:r>
              <w:rPr>
                <w:rFonts w:hint="eastAsia"/>
                <w:color w:val="auto"/>
                <w:sz w:val="21"/>
                <w:szCs w:val="21"/>
                <w:highlight w:val="none"/>
                <w:u w:val="none" w:color="auto"/>
                <w:lang w:val="en-US" w:eastAsia="zh-CN"/>
              </w:rPr>
              <w:t>mg/L</w:t>
            </w:r>
          </w:p>
        </w:tc>
        <w:tc>
          <w:tcPr>
            <w:tcW w:w="746" w:type="pct"/>
            <w:noWrap w:val="0"/>
            <w:vAlign w:val="center"/>
          </w:tcPr>
          <w:p w14:paraId="1FB5ABF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yellow"/>
                <w:u w:val="none" w:color="auto"/>
                <w:lang w:val="en-US" w:eastAsia="zh-CN"/>
              </w:rPr>
            </w:pPr>
            <w:r>
              <w:rPr>
                <w:rFonts w:hint="default" w:ascii="Times New Roman" w:hAnsi="Times New Roman" w:cs="Times New Roman"/>
                <w:color w:val="auto"/>
                <w:sz w:val="21"/>
                <w:szCs w:val="21"/>
                <w:highlight w:val="none"/>
                <w:u w:val="none" w:color="auto"/>
                <w:lang w:val="en-US" w:eastAsia="zh-CN"/>
              </w:rPr>
              <w:t>≤</w:t>
            </w:r>
            <w:r>
              <w:rPr>
                <w:rFonts w:hint="eastAsia" w:cs="Times New Roman"/>
                <w:color w:val="auto"/>
                <w:sz w:val="21"/>
                <w:szCs w:val="21"/>
                <w:highlight w:val="none"/>
                <w:u w:val="none" w:color="auto"/>
                <w:lang w:val="en-US" w:eastAsia="zh-CN"/>
              </w:rPr>
              <w:t>1.0</w:t>
            </w:r>
          </w:p>
        </w:tc>
      </w:tr>
      <w:tr w14:paraId="04E1798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46" w:type="pct"/>
            <w:vMerge w:val="continue"/>
            <w:noWrap w:val="0"/>
            <w:vAlign w:val="center"/>
          </w:tcPr>
          <w:p w14:paraId="3F3CBB7D">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color w:val="auto"/>
                <w:sz w:val="21"/>
                <w:szCs w:val="21"/>
                <w:highlight w:val="yellow"/>
                <w:u w:val="none" w:color="auto"/>
                <w:lang w:val="en-US" w:eastAsia="zh-CN"/>
              </w:rPr>
            </w:pPr>
          </w:p>
        </w:tc>
        <w:tc>
          <w:tcPr>
            <w:tcW w:w="1106" w:type="pct"/>
            <w:vMerge w:val="continue"/>
            <w:noWrap w:val="0"/>
            <w:vAlign w:val="center"/>
          </w:tcPr>
          <w:p w14:paraId="458F4C0A">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color w:val="auto"/>
                <w:sz w:val="21"/>
                <w:szCs w:val="21"/>
                <w:highlight w:val="yellow"/>
                <w:u w:val="none" w:color="auto"/>
                <w:lang w:val="en-US" w:eastAsia="zh-CN"/>
              </w:rPr>
            </w:pPr>
          </w:p>
        </w:tc>
        <w:tc>
          <w:tcPr>
            <w:tcW w:w="1309" w:type="pct"/>
            <w:shd w:val="clear" w:color="auto" w:fill="auto"/>
            <w:noWrap w:val="0"/>
            <w:vAlign w:val="center"/>
          </w:tcPr>
          <w:p w14:paraId="7A772A5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cs="Times New Roman"/>
                <w:color w:val="auto"/>
                <w:kern w:val="2"/>
                <w:sz w:val="21"/>
                <w:szCs w:val="21"/>
                <w:highlight w:val="none"/>
                <w:u w:val="none" w:color="auto"/>
                <w:lang w:val="en-US" w:eastAsia="zh-CN" w:bidi="ar-SA"/>
              </w:rPr>
              <w:t>锌</w:t>
            </w:r>
          </w:p>
        </w:tc>
        <w:tc>
          <w:tcPr>
            <w:tcW w:w="1090" w:type="pct"/>
            <w:shd w:val="clear" w:color="auto" w:fill="auto"/>
            <w:noWrap w:val="0"/>
            <w:vAlign w:val="top"/>
          </w:tcPr>
          <w:p w14:paraId="7837AFA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21"/>
                <w:szCs w:val="21"/>
                <w:highlight w:val="none"/>
                <w:u w:val="none" w:color="auto"/>
                <w:lang w:val="en-US" w:eastAsia="zh-CN" w:bidi="ar-SA"/>
              </w:rPr>
            </w:pPr>
            <w:r>
              <w:rPr>
                <w:rFonts w:hint="eastAsia"/>
                <w:color w:val="auto"/>
                <w:sz w:val="21"/>
                <w:szCs w:val="21"/>
                <w:highlight w:val="none"/>
                <w:u w:val="none" w:color="auto"/>
                <w:lang w:val="en-US" w:eastAsia="zh-CN"/>
              </w:rPr>
              <w:t>mg/L</w:t>
            </w:r>
          </w:p>
        </w:tc>
        <w:tc>
          <w:tcPr>
            <w:tcW w:w="746" w:type="pct"/>
            <w:shd w:val="clear" w:color="auto" w:fill="auto"/>
            <w:noWrap w:val="0"/>
            <w:vAlign w:val="center"/>
          </w:tcPr>
          <w:p w14:paraId="2F61976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highlight w:val="yellow"/>
                <w:u w:val="none" w:color="auto"/>
                <w:lang w:val="en-US" w:eastAsia="zh-CN" w:bidi="ar-SA"/>
              </w:rPr>
            </w:pPr>
            <w:r>
              <w:rPr>
                <w:rFonts w:hint="default" w:ascii="Times New Roman" w:hAnsi="Times New Roman" w:cs="Times New Roman"/>
                <w:color w:val="auto"/>
                <w:sz w:val="21"/>
                <w:szCs w:val="21"/>
                <w:highlight w:val="none"/>
                <w:u w:val="none" w:color="auto"/>
                <w:lang w:val="en-US" w:eastAsia="zh-CN"/>
              </w:rPr>
              <w:t>≤</w:t>
            </w:r>
            <w:r>
              <w:rPr>
                <w:rFonts w:hint="eastAsia" w:cs="Times New Roman"/>
                <w:color w:val="auto"/>
                <w:sz w:val="21"/>
                <w:szCs w:val="21"/>
                <w:highlight w:val="none"/>
                <w:u w:val="none" w:color="auto"/>
                <w:lang w:val="en-US" w:eastAsia="zh-CN"/>
              </w:rPr>
              <w:t>1.0</w:t>
            </w:r>
          </w:p>
        </w:tc>
      </w:tr>
      <w:tr w14:paraId="6F36180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46" w:type="pct"/>
            <w:vMerge w:val="continue"/>
            <w:noWrap w:val="0"/>
            <w:vAlign w:val="center"/>
          </w:tcPr>
          <w:p w14:paraId="14BB9A05">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color w:val="auto"/>
                <w:sz w:val="21"/>
                <w:szCs w:val="21"/>
                <w:highlight w:val="yellow"/>
                <w:u w:val="none" w:color="auto"/>
                <w:lang w:val="en-US" w:eastAsia="zh-CN"/>
              </w:rPr>
            </w:pPr>
          </w:p>
        </w:tc>
        <w:tc>
          <w:tcPr>
            <w:tcW w:w="1106" w:type="pct"/>
            <w:vMerge w:val="continue"/>
            <w:noWrap w:val="0"/>
            <w:vAlign w:val="center"/>
          </w:tcPr>
          <w:p w14:paraId="7397EC9E">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color w:val="auto"/>
                <w:sz w:val="21"/>
                <w:szCs w:val="21"/>
                <w:highlight w:val="yellow"/>
                <w:u w:val="none" w:color="auto"/>
                <w:lang w:val="en-US" w:eastAsia="zh-CN"/>
              </w:rPr>
            </w:pPr>
          </w:p>
        </w:tc>
        <w:tc>
          <w:tcPr>
            <w:tcW w:w="1309" w:type="pct"/>
            <w:noWrap w:val="0"/>
            <w:vAlign w:val="center"/>
          </w:tcPr>
          <w:p w14:paraId="6812A57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u w:val="none" w:color="auto"/>
                <w:lang w:val="en-US" w:eastAsia="zh-CN"/>
              </w:rPr>
            </w:pPr>
            <w:r>
              <w:rPr>
                <w:rFonts w:hint="eastAsia" w:cs="Times New Roman"/>
                <w:color w:val="auto"/>
                <w:sz w:val="21"/>
                <w:szCs w:val="21"/>
                <w:highlight w:val="none"/>
                <w:u w:val="none" w:color="auto"/>
                <w:lang w:val="en-US" w:eastAsia="zh-CN"/>
              </w:rPr>
              <w:t>溶解性总固体</w:t>
            </w:r>
          </w:p>
        </w:tc>
        <w:tc>
          <w:tcPr>
            <w:tcW w:w="1090" w:type="pct"/>
            <w:shd w:val="clear" w:color="auto" w:fill="auto"/>
            <w:noWrap w:val="0"/>
            <w:vAlign w:val="top"/>
          </w:tcPr>
          <w:p w14:paraId="029D0AC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21"/>
                <w:szCs w:val="21"/>
                <w:highlight w:val="none"/>
                <w:u w:val="none" w:color="auto"/>
                <w:lang w:val="en-US" w:eastAsia="zh-CN" w:bidi="ar-SA"/>
              </w:rPr>
            </w:pPr>
            <w:r>
              <w:rPr>
                <w:rFonts w:hint="eastAsia"/>
                <w:color w:val="auto"/>
                <w:sz w:val="21"/>
                <w:szCs w:val="21"/>
                <w:highlight w:val="none"/>
                <w:u w:val="none" w:color="auto"/>
                <w:lang w:val="en-US" w:eastAsia="zh-CN"/>
              </w:rPr>
              <w:t>mg/L</w:t>
            </w:r>
          </w:p>
        </w:tc>
        <w:tc>
          <w:tcPr>
            <w:tcW w:w="746" w:type="pct"/>
            <w:noWrap w:val="0"/>
            <w:vAlign w:val="center"/>
          </w:tcPr>
          <w:p w14:paraId="546BC73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yellow"/>
                <w:u w:val="none" w:color="auto"/>
                <w:lang w:val="en-US" w:eastAsia="zh-CN"/>
              </w:rPr>
            </w:pPr>
            <w:r>
              <w:rPr>
                <w:rFonts w:hint="default" w:ascii="Times New Roman" w:hAnsi="Times New Roman" w:cs="Times New Roman"/>
                <w:color w:val="auto"/>
                <w:sz w:val="21"/>
                <w:szCs w:val="21"/>
                <w:highlight w:val="none"/>
                <w:u w:val="none" w:color="auto"/>
                <w:lang w:val="en-US" w:eastAsia="zh-CN"/>
              </w:rPr>
              <w:t>≤</w:t>
            </w:r>
            <w:r>
              <w:rPr>
                <w:rFonts w:hint="eastAsia" w:cs="Times New Roman"/>
                <w:color w:val="auto"/>
                <w:sz w:val="21"/>
                <w:szCs w:val="21"/>
                <w:highlight w:val="none"/>
                <w:u w:val="none" w:color="auto"/>
                <w:lang w:val="en-US" w:eastAsia="zh-CN"/>
              </w:rPr>
              <w:t>1000</w:t>
            </w:r>
          </w:p>
        </w:tc>
      </w:tr>
      <w:tr w14:paraId="4034292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46" w:type="pct"/>
            <w:vMerge w:val="continue"/>
            <w:noWrap w:val="0"/>
            <w:vAlign w:val="center"/>
          </w:tcPr>
          <w:p w14:paraId="1453DAC4">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color w:val="auto"/>
                <w:sz w:val="21"/>
                <w:szCs w:val="21"/>
                <w:highlight w:val="yellow"/>
                <w:u w:val="none" w:color="auto"/>
                <w:lang w:val="en-US" w:eastAsia="zh-CN"/>
              </w:rPr>
            </w:pPr>
          </w:p>
        </w:tc>
        <w:tc>
          <w:tcPr>
            <w:tcW w:w="1106" w:type="pct"/>
            <w:vMerge w:val="continue"/>
            <w:noWrap w:val="0"/>
            <w:vAlign w:val="center"/>
          </w:tcPr>
          <w:p w14:paraId="78F78E04">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color w:val="auto"/>
                <w:sz w:val="21"/>
                <w:szCs w:val="21"/>
                <w:highlight w:val="yellow"/>
                <w:u w:val="none" w:color="auto"/>
                <w:lang w:val="en-US" w:eastAsia="zh-CN"/>
              </w:rPr>
            </w:pPr>
          </w:p>
        </w:tc>
        <w:tc>
          <w:tcPr>
            <w:tcW w:w="1309" w:type="pct"/>
            <w:noWrap w:val="0"/>
            <w:vAlign w:val="center"/>
          </w:tcPr>
          <w:p w14:paraId="218C074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u w:val="none" w:color="auto"/>
                <w:lang w:val="en-US" w:eastAsia="zh-CN"/>
              </w:rPr>
            </w:pPr>
            <w:r>
              <w:rPr>
                <w:rFonts w:hint="eastAsia" w:cs="Times New Roman"/>
                <w:color w:val="auto"/>
                <w:sz w:val="21"/>
                <w:szCs w:val="21"/>
                <w:highlight w:val="none"/>
                <w:u w:val="none" w:color="auto"/>
                <w:lang w:val="en-US" w:eastAsia="zh-CN"/>
              </w:rPr>
              <w:t>高锰酸盐指数</w:t>
            </w:r>
          </w:p>
        </w:tc>
        <w:tc>
          <w:tcPr>
            <w:tcW w:w="1090" w:type="pct"/>
            <w:shd w:val="clear" w:color="auto" w:fill="auto"/>
            <w:noWrap w:val="0"/>
            <w:vAlign w:val="top"/>
          </w:tcPr>
          <w:p w14:paraId="212A654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21"/>
                <w:szCs w:val="21"/>
                <w:highlight w:val="none"/>
                <w:u w:val="none" w:color="auto"/>
                <w:lang w:val="en-US" w:eastAsia="zh-CN" w:bidi="ar-SA"/>
              </w:rPr>
            </w:pPr>
            <w:r>
              <w:rPr>
                <w:rFonts w:hint="eastAsia"/>
                <w:color w:val="auto"/>
                <w:sz w:val="21"/>
                <w:szCs w:val="21"/>
                <w:highlight w:val="none"/>
                <w:u w:val="none" w:color="auto"/>
                <w:lang w:val="en-US" w:eastAsia="zh-CN"/>
              </w:rPr>
              <w:t>mg/L</w:t>
            </w:r>
          </w:p>
        </w:tc>
        <w:tc>
          <w:tcPr>
            <w:tcW w:w="746" w:type="pct"/>
            <w:noWrap w:val="0"/>
            <w:vAlign w:val="center"/>
          </w:tcPr>
          <w:p w14:paraId="4C21503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u w:val="none" w:color="auto"/>
                <w:lang w:val="en-US" w:eastAsia="zh-CN"/>
              </w:rPr>
            </w:pPr>
            <w:r>
              <w:rPr>
                <w:rFonts w:hint="default" w:ascii="Times New Roman" w:hAnsi="Times New Roman" w:cs="Times New Roman"/>
                <w:color w:val="auto"/>
                <w:sz w:val="21"/>
                <w:szCs w:val="21"/>
                <w:highlight w:val="none"/>
                <w:u w:val="none" w:color="auto"/>
                <w:lang w:val="en-US" w:eastAsia="zh-CN"/>
              </w:rPr>
              <w:t>≤</w:t>
            </w:r>
            <w:r>
              <w:rPr>
                <w:rFonts w:hint="eastAsia" w:cs="Times New Roman"/>
                <w:color w:val="auto"/>
                <w:sz w:val="21"/>
                <w:szCs w:val="21"/>
                <w:highlight w:val="none"/>
                <w:u w:val="none" w:color="auto"/>
                <w:lang w:val="en-US" w:eastAsia="zh-CN"/>
              </w:rPr>
              <w:t>3.0</w:t>
            </w:r>
          </w:p>
        </w:tc>
      </w:tr>
      <w:tr w14:paraId="7741883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46" w:type="pct"/>
            <w:vMerge w:val="continue"/>
            <w:noWrap w:val="0"/>
            <w:vAlign w:val="center"/>
          </w:tcPr>
          <w:p w14:paraId="1C926E90">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color w:val="auto"/>
                <w:sz w:val="21"/>
                <w:szCs w:val="21"/>
                <w:highlight w:val="yellow"/>
                <w:u w:val="none" w:color="auto"/>
                <w:lang w:val="en-US" w:eastAsia="zh-CN"/>
              </w:rPr>
            </w:pPr>
          </w:p>
        </w:tc>
        <w:tc>
          <w:tcPr>
            <w:tcW w:w="1106" w:type="pct"/>
            <w:vMerge w:val="continue"/>
            <w:noWrap w:val="0"/>
            <w:vAlign w:val="center"/>
          </w:tcPr>
          <w:p w14:paraId="5EF769C5">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color w:val="auto"/>
                <w:sz w:val="21"/>
                <w:szCs w:val="21"/>
                <w:highlight w:val="yellow"/>
                <w:u w:val="none" w:color="auto"/>
                <w:lang w:val="en-US" w:eastAsia="zh-CN"/>
              </w:rPr>
            </w:pPr>
          </w:p>
        </w:tc>
        <w:tc>
          <w:tcPr>
            <w:tcW w:w="1309" w:type="pct"/>
            <w:noWrap w:val="0"/>
            <w:vAlign w:val="center"/>
          </w:tcPr>
          <w:p w14:paraId="52C2C7D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u w:val="none" w:color="auto"/>
                <w:lang w:val="en-US" w:eastAsia="zh-CN"/>
              </w:rPr>
            </w:pPr>
            <w:r>
              <w:rPr>
                <w:rFonts w:hint="eastAsia" w:cs="Times New Roman"/>
                <w:color w:val="auto"/>
                <w:sz w:val="21"/>
                <w:szCs w:val="21"/>
                <w:highlight w:val="none"/>
                <w:u w:val="none" w:color="auto"/>
                <w:lang w:val="en-US" w:eastAsia="zh-CN"/>
              </w:rPr>
              <w:t>硫酸盐</w:t>
            </w:r>
          </w:p>
        </w:tc>
        <w:tc>
          <w:tcPr>
            <w:tcW w:w="1090" w:type="pct"/>
            <w:noWrap w:val="0"/>
            <w:vAlign w:val="center"/>
          </w:tcPr>
          <w:p w14:paraId="276D621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highlight w:val="none"/>
                <w:u w:val="none" w:color="auto"/>
                <w:lang w:val="en-US" w:eastAsia="zh-CN"/>
              </w:rPr>
            </w:pPr>
            <w:r>
              <w:rPr>
                <w:rFonts w:hint="eastAsia"/>
                <w:color w:val="auto"/>
                <w:sz w:val="21"/>
                <w:szCs w:val="21"/>
                <w:highlight w:val="none"/>
                <w:u w:val="none" w:color="auto"/>
                <w:lang w:val="en-US" w:eastAsia="zh-CN"/>
              </w:rPr>
              <w:t>mg/L</w:t>
            </w:r>
          </w:p>
        </w:tc>
        <w:tc>
          <w:tcPr>
            <w:tcW w:w="746" w:type="pct"/>
            <w:noWrap w:val="0"/>
            <w:vAlign w:val="center"/>
          </w:tcPr>
          <w:p w14:paraId="39C9803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u w:val="none" w:color="auto"/>
                <w:lang w:val="en-US" w:eastAsia="zh-CN"/>
              </w:rPr>
            </w:pPr>
            <w:r>
              <w:rPr>
                <w:rFonts w:hint="default" w:ascii="Times New Roman" w:hAnsi="Times New Roman" w:cs="Times New Roman"/>
                <w:color w:val="auto"/>
                <w:sz w:val="21"/>
                <w:szCs w:val="21"/>
                <w:highlight w:val="none"/>
                <w:u w:val="none" w:color="auto"/>
                <w:lang w:val="en-US" w:eastAsia="zh-CN"/>
              </w:rPr>
              <w:t>≤</w:t>
            </w:r>
            <w:r>
              <w:rPr>
                <w:rFonts w:hint="eastAsia" w:cs="Times New Roman"/>
                <w:color w:val="auto"/>
                <w:sz w:val="21"/>
                <w:szCs w:val="21"/>
                <w:highlight w:val="none"/>
                <w:u w:val="none" w:color="auto"/>
                <w:lang w:val="en-US" w:eastAsia="zh-CN"/>
              </w:rPr>
              <w:t>250</w:t>
            </w:r>
          </w:p>
        </w:tc>
      </w:tr>
      <w:tr w14:paraId="55B6B07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46" w:type="pct"/>
            <w:vMerge w:val="continue"/>
            <w:noWrap w:val="0"/>
            <w:vAlign w:val="center"/>
          </w:tcPr>
          <w:p w14:paraId="04DFDEE8">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color w:val="auto"/>
                <w:sz w:val="21"/>
                <w:szCs w:val="21"/>
                <w:highlight w:val="yellow"/>
                <w:u w:val="none" w:color="auto"/>
                <w:lang w:val="en-US" w:eastAsia="zh-CN"/>
              </w:rPr>
            </w:pPr>
          </w:p>
        </w:tc>
        <w:tc>
          <w:tcPr>
            <w:tcW w:w="1106" w:type="pct"/>
            <w:vMerge w:val="continue"/>
            <w:noWrap w:val="0"/>
            <w:vAlign w:val="center"/>
          </w:tcPr>
          <w:p w14:paraId="44ED170C">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color w:val="auto"/>
                <w:sz w:val="21"/>
                <w:szCs w:val="21"/>
                <w:highlight w:val="yellow"/>
                <w:u w:val="none" w:color="auto"/>
                <w:lang w:val="en-US" w:eastAsia="zh-CN"/>
              </w:rPr>
            </w:pPr>
          </w:p>
        </w:tc>
        <w:tc>
          <w:tcPr>
            <w:tcW w:w="1309" w:type="pct"/>
            <w:noWrap w:val="0"/>
            <w:vAlign w:val="center"/>
          </w:tcPr>
          <w:p w14:paraId="3807003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u w:val="none" w:color="auto"/>
                <w:lang w:val="en-US" w:eastAsia="zh-CN"/>
              </w:rPr>
            </w:pPr>
            <w:r>
              <w:rPr>
                <w:rFonts w:hint="eastAsia" w:cs="Times New Roman"/>
                <w:color w:val="auto"/>
                <w:sz w:val="21"/>
                <w:szCs w:val="21"/>
                <w:highlight w:val="none"/>
                <w:u w:val="none" w:color="auto"/>
                <w:lang w:val="en-US" w:eastAsia="zh-CN"/>
              </w:rPr>
              <w:t>氯化物</w:t>
            </w:r>
          </w:p>
        </w:tc>
        <w:tc>
          <w:tcPr>
            <w:tcW w:w="1090" w:type="pct"/>
            <w:noWrap w:val="0"/>
            <w:vAlign w:val="center"/>
          </w:tcPr>
          <w:p w14:paraId="4AFEF5F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highlight w:val="none"/>
                <w:u w:val="none" w:color="auto"/>
                <w:lang w:val="en-US" w:eastAsia="zh-CN"/>
              </w:rPr>
            </w:pPr>
            <w:r>
              <w:rPr>
                <w:rFonts w:hint="eastAsia"/>
                <w:color w:val="auto"/>
                <w:sz w:val="21"/>
                <w:szCs w:val="21"/>
                <w:highlight w:val="none"/>
                <w:u w:val="none" w:color="auto"/>
                <w:lang w:val="en-US" w:eastAsia="zh-CN"/>
              </w:rPr>
              <w:t>mg/L</w:t>
            </w:r>
          </w:p>
        </w:tc>
        <w:tc>
          <w:tcPr>
            <w:tcW w:w="746" w:type="pct"/>
            <w:noWrap w:val="0"/>
            <w:vAlign w:val="center"/>
          </w:tcPr>
          <w:p w14:paraId="0410BD3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u w:val="none" w:color="auto"/>
                <w:lang w:val="en-US" w:eastAsia="zh-CN"/>
              </w:rPr>
            </w:pPr>
            <w:r>
              <w:rPr>
                <w:rFonts w:hint="default" w:ascii="Times New Roman" w:hAnsi="Times New Roman" w:cs="Times New Roman"/>
                <w:color w:val="auto"/>
                <w:sz w:val="21"/>
                <w:szCs w:val="21"/>
                <w:highlight w:val="none"/>
                <w:u w:val="none" w:color="auto"/>
                <w:lang w:val="en-US" w:eastAsia="zh-CN"/>
              </w:rPr>
              <w:t>≤</w:t>
            </w:r>
            <w:r>
              <w:rPr>
                <w:rFonts w:hint="eastAsia" w:cs="Times New Roman"/>
                <w:color w:val="auto"/>
                <w:sz w:val="21"/>
                <w:szCs w:val="21"/>
                <w:highlight w:val="none"/>
                <w:u w:val="none" w:color="auto"/>
                <w:lang w:val="en-US" w:eastAsia="zh-CN"/>
              </w:rPr>
              <w:t>250</w:t>
            </w:r>
          </w:p>
        </w:tc>
      </w:tr>
      <w:tr w14:paraId="698C439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46" w:type="pct"/>
            <w:vMerge w:val="continue"/>
          </w:tcPr>
          <w:p w14:paraId="23ADD9F0">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color w:val="auto"/>
                <w:sz w:val="21"/>
                <w:szCs w:val="21"/>
                <w:highlight w:val="yellow"/>
                <w:u w:val="none" w:color="auto"/>
                <w:lang w:val="en-US" w:eastAsia="zh-CN"/>
              </w:rPr>
            </w:pPr>
          </w:p>
        </w:tc>
        <w:tc>
          <w:tcPr>
            <w:tcW w:w="1106" w:type="pct"/>
            <w:vMerge w:val="continue"/>
          </w:tcPr>
          <w:p w14:paraId="05EFDA59">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color w:val="auto"/>
                <w:sz w:val="21"/>
                <w:szCs w:val="21"/>
                <w:highlight w:val="yellow"/>
                <w:u w:val="none" w:color="auto"/>
                <w:lang w:val="en-US" w:eastAsia="zh-CN"/>
              </w:rPr>
            </w:pPr>
          </w:p>
        </w:tc>
        <w:tc>
          <w:tcPr>
            <w:tcW w:w="1309" w:type="pct"/>
            <w:vAlign w:val="center"/>
          </w:tcPr>
          <w:p w14:paraId="6C4A52A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u w:val="none" w:color="auto"/>
                <w:lang w:val="en-US" w:eastAsia="zh-CN"/>
              </w:rPr>
            </w:pPr>
            <w:r>
              <w:rPr>
                <w:rFonts w:hint="eastAsia" w:ascii="Times New Roman" w:hAnsi="Times New Roman" w:cs="Times New Roman"/>
                <w:color w:val="auto"/>
                <w:sz w:val="21"/>
                <w:szCs w:val="21"/>
                <w:highlight w:val="none"/>
                <w:u w:val="none" w:color="auto"/>
                <w:lang w:val="en-US" w:eastAsia="zh-CN"/>
              </w:rPr>
              <w:t>总大肠菌群</w:t>
            </w:r>
          </w:p>
        </w:tc>
        <w:tc>
          <w:tcPr>
            <w:tcW w:w="1090" w:type="pct"/>
            <w:vAlign w:val="center"/>
          </w:tcPr>
          <w:p w14:paraId="0286153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highlight w:val="none"/>
                <w:u w:val="none" w:color="auto"/>
                <w:lang w:val="en-US" w:eastAsia="zh-CN"/>
              </w:rPr>
            </w:pPr>
            <w:r>
              <w:rPr>
                <w:rFonts w:hint="eastAsia" w:ascii="Times New Roman" w:hAnsi="Times New Roman" w:cs="Times New Roman"/>
                <w:color w:val="auto"/>
                <w:sz w:val="21"/>
                <w:szCs w:val="21"/>
                <w:highlight w:val="none"/>
                <w:u w:val="none" w:color="auto"/>
                <w:lang w:val="en-US" w:eastAsia="zh-CN"/>
              </w:rPr>
              <w:t>（MPNb/100mL或CFUc/100mL）</w:t>
            </w:r>
          </w:p>
        </w:tc>
        <w:tc>
          <w:tcPr>
            <w:tcW w:w="746" w:type="pct"/>
            <w:vAlign w:val="center"/>
          </w:tcPr>
          <w:p w14:paraId="70E6A80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u w:val="none" w:color="auto"/>
                <w:lang w:val="en-US" w:eastAsia="zh-CN"/>
              </w:rPr>
            </w:pPr>
            <w:r>
              <w:rPr>
                <w:rFonts w:hint="default" w:ascii="Times New Roman" w:hAnsi="Times New Roman" w:cs="Times New Roman"/>
                <w:color w:val="auto"/>
                <w:sz w:val="21"/>
                <w:szCs w:val="21"/>
                <w:highlight w:val="none"/>
                <w:u w:val="none" w:color="auto"/>
                <w:lang w:val="en-US" w:eastAsia="zh-CN"/>
              </w:rPr>
              <w:t>≤3.0</w:t>
            </w:r>
          </w:p>
        </w:tc>
      </w:tr>
      <w:tr w14:paraId="730B7E2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46" w:type="pct"/>
            <w:vMerge w:val="continue"/>
          </w:tcPr>
          <w:p w14:paraId="3E527B1F">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color w:val="auto"/>
                <w:sz w:val="21"/>
                <w:szCs w:val="21"/>
                <w:highlight w:val="yellow"/>
                <w:u w:val="none" w:color="auto"/>
                <w:lang w:val="en-US" w:eastAsia="zh-CN"/>
              </w:rPr>
            </w:pPr>
          </w:p>
        </w:tc>
        <w:tc>
          <w:tcPr>
            <w:tcW w:w="1106" w:type="pct"/>
            <w:vMerge w:val="continue"/>
          </w:tcPr>
          <w:p w14:paraId="1DE468A7">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color w:val="auto"/>
                <w:sz w:val="21"/>
                <w:szCs w:val="21"/>
                <w:highlight w:val="yellow"/>
                <w:u w:val="none" w:color="auto"/>
                <w:lang w:val="en-US" w:eastAsia="zh-CN"/>
              </w:rPr>
            </w:pPr>
          </w:p>
        </w:tc>
        <w:tc>
          <w:tcPr>
            <w:tcW w:w="1309" w:type="pct"/>
            <w:vAlign w:val="center"/>
          </w:tcPr>
          <w:p w14:paraId="0AEBBA2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u w:val="none" w:color="auto"/>
                <w:lang w:val="en-US" w:eastAsia="zh-CN"/>
              </w:rPr>
            </w:pPr>
            <w:r>
              <w:rPr>
                <w:rFonts w:hint="eastAsia" w:cs="Times New Roman"/>
                <w:color w:val="auto"/>
                <w:sz w:val="21"/>
                <w:szCs w:val="21"/>
                <w:highlight w:val="none"/>
                <w:u w:val="none" w:color="auto"/>
                <w:lang w:val="en-US" w:eastAsia="zh-CN"/>
              </w:rPr>
              <w:t>细菌总数</w:t>
            </w:r>
          </w:p>
        </w:tc>
        <w:tc>
          <w:tcPr>
            <w:tcW w:w="1090" w:type="pct"/>
            <w:shd w:val="clear" w:color="auto" w:fill="auto"/>
            <w:vAlign w:val="top"/>
          </w:tcPr>
          <w:p w14:paraId="3E37235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21"/>
                <w:szCs w:val="21"/>
                <w:highlight w:val="none"/>
                <w:u w:val="none" w:color="auto"/>
                <w:lang w:val="en-US" w:eastAsia="zh-CN" w:bidi="ar-SA"/>
              </w:rPr>
            </w:pPr>
            <w:r>
              <w:rPr>
                <w:rFonts w:hint="eastAsia"/>
                <w:color w:val="auto"/>
                <w:sz w:val="21"/>
                <w:szCs w:val="21"/>
                <w:highlight w:val="none"/>
                <w:u w:val="none" w:color="auto"/>
                <w:lang w:val="en-US" w:eastAsia="zh-CN"/>
              </w:rPr>
              <w:t>CFU/mL</w:t>
            </w:r>
          </w:p>
        </w:tc>
        <w:tc>
          <w:tcPr>
            <w:tcW w:w="746" w:type="pct"/>
            <w:vAlign w:val="center"/>
          </w:tcPr>
          <w:p w14:paraId="457A1F2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u w:val="none" w:color="auto"/>
                <w:lang w:val="en-US" w:eastAsia="zh-CN"/>
              </w:rPr>
            </w:pPr>
            <w:r>
              <w:rPr>
                <w:rFonts w:hint="default" w:ascii="Times New Roman" w:hAnsi="Times New Roman" w:cs="Times New Roman"/>
                <w:color w:val="auto"/>
                <w:sz w:val="21"/>
                <w:szCs w:val="21"/>
                <w:highlight w:val="none"/>
                <w:u w:val="none" w:color="auto"/>
                <w:lang w:val="en-US" w:eastAsia="zh-CN"/>
              </w:rPr>
              <w:t>≤</w:t>
            </w:r>
            <w:r>
              <w:rPr>
                <w:rFonts w:hint="eastAsia" w:cs="Times New Roman"/>
                <w:color w:val="auto"/>
                <w:sz w:val="21"/>
                <w:szCs w:val="21"/>
                <w:highlight w:val="none"/>
                <w:u w:val="none" w:color="auto"/>
                <w:lang w:val="en-US" w:eastAsia="zh-CN"/>
              </w:rPr>
              <w:t>100</w:t>
            </w:r>
          </w:p>
        </w:tc>
      </w:tr>
      <w:tr w14:paraId="73F119D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46" w:type="pct"/>
            <w:vMerge w:val="continue"/>
          </w:tcPr>
          <w:p w14:paraId="74659902">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color w:val="auto"/>
                <w:sz w:val="21"/>
                <w:szCs w:val="21"/>
                <w:highlight w:val="yellow"/>
                <w:u w:val="none" w:color="auto"/>
                <w:lang w:val="en-US" w:eastAsia="zh-CN"/>
              </w:rPr>
            </w:pPr>
          </w:p>
        </w:tc>
        <w:tc>
          <w:tcPr>
            <w:tcW w:w="1106" w:type="pct"/>
            <w:vMerge w:val="continue"/>
          </w:tcPr>
          <w:p w14:paraId="15EBFFD4">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color w:val="auto"/>
                <w:sz w:val="21"/>
                <w:szCs w:val="21"/>
                <w:highlight w:val="yellow"/>
                <w:u w:val="none" w:color="auto"/>
                <w:lang w:val="en-US" w:eastAsia="zh-CN"/>
              </w:rPr>
            </w:pPr>
          </w:p>
        </w:tc>
        <w:tc>
          <w:tcPr>
            <w:tcW w:w="1309" w:type="pct"/>
            <w:vAlign w:val="center"/>
          </w:tcPr>
          <w:p w14:paraId="50F7685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color w:val="auto"/>
                <w:sz w:val="21"/>
                <w:szCs w:val="21"/>
                <w:highlight w:val="yellow"/>
                <w:u w:val="none" w:color="auto"/>
                <w:lang w:val="en-US" w:eastAsia="zh-CN"/>
              </w:rPr>
            </w:pPr>
            <w:r>
              <w:rPr>
                <w:rFonts w:hint="default" w:ascii="Times New Roman" w:hAnsi="Times New Roman" w:eastAsia="宋体" w:cs="Times New Roman"/>
                <w:kern w:val="0"/>
                <w:sz w:val="21"/>
                <w:szCs w:val="21"/>
                <w:highlight w:val="none"/>
                <w:lang w:val="en-US" w:eastAsia="zh-CN" w:bidi="ar"/>
              </w:rPr>
              <w:t>K</w:t>
            </w:r>
            <w:r>
              <w:rPr>
                <w:rFonts w:hint="default" w:ascii="Times New Roman" w:hAnsi="Times New Roman" w:eastAsia="宋体" w:cs="Times New Roman"/>
                <w:kern w:val="0"/>
                <w:sz w:val="21"/>
                <w:szCs w:val="21"/>
                <w:highlight w:val="none"/>
                <w:vertAlign w:val="superscript"/>
                <w:lang w:val="en-US" w:eastAsia="zh-CN" w:bidi="ar"/>
              </w:rPr>
              <w:t>+</w:t>
            </w:r>
          </w:p>
        </w:tc>
        <w:tc>
          <w:tcPr>
            <w:tcW w:w="1090" w:type="pct"/>
            <w:shd w:val="clear" w:color="auto" w:fill="auto"/>
            <w:vAlign w:val="center"/>
          </w:tcPr>
          <w:p w14:paraId="549A620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21"/>
                <w:szCs w:val="21"/>
                <w:highlight w:val="none"/>
                <w:u w:val="none" w:color="auto"/>
                <w:lang w:val="en-US" w:eastAsia="zh-CN" w:bidi="ar-SA"/>
              </w:rPr>
            </w:pPr>
            <w:r>
              <w:rPr>
                <w:rFonts w:hint="eastAsia"/>
                <w:color w:val="auto"/>
                <w:sz w:val="21"/>
                <w:szCs w:val="21"/>
                <w:highlight w:val="none"/>
                <w:u w:val="none" w:color="auto"/>
                <w:lang w:val="en-US" w:eastAsia="zh-CN"/>
              </w:rPr>
              <w:t>mg/L</w:t>
            </w:r>
          </w:p>
        </w:tc>
        <w:tc>
          <w:tcPr>
            <w:tcW w:w="746" w:type="pct"/>
            <w:vAlign w:val="center"/>
          </w:tcPr>
          <w:p w14:paraId="6E79036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u w:val="none" w:color="auto"/>
                <w:lang w:val="en-US" w:eastAsia="zh-CN"/>
              </w:rPr>
            </w:pPr>
            <w:r>
              <w:rPr>
                <w:rFonts w:hint="eastAsia" w:cs="Times New Roman"/>
                <w:color w:val="auto"/>
                <w:sz w:val="21"/>
                <w:szCs w:val="21"/>
                <w:highlight w:val="none"/>
                <w:u w:val="none" w:color="auto"/>
                <w:lang w:val="en-US" w:eastAsia="zh-CN"/>
              </w:rPr>
              <w:t>/</w:t>
            </w:r>
          </w:p>
        </w:tc>
      </w:tr>
      <w:tr w14:paraId="160C5DE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46" w:type="pct"/>
            <w:vMerge w:val="continue"/>
          </w:tcPr>
          <w:p w14:paraId="71572053">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color w:val="auto"/>
                <w:sz w:val="21"/>
                <w:szCs w:val="21"/>
                <w:highlight w:val="yellow"/>
                <w:u w:val="none" w:color="auto"/>
                <w:lang w:val="en-US" w:eastAsia="zh-CN"/>
              </w:rPr>
            </w:pPr>
          </w:p>
        </w:tc>
        <w:tc>
          <w:tcPr>
            <w:tcW w:w="1106" w:type="pct"/>
            <w:vMerge w:val="continue"/>
          </w:tcPr>
          <w:p w14:paraId="4E1062FD">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color w:val="auto"/>
                <w:sz w:val="21"/>
                <w:szCs w:val="21"/>
                <w:highlight w:val="yellow"/>
                <w:u w:val="none" w:color="auto"/>
                <w:lang w:val="en-US" w:eastAsia="zh-CN"/>
              </w:rPr>
            </w:pPr>
          </w:p>
        </w:tc>
        <w:tc>
          <w:tcPr>
            <w:tcW w:w="1309" w:type="pct"/>
            <w:vAlign w:val="center"/>
          </w:tcPr>
          <w:p w14:paraId="110EDF8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color w:val="auto"/>
                <w:sz w:val="21"/>
                <w:szCs w:val="21"/>
                <w:highlight w:val="yellow"/>
                <w:u w:val="none" w:color="auto"/>
                <w:lang w:val="en-US" w:eastAsia="zh-CN"/>
              </w:rPr>
            </w:pPr>
            <w:r>
              <w:rPr>
                <w:rFonts w:hint="default" w:ascii="Times New Roman" w:hAnsi="Times New Roman" w:eastAsia="宋体" w:cs="Times New Roman"/>
                <w:kern w:val="0"/>
                <w:sz w:val="21"/>
                <w:szCs w:val="21"/>
                <w:highlight w:val="none"/>
                <w:lang w:val="en-US" w:eastAsia="zh-CN" w:bidi="ar"/>
              </w:rPr>
              <w:t>Na</w:t>
            </w:r>
            <w:r>
              <w:rPr>
                <w:rFonts w:hint="default" w:ascii="Times New Roman" w:hAnsi="Times New Roman" w:eastAsia="宋体" w:cs="Times New Roman"/>
                <w:kern w:val="0"/>
                <w:sz w:val="21"/>
                <w:szCs w:val="21"/>
                <w:highlight w:val="none"/>
                <w:vertAlign w:val="superscript"/>
                <w:lang w:val="en-US" w:eastAsia="zh-CN" w:bidi="ar"/>
              </w:rPr>
              <w:t>+</w:t>
            </w:r>
          </w:p>
        </w:tc>
        <w:tc>
          <w:tcPr>
            <w:tcW w:w="1090" w:type="pct"/>
            <w:shd w:val="clear" w:color="auto" w:fill="auto"/>
            <w:vAlign w:val="center"/>
          </w:tcPr>
          <w:p w14:paraId="59C5823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21"/>
                <w:szCs w:val="21"/>
                <w:highlight w:val="none"/>
                <w:u w:val="none" w:color="auto"/>
                <w:lang w:val="en-US" w:eastAsia="zh-CN" w:bidi="ar-SA"/>
              </w:rPr>
            </w:pPr>
            <w:r>
              <w:rPr>
                <w:rFonts w:hint="eastAsia"/>
                <w:color w:val="auto"/>
                <w:sz w:val="21"/>
                <w:szCs w:val="21"/>
                <w:highlight w:val="none"/>
                <w:u w:val="none" w:color="auto"/>
                <w:lang w:val="en-US" w:eastAsia="zh-CN"/>
              </w:rPr>
              <w:t>mg/L</w:t>
            </w:r>
          </w:p>
        </w:tc>
        <w:tc>
          <w:tcPr>
            <w:tcW w:w="746" w:type="pct"/>
            <w:vAlign w:val="center"/>
          </w:tcPr>
          <w:p w14:paraId="45B7D31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u w:val="none" w:color="auto"/>
                <w:lang w:val="en-US" w:eastAsia="zh-CN"/>
              </w:rPr>
            </w:pPr>
            <w:r>
              <w:rPr>
                <w:rFonts w:hint="eastAsia" w:cs="Times New Roman"/>
                <w:color w:val="auto"/>
                <w:sz w:val="21"/>
                <w:szCs w:val="21"/>
                <w:highlight w:val="none"/>
                <w:u w:val="none" w:color="auto"/>
                <w:lang w:val="en-US" w:eastAsia="zh-CN"/>
              </w:rPr>
              <w:t>/</w:t>
            </w:r>
          </w:p>
        </w:tc>
      </w:tr>
      <w:tr w14:paraId="463AADF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46" w:type="pct"/>
            <w:vMerge w:val="continue"/>
          </w:tcPr>
          <w:p w14:paraId="6E9CF385">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color w:val="auto"/>
                <w:sz w:val="21"/>
                <w:szCs w:val="21"/>
                <w:highlight w:val="yellow"/>
                <w:u w:val="none" w:color="auto"/>
                <w:lang w:val="en-US" w:eastAsia="zh-CN"/>
              </w:rPr>
            </w:pPr>
          </w:p>
        </w:tc>
        <w:tc>
          <w:tcPr>
            <w:tcW w:w="1106" w:type="pct"/>
            <w:vMerge w:val="continue"/>
          </w:tcPr>
          <w:p w14:paraId="2285C2BB">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color w:val="auto"/>
                <w:sz w:val="21"/>
                <w:szCs w:val="21"/>
                <w:highlight w:val="yellow"/>
                <w:u w:val="none" w:color="auto"/>
                <w:lang w:val="en-US" w:eastAsia="zh-CN"/>
              </w:rPr>
            </w:pPr>
          </w:p>
        </w:tc>
        <w:tc>
          <w:tcPr>
            <w:tcW w:w="1309" w:type="pct"/>
            <w:vAlign w:val="center"/>
          </w:tcPr>
          <w:p w14:paraId="59E6936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color w:val="auto"/>
                <w:sz w:val="21"/>
                <w:szCs w:val="21"/>
                <w:highlight w:val="yellow"/>
                <w:u w:val="none" w:color="auto"/>
                <w:lang w:val="en-US" w:eastAsia="zh-CN"/>
              </w:rPr>
            </w:pPr>
            <w:r>
              <w:rPr>
                <w:rFonts w:hint="default" w:ascii="Times New Roman" w:hAnsi="Times New Roman" w:eastAsia="宋体" w:cs="Times New Roman"/>
                <w:kern w:val="0"/>
                <w:sz w:val="21"/>
                <w:szCs w:val="21"/>
                <w:highlight w:val="none"/>
                <w:lang w:val="en-US" w:eastAsia="zh-CN" w:bidi="ar"/>
              </w:rPr>
              <w:t>Ca</w:t>
            </w:r>
            <w:r>
              <w:rPr>
                <w:rFonts w:hint="default" w:ascii="Times New Roman" w:hAnsi="Times New Roman" w:eastAsia="宋体" w:cs="Times New Roman"/>
                <w:kern w:val="0"/>
                <w:sz w:val="21"/>
                <w:szCs w:val="21"/>
                <w:highlight w:val="none"/>
                <w:vertAlign w:val="superscript"/>
                <w:lang w:val="en-US" w:eastAsia="zh-CN" w:bidi="ar"/>
              </w:rPr>
              <w:t>2+</w:t>
            </w:r>
          </w:p>
        </w:tc>
        <w:tc>
          <w:tcPr>
            <w:tcW w:w="1090" w:type="pct"/>
            <w:shd w:val="clear" w:color="auto" w:fill="auto"/>
            <w:vAlign w:val="top"/>
          </w:tcPr>
          <w:p w14:paraId="01CF460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21"/>
                <w:szCs w:val="21"/>
                <w:highlight w:val="none"/>
                <w:u w:val="none" w:color="auto"/>
                <w:lang w:val="en-US" w:eastAsia="zh-CN" w:bidi="ar-SA"/>
              </w:rPr>
            </w:pPr>
            <w:r>
              <w:rPr>
                <w:rFonts w:hint="eastAsia"/>
                <w:color w:val="auto"/>
                <w:sz w:val="21"/>
                <w:szCs w:val="21"/>
                <w:highlight w:val="none"/>
                <w:u w:val="none" w:color="auto"/>
                <w:lang w:val="en-US" w:eastAsia="zh-CN"/>
              </w:rPr>
              <w:t>mg/L</w:t>
            </w:r>
          </w:p>
        </w:tc>
        <w:tc>
          <w:tcPr>
            <w:tcW w:w="746" w:type="pct"/>
            <w:vAlign w:val="center"/>
          </w:tcPr>
          <w:p w14:paraId="5E03F51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u w:val="none" w:color="auto"/>
                <w:lang w:val="en-US" w:eastAsia="zh-CN"/>
              </w:rPr>
            </w:pPr>
            <w:r>
              <w:rPr>
                <w:rFonts w:hint="eastAsia" w:cs="Times New Roman"/>
                <w:color w:val="auto"/>
                <w:sz w:val="21"/>
                <w:szCs w:val="21"/>
                <w:highlight w:val="none"/>
                <w:u w:val="none" w:color="auto"/>
                <w:lang w:val="en-US" w:eastAsia="zh-CN"/>
              </w:rPr>
              <w:t>/</w:t>
            </w:r>
          </w:p>
        </w:tc>
      </w:tr>
      <w:tr w14:paraId="1426B40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46" w:type="pct"/>
            <w:vMerge w:val="continue"/>
          </w:tcPr>
          <w:p w14:paraId="25F49A35">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color w:val="auto"/>
                <w:sz w:val="21"/>
                <w:szCs w:val="21"/>
                <w:highlight w:val="yellow"/>
                <w:u w:val="none" w:color="auto"/>
                <w:lang w:val="en-US" w:eastAsia="zh-CN"/>
              </w:rPr>
            </w:pPr>
          </w:p>
        </w:tc>
        <w:tc>
          <w:tcPr>
            <w:tcW w:w="1106" w:type="pct"/>
            <w:vMerge w:val="continue"/>
          </w:tcPr>
          <w:p w14:paraId="376D1D7D">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color w:val="auto"/>
                <w:sz w:val="21"/>
                <w:szCs w:val="21"/>
                <w:highlight w:val="yellow"/>
                <w:u w:val="none" w:color="auto"/>
                <w:lang w:val="en-US" w:eastAsia="zh-CN"/>
              </w:rPr>
            </w:pPr>
          </w:p>
        </w:tc>
        <w:tc>
          <w:tcPr>
            <w:tcW w:w="1309" w:type="pct"/>
            <w:vAlign w:val="center"/>
          </w:tcPr>
          <w:p w14:paraId="21A71FD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yellow"/>
                <w:u w:val="none" w:color="auto"/>
                <w:lang w:val="en-US" w:eastAsia="zh-CN"/>
              </w:rPr>
            </w:pPr>
            <w:r>
              <w:rPr>
                <w:rFonts w:hint="default" w:ascii="Times New Roman" w:hAnsi="Times New Roman" w:eastAsia="宋体" w:cs="Times New Roman"/>
                <w:kern w:val="0"/>
                <w:sz w:val="21"/>
                <w:szCs w:val="21"/>
                <w:highlight w:val="none"/>
                <w:lang w:val="en-US" w:eastAsia="zh-CN" w:bidi="ar"/>
              </w:rPr>
              <w:t>Mg</w:t>
            </w:r>
            <w:r>
              <w:rPr>
                <w:rFonts w:hint="default" w:ascii="Times New Roman" w:hAnsi="Times New Roman" w:eastAsia="宋体" w:cs="Times New Roman"/>
                <w:kern w:val="0"/>
                <w:sz w:val="21"/>
                <w:szCs w:val="21"/>
                <w:highlight w:val="none"/>
                <w:vertAlign w:val="superscript"/>
                <w:lang w:val="en-US" w:eastAsia="zh-CN" w:bidi="ar"/>
              </w:rPr>
              <w:t>2+</w:t>
            </w:r>
          </w:p>
        </w:tc>
        <w:tc>
          <w:tcPr>
            <w:tcW w:w="1090" w:type="pct"/>
            <w:shd w:val="clear" w:color="auto" w:fill="auto"/>
            <w:vAlign w:val="center"/>
          </w:tcPr>
          <w:p w14:paraId="5EC033A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21"/>
                <w:szCs w:val="21"/>
                <w:highlight w:val="none"/>
                <w:u w:val="none" w:color="auto"/>
                <w:lang w:val="en-US" w:eastAsia="zh-CN" w:bidi="ar-SA"/>
              </w:rPr>
            </w:pPr>
            <w:r>
              <w:rPr>
                <w:rFonts w:hint="eastAsia"/>
                <w:color w:val="auto"/>
                <w:sz w:val="21"/>
                <w:szCs w:val="21"/>
                <w:highlight w:val="none"/>
                <w:u w:val="none" w:color="auto"/>
                <w:lang w:val="en-US" w:eastAsia="zh-CN"/>
              </w:rPr>
              <w:t>mg/L</w:t>
            </w:r>
          </w:p>
        </w:tc>
        <w:tc>
          <w:tcPr>
            <w:tcW w:w="746" w:type="pct"/>
            <w:vAlign w:val="center"/>
          </w:tcPr>
          <w:p w14:paraId="176B282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u w:val="none" w:color="auto"/>
                <w:lang w:val="en-US" w:eastAsia="zh-CN"/>
              </w:rPr>
            </w:pPr>
            <w:r>
              <w:rPr>
                <w:rFonts w:hint="eastAsia" w:cs="Times New Roman"/>
                <w:color w:val="auto"/>
                <w:sz w:val="21"/>
                <w:szCs w:val="21"/>
                <w:highlight w:val="none"/>
                <w:u w:val="none" w:color="auto"/>
                <w:lang w:val="en-US" w:eastAsia="zh-CN"/>
              </w:rPr>
              <w:t>/</w:t>
            </w:r>
          </w:p>
        </w:tc>
      </w:tr>
      <w:tr w14:paraId="33D3BCD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46" w:type="pct"/>
            <w:vMerge w:val="continue"/>
          </w:tcPr>
          <w:p w14:paraId="267BF983">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color w:val="auto"/>
                <w:sz w:val="21"/>
                <w:szCs w:val="21"/>
                <w:highlight w:val="yellow"/>
                <w:u w:val="none" w:color="auto"/>
                <w:lang w:val="en-US" w:eastAsia="zh-CN"/>
              </w:rPr>
            </w:pPr>
          </w:p>
        </w:tc>
        <w:tc>
          <w:tcPr>
            <w:tcW w:w="1106" w:type="pct"/>
            <w:vMerge w:val="continue"/>
          </w:tcPr>
          <w:p w14:paraId="42298775">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color w:val="auto"/>
                <w:sz w:val="21"/>
                <w:szCs w:val="21"/>
                <w:highlight w:val="yellow"/>
                <w:u w:val="none" w:color="auto"/>
                <w:lang w:val="en-US" w:eastAsia="zh-CN"/>
              </w:rPr>
            </w:pPr>
          </w:p>
        </w:tc>
        <w:tc>
          <w:tcPr>
            <w:tcW w:w="1309" w:type="pct"/>
            <w:vAlign w:val="center"/>
          </w:tcPr>
          <w:p w14:paraId="6D2B69A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yellow"/>
                <w:u w:val="none" w:color="auto"/>
                <w:lang w:val="en-US" w:eastAsia="zh-CN"/>
              </w:rPr>
            </w:pPr>
            <w:r>
              <w:rPr>
                <w:rFonts w:hint="default" w:ascii="Times New Roman" w:hAnsi="Times New Roman" w:eastAsia="宋体" w:cs="Times New Roman"/>
                <w:kern w:val="0"/>
                <w:sz w:val="21"/>
                <w:szCs w:val="21"/>
                <w:highlight w:val="none"/>
                <w:lang w:val="en-US" w:eastAsia="zh-CN" w:bidi="ar"/>
              </w:rPr>
              <w:t>CO</w:t>
            </w:r>
            <w:r>
              <w:rPr>
                <w:rFonts w:hint="default" w:ascii="Times New Roman" w:hAnsi="Times New Roman" w:eastAsia="宋体" w:cs="Times New Roman"/>
                <w:kern w:val="0"/>
                <w:sz w:val="21"/>
                <w:szCs w:val="21"/>
                <w:highlight w:val="none"/>
                <w:vertAlign w:val="subscript"/>
                <w:lang w:val="en-US" w:eastAsia="zh-CN" w:bidi="ar"/>
              </w:rPr>
              <w:t>3</w:t>
            </w:r>
            <w:r>
              <w:rPr>
                <w:rFonts w:hint="default" w:ascii="Times New Roman" w:hAnsi="Times New Roman" w:eastAsia="宋体" w:cs="Times New Roman"/>
                <w:kern w:val="0"/>
                <w:sz w:val="21"/>
                <w:szCs w:val="21"/>
                <w:highlight w:val="none"/>
                <w:vertAlign w:val="superscript"/>
                <w:lang w:val="en-US" w:eastAsia="zh-CN" w:bidi="ar"/>
              </w:rPr>
              <w:t>2-</w:t>
            </w:r>
          </w:p>
        </w:tc>
        <w:tc>
          <w:tcPr>
            <w:tcW w:w="1090" w:type="pct"/>
            <w:shd w:val="clear" w:color="auto" w:fill="auto"/>
            <w:vAlign w:val="center"/>
          </w:tcPr>
          <w:p w14:paraId="7CB0B18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21"/>
                <w:szCs w:val="21"/>
                <w:highlight w:val="none"/>
                <w:u w:val="none" w:color="auto"/>
                <w:lang w:val="en-US" w:eastAsia="zh-CN" w:bidi="ar-SA"/>
              </w:rPr>
            </w:pPr>
            <w:r>
              <w:rPr>
                <w:rFonts w:hint="eastAsia"/>
                <w:color w:val="auto"/>
                <w:sz w:val="21"/>
                <w:szCs w:val="21"/>
                <w:highlight w:val="none"/>
                <w:u w:val="none" w:color="auto"/>
                <w:lang w:val="en-US" w:eastAsia="zh-CN"/>
              </w:rPr>
              <w:t>mg/L</w:t>
            </w:r>
          </w:p>
        </w:tc>
        <w:tc>
          <w:tcPr>
            <w:tcW w:w="746" w:type="pct"/>
            <w:vAlign w:val="center"/>
          </w:tcPr>
          <w:p w14:paraId="64A8B9B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u w:val="none" w:color="auto"/>
                <w:lang w:val="en-US" w:eastAsia="zh-CN"/>
              </w:rPr>
            </w:pPr>
            <w:r>
              <w:rPr>
                <w:rFonts w:hint="eastAsia" w:cs="Times New Roman"/>
                <w:color w:val="auto"/>
                <w:sz w:val="21"/>
                <w:szCs w:val="21"/>
                <w:highlight w:val="none"/>
                <w:u w:val="none" w:color="auto"/>
                <w:lang w:val="en-US" w:eastAsia="zh-CN"/>
              </w:rPr>
              <w:t>/</w:t>
            </w:r>
          </w:p>
        </w:tc>
      </w:tr>
      <w:tr w14:paraId="646B04D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46" w:type="pct"/>
            <w:vMerge w:val="continue"/>
          </w:tcPr>
          <w:p w14:paraId="079411CF">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color w:val="auto"/>
                <w:sz w:val="21"/>
                <w:szCs w:val="21"/>
                <w:highlight w:val="yellow"/>
                <w:u w:val="none" w:color="auto"/>
                <w:lang w:val="en-US" w:eastAsia="zh-CN"/>
              </w:rPr>
            </w:pPr>
          </w:p>
        </w:tc>
        <w:tc>
          <w:tcPr>
            <w:tcW w:w="1106" w:type="pct"/>
            <w:vMerge w:val="continue"/>
          </w:tcPr>
          <w:p w14:paraId="280F6AF0">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color w:val="auto"/>
                <w:sz w:val="21"/>
                <w:szCs w:val="21"/>
                <w:highlight w:val="yellow"/>
                <w:u w:val="none" w:color="auto"/>
                <w:lang w:val="en-US" w:eastAsia="zh-CN"/>
              </w:rPr>
            </w:pPr>
          </w:p>
        </w:tc>
        <w:tc>
          <w:tcPr>
            <w:tcW w:w="1309" w:type="pct"/>
            <w:vAlign w:val="center"/>
          </w:tcPr>
          <w:p w14:paraId="2DB16CE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yellow"/>
                <w:u w:val="none" w:color="auto"/>
                <w:lang w:val="en-US" w:eastAsia="zh-CN"/>
              </w:rPr>
            </w:pPr>
            <w:r>
              <w:rPr>
                <w:rFonts w:hint="default" w:ascii="Times New Roman" w:hAnsi="Times New Roman" w:eastAsia="宋体" w:cs="Times New Roman"/>
                <w:kern w:val="0"/>
                <w:sz w:val="21"/>
                <w:szCs w:val="21"/>
                <w:highlight w:val="none"/>
                <w:lang w:val="en-US" w:eastAsia="zh-CN" w:bidi="ar"/>
              </w:rPr>
              <w:t>HCO</w:t>
            </w:r>
            <w:r>
              <w:rPr>
                <w:rFonts w:hint="default" w:ascii="Times New Roman" w:hAnsi="Times New Roman" w:eastAsia="宋体" w:cs="Times New Roman"/>
                <w:kern w:val="0"/>
                <w:sz w:val="21"/>
                <w:szCs w:val="21"/>
                <w:highlight w:val="none"/>
                <w:vertAlign w:val="subscript"/>
                <w:lang w:val="en-US" w:eastAsia="zh-CN" w:bidi="ar"/>
              </w:rPr>
              <w:t>3</w:t>
            </w:r>
            <w:r>
              <w:rPr>
                <w:rFonts w:hint="default" w:ascii="Times New Roman" w:hAnsi="Times New Roman" w:eastAsia="宋体" w:cs="Times New Roman"/>
                <w:kern w:val="0"/>
                <w:sz w:val="21"/>
                <w:szCs w:val="21"/>
                <w:highlight w:val="none"/>
                <w:vertAlign w:val="superscript"/>
                <w:lang w:val="en-US" w:eastAsia="zh-CN" w:bidi="ar"/>
              </w:rPr>
              <w:t>-</w:t>
            </w:r>
          </w:p>
        </w:tc>
        <w:tc>
          <w:tcPr>
            <w:tcW w:w="1090" w:type="pct"/>
            <w:shd w:val="clear" w:color="auto" w:fill="auto"/>
            <w:vAlign w:val="top"/>
          </w:tcPr>
          <w:p w14:paraId="3B7C285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21"/>
                <w:szCs w:val="21"/>
                <w:highlight w:val="none"/>
                <w:u w:val="none" w:color="auto"/>
                <w:lang w:val="en-US" w:eastAsia="zh-CN" w:bidi="ar-SA"/>
              </w:rPr>
            </w:pPr>
            <w:r>
              <w:rPr>
                <w:rFonts w:hint="eastAsia"/>
                <w:color w:val="auto"/>
                <w:sz w:val="21"/>
                <w:szCs w:val="21"/>
                <w:highlight w:val="none"/>
                <w:u w:val="none" w:color="auto"/>
                <w:lang w:val="en-US" w:eastAsia="zh-CN"/>
              </w:rPr>
              <w:t>mg/L</w:t>
            </w:r>
          </w:p>
        </w:tc>
        <w:tc>
          <w:tcPr>
            <w:tcW w:w="746" w:type="pct"/>
            <w:vAlign w:val="center"/>
          </w:tcPr>
          <w:p w14:paraId="1ACE184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u w:val="none" w:color="auto"/>
                <w:lang w:val="en-US" w:eastAsia="zh-CN"/>
              </w:rPr>
            </w:pPr>
            <w:r>
              <w:rPr>
                <w:rFonts w:hint="eastAsia" w:cs="Times New Roman"/>
                <w:color w:val="auto"/>
                <w:sz w:val="21"/>
                <w:szCs w:val="21"/>
                <w:highlight w:val="none"/>
                <w:u w:val="none" w:color="auto"/>
                <w:lang w:val="en-US" w:eastAsia="zh-CN"/>
              </w:rPr>
              <w:t>/</w:t>
            </w:r>
          </w:p>
        </w:tc>
      </w:tr>
      <w:tr w14:paraId="65E9930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46" w:type="pct"/>
            <w:vMerge w:val="continue"/>
          </w:tcPr>
          <w:p w14:paraId="42628938">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color w:val="auto"/>
                <w:sz w:val="21"/>
                <w:szCs w:val="21"/>
                <w:highlight w:val="yellow"/>
                <w:u w:val="none" w:color="auto"/>
                <w:lang w:val="en-US" w:eastAsia="zh-CN"/>
              </w:rPr>
            </w:pPr>
          </w:p>
        </w:tc>
        <w:tc>
          <w:tcPr>
            <w:tcW w:w="1106" w:type="pct"/>
            <w:vMerge w:val="continue"/>
          </w:tcPr>
          <w:p w14:paraId="7D5FC9B1">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color w:val="auto"/>
                <w:sz w:val="21"/>
                <w:szCs w:val="21"/>
                <w:highlight w:val="yellow"/>
                <w:u w:val="none" w:color="auto"/>
                <w:lang w:val="en-US" w:eastAsia="zh-CN"/>
              </w:rPr>
            </w:pPr>
          </w:p>
        </w:tc>
        <w:tc>
          <w:tcPr>
            <w:tcW w:w="1309" w:type="pct"/>
            <w:vAlign w:val="center"/>
          </w:tcPr>
          <w:p w14:paraId="2EB2E06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yellow"/>
                <w:u w:val="none" w:color="auto"/>
                <w:lang w:val="en-US" w:eastAsia="zh-CN"/>
              </w:rPr>
            </w:pPr>
            <w:r>
              <w:rPr>
                <w:rFonts w:hint="default" w:ascii="Times New Roman" w:hAnsi="Times New Roman" w:eastAsia="宋体" w:cs="Times New Roman"/>
                <w:kern w:val="0"/>
                <w:sz w:val="21"/>
                <w:szCs w:val="21"/>
                <w:highlight w:val="none"/>
                <w:lang w:val="en-US" w:eastAsia="zh-CN" w:bidi="ar"/>
              </w:rPr>
              <w:t>Cl</w:t>
            </w:r>
            <w:r>
              <w:rPr>
                <w:rFonts w:hint="default" w:ascii="Times New Roman" w:hAnsi="Times New Roman" w:eastAsia="宋体" w:cs="Times New Roman"/>
                <w:kern w:val="0"/>
                <w:sz w:val="21"/>
                <w:szCs w:val="21"/>
                <w:highlight w:val="none"/>
                <w:vertAlign w:val="superscript"/>
                <w:lang w:val="en-US" w:eastAsia="zh-CN" w:bidi="ar"/>
              </w:rPr>
              <w:t>-</w:t>
            </w:r>
          </w:p>
        </w:tc>
        <w:tc>
          <w:tcPr>
            <w:tcW w:w="1090" w:type="pct"/>
            <w:shd w:val="clear" w:color="auto" w:fill="auto"/>
            <w:vAlign w:val="center"/>
          </w:tcPr>
          <w:p w14:paraId="569AA09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21"/>
                <w:szCs w:val="21"/>
                <w:highlight w:val="none"/>
                <w:u w:val="none" w:color="auto"/>
                <w:lang w:val="en-US" w:eastAsia="zh-CN" w:bidi="ar-SA"/>
              </w:rPr>
            </w:pPr>
            <w:r>
              <w:rPr>
                <w:rFonts w:hint="eastAsia"/>
                <w:color w:val="auto"/>
                <w:sz w:val="21"/>
                <w:szCs w:val="21"/>
                <w:highlight w:val="none"/>
                <w:u w:val="none" w:color="auto"/>
                <w:lang w:val="en-US" w:eastAsia="zh-CN"/>
              </w:rPr>
              <w:t>mg/L</w:t>
            </w:r>
          </w:p>
        </w:tc>
        <w:tc>
          <w:tcPr>
            <w:tcW w:w="746" w:type="pct"/>
            <w:vAlign w:val="center"/>
          </w:tcPr>
          <w:p w14:paraId="5700DAE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u w:val="none" w:color="auto"/>
                <w:lang w:val="en-US" w:eastAsia="zh-CN"/>
              </w:rPr>
            </w:pPr>
            <w:r>
              <w:rPr>
                <w:rFonts w:hint="default" w:ascii="Times New Roman" w:hAnsi="Times New Roman" w:cs="Times New Roman"/>
                <w:color w:val="auto"/>
                <w:sz w:val="21"/>
                <w:szCs w:val="21"/>
                <w:highlight w:val="none"/>
                <w:u w:val="none" w:color="auto"/>
                <w:lang w:val="en-US" w:eastAsia="zh-CN"/>
              </w:rPr>
              <w:t>≤</w:t>
            </w:r>
            <w:r>
              <w:rPr>
                <w:rFonts w:hint="eastAsia" w:cs="Times New Roman"/>
                <w:color w:val="auto"/>
                <w:sz w:val="21"/>
                <w:szCs w:val="21"/>
                <w:highlight w:val="none"/>
                <w:u w:val="none" w:color="auto"/>
                <w:lang w:val="en-US" w:eastAsia="zh-CN"/>
              </w:rPr>
              <w:t>250</w:t>
            </w:r>
          </w:p>
        </w:tc>
      </w:tr>
      <w:tr w14:paraId="188F14F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46" w:type="pct"/>
            <w:vMerge w:val="continue"/>
          </w:tcPr>
          <w:p w14:paraId="5A1BD6A2">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color w:val="auto"/>
                <w:sz w:val="21"/>
                <w:szCs w:val="21"/>
                <w:highlight w:val="yellow"/>
                <w:u w:val="none" w:color="auto"/>
                <w:lang w:val="en-US" w:eastAsia="zh-CN"/>
              </w:rPr>
            </w:pPr>
          </w:p>
        </w:tc>
        <w:tc>
          <w:tcPr>
            <w:tcW w:w="1106" w:type="pct"/>
            <w:vMerge w:val="continue"/>
          </w:tcPr>
          <w:p w14:paraId="5E0871D8">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color w:val="auto"/>
                <w:sz w:val="21"/>
                <w:szCs w:val="21"/>
                <w:highlight w:val="yellow"/>
                <w:u w:val="none" w:color="auto"/>
                <w:lang w:val="en-US" w:eastAsia="zh-CN"/>
              </w:rPr>
            </w:pPr>
          </w:p>
        </w:tc>
        <w:tc>
          <w:tcPr>
            <w:tcW w:w="1309" w:type="pct"/>
            <w:vAlign w:val="center"/>
          </w:tcPr>
          <w:p w14:paraId="794E12B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yellow"/>
                <w:u w:val="none" w:color="auto"/>
                <w:lang w:val="en-US" w:eastAsia="zh-CN"/>
              </w:rPr>
            </w:pPr>
            <w:r>
              <w:rPr>
                <w:rFonts w:hint="default" w:ascii="Times New Roman" w:hAnsi="Times New Roman" w:eastAsia="宋体" w:cs="Times New Roman"/>
                <w:kern w:val="0"/>
                <w:sz w:val="21"/>
                <w:szCs w:val="21"/>
                <w:highlight w:val="none"/>
                <w:lang w:val="en-US" w:eastAsia="zh-CN" w:bidi="ar"/>
              </w:rPr>
              <w:t>SO</w:t>
            </w:r>
            <w:r>
              <w:rPr>
                <w:rFonts w:hint="default" w:ascii="Times New Roman" w:hAnsi="Times New Roman" w:eastAsia="宋体" w:cs="Times New Roman"/>
                <w:kern w:val="0"/>
                <w:sz w:val="21"/>
                <w:szCs w:val="21"/>
                <w:highlight w:val="none"/>
                <w:vertAlign w:val="subscript"/>
                <w:lang w:val="en-US" w:eastAsia="zh-CN" w:bidi="ar"/>
              </w:rPr>
              <w:t>4</w:t>
            </w:r>
            <w:r>
              <w:rPr>
                <w:rFonts w:hint="default" w:ascii="Times New Roman" w:hAnsi="Times New Roman" w:eastAsia="宋体" w:cs="Times New Roman"/>
                <w:kern w:val="0"/>
                <w:sz w:val="21"/>
                <w:szCs w:val="21"/>
                <w:highlight w:val="none"/>
                <w:vertAlign w:val="superscript"/>
                <w:lang w:val="en-US" w:eastAsia="zh-CN" w:bidi="ar"/>
              </w:rPr>
              <w:t>2-</w:t>
            </w:r>
          </w:p>
        </w:tc>
        <w:tc>
          <w:tcPr>
            <w:tcW w:w="1090" w:type="pct"/>
            <w:shd w:val="clear" w:color="auto" w:fill="auto"/>
            <w:vAlign w:val="center"/>
          </w:tcPr>
          <w:p w14:paraId="57E8E5A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21"/>
                <w:szCs w:val="21"/>
                <w:highlight w:val="none"/>
                <w:u w:val="none" w:color="auto"/>
                <w:lang w:val="en-US" w:eastAsia="zh-CN" w:bidi="ar-SA"/>
              </w:rPr>
            </w:pPr>
            <w:r>
              <w:rPr>
                <w:rFonts w:hint="eastAsia"/>
                <w:color w:val="auto"/>
                <w:sz w:val="21"/>
                <w:szCs w:val="21"/>
                <w:highlight w:val="none"/>
                <w:u w:val="none" w:color="auto"/>
                <w:lang w:val="en-US" w:eastAsia="zh-CN"/>
              </w:rPr>
              <w:t>mg/L</w:t>
            </w:r>
          </w:p>
        </w:tc>
        <w:tc>
          <w:tcPr>
            <w:tcW w:w="746" w:type="pct"/>
            <w:vAlign w:val="center"/>
          </w:tcPr>
          <w:p w14:paraId="5695FB7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u w:val="none" w:color="auto"/>
                <w:lang w:val="en-US" w:eastAsia="zh-CN"/>
              </w:rPr>
            </w:pPr>
            <w:r>
              <w:rPr>
                <w:rFonts w:hint="default" w:ascii="Times New Roman" w:hAnsi="Times New Roman" w:cs="Times New Roman"/>
                <w:color w:val="auto"/>
                <w:sz w:val="21"/>
                <w:szCs w:val="21"/>
                <w:highlight w:val="none"/>
                <w:u w:val="none" w:color="auto"/>
                <w:lang w:val="en-US" w:eastAsia="zh-CN"/>
              </w:rPr>
              <w:t>≤</w:t>
            </w:r>
            <w:r>
              <w:rPr>
                <w:rFonts w:hint="eastAsia" w:cs="Times New Roman"/>
                <w:color w:val="auto"/>
                <w:sz w:val="21"/>
                <w:szCs w:val="21"/>
                <w:highlight w:val="none"/>
                <w:u w:val="none" w:color="auto"/>
                <w:lang w:val="en-US" w:eastAsia="zh-CN"/>
              </w:rPr>
              <w:t>250</w:t>
            </w:r>
          </w:p>
        </w:tc>
      </w:tr>
    </w:tbl>
    <w:p w14:paraId="697449AA">
      <w:pPr>
        <w:bidi w:val="0"/>
        <w:rPr>
          <w:rFonts w:hint="eastAsia"/>
          <w:b/>
          <w:bCs/>
          <w:color w:val="auto"/>
          <w:highlight w:val="none"/>
          <w:u w:val="none" w:color="auto"/>
          <w:lang w:val="en-US" w:eastAsia="zh-CN"/>
        </w:rPr>
      </w:pPr>
      <w:r>
        <w:rPr>
          <w:rFonts w:hint="eastAsia"/>
          <w:b/>
          <w:bCs/>
          <w:color w:val="auto"/>
          <w:highlight w:val="none"/>
          <w:u w:val="none" w:color="auto"/>
          <w:lang w:val="en-US" w:eastAsia="zh-CN"/>
        </w:rPr>
        <w:t>（4）声环境</w:t>
      </w:r>
    </w:p>
    <w:p w14:paraId="7C72471C">
      <w:pPr>
        <w:bidi w:val="0"/>
        <w:rPr>
          <w:rFonts w:hint="eastAsia"/>
          <w:color w:val="auto"/>
          <w:highlight w:val="none"/>
          <w:u w:val="none" w:color="auto"/>
          <w:lang w:val="en-US" w:eastAsia="zh-CN"/>
        </w:rPr>
      </w:pPr>
      <w:r>
        <w:rPr>
          <w:rFonts w:hint="eastAsia"/>
          <w:color w:val="auto"/>
          <w:highlight w:val="none"/>
          <w:u w:val="none" w:color="auto"/>
          <w:lang w:val="en-US" w:eastAsia="zh-CN"/>
        </w:rPr>
        <w:t>执行《声环境质量标准》（GB3096-2008）1类标准。具体见表2.4-5。</w:t>
      </w:r>
    </w:p>
    <w:p w14:paraId="372F639E">
      <w:pPr>
        <w:bidi w:val="0"/>
        <w:ind w:left="0" w:leftChars="0" w:firstLine="0" w:firstLineChars="0"/>
        <w:jc w:val="center"/>
        <w:rPr>
          <w:rFonts w:hint="eastAsia"/>
          <w:b/>
          <w:bCs/>
          <w:color w:val="auto"/>
          <w:sz w:val="21"/>
          <w:szCs w:val="21"/>
          <w:highlight w:val="none"/>
          <w:u w:val="none" w:color="auto"/>
          <w:lang w:val="en-US" w:eastAsia="zh-CN"/>
        </w:rPr>
      </w:pPr>
      <w:r>
        <w:rPr>
          <w:rFonts w:hint="eastAsia"/>
          <w:b/>
          <w:bCs/>
          <w:color w:val="auto"/>
          <w:sz w:val="21"/>
          <w:szCs w:val="21"/>
          <w:highlight w:val="none"/>
          <w:u w:val="none" w:color="auto"/>
          <w:lang w:val="en-US" w:eastAsia="zh-CN"/>
        </w:rPr>
        <w:t>表2.4-5  声环境质量标准    单位：dB（A）</w:t>
      </w:r>
    </w:p>
    <w:tbl>
      <w:tblPr>
        <w:tblStyle w:val="35"/>
        <w:tblW w:w="4997"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2812"/>
        <w:gridCol w:w="3207"/>
        <w:gridCol w:w="3207"/>
      </w:tblGrid>
      <w:tr w14:paraId="39DB733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tblHeader/>
          <w:jc w:val="center"/>
        </w:trPr>
        <w:tc>
          <w:tcPr>
            <w:tcW w:w="1524" w:type="pct"/>
            <w:noWrap w:val="0"/>
            <w:vAlign w:val="center"/>
          </w:tcPr>
          <w:p w14:paraId="40563ED8">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b/>
                <w:bCs/>
                <w:color w:val="auto"/>
                <w:sz w:val="21"/>
                <w:szCs w:val="21"/>
                <w:highlight w:val="none"/>
                <w:u w:val="none" w:color="auto"/>
                <w:lang w:val="en-US" w:eastAsia="zh-CN"/>
              </w:rPr>
            </w:pPr>
            <w:r>
              <w:rPr>
                <w:rFonts w:hint="eastAsia"/>
                <w:b/>
                <w:bCs/>
                <w:color w:val="auto"/>
                <w:sz w:val="21"/>
                <w:szCs w:val="21"/>
                <w:highlight w:val="none"/>
                <w:u w:val="none" w:color="auto"/>
                <w:lang w:val="en-US" w:eastAsia="zh-CN"/>
              </w:rPr>
              <w:t>类别</w:t>
            </w:r>
          </w:p>
        </w:tc>
        <w:tc>
          <w:tcPr>
            <w:tcW w:w="1737" w:type="pct"/>
            <w:noWrap w:val="0"/>
            <w:vAlign w:val="center"/>
          </w:tcPr>
          <w:p w14:paraId="0E8F3C6A">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b/>
                <w:bCs/>
                <w:color w:val="auto"/>
                <w:sz w:val="21"/>
                <w:szCs w:val="21"/>
                <w:highlight w:val="none"/>
                <w:u w:val="none" w:color="auto"/>
                <w:lang w:val="en-US" w:eastAsia="zh-CN"/>
              </w:rPr>
            </w:pPr>
            <w:r>
              <w:rPr>
                <w:rFonts w:hint="eastAsia"/>
                <w:b/>
                <w:bCs/>
                <w:color w:val="auto"/>
                <w:sz w:val="21"/>
                <w:szCs w:val="21"/>
                <w:highlight w:val="none"/>
                <w:u w:val="none" w:color="auto"/>
                <w:lang w:val="en-US" w:eastAsia="zh-CN"/>
              </w:rPr>
              <w:t>昼间</w:t>
            </w:r>
          </w:p>
        </w:tc>
        <w:tc>
          <w:tcPr>
            <w:tcW w:w="1737" w:type="pct"/>
            <w:noWrap w:val="0"/>
            <w:vAlign w:val="center"/>
          </w:tcPr>
          <w:p w14:paraId="6E4A313E">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b/>
                <w:bCs/>
                <w:color w:val="auto"/>
                <w:sz w:val="21"/>
                <w:szCs w:val="21"/>
                <w:highlight w:val="none"/>
                <w:u w:val="none" w:color="auto"/>
                <w:lang w:val="en-US" w:eastAsia="zh-CN"/>
              </w:rPr>
            </w:pPr>
            <w:r>
              <w:rPr>
                <w:rFonts w:hint="eastAsia"/>
                <w:b/>
                <w:bCs/>
                <w:color w:val="auto"/>
                <w:sz w:val="21"/>
                <w:szCs w:val="21"/>
                <w:highlight w:val="none"/>
                <w:u w:val="none" w:color="auto"/>
                <w:lang w:val="en-US" w:eastAsia="zh-CN"/>
              </w:rPr>
              <w:t>夜间</w:t>
            </w:r>
          </w:p>
        </w:tc>
      </w:tr>
      <w:tr w14:paraId="04E8286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1524" w:type="pct"/>
            <w:noWrap w:val="0"/>
            <w:vAlign w:val="center"/>
          </w:tcPr>
          <w:p w14:paraId="0BAA905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sz w:val="21"/>
                <w:szCs w:val="21"/>
                <w:highlight w:val="none"/>
                <w:u w:val="none" w:color="auto"/>
                <w:lang w:val="en-US" w:eastAsia="zh-CN"/>
              </w:rPr>
            </w:pPr>
            <w:r>
              <w:rPr>
                <w:rFonts w:hint="eastAsia"/>
                <w:color w:val="auto"/>
                <w:sz w:val="21"/>
                <w:szCs w:val="21"/>
                <w:highlight w:val="none"/>
                <w:u w:val="none" w:color="auto"/>
                <w:lang w:val="en-US" w:eastAsia="zh-CN"/>
              </w:rPr>
              <w:t>1类</w:t>
            </w:r>
          </w:p>
        </w:tc>
        <w:tc>
          <w:tcPr>
            <w:tcW w:w="1737" w:type="pct"/>
            <w:noWrap w:val="0"/>
            <w:vAlign w:val="center"/>
          </w:tcPr>
          <w:p w14:paraId="58FA391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sz w:val="21"/>
                <w:szCs w:val="21"/>
                <w:highlight w:val="none"/>
                <w:u w:val="none" w:color="auto"/>
                <w:lang w:val="en-US" w:eastAsia="zh-CN"/>
              </w:rPr>
            </w:pPr>
            <w:r>
              <w:rPr>
                <w:rFonts w:hint="eastAsia"/>
                <w:color w:val="auto"/>
                <w:sz w:val="21"/>
                <w:szCs w:val="21"/>
                <w:highlight w:val="none"/>
                <w:u w:val="none" w:color="auto"/>
                <w:lang w:val="en-US" w:eastAsia="zh-CN"/>
              </w:rPr>
              <w:t>55</w:t>
            </w:r>
          </w:p>
        </w:tc>
        <w:tc>
          <w:tcPr>
            <w:tcW w:w="1737" w:type="pct"/>
            <w:noWrap w:val="0"/>
            <w:vAlign w:val="center"/>
          </w:tcPr>
          <w:p w14:paraId="30EB55E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sz w:val="21"/>
                <w:szCs w:val="21"/>
                <w:highlight w:val="none"/>
                <w:u w:val="none" w:color="auto"/>
                <w:lang w:val="en-US" w:eastAsia="zh-CN"/>
              </w:rPr>
            </w:pPr>
            <w:r>
              <w:rPr>
                <w:rFonts w:hint="eastAsia"/>
                <w:color w:val="auto"/>
                <w:sz w:val="21"/>
                <w:szCs w:val="21"/>
                <w:highlight w:val="none"/>
                <w:u w:val="none" w:color="auto"/>
                <w:lang w:val="en-US" w:eastAsia="zh-CN"/>
              </w:rPr>
              <w:t>45</w:t>
            </w:r>
          </w:p>
        </w:tc>
      </w:tr>
    </w:tbl>
    <w:p w14:paraId="2A37A127">
      <w:pPr>
        <w:numPr>
          <w:ilvl w:val="0"/>
          <w:numId w:val="0"/>
        </w:numPr>
        <w:tabs>
          <w:tab w:val="left" w:pos="420"/>
        </w:tabs>
        <w:bidi w:val="0"/>
        <w:ind w:leftChars="200"/>
        <w:rPr>
          <w:rFonts w:hint="default"/>
          <w:b/>
          <w:bCs/>
          <w:highlight w:val="none"/>
          <w:lang w:val="en-US" w:eastAsia="zh-CN"/>
        </w:rPr>
      </w:pPr>
      <w:r>
        <w:rPr>
          <w:rFonts w:hint="eastAsia"/>
          <w:b/>
          <w:bCs/>
          <w:highlight w:val="none"/>
          <w:lang w:val="en-US" w:eastAsia="zh-CN"/>
        </w:rPr>
        <w:t>（5）土壤环境</w:t>
      </w:r>
    </w:p>
    <w:p w14:paraId="1886EADB">
      <w:pPr>
        <w:bidi w:val="0"/>
        <w:rPr>
          <w:rFonts w:hint="eastAsia"/>
          <w:highlight w:val="none"/>
          <w:lang w:val="en-US" w:eastAsia="zh-CN"/>
        </w:rPr>
      </w:pPr>
      <w:r>
        <w:rPr>
          <w:rFonts w:hint="eastAsia"/>
          <w:highlight w:val="none"/>
          <w:lang w:val="en-US" w:eastAsia="zh-CN"/>
        </w:rPr>
        <w:t>评价区域内建设用地执行《土壤环境质量  建设用地土壤污染风险管控标准（试行）》（GB36600-2018）中表1建设用地土壤污染风险筛选值，标准值见表2.4-6。农用地执行《土壤环境质量  农用地土壤污染风险管控标准（试行）》（GB15618-2018）中表1农用地土壤污染风险筛选值，标准值见表2.4-7。</w:t>
      </w:r>
    </w:p>
    <w:p w14:paraId="36B4DE28">
      <w:pPr>
        <w:bidi w:val="0"/>
        <w:ind w:left="0" w:leftChars="0" w:firstLine="0" w:firstLineChars="0"/>
        <w:jc w:val="center"/>
        <w:rPr>
          <w:rFonts w:hint="eastAsia"/>
          <w:b/>
          <w:bCs/>
          <w:color w:val="auto"/>
          <w:sz w:val="21"/>
          <w:szCs w:val="21"/>
          <w:highlight w:val="none"/>
          <w:lang w:val="en-US" w:eastAsia="zh-CN"/>
        </w:rPr>
      </w:pPr>
      <w:r>
        <w:rPr>
          <w:rFonts w:hint="eastAsia"/>
          <w:b/>
          <w:bCs/>
          <w:color w:val="auto"/>
          <w:sz w:val="21"/>
          <w:szCs w:val="21"/>
          <w:highlight w:val="none"/>
          <w:lang w:val="en-US" w:eastAsia="zh-CN"/>
        </w:rPr>
        <w:t>表2.4-6  建设用地土壤环境质量评价标准    单位：mg/kg</w:t>
      </w:r>
    </w:p>
    <w:tbl>
      <w:tblPr>
        <w:tblStyle w:val="35"/>
        <w:tblW w:w="4997"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2063"/>
        <w:gridCol w:w="1914"/>
        <w:gridCol w:w="1759"/>
        <w:gridCol w:w="1748"/>
        <w:gridCol w:w="1742"/>
      </w:tblGrid>
      <w:tr w14:paraId="7F2CC08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tblHeader/>
        </w:trPr>
        <w:tc>
          <w:tcPr>
            <w:tcW w:w="1118" w:type="pct"/>
            <w:vMerge w:val="restart"/>
            <w:noWrap w:val="0"/>
            <w:vAlign w:val="center"/>
          </w:tcPr>
          <w:p w14:paraId="6827F0D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b/>
                <w:bCs/>
                <w:color w:val="auto"/>
                <w:sz w:val="21"/>
                <w:szCs w:val="21"/>
                <w:highlight w:val="none"/>
                <w:lang w:val="en-US" w:eastAsia="zh-CN"/>
              </w:rPr>
            </w:pPr>
            <w:r>
              <w:rPr>
                <w:rFonts w:hint="eastAsia"/>
                <w:b/>
                <w:bCs/>
                <w:color w:val="auto"/>
                <w:sz w:val="21"/>
                <w:szCs w:val="21"/>
                <w:highlight w:val="none"/>
                <w:lang w:val="en-US" w:eastAsia="zh-CN"/>
              </w:rPr>
              <w:t>项目</w:t>
            </w:r>
          </w:p>
        </w:tc>
        <w:tc>
          <w:tcPr>
            <w:tcW w:w="1990" w:type="pct"/>
            <w:gridSpan w:val="2"/>
            <w:noWrap w:val="0"/>
            <w:vAlign w:val="center"/>
          </w:tcPr>
          <w:p w14:paraId="4D6568D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b/>
                <w:bCs/>
                <w:color w:val="auto"/>
                <w:sz w:val="21"/>
                <w:szCs w:val="21"/>
                <w:highlight w:val="none"/>
                <w:lang w:val="en-US" w:eastAsia="zh-CN"/>
              </w:rPr>
            </w:pPr>
            <w:r>
              <w:rPr>
                <w:rFonts w:hint="eastAsia"/>
                <w:b/>
                <w:bCs/>
                <w:color w:val="auto"/>
                <w:sz w:val="21"/>
                <w:szCs w:val="21"/>
                <w:highlight w:val="none"/>
                <w:lang w:val="en-US" w:eastAsia="zh-CN"/>
              </w:rPr>
              <w:t>第一类用地标准</w:t>
            </w:r>
          </w:p>
        </w:tc>
        <w:tc>
          <w:tcPr>
            <w:tcW w:w="1891" w:type="pct"/>
            <w:gridSpan w:val="2"/>
            <w:noWrap w:val="0"/>
            <w:vAlign w:val="center"/>
          </w:tcPr>
          <w:p w14:paraId="6B198A6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b/>
                <w:bCs/>
                <w:color w:val="auto"/>
                <w:sz w:val="21"/>
                <w:szCs w:val="21"/>
                <w:highlight w:val="none"/>
                <w:lang w:val="en-US" w:eastAsia="zh-CN"/>
              </w:rPr>
            </w:pPr>
            <w:r>
              <w:rPr>
                <w:rFonts w:hint="eastAsia"/>
                <w:b/>
                <w:bCs/>
                <w:color w:val="auto"/>
                <w:sz w:val="21"/>
                <w:szCs w:val="21"/>
                <w:highlight w:val="none"/>
                <w:lang w:val="en-US" w:eastAsia="zh-CN"/>
              </w:rPr>
              <w:t>第二类用地标准</w:t>
            </w:r>
          </w:p>
        </w:tc>
      </w:tr>
      <w:tr w14:paraId="6DF20EF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tblHeader/>
        </w:trPr>
        <w:tc>
          <w:tcPr>
            <w:tcW w:w="1118" w:type="pct"/>
            <w:vMerge w:val="continue"/>
            <w:noWrap w:val="0"/>
            <w:vAlign w:val="center"/>
          </w:tcPr>
          <w:p w14:paraId="03528C7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b/>
                <w:bCs/>
                <w:color w:val="auto"/>
                <w:sz w:val="21"/>
                <w:szCs w:val="21"/>
                <w:highlight w:val="none"/>
                <w:lang w:val="en-US" w:eastAsia="zh-CN"/>
              </w:rPr>
            </w:pPr>
          </w:p>
        </w:tc>
        <w:tc>
          <w:tcPr>
            <w:tcW w:w="1037" w:type="pct"/>
            <w:noWrap w:val="0"/>
            <w:vAlign w:val="center"/>
          </w:tcPr>
          <w:p w14:paraId="621E597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b/>
                <w:bCs/>
                <w:color w:val="auto"/>
                <w:sz w:val="21"/>
                <w:szCs w:val="21"/>
                <w:highlight w:val="none"/>
                <w:lang w:val="en-US" w:eastAsia="zh-CN"/>
              </w:rPr>
            </w:pPr>
            <w:r>
              <w:rPr>
                <w:rFonts w:hint="eastAsia"/>
                <w:b/>
                <w:bCs/>
                <w:color w:val="auto"/>
                <w:sz w:val="21"/>
                <w:szCs w:val="21"/>
                <w:highlight w:val="none"/>
                <w:lang w:val="en-US" w:eastAsia="zh-CN"/>
              </w:rPr>
              <w:t>筛选值</w:t>
            </w:r>
          </w:p>
        </w:tc>
        <w:tc>
          <w:tcPr>
            <w:tcW w:w="953" w:type="pct"/>
            <w:noWrap w:val="0"/>
            <w:vAlign w:val="center"/>
          </w:tcPr>
          <w:p w14:paraId="110A903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b/>
                <w:bCs/>
                <w:color w:val="auto"/>
                <w:sz w:val="21"/>
                <w:szCs w:val="21"/>
                <w:highlight w:val="none"/>
                <w:lang w:val="en-US" w:eastAsia="zh-CN"/>
              </w:rPr>
            </w:pPr>
            <w:r>
              <w:rPr>
                <w:rFonts w:hint="eastAsia"/>
                <w:b/>
                <w:bCs/>
                <w:color w:val="auto"/>
                <w:sz w:val="21"/>
                <w:szCs w:val="21"/>
                <w:highlight w:val="none"/>
                <w:lang w:val="en-US" w:eastAsia="zh-CN"/>
              </w:rPr>
              <w:t>管控值</w:t>
            </w:r>
          </w:p>
        </w:tc>
        <w:tc>
          <w:tcPr>
            <w:tcW w:w="947" w:type="pct"/>
            <w:noWrap w:val="0"/>
            <w:vAlign w:val="center"/>
          </w:tcPr>
          <w:p w14:paraId="3D24C24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b/>
                <w:bCs/>
                <w:color w:val="auto"/>
                <w:sz w:val="21"/>
                <w:szCs w:val="21"/>
                <w:highlight w:val="none"/>
                <w:lang w:val="en-US" w:eastAsia="zh-CN"/>
              </w:rPr>
            </w:pPr>
            <w:r>
              <w:rPr>
                <w:rFonts w:hint="eastAsia"/>
                <w:b/>
                <w:bCs/>
                <w:color w:val="auto"/>
                <w:sz w:val="21"/>
                <w:szCs w:val="21"/>
                <w:highlight w:val="none"/>
                <w:lang w:val="en-US" w:eastAsia="zh-CN"/>
              </w:rPr>
              <w:t>筛选值</w:t>
            </w:r>
          </w:p>
        </w:tc>
        <w:tc>
          <w:tcPr>
            <w:tcW w:w="944" w:type="pct"/>
            <w:noWrap w:val="0"/>
            <w:vAlign w:val="center"/>
          </w:tcPr>
          <w:p w14:paraId="6C0C7D8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b/>
                <w:bCs/>
                <w:color w:val="auto"/>
                <w:sz w:val="21"/>
                <w:szCs w:val="21"/>
                <w:highlight w:val="none"/>
                <w:lang w:val="en-US" w:eastAsia="zh-CN"/>
              </w:rPr>
            </w:pPr>
            <w:r>
              <w:rPr>
                <w:rFonts w:hint="eastAsia"/>
                <w:b/>
                <w:bCs/>
                <w:color w:val="auto"/>
                <w:sz w:val="21"/>
                <w:szCs w:val="21"/>
                <w:highlight w:val="none"/>
                <w:lang w:val="en-US" w:eastAsia="zh-CN"/>
              </w:rPr>
              <w:t>管控值</w:t>
            </w:r>
          </w:p>
        </w:tc>
      </w:tr>
      <w:tr w14:paraId="231D58A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trPr>
        <w:tc>
          <w:tcPr>
            <w:tcW w:w="1118" w:type="pct"/>
            <w:noWrap w:val="0"/>
            <w:vAlign w:val="center"/>
          </w:tcPr>
          <w:p w14:paraId="7E19040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highlight w:val="none"/>
                <w:lang w:val="en-US" w:eastAsia="zh-CN"/>
              </w:rPr>
            </w:pPr>
            <w:r>
              <w:rPr>
                <w:rFonts w:hint="eastAsia"/>
                <w:color w:val="auto"/>
                <w:sz w:val="21"/>
                <w:szCs w:val="21"/>
                <w:highlight w:val="none"/>
                <w:lang w:val="en-US" w:eastAsia="zh-CN"/>
              </w:rPr>
              <w:t>砷</w:t>
            </w:r>
          </w:p>
        </w:tc>
        <w:tc>
          <w:tcPr>
            <w:tcW w:w="1037" w:type="pct"/>
            <w:noWrap w:val="0"/>
            <w:vAlign w:val="center"/>
          </w:tcPr>
          <w:p w14:paraId="31CD93F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highlight w:val="none"/>
                <w:lang w:val="en-US" w:eastAsia="zh-CN"/>
              </w:rPr>
            </w:pPr>
            <w:r>
              <w:rPr>
                <w:rFonts w:hint="eastAsia"/>
                <w:color w:val="auto"/>
                <w:sz w:val="21"/>
                <w:szCs w:val="21"/>
                <w:highlight w:val="none"/>
                <w:lang w:val="en-US" w:eastAsia="zh-CN"/>
              </w:rPr>
              <w:t>20</w:t>
            </w:r>
          </w:p>
        </w:tc>
        <w:tc>
          <w:tcPr>
            <w:tcW w:w="953" w:type="pct"/>
            <w:noWrap w:val="0"/>
            <w:vAlign w:val="center"/>
          </w:tcPr>
          <w:p w14:paraId="33CE753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highlight w:val="none"/>
                <w:lang w:val="en-US" w:eastAsia="zh-CN"/>
              </w:rPr>
            </w:pPr>
            <w:r>
              <w:rPr>
                <w:rFonts w:hint="eastAsia"/>
                <w:color w:val="auto"/>
                <w:sz w:val="21"/>
                <w:szCs w:val="21"/>
                <w:highlight w:val="none"/>
                <w:lang w:val="en-US" w:eastAsia="zh-CN"/>
              </w:rPr>
              <w:t>120</w:t>
            </w:r>
          </w:p>
        </w:tc>
        <w:tc>
          <w:tcPr>
            <w:tcW w:w="947" w:type="pct"/>
            <w:noWrap w:val="0"/>
            <w:vAlign w:val="center"/>
          </w:tcPr>
          <w:p w14:paraId="638BE82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highlight w:val="none"/>
                <w:lang w:val="en-US" w:eastAsia="zh-CN"/>
              </w:rPr>
            </w:pPr>
            <w:r>
              <w:rPr>
                <w:rFonts w:hint="eastAsia"/>
                <w:color w:val="auto"/>
                <w:sz w:val="21"/>
                <w:szCs w:val="21"/>
                <w:highlight w:val="none"/>
                <w:lang w:val="en-US" w:eastAsia="zh-CN"/>
              </w:rPr>
              <w:t>60</w:t>
            </w:r>
          </w:p>
        </w:tc>
        <w:tc>
          <w:tcPr>
            <w:tcW w:w="944" w:type="pct"/>
            <w:noWrap w:val="0"/>
            <w:vAlign w:val="center"/>
          </w:tcPr>
          <w:p w14:paraId="09E6A33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highlight w:val="none"/>
                <w:lang w:val="en-US" w:eastAsia="zh-CN"/>
              </w:rPr>
            </w:pPr>
            <w:r>
              <w:rPr>
                <w:rFonts w:hint="eastAsia"/>
                <w:color w:val="auto"/>
                <w:sz w:val="21"/>
                <w:szCs w:val="21"/>
                <w:highlight w:val="none"/>
                <w:lang w:val="en-US" w:eastAsia="zh-CN"/>
              </w:rPr>
              <w:t>140</w:t>
            </w:r>
          </w:p>
        </w:tc>
      </w:tr>
      <w:tr w14:paraId="7E3FE75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trPr>
        <w:tc>
          <w:tcPr>
            <w:tcW w:w="1118" w:type="pct"/>
            <w:noWrap w:val="0"/>
            <w:vAlign w:val="center"/>
          </w:tcPr>
          <w:p w14:paraId="5F725BA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highlight w:val="none"/>
                <w:lang w:val="en-US" w:eastAsia="zh-CN"/>
              </w:rPr>
            </w:pPr>
            <w:r>
              <w:rPr>
                <w:rFonts w:hint="eastAsia"/>
                <w:color w:val="auto"/>
                <w:sz w:val="21"/>
                <w:szCs w:val="21"/>
                <w:highlight w:val="none"/>
                <w:lang w:val="en-US" w:eastAsia="zh-CN"/>
              </w:rPr>
              <w:t>镉</w:t>
            </w:r>
          </w:p>
        </w:tc>
        <w:tc>
          <w:tcPr>
            <w:tcW w:w="1037" w:type="pct"/>
            <w:noWrap w:val="0"/>
            <w:vAlign w:val="center"/>
          </w:tcPr>
          <w:p w14:paraId="639CBB3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highlight w:val="none"/>
                <w:lang w:val="en-US" w:eastAsia="zh-CN"/>
              </w:rPr>
            </w:pPr>
            <w:r>
              <w:rPr>
                <w:rFonts w:hint="eastAsia"/>
                <w:color w:val="auto"/>
                <w:sz w:val="21"/>
                <w:szCs w:val="21"/>
                <w:highlight w:val="none"/>
                <w:lang w:val="en-US" w:eastAsia="zh-CN"/>
              </w:rPr>
              <w:t>20</w:t>
            </w:r>
          </w:p>
        </w:tc>
        <w:tc>
          <w:tcPr>
            <w:tcW w:w="953" w:type="pct"/>
            <w:noWrap w:val="0"/>
            <w:vAlign w:val="center"/>
          </w:tcPr>
          <w:p w14:paraId="4C4F5D8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highlight w:val="none"/>
                <w:lang w:val="en-US" w:eastAsia="zh-CN"/>
              </w:rPr>
            </w:pPr>
            <w:r>
              <w:rPr>
                <w:rFonts w:hint="eastAsia"/>
                <w:color w:val="auto"/>
                <w:sz w:val="21"/>
                <w:szCs w:val="21"/>
                <w:highlight w:val="none"/>
                <w:lang w:val="en-US" w:eastAsia="zh-CN"/>
              </w:rPr>
              <w:t>47</w:t>
            </w:r>
          </w:p>
        </w:tc>
        <w:tc>
          <w:tcPr>
            <w:tcW w:w="947" w:type="pct"/>
            <w:noWrap w:val="0"/>
            <w:vAlign w:val="center"/>
          </w:tcPr>
          <w:p w14:paraId="62D1386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highlight w:val="none"/>
                <w:lang w:val="en-US" w:eastAsia="zh-CN"/>
              </w:rPr>
            </w:pPr>
            <w:r>
              <w:rPr>
                <w:rFonts w:hint="eastAsia"/>
                <w:color w:val="auto"/>
                <w:sz w:val="21"/>
                <w:szCs w:val="21"/>
                <w:highlight w:val="none"/>
                <w:lang w:val="en-US" w:eastAsia="zh-CN"/>
              </w:rPr>
              <w:t>65</w:t>
            </w:r>
          </w:p>
        </w:tc>
        <w:tc>
          <w:tcPr>
            <w:tcW w:w="944" w:type="pct"/>
            <w:noWrap w:val="0"/>
            <w:vAlign w:val="center"/>
          </w:tcPr>
          <w:p w14:paraId="326B20C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highlight w:val="none"/>
                <w:lang w:val="en-US" w:eastAsia="zh-CN"/>
              </w:rPr>
            </w:pPr>
            <w:r>
              <w:rPr>
                <w:rFonts w:hint="eastAsia"/>
                <w:color w:val="auto"/>
                <w:sz w:val="21"/>
                <w:szCs w:val="21"/>
                <w:highlight w:val="none"/>
                <w:lang w:val="en-US" w:eastAsia="zh-CN"/>
              </w:rPr>
              <w:t>172</w:t>
            </w:r>
          </w:p>
        </w:tc>
      </w:tr>
      <w:tr w14:paraId="5E589AF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trPr>
        <w:tc>
          <w:tcPr>
            <w:tcW w:w="1118" w:type="pct"/>
            <w:noWrap w:val="0"/>
            <w:vAlign w:val="center"/>
          </w:tcPr>
          <w:p w14:paraId="190F81F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highlight w:val="none"/>
                <w:lang w:val="en-US" w:eastAsia="zh-CN"/>
              </w:rPr>
            </w:pPr>
            <w:r>
              <w:rPr>
                <w:rFonts w:hint="eastAsia"/>
                <w:color w:val="auto"/>
                <w:sz w:val="21"/>
                <w:szCs w:val="21"/>
                <w:highlight w:val="none"/>
                <w:lang w:val="en-US" w:eastAsia="zh-CN"/>
              </w:rPr>
              <w:t>铜</w:t>
            </w:r>
          </w:p>
        </w:tc>
        <w:tc>
          <w:tcPr>
            <w:tcW w:w="1037" w:type="pct"/>
            <w:noWrap w:val="0"/>
            <w:vAlign w:val="center"/>
          </w:tcPr>
          <w:p w14:paraId="4B990D9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highlight w:val="none"/>
                <w:lang w:val="en-US" w:eastAsia="zh-CN"/>
              </w:rPr>
            </w:pPr>
            <w:r>
              <w:rPr>
                <w:rFonts w:hint="eastAsia"/>
                <w:color w:val="auto"/>
                <w:sz w:val="21"/>
                <w:szCs w:val="21"/>
                <w:highlight w:val="none"/>
                <w:lang w:val="en-US" w:eastAsia="zh-CN"/>
              </w:rPr>
              <w:t>2000</w:t>
            </w:r>
          </w:p>
        </w:tc>
        <w:tc>
          <w:tcPr>
            <w:tcW w:w="953" w:type="pct"/>
            <w:noWrap w:val="0"/>
            <w:vAlign w:val="center"/>
          </w:tcPr>
          <w:p w14:paraId="2757A43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highlight w:val="none"/>
                <w:lang w:val="en-US" w:eastAsia="zh-CN"/>
              </w:rPr>
            </w:pPr>
            <w:r>
              <w:rPr>
                <w:rFonts w:hint="eastAsia"/>
                <w:color w:val="auto"/>
                <w:sz w:val="21"/>
                <w:szCs w:val="21"/>
                <w:highlight w:val="none"/>
                <w:lang w:val="en-US" w:eastAsia="zh-CN"/>
              </w:rPr>
              <w:t>8000</w:t>
            </w:r>
          </w:p>
        </w:tc>
        <w:tc>
          <w:tcPr>
            <w:tcW w:w="947" w:type="pct"/>
            <w:noWrap w:val="0"/>
            <w:vAlign w:val="center"/>
          </w:tcPr>
          <w:p w14:paraId="1638A62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highlight w:val="none"/>
                <w:lang w:val="en-US" w:eastAsia="zh-CN"/>
              </w:rPr>
            </w:pPr>
            <w:r>
              <w:rPr>
                <w:rFonts w:hint="eastAsia"/>
                <w:color w:val="auto"/>
                <w:sz w:val="21"/>
                <w:szCs w:val="21"/>
                <w:highlight w:val="none"/>
                <w:lang w:val="en-US" w:eastAsia="zh-CN"/>
              </w:rPr>
              <w:t>18000</w:t>
            </w:r>
          </w:p>
        </w:tc>
        <w:tc>
          <w:tcPr>
            <w:tcW w:w="944" w:type="pct"/>
            <w:noWrap w:val="0"/>
            <w:vAlign w:val="center"/>
          </w:tcPr>
          <w:p w14:paraId="3413848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highlight w:val="none"/>
                <w:lang w:val="en-US" w:eastAsia="zh-CN"/>
              </w:rPr>
            </w:pPr>
            <w:r>
              <w:rPr>
                <w:rFonts w:hint="eastAsia"/>
                <w:color w:val="auto"/>
                <w:sz w:val="21"/>
                <w:szCs w:val="21"/>
                <w:highlight w:val="none"/>
                <w:lang w:val="en-US" w:eastAsia="zh-CN"/>
              </w:rPr>
              <w:t>36000</w:t>
            </w:r>
          </w:p>
        </w:tc>
      </w:tr>
      <w:tr w14:paraId="03A4FB4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trPr>
        <w:tc>
          <w:tcPr>
            <w:tcW w:w="1118" w:type="pct"/>
            <w:noWrap w:val="0"/>
            <w:vAlign w:val="center"/>
          </w:tcPr>
          <w:p w14:paraId="7A15023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highlight w:val="none"/>
                <w:lang w:val="en-US" w:eastAsia="zh-CN"/>
              </w:rPr>
            </w:pPr>
            <w:r>
              <w:rPr>
                <w:rFonts w:hint="eastAsia"/>
                <w:color w:val="auto"/>
                <w:sz w:val="21"/>
                <w:szCs w:val="21"/>
                <w:highlight w:val="none"/>
                <w:lang w:val="en-US" w:eastAsia="zh-CN"/>
              </w:rPr>
              <w:t>铅</w:t>
            </w:r>
          </w:p>
        </w:tc>
        <w:tc>
          <w:tcPr>
            <w:tcW w:w="1037" w:type="pct"/>
            <w:noWrap w:val="0"/>
            <w:vAlign w:val="center"/>
          </w:tcPr>
          <w:p w14:paraId="5B54624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highlight w:val="none"/>
                <w:lang w:val="en-US" w:eastAsia="zh-CN"/>
              </w:rPr>
            </w:pPr>
            <w:r>
              <w:rPr>
                <w:rFonts w:hint="eastAsia"/>
                <w:color w:val="auto"/>
                <w:sz w:val="21"/>
                <w:szCs w:val="21"/>
                <w:highlight w:val="none"/>
                <w:lang w:val="en-US" w:eastAsia="zh-CN"/>
              </w:rPr>
              <w:t>400</w:t>
            </w:r>
          </w:p>
        </w:tc>
        <w:tc>
          <w:tcPr>
            <w:tcW w:w="953" w:type="pct"/>
            <w:noWrap w:val="0"/>
            <w:vAlign w:val="center"/>
          </w:tcPr>
          <w:p w14:paraId="3338A7B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highlight w:val="none"/>
                <w:lang w:val="en-US" w:eastAsia="zh-CN"/>
              </w:rPr>
            </w:pPr>
            <w:r>
              <w:rPr>
                <w:rFonts w:hint="eastAsia"/>
                <w:color w:val="auto"/>
                <w:sz w:val="21"/>
                <w:szCs w:val="21"/>
                <w:highlight w:val="none"/>
                <w:lang w:val="en-US" w:eastAsia="zh-CN"/>
              </w:rPr>
              <w:t>800</w:t>
            </w:r>
          </w:p>
        </w:tc>
        <w:tc>
          <w:tcPr>
            <w:tcW w:w="947" w:type="pct"/>
            <w:noWrap w:val="0"/>
            <w:vAlign w:val="center"/>
          </w:tcPr>
          <w:p w14:paraId="032EE92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highlight w:val="none"/>
                <w:lang w:val="en-US" w:eastAsia="zh-CN"/>
              </w:rPr>
            </w:pPr>
            <w:r>
              <w:rPr>
                <w:rFonts w:hint="eastAsia"/>
                <w:color w:val="auto"/>
                <w:sz w:val="21"/>
                <w:szCs w:val="21"/>
                <w:highlight w:val="none"/>
                <w:lang w:val="en-US" w:eastAsia="zh-CN"/>
              </w:rPr>
              <w:t>800</w:t>
            </w:r>
          </w:p>
        </w:tc>
        <w:tc>
          <w:tcPr>
            <w:tcW w:w="944" w:type="pct"/>
            <w:noWrap w:val="0"/>
            <w:vAlign w:val="center"/>
          </w:tcPr>
          <w:p w14:paraId="7CE50AD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highlight w:val="none"/>
                <w:lang w:val="en-US" w:eastAsia="zh-CN"/>
              </w:rPr>
            </w:pPr>
            <w:r>
              <w:rPr>
                <w:rFonts w:hint="eastAsia"/>
                <w:color w:val="auto"/>
                <w:sz w:val="21"/>
                <w:szCs w:val="21"/>
                <w:highlight w:val="none"/>
                <w:lang w:val="en-US" w:eastAsia="zh-CN"/>
              </w:rPr>
              <w:t>2500</w:t>
            </w:r>
          </w:p>
        </w:tc>
      </w:tr>
      <w:tr w14:paraId="4F01B5D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trPr>
        <w:tc>
          <w:tcPr>
            <w:tcW w:w="1118" w:type="pct"/>
            <w:noWrap w:val="0"/>
            <w:vAlign w:val="center"/>
          </w:tcPr>
          <w:p w14:paraId="5445484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highlight w:val="none"/>
                <w:lang w:val="en-US" w:eastAsia="zh-CN"/>
              </w:rPr>
            </w:pPr>
            <w:r>
              <w:rPr>
                <w:rFonts w:hint="eastAsia"/>
                <w:color w:val="auto"/>
                <w:sz w:val="21"/>
                <w:szCs w:val="21"/>
                <w:highlight w:val="none"/>
                <w:lang w:val="en-US" w:eastAsia="zh-CN"/>
              </w:rPr>
              <w:t>汞</w:t>
            </w:r>
          </w:p>
        </w:tc>
        <w:tc>
          <w:tcPr>
            <w:tcW w:w="1037" w:type="pct"/>
            <w:noWrap w:val="0"/>
            <w:vAlign w:val="center"/>
          </w:tcPr>
          <w:p w14:paraId="4B5FD1A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highlight w:val="none"/>
                <w:lang w:val="en-US" w:eastAsia="zh-CN"/>
              </w:rPr>
            </w:pPr>
            <w:r>
              <w:rPr>
                <w:rFonts w:hint="eastAsia"/>
                <w:color w:val="auto"/>
                <w:sz w:val="21"/>
                <w:szCs w:val="21"/>
                <w:highlight w:val="none"/>
                <w:lang w:val="en-US" w:eastAsia="zh-CN"/>
              </w:rPr>
              <w:t>8</w:t>
            </w:r>
          </w:p>
        </w:tc>
        <w:tc>
          <w:tcPr>
            <w:tcW w:w="953" w:type="pct"/>
            <w:noWrap w:val="0"/>
            <w:vAlign w:val="center"/>
          </w:tcPr>
          <w:p w14:paraId="4687CB1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highlight w:val="none"/>
                <w:lang w:val="en-US" w:eastAsia="zh-CN"/>
              </w:rPr>
            </w:pPr>
            <w:r>
              <w:rPr>
                <w:rFonts w:hint="eastAsia"/>
                <w:color w:val="auto"/>
                <w:sz w:val="21"/>
                <w:szCs w:val="21"/>
                <w:highlight w:val="none"/>
                <w:lang w:val="en-US" w:eastAsia="zh-CN"/>
              </w:rPr>
              <w:t>33</w:t>
            </w:r>
          </w:p>
        </w:tc>
        <w:tc>
          <w:tcPr>
            <w:tcW w:w="947" w:type="pct"/>
            <w:noWrap w:val="0"/>
            <w:vAlign w:val="center"/>
          </w:tcPr>
          <w:p w14:paraId="7BBE5BC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highlight w:val="none"/>
                <w:lang w:val="en-US" w:eastAsia="zh-CN"/>
              </w:rPr>
            </w:pPr>
            <w:r>
              <w:rPr>
                <w:rFonts w:hint="eastAsia"/>
                <w:color w:val="auto"/>
                <w:sz w:val="21"/>
                <w:szCs w:val="21"/>
                <w:highlight w:val="none"/>
                <w:lang w:val="en-US" w:eastAsia="zh-CN"/>
              </w:rPr>
              <w:t>38</w:t>
            </w:r>
          </w:p>
        </w:tc>
        <w:tc>
          <w:tcPr>
            <w:tcW w:w="944" w:type="pct"/>
            <w:noWrap w:val="0"/>
            <w:vAlign w:val="center"/>
          </w:tcPr>
          <w:p w14:paraId="5610726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highlight w:val="none"/>
                <w:lang w:val="en-US" w:eastAsia="zh-CN"/>
              </w:rPr>
            </w:pPr>
            <w:r>
              <w:rPr>
                <w:rFonts w:hint="eastAsia"/>
                <w:color w:val="auto"/>
                <w:sz w:val="21"/>
                <w:szCs w:val="21"/>
                <w:highlight w:val="none"/>
                <w:lang w:val="en-US" w:eastAsia="zh-CN"/>
              </w:rPr>
              <w:t>82</w:t>
            </w:r>
          </w:p>
        </w:tc>
      </w:tr>
      <w:tr w14:paraId="7591669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trPr>
        <w:tc>
          <w:tcPr>
            <w:tcW w:w="1118" w:type="pct"/>
            <w:noWrap w:val="0"/>
            <w:vAlign w:val="center"/>
          </w:tcPr>
          <w:p w14:paraId="374C25E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highlight w:val="none"/>
                <w:lang w:val="en-US" w:eastAsia="zh-CN"/>
              </w:rPr>
            </w:pPr>
            <w:r>
              <w:rPr>
                <w:rFonts w:hint="eastAsia"/>
                <w:color w:val="auto"/>
                <w:sz w:val="21"/>
                <w:szCs w:val="21"/>
                <w:highlight w:val="none"/>
                <w:lang w:val="en-US" w:eastAsia="zh-CN"/>
              </w:rPr>
              <w:t>镍</w:t>
            </w:r>
          </w:p>
        </w:tc>
        <w:tc>
          <w:tcPr>
            <w:tcW w:w="1037" w:type="pct"/>
            <w:noWrap w:val="0"/>
            <w:vAlign w:val="center"/>
          </w:tcPr>
          <w:p w14:paraId="43A037C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highlight w:val="none"/>
                <w:lang w:val="en-US" w:eastAsia="zh-CN"/>
              </w:rPr>
            </w:pPr>
            <w:r>
              <w:rPr>
                <w:rFonts w:hint="eastAsia"/>
                <w:color w:val="auto"/>
                <w:sz w:val="21"/>
                <w:szCs w:val="21"/>
                <w:highlight w:val="none"/>
                <w:lang w:val="en-US" w:eastAsia="zh-CN"/>
              </w:rPr>
              <w:t>150</w:t>
            </w:r>
          </w:p>
        </w:tc>
        <w:tc>
          <w:tcPr>
            <w:tcW w:w="953" w:type="pct"/>
            <w:noWrap w:val="0"/>
            <w:vAlign w:val="center"/>
          </w:tcPr>
          <w:p w14:paraId="297CCAB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highlight w:val="none"/>
                <w:lang w:val="en-US" w:eastAsia="zh-CN"/>
              </w:rPr>
            </w:pPr>
            <w:r>
              <w:rPr>
                <w:rFonts w:hint="eastAsia"/>
                <w:color w:val="auto"/>
                <w:sz w:val="21"/>
                <w:szCs w:val="21"/>
                <w:highlight w:val="none"/>
                <w:lang w:val="en-US" w:eastAsia="zh-CN"/>
              </w:rPr>
              <w:t>600</w:t>
            </w:r>
          </w:p>
        </w:tc>
        <w:tc>
          <w:tcPr>
            <w:tcW w:w="947" w:type="pct"/>
            <w:noWrap w:val="0"/>
            <w:vAlign w:val="center"/>
          </w:tcPr>
          <w:p w14:paraId="791F40D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highlight w:val="none"/>
                <w:lang w:val="en-US" w:eastAsia="zh-CN"/>
              </w:rPr>
            </w:pPr>
            <w:r>
              <w:rPr>
                <w:rFonts w:hint="eastAsia"/>
                <w:color w:val="auto"/>
                <w:sz w:val="21"/>
                <w:szCs w:val="21"/>
                <w:highlight w:val="none"/>
                <w:lang w:val="en-US" w:eastAsia="zh-CN"/>
              </w:rPr>
              <w:t>900</w:t>
            </w:r>
          </w:p>
        </w:tc>
        <w:tc>
          <w:tcPr>
            <w:tcW w:w="944" w:type="pct"/>
            <w:noWrap w:val="0"/>
            <w:vAlign w:val="center"/>
          </w:tcPr>
          <w:p w14:paraId="54D857D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highlight w:val="none"/>
                <w:lang w:val="en-US" w:eastAsia="zh-CN"/>
              </w:rPr>
            </w:pPr>
            <w:r>
              <w:rPr>
                <w:rFonts w:hint="eastAsia"/>
                <w:color w:val="auto"/>
                <w:sz w:val="21"/>
                <w:szCs w:val="21"/>
                <w:highlight w:val="none"/>
                <w:lang w:val="en-US" w:eastAsia="zh-CN"/>
              </w:rPr>
              <w:t>2000</w:t>
            </w:r>
          </w:p>
        </w:tc>
      </w:tr>
      <w:tr w14:paraId="2BF08E0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trPr>
        <w:tc>
          <w:tcPr>
            <w:tcW w:w="1118" w:type="pct"/>
            <w:noWrap w:val="0"/>
            <w:vAlign w:val="center"/>
          </w:tcPr>
          <w:p w14:paraId="4594A18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highlight w:val="none"/>
                <w:lang w:val="en-US" w:eastAsia="zh-CN"/>
              </w:rPr>
            </w:pPr>
            <w:r>
              <w:rPr>
                <w:rFonts w:hint="eastAsia"/>
                <w:color w:val="auto"/>
                <w:sz w:val="21"/>
                <w:szCs w:val="21"/>
                <w:highlight w:val="none"/>
                <w:lang w:val="en-US" w:eastAsia="zh-CN"/>
              </w:rPr>
              <w:t>六价铬</w:t>
            </w:r>
          </w:p>
        </w:tc>
        <w:tc>
          <w:tcPr>
            <w:tcW w:w="1037" w:type="pct"/>
            <w:noWrap w:val="0"/>
            <w:vAlign w:val="center"/>
          </w:tcPr>
          <w:p w14:paraId="3602311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highlight w:val="none"/>
                <w:lang w:val="en-US" w:eastAsia="zh-CN"/>
              </w:rPr>
            </w:pPr>
            <w:r>
              <w:rPr>
                <w:rFonts w:hint="eastAsia"/>
                <w:color w:val="auto"/>
                <w:sz w:val="21"/>
                <w:szCs w:val="21"/>
                <w:highlight w:val="none"/>
                <w:lang w:val="en-US" w:eastAsia="zh-CN"/>
              </w:rPr>
              <w:t>3.0</w:t>
            </w:r>
          </w:p>
        </w:tc>
        <w:tc>
          <w:tcPr>
            <w:tcW w:w="953" w:type="pct"/>
            <w:noWrap w:val="0"/>
            <w:vAlign w:val="center"/>
          </w:tcPr>
          <w:p w14:paraId="40E0DD4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highlight w:val="none"/>
                <w:lang w:val="en-US" w:eastAsia="zh-CN"/>
              </w:rPr>
            </w:pPr>
            <w:r>
              <w:rPr>
                <w:rFonts w:hint="eastAsia"/>
                <w:color w:val="auto"/>
                <w:sz w:val="21"/>
                <w:szCs w:val="21"/>
                <w:highlight w:val="none"/>
                <w:lang w:val="en-US" w:eastAsia="zh-CN"/>
              </w:rPr>
              <w:t>30</w:t>
            </w:r>
          </w:p>
        </w:tc>
        <w:tc>
          <w:tcPr>
            <w:tcW w:w="947" w:type="pct"/>
            <w:noWrap w:val="0"/>
            <w:vAlign w:val="center"/>
          </w:tcPr>
          <w:p w14:paraId="7430208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highlight w:val="none"/>
                <w:lang w:val="en-US" w:eastAsia="zh-CN"/>
              </w:rPr>
            </w:pPr>
            <w:r>
              <w:rPr>
                <w:rFonts w:hint="eastAsia"/>
                <w:color w:val="auto"/>
                <w:sz w:val="21"/>
                <w:szCs w:val="21"/>
                <w:highlight w:val="none"/>
                <w:lang w:val="en-US" w:eastAsia="zh-CN"/>
              </w:rPr>
              <w:t>5.7</w:t>
            </w:r>
          </w:p>
        </w:tc>
        <w:tc>
          <w:tcPr>
            <w:tcW w:w="944" w:type="pct"/>
            <w:noWrap w:val="0"/>
            <w:vAlign w:val="center"/>
          </w:tcPr>
          <w:p w14:paraId="32F3EA6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highlight w:val="none"/>
                <w:lang w:val="en-US" w:eastAsia="zh-CN"/>
              </w:rPr>
            </w:pPr>
            <w:r>
              <w:rPr>
                <w:rFonts w:hint="eastAsia"/>
                <w:color w:val="auto"/>
                <w:sz w:val="21"/>
                <w:szCs w:val="21"/>
                <w:highlight w:val="none"/>
                <w:lang w:val="en-US" w:eastAsia="zh-CN"/>
              </w:rPr>
              <w:t>78</w:t>
            </w:r>
          </w:p>
        </w:tc>
      </w:tr>
      <w:tr w14:paraId="283DB5A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trPr>
        <w:tc>
          <w:tcPr>
            <w:tcW w:w="1118" w:type="pct"/>
            <w:noWrap w:val="0"/>
            <w:vAlign w:val="center"/>
          </w:tcPr>
          <w:p w14:paraId="0725AC1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highlight w:val="none"/>
                <w:lang w:val="en-US" w:eastAsia="zh-CN"/>
              </w:rPr>
            </w:pPr>
            <w:r>
              <w:rPr>
                <w:rFonts w:hint="eastAsia"/>
                <w:color w:val="auto"/>
                <w:sz w:val="21"/>
                <w:szCs w:val="21"/>
                <w:highlight w:val="none"/>
                <w:lang w:val="en-US" w:eastAsia="zh-CN"/>
              </w:rPr>
              <w:t>四氯化碳</w:t>
            </w:r>
          </w:p>
        </w:tc>
        <w:tc>
          <w:tcPr>
            <w:tcW w:w="1037" w:type="pct"/>
            <w:noWrap w:val="0"/>
            <w:vAlign w:val="center"/>
          </w:tcPr>
          <w:p w14:paraId="4261E6F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highlight w:val="none"/>
                <w:lang w:val="en-US" w:eastAsia="zh-CN"/>
              </w:rPr>
            </w:pPr>
            <w:r>
              <w:rPr>
                <w:rFonts w:hint="eastAsia"/>
                <w:color w:val="auto"/>
                <w:sz w:val="21"/>
                <w:szCs w:val="21"/>
                <w:highlight w:val="none"/>
                <w:lang w:val="en-US" w:eastAsia="zh-CN"/>
              </w:rPr>
              <w:t>0.9</w:t>
            </w:r>
          </w:p>
        </w:tc>
        <w:tc>
          <w:tcPr>
            <w:tcW w:w="953" w:type="pct"/>
            <w:noWrap w:val="0"/>
            <w:vAlign w:val="center"/>
          </w:tcPr>
          <w:p w14:paraId="21C3F3B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highlight w:val="none"/>
                <w:lang w:val="en-US" w:eastAsia="zh-CN"/>
              </w:rPr>
            </w:pPr>
            <w:r>
              <w:rPr>
                <w:rFonts w:hint="eastAsia"/>
                <w:color w:val="auto"/>
                <w:sz w:val="21"/>
                <w:szCs w:val="21"/>
                <w:highlight w:val="none"/>
                <w:lang w:val="en-US" w:eastAsia="zh-CN"/>
              </w:rPr>
              <w:t>9</w:t>
            </w:r>
          </w:p>
        </w:tc>
        <w:tc>
          <w:tcPr>
            <w:tcW w:w="947" w:type="pct"/>
            <w:noWrap w:val="0"/>
            <w:vAlign w:val="center"/>
          </w:tcPr>
          <w:p w14:paraId="113D7C5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highlight w:val="none"/>
                <w:lang w:val="en-US" w:eastAsia="zh-CN"/>
              </w:rPr>
            </w:pPr>
            <w:r>
              <w:rPr>
                <w:rFonts w:hint="eastAsia"/>
                <w:color w:val="auto"/>
                <w:sz w:val="21"/>
                <w:szCs w:val="21"/>
                <w:highlight w:val="none"/>
                <w:lang w:val="en-US" w:eastAsia="zh-CN"/>
              </w:rPr>
              <w:t>2.8</w:t>
            </w:r>
          </w:p>
        </w:tc>
        <w:tc>
          <w:tcPr>
            <w:tcW w:w="944" w:type="pct"/>
            <w:noWrap w:val="0"/>
            <w:vAlign w:val="center"/>
          </w:tcPr>
          <w:p w14:paraId="6272353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highlight w:val="none"/>
                <w:lang w:val="en-US" w:eastAsia="zh-CN"/>
              </w:rPr>
            </w:pPr>
            <w:r>
              <w:rPr>
                <w:rFonts w:hint="eastAsia"/>
                <w:color w:val="auto"/>
                <w:sz w:val="21"/>
                <w:szCs w:val="21"/>
                <w:highlight w:val="none"/>
                <w:lang w:val="en-US" w:eastAsia="zh-CN"/>
              </w:rPr>
              <w:t>36</w:t>
            </w:r>
          </w:p>
        </w:tc>
      </w:tr>
      <w:tr w14:paraId="0B32BF6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trPr>
        <w:tc>
          <w:tcPr>
            <w:tcW w:w="1118" w:type="pct"/>
            <w:noWrap w:val="0"/>
            <w:vAlign w:val="center"/>
          </w:tcPr>
          <w:p w14:paraId="1F8B648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highlight w:val="none"/>
                <w:lang w:val="en-US" w:eastAsia="zh-CN"/>
              </w:rPr>
            </w:pPr>
            <w:r>
              <w:rPr>
                <w:rFonts w:hint="eastAsia"/>
                <w:color w:val="auto"/>
                <w:sz w:val="21"/>
                <w:szCs w:val="21"/>
                <w:highlight w:val="none"/>
                <w:lang w:val="en-US" w:eastAsia="zh-CN"/>
              </w:rPr>
              <w:t>氯仿</w:t>
            </w:r>
          </w:p>
        </w:tc>
        <w:tc>
          <w:tcPr>
            <w:tcW w:w="1037" w:type="pct"/>
            <w:noWrap w:val="0"/>
            <w:vAlign w:val="center"/>
          </w:tcPr>
          <w:p w14:paraId="4C1F590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highlight w:val="none"/>
                <w:lang w:val="en-US" w:eastAsia="zh-CN"/>
              </w:rPr>
            </w:pPr>
            <w:r>
              <w:rPr>
                <w:rFonts w:hint="eastAsia"/>
                <w:color w:val="auto"/>
                <w:sz w:val="21"/>
                <w:szCs w:val="21"/>
                <w:highlight w:val="none"/>
                <w:lang w:val="en-US" w:eastAsia="zh-CN"/>
              </w:rPr>
              <w:t>0.3</w:t>
            </w:r>
          </w:p>
        </w:tc>
        <w:tc>
          <w:tcPr>
            <w:tcW w:w="953" w:type="pct"/>
            <w:noWrap w:val="0"/>
            <w:vAlign w:val="center"/>
          </w:tcPr>
          <w:p w14:paraId="57A97F9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highlight w:val="none"/>
                <w:lang w:val="en-US" w:eastAsia="zh-CN"/>
              </w:rPr>
            </w:pPr>
            <w:r>
              <w:rPr>
                <w:rFonts w:hint="eastAsia"/>
                <w:color w:val="auto"/>
                <w:sz w:val="21"/>
                <w:szCs w:val="21"/>
                <w:highlight w:val="none"/>
                <w:lang w:val="en-US" w:eastAsia="zh-CN"/>
              </w:rPr>
              <w:t>5</w:t>
            </w:r>
          </w:p>
        </w:tc>
        <w:tc>
          <w:tcPr>
            <w:tcW w:w="947" w:type="pct"/>
            <w:noWrap w:val="0"/>
            <w:vAlign w:val="center"/>
          </w:tcPr>
          <w:p w14:paraId="7D9C48C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highlight w:val="none"/>
                <w:lang w:val="en-US" w:eastAsia="zh-CN"/>
              </w:rPr>
            </w:pPr>
            <w:r>
              <w:rPr>
                <w:rFonts w:hint="eastAsia"/>
                <w:color w:val="auto"/>
                <w:sz w:val="21"/>
                <w:szCs w:val="21"/>
                <w:highlight w:val="none"/>
                <w:lang w:val="en-US" w:eastAsia="zh-CN"/>
              </w:rPr>
              <w:t>0.9</w:t>
            </w:r>
          </w:p>
        </w:tc>
        <w:tc>
          <w:tcPr>
            <w:tcW w:w="944" w:type="pct"/>
            <w:noWrap w:val="0"/>
            <w:vAlign w:val="center"/>
          </w:tcPr>
          <w:p w14:paraId="741E80A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highlight w:val="none"/>
                <w:lang w:val="en-US" w:eastAsia="zh-CN"/>
              </w:rPr>
            </w:pPr>
            <w:r>
              <w:rPr>
                <w:rFonts w:hint="eastAsia"/>
                <w:color w:val="auto"/>
                <w:sz w:val="21"/>
                <w:szCs w:val="21"/>
                <w:highlight w:val="none"/>
                <w:lang w:val="en-US" w:eastAsia="zh-CN"/>
              </w:rPr>
              <w:t>10</w:t>
            </w:r>
          </w:p>
        </w:tc>
      </w:tr>
      <w:tr w14:paraId="6C58120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trPr>
        <w:tc>
          <w:tcPr>
            <w:tcW w:w="1118" w:type="pct"/>
            <w:noWrap w:val="0"/>
            <w:vAlign w:val="center"/>
          </w:tcPr>
          <w:p w14:paraId="44D21E1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highlight w:val="none"/>
                <w:lang w:val="en-US" w:eastAsia="zh-CN"/>
              </w:rPr>
            </w:pPr>
            <w:r>
              <w:rPr>
                <w:rFonts w:hint="eastAsia"/>
                <w:color w:val="auto"/>
                <w:sz w:val="21"/>
                <w:szCs w:val="21"/>
                <w:highlight w:val="none"/>
                <w:lang w:val="en-US" w:eastAsia="zh-CN"/>
              </w:rPr>
              <w:t>氯甲烷</w:t>
            </w:r>
          </w:p>
        </w:tc>
        <w:tc>
          <w:tcPr>
            <w:tcW w:w="1037" w:type="pct"/>
            <w:noWrap w:val="0"/>
            <w:vAlign w:val="center"/>
          </w:tcPr>
          <w:p w14:paraId="5CA747D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highlight w:val="none"/>
                <w:lang w:val="en-US" w:eastAsia="zh-CN"/>
              </w:rPr>
            </w:pPr>
            <w:r>
              <w:rPr>
                <w:rFonts w:hint="eastAsia"/>
                <w:color w:val="auto"/>
                <w:sz w:val="21"/>
                <w:szCs w:val="21"/>
                <w:highlight w:val="none"/>
                <w:lang w:val="en-US" w:eastAsia="zh-CN"/>
              </w:rPr>
              <w:t>12</w:t>
            </w:r>
          </w:p>
        </w:tc>
        <w:tc>
          <w:tcPr>
            <w:tcW w:w="953" w:type="pct"/>
            <w:noWrap w:val="0"/>
            <w:vAlign w:val="center"/>
          </w:tcPr>
          <w:p w14:paraId="697CB4B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highlight w:val="none"/>
                <w:lang w:val="en-US" w:eastAsia="zh-CN"/>
              </w:rPr>
            </w:pPr>
            <w:r>
              <w:rPr>
                <w:rFonts w:hint="eastAsia"/>
                <w:color w:val="auto"/>
                <w:sz w:val="21"/>
                <w:szCs w:val="21"/>
                <w:highlight w:val="none"/>
                <w:lang w:val="en-US" w:eastAsia="zh-CN"/>
              </w:rPr>
              <w:t>21</w:t>
            </w:r>
          </w:p>
        </w:tc>
        <w:tc>
          <w:tcPr>
            <w:tcW w:w="947" w:type="pct"/>
            <w:noWrap w:val="0"/>
            <w:vAlign w:val="center"/>
          </w:tcPr>
          <w:p w14:paraId="2286D5D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highlight w:val="none"/>
                <w:lang w:val="en-US" w:eastAsia="zh-CN"/>
              </w:rPr>
            </w:pPr>
            <w:r>
              <w:rPr>
                <w:rFonts w:hint="eastAsia"/>
                <w:color w:val="auto"/>
                <w:sz w:val="21"/>
                <w:szCs w:val="21"/>
                <w:highlight w:val="none"/>
                <w:lang w:val="en-US" w:eastAsia="zh-CN"/>
              </w:rPr>
              <w:t>37</w:t>
            </w:r>
          </w:p>
        </w:tc>
        <w:tc>
          <w:tcPr>
            <w:tcW w:w="944" w:type="pct"/>
            <w:noWrap w:val="0"/>
            <w:vAlign w:val="center"/>
          </w:tcPr>
          <w:p w14:paraId="5C39FB8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highlight w:val="none"/>
                <w:lang w:val="en-US" w:eastAsia="zh-CN"/>
              </w:rPr>
            </w:pPr>
            <w:r>
              <w:rPr>
                <w:rFonts w:hint="eastAsia"/>
                <w:color w:val="auto"/>
                <w:sz w:val="21"/>
                <w:szCs w:val="21"/>
                <w:highlight w:val="none"/>
                <w:lang w:val="en-US" w:eastAsia="zh-CN"/>
              </w:rPr>
              <w:t>120</w:t>
            </w:r>
          </w:p>
        </w:tc>
      </w:tr>
      <w:tr w14:paraId="22A6989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trPr>
        <w:tc>
          <w:tcPr>
            <w:tcW w:w="1118" w:type="pct"/>
            <w:noWrap w:val="0"/>
            <w:vAlign w:val="center"/>
          </w:tcPr>
          <w:p w14:paraId="139D315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highlight w:val="none"/>
                <w:lang w:val="en-US" w:eastAsia="zh-CN"/>
              </w:rPr>
            </w:pPr>
            <w:r>
              <w:rPr>
                <w:rFonts w:hint="eastAsia"/>
                <w:color w:val="auto"/>
                <w:sz w:val="21"/>
                <w:szCs w:val="21"/>
                <w:highlight w:val="none"/>
                <w:lang w:val="en-US" w:eastAsia="zh-CN"/>
              </w:rPr>
              <w:t>1,1-二氯乙烷</w:t>
            </w:r>
          </w:p>
        </w:tc>
        <w:tc>
          <w:tcPr>
            <w:tcW w:w="1037" w:type="pct"/>
            <w:noWrap w:val="0"/>
            <w:vAlign w:val="center"/>
          </w:tcPr>
          <w:p w14:paraId="686112D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highlight w:val="none"/>
                <w:lang w:val="en-US" w:eastAsia="zh-CN"/>
              </w:rPr>
            </w:pPr>
            <w:r>
              <w:rPr>
                <w:rFonts w:hint="eastAsia"/>
                <w:color w:val="auto"/>
                <w:sz w:val="21"/>
                <w:szCs w:val="21"/>
                <w:highlight w:val="none"/>
                <w:lang w:val="en-US" w:eastAsia="zh-CN"/>
              </w:rPr>
              <w:t>3</w:t>
            </w:r>
          </w:p>
        </w:tc>
        <w:tc>
          <w:tcPr>
            <w:tcW w:w="953" w:type="pct"/>
            <w:noWrap w:val="0"/>
            <w:vAlign w:val="center"/>
          </w:tcPr>
          <w:p w14:paraId="6D95DD5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highlight w:val="none"/>
                <w:lang w:val="en-US" w:eastAsia="zh-CN"/>
              </w:rPr>
            </w:pPr>
            <w:r>
              <w:rPr>
                <w:rFonts w:hint="eastAsia"/>
                <w:color w:val="auto"/>
                <w:sz w:val="21"/>
                <w:szCs w:val="21"/>
                <w:highlight w:val="none"/>
                <w:lang w:val="en-US" w:eastAsia="zh-CN"/>
              </w:rPr>
              <w:t>20</w:t>
            </w:r>
          </w:p>
        </w:tc>
        <w:tc>
          <w:tcPr>
            <w:tcW w:w="947" w:type="pct"/>
            <w:noWrap w:val="0"/>
            <w:vAlign w:val="center"/>
          </w:tcPr>
          <w:p w14:paraId="151B8A9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highlight w:val="none"/>
                <w:lang w:val="en-US" w:eastAsia="zh-CN"/>
              </w:rPr>
            </w:pPr>
            <w:r>
              <w:rPr>
                <w:rFonts w:hint="eastAsia"/>
                <w:color w:val="auto"/>
                <w:sz w:val="21"/>
                <w:szCs w:val="21"/>
                <w:highlight w:val="none"/>
                <w:lang w:val="en-US" w:eastAsia="zh-CN"/>
              </w:rPr>
              <w:t>9</w:t>
            </w:r>
          </w:p>
        </w:tc>
        <w:tc>
          <w:tcPr>
            <w:tcW w:w="944" w:type="pct"/>
            <w:noWrap w:val="0"/>
            <w:vAlign w:val="center"/>
          </w:tcPr>
          <w:p w14:paraId="38193FD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highlight w:val="none"/>
                <w:lang w:val="en-US" w:eastAsia="zh-CN"/>
              </w:rPr>
            </w:pPr>
            <w:r>
              <w:rPr>
                <w:rFonts w:hint="eastAsia"/>
                <w:color w:val="auto"/>
                <w:sz w:val="21"/>
                <w:szCs w:val="21"/>
                <w:highlight w:val="none"/>
                <w:lang w:val="en-US" w:eastAsia="zh-CN"/>
              </w:rPr>
              <w:t>100</w:t>
            </w:r>
          </w:p>
        </w:tc>
      </w:tr>
      <w:tr w14:paraId="487730A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trPr>
        <w:tc>
          <w:tcPr>
            <w:tcW w:w="1118" w:type="pct"/>
            <w:noWrap w:val="0"/>
            <w:vAlign w:val="center"/>
          </w:tcPr>
          <w:p w14:paraId="7B0473D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highlight w:val="none"/>
                <w:lang w:val="en-US" w:eastAsia="zh-CN"/>
              </w:rPr>
            </w:pPr>
            <w:r>
              <w:rPr>
                <w:rFonts w:hint="eastAsia"/>
                <w:color w:val="auto"/>
                <w:sz w:val="21"/>
                <w:szCs w:val="21"/>
                <w:highlight w:val="none"/>
                <w:lang w:val="en-US" w:eastAsia="zh-CN"/>
              </w:rPr>
              <w:t>1,2-二氯乙烷</w:t>
            </w:r>
          </w:p>
        </w:tc>
        <w:tc>
          <w:tcPr>
            <w:tcW w:w="1037" w:type="pct"/>
            <w:noWrap w:val="0"/>
            <w:vAlign w:val="center"/>
          </w:tcPr>
          <w:p w14:paraId="4BFDB7C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highlight w:val="none"/>
                <w:lang w:val="en-US" w:eastAsia="zh-CN"/>
              </w:rPr>
            </w:pPr>
            <w:r>
              <w:rPr>
                <w:rFonts w:hint="eastAsia"/>
                <w:color w:val="auto"/>
                <w:sz w:val="21"/>
                <w:szCs w:val="21"/>
                <w:highlight w:val="none"/>
                <w:lang w:val="en-US" w:eastAsia="zh-CN"/>
              </w:rPr>
              <w:t>0.52</w:t>
            </w:r>
          </w:p>
        </w:tc>
        <w:tc>
          <w:tcPr>
            <w:tcW w:w="953" w:type="pct"/>
            <w:noWrap w:val="0"/>
            <w:vAlign w:val="center"/>
          </w:tcPr>
          <w:p w14:paraId="3B36631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highlight w:val="none"/>
                <w:lang w:val="en-US" w:eastAsia="zh-CN"/>
              </w:rPr>
            </w:pPr>
            <w:r>
              <w:rPr>
                <w:rFonts w:hint="eastAsia"/>
                <w:color w:val="auto"/>
                <w:sz w:val="21"/>
                <w:szCs w:val="21"/>
                <w:highlight w:val="none"/>
                <w:lang w:val="en-US" w:eastAsia="zh-CN"/>
              </w:rPr>
              <w:t>6</w:t>
            </w:r>
          </w:p>
        </w:tc>
        <w:tc>
          <w:tcPr>
            <w:tcW w:w="947" w:type="pct"/>
            <w:noWrap w:val="0"/>
            <w:vAlign w:val="center"/>
          </w:tcPr>
          <w:p w14:paraId="7B5F04F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highlight w:val="none"/>
                <w:lang w:val="en-US" w:eastAsia="zh-CN"/>
              </w:rPr>
            </w:pPr>
            <w:r>
              <w:rPr>
                <w:rFonts w:hint="eastAsia"/>
                <w:color w:val="auto"/>
                <w:sz w:val="21"/>
                <w:szCs w:val="21"/>
                <w:highlight w:val="none"/>
                <w:lang w:val="en-US" w:eastAsia="zh-CN"/>
              </w:rPr>
              <w:t>5</w:t>
            </w:r>
          </w:p>
        </w:tc>
        <w:tc>
          <w:tcPr>
            <w:tcW w:w="944" w:type="pct"/>
            <w:noWrap w:val="0"/>
            <w:vAlign w:val="center"/>
          </w:tcPr>
          <w:p w14:paraId="264266F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highlight w:val="none"/>
                <w:lang w:val="en-US" w:eastAsia="zh-CN"/>
              </w:rPr>
            </w:pPr>
            <w:r>
              <w:rPr>
                <w:rFonts w:hint="eastAsia"/>
                <w:color w:val="auto"/>
                <w:sz w:val="21"/>
                <w:szCs w:val="21"/>
                <w:highlight w:val="none"/>
                <w:lang w:val="en-US" w:eastAsia="zh-CN"/>
              </w:rPr>
              <w:t>21</w:t>
            </w:r>
          </w:p>
        </w:tc>
      </w:tr>
      <w:tr w14:paraId="283EB07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trPr>
        <w:tc>
          <w:tcPr>
            <w:tcW w:w="1118" w:type="pct"/>
            <w:noWrap w:val="0"/>
            <w:vAlign w:val="center"/>
          </w:tcPr>
          <w:p w14:paraId="3BF0F40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highlight w:val="none"/>
                <w:lang w:val="en-US" w:eastAsia="zh-CN"/>
              </w:rPr>
            </w:pPr>
            <w:r>
              <w:rPr>
                <w:rFonts w:hint="eastAsia"/>
                <w:color w:val="auto"/>
                <w:sz w:val="21"/>
                <w:szCs w:val="21"/>
                <w:highlight w:val="none"/>
                <w:lang w:val="en-US" w:eastAsia="zh-CN"/>
              </w:rPr>
              <w:t>1,1-二氯乙烯</w:t>
            </w:r>
          </w:p>
        </w:tc>
        <w:tc>
          <w:tcPr>
            <w:tcW w:w="1037" w:type="pct"/>
            <w:noWrap w:val="0"/>
            <w:vAlign w:val="center"/>
          </w:tcPr>
          <w:p w14:paraId="5C59705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highlight w:val="none"/>
                <w:lang w:val="en-US" w:eastAsia="zh-CN"/>
              </w:rPr>
            </w:pPr>
            <w:r>
              <w:rPr>
                <w:rFonts w:hint="eastAsia"/>
                <w:color w:val="auto"/>
                <w:sz w:val="21"/>
                <w:szCs w:val="21"/>
                <w:highlight w:val="none"/>
                <w:lang w:val="en-US" w:eastAsia="zh-CN"/>
              </w:rPr>
              <w:t>12</w:t>
            </w:r>
          </w:p>
        </w:tc>
        <w:tc>
          <w:tcPr>
            <w:tcW w:w="953" w:type="pct"/>
            <w:noWrap w:val="0"/>
            <w:vAlign w:val="center"/>
          </w:tcPr>
          <w:p w14:paraId="66C8C7B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highlight w:val="none"/>
                <w:lang w:val="en-US" w:eastAsia="zh-CN"/>
              </w:rPr>
            </w:pPr>
            <w:r>
              <w:rPr>
                <w:rFonts w:hint="eastAsia"/>
                <w:color w:val="auto"/>
                <w:sz w:val="21"/>
                <w:szCs w:val="21"/>
                <w:highlight w:val="none"/>
                <w:lang w:val="en-US" w:eastAsia="zh-CN"/>
              </w:rPr>
              <w:t>40</w:t>
            </w:r>
          </w:p>
        </w:tc>
        <w:tc>
          <w:tcPr>
            <w:tcW w:w="947" w:type="pct"/>
            <w:noWrap w:val="0"/>
            <w:vAlign w:val="center"/>
          </w:tcPr>
          <w:p w14:paraId="47F7EBC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highlight w:val="none"/>
                <w:lang w:val="en-US" w:eastAsia="zh-CN"/>
              </w:rPr>
            </w:pPr>
            <w:r>
              <w:rPr>
                <w:rFonts w:hint="eastAsia"/>
                <w:color w:val="auto"/>
                <w:sz w:val="21"/>
                <w:szCs w:val="21"/>
                <w:highlight w:val="none"/>
                <w:lang w:val="en-US" w:eastAsia="zh-CN"/>
              </w:rPr>
              <w:t>66</w:t>
            </w:r>
          </w:p>
        </w:tc>
        <w:tc>
          <w:tcPr>
            <w:tcW w:w="944" w:type="pct"/>
            <w:noWrap w:val="0"/>
            <w:vAlign w:val="center"/>
          </w:tcPr>
          <w:p w14:paraId="4F62453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highlight w:val="none"/>
                <w:lang w:val="en-US" w:eastAsia="zh-CN"/>
              </w:rPr>
            </w:pPr>
            <w:r>
              <w:rPr>
                <w:rFonts w:hint="eastAsia"/>
                <w:color w:val="auto"/>
                <w:sz w:val="21"/>
                <w:szCs w:val="21"/>
                <w:highlight w:val="none"/>
                <w:lang w:val="en-US" w:eastAsia="zh-CN"/>
              </w:rPr>
              <w:t>200</w:t>
            </w:r>
          </w:p>
        </w:tc>
      </w:tr>
      <w:tr w14:paraId="71915CB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trPr>
        <w:tc>
          <w:tcPr>
            <w:tcW w:w="1118" w:type="pct"/>
            <w:noWrap w:val="0"/>
            <w:vAlign w:val="center"/>
          </w:tcPr>
          <w:p w14:paraId="56F64AD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highlight w:val="none"/>
                <w:lang w:val="en-US" w:eastAsia="zh-CN"/>
              </w:rPr>
            </w:pPr>
            <w:r>
              <w:rPr>
                <w:rFonts w:hint="eastAsia"/>
                <w:color w:val="auto"/>
                <w:sz w:val="21"/>
                <w:szCs w:val="21"/>
                <w:highlight w:val="none"/>
                <w:lang w:val="en-US" w:eastAsia="zh-CN"/>
              </w:rPr>
              <w:t>顺-1,2-二氯乙烯</w:t>
            </w:r>
          </w:p>
        </w:tc>
        <w:tc>
          <w:tcPr>
            <w:tcW w:w="1037" w:type="pct"/>
            <w:noWrap w:val="0"/>
            <w:vAlign w:val="center"/>
          </w:tcPr>
          <w:p w14:paraId="2133643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highlight w:val="none"/>
                <w:lang w:val="en-US" w:eastAsia="zh-CN"/>
              </w:rPr>
            </w:pPr>
            <w:r>
              <w:rPr>
                <w:rFonts w:hint="eastAsia"/>
                <w:color w:val="auto"/>
                <w:sz w:val="21"/>
                <w:szCs w:val="21"/>
                <w:highlight w:val="none"/>
                <w:lang w:val="en-US" w:eastAsia="zh-CN"/>
              </w:rPr>
              <w:t>66</w:t>
            </w:r>
          </w:p>
        </w:tc>
        <w:tc>
          <w:tcPr>
            <w:tcW w:w="953" w:type="pct"/>
            <w:noWrap w:val="0"/>
            <w:vAlign w:val="center"/>
          </w:tcPr>
          <w:p w14:paraId="0D7ADD7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highlight w:val="none"/>
                <w:lang w:val="en-US" w:eastAsia="zh-CN"/>
              </w:rPr>
            </w:pPr>
            <w:r>
              <w:rPr>
                <w:rFonts w:hint="eastAsia"/>
                <w:color w:val="auto"/>
                <w:sz w:val="21"/>
                <w:szCs w:val="21"/>
                <w:highlight w:val="none"/>
                <w:lang w:val="en-US" w:eastAsia="zh-CN"/>
              </w:rPr>
              <w:t>200</w:t>
            </w:r>
          </w:p>
        </w:tc>
        <w:tc>
          <w:tcPr>
            <w:tcW w:w="947" w:type="pct"/>
            <w:noWrap w:val="0"/>
            <w:vAlign w:val="center"/>
          </w:tcPr>
          <w:p w14:paraId="357FA55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highlight w:val="none"/>
                <w:lang w:val="en-US" w:eastAsia="zh-CN"/>
              </w:rPr>
            </w:pPr>
            <w:r>
              <w:rPr>
                <w:rFonts w:hint="eastAsia"/>
                <w:color w:val="auto"/>
                <w:sz w:val="21"/>
                <w:szCs w:val="21"/>
                <w:highlight w:val="none"/>
                <w:lang w:val="en-US" w:eastAsia="zh-CN"/>
              </w:rPr>
              <w:t>596</w:t>
            </w:r>
          </w:p>
        </w:tc>
        <w:tc>
          <w:tcPr>
            <w:tcW w:w="944" w:type="pct"/>
            <w:noWrap w:val="0"/>
            <w:vAlign w:val="center"/>
          </w:tcPr>
          <w:p w14:paraId="6CDA463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highlight w:val="none"/>
                <w:lang w:val="en-US" w:eastAsia="zh-CN"/>
              </w:rPr>
            </w:pPr>
            <w:r>
              <w:rPr>
                <w:rFonts w:hint="eastAsia"/>
                <w:color w:val="auto"/>
                <w:sz w:val="21"/>
                <w:szCs w:val="21"/>
                <w:highlight w:val="none"/>
                <w:lang w:val="en-US" w:eastAsia="zh-CN"/>
              </w:rPr>
              <w:t>2000</w:t>
            </w:r>
          </w:p>
        </w:tc>
      </w:tr>
      <w:tr w14:paraId="3587F3D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trPr>
        <w:tc>
          <w:tcPr>
            <w:tcW w:w="1118" w:type="pct"/>
            <w:noWrap w:val="0"/>
            <w:vAlign w:val="center"/>
          </w:tcPr>
          <w:p w14:paraId="101F02F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highlight w:val="none"/>
                <w:lang w:val="en-US" w:eastAsia="zh-CN"/>
              </w:rPr>
            </w:pPr>
            <w:r>
              <w:rPr>
                <w:rFonts w:hint="eastAsia"/>
                <w:color w:val="auto"/>
                <w:sz w:val="21"/>
                <w:szCs w:val="21"/>
                <w:highlight w:val="none"/>
                <w:lang w:val="en-US" w:eastAsia="zh-CN"/>
              </w:rPr>
              <w:t>反-1,2-二氯乙烯</w:t>
            </w:r>
          </w:p>
        </w:tc>
        <w:tc>
          <w:tcPr>
            <w:tcW w:w="1037" w:type="pct"/>
            <w:noWrap w:val="0"/>
            <w:vAlign w:val="center"/>
          </w:tcPr>
          <w:p w14:paraId="3DBCC50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highlight w:val="none"/>
                <w:lang w:val="en-US" w:eastAsia="zh-CN"/>
              </w:rPr>
            </w:pPr>
            <w:r>
              <w:rPr>
                <w:rFonts w:hint="eastAsia"/>
                <w:color w:val="auto"/>
                <w:sz w:val="21"/>
                <w:szCs w:val="21"/>
                <w:highlight w:val="none"/>
                <w:lang w:val="en-US" w:eastAsia="zh-CN"/>
              </w:rPr>
              <w:t>10</w:t>
            </w:r>
          </w:p>
        </w:tc>
        <w:tc>
          <w:tcPr>
            <w:tcW w:w="953" w:type="pct"/>
            <w:noWrap w:val="0"/>
            <w:vAlign w:val="center"/>
          </w:tcPr>
          <w:p w14:paraId="38E1333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highlight w:val="none"/>
                <w:lang w:val="en-US" w:eastAsia="zh-CN"/>
              </w:rPr>
            </w:pPr>
            <w:r>
              <w:rPr>
                <w:rFonts w:hint="eastAsia"/>
                <w:color w:val="auto"/>
                <w:sz w:val="21"/>
                <w:szCs w:val="21"/>
                <w:highlight w:val="none"/>
                <w:lang w:val="en-US" w:eastAsia="zh-CN"/>
              </w:rPr>
              <w:t>31</w:t>
            </w:r>
          </w:p>
        </w:tc>
        <w:tc>
          <w:tcPr>
            <w:tcW w:w="947" w:type="pct"/>
            <w:noWrap w:val="0"/>
            <w:vAlign w:val="center"/>
          </w:tcPr>
          <w:p w14:paraId="2DFA1E9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highlight w:val="none"/>
                <w:lang w:val="en-US" w:eastAsia="zh-CN"/>
              </w:rPr>
            </w:pPr>
            <w:r>
              <w:rPr>
                <w:rFonts w:hint="eastAsia"/>
                <w:color w:val="auto"/>
                <w:sz w:val="21"/>
                <w:szCs w:val="21"/>
                <w:highlight w:val="none"/>
                <w:lang w:val="en-US" w:eastAsia="zh-CN"/>
              </w:rPr>
              <w:t>54</w:t>
            </w:r>
          </w:p>
        </w:tc>
        <w:tc>
          <w:tcPr>
            <w:tcW w:w="944" w:type="pct"/>
            <w:noWrap w:val="0"/>
            <w:vAlign w:val="center"/>
          </w:tcPr>
          <w:p w14:paraId="236A2B9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highlight w:val="none"/>
                <w:lang w:val="en-US" w:eastAsia="zh-CN"/>
              </w:rPr>
            </w:pPr>
            <w:r>
              <w:rPr>
                <w:rFonts w:hint="eastAsia"/>
                <w:color w:val="auto"/>
                <w:sz w:val="21"/>
                <w:szCs w:val="21"/>
                <w:highlight w:val="none"/>
                <w:lang w:val="en-US" w:eastAsia="zh-CN"/>
              </w:rPr>
              <w:t>163</w:t>
            </w:r>
          </w:p>
        </w:tc>
      </w:tr>
      <w:tr w14:paraId="2B68B64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trPr>
        <w:tc>
          <w:tcPr>
            <w:tcW w:w="1118" w:type="pct"/>
            <w:noWrap w:val="0"/>
            <w:vAlign w:val="center"/>
          </w:tcPr>
          <w:p w14:paraId="42AFEDB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highlight w:val="none"/>
                <w:lang w:val="en-US" w:eastAsia="zh-CN"/>
              </w:rPr>
            </w:pPr>
            <w:r>
              <w:rPr>
                <w:rFonts w:hint="eastAsia"/>
                <w:color w:val="auto"/>
                <w:sz w:val="21"/>
                <w:szCs w:val="21"/>
                <w:highlight w:val="none"/>
                <w:lang w:val="en-US" w:eastAsia="zh-CN"/>
              </w:rPr>
              <w:t>二氯甲烷</w:t>
            </w:r>
          </w:p>
        </w:tc>
        <w:tc>
          <w:tcPr>
            <w:tcW w:w="1037" w:type="pct"/>
            <w:noWrap w:val="0"/>
            <w:vAlign w:val="center"/>
          </w:tcPr>
          <w:p w14:paraId="061AECA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highlight w:val="none"/>
                <w:lang w:val="en-US" w:eastAsia="zh-CN"/>
              </w:rPr>
            </w:pPr>
            <w:r>
              <w:rPr>
                <w:rFonts w:hint="eastAsia"/>
                <w:color w:val="auto"/>
                <w:sz w:val="21"/>
                <w:szCs w:val="21"/>
                <w:highlight w:val="none"/>
                <w:lang w:val="en-US" w:eastAsia="zh-CN"/>
              </w:rPr>
              <w:t>94</w:t>
            </w:r>
          </w:p>
        </w:tc>
        <w:tc>
          <w:tcPr>
            <w:tcW w:w="953" w:type="pct"/>
            <w:noWrap w:val="0"/>
            <w:vAlign w:val="center"/>
          </w:tcPr>
          <w:p w14:paraId="1E4E24E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highlight w:val="none"/>
                <w:lang w:val="en-US" w:eastAsia="zh-CN"/>
              </w:rPr>
            </w:pPr>
            <w:r>
              <w:rPr>
                <w:rFonts w:hint="eastAsia"/>
                <w:color w:val="auto"/>
                <w:sz w:val="21"/>
                <w:szCs w:val="21"/>
                <w:highlight w:val="none"/>
                <w:lang w:val="en-US" w:eastAsia="zh-CN"/>
              </w:rPr>
              <w:t>300</w:t>
            </w:r>
          </w:p>
        </w:tc>
        <w:tc>
          <w:tcPr>
            <w:tcW w:w="947" w:type="pct"/>
            <w:noWrap w:val="0"/>
            <w:vAlign w:val="center"/>
          </w:tcPr>
          <w:p w14:paraId="0212352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highlight w:val="none"/>
                <w:lang w:val="en-US" w:eastAsia="zh-CN"/>
              </w:rPr>
            </w:pPr>
            <w:r>
              <w:rPr>
                <w:rFonts w:hint="eastAsia"/>
                <w:color w:val="auto"/>
                <w:sz w:val="21"/>
                <w:szCs w:val="21"/>
                <w:highlight w:val="none"/>
                <w:lang w:val="en-US" w:eastAsia="zh-CN"/>
              </w:rPr>
              <w:t>616</w:t>
            </w:r>
          </w:p>
        </w:tc>
        <w:tc>
          <w:tcPr>
            <w:tcW w:w="944" w:type="pct"/>
            <w:noWrap w:val="0"/>
            <w:vAlign w:val="center"/>
          </w:tcPr>
          <w:p w14:paraId="2EAEAB3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highlight w:val="none"/>
                <w:lang w:val="en-US" w:eastAsia="zh-CN"/>
              </w:rPr>
            </w:pPr>
            <w:r>
              <w:rPr>
                <w:rFonts w:hint="eastAsia"/>
                <w:color w:val="auto"/>
                <w:sz w:val="21"/>
                <w:szCs w:val="21"/>
                <w:highlight w:val="none"/>
                <w:lang w:val="en-US" w:eastAsia="zh-CN"/>
              </w:rPr>
              <w:t>2000</w:t>
            </w:r>
          </w:p>
        </w:tc>
      </w:tr>
      <w:tr w14:paraId="2DA5277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trPr>
        <w:tc>
          <w:tcPr>
            <w:tcW w:w="1118" w:type="pct"/>
            <w:noWrap w:val="0"/>
            <w:vAlign w:val="center"/>
          </w:tcPr>
          <w:p w14:paraId="7D8A65E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highlight w:val="none"/>
                <w:lang w:val="en-US" w:eastAsia="zh-CN"/>
              </w:rPr>
            </w:pPr>
            <w:r>
              <w:rPr>
                <w:rFonts w:hint="eastAsia"/>
                <w:color w:val="auto"/>
                <w:sz w:val="21"/>
                <w:szCs w:val="21"/>
                <w:highlight w:val="none"/>
                <w:lang w:val="en-US" w:eastAsia="zh-CN"/>
              </w:rPr>
              <w:t>1,2-二氯丙烷</w:t>
            </w:r>
          </w:p>
        </w:tc>
        <w:tc>
          <w:tcPr>
            <w:tcW w:w="1037" w:type="pct"/>
            <w:noWrap w:val="0"/>
            <w:vAlign w:val="center"/>
          </w:tcPr>
          <w:p w14:paraId="1CB19EE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highlight w:val="none"/>
                <w:lang w:val="en-US" w:eastAsia="zh-CN"/>
              </w:rPr>
            </w:pPr>
            <w:r>
              <w:rPr>
                <w:rFonts w:hint="eastAsia"/>
                <w:color w:val="auto"/>
                <w:sz w:val="21"/>
                <w:szCs w:val="21"/>
                <w:highlight w:val="none"/>
                <w:lang w:val="en-US" w:eastAsia="zh-CN"/>
              </w:rPr>
              <w:t>1</w:t>
            </w:r>
          </w:p>
        </w:tc>
        <w:tc>
          <w:tcPr>
            <w:tcW w:w="953" w:type="pct"/>
            <w:noWrap w:val="0"/>
            <w:vAlign w:val="center"/>
          </w:tcPr>
          <w:p w14:paraId="657F4D6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highlight w:val="none"/>
                <w:lang w:val="en-US" w:eastAsia="zh-CN"/>
              </w:rPr>
            </w:pPr>
            <w:r>
              <w:rPr>
                <w:rFonts w:hint="eastAsia"/>
                <w:color w:val="auto"/>
                <w:sz w:val="21"/>
                <w:szCs w:val="21"/>
                <w:highlight w:val="none"/>
                <w:lang w:val="en-US" w:eastAsia="zh-CN"/>
              </w:rPr>
              <w:t>5</w:t>
            </w:r>
          </w:p>
        </w:tc>
        <w:tc>
          <w:tcPr>
            <w:tcW w:w="947" w:type="pct"/>
            <w:noWrap w:val="0"/>
            <w:vAlign w:val="center"/>
          </w:tcPr>
          <w:p w14:paraId="52C47C4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highlight w:val="none"/>
                <w:lang w:val="en-US" w:eastAsia="zh-CN"/>
              </w:rPr>
            </w:pPr>
            <w:r>
              <w:rPr>
                <w:rFonts w:hint="eastAsia"/>
                <w:color w:val="auto"/>
                <w:sz w:val="21"/>
                <w:szCs w:val="21"/>
                <w:highlight w:val="none"/>
                <w:lang w:val="en-US" w:eastAsia="zh-CN"/>
              </w:rPr>
              <w:t>5</w:t>
            </w:r>
          </w:p>
        </w:tc>
        <w:tc>
          <w:tcPr>
            <w:tcW w:w="944" w:type="pct"/>
            <w:noWrap w:val="0"/>
            <w:vAlign w:val="center"/>
          </w:tcPr>
          <w:p w14:paraId="3AF6158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highlight w:val="none"/>
                <w:lang w:val="en-US" w:eastAsia="zh-CN"/>
              </w:rPr>
            </w:pPr>
            <w:r>
              <w:rPr>
                <w:rFonts w:hint="eastAsia"/>
                <w:color w:val="auto"/>
                <w:sz w:val="21"/>
                <w:szCs w:val="21"/>
                <w:highlight w:val="none"/>
                <w:lang w:val="en-US" w:eastAsia="zh-CN"/>
              </w:rPr>
              <w:t>47</w:t>
            </w:r>
          </w:p>
        </w:tc>
      </w:tr>
      <w:tr w14:paraId="2B0CF1B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trPr>
        <w:tc>
          <w:tcPr>
            <w:tcW w:w="1118" w:type="pct"/>
            <w:noWrap w:val="0"/>
            <w:vAlign w:val="center"/>
          </w:tcPr>
          <w:p w14:paraId="49B8E44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highlight w:val="none"/>
                <w:lang w:val="en-US" w:eastAsia="zh-CN"/>
              </w:rPr>
            </w:pPr>
            <w:r>
              <w:rPr>
                <w:rFonts w:hint="eastAsia"/>
                <w:color w:val="auto"/>
                <w:sz w:val="21"/>
                <w:szCs w:val="21"/>
                <w:highlight w:val="none"/>
                <w:lang w:val="en-US" w:eastAsia="zh-CN"/>
              </w:rPr>
              <w:t>1,1,1,2-四氯乙烷</w:t>
            </w:r>
          </w:p>
        </w:tc>
        <w:tc>
          <w:tcPr>
            <w:tcW w:w="1037" w:type="pct"/>
            <w:noWrap w:val="0"/>
            <w:vAlign w:val="center"/>
          </w:tcPr>
          <w:p w14:paraId="6E87EE1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highlight w:val="none"/>
                <w:lang w:val="en-US" w:eastAsia="zh-CN"/>
              </w:rPr>
            </w:pPr>
            <w:r>
              <w:rPr>
                <w:rFonts w:hint="eastAsia"/>
                <w:color w:val="auto"/>
                <w:sz w:val="21"/>
                <w:szCs w:val="21"/>
                <w:highlight w:val="none"/>
                <w:lang w:val="en-US" w:eastAsia="zh-CN"/>
              </w:rPr>
              <w:t>2.6</w:t>
            </w:r>
          </w:p>
        </w:tc>
        <w:tc>
          <w:tcPr>
            <w:tcW w:w="953" w:type="pct"/>
            <w:noWrap w:val="0"/>
            <w:vAlign w:val="center"/>
          </w:tcPr>
          <w:p w14:paraId="5CB880D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highlight w:val="none"/>
                <w:lang w:val="en-US" w:eastAsia="zh-CN"/>
              </w:rPr>
            </w:pPr>
            <w:r>
              <w:rPr>
                <w:rFonts w:hint="eastAsia"/>
                <w:color w:val="auto"/>
                <w:sz w:val="21"/>
                <w:szCs w:val="21"/>
                <w:highlight w:val="none"/>
                <w:lang w:val="en-US" w:eastAsia="zh-CN"/>
              </w:rPr>
              <w:t>26</w:t>
            </w:r>
          </w:p>
        </w:tc>
        <w:tc>
          <w:tcPr>
            <w:tcW w:w="947" w:type="pct"/>
            <w:noWrap w:val="0"/>
            <w:vAlign w:val="center"/>
          </w:tcPr>
          <w:p w14:paraId="7109964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highlight w:val="none"/>
                <w:lang w:val="en-US" w:eastAsia="zh-CN"/>
              </w:rPr>
            </w:pPr>
            <w:r>
              <w:rPr>
                <w:rFonts w:hint="eastAsia"/>
                <w:color w:val="auto"/>
                <w:sz w:val="21"/>
                <w:szCs w:val="21"/>
                <w:highlight w:val="none"/>
                <w:lang w:val="en-US" w:eastAsia="zh-CN"/>
              </w:rPr>
              <w:t>10</w:t>
            </w:r>
          </w:p>
        </w:tc>
        <w:tc>
          <w:tcPr>
            <w:tcW w:w="944" w:type="pct"/>
            <w:noWrap w:val="0"/>
            <w:vAlign w:val="center"/>
          </w:tcPr>
          <w:p w14:paraId="35519B0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highlight w:val="none"/>
                <w:lang w:val="en-US" w:eastAsia="zh-CN"/>
              </w:rPr>
            </w:pPr>
            <w:r>
              <w:rPr>
                <w:rFonts w:hint="eastAsia"/>
                <w:color w:val="auto"/>
                <w:sz w:val="21"/>
                <w:szCs w:val="21"/>
                <w:highlight w:val="none"/>
                <w:lang w:val="en-US" w:eastAsia="zh-CN"/>
              </w:rPr>
              <w:t>100</w:t>
            </w:r>
          </w:p>
        </w:tc>
      </w:tr>
      <w:tr w14:paraId="533159C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trPr>
        <w:tc>
          <w:tcPr>
            <w:tcW w:w="1118" w:type="pct"/>
            <w:noWrap w:val="0"/>
            <w:vAlign w:val="center"/>
          </w:tcPr>
          <w:p w14:paraId="3F68C70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highlight w:val="none"/>
                <w:lang w:val="en-US" w:eastAsia="zh-CN"/>
              </w:rPr>
            </w:pPr>
            <w:r>
              <w:rPr>
                <w:rFonts w:hint="eastAsia"/>
                <w:color w:val="auto"/>
                <w:sz w:val="21"/>
                <w:szCs w:val="21"/>
                <w:highlight w:val="none"/>
                <w:lang w:val="en-US" w:eastAsia="zh-CN"/>
              </w:rPr>
              <w:t>1,1,2,2-四氯乙烷</w:t>
            </w:r>
          </w:p>
        </w:tc>
        <w:tc>
          <w:tcPr>
            <w:tcW w:w="1037" w:type="pct"/>
            <w:noWrap w:val="0"/>
            <w:vAlign w:val="center"/>
          </w:tcPr>
          <w:p w14:paraId="4415D34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highlight w:val="none"/>
                <w:lang w:val="en-US" w:eastAsia="zh-CN"/>
              </w:rPr>
            </w:pPr>
            <w:r>
              <w:rPr>
                <w:rFonts w:hint="eastAsia"/>
                <w:color w:val="auto"/>
                <w:sz w:val="21"/>
                <w:szCs w:val="21"/>
                <w:highlight w:val="none"/>
                <w:lang w:val="en-US" w:eastAsia="zh-CN"/>
              </w:rPr>
              <w:t>1.6</w:t>
            </w:r>
          </w:p>
        </w:tc>
        <w:tc>
          <w:tcPr>
            <w:tcW w:w="953" w:type="pct"/>
            <w:noWrap w:val="0"/>
            <w:vAlign w:val="center"/>
          </w:tcPr>
          <w:p w14:paraId="3EAFC5C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highlight w:val="none"/>
                <w:lang w:val="en-US" w:eastAsia="zh-CN"/>
              </w:rPr>
            </w:pPr>
            <w:r>
              <w:rPr>
                <w:rFonts w:hint="eastAsia"/>
                <w:color w:val="auto"/>
                <w:sz w:val="21"/>
                <w:szCs w:val="21"/>
                <w:highlight w:val="none"/>
                <w:lang w:val="en-US" w:eastAsia="zh-CN"/>
              </w:rPr>
              <w:t>14</w:t>
            </w:r>
          </w:p>
        </w:tc>
        <w:tc>
          <w:tcPr>
            <w:tcW w:w="947" w:type="pct"/>
            <w:noWrap w:val="0"/>
            <w:vAlign w:val="center"/>
          </w:tcPr>
          <w:p w14:paraId="55EF55B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highlight w:val="none"/>
                <w:lang w:val="en-US" w:eastAsia="zh-CN"/>
              </w:rPr>
            </w:pPr>
            <w:r>
              <w:rPr>
                <w:rFonts w:hint="eastAsia"/>
                <w:color w:val="auto"/>
                <w:sz w:val="21"/>
                <w:szCs w:val="21"/>
                <w:highlight w:val="none"/>
                <w:lang w:val="en-US" w:eastAsia="zh-CN"/>
              </w:rPr>
              <w:t>6.8</w:t>
            </w:r>
          </w:p>
        </w:tc>
        <w:tc>
          <w:tcPr>
            <w:tcW w:w="944" w:type="pct"/>
            <w:noWrap w:val="0"/>
            <w:vAlign w:val="center"/>
          </w:tcPr>
          <w:p w14:paraId="237FE40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highlight w:val="none"/>
                <w:lang w:val="en-US" w:eastAsia="zh-CN"/>
              </w:rPr>
            </w:pPr>
            <w:r>
              <w:rPr>
                <w:rFonts w:hint="eastAsia"/>
                <w:color w:val="auto"/>
                <w:sz w:val="21"/>
                <w:szCs w:val="21"/>
                <w:highlight w:val="none"/>
                <w:lang w:val="en-US" w:eastAsia="zh-CN"/>
              </w:rPr>
              <w:t>50</w:t>
            </w:r>
          </w:p>
        </w:tc>
      </w:tr>
      <w:tr w14:paraId="49C5B34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trPr>
        <w:tc>
          <w:tcPr>
            <w:tcW w:w="1118" w:type="pct"/>
            <w:noWrap w:val="0"/>
            <w:vAlign w:val="center"/>
          </w:tcPr>
          <w:p w14:paraId="6959FC6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highlight w:val="none"/>
                <w:lang w:val="en-US" w:eastAsia="zh-CN"/>
              </w:rPr>
            </w:pPr>
            <w:r>
              <w:rPr>
                <w:rFonts w:hint="eastAsia"/>
                <w:color w:val="auto"/>
                <w:sz w:val="21"/>
                <w:szCs w:val="21"/>
                <w:highlight w:val="none"/>
                <w:lang w:val="en-US" w:eastAsia="zh-CN"/>
              </w:rPr>
              <w:t>四氯乙烯</w:t>
            </w:r>
          </w:p>
        </w:tc>
        <w:tc>
          <w:tcPr>
            <w:tcW w:w="1037" w:type="pct"/>
            <w:noWrap w:val="0"/>
            <w:vAlign w:val="center"/>
          </w:tcPr>
          <w:p w14:paraId="23FCFF2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highlight w:val="none"/>
                <w:lang w:val="en-US" w:eastAsia="zh-CN"/>
              </w:rPr>
            </w:pPr>
            <w:r>
              <w:rPr>
                <w:rFonts w:hint="eastAsia"/>
                <w:color w:val="auto"/>
                <w:sz w:val="21"/>
                <w:szCs w:val="21"/>
                <w:highlight w:val="none"/>
                <w:lang w:val="en-US" w:eastAsia="zh-CN"/>
              </w:rPr>
              <w:t>11</w:t>
            </w:r>
          </w:p>
        </w:tc>
        <w:tc>
          <w:tcPr>
            <w:tcW w:w="953" w:type="pct"/>
            <w:noWrap w:val="0"/>
            <w:vAlign w:val="center"/>
          </w:tcPr>
          <w:p w14:paraId="3978E14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highlight w:val="none"/>
                <w:lang w:val="en-US" w:eastAsia="zh-CN"/>
              </w:rPr>
            </w:pPr>
            <w:r>
              <w:rPr>
                <w:rFonts w:hint="eastAsia"/>
                <w:color w:val="auto"/>
                <w:sz w:val="21"/>
                <w:szCs w:val="21"/>
                <w:highlight w:val="none"/>
                <w:lang w:val="en-US" w:eastAsia="zh-CN"/>
              </w:rPr>
              <w:t>34</w:t>
            </w:r>
          </w:p>
        </w:tc>
        <w:tc>
          <w:tcPr>
            <w:tcW w:w="947" w:type="pct"/>
            <w:noWrap w:val="0"/>
            <w:vAlign w:val="center"/>
          </w:tcPr>
          <w:p w14:paraId="318E700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highlight w:val="none"/>
                <w:lang w:val="en-US" w:eastAsia="zh-CN"/>
              </w:rPr>
            </w:pPr>
            <w:r>
              <w:rPr>
                <w:rFonts w:hint="eastAsia"/>
                <w:color w:val="auto"/>
                <w:sz w:val="21"/>
                <w:szCs w:val="21"/>
                <w:highlight w:val="none"/>
                <w:lang w:val="en-US" w:eastAsia="zh-CN"/>
              </w:rPr>
              <w:t>53</w:t>
            </w:r>
          </w:p>
        </w:tc>
        <w:tc>
          <w:tcPr>
            <w:tcW w:w="944" w:type="pct"/>
            <w:noWrap w:val="0"/>
            <w:vAlign w:val="center"/>
          </w:tcPr>
          <w:p w14:paraId="12D576C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highlight w:val="none"/>
                <w:lang w:val="en-US" w:eastAsia="zh-CN"/>
              </w:rPr>
            </w:pPr>
            <w:r>
              <w:rPr>
                <w:rFonts w:hint="eastAsia"/>
                <w:color w:val="auto"/>
                <w:sz w:val="21"/>
                <w:szCs w:val="21"/>
                <w:highlight w:val="none"/>
                <w:lang w:val="en-US" w:eastAsia="zh-CN"/>
              </w:rPr>
              <w:t>183</w:t>
            </w:r>
          </w:p>
        </w:tc>
      </w:tr>
      <w:tr w14:paraId="54547C2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trPr>
        <w:tc>
          <w:tcPr>
            <w:tcW w:w="1118" w:type="pct"/>
            <w:noWrap w:val="0"/>
            <w:vAlign w:val="center"/>
          </w:tcPr>
          <w:p w14:paraId="2752863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highlight w:val="none"/>
                <w:lang w:val="en-US" w:eastAsia="zh-CN"/>
              </w:rPr>
            </w:pPr>
            <w:r>
              <w:rPr>
                <w:rFonts w:hint="eastAsia"/>
                <w:color w:val="auto"/>
                <w:sz w:val="21"/>
                <w:szCs w:val="21"/>
                <w:highlight w:val="none"/>
                <w:lang w:val="en-US" w:eastAsia="zh-CN"/>
              </w:rPr>
              <w:t>1,1,1-三氯乙烷</w:t>
            </w:r>
          </w:p>
        </w:tc>
        <w:tc>
          <w:tcPr>
            <w:tcW w:w="1037" w:type="pct"/>
            <w:noWrap w:val="0"/>
            <w:vAlign w:val="center"/>
          </w:tcPr>
          <w:p w14:paraId="0E13518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highlight w:val="none"/>
                <w:lang w:val="en-US" w:eastAsia="zh-CN"/>
              </w:rPr>
            </w:pPr>
            <w:r>
              <w:rPr>
                <w:rFonts w:hint="eastAsia"/>
                <w:color w:val="auto"/>
                <w:sz w:val="21"/>
                <w:szCs w:val="21"/>
                <w:highlight w:val="none"/>
                <w:lang w:val="en-US" w:eastAsia="zh-CN"/>
              </w:rPr>
              <w:t>701</w:t>
            </w:r>
          </w:p>
        </w:tc>
        <w:tc>
          <w:tcPr>
            <w:tcW w:w="953" w:type="pct"/>
            <w:noWrap w:val="0"/>
            <w:vAlign w:val="center"/>
          </w:tcPr>
          <w:p w14:paraId="2FA6DF2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highlight w:val="none"/>
                <w:lang w:val="en-US" w:eastAsia="zh-CN"/>
              </w:rPr>
            </w:pPr>
            <w:r>
              <w:rPr>
                <w:rFonts w:hint="eastAsia"/>
                <w:color w:val="auto"/>
                <w:sz w:val="21"/>
                <w:szCs w:val="21"/>
                <w:highlight w:val="none"/>
                <w:lang w:val="en-US" w:eastAsia="zh-CN"/>
              </w:rPr>
              <w:t>840</w:t>
            </w:r>
          </w:p>
        </w:tc>
        <w:tc>
          <w:tcPr>
            <w:tcW w:w="947" w:type="pct"/>
            <w:noWrap w:val="0"/>
            <w:vAlign w:val="center"/>
          </w:tcPr>
          <w:p w14:paraId="5D552E4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highlight w:val="none"/>
                <w:lang w:val="en-US" w:eastAsia="zh-CN"/>
              </w:rPr>
            </w:pPr>
            <w:r>
              <w:rPr>
                <w:rFonts w:hint="eastAsia"/>
                <w:color w:val="auto"/>
                <w:sz w:val="21"/>
                <w:szCs w:val="21"/>
                <w:highlight w:val="none"/>
                <w:lang w:val="en-US" w:eastAsia="zh-CN"/>
              </w:rPr>
              <w:t>840</w:t>
            </w:r>
          </w:p>
        </w:tc>
        <w:tc>
          <w:tcPr>
            <w:tcW w:w="944" w:type="pct"/>
            <w:noWrap w:val="0"/>
            <w:vAlign w:val="center"/>
          </w:tcPr>
          <w:p w14:paraId="78B8D8A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highlight w:val="none"/>
                <w:lang w:val="en-US" w:eastAsia="zh-CN"/>
              </w:rPr>
            </w:pPr>
            <w:r>
              <w:rPr>
                <w:rFonts w:hint="eastAsia"/>
                <w:color w:val="auto"/>
                <w:sz w:val="21"/>
                <w:szCs w:val="21"/>
                <w:highlight w:val="none"/>
                <w:lang w:val="en-US" w:eastAsia="zh-CN"/>
              </w:rPr>
              <w:t>840</w:t>
            </w:r>
          </w:p>
        </w:tc>
      </w:tr>
      <w:tr w14:paraId="23D08FA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trPr>
        <w:tc>
          <w:tcPr>
            <w:tcW w:w="1118" w:type="pct"/>
            <w:noWrap w:val="0"/>
            <w:vAlign w:val="center"/>
          </w:tcPr>
          <w:p w14:paraId="7DC8E51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highlight w:val="none"/>
                <w:lang w:val="en-US" w:eastAsia="zh-CN"/>
              </w:rPr>
            </w:pPr>
            <w:r>
              <w:rPr>
                <w:rFonts w:hint="eastAsia"/>
                <w:color w:val="auto"/>
                <w:sz w:val="21"/>
                <w:szCs w:val="21"/>
                <w:highlight w:val="none"/>
                <w:lang w:val="en-US" w:eastAsia="zh-CN"/>
              </w:rPr>
              <w:t>1,1,2-三氯乙烷</w:t>
            </w:r>
          </w:p>
        </w:tc>
        <w:tc>
          <w:tcPr>
            <w:tcW w:w="1037" w:type="pct"/>
            <w:noWrap w:val="0"/>
            <w:vAlign w:val="center"/>
          </w:tcPr>
          <w:p w14:paraId="0E2C404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highlight w:val="none"/>
                <w:lang w:val="en-US" w:eastAsia="zh-CN"/>
              </w:rPr>
            </w:pPr>
            <w:r>
              <w:rPr>
                <w:rFonts w:hint="eastAsia"/>
                <w:color w:val="auto"/>
                <w:sz w:val="21"/>
                <w:szCs w:val="21"/>
                <w:highlight w:val="none"/>
                <w:lang w:val="en-US" w:eastAsia="zh-CN"/>
              </w:rPr>
              <w:t>0.6</w:t>
            </w:r>
          </w:p>
        </w:tc>
        <w:tc>
          <w:tcPr>
            <w:tcW w:w="953" w:type="pct"/>
            <w:noWrap w:val="0"/>
            <w:vAlign w:val="center"/>
          </w:tcPr>
          <w:p w14:paraId="73D11CF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highlight w:val="none"/>
                <w:lang w:val="en-US" w:eastAsia="zh-CN"/>
              </w:rPr>
            </w:pPr>
            <w:r>
              <w:rPr>
                <w:rFonts w:hint="eastAsia"/>
                <w:color w:val="auto"/>
                <w:sz w:val="21"/>
                <w:szCs w:val="21"/>
                <w:highlight w:val="none"/>
                <w:lang w:val="en-US" w:eastAsia="zh-CN"/>
              </w:rPr>
              <w:t>5</w:t>
            </w:r>
          </w:p>
        </w:tc>
        <w:tc>
          <w:tcPr>
            <w:tcW w:w="947" w:type="pct"/>
            <w:noWrap w:val="0"/>
            <w:vAlign w:val="center"/>
          </w:tcPr>
          <w:p w14:paraId="57FFED4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highlight w:val="none"/>
                <w:lang w:val="en-US" w:eastAsia="zh-CN"/>
              </w:rPr>
            </w:pPr>
            <w:r>
              <w:rPr>
                <w:rFonts w:hint="eastAsia"/>
                <w:color w:val="auto"/>
                <w:sz w:val="21"/>
                <w:szCs w:val="21"/>
                <w:highlight w:val="none"/>
                <w:lang w:val="en-US" w:eastAsia="zh-CN"/>
              </w:rPr>
              <w:t>2.8</w:t>
            </w:r>
          </w:p>
        </w:tc>
        <w:tc>
          <w:tcPr>
            <w:tcW w:w="944" w:type="pct"/>
            <w:noWrap w:val="0"/>
            <w:vAlign w:val="center"/>
          </w:tcPr>
          <w:p w14:paraId="01D446C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highlight w:val="none"/>
                <w:lang w:val="en-US" w:eastAsia="zh-CN"/>
              </w:rPr>
            </w:pPr>
            <w:r>
              <w:rPr>
                <w:rFonts w:hint="eastAsia"/>
                <w:color w:val="auto"/>
                <w:sz w:val="21"/>
                <w:szCs w:val="21"/>
                <w:highlight w:val="none"/>
                <w:lang w:val="en-US" w:eastAsia="zh-CN"/>
              </w:rPr>
              <w:t>15</w:t>
            </w:r>
          </w:p>
        </w:tc>
      </w:tr>
      <w:tr w14:paraId="4521FED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trPr>
        <w:tc>
          <w:tcPr>
            <w:tcW w:w="1118" w:type="pct"/>
            <w:noWrap w:val="0"/>
            <w:vAlign w:val="center"/>
          </w:tcPr>
          <w:p w14:paraId="4E0CA3C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highlight w:val="none"/>
                <w:lang w:val="en-US" w:eastAsia="zh-CN"/>
              </w:rPr>
            </w:pPr>
            <w:r>
              <w:rPr>
                <w:rFonts w:hint="eastAsia"/>
                <w:color w:val="auto"/>
                <w:sz w:val="21"/>
                <w:szCs w:val="21"/>
                <w:highlight w:val="none"/>
                <w:lang w:val="en-US" w:eastAsia="zh-CN"/>
              </w:rPr>
              <w:t>三氯乙烯</w:t>
            </w:r>
          </w:p>
        </w:tc>
        <w:tc>
          <w:tcPr>
            <w:tcW w:w="1037" w:type="pct"/>
            <w:noWrap w:val="0"/>
            <w:vAlign w:val="center"/>
          </w:tcPr>
          <w:p w14:paraId="5D6067B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highlight w:val="none"/>
                <w:lang w:val="en-US" w:eastAsia="zh-CN"/>
              </w:rPr>
            </w:pPr>
            <w:r>
              <w:rPr>
                <w:rFonts w:hint="eastAsia"/>
                <w:color w:val="auto"/>
                <w:sz w:val="21"/>
                <w:szCs w:val="21"/>
                <w:highlight w:val="none"/>
                <w:lang w:val="en-US" w:eastAsia="zh-CN"/>
              </w:rPr>
              <w:t>0.7</w:t>
            </w:r>
          </w:p>
        </w:tc>
        <w:tc>
          <w:tcPr>
            <w:tcW w:w="953" w:type="pct"/>
            <w:noWrap w:val="0"/>
            <w:vAlign w:val="center"/>
          </w:tcPr>
          <w:p w14:paraId="1D1975F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highlight w:val="none"/>
                <w:lang w:val="en-US" w:eastAsia="zh-CN"/>
              </w:rPr>
            </w:pPr>
            <w:r>
              <w:rPr>
                <w:rFonts w:hint="eastAsia"/>
                <w:color w:val="auto"/>
                <w:sz w:val="21"/>
                <w:szCs w:val="21"/>
                <w:highlight w:val="none"/>
                <w:lang w:val="en-US" w:eastAsia="zh-CN"/>
              </w:rPr>
              <w:t>7</w:t>
            </w:r>
          </w:p>
        </w:tc>
        <w:tc>
          <w:tcPr>
            <w:tcW w:w="947" w:type="pct"/>
            <w:noWrap w:val="0"/>
            <w:vAlign w:val="center"/>
          </w:tcPr>
          <w:p w14:paraId="35287B3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highlight w:val="none"/>
                <w:lang w:val="en-US" w:eastAsia="zh-CN"/>
              </w:rPr>
            </w:pPr>
            <w:r>
              <w:rPr>
                <w:rFonts w:hint="eastAsia"/>
                <w:color w:val="auto"/>
                <w:sz w:val="21"/>
                <w:szCs w:val="21"/>
                <w:highlight w:val="none"/>
                <w:lang w:val="en-US" w:eastAsia="zh-CN"/>
              </w:rPr>
              <w:t>2.8</w:t>
            </w:r>
          </w:p>
        </w:tc>
        <w:tc>
          <w:tcPr>
            <w:tcW w:w="944" w:type="pct"/>
            <w:noWrap w:val="0"/>
            <w:vAlign w:val="center"/>
          </w:tcPr>
          <w:p w14:paraId="283ACD6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highlight w:val="none"/>
                <w:lang w:val="en-US" w:eastAsia="zh-CN"/>
              </w:rPr>
            </w:pPr>
            <w:r>
              <w:rPr>
                <w:rFonts w:hint="eastAsia"/>
                <w:color w:val="auto"/>
                <w:sz w:val="21"/>
                <w:szCs w:val="21"/>
                <w:highlight w:val="none"/>
                <w:lang w:val="en-US" w:eastAsia="zh-CN"/>
              </w:rPr>
              <w:t>20</w:t>
            </w:r>
          </w:p>
        </w:tc>
      </w:tr>
      <w:tr w14:paraId="55D1BDF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trPr>
        <w:tc>
          <w:tcPr>
            <w:tcW w:w="1118" w:type="pct"/>
            <w:noWrap w:val="0"/>
            <w:vAlign w:val="center"/>
          </w:tcPr>
          <w:p w14:paraId="19B1A7F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highlight w:val="none"/>
                <w:lang w:val="en-US" w:eastAsia="zh-CN"/>
              </w:rPr>
            </w:pPr>
            <w:r>
              <w:rPr>
                <w:rFonts w:hint="eastAsia"/>
                <w:color w:val="auto"/>
                <w:sz w:val="21"/>
                <w:szCs w:val="21"/>
                <w:highlight w:val="none"/>
                <w:lang w:val="en-US" w:eastAsia="zh-CN"/>
              </w:rPr>
              <w:t>1,2,3-三氯丙烷</w:t>
            </w:r>
          </w:p>
        </w:tc>
        <w:tc>
          <w:tcPr>
            <w:tcW w:w="1037" w:type="pct"/>
            <w:noWrap w:val="0"/>
            <w:vAlign w:val="center"/>
          </w:tcPr>
          <w:p w14:paraId="321D465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highlight w:val="none"/>
                <w:lang w:val="en-US" w:eastAsia="zh-CN"/>
              </w:rPr>
            </w:pPr>
            <w:r>
              <w:rPr>
                <w:rFonts w:hint="eastAsia"/>
                <w:color w:val="auto"/>
                <w:sz w:val="21"/>
                <w:szCs w:val="21"/>
                <w:highlight w:val="none"/>
                <w:lang w:val="en-US" w:eastAsia="zh-CN"/>
              </w:rPr>
              <w:t>0.05</w:t>
            </w:r>
          </w:p>
        </w:tc>
        <w:tc>
          <w:tcPr>
            <w:tcW w:w="953" w:type="pct"/>
            <w:noWrap w:val="0"/>
            <w:vAlign w:val="center"/>
          </w:tcPr>
          <w:p w14:paraId="0C95BF6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highlight w:val="none"/>
                <w:lang w:val="en-US" w:eastAsia="zh-CN"/>
              </w:rPr>
            </w:pPr>
            <w:r>
              <w:rPr>
                <w:rFonts w:hint="eastAsia"/>
                <w:color w:val="auto"/>
                <w:sz w:val="21"/>
                <w:szCs w:val="21"/>
                <w:highlight w:val="none"/>
                <w:lang w:val="en-US" w:eastAsia="zh-CN"/>
              </w:rPr>
              <w:t>0.5</w:t>
            </w:r>
          </w:p>
        </w:tc>
        <w:tc>
          <w:tcPr>
            <w:tcW w:w="947" w:type="pct"/>
            <w:noWrap w:val="0"/>
            <w:vAlign w:val="center"/>
          </w:tcPr>
          <w:p w14:paraId="7B1E967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highlight w:val="none"/>
                <w:lang w:val="en-US" w:eastAsia="zh-CN"/>
              </w:rPr>
            </w:pPr>
            <w:r>
              <w:rPr>
                <w:rFonts w:hint="eastAsia"/>
                <w:color w:val="auto"/>
                <w:sz w:val="21"/>
                <w:szCs w:val="21"/>
                <w:highlight w:val="none"/>
                <w:lang w:val="en-US" w:eastAsia="zh-CN"/>
              </w:rPr>
              <w:t>0.5</w:t>
            </w:r>
          </w:p>
        </w:tc>
        <w:tc>
          <w:tcPr>
            <w:tcW w:w="944" w:type="pct"/>
            <w:noWrap w:val="0"/>
            <w:vAlign w:val="center"/>
          </w:tcPr>
          <w:p w14:paraId="19A31C4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highlight w:val="none"/>
                <w:lang w:val="en-US" w:eastAsia="zh-CN"/>
              </w:rPr>
            </w:pPr>
            <w:r>
              <w:rPr>
                <w:rFonts w:hint="eastAsia"/>
                <w:color w:val="auto"/>
                <w:sz w:val="21"/>
                <w:szCs w:val="21"/>
                <w:highlight w:val="none"/>
                <w:lang w:val="en-US" w:eastAsia="zh-CN"/>
              </w:rPr>
              <w:t>5</w:t>
            </w:r>
          </w:p>
        </w:tc>
      </w:tr>
      <w:tr w14:paraId="6EE3399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trPr>
        <w:tc>
          <w:tcPr>
            <w:tcW w:w="1118" w:type="pct"/>
            <w:noWrap w:val="0"/>
            <w:vAlign w:val="center"/>
          </w:tcPr>
          <w:p w14:paraId="4F7ACF9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highlight w:val="none"/>
                <w:lang w:val="en-US" w:eastAsia="zh-CN"/>
              </w:rPr>
            </w:pPr>
            <w:r>
              <w:rPr>
                <w:rFonts w:hint="eastAsia"/>
                <w:color w:val="auto"/>
                <w:sz w:val="21"/>
                <w:szCs w:val="21"/>
                <w:highlight w:val="none"/>
                <w:lang w:val="en-US" w:eastAsia="zh-CN"/>
              </w:rPr>
              <w:t>氯乙烯</w:t>
            </w:r>
          </w:p>
        </w:tc>
        <w:tc>
          <w:tcPr>
            <w:tcW w:w="1037" w:type="pct"/>
            <w:noWrap w:val="0"/>
            <w:vAlign w:val="center"/>
          </w:tcPr>
          <w:p w14:paraId="374DEBF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highlight w:val="none"/>
                <w:lang w:val="en-US" w:eastAsia="zh-CN"/>
              </w:rPr>
            </w:pPr>
            <w:r>
              <w:rPr>
                <w:rFonts w:hint="eastAsia"/>
                <w:color w:val="auto"/>
                <w:sz w:val="21"/>
                <w:szCs w:val="21"/>
                <w:highlight w:val="none"/>
                <w:lang w:val="en-US" w:eastAsia="zh-CN"/>
              </w:rPr>
              <w:t>0.12</w:t>
            </w:r>
          </w:p>
        </w:tc>
        <w:tc>
          <w:tcPr>
            <w:tcW w:w="953" w:type="pct"/>
            <w:noWrap w:val="0"/>
            <w:vAlign w:val="center"/>
          </w:tcPr>
          <w:p w14:paraId="1C815EA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highlight w:val="none"/>
                <w:lang w:val="en-US" w:eastAsia="zh-CN"/>
              </w:rPr>
            </w:pPr>
            <w:r>
              <w:rPr>
                <w:rFonts w:hint="eastAsia"/>
                <w:color w:val="auto"/>
                <w:sz w:val="21"/>
                <w:szCs w:val="21"/>
                <w:highlight w:val="none"/>
                <w:lang w:val="en-US" w:eastAsia="zh-CN"/>
              </w:rPr>
              <w:t>1.2</w:t>
            </w:r>
          </w:p>
        </w:tc>
        <w:tc>
          <w:tcPr>
            <w:tcW w:w="947" w:type="pct"/>
            <w:noWrap w:val="0"/>
            <w:vAlign w:val="center"/>
          </w:tcPr>
          <w:p w14:paraId="2B35921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highlight w:val="none"/>
                <w:lang w:val="en-US" w:eastAsia="zh-CN"/>
              </w:rPr>
            </w:pPr>
            <w:r>
              <w:rPr>
                <w:rFonts w:hint="eastAsia"/>
                <w:color w:val="auto"/>
                <w:sz w:val="21"/>
                <w:szCs w:val="21"/>
                <w:highlight w:val="none"/>
                <w:lang w:val="en-US" w:eastAsia="zh-CN"/>
              </w:rPr>
              <w:t>0.43</w:t>
            </w:r>
          </w:p>
        </w:tc>
        <w:tc>
          <w:tcPr>
            <w:tcW w:w="944" w:type="pct"/>
            <w:noWrap w:val="0"/>
            <w:vAlign w:val="center"/>
          </w:tcPr>
          <w:p w14:paraId="5EEA8FE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highlight w:val="none"/>
                <w:lang w:val="en-US" w:eastAsia="zh-CN"/>
              </w:rPr>
            </w:pPr>
            <w:r>
              <w:rPr>
                <w:rFonts w:hint="eastAsia"/>
                <w:color w:val="auto"/>
                <w:sz w:val="21"/>
                <w:szCs w:val="21"/>
                <w:highlight w:val="none"/>
                <w:lang w:val="en-US" w:eastAsia="zh-CN"/>
              </w:rPr>
              <w:t>4.3</w:t>
            </w:r>
          </w:p>
        </w:tc>
      </w:tr>
      <w:tr w14:paraId="1197A75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trPr>
        <w:tc>
          <w:tcPr>
            <w:tcW w:w="1118" w:type="pct"/>
            <w:noWrap w:val="0"/>
            <w:vAlign w:val="center"/>
          </w:tcPr>
          <w:p w14:paraId="5C58D5B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highlight w:val="none"/>
                <w:lang w:val="en-US" w:eastAsia="zh-CN"/>
              </w:rPr>
            </w:pPr>
            <w:r>
              <w:rPr>
                <w:rFonts w:hint="eastAsia"/>
                <w:color w:val="auto"/>
                <w:sz w:val="21"/>
                <w:szCs w:val="21"/>
                <w:highlight w:val="none"/>
                <w:lang w:val="en-US" w:eastAsia="zh-CN"/>
              </w:rPr>
              <w:t>苯</w:t>
            </w:r>
          </w:p>
        </w:tc>
        <w:tc>
          <w:tcPr>
            <w:tcW w:w="1037" w:type="pct"/>
            <w:noWrap w:val="0"/>
            <w:vAlign w:val="center"/>
          </w:tcPr>
          <w:p w14:paraId="6056F2C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highlight w:val="none"/>
                <w:lang w:val="en-US" w:eastAsia="zh-CN"/>
              </w:rPr>
            </w:pPr>
            <w:r>
              <w:rPr>
                <w:rFonts w:hint="eastAsia"/>
                <w:color w:val="auto"/>
                <w:sz w:val="21"/>
                <w:szCs w:val="21"/>
                <w:highlight w:val="none"/>
                <w:lang w:val="en-US" w:eastAsia="zh-CN"/>
              </w:rPr>
              <w:t>1</w:t>
            </w:r>
          </w:p>
        </w:tc>
        <w:tc>
          <w:tcPr>
            <w:tcW w:w="953" w:type="pct"/>
            <w:noWrap w:val="0"/>
            <w:vAlign w:val="center"/>
          </w:tcPr>
          <w:p w14:paraId="07191E1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highlight w:val="none"/>
                <w:lang w:val="en-US" w:eastAsia="zh-CN"/>
              </w:rPr>
            </w:pPr>
            <w:r>
              <w:rPr>
                <w:rFonts w:hint="eastAsia"/>
                <w:color w:val="auto"/>
                <w:sz w:val="21"/>
                <w:szCs w:val="21"/>
                <w:highlight w:val="none"/>
                <w:lang w:val="en-US" w:eastAsia="zh-CN"/>
              </w:rPr>
              <w:t>10</w:t>
            </w:r>
          </w:p>
        </w:tc>
        <w:tc>
          <w:tcPr>
            <w:tcW w:w="947" w:type="pct"/>
            <w:noWrap w:val="0"/>
            <w:vAlign w:val="center"/>
          </w:tcPr>
          <w:p w14:paraId="6591BF9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highlight w:val="none"/>
                <w:lang w:val="en-US" w:eastAsia="zh-CN"/>
              </w:rPr>
            </w:pPr>
            <w:r>
              <w:rPr>
                <w:rFonts w:hint="eastAsia"/>
                <w:color w:val="auto"/>
                <w:sz w:val="21"/>
                <w:szCs w:val="21"/>
                <w:highlight w:val="none"/>
                <w:lang w:val="en-US" w:eastAsia="zh-CN"/>
              </w:rPr>
              <w:t>4</w:t>
            </w:r>
          </w:p>
        </w:tc>
        <w:tc>
          <w:tcPr>
            <w:tcW w:w="944" w:type="pct"/>
            <w:noWrap w:val="0"/>
            <w:vAlign w:val="center"/>
          </w:tcPr>
          <w:p w14:paraId="2B74413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highlight w:val="none"/>
                <w:lang w:val="en-US" w:eastAsia="zh-CN"/>
              </w:rPr>
            </w:pPr>
            <w:r>
              <w:rPr>
                <w:rFonts w:hint="eastAsia"/>
                <w:color w:val="auto"/>
                <w:sz w:val="21"/>
                <w:szCs w:val="21"/>
                <w:highlight w:val="none"/>
                <w:lang w:val="en-US" w:eastAsia="zh-CN"/>
              </w:rPr>
              <w:t>40</w:t>
            </w:r>
          </w:p>
        </w:tc>
      </w:tr>
      <w:tr w14:paraId="0C64010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trPr>
        <w:tc>
          <w:tcPr>
            <w:tcW w:w="1118" w:type="pct"/>
            <w:noWrap w:val="0"/>
            <w:vAlign w:val="center"/>
          </w:tcPr>
          <w:p w14:paraId="0884808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highlight w:val="none"/>
                <w:lang w:val="en-US" w:eastAsia="zh-CN"/>
              </w:rPr>
            </w:pPr>
            <w:r>
              <w:rPr>
                <w:rFonts w:hint="eastAsia"/>
                <w:color w:val="auto"/>
                <w:sz w:val="21"/>
                <w:szCs w:val="21"/>
                <w:highlight w:val="none"/>
                <w:lang w:val="en-US" w:eastAsia="zh-CN"/>
              </w:rPr>
              <w:t>氯苯</w:t>
            </w:r>
          </w:p>
        </w:tc>
        <w:tc>
          <w:tcPr>
            <w:tcW w:w="1037" w:type="pct"/>
            <w:noWrap w:val="0"/>
            <w:vAlign w:val="center"/>
          </w:tcPr>
          <w:p w14:paraId="70889A8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highlight w:val="none"/>
                <w:lang w:val="en-US" w:eastAsia="zh-CN"/>
              </w:rPr>
            </w:pPr>
            <w:r>
              <w:rPr>
                <w:rFonts w:hint="eastAsia"/>
                <w:color w:val="auto"/>
                <w:sz w:val="21"/>
                <w:szCs w:val="21"/>
                <w:highlight w:val="none"/>
                <w:lang w:val="en-US" w:eastAsia="zh-CN"/>
              </w:rPr>
              <w:t>68</w:t>
            </w:r>
          </w:p>
        </w:tc>
        <w:tc>
          <w:tcPr>
            <w:tcW w:w="953" w:type="pct"/>
            <w:noWrap w:val="0"/>
            <w:vAlign w:val="center"/>
          </w:tcPr>
          <w:p w14:paraId="4D0B76D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highlight w:val="none"/>
                <w:lang w:val="en-US" w:eastAsia="zh-CN"/>
              </w:rPr>
            </w:pPr>
            <w:r>
              <w:rPr>
                <w:rFonts w:hint="eastAsia"/>
                <w:color w:val="auto"/>
                <w:sz w:val="21"/>
                <w:szCs w:val="21"/>
                <w:highlight w:val="none"/>
                <w:lang w:val="en-US" w:eastAsia="zh-CN"/>
              </w:rPr>
              <w:t>200</w:t>
            </w:r>
          </w:p>
        </w:tc>
        <w:tc>
          <w:tcPr>
            <w:tcW w:w="947" w:type="pct"/>
            <w:noWrap w:val="0"/>
            <w:vAlign w:val="center"/>
          </w:tcPr>
          <w:p w14:paraId="42AA8E5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highlight w:val="none"/>
                <w:lang w:val="en-US" w:eastAsia="zh-CN"/>
              </w:rPr>
            </w:pPr>
            <w:r>
              <w:rPr>
                <w:rFonts w:hint="eastAsia"/>
                <w:color w:val="auto"/>
                <w:sz w:val="21"/>
                <w:szCs w:val="21"/>
                <w:highlight w:val="none"/>
                <w:lang w:val="en-US" w:eastAsia="zh-CN"/>
              </w:rPr>
              <w:t>270</w:t>
            </w:r>
          </w:p>
        </w:tc>
        <w:tc>
          <w:tcPr>
            <w:tcW w:w="944" w:type="pct"/>
            <w:noWrap w:val="0"/>
            <w:vAlign w:val="center"/>
          </w:tcPr>
          <w:p w14:paraId="7F0BBE9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highlight w:val="none"/>
                <w:lang w:val="en-US" w:eastAsia="zh-CN"/>
              </w:rPr>
            </w:pPr>
            <w:r>
              <w:rPr>
                <w:rFonts w:hint="eastAsia"/>
                <w:color w:val="auto"/>
                <w:sz w:val="21"/>
                <w:szCs w:val="21"/>
                <w:highlight w:val="none"/>
                <w:lang w:val="en-US" w:eastAsia="zh-CN"/>
              </w:rPr>
              <w:t>1000</w:t>
            </w:r>
          </w:p>
        </w:tc>
      </w:tr>
      <w:tr w14:paraId="64E74E3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trPr>
        <w:tc>
          <w:tcPr>
            <w:tcW w:w="1118" w:type="pct"/>
            <w:noWrap w:val="0"/>
            <w:vAlign w:val="center"/>
          </w:tcPr>
          <w:p w14:paraId="719EE19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highlight w:val="none"/>
                <w:lang w:val="en-US" w:eastAsia="zh-CN"/>
              </w:rPr>
            </w:pPr>
            <w:r>
              <w:rPr>
                <w:rFonts w:hint="eastAsia"/>
                <w:color w:val="auto"/>
                <w:sz w:val="21"/>
                <w:szCs w:val="21"/>
                <w:highlight w:val="none"/>
                <w:lang w:val="en-US" w:eastAsia="zh-CN"/>
              </w:rPr>
              <w:t>1,2-二氯苯</w:t>
            </w:r>
          </w:p>
        </w:tc>
        <w:tc>
          <w:tcPr>
            <w:tcW w:w="1037" w:type="pct"/>
            <w:noWrap w:val="0"/>
            <w:vAlign w:val="center"/>
          </w:tcPr>
          <w:p w14:paraId="5B07FB8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highlight w:val="none"/>
                <w:lang w:val="en-US" w:eastAsia="zh-CN"/>
              </w:rPr>
            </w:pPr>
            <w:r>
              <w:rPr>
                <w:rFonts w:hint="eastAsia"/>
                <w:color w:val="auto"/>
                <w:sz w:val="21"/>
                <w:szCs w:val="21"/>
                <w:highlight w:val="none"/>
                <w:lang w:val="en-US" w:eastAsia="zh-CN"/>
              </w:rPr>
              <w:t>560</w:t>
            </w:r>
          </w:p>
        </w:tc>
        <w:tc>
          <w:tcPr>
            <w:tcW w:w="953" w:type="pct"/>
            <w:noWrap w:val="0"/>
            <w:vAlign w:val="center"/>
          </w:tcPr>
          <w:p w14:paraId="10ED621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highlight w:val="none"/>
                <w:lang w:val="en-US" w:eastAsia="zh-CN"/>
              </w:rPr>
            </w:pPr>
            <w:r>
              <w:rPr>
                <w:rFonts w:hint="eastAsia"/>
                <w:color w:val="auto"/>
                <w:sz w:val="21"/>
                <w:szCs w:val="21"/>
                <w:highlight w:val="none"/>
                <w:lang w:val="en-US" w:eastAsia="zh-CN"/>
              </w:rPr>
              <w:t>560</w:t>
            </w:r>
          </w:p>
        </w:tc>
        <w:tc>
          <w:tcPr>
            <w:tcW w:w="947" w:type="pct"/>
            <w:noWrap w:val="0"/>
            <w:vAlign w:val="center"/>
          </w:tcPr>
          <w:p w14:paraId="6065857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highlight w:val="none"/>
                <w:lang w:val="en-US" w:eastAsia="zh-CN"/>
              </w:rPr>
            </w:pPr>
            <w:r>
              <w:rPr>
                <w:rFonts w:hint="eastAsia"/>
                <w:color w:val="auto"/>
                <w:sz w:val="21"/>
                <w:szCs w:val="21"/>
                <w:highlight w:val="none"/>
                <w:lang w:val="en-US" w:eastAsia="zh-CN"/>
              </w:rPr>
              <w:t>560</w:t>
            </w:r>
          </w:p>
        </w:tc>
        <w:tc>
          <w:tcPr>
            <w:tcW w:w="944" w:type="pct"/>
            <w:noWrap w:val="0"/>
            <w:vAlign w:val="center"/>
          </w:tcPr>
          <w:p w14:paraId="6D668F4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highlight w:val="none"/>
                <w:lang w:val="en-US" w:eastAsia="zh-CN"/>
              </w:rPr>
            </w:pPr>
            <w:r>
              <w:rPr>
                <w:rFonts w:hint="eastAsia"/>
                <w:color w:val="auto"/>
                <w:sz w:val="21"/>
                <w:szCs w:val="21"/>
                <w:highlight w:val="none"/>
                <w:lang w:val="en-US" w:eastAsia="zh-CN"/>
              </w:rPr>
              <w:t>560</w:t>
            </w:r>
          </w:p>
        </w:tc>
      </w:tr>
      <w:tr w14:paraId="70A26D3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trPr>
        <w:tc>
          <w:tcPr>
            <w:tcW w:w="1118" w:type="pct"/>
            <w:noWrap w:val="0"/>
            <w:vAlign w:val="center"/>
          </w:tcPr>
          <w:p w14:paraId="6133D4C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highlight w:val="none"/>
                <w:lang w:val="en-US" w:eastAsia="zh-CN"/>
              </w:rPr>
            </w:pPr>
            <w:r>
              <w:rPr>
                <w:rFonts w:hint="eastAsia"/>
                <w:color w:val="auto"/>
                <w:sz w:val="21"/>
                <w:szCs w:val="21"/>
                <w:highlight w:val="none"/>
                <w:lang w:val="en-US" w:eastAsia="zh-CN"/>
              </w:rPr>
              <w:t>1,4-二氯苯</w:t>
            </w:r>
          </w:p>
        </w:tc>
        <w:tc>
          <w:tcPr>
            <w:tcW w:w="1037" w:type="pct"/>
            <w:noWrap w:val="0"/>
            <w:vAlign w:val="center"/>
          </w:tcPr>
          <w:p w14:paraId="785334D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highlight w:val="none"/>
                <w:lang w:val="en-US" w:eastAsia="zh-CN"/>
              </w:rPr>
            </w:pPr>
            <w:r>
              <w:rPr>
                <w:rFonts w:hint="eastAsia"/>
                <w:color w:val="auto"/>
                <w:sz w:val="21"/>
                <w:szCs w:val="21"/>
                <w:highlight w:val="none"/>
                <w:lang w:val="en-US" w:eastAsia="zh-CN"/>
              </w:rPr>
              <w:t>5.6</w:t>
            </w:r>
          </w:p>
        </w:tc>
        <w:tc>
          <w:tcPr>
            <w:tcW w:w="953" w:type="pct"/>
            <w:noWrap w:val="0"/>
            <w:vAlign w:val="center"/>
          </w:tcPr>
          <w:p w14:paraId="7F948FB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highlight w:val="none"/>
                <w:lang w:val="en-US" w:eastAsia="zh-CN"/>
              </w:rPr>
            </w:pPr>
            <w:r>
              <w:rPr>
                <w:rFonts w:hint="eastAsia"/>
                <w:color w:val="auto"/>
                <w:sz w:val="21"/>
                <w:szCs w:val="21"/>
                <w:highlight w:val="none"/>
                <w:lang w:val="en-US" w:eastAsia="zh-CN"/>
              </w:rPr>
              <w:t>56</w:t>
            </w:r>
          </w:p>
        </w:tc>
        <w:tc>
          <w:tcPr>
            <w:tcW w:w="947" w:type="pct"/>
            <w:noWrap w:val="0"/>
            <w:vAlign w:val="center"/>
          </w:tcPr>
          <w:p w14:paraId="2022C94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highlight w:val="none"/>
                <w:lang w:val="en-US" w:eastAsia="zh-CN"/>
              </w:rPr>
            </w:pPr>
            <w:r>
              <w:rPr>
                <w:rFonts w:hint="eastAsia"/>
                <w:color w:val="auto"/>
                <w:sz w:val="21"/>
                <w:szCs w:val="21"/>
                <w:highlight w:val="none"/>
                <w:lang w:val="en-US" w:eastAsia="zh-CN"/>
              </w:rPr>
              <w:t>20</w:t>
            </w:r>
          </w:p>
        </w:tc>
        <w:tc>
          <w:tcPr>
            <w:tcW w:w="944" w:type="pct"/>
            <w:noWrap w:val="0"/>
            <w:vAlign w:val="center"/>
          </w:tcPr>
          <w:p w14:paraId="4C21FCB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highlight w:val="none"/>
                <w:lang w:val="en-US" w:eastAsia="zh-CN"/>
              </w:rPr>
            </w:pPr>
            <w:r>
              <w:rPr>
                <w:rFonts w:hint="eastAsia"/>
                <w:color w:val="auto"/>
                <w:sz w:val="21"/>
                <w:szCs w:val="21"/>
                <w:highlight w:val="none"/>
                <w:lang w:val="en-US" w:eastAsia="zh-CN"/>
              </w:rPr>
              <w:t>200</w:t>
            </w:r>
          </w:p>
        </w:tc>
      </w:tr>
      <w:tr w14:paraId="34507D5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trPr>
        <w:tc>
          <w:tcPr>
            <w:tcW w:w="1118" w:type="pct"/>
            <w:noWrap w:val="0"/>
            <w:vAlign w:val="center"/>
          </w:tcPr>
          <w:p w14:paraId="3FFC657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highlight w:val="none"/>
                <w:lang w:val="en-US" w:eastAsia="zh-CN"/>
              </w:rPr>
            </w:pPr>
            <w:r>
              <w:rPr>
                <w:rFonts w:hint="eastAsia"/>
                <w:color w:val="auto"/>
                <w:sz w:val="21"/>
                <w:szCs w:val="21"/>
                <w:highlight w:val="none"/>
                <w:lang w:val="en-US" w:eastAsia="zh-CN"/>
              </w:rPr>
              <w:t>乙苯</w:t>
            </w:r>
          </w:p>
        </w:tc>
        <w:tc>
          <w:tcPr>
            <w:tcW w:w="1037" w:type="pct"/>
            <w:noWrap w:val="0"/>
            <w:vAlign w:val="center"/>
          </w:tcPr>
          <w:p w14:paraId="49FF7DE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highlight w:val="none"/>
                <w:lang w:val="en-US" w:eastAsia="zh-CN"/>
              </w:rPr>
            </w:pPr>
            <w:r>
              <w:rPr>
                <w:rFonts w:hint="eastAsia"/>
                <w:color w:val="auto"/>
                <w:sz w:val="21"/>
                <w:szCs w:val="21"/>
                <w:highlight w:val="none"/>
                <w:lang w:val="en-US" w:eastAsia="zh-CN"/>
              </w:rPr>
              <w:t>7.2</w:t>
            </w:r>
          </w:p>
        </w:tc>
        <w:tc>
          <w:tcPr>
            <w:tcW w:w="953" w:type="pct"/>
            <w:noWrap w:val="0"/>
            <w:vAlign w:val="center"/>
          </w:tcPr>
          <w:p w14:paraId="0E30E90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highlight w:val="none"/>
                <w:lang w:val="en-US" w:eastAsia="zh-CN"/>
              </w:rPr>
            </w:pPr>
            <w:r>
              <w:rPr>
                <w:rFonts w:hint="eastAsia"/>
                <w:color w:val="auto"/>
                <w:sz w:val="21"/>
                <w:szCs w:val="21"/>
                <w:highlight w:val="none"/>
                <w:lang w:val="en-US" w:eastAsia="zh-CN"/>
              </w:rPr>
              <w:t>72</w:t>
            </w:r>
          </w:p>
        </w:tc>
        <w:tc>
          <w:tcPr>
            <w:tcW w:w="947" w:type="pct"/>
            <w:noWrap w:val="0"/>
            <w:vAlign w:val="center"/>
          </w:tcPr>
          <w:p w14:paraId="598079C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highlight w:val="none"/>
                <w:lang w:val="en-US" w:eastAsia="zh-CN"/>
              </w:rPr>
            </w:pPr>
            <w:r>
              <w:rPr>
                <w:rFonts w:hint="eastAsia"/>
                <w:color w:val="auto"/>
                <w:sz w:val="21"/>
                <w:szCs w:val="21"/>
                <w:highlight w:val="none"/>
                <w:lang w:val="en-US" w:eastAsia="zh-CN"/>
              </w:rPr>
              <w:t>28</w:t>
            </w:r>
          </w:p>
        </w:tc>
        <w:tc>
          <w:tcPr>
            <w:tcW w:w="944" w:type="pct"/>
            <w:noWrap w:val="0"/>
            <w:vAlign w:val="center"/>
          </w:tcPr>
          <w:p w14:paraId="4401887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highlight w:val="none"/>
                <w:lang w:val="en-US" w:eastAsia="zh-CN"/>
              </w:rPr>
            </w:pPr>
            <w:r>
              <w:rPr>
                <w:rFonts w:hint="eastAsia"/>
                <w:color w:val="auto"/>
                <w:sz w:val="21"/>
                <w:szCs w:val="21"/>
                <w:highlight w:val="none"/>
                <w:lang w:val="en-US" w:eastAsia="zh-CN"/>
              </w:rPr>
              <w:t>280</w:t>
            </w:r>
          </w:p>
        </w:tc>
      </w:tr>
      <w:tr w14:paraId="6A14FF2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trPr>
        <w:tc>
          <w:tcPr>
            <w:tcW w:w="1118" w:type="pct"/>
            <w:noWrap w:val="0"/>
            <w:vAlign w:val="center"/>
          </w:tcPr>
          <w:p w14:paraId="7EB203B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highlight w:val="none"/>
                <w:lang w:val="en-US" w:eastAsia="zh-CN"/>
              </w:rPr>
            </w:pPr>
            <w:r>
              <w:rPr>
                <w:rFonts w:hint="eastAsia"/>
                <w:color w:val="auto"/>
                <w:sz w:val="21"/>
                <w:szCs w:val="21"/>
                <w:highlight w:val="none"/>
                <w:lang w:val="en-US" w:eastAsia="zh-CN"/>
              </w:rPr>
              <w:t>苯乙烯</w:t>
            </w:r>
          </w:p>
        </w:tc>
        <w:tc>
          <w:tcPr>
            <w:tcW w:w="1037" w:type="pct"/>
            <w:noWrap w:val="0"/>
            <w:vAlign w:val="center"/>
          </w:tcPr>
          <w:p w14:paraId="10ACAF9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highlight w:val="none"/>
                <w:lang w:val="en-US" w:eastAsia="zh-CN"/>
              </w:rPr>
            </w:pPr>
            <w:r>
              <w:rPr>
                <w:rFonts w:hint="eastAsia"/>
                <w:color w:val="auto"/>
                <w:sz w:val="21"/>
                <w:szCs w:val="21"/>
                <w:highlight w:val="none"/>
                <w:lang w:val="en-US" w:eastAsia="zh-CN"/>
              </w:rPr>
              <w:t>1290</w:t>
            </w:r>
          </w:p>
        </w:tc>
        <w:tc>
          <w:tcPr>
            <w:tcW w:w="953" w:type="pct"/>
            <w:noWrap w:val="0"/>
            <w:vAlign w:val="center"/>
          </w:tcPr>
          <w:p w14:paraId="6C114A8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highlight w:val="none"/>
                <w:lang w:val="en-US" w:eastAsia="zh-CN"/>
              </w:rPr>
            </w:pPr>
            <w:r>
              <w:rPr>
                <w:rFonts w:hint="eastAsia"/>
                <w:color w:val="auto"/>
                <w:sz w:val="21"/>
                <w:szCs w:val="21"/>
                <w:highlight w:val="none"/>
                <w:lang w:val="en-US" w:eastAsia="zh-CN"/>
              </w:rPr>
              <w:t>1290</w:t>
            </w:r>
          </w:p>
        </w:tc>
        <w:tc>
          <w:tcPr>
            <w:tcW w:w="947" w:type="pct"/>
            <w:noWrap w:val="0"/>
            <w:vAlign w:val="center"/>
          </w:tcPr>
          <w:p w14:paraId="0A36A03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highlight w:val="none"/>
                <w:lang w:val="en-US" w:eastAsia="zh-CN"/>
              </w:rPr>
            </w:pPr>
            <w:r>
              <w:rPr>
                <w:rFonts w:hint="eastAsia"/>
                <w:color w:val="auto"/>
                <w:sz w:val="21"/>
                <w:szCs w:val="21"/>
                <w:highlight w:val="none"/>
                <w:lang w:val="en-US" w:eastAsia="zh-CN"/>
              </w:rPr>
              <w:t>1290</w:t>
            </w:r>
          </w:p>
        </w:tc>
        <w:tc>
          <w:tcPr>
            <w:tcW w:w="944" w:type="pct"/>
            <w:noWrap w:val="0"/>
            <w:vAlign w:val="center"/>
          </w:tcPr>
          <w:p w14:paraId="26C7828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highlight w:val="none"/>
                <w:lang w:val="en-US" w:eastAsia="zh-CN"/>
              </w:rPr>
            </w:pPr>
            <w:r>
              <w:rPr>
                <w:rFonts w:hint="eastAsia"/>
                <w:color w:val="auto"/>
                <w:sz w:val="21"/>
                <w:szCs w:val="21"/>
                <w:highlight w:val="none"/>
                <w:lang w:val="en-US" w:eastAsia="zh-CN"/>
              </w:rPr>
              <w:t>1290</w:t>
            </w:r>
          </w:p>
        </w:tc>
      </w:tr>
      <w:tr w14:paraId="0292BED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trPr>
        <w:tc>
          <w:tcPr>
            <w:tcW w:w="1118" w:type="pct"/>
            <w:noWrap w:val="0"/>
            <w:vAlign w:val="center"/>
          </w:tcPr>
          <w:p w14:paraId="014C60B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highlight w:val="none"/>
                <w:lang w:val="en-US" w:eastAsia="zh-CN"/>
              </w:rPr>
            </w:pPr>
            <w:r>
              <w:rPr>
                <w:rFonts w:hint="eastAsia"/>
                <w:color w:val="auto"/>
                <w:sz w:val="21"/>
                <w:szCs w:val="21"/>
                <w:highlight w:val="none"/>
                <w:lang w:val="en-US" w:eastAsia="zh-CN"/>
              </w:rPr>
              <w:t>甲苯</w:t>
            </w:r>
          </w:p>
        </w:tc>
        <w:tc>
          <w:tcPr>
            <w:tcW w:w="1037" w:type="pct"/>
            <w:noWrap w:val="0"/>
            <w:vAlign w:val="center"/>
          </w:tcPr>
          <w:p w14:paraId="2FB3E3B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highlight w:val="none"/>
                <w:lang w:val="en-US" w:eastAsia="zh-CN"/>
              </w:rPr>
            </w:pPr>
            <w:r>
              <w:rPr>
                <w:rFonts w:hint="eastAsia"/>
                <w:color w:val="auto"/>
                <w:sz w:val="21"/>
                <w:szCs w:val="21"/>
                <w:highlight w:val="none"/>
                <w:lang w:val="en-US" w:eastAsia="zh-CN"/>
              </w:rPr>
              <w:t>1200</w:t>
            </w:r>
          </w:p>
        </w:tc>
        <w:tc>
          <w:tcPr>
            <w:tcW w:w="953" w:type="pct"/>
            <w:noWrap w:val="0"/>
            <w:vAlign w:val="center"/>
          </w:tcPr>
          <w:p w14:paraId="042C064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highlight w:val="none"/>
                <w:lang w:val="en-US" w:eastAsia="zh-CN"/>
              </w:rPr>
            </w:pPr>
            <w:r>
              <w:rPr>
                <w:rFonts w:hint="eastAsia"/>
                <w:color w:val="auto"/>
                <w:sz w:val="21"/>
                <w:szCs w:val="21"/>
                <w:highlight w:val="none"/>
                <w:lang w:val="en-US" w:eastAsia="zh-CN"/>
              </w:rPr>
              <w:t>1200</w:t>
            </w:r>
          </w:p>
        </w:tc>
        <w:tc>
          <w:tcPr>
            <w:tcW w:w="947" w:type="pct"/>
            <w:noWrap w:val="0"/>
            <w:vAlign w:val="center"/>
          </w:tcPr>
          <w:p w14:paraId="23DF66C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highlight w:val="none"/>
                <w:lang w:val="en-US" w:eastAsia="zh-CN"/>
              </w:rPr>
            </w:pPr>
            <w:r>
              <w:rPr>
                <w:rFonts w:hint="eastAsia"/>
                <w:color w:val="auto"/>
                <w:sz w:val="21"/>
                <w:szCs w:val="21"/>
                <w:highlight w:val="none"/>
                <w:lang w:val="en-US" w:eastAsia="zh-CN"/>
              </w:rPr>
              <w:t>1200</w:t>
            </w:r>
          </w:p>
        </w:tc>
        <w:tc>
          <w:tcPr>
            <w:tcW w:w="944" w:type="pct"/>
            <w:noWrap w:val="0"/>
            <w:vAlign w:val="center"/>
          </w:tcPr>
          <w:p w14:paraId="2A3AF7D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highlight w:val="none"/>
                <w:lang w:val="en-US" w:eastAsia="zh-CN"/>
              </w:rPr>
            </w:pPr>
            <w:r>
              <w:rPr>
                <w:rFonts w:hint="eastAsia"/>
                <w:color w:val="auto"/>
                <w:sz w:val="21"/>
                <w:szCs w:val="21"/>
                <w:highlight w:val="none"/>
                <w:lang w:val="en-US" w:eastAsia="zh-CN"/>
              </w:rPr>
              <w:t>1200</w:t>
            </w:r>
          </w:p>
        </w:tc>
      </w:tr>
      <w:tr w14:paraId="6126178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trPr>
        <w:tc>
          <w:tcPr>
            <w:tcW w:w="1118" w:type="pct"/>
            <w:noWrap w:val="0"/>
            <w:vAlign w:val="center"/>
          </w:tcPr>
          <w:p w14:paraId="6683947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highlight w:val="none"/>
                <w:lang w:val="en-US" w:eastAsia="zh-CN"/>
              </w:rPr>
            </w:pPr>
            <w:r>
              <w:rPr>
                <w:rFonts w:hint="eastAsia"/>
                <w:color w:val="auto"/>
                <w:sz w:val="21"/>
                <w:szCs w:val="21"/>
                <w:highlight w:val="none"/>
                <w:lang w:val="en-US" w:eastAsia="zh-CN"/>
              </w:rPr>
              <w:t>间二甲苯+对二甲苯</w:t>
            </w:r>
          </w:p>
        </w:tc>
        <w:tc>
          <w:tcPr>
            <w:tcW w:w="1037" w:type="pct"/>
            <w:noWrap w:val="0"/>
            <w:vAlign w:val="center"/>
          </w:tcPr>
          <w:p w14:paraId="50FC3D1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highlight w:val="none"/>
                <w:lang w:val="en-US" w:eastAsia="zh-CN"/>
              </w:rPr>
            </w:pPr>
            <w:r>
              <w:rPr>
                <w:rFonts w:hint="eastAsia"/>
                <w:color w:val="auto"/>
                <w:sz w:val="21"/>
                <w:szCs w:val="21"/>
                <w:highlight w:val="none"/>
                <w:lang w:val="en-US" w:eastAsia="zh-CN"/>
              </w:rPr>
              <w:t>163</w:t>
            </w:r>
          </w:p>
        </w:tc>
        <w:tc>
          <w:tcPr>
            <w:tcW w:w="953" w:type="pct"/>
            <w:noWrap w:val="0"/>
            <w:vAlign w:val="center"/>
          </w:tcPr>
          <w:p w14:paraId="0B3F957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highlight w:val="none"/>
                <w:lang w:val="en-US" w:eastAsia="zh-CN"/>
              </w:rPr>
            </w:pPr>
            <w:r>
              <w:rPr>
                <w:rFonts w:hint="eastAsia"/>
                <w:color w:val="auto"/>
                <w:sz w:val="21"/>
                <w:szCs w:val="21"/>
                <w:highlight w:val="none"/>
                <w:lang w:val="en-US" w:eastAsia="zh-CN"/>
              </w:rPr>
              <w:t>500</w:t>
            </w:r>
          </w:p>
        </w:tc>
        <w:tc>
          <w:tcPr>
            <w:tcW w:w="947" w:type="pct"/>
            <w:noWrap w:val="0"/>
            <w:vAlign w:val="center"/>
          </w:tcPr>
          <w:p w14:paraId="05D4D9B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highlight w:val="none"/>
                <w:lang w:val="en-US" w:eastAsia="zh-CN"/>
              </w:rPr>
            </w:pPr>
            <w:r>
              <w:rPr>
                <w:rFonts w:hint="eastAsia"/>
                <w:color w:val="auto"/>
                <w:sz w:val="21"/>
                <w:szCs w:val="21"/>
                <w:highlight w:val="none"/>
                <w:lang w:val="en-US" w:eastAsia="zh-CN"/>
              </w:rPr>
              <w:t>570</w:t>
            </w:r>
          </w:p>
        </w:tc>
        <w:tc>
          <w:tcPr>
            <w:tcW w:w="944" w:type="pct"/>
            <w:noWrap w:val="0"/>
            <w:vAlign w:val="center"/>
          </w:tcPr>
          <w:p w14:paraId="37E3E6B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highlight w:val="none"/>
                <w:lang w:val="en-US" w:eastAsia="zh-CN"/>
              </w:rPr>
            </w:pPr>
            <w:r>
              <w:rPr>
                <w:rFonts w:hint="eastAsia"/>
                <w:color w:val="auto"/>
                <w:sz w:val="21"/>
                <w:szCs w:val="21"/>
                <w:highlight w:val="none"/>
                <w:lang w:val="en-US" w:eastAsia="zh-CN"/>
              </w:rPr>
              <w:t>570</w:t>
            </w:r>
          </w:p>
        </w:tc>
      </w:tr>
      <w:tr w14:paraId="1C9CC65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trPr>
        <w:tc>
          <w:tcPr>
            <w:tcW w:w="1118" w:type="pct"/>
            <w:noWrap w:val="0"/>
            <w:vAlign w:val="center"/>
          </w:tcPr>
          <w:p w14:paraId="257ABB9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highlight w:val="none"/>
                <w:lang w:val="en-US" w:eastAsia="zh-CN"/>
              </w:rPr>
            </w:pPr>
            <w:r>
              <w:rPr>
                <w:rFonts w:hint="eastAsia"/>
                <w:color w:val="auto"/>
                <w:sz w:val="21"/>
                <w:szCs w:val="21"/>
                <w:highlight w:val="none"/>
                <w:lang w:val="en-US" w:eastAsia="zh-CN"/>
              </w:rPr>
              <w:t>邻二甲苯</w:t>
            </w:r>
          </w:p>
        </w:tc>
        <w:tc>
          <w:tcPr>
            <w:tcW w:w="1037" w:type="pct"/>
            <w:noWrap w:val="0"/>
            <w:vAlign w:val="center"/>
          </w:tcPr>
          <w:p w14:paraId="20DE7B6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highlight w:val="none"/>
                <w:lang w:val="en-US" w:eastAsia="zh-CN"/>
              </w:rPr>
            </w:pPr>
            <w:r>
              <w:rPr>
                <w:rFonts w:hint="eastAsia"/>
                <w:color w:val="auto"/>
                <w:sz w:val="21"/>
                <w:szCs w:val="21"/>
                <w:highlight w:val="none"/>
                <w:lang w:val="en-US" w:eastAsia="zh-CN"/>
              </w:rPr>
              <w:t>222</w:t>
            </w:r>
          </w:p>
        </w:tc>
        <w:tc>
          <w:tcPr>
            <w:tcW w:w="953" w:type="pct"/>
            <w:noWrap w:val="0"/>
            <w:vAlign w:val="center"/>
          </w:tcPr>
          <w:p w14:paraId="40CB504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highlight w:val="none"/>
                <w:lang w:val="en-US" w:eastAsia="zh-CN"/>
              </w:rPr>
            </w:pPr>
            <w:r>
              <w:rPr>
                <w:rFonts w:hint="eastAsia"/>
                <w:color w:val="auto"/>
                <w:sz w:val="21"/>
                <w:szCs w:val="21"/>
                <w:highlight w:val="none"/>
                <w:lang w:val="en-US" w:eastAsia="zh-CN"/>
              </w:rPr>
              <w:t>640</w:t>
            </w:r>
          </w:p>
        </w:tc>
        <w:tc>
          <w:tcPr>
            <w:tcW w:w="947" w:type="pct"/>
            <w:noWrap w:val="0"/>
            <w:vAlign w:val="center"/>
          </w:tcPr>
          <w:p w14:paraId="736BC93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highlight w:val="none"/>
                <w:lang w:val="en-US" w:eastAsia="zh-CN"/>
              </w:rPr>
            </w:pPr>
            <w:r>
              <w:rPr>
                <w:rFonts w:hint="eastAsia"/>
                <w:color w:val="auto"/>
                <w:sz w:val="21"/>
                <w:szCs w:val="21"/>
                <w:highlight w:val="none"/>
                <w:lang w:val="en-US" w:eastAsia="zh-CN"/>
              </w:rPr>
              <w:t>640</w:t>
            </w:r>
          </w:p>
        </w:tc>
        <w:tc>
          <w:tcPr>
            <w:tcW w:w="944" w:type="pct"/>
            <w:noWrap w:val="0"/>
            <w:vAlign w:val="center"/>
          </w:tcPr>
          <w:p w14:paraId="7D98DD9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highlight w:val="none"/>
                <w:lang w:val="en-US" w:eastAsia="zh-CN"/>
              </w:rPr>
            </w:pPr>
            <w:r>
              <w:rPr>
                <w:rFonts w:hint="eastAsia"/>
                <w:color w:val="auto"/>
                <w:sz w:val="21"/>
                <w:szCs w:val="21"/>
                <w:highlight w:val="none"/>
                <w:lang w:val="en-US" w:eastAsia="zh-CN"/>
              </w:rPr>
              <w:t>640</w:t>
            </w:r>
          </w:p>
        </w:tc>
      </w:tr>
      <w:tr w14:paraId="74C5889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trPr>
        <w:tc>
          <w:tcPr>
            <w:tcW w:w="1118" w:type="pct"/>
            <w:noWrap w:val="0"/>
            <w:vAlign w:val="center"/>
          </w:tcPr>
          <w:p w14:paraId="19F5A1F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highlight w:val="none"/>
                <w:lang w:val="en-US" w:eastAsia="zh-CN"/>
              </w:rPr>
            </w:pPr>
            <w:r>
              <w:rPr>
                <w:rFonts w:hint="eastAsia"/>
                <w:color w:val="auto"/>
                <w:sz w:val="21"/>
                <w:szCs w:val="21"/>
                <w:highlight w:val="none"/>
                <w:lang w:val="en-US" w:eastAsia="zh-CN"/>
              </w:rPr>
              <w:t>硝基苯</w:t>
            </w:r>
          </w:p>
        </w:tc>
        <w:tc>
          <w:tcPr>
            <w:tcW w:w="1037" w:type="pct"/>
            <w:noWrap w:val="0"/>
            <w:vAlign w:val="center"/>
          </w:tcPr>
          <w:p w14:paraId="5FC4992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highlight w:val="none"/>
                <w:lang w:val="en-US" w:eastAsia="zh-CN"/>
              </w:rPr>
            </w:pPr>
            <w:r>
              <w:rPr>
                <w:rFonts w:hint="eastAsia"/>
                <w:color w:val="auto"/>
                <w:sz w:val="21"/>
                <w:szCs w:val="21"/>
                <w:highlight w:val="none"/>
                <w:lang w:val="en-US" w:eastAsia="zh-CN"/>
              </w:rPr>
              <w:t>34</w:t>
            </w:r>
          </w:p>
        </w:tc>
        <w:tc>
          <w:tcPr>
            <w:tcW w:w="953" w:type="pct"/>
            <w:noWrap w:val="0"/>
            <w:vAlign w:val="center"/>
          </w:tcPr>
          <w:p w14:paraId="1EE741E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highlight w:val="none"/>
                <w:lang w:val="en-US" w:eastAsia="zh-CN"/>
              </w:rPr>
            </w:pPr>
            <w:r>
              <w:rPr>
                <w:rFonts w:hint="eastAsia"/>
                <w:color w:val="auto"/>
                <w:sz w:val="21"/>
                <w:szCs w:val="21"/>
                <w:highlight w:val="none"/>
                <w:lang w:val="en-US" w:eastAsia="zh-CN"/>
              </w:rPr>
              <w:t>190</w:t>
            </w:r>
          </w:p>
        </w:tc>
        <w:tc>
          <w:tcPr>
            <w:tcW w:w="947" w:type="pct"/>
            <w:noWrap w:val="0"/>
            <w:vAlign w:val="center"/>
          </w:tcPr>
          <w:p w14:paraId="14F265F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highlight w:val="none"/>
                <w:lang w:val="en-US" w:eastAsia="zh-CN"/>
              </w:rPr>
            </w:pPr>
            <w:r>
              <w:rPr>
                <w:rFonts w:hint="eastAsia"/>
                <w:color w:val="auto"/>
                <w:sz w:val="21"/>
                <w:szCs w:val="21"/>
                <w:highlight w:val="none"/>
                <w:lang w:val="en-US" w:eastAsia="zh-CN"/>
              </w:rPr>
              <w:t>76</w:t>
            </w:r>
          </w:p>
        </w:tc>
        <w:tc>
          <w:tcPr>
            <w:tcW w:w="944" w:type="pct"/>
            <w:noWrap w:val="0"/>
            <w:vAlign w:val="center"/>
          </w:tcPr>
          <w:p w14:paraId="01C252C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highlight w:val="none"/>
                <w:lang w:val="en-US" w:eastAsia="zh-CN"/>
              </w:rPr>
            </w:pPr>
            <w:r>
              <w:rPr>
                <w:rFonts w:hint="eastAsia"/>
                <w:color w:val="auto"/>
                <w:sz w:val="21"/>
                <w:szCs w:val="21"/>
                <w:highlight w:val="none"/>
                <w:lang w:val="en-US" w:eastAsia="zh-CN"/>
              </w:rPr>
              <w:t>760</w:t>
            </w:r>
          </w:p>
        </w:tc>
      </w:tr>
      <w:tr w14:paraId="1451960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trPr>
        <w:tc>
          <w:tcPr>
            <w:tcW w:w="1118" w:type="pct"/>
            <w:noWrap w:val="0"/>
            <w:vAlign w:val="center"/>
          </w:tcPr>
          <w:p w14:paraId="1D79208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highlight w:val="none"/>
                <w:lang w:val="en-US" w:eastAsia="zh-CN"/>
              </w:rPr>
            </w:pPr>
            <w:r>
              <w:rPr>
                <w:rFonts w:hint="eastAsia"/>
                <w:color w:val="auto"/>
                <w:sz w:val="21"/>
                <w:szCs w:val="21"/>
                <w:highlight w:val="none"/>
                <w:lang w:val="en-US" w:eastAsia="zh-CN"/>
              </w:rPr>
              <w:t>苯胺</w:t>
            </w:r>
          </w:p>
        </w:tc>
        <w:tc>
          <w:tcPr>
            <w:tcW w:w="1037" w:type="pct"/>
            <w:noWrap w:val="0"/>
            <w:vAlign w:val="center"/>
          </w:tcPr>
          <w:p w14:paraId="3613BD2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highlight w:val="none"/>
                <w:lang w:val="en-US" w:eastAsia="zh-CN"/>
              </w:rPr>
            </w:pPr>
            <w:r>
              <w:rPr>
                <w:rFonts w:hint="eastAsia"/>
                <w:color w:val="auto"/>
                <w:sz w:val="21"/>
                <w:szCs w:val="21"/>
                <w:highlight w:val="none"/>
                <w:lang w:val="en-US" w:eastAsia="zh-CN"/>
              </w:rPr>
              <w:t>92</w:t>
            </w:r>
          </w:p>
        </w:tc>
        <w:tc>
          <w:tcPr>
            <w:tcW w:w="953" w:type="pct"/>
            <w:noWrap w:val="0"/>
            <w:vAlign w:val="center"/>
          </w:tcPr>
          <w:p w14:paraId="0655D7D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highlight w:val="none"/>
                <w:lang w:val="en-US" w:eastAsia="zh-CN"/>
              </w:rPr>
            </w:pPr>
            <w:r>
              <w:rPr>
                <w:rFonts w:hint="eastAsia"/>
                <w:color w:val="auto"/>
                <w:sz w:val="21"/>
                <w:szCs w:val="21"/>
                <w:highlight w:val="none"/>
                <w:lang w:val="en-US" w:eastAsia="zh-CN"/>
              </w:rPr>
              <w:t>211</w:t>
            </w:r>
          </w:p>
        </w:tc>
        <w:tc>
          <w:tcPr>
            <w:tcW w:w="947" w:type="pct"/>
            <w:noWrap w:val="0"/>
            <w:vAlign w:val="center"/>
          </w:tcPr>
          <w:p w14:paraId="61E3795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highlight w:val="none"/>
                <w:lang w:val="en-US" w:eastAsia="zh-CN"/>
              </w:rPr>
            </w:pPr>
            <w:r>
              <w:rPr>
                <w:rFonts w:hint="eastAsia"/>
                <w:color w:val="auto"/>
                <w:sz w:val="21"/>
                <w:szCs w:val="21"/>
                <w:highlight w:val="none"/>
                <w:lang w:val="en-US" w:eastAsia="zh-CN"/>
              </w:rPr>
              <w:t>260</w:t>
            </w:r>
          </w:p>
        </w:tc>
        <w:tc>
          <w:tcPr>
            <w:tcW w:w="944" w:type="pct"/>
            <w:noWrap w:val="0"/>
            <w:vAlign w:val="center"/>
          </w:tcPr>
          <w:p w14:paraId="6A302A5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highlight w:val="none"/>
                <w:lang w:val="en-US" w:eastAsia="zh-CN"/>
              </w:rPr>
            </w:pPr>
            <w:r>
              <w:rPr>
                <w:rFonts w:hint="eastAsia"/>
                <w:color w:val="auto"/>
                <w:sz w:val="21"/>
                <w:szCs w:val="21"/>
                <w:highlight w:val="none"/>
                <w:lang w:val="en-US" w:eastAsia="zh-CN"/>
              </w:rPr>
              <w:t>663</w:t>
            </w:r>
          </w:p>
        </w:tc>
      </w:tr>
      <w:tr w14:paraId="3CFE348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trPr>
        <w:tc>
          <w:tcPr>
            <w:tcW w:w="1118" w:type="pct"/>
            <w:noWrap w:val="0"/>
            <w:vAlign w:val="center"/>
          </w:tcPr>
          <w:p w14:paraId="48D6E5E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highlight w:val="none"/>
                <w:lang w:val="en-US" w:eastAsia="zh-CN"/>
              </w:rPr>
            </w:pPr>
            <w:r>
              <w:rPr>
                <w:rFonts w:hint="eastAsia"/>
                <w:color w:val="auto"/>
                <w:sz w:val="21"/>
                <w:szCs w:val="21"/>
                <w:highlight w:val="none"/>
                <w:lang w:val="en-US" w:eastAsia="zh-CN"/>
              </w:rPr>
              <w:t>2-氯酚</w:t>
            </w:r>
          </w:p>
        </w:tc>
        <w:tc>
          <w:tcPr>
            <w:tcW w:w="1037" w:type="pct"/>
            <w:noWrap w:val="0"/>
            <w:vAlign w:val="center"/>
          </w:tcPr>
          <w:p w14:paraId="5A589C4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highlight w:val="none"/>
                <w:lang w:val="en-US" w:eastAsia="zh-CN"/>
              </w:rPr>
            </w:pPr>
            <w:r>
              <w:rPr>
                <w:rFonts w:hint="eastAsia"/>
                <w:color w:val="auto"/>
                <w:sz w:val="21"/>
                <w:szCs w:val="21"/>
                <w:highlight w:val="none"/>
                <w:lang w:val="en-US" w:eastAsia="zh-CN"/>
              </w:rPr>
              <w:t>250</w:t>
            </w:r>
          </w:p>
        </w:tc>
        <w:tc>
          <w:tcPr>
            <w:tcW w:w="953" w:type="pct"/>
            <w:noWrap w:val="0"/>
            <w:vAlign w:val="center"/>
          </w:tcPr>
          <w:p w14:paraId="4FB25DB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highlight w:val="none"/>
                <w:lang w:val="en-US" w:eastAsia="zh-CN"/>
              </w:rPr>
            </w:pPr>
            <w:r>
              <w:rPr>
                <w:rFonts w:hint="eastAsia"/>
                <w:color w:val="auto"/>
                <w:sz w:val="21"/>
                <w:szCs w:val="21"/>
                <w:highlight w:val="none"/>
                <w:lang w:val="en-US" w:eastAsia="zh-CN"/>
              </w:rPr>
              <w:t>500</w:t>
            </w:r>
          </w:p>
        </w:tc>
        <w:tc>
          <w:tcPr>
            <w:tcW w:w="947" w:type="pct"/>
            <w:noWrap w:val="0"/>
            <w:vAlign w:val="center"/>
          </w:tcPr>
          <w:p w14:paraId="4E05511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highlight w:val="none"/>
                <w:lang w:val="en-US" w:eastAsia="zh-CN"/>
              </w:rPr>
            </w:pPr>
            <w:r>
              <w:rPr>
                <w:rFonts w:hint="eastAsia"/>
                <w:color w:val="auto"/>
                <w:sz w:val="21"/>
                <w:szCs w:val="21"/>
                <w:highlight w:val="none"/>
                <w:lang w:val="en-US" w:eastAsia="zh-CN"/>
              </w:rPr>
              <w:t>2256</w:t>
            </w:r>
          </w:p>
        </w:tc>
        <w:tc>
          <w:tcPr>
            <w:tcW w:w="944" w:type="pct"/>
            <w:noWrap w:val="0"/>
            <w:vAlign w:val="center"/>
          </w:tcPr>
          <w:p w14:paraId="0A03008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highlight w:val="none"/>
                <w:lang w:val="en-US" w:eastAsia="zh-CN"/>
              </w:rPr>
            </w:pPr>
            <w:r>
              <w:rPr>
                <w:rFonts w:hint="eastAsia"/>
                <w:color w:val="auto"/>
                <w:sz w:val="21"/>
                <w:szCs w:val="21"/>
                <w:highlight w:val="none"/>
                <w:lang w:val="en-US" w:eastAsia="zh-CN"/>
              </w:rPr>
              <w:t>4500</w:t>
            </w:r>
          </w:p>
        </w:tc>
      </w:tr>
      <w:tr w14:paraId="70B9DD2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trPr>
        <w:tc>
          <w:tcPr>
            <w:tcW w:w="1118" w:type="pct"/>
            <w:noWrap w:val="0"/>
            <w:vAlign w:val="center"/>
          </w:tcPr>
          <w:p w14:paraId="31FD487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highlight w:val="none"/>
                <w:lang w:val="en-US" w:eastAsia="zh-CN"/>
              </w:rPr>
            </w:pPr>
            <w:r>
              <w:rPr>
                <w:rFonts w:hint="eastAsia"/>
                <w:color w:val="auto"/>
                <w:sz w:val="21"/>
                <w:szCs w:val="21"/>
                <w:highlight w:val="none"/>
                <w:lang w:val="en-US" w:eastAsia="zh-CN"/>
              </w:rPr>
              <w:t>苯并[a]蒽</w:t>
            </w:r>
          </w:p>
        </w:tc>
        <w:tc>
          <w:tcPr>
            <w:tcW w:w="1037" w:type="pct"/>
            <w:noWrap w:val="0"/>
            <w:vAlign w:val="center"/>
          </w:tcPr>
          <w:p w14:paraId="6AB1EFD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highlight w:val="none"/>
                <w:lang w:val="en-US" w:eastAsia="zh-CN"/>
              </w:rPr>
            </w:pPr>
            <w:r>
              <w:rPr>
                <w:rFonts w:hint="eastAsia"/>
                <w:color w:val="auto"/>
                <w:sz w:val="21"/>
                <w:szCs w:val="21"/>
                <w:highlight w:val="none"/>
                <w:lang w:val="en-US" w:eastAsia="zh-CN"/>
              </w:rPr>
              <w:t>5.5</w:t>
            </w:r>
          </w:p>
        </w:tc>
        <w:tc>
          <w:tcPr>
            <w:tcW w:w="953" w:type="pct"/>
            <w:noWrap w:val="0"/>
            <w:vAlign w:val="center"/>
          </w:tcPr>
          <w:p w14:paraId="7C351E4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highlight w:val="none"/>
                <w:lang w:val="en-US" w:eastAsia="zh-CN"/>
              </w:rPr>
            </w:pPr>
            <w:r>
              <w:rPr>
                <w:rFonts w:hint="eastAsia"/>
                <w:color w:val="auto"/>
                <w:sz w:val="21"/>
                <w:szCs w:val="21"/>
                <w:highlight w:val="none"/>
                <w:lang w:val="en-US" w:eastAsia="zh-CN"/>
              </w:rPr>
              <w:t>55</w:t>
            </w:r>
          </w:p>
        </w:tc>
        <w:tc>
          <w:tcPr>
            <w:tcW w:w="947" w:type="pct"/>
            <w:noWrap w:val="0"/>
            <w:vAlign w:val="center"/>
          </w:tcPr>
          <w:p w14:paraId="47EC71F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highlight w:val="none"/>
                <w:lang w:val="en-US" w:eastAsia="zh-CN"/>
              </w:rPr>
            </w:pPr>
            <w:r>
              <w:rPr>
                <w:rFonts w:hint="eastAsia"/>
                <w:color w:val="auto"/>
                <w:sz w:val="21"/>
                <w:szCs w:val="21"/>
                <w:highlight w:val="none"/>
                <w:lang w:val="en-US" w:eastAsia="zh-CN"/>
              </w:rPr>
              <w:t>15</w:t>
            </w:r>
          </w:p>
        </w:tc>
        <w:tc>
          <w:tcPr>
            <w:tcW w:w="944" w:type="pct"/>
            <w:noWrap w:val="0"/>
            <w:vAlign w:val="center"/>
          </w:tcPr>
          <w:p w14:paraId="36EB18A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highlight w:val="none"/>
                <w:lang w:val="en-US" w:eastAsia="zh-CN"/>
              </w:rPr>
            </w:pPr>
            <w:r>
              <w:rPr>
                <w:rFonts w:hint="eastAsia"/>
                <w:color w:val="auto"/>
                <w:sz w:val="21"/>
                <w:szCs w:val="21"/>
                <w:highlight w:val="none"/>
                <w:lang w:val="en-US" w:eastAsia="zh-CN"/>
              </w:rPr>
              <w:t>151</w:t>
            </w:r>
          </w:p>
        </w:tc>
      </w:tr>
      <w:tr w14:paraId="6B1CEFC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trPr>
        <w:tc>
          <w:tcPr>
            <w:tcW w:w="1118" w:type="pct"/>
            <w:noWrap w:val="0"/>
            <w:vAlign w:val="center"/>
          </w:tcPr>
          <w:p w14:paraId="42ADC0F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highlight w:val="none"/>
                <w:lang w:val="en-US" w:eastAsia="zh-CN"/>
              </w:rPr>
            </w:pPr>
            <w:r>
              <w:rPr>
                <w:rFonts w:hint="eastAsia"/>
                <w:color w:val="auto"/>
                <w:sz w:val="21"/>
                <w:szCs w:val="21"/>
                <w:highlight w:val="none"/>
                <w:lang w:val="en-US" w:eastAsia="zh-CN"/>
              </w:rPr>
              <w:t>苯并[a]芘</w:t>
            </w:r>
          </w:p>
        </w:tc>
        <w:tc>
          <w:tcPr>
            <w:tcW w:w="1037" w:type="pct"/>
            <w:noWrap w:val="0"/>
            <w:vAlign w:val="center"/>
          </w:tcPr>
          <w:p w14:paraId="2211C46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highlight w:val="none"/>
                <w:lang w:val="en-US" w:eastAsia="zh-CN"/>
              </w:rPr>
            </w:pPr>
            <w:r>
              <w:rPr>
                <w:rFonts w:hint="eastAsia"/>
                <w:color w:val="auto"/>
                <w:sz w:val="21"/>
                <w:szCs w:val="21"/>
                <w:highlight w:val="none"/>
                <w:lang w:val="en-US" w:eastAsia="zh-CN"/>
              </w:rPr>
              <w:t>0.55</w:t>
            </w:r>
          </w:p>
        </w:tc>
        <w:tc>
          <w:tcPr>
            <w:tcW w:w="953" w:type="pct"/>
            <w:noWrap w:val="0"/>
            <w:vAlign w:val="center"/>
          </w:tcPr>
          <w:p w14:paraId="6C2FAFE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highlight w:val="none"/>
                <w:lang w:val="en-US" w:eastAsia="zh-CN"/>
              </w:rPr>
            </w:pPr>
            <w:r>
              <w:rPr>
                <w:rFonts w:hint="eastAsia"/>
                <w:color w:val="auto"/>
                <w:sz w:val="21"/>
                <w:szCs w:val="21"/>
                <w:highlight w:val="none"/>
                <w:lang w:val="en-US" w:eastAsia="zh-CN"/>
              </w:rPr>
              <w:t>5.5</w:t>
            </w:r>
          </w:p>
        </w:tc>
        <w:tc>
          <w:tcPr>
            <w:tcW w:w="947" w:type="pct"/>
            <w:noWrap w:val="0"/>
            <w:vAlign w:val="center"/>
          </w:tcPr>
          <w:p w14:paraId="2C369B8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highlight w:val="none"/>
                <w:lang w:val="en-US" w:eastAsia="zh-CN"/>
              </w:rPr>
            </w:pPr>
            <w:r>
              <w:rPr>
                <w:rFonts w:hint="eastAsia"/>
                <w:color w:val="auto"/>
                <w:sz w:val="21"/>
                <w:szCs w:val="21"/>
                <w:highlight w:val="none"/>
                <w:lang w:val="en-US" w:eastAsia="zh-CN"/>
              </w:rPr>
              <w:t>1.5</w:t>
            </w:r>
          </w:p>
        </w:tc>
        <w:tc>
          <w:tcPr>
            <w:tcW w:w="944" w:type="pct"/>
            <w:noWrap w:val="0"/>
            <w:vAlign w:val="center"/>
          </w:tcPr>
          <w:p w14:paraId="45F078C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highlight w:val="none"/>
                <w:lang w:val="en-US" w:eastAsia="zh-CN"/>
              </w:rPr>
            </w:pPr>
            <w:r>
              <w:rPr>
                <w:rFonts w:hint="eastAsia"/>
                <w:color w:val="auto"/>
                <w:sz w:val="21"/>
                <w:szCs w:val="21"/>
                <w:highlight w:val="none"/>
                <w:lang w:val="en-US" w:eastAsia="zh-CN"/>
              </w:rPr>
              <w:t>15</w:t>
            </w:r>
          </w:p>
        </w:tc>
      </w:tr>
      <w:tr w14:paraId="0700FBC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trPr>
        <w:tc>
          <w:tcPr>
            <w:tcW w:w="1118" w:type="pct"/>
            <w:noWrap w:val="0"/>
            <w:vAlign w:val="center"/>
          </w:tcPr>
          <w:p w14:paraId="5ACC1D4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highlight w:val="none"/>
                <w:lang w:val="en-US" w:eastAsia="zh-CN"/>
              </w:rPr>
            </w:pPr>
            <w:r>
              <w:rPr>
                <w:rFonts w:hint="eastAsia"/>
                <w:color w:val="auto"/>
                <w:sz w:val="21"/>
                <w:szCs w:val="21"/>
                <w:highlight w:val="none"/>
                <w:lang w:val="en-US" w:eastAsia="zh-CN"/>
              </w:rPr>
              <w:t>苯并[b]荧蒽</w:t>
            </w:r>
          </w:p>
        </w:tc>
        <w:tc>
          <w:tcPr>
            <w:tcW w:w="1037" w:type="pct"/>
            <w:noWrap w:val="0"/>
            <w:vAlign w:val="center"/>
          </w:tcPr>
          <w:p w14:paraId="2731509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highlight w:val="none"/>
                <w:lang w:val="en-US" w:eastAsia="zh-CN"/>
              </w:rPr>
            </w:pPr>
            <w:r>
              <w:rPr>
                <w:rFonts w:hint="eastAsia"/>
                <w:color w:val="auto"/>
                <w:sz w:val="21"/>
                <w:szCs w:val="21"/>
                <w:highlight w:val="none"/>
                <w:lang w:val="en-US" w:eastAsia="zh-CN"/>
              </w:rPr>
              <w:t>5.5</w:t>
            </w:r>
          </w:p>
        </w:tc>
        <w:tc>
          <w:tcPr>
            <w:tcW w:w="953" w:type="pct"/>
            <w:noWrap w:val="0"/>
            <w:vAlign w:val="center"/>
          </w:tcPr>
          <w:p w14:paraId="71B10EB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highlight w:val="none"/>
                <w:lang w:val="en-US" w:eastAsia="zh-CN"/>
              </w:rPr>
            </w:pPr>
            <w:r>
              <w:rPr>
                <w:rFonts w:hint="eastAsia"/>
                <w:color w:val="auto"/>
                <w:sz w:val="21"/>
                <w:szCs w:val="21"/>
                <w:highlight w:val="none"/>
                <w:lang w:val="en-US" w:eastAsia="zh-CN"/>
              </w:rPr>
              <w:t>55</w:t>
            </w:r>
          </w:p>
        </w:tc>
        <w:tc>
          <w:tcPr>
            <w:tcW w:w="947" w:type="pct"/>
            <w:noWrap w:val="0"/>
            <w:vAlign w:val="center"/>
          </w:tcPr>
          <w:p w14:paraId="57FE03C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highlight w:val="none"/>
                <w:lang w:val="en-US" w:eastAsia="zh-CN"/>
              </w:rPr>
            </w:pPr>
            <w:r>
              <w:rPr>
                <w:rFonts w:hint="eastAsia"/>
                <w:color w:val="auto"/>
                <w:sz w:val="21"/>
                <w:szCs w:val="21"/>
                <w:highlight w:val="none"/>
                <w:lang w:val="en-US" w:eastAsia="zh-CN"/>
              </w:rPr>
              <w:t>15</w:t>
            </w:r>
          </w:p>
        </w:tc>
        <w:tc>
          <w:tcPr>
            <w:tcW w:w="944" w:type="pct"/>
            <w:noWrap w:val="0"/>
            <w:vAlign w:val="center"/>
          </w:tcPr>
          <w:p w14:paraId="580D15C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highlight w:val="none"/>
                <w:lang w:val="en-US" w:eastAsia="zh-CN"/>
              </w:rPr>
            </w:pPr>
            <w:r>
              <w:rPr>
                <w:rFonts w:hint="eastAsia"/>
                <w:color w:val="auto"/>
                <w:sz w:val="21"/>
                <w:szCs w:val="21"/>
                <w:highlight w:val="none"/>
                <w:lang w:val="en-US" w:eastAsia="zh-CN"/>
              </w:rPr>
              <w:t>151</w:t>
            </w:r>
          </w:p>
        </w:tc>
      </w:tr>
      <w:tr w14:paraId="7B5DA63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trPr>
        <w:tc>
          <w:tcPr>
            <w:tcW w:w="1118" w:type="pct"/>
            <w:noWrap w:val="0"/>
            <w:vAlign w:val="center"/>
          </w:tcPr>
          <w:p w14:paraId="3C842F1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highlight w:val="none"/>
                <w:lang w:val="en-US" w:eastAsia="zh-CN"/>
              </w:rPr>
            </w:pPr>
            <w:r>
              <w:rPr>
                <w:rFonts w:hint="eastAsia"/>
                <w:color w:val="auto"/>
                <w:sz w:val="21"/>
                <w:szCs w:val="21"/>
                <w:highlight w:val="none"/>
                <w:lang w:val="en-US" w:eastAsia="zh-CN"/>
              </w:rPr>
              <w:t>苯并[k]荧蒽</w:t>
            </w:r>
          </w:p>
        </w:tc>
        <w:tc>
          <w:tcPr>
            <w:tcW w:w="1037" w:type="pct"/>
            <w:noWrap w:val="0"/>
            <w:vAlign w:val="center"/>
          </w:tcPr>
          <w:p w14:paraId="54D69CE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highlight w:val="none"/>
                <w:lang w:val="en-US" w:eastAsia="zh-CN"/>
              </w:rPr>
            </w:pPr>
            <w:r>
              <w:rPr>
                <w:rFonts w:hint="eastAsia"/>
                <w:color w:val="auto"/>
                <w:sz w:val="21"/>
                <w:szCs w:val="21"/>
                <w:highlight w:val="none"/>
                <w:lang w:val="en-US" w:eastAsia="zh-CN"/>
              </w:rPr>
              <w:t>55</w:t>
            </w:r>
          </w:p>
        </w:tc>
        <w:tc>
          <w:tcPr>
            <w:tcW w:w="953" w:type="pct"/>
            <w:noWrap w:val="0"/>
            <w:vAlign w:val="center"/>
          </w:tcPr>
          <w:p w14:paraId="5EF338C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highlight w:val="none"/>
                <w:lang w:val="en-US" w:eastAsia="zh-CN"/>
              </w:rPr>
            </w:pPr>
            <w:r>
              <w:rPr>
                <w:rFonts w:hint="eastAsia"/>
                <w:color w:val="auto"/>
                <w:sz w:val="21"/>
                <w:szCs w:val="21"/>
                <w:highlight w:val="none"/>
                <w:lang w:val="en-US" w:eastAsia="zh-CN"/>
              </w:rPr>
              <w:t>550</w:t>
            </w:r>
          </w:p>
        </w:tc>
        <w:tc>
          <w:tcPr>
            <w:tcW w:w="947" w:type="pct"/>
            <w:noWrap w:val="0"/>
            <w:vAlign w:val="center"/>
          </w:tcPr>
          <w:p w14:paraId="6E5564E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highlight w:val="none"/>
                <w:lang w:val="en-US" w:eastAsia="zh-CN"/>
              </w:rPr>
            </w:pPr>
            <w:r>
              <w:rPr>
                <w:rFonts w:hint="eastAsia"/>
                <w:color w:val="auto"/>
                <w:sz w:val="21"/>
                <w:szCs w:val="21"/>
                <w:highlight w:val="none"/>
                <w:lang w:val="en-US" w:eastAsia="zh-CN"/>
              </w:rPr>
              <w:t>151</w:t>
            </w:r>
          </w:p>
        </w:tc>
        <w:tc>
          <w:tcPr>
            <w:tcW w:w="944" w:type="pct"/>
            <w:noWrap w:val="0"/>
            <w:vAlign w:val="center"/>
          </w:tcPr>
          <w:p w14:paraId="6664CCB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highlight w:val="none"/>
                <w:lang w:val="en-US" w:eastAsia="zh-CN"/>
              </w:rPr>
            </w:pPr>
            <w:r>
              <w:rPr>
                <w:rFonts w:hint="eastAsia"/>
                <w:color w:val="auto"/>
                <w:sz w:val="21"/>
                <w:szCs w:val="21"/>
                <w:highlight w:val="none"/>
                <w:lang w:val="en-US" w:eastAsia="zh-CN"/>
              </w:rPr>
              <w:t>1500</w:t>
            </w:r>
          </w:p>
        </w:tc>
      </w:tr>
      <w:tr w14:paraId="531D773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trPr>
        <w:tc>
          <w:tcPr>
            <w:tcW w:w="1118" w:type="pct"/>
            <w:noWrap w:val="0"/>
            <w:vAlign w:val="center"/>
          </w:tcPr>
          <w:p w14:paraId="6F67DF8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highlight w:val="none"/>
                <w:lang w:val="en-US" w:eastAsia="zh-CN"/>
              </w:rPr>
            </w:pPr>
            <w:r>
              <w:rPr>
                <w:rFonts w:hint="eastAsia"/>
                <w:color w:val="auto"/>
                <w:sz w:val="21"/>
                <w:szCs w:val="21"/>
                <w:highlight w:val="none"/>
                <w:lang w:val="en-US" w:eastAsia="zh-CN"/>
              </w:rPr>
              <w:t>䓛</w:t>
            </w:r>
          </w:p>
        </w:tc>
        <w:tc>
          <w:tcPr>
            <w:tcW w:w="1037" w:type="pct"/>
            <w:noWrap w:val="0"/>
            <w:vAlign w:val="center"/>
          </w:tcPr>
          <w:p w14:paraId="62CAA2C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highlight w:val="none"/>
                <w:lang w:val="en-US" w:eastAsia="zh-CN"/>
              </w:rPr>
            </w:pPr>
            <w:r>
              <w:rPr>
                <w:rFonts w:hint="eastAsia"/>
                <w:color w:val="auto"/>
                <w:sz w:val="21"/>
                <w:szCs w:val="21"/>
                <w:highlight w:val="none"/>
                <w:lang w:val="en-US" w:eastAsia="zh-CN"/>
              </w:rPr>
              <w:t>490</w:t>
            </w:r>
          </w:p>
        </w:tc>
        <w:tc>
          <w:tcPr>
            <w:tcW w:w="953" w:type="pct"/>
            <w:noWrap w:val="0"/>
            <w:vAlign w:val="center"/>
          </w:tcPr>
          <w:p w14:paraId="230E0B0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highlight w:val="none"/>
                <w:lang w:val="en-US" w:eastAsia="zh-CN"/>
              </w:rPr>
            </w:pPr>
            <w:r>
              <w:rPr>
                <w:rFonts w:hint="eastAsia"/>
                <w:color w:val="auto"/>
                <w:sz w:val="21"/>
                <w:szCs w:val="21"/>
                <w:highlight w:val="none"/>
                <w:lang w:val="en-US" w:eastAsia="zh-CN"/>
              </w:rPr>
              <w:t>4900</w:t>
            </w:r>
          </w:p>
        </w:tc>
        <w:tc>
          <w:tcPr>
            <w:tcW w:w="947" w:type="pct"/>
            <w:noWrap w:val="0"/>
            <w:vAlign w:val="center"/>
          </w:tcPr>
          <w:p w14:paraId="401C838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highlight w:val="none"/>
                <w:lang w:val="en-US" w:eastAsia="zh-CN"/>
              </w:rPr>
            </w:pPr>
            <w:r>
              <w:rPr>
                <w:rFonts w:hint="eastAsia"/>
                <w:color w:val="auto"/>
                <w:sz w:val="21"/>
                <w:szCs w:val="21"/>
                <w:highlight w:val="none"/>
                <w:lang w:val="en-US" w:eastAsia="zh-CN"/>
              </w:rPr>
              <w:t>1293</w:t>
            </w:r>
          </w:p>
        </w:tc>
        <w:tc>
          <w:tcPr>
            <w:tcW w:w="944" w:type="pct"/>
            <w:noWrap w:val="0"/>
            <w:vAlign w:val="center"/>
          </w:tcPr>
          <w:p w14:paraId="4E30744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highlight w:val="none"/>
                <w:lang w:val="en-US" w:eastAsia="zh-CN"/>
              </w:rPr>
            </w:pPr>
            <w:r>
              <w:rPr>
                <w:rFonts w:hint="eastAsia"/>
                <w:color w:val="auto"/>
                <w:sz w:val="21"/>
                <w:szCs w:val="21"/>
                <w:highlight w:val="none"/>
                <w:lang w:val="en-US" w:eastAsia="zh-CN"/>
              </w:rPr>
              <w:t>12900</w:t>
            </w:r>
          </w:p>
        </w:tc>
      </w:tr>
      <w:tr w14:paraId="196237D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trPr>
        <w:tc>
          <w:tcPr>
            <w:tcW w:w="1118" w:type="pct"/>
            <w:noWrap w:val="0"/>
            <w:vAlign w:val="center"/>
          </w:tcPr>
          <w:p w14:paraId="0BE79F9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highlight w:val="none"/>
                <w:lang w:val="en-US" w:eastAsia="zh-CN"/>
              </w:rPr>
            </w:pPr>
            <w:r>
              <w:rPr>
                <w:rFonts w:hint="eastAsia"/>
                <w:color w:val="auto"/>
                <w:sz w:val="21"/>
                <w:szCs w:val="21"/>
                <w:highlight w:val="none"/>
                <w:lang w:val="en-US" w:eastAsia="zh-CN"/>
              </w:rPr>
              <w:t>二苯并[a,h]蒽</w:t>
            </w:r>
          </w:p>
        </w:tc>
        <w:tc>
          <w:tcPr>
            <w:tcW w:w="1037" w:type="pct"/>
            <w:noWrap w:val="0"/>
            <w:vAlign w:val="center"/>
          </w:tcPr>
          <w:p w14:paraId="0D4F62E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highlight w:val="none"/>
                <w:lang w:val="en-US" w:eastAsia="zh-CN"/>
              </w:rPr>
            </w:pPr>
            <w:r>
              <w:rPr>
                <w:rFonts w:hint="eastAsia"/>
                <w:color w:val="auto"/>
                <w:sz w:val="21"/>
                <w:szCs w:val="21"/>
                <w:highlight w:val="none"/>
                <w:lang w:val="en-US" w:eastAsia="zh-CN"/>
              </w:rPr>
              <w:t>0.55</w:t>
            </w:r>
          </w:p>
        </w:tc>
        <w:tc>
          <w:tcPr>
            <w:tcW w:w="953" w:type="pct"/>
            <w:noWrap w:val="0"/>
            <w:vAlign w:val="center"/>
          </w:tcPr>
          <w:p w14:paraId="4163809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highlight w:val="none"/>
                <w:lang w:val="en-US" w:eastAsia="zh-CN"/>
              </w:rPr>
            </w:pPr>
            <w:r>
              <w:rPr>
                <w:rFonts w:hint="eastAsia"/>
                <w:color w:val="auto"/>
                <w:sz w:val="21"/>
                <w:szCs w:val="21"/>
                <w:highlight w:val="none"/>
                <w:lang w:val="en-US" w:eastAsia="zh-CN"/>
              </w:rPr>
              <w:t>5.5</w:t>
            </w:r>
          </w:p>
        </w:tc>
        <w:tc>
          <w:tcPr>
            <w:tcW w:w="947" w:type="pct"/>
            <w:noWrap w:val="0"/>
            <w:vAlign w:val="center"/>
          </w:tcPr>
          <w:p w14:paraId="300D481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highlight w:val="none"/>
                <w:lang w:val="en-US" w:eastAsia="zh-CN"/>
              </w:rPr>
            </w:pPr>
            <w:r>
              <w:rPr>
                <w:rFonts w:hint="eastAsia"/>
                <w:color w:val="auto"/>
                <w:sz w:val="21"/>
                <w:szCs w:val="21"/>
                <w:highlight w:val="none"/>
                <w:lang w:val="en-US" w:eastAsia="zh-CN"/>
              </w:rPr>
              <w:t>1.5</w:t>
            </w:r>
          </w:p>
        </w:tc>
        <w:tc>
          <w:tcPr>
            <w:tcW w:w="944" w:type="pct"/>
            <w:noWrap w:val="0"/>
            <w:vAlign w:val="center"/>
          </w:tcPr>
          <w:p w14:paraId="65C7A41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highlight w:val="none"/>
                <w:lang w:val="en-US" w:eastAsia="zh-CN"/>
              </w:rPr>
            </w:pPr>
            <w:r>
              <w:rPr>
                <w:rFonts w:hint="eastAsia"/>
                <w:color w:val="auto"/>
                <w:sz w:val="21"/>
                <w:szCs w:val="21"/>
                <w:highlight w:val="none"/>
                <w:lang w:val="en-US" w:eastAsia="zh-CN"/>
              </w:rPr>
              <w:t>15</w:t>
            </w:r>
          </w:p>
        </w:tc>
      </w:tr>
      <w:tr w14:paraId="2457B97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trPr>
        <w:tc>
          <w:tcPr>
            <w:tcW w:w="1118" w:type="pct"/>
            <w:noWrap w:val="0"/>
            <w:vAlign w:val="center"/>
          </w:tcPr>
          <w:p w14:paraId="72ABF43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highlight w:val="none"/>
                <w:lang w:val="en-US" w:eastAsia="zh-CN"/>
              </w:rPr>
            </w:pPr>
            <w:r>
              <w:rPr>
                <w:rFonts w:hint="eastAsia"/>
                <w:color w:val="auto"/>
                <w:sz w:val="21"/>
                <w:szCs w:val="21"/>
                <w:highlight w:val="none"/>
                <w:lang w:val="en-US" w:eastAsia="zh-CN"/>
              </w:rPr>
              <w:t>茚并[1,2,3-cd]芘</w:t>
            </w:r>
          </w:p>
        </w:tc>
        <w:tc>
          <w:tcPr>
            <w:tcW w:w="1037" w:type="pct"/>
            <w:noWrap w:val="0"/>
            <w:vAlign w:val="center"/>
          </w:tcPr>
          <w:p w14:paraId="2773C81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highlight w:val="none"/>
                <w:lang w:val="en-US" w:eastAsia="zh-CN"/>
              </w:rPr>
            </w:pPr>
            <w:r>
              <w:rPr>
                <w:rFonts w:hint="eastAsia"/>
                <w:color w:val="auto"/>
                <w:sz w:val="21"/>
                <w:szCs w:val="21"/>
                <w:highlight w:val="none"/>
                <w:lang w:val="en-US" w:eastAsia="zh-CN"/>
              </w:rPr>
              <w:t>5.5</w:t>
            </w:r>
          </w:p>
        </w:tc>
        <w:tc>
          <w:tcPr>
            <w:tcW w:w="953" w:type="pct"/>
            <w:noWrap w:val="0"/>
            <w:vAlign w:val="center"/>
          </w:tcPr>
          <w:p w14:paraId="2CEA9DF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highlight w:val="none"/>
                <w:lang w:val="en-US" w:eastAsia="zh-CN"/>
              </w:rPr>
            </w:pPr>
            <w:r>
              <w:rPr>
                <w:rFonts w:hint="eastAsia"/>
                <w:color w:val="auto"/>
                <w:sz w:val="21"/>
                <w:szCs w:val="21"/>
                <w:highlight w:val="none"/>
                <w:lang w:val="en-US" w:eastAsia="zh-CN"/>
              </w:rPr>
              <w:t>55</w:t>
            </w:r>
          </w:p>
        </w:tc>
        <w:tc>
          <w:tcPr>
            <w:tcW w:w="947" w:type="pct"/>
            <w:noWrap w:val="0"/>
            <w:vAlign w:val="center"/>
          </w:tcPr>
          <w:p w14:paraId="64A9229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highlight w:val="none"/>
                <w:lang w:val="en-US" w:eastAsia="zh-CN"/>
              </w:rPr>
            </w:pPr>
            <w:r>
              <w:rPr>
                <w:rFonts w:hint="eastAsia"/>
                <w:color w:val="auto"/>
                <w:sz w:val="21"/>
                <w:szCs w:val="21"/>
                <w:highlight w:val="none"/>
                <w:lang w:val="en-US" w:eastAsia="zh-CN"/>
              </w:rPr>
              <w:t>15</w:t>
            </w:r>
          </w:p>
        </w:tc>
        <w:tc>
          <w:tcPr>
            <w:tcW w:w="944" w:type="pct"/>
            <w:noWrap w:val="0"/>
            <w:vAlign w:val="center"/>
          </w:tcPr>
          <w:p w14:paraId="1DA4956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highlight w:val="none"/>
                <w:lang w:val="en-US" w:eastAsia="zh-CN"/>
              </w:rPr>
            </w:pPr>
            <w:r>
              <w:rPr>
                <w:rFonts w:hint="eastAsia"/>
                <w:color w:val="auto"/>
                <w:sz w:val="21"/>
                <w:szCs w:val="21"/>
                <w:highlight w:val="none"/>
                <w:lang w:val="en-US" w:eastAsia="zh-CN"/>
              </w:rPr>
              <w:t>151</w:t>
            </w:r>
          </w:p>
        </w:tc>
      </w:tr>
      <w:tr w14:paraId="2341853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trPr>
        <w:tc>
          <w:tcPr>
            <w:tcW w:w="1118" w:type="pct"/>
            <w:noWrap w:val="0"/>
            <w:vAlign w:val="center"/>
          </w:tcPr>
          <w:p w14:paraId="4FC09C9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highlight w:val="none"/>
                <w:lang w:val="en-US" w:eastAsia="zh-CN"/>
              </w:rPr>
            </w:pPr>
            <w:r>
              <w:rPr>
                <w:rFonts w:hint="eastAsia"/>
                <w:color w:val="auto"/>
                <w:sz w:val="21"/>
                <w:szCs w:val="21"/>
                <w:highlight w:val="none"/>
                <w:lang w:val="en-US" w:eastAsia="zh-CN"/>
              </w:rPr>
              <w:t>萘</w:t>
            </w:r>
          </w:p>
        </w:tc>
        <w:tc>
          <w:tcPr>
            <w:tcW w:w="1037" w:type="pct"/>
            <w:noWrap w:val="0"/>
            <w:vAlign w:val="center"/>
          </w:tcPr>
          <w:p w14:paraId="2D69EE3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highlight w:val="none"/>
                <w:lang w:val="en-US" w:eastAsia="zh-CN"/>
              </w:rPr>
            </w:pPr>
            <w:r>
              <w:rPr>
                <w:rFonts w:hint="eastAsia"/>
                <w:color w:val="auto"/>
                <w:sz w:val="21"/>
                <w:szCs w:val="21"/>
                <w:highlight w:val="none"/>
                <w:lang w:val="en-US" w:eastAsia="zh-CN"/>
              </w:rPr>
              <w:t>25</w:t>
            </w:r>
          </w:p>
        </w:tc>
        <w:tc>
          <w:tcPr>
            <w:tcW w:w="953" w:type="pct"/>
            <w:noWrap w:val="0"/>
            <w:vAlign w:val="center"/>
          </w:tcPr>
          <w:p w14:paraId="1A967ED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highlight w:val="none"/>
                <w:lang w:val="en-US" w:eastAsia="zh-CN"/>
              </w:rPr>
            </w:pPr>
            <w:r>
              <w:rPr>
                <w:rFonts w:hint="eastAsia"/>
                <w:color w:val="auto"/>
                <w:sz w:val="21"/>
                <w:szCs w:val="21"/>
                <w:highlight w:val="none"/>
                <w:lang w:val="en-US" w:eastAsia="zh-CN"/>
              </w:rPr>
              <w:t>255</w:t>
            </w:r>
          </w:p>
        </w:tc>
        <w:tc>
          <w:tcPr>
            <w:tcW w:w="947" w:type="pct"/>
            <w:noWrap w:val="0"/>
            <w:vAlign w:val="center"/>
          </w:tcPr>
          <w:p w14:paraId="51FF74F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highlight w:val="none"/>
                <w:lang w:val="en-US" w:eastAsia="zh-CN"/>
              </w:rPr>
            </w:pPr>
            <w:r>
              <w:rPr>
                <w:rFonts w:hint="eastAsia"/>
                <w:color w:val="auto"/>
                <w:sz w:val="21"/>
                <w:szCs w:val="21"/>
                <w:highlight w:val="none"/>
                <w:lang w:val="en-US" w:eastAsia="zh-CN"/>
              </w:rPr>
              <w:t>70</w:t>
            </w:r>
          </w:p>
        </w:tc>
        <w:tc>
          <w:tcPr>
            <w:tcW w:w="944" w:type="pct"/>
            <w:noWrap w:val="0"/>
            <w:vAlign w:val="center"/>
          </w:tcPr>
          <w:p w14:paraId="38C4ED1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highlight w:val="none"/>
                <w:lang w:val="en-US" w:eastAsia="zh-CN"/>
              </w:rPr>
            </w:pPr>
            <w:r>
              <w:rPr>
                <w:rFonts w:hint="eastAsia"/>
                <w:color w:val="auto"/>
                <w:sz w:val="21"/>
                <w:szCs w:val="21"/>
                <w:highlight w:val="none"/>
                <w:lang w:val="en-US" w:eastAsia="zh-CN"/>
              </w:rPr>
              <w:t>700</w:t>
            </w:r>
          </w:p>
        </w:tc>
      </w:tr>
    </w:tbl>
    <w:p w14:paraId="4E0BDB2B">
      <w:pPr>
        <w:bidi w:val="0"/>
        <w:ind w:left="0" w:leftChars="0" w:firstLine="0" w:firstLineChars="0"/>
        <w:jc w:val="center"/>
        <w:rPr>
          <w:rFonts w:hint="eastAsia"/>
          <w:b/>
          <w:bCs/>
          <w:sz w:val="21"/>
          <w:szCs w:val="21"/>
          <w:highlight w:val="none"/>
          <w:lang w:val="en-US" w:eastAsia="zh-CN"/>
        </w:rPr>
      </w:pPr>
    </w:p>
    <w:p w14:paraId="0E3884C8">
      <w:pPr>
        <w:bidi w:val="0"/>
        <w:ind w:left="0" w:leftChars="0" w:firstLine="0" w:firstLineChars="0"/>
        <w:jc w:val="center"/>
        <w:rPr>
          <w:rFonts w:hint="eastAsia"/>
          <w:b/>
          <w:bCs/>
          <w:sz w:val="21"/>
          <w:szCs w:val="21"/>
          <w:highlight w:val="none"/>
          <w:lang w:val="en-US" w:eastAsia="zh-CN"/>
        </w:rPr>
      </w:pPr>
    </w:p>
    <w:p w14:paraId="7175FC01">
      <w:pPr>
        <w:bidi w:val="0"/>
        <w:ind w:left="0" w:leftChars="0" w:firstLine="0" w:firstLineChars="0"/>
        <w:jc w:val="center"/>
        <w:rPr>
          <w:rFonts w:hint="default"/>
          <w:b/>
          <w:bCs/>
          <w:sz w:val="21"/>
          <w:szCs w:val="21"/>
          <w:highlight w:val="none"/>
          <w:lang w:val="en-US" w:eastAsia="zh-CN"/>
        </w:rPr>
      </w:pPr>
      <w:r>
        <w:rPr>
          <w:rFonts w:hint="eastAsia"/>
          <w:b/>
          <w:bCs/>
          <w:sz w:val="21"/>
          <w:szCs w:val="21"/>
          <w:highlight w:val="none"/>
          <w:lang w:val="en-US" w:eastAsia="zh-CN"/>
        </w:rPr>
        <w:t>表2.4-7  农用地土壤污染风险筛选值（基本项目）    单位：mg/kg</w:t>
      </w:r>
    </w:p>
    <w:tbl>
      <w:tblPr>
        <w:tblStyle w:val="35"/>
        <w:tblW w:w="4999"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182"/>
        <w:gridCol w:w="940"/>
        <w:gridCol w:w="1946"/>
        <w:gridCol w:w="1835"/>
        <w:gridCol w:w="1754"/>
        <w:gridCol w:w="1573"/>
      </w:tblGrid>
      <w:tr w14:paraId="33821A7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tblHeader/>
          <w:jc w:val="center"/>
        </w:trPr>
        <w:tc>
          <w:tcPr>
            <w:tcW w:w="1149" w:type="pct"/>
            <w:gridSpan w:val="2"/>
            <w:vMerge w:val="restart"/>
            <w:noWrap w:val="0"/>
            <w:vAlign w:val="center"/>
          </w:tcPr>
          <w:p w14:paraId="2FE6C6AF">
            <w:pPr>
              <w:bidi w:val="0"/>
              <w:spacing w:line="240" w:lineRule="auto"/>
              <w:ind w:left="0" w:leftChars="0" w:firstLine="0" w:firstLineChars="0"/>
              <w:jc w:val="center"/>
              <w:rPr>
                <w:rFonts w:hint="default" w:ascii="Times New Roman" w:hAnsi="Times New Roman" w:cs="Times New Roman"/>
                <w:b/>
                <w:bCs/>
                <w:sz w:val="21"/>
                <w:szCs w:val="21"/>
                <w:highlight w:val="none"/>
                <w:lang w:val="en-US" w:eastAsia="zh-CN"/>
              </w:rPr>
            </w:pPr>
            <w:r>
              <w:rPr>
                <w:rFonts w:hint="default" w:ascii="Times New Roman" w:hAnsi="Times New Roman" w:cs="Times New Roman"/>
                <w:b/>
                <w:bCs/>
                <w:sz w:val="21"/>
                <w:szCs w:val="21"/>
                <w:highlight w:val="none"/>
                <w:lang w:val="en-US" w:eastAsia="zh-CN"/>
              </w:rPr>
              <w:t>污染项目</w:t>
            </w:r>
          </w:p>
        </w:tc>
        <w:tc>
          <w:tcPr>
            <w:tcW w:w="3850" w:type="pct"/>
            <w:gridSpan w:val="4"/>
            <w:noWrap w:val="0"/>
            <w:vAlign w:val="center"/>
          </w:tcPr>
          <w:p w14:paraId="11E9E4EC">
            <w:pPr>
              <w:bidi w:val="0"/>
              <w:spacing w:line="240" w:lineRule="auto"/>
              <w:ind w:left="0" w:leftChars="0" w:firstLine="0" w:firstLineChars="0"/>
              <w:jc w:val="center"/>
              <w:rPr>
                <w:rFonts w:hint="default" w:ascii="Times New Roman" w:hAnsi="Times New Roman" w:cs="Times New Roman"/>
                <w:b/>
                <w:bCs/>
                <w:sz w:val="21"/>
                <w:szCs w:val="21"/>
                <w:highlight w:val="none"/>
                <w:lang w:val="en-US" w:eastAsia="zh-CN"/>
              </w:rPr>
            </w:pPr>
            <w:r>
              <w:rPr>
                <w:rFonts w:hint="default" w:ascii="Times New Roman" w:hAnsi="Times New Roman" w:cs="Times New Roman"/>
                <w:b/>
                <w:bCs/>
                <w:sz w:val="21"/>
                <w:szCs w:val="21"/>
                <w:highlight w:val="none"/>
                <w:lang w:val="en-US" w:eastAsia="zh-CN"/>
              </w:rPr>
              <w:t>风险筛选值</w:t>
            </w:r>
          </w:p>
        </w:tc>
      </w:tr>
      <w:tr w14:paraId="1DF9900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tblHeader/>
          <w:jc w:val="center"/>
        </w:trPr>
        <w:tc>
          <w:tcPr>
            <w:tcW w:w="1149" w:type="pct"/>
            <w:gridSpan w:val="2"/>
            <w:vMerge w:val="continue"/>
            <w:noWrap w:val="0"/>
            <w:vAlign w:val="center"/>
          </w:tcPr>
          <w:p w14:paraId="6724C33B">
            <w:pPr>
              <w:bidi w:val="0"/>
              <w:spacing w:line="240" w:lineRule="auto"/>
              <w:ind w:left="0" w:leftChars="0" w:firstLine="0" w:firstLineChars="0"/>
              <w:jc w:val="center"/>
              <w:rPr>
                <w:rFonts w:hint="default" w:ascii="Times New Roman" w:hAnsi="Times New Roman" w:cs="Times New Roman"/>
                <w:b/>
                <w:bCs/>
                <w:sz w:val="21"/>
                <w:szCs w:val="21"/>
                <w:highlight w:val="none"/>
                <w:lang w:val="en-US" w:eastAsia="zh-CN"/>
              </w:rPr>
            </w:pPr>
          </w:p>
        </w:tc>
        <w:tc>
          <w:tcPr>
            <w:tcW w:w="1054" w:type="pct"/>
            <w:noWrap w:val="0"/>
            <w:vAlign w:val="center"/>
          </w:tcPr>
          <w:p w14:paraId="59679A0D">
            <w:pPr>
              <w:bidi w:val="0"/>
              <w:spacing w:line="240" w:lineRule="auto"/>
              <w:ind w:left="0" w:leftChars="0" w:firstLine="0" w:firstLineChars="0"/>
              <w:jc w:val="center"/>
              <w:rPr>
                <w:rFonts w:hint="default" w:ascii="Times New Roman" w:hAnsi="Times New Roman" w:cs="Times New Roman"/>
                <w:b/>
                <w:bCs/>
                <w:sz w:val="21"/>
                <w:szCs w:val="21"/>
                <w:highlight w:val="none"/>
                <w:lang w:val="en-US" w:eastAsia="zh-CN"/>
              </w:rPr>
            </w:pPr>
            <w:r>
              <w:rPr>
                <w:rFonts w:hint="default" w:ascii="Times New Roman" w:hAnsi="Times New Roman" w:cs="Times New Roman"/>
                <w:b/>
                <w:bCs/>
                <w:sz w:val="21"/>
                <w:szCs w:val="21"/>
                <w:highlight w:val="none"/>
                <w:lang w:val="en-US" w:eastAsia="zh-CN"/>
              </w:rPr>
              <w:t>pH≤5.5</w:t>
            </w:r>
          </w:p>
        </w:tc>
        <w:tc>
          <w:tcPr>
            <w:tcW w:w="994" w:type="pct"/>
            <w:noWrap w:val="0"/>
            <w:vAlign w:val="center"/>
          </w:tcPr>
          <w:p w14:paraId="2A4E0DB2">
            <w:pPr>
              <w:bidi w:val="0"/>
              <w:spacing w:line="240" w:lineRule="auto"/>
              <w:ind w:left="0" w:leftChars="0" w:firstLine="0" w:firstLineChars="0"/>
              <w:jc w:val="center"/>
              <w:rPr>
                <w:rFonts w:hint="default" w:ascii="Times New Roman" w:hAnsi="Times New Roman" w:cs="Times New Roman"/>
                <w:b/>
                <w:bCs/>
                <w:sz w:val="21"/>
                <w:szCs w:val="21"/>
                <w:highlight w:val="none"/>
                <w:lang w:val="en-US" w:eastAsia="zh-CN"/>
              </w:rPr>
            </w:pPr>
            <w:r>
              <w:rPr>
                <w:rFonts w:hint="default" w:ascii="Times New Roman" w:hAnsi="Times New Roman" w:cs="Times New Roman"/>
                <w:b/>
                <w:bCs/>
                <w:sz w:val="21"/>
                <w:szCs w:val="21"/>
                <w:highlight w:val="none"/>
                <w:lang w:val="en-US" w:eastAsia="zh-CN"/>
              </w:rPr>
              <w:t>5.5˂pH≤6.5</w:t>
            </w:r>
          </w:p>
        </w:tc>
        <w:tc>
          <w:tcPr>
            <w:tcW w:w="950" w:type="pct"/>
            <w:tcBorders>
              <w:right w:val="single" w:color="auto" w:sz="4" w:space="0"/>
            </w:tcBorders>
            <w:noWrap w:val="0"/>
            <w:vAlign w:val="center"/>
          </w:tcPr>
          <w:p w14:paraId="469843B9">
            <w:pPr>
              <w:bidi w:val="0"/>
              <w:spacing w:line="240" w:lineRule="auto"/>
              <w:ind w:left="0" w:leftChars="0" w:firstLine="0" w:firstLineChars="0"/>
              <w:jc w:val="center"/>
              <w:rPr>
                <w:rFonts w:hint="default" w:ascii="Times New Roman" w:hAnsi="Times New Roman" w:cs="Times New Roman"/>
                <w:b/>
                <w:bCs/>
                <w:sz w:val="21"/>
                <w:szCs w:val="21"/>
                <w:highlight w:val="none"/>
                <w:lang w:val="en-US" w:eastAsia="zh-CN"/>
              </w:rPr>
            </w:pPr>
            <w:r>
              <w:rPr>
                <w:rFonts w:hint="default" w:ascii="Times New Roman" w:hAnsi="Times New Roman" w:cs="Times New Roman"/>
                <w:b/>
                <w:bCs/>
                <w:sz w:val="21"/>
                <w:szCs w:val="21"/>
                <w:highlight w:val="none"/>
                <w:lang w:val="en-US" w:eastAsia="zh-CN"/>
              </w:rPr>
              <w:t>6.5˂pH≤7.5</w:t>
            </w:r>
          </w:p>
        </w:tc>
        <w:tc>
          <w:tcPr>
            <w:tcW w:w="850" w:type="pct"/>
            <w:tcBorders>
              <w:left w:val="single" w:color="auto" w:sz="4" w:space="0"/>
            </w:tcBorders>
            <w:noWrap w:val="0"/>
            <w:vAlign w:val="center"/>
          </w:tcPr>
          <w:p w14:paraId="74D2237A">
            <w:pPr>
              <w:bidi w:val="0"/>
              <w:spacing w:line="240" w:lineRule="auto"/>
              <w:ind w:left="0" w:leftChars="0" w:firstLine="0" w:firstLineChars="0"/>
              <w:jc w:val="center"/>
              <w:rPr>
                <w:rFonts w:hint="default" w:ascii="Times New Roman" w:hAnsi="Times New Roman" w:cs="Times New Roman"/>
                <w:b/>
                <w:bCs/>
                <w:sz w:val="21"/>
                <w:szCs w:val="21"/>
                <w:highlight w:val="none"/>
                <w:lang w:val="en-US" w:eastAsia="zh-CN"/>
              </w:rPr>
            </w:pPr>
            <w:r>
              <w:rPr>
                <w:rFonts w:hint="default" w:ascii="Times New Roman" w:hAnsi="Times New Roman" w:cs="Times New Roman"/>
                <w:b/>
                <w:bCs/>
                <w:sz w:val="21"/>
                <w:szCs w:val="21"/>
                <w:highlight w:val="none"/>
                <w:lang w:val="en-US" w:eastAsia="zh-CN"/>
              </w:rPr>
              <w:t>pH˃7.5</w:t>
            </w:r>
          </w:p>
        </w:tc>
      </w:tr>
      <w:tr w14:paraId="39A8978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640" w:type="pct"/>
            <w:vMerge w:val="restart"/>
            <w:tcBorders>
              <w:right w:val="single" w:color="auto" w:sz="4" w:space="0"/>
            </w:tcBorders>
            <w:noWrap w:val="0"/>
            <w:vAlign w:val="center"/>
          </w:tcPr>
          <w:p w14:paraId="5CF3EF34">
            <w:pPr>
              <w:bidi w:val="0"/>
              <w:spacing w:line="240" w:lineRule="auto"/>
              <w:ind w:left="0" w:leftChars="0" w:firstLine="0" w:firstLineChars="0"/>
              <w:jc w:val="center"/>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镉</w:t>
            </w:r>
          </w:p>
        </w:tc>
        <w:tc>
          <w:tcPr>
            <w:tcW w:w="509" w:type="pct"/>
            <w:tcBorders>
              <w:left w:val="single" w:color="auto" w:sz="4" w:space="0"/>
            </w:tcBorders>
            <w:noWrap w:val="0"/>
            <w:vAlign w:val="center"/>
          </w:tcPr>
          <w:p w14:paraId="01521ED2">
            <w:pPr>
              <w:bidi w:val="0"/>
              <w:spacing w:line="240" w:lineRule="auto"/>
              <w:ind w:left="0" w:leftChars="0" w:firstLine="0" w:firstLineChars="0"/>
              <w:jc w:val="center"/>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水田</w:t>
            </w:r>
          </w:p>
        </w:tc>
        <w:tc>
          <w:tcPr>
            <w:tcW w:w="1054" w:type="pct"/>
            <w:noWrap w:val="0"/>
            <w:vAlign w:val="center"/>
          </w:tcPr>
          <w:p w14:paraId="10F35AB9">
            <w:pPr>
              <w:bidi w:val="0"/>
              <w:spacing w:line="240" w:lineRule="auto"/>
              <w:ind w:left="0" w:leftChars="0" w:firstLine="0" w:firstLineChars="0"/>
              <w:jc w:val="center"/>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0.3</w:t>
            </w:r>
          </w:p>
        </w:tc>
        <w:tc>
          <w:tcPr>
            <w:tcW w:w="994" w:type="pct"/>
            <w:noWrap w:val="0"/>
            <w:vAlign w:val="center"/>
          </w:tcPr>
          <w:p w14:paraId="1A9013C6">
            <w:pPr>
              <w:bidi w:val="0"/>
              <w:spacing w:line="240" w:lineRule="auto"/>
              <w:ind w:left="0" w:leftChars="0" w:firstLine="0" w:firstLineChars="0"/>
              <w:jc w:val="center"/>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0.4</w:t>
            </w:r>
          </w:p>
        </w:tc>
        <w:tc>
          <w:tcPr>
            <w:tcW w:w="950" w:type="pct"/>
            <w:tcBorders>
              <w:right w:val="single" w:color="auto" w:sz="4" w:space="0"/>
            </w:tcBorders>
            <w:noWrap w:val="0"/>
            <w:vAlign w:val="center"/>
          </w:tcPr>
          <w:p w14:paraId="2298FCB6">
            <w:pPr>
              <w:bidi w:val="0"/>
              <w:spacing w:line="240" w:lineRule="auto"/>
              <w:ind w:left="0" w:leftChars="0" w:firstLine="0" w:firstLineChars="0"/>
              <w:jc w:val="center"/>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0.6</w:t>
            </w:r>
          </w:p>
        </w:tc>
        <w:tc>
          <w:tcPr>
            <w:tcW w:w="850" w:type="pct"/>
            <w:tcBorders>
              <w:left w:val="single" w:color="auto" w:sz="4" w:space="0"/>
            </w:tcBorders>
            <w:noWrap w:val="0"/>
            <w:vAlign w:val="center"/>
          </w:tcPr>
          <w:p w14:paraId="1C21A6B8">
            <w:pPr>
              <w:bidi w:val="0"/>
              <w:spacing w:line="240" w:lineRule="auto"/>
              <w:ind w:left="0" w:leftChars="0" w:firstLine="0" w:firstLineChars="0"/>
              <w:jc w:val="center"/>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0.8</w:t>
            </w:r>
          </w:p>
        </w:tc>
      </w:tr>
      <w:tr w14:paraId="6435DEF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640" w:type="pct"/>
            <w:vMerge w:val="continue"/>
            <w:tcBorders>
              <w:right w:val="single" w:color="auto" w:sz="4" w:space="0"/>
            </w:tcBorders>
            <w:noWrap w:val="0"/>
            <w:vAlign w:val="center"/>
          </w:tcPr>
          <w:p w14:paraId="628760CC">
            <w:pPr>
              <w:bidi w:val="0"/>
              <w:spacing w:line="240" w:lineRule="auto"/>
              <w:ind w:left="0" w:leftChars="0" w:firstLine="0" w:firstLineChars="0"/>
              <w:jc w:val="center"/>
              <w:rPr>
                <w:rFonts w:hint="default" w:ascii="Times New Roman" w:hAnsi="Times New Roman" w:cs="Times New Roman"/>
                <w:sz w:val="21"/>
                <w:szCs w:val="21"/>
                <w:highlight w:val="none"/>
                <w:lang w:val="en-US" w:eastAsia="zh-CN"/>
              </w:rPr>
            </w:pPr>
          </w:p>
        </w:tc>
        <w:tc>
          <w:tcPr>
            <w:tcW w:w="509" w:type="pct"/>
            <w:tcBorders>
              <w:left w:val="single" w:color="auto" w:sz="4" w:space="0"/>
            </w:tcBorders>
            <w:noWrap w:val="0"/>
            <w:vAlign w:val="center"/>
          </w:tcPr>
          <w:p w14:paraId="163388B5">
            <w:pPr>
              <w:bidi w:val="0"/>
              <w:spacing w:line="240" w:lineRule="auto"/>
              <w:ind w:left="0" w:leftChars="0" w:firstLine="0" w:firstLineChars="0"/>
              <w:jc w:val="center"/>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其他</w:t>
            </w:r>
          </w:p>
        </w:tc>
        <w:tc>
          <w:tcPr>
            <w:tcW w:w="1054" w:type="pct"/>
            <w:noWrap w:val="0"/>
            <w:vAlign w:val="center"/>
          </w:tcPr>
          <w:p w14:paraId="2B97EAE7">
            <w:pPr>
              <w:bidi w:val="0"/>
              <w:spacing w:line="240" w:lineRule="auto"/>
              <w:ind w:left="0" w:leftChars="0" w:firstLine="0" w:firstLineChars="0"/>
              <w:jc w:val="center"/>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0.3</w:t>
            </w:r>
          </w:p>
        </w:tc>
        <w:tc>
          <w:tcPr>
            <w:tcW w:w="994" w:type="pct"/>
            <w:noWrap w:val="0"/>
            <w:vAlign w:val="center"/>
          </w:tcPr>
          <w:p w14:paraId="73E8079C">
            <w:pPr>
              <w:bidi w:val="0"/>
              <w:spacing w:line="240" w:lineRule="auto"/>
              <w:ind w:left="0" w:leftChars="0" w:firstLine="0" w:firstLineChars="0"/>
              <w:jc w:val="center"/>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0.3</w:t>
            </w:r>
          </w:p>
        </w:tc>
        <w:tc>
          <w:tcPr>
            <w:tcW w:w="950" w:type="pct"/>
            <w:tcBorders>
              <w:right w:val="single" w:color="auto" w:sz="4" w:space="0"/>
            </w:tcBorders>
            <w:noWrap w:val="0"/>
            <w:vAlign w:val="center"/>
          </w:tcPr>
          <w:p w14:paraId="121A9307">
            <w:pPr>
              <w:bidi w:val="0"/>
              <w:spacing w:line="240" w:lineRule="auto"/>
              <w:ind w:left="0" w:leftChars="0" w:firstLine="0" w:firstLineChars="0"/>
              <w:jc w:val="center"/>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0.3</w:t>
            </w:r>
          </w:p>
        </w:tc>
        <w:tc>
          <w:tcPr>
            <w:tcW w:w="850" w:type="pct"/>
            <w:tcBorders>
              <w:left w:val="single" w:color="auto" w:sz="4" w:space="0"/>
            </w:tcBorders>
            <w:noWrap w:val="0"/>
            <w:vAlign w:val="center"/>
          </w:tcPr>
          <w:p w14:paraId="7DF44CD0">
            <w:pPr>
              <w:bidi w:val="0"/>
              <w:spacing w:line="240" w:lineRule="auto"/>
              <w:ind w:left="0" w:leftChars="0" w:firstLine="0" w:firstLineChars="0"/>
              <w:jc w:val="center"/>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0.6</w:t>
            </w:r>
          </w:p>
        </w:tc>
      </w:tr>
      <w:tr w14:paraId="290BEA2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640" w:type="pct"/>
            <w:vMerge w:val="restart"/>
            <w:tcBorders>
              <w:right w:val="single" w:color="auto" w:sz="4" w:space="0"/>
            </w:tcBorders>
            <w:noWrap w:val="0"/>
            <w:vAlign w:val="center"/>
          </w:tcPr>
          <w:p w14:paraId="55D51918">
            <w:pPr>
              <w:bidi w:val="0"/>
              <w:spacing w:line="240" w:lineRule="auto"/>
              <w:ind w:left="0" w:leftChars="0" w:firstLine="0" w:firstLineChars="0"/>
              <w:jc w:val="center"/>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汞</w:t>
            </w:r>
          </w:p>
        </w:tc>
        <w:tc>
          <w:tcPr>
            <w:tcW w:w="509" w:type="pct"/>
            <w:tcBorders>
              <w:left w:val="single" w:color="auto" w:sz="4" w:space="0"/>
            </w:tcBorders>
            <w:noWrap w:val="0"/>
            <w:vAlign w:val="center"/>
          </w:tcPr>
          <w:p w14:paraId="235D45D0">
            <w:pPr>
              <w:bidi w:val="0"/>
              <w:spacing w:line="240" w:lineRule="auto"/>
              <w:ind w:left="0" w:leftChars="0" w:firstLine="0" w:firstLineChars="0"/>
              <w:jc w:val="center"/>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水田</w:t>
            </w:r>
          </w:p>
        </w:tc>
        <w:tc>
          <w:tcPr>
            <w:tcW w:w="1054" w:type="pct"/>
            <w:noWrap w:val="0"/>
            <w:vAlign w:val="center"/>
          </w:tcPr>
          <w:p w14:paraId="4AC7ABA1">
            <w:pPr>
              <w:bidi w:val="0"/>
              <w:spacing w:line="240" w:lineRule="auto"/>
              <w:ind w:left="0" w:leftChars="0" w:firstLine="0" w:firstLineChars="0"/>
              <w:jc w:val="center"/>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0.5</w:t>
            </w:r>
          </w:p>
        </w:tc>
        <w:tc>
          <w:tcPr>
            <w:tcW w:w="994" w:type="pct"/>
            <w:noWrap w:val="0"/>
            <w:vAlign w:val="center"/>
          </w:tcPr>
          <w:p w14:paraId="2E68FAC2">
            <w:pPr>
              <w:bidi w:val="0"/>
              <w:spacing w:line="240" w:lineRule="auto"/>
              <w:ind w:left="0" w:leftChars="0" w:firstLine="0" w:firstLineChars="0"/>
              <w:jc w:val="center"/>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0.5</w:t>
            </w:r>
          </w:p>
        </w:tc>
        <w:tc>
          <w:tcPr>
            <w:tcW w:w="950" w:type="pct"/>
            <w:tcBorders>
              <w:right w:val="single" w:color="auto" w:sz="4" w:space="0"/>
            </w:tcBorders>
            <w:noWrap w:val="0"/>
            <w:vAlign w:val="center"/>
          </w:tcPr>
          <w:p w14:paraId="563643AC">
            <w:pPr>
              <w:bidi w:val="0"/>
              <w:spacing w:line="240" w:lineRule="auto"/>
              <w:ind w:left="0" w:leftChars="0" w:firstLine="0" w:firstLineChars="0"/>
              <w:jc w:val="center"/>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0.6</w:t>
            </w:r>
          </w:p>
        </w:tc>
        <w:tc>
          <w:tcPr>
            <w:tcW w:w="850" w:type="pct"/>
            <w:tcBorders>
              <w:left w:val="single" w:color="auto" w:sz="4" w:space="0"/>
            </w:tcBorders>
            <w:noWrap w:val="0"/>
            <w:vAlign w:val="center"/>
          </w:tcPr>
          <w:p w14:paraId="7D00623B">
            <w:pPr>
              <w:bidi w:val="0"/>
              <w:spacing w:line="240" w:lineRule="auto"/>
              <w:ind w:left="0" w:leftChars="0" w:firstLine="0" w:firstLineChars="0"/>
              <w:jc w:val="center"/>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1.0</w:t>
            </w:r>
          </w:p>
        </w:tc>
      </w:tr>
      <w:tr w14:paraId="65DFD49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640" w:type="pct"/>
            <w:vMerge w:val="continue"/>
            <w:tcBorders>
              <w:right w:val="single" w:color="auto" w:sz="4" w:space="0"/>
            </w:tcBorders>
            <w:noWrap w:val="0"/>
            <w:vAlign w:val="center"/>
          </w:tcPr>
          <w:p w14:paraId="607AE7A5">
            <w:pPr>
              <w:bidi w:val="0"/>
              <w:spacing w:line="240" w:lineRule="auto"/>
              <w:ind w:left="0" w:leftChars="0" w:firstLine="0" w:firstLineChars="0"/>
              <w:jc w:val="center"/>
              <w:rPr>
                <w:rFonts w:hint="default" w:ascii="Times New Roman" w:hAnsi="Times New Roman" w:cs="Times New Roman"/>
                <w:sz w:val="21"/>
                <w:szCs w:val="21"/>
                <w:highlight w:val="none"/>
                <w:lang w:val="en-US" w:eastAsia="zh-CN"/>
              </w:rPr>
            </w:pPr>
          </w:p>
        </w:tc>
        <w:tc>
          <w:tcPr>
            <w:tcW w:w="509" w:type="pct"/>
            <w:tcBorders>
              <w:left w:val="single" w:color="auto" w:sz="4" w:space="0"/>
            </w:tcBorders>
            <w:noWrap w:val="0"/>
            <w:vAlign w:val="center"/>
          </w:tcPr>
          <w:p w14:paraId="006D1C19">
            <w:pPr>
              <w:bidi w:val="0"/>
              <w:spacing w:line="240" w:lineRule="auto"/>
              <w:ind w:left="0" w:leftChars="0" w:firstLine="0" w:firstLineChars="0"/>
              <w:jc w:val="center"/>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其他</w:t>
            </w:r>
          </w:p>
        </w:tc>
        <w:tc>
          <w:tcPr>
            <w:tcW w:w="1054" w:type="pct"/>
            <w:noWrap w:val="0"/>
            <w:vAlign w:val="center"/>
          </w:tcPr>
          <w:p w14:paraId="25E5BE90">
            <w:pPr>
              <w:bidi w:val="0"/>
              <w:spacing w:line="240" w:lineRule="auto"/>
              <w:ind w:left="0" w:leftChars="0" w:firstLine="0" w:firstLineChars="0"/>
              <w:jc w:val="center"/>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1.3</w:t>
            </w:r>
          </w:p>
        </w:tc>
        <w:tc>
          <w:tcPr>
            <w:tcW w:w="994" w:type="pct"/>
            <w:noWrap w:val="0"/>
            <w:vAlign w:val="center"/>
          </w:tcPr>
          <w:p w14:paraId="7E094DAE">
            <w:pPr>
              <w:bidi w:val="0"/>
              <w:spacing w:line="240" w:lineRule="auto"/>
              <w:ind w:left="0" w:leftChars="0" w:firstLine="0" w:firstLineChars="0"/>
              <w:jc w:val="center"/>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1.8</w:t>
            </w:r>
          </w:p>
        </w:tc>
        <w:tc>
          <w:tcPr>
            <w:tcW w:w="950" w:type="pct"/>
            <w:tcBorders>
              <w:right w:val="single" w:color="auto" w:sz="4" w:space="0"/>
            </w:tcBorders>
            <w:noWrap w:val="0"/>
            <w:vAlign w:val="center"/>
          </w:tcPr>
          <w:p w14:paraId="0C9F2672">
            <w:pPr>
              <w:bidi w:val="0"/>
              <w:spacing w:line="240" w:lineRule="auto"/>
              <w:ind w:left="0" w:leftChars="0" w:firstLine="0" w:firstLineChars="0"/>
              <w:jc w:val="center"/>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2.4</w:t>
            </w:r>
          </w:p>
        </w:tc>
        <w:tc>
          <w:tcPr>
            <w:tcW w:w="850" w:type="pct"/>
            <w:tcBorders>
              <w:left w:val="single" w:color="auto" w:sz="4" w:space="0"/>
            </w:tcBorders>
            <w:noWrap w:val="0"/>
            <w:vAlign w:val="center"/>
          </w:tcPr>
          <w:p w14:paraId="563C428F">
            <w:pPr>
              <w:bidi w:val="0"/>
              <w:spacing w:line="240" w:lineRule="auto"/>
              <w:ind w:left="0" w:leftChars="0" w:firstLine="0" w:firstLineChars="0"/>
              <w:jc w:val="center"/>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3.4</w:t>
            </w:r>
          </w:p>
        </w:tc>
      </w:tr>
      <w:tr w14:paraId="547AD7C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640" w:type="pct"/>
            <w:vMerge w:val="restart"/>
            <w:tcBorders>
              <w:right w:val="single" w:color="auto" w:sz="4" w:space="0"/>
            </w:tcBorders>
            <w:noWrap w:val="0"/>
            <w:vAlign w:val="center"/>
          </w:tcPr>
          <w:p w14:paraId="73EE5ED5">
            <w:pPr>
              <w:bidi w:val="0"/>
              <w:spacing w:line="240" w:lineRule="auto"/>
              <w:ind w:left="0" w:leftChars="0" w:firstLine="0" w:firstLineChars="0"/>
              <w:jc w:val="center"/>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砷</w:t>
            </w:r>
          </w:p>
        </w:tc>
        <w:tc>
          <w:tcPr>
            <w:tcW w:w="509" w:type="pct"/>
            <w:tcBorders>
              <w:left w:val="single" w:color="auto" w:sz="4" w:space="0"/>
            </w:tcBorders>
            <w:noWrap w:val="0"/>
            <w:vAlign w:val="center"/>
          </w:tcPr>
          <w:p w14:paraId="6D12FB1B">
            <w:pPr>
              <w:bidi w:val="0"/>
              <w:spacing w:line="240" w:lineRule="auto"/>
              <w:ind w:left="0" w:leftChars="0" w:firstLine="0" w:firstLineChars="0"/>
              <w:jc w:val="center"/>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水田</w:t>
            </w:r>
          </w:p>
        </w:tc>
        <w:tc>
          <w:tcPr>
            <w:tcW w:w="1054" w:type="pct"/>
            <w:noWrap w:val="0"/>
            <w:vAlign w:val="center"/>
          </w:tcPr>
          <w:p w14:paraId="6DF18350">
            <w:pPr>
              <w:bidi w:val="0"/>
              <w:spacing w:line="240" w:lineRule="auto"/>
              <w:ind w:left="0" w:leftChars="0" w:firstLine="0" w:firstLineChars="0"/>
              <w:jc w:val="center"/>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30</w:t>
            </w:r>
          </w:p>
        </w:tc>
        <w:tc>
          <w:tcPr>
            <w:tcW w:w="994" w:type="pct"/>
            <w:noWrap w:val="0"/>
            <w:vAlign w:val="center"/>
          </w:tcPr>
          <w:p w14:paraId="74AAD51A">
            <w:pPr>
              <w:bidi w:val="0"/>
              <w:spacing w:line="240" w:lineRule="auto"/>
              <w:ind w:left="0" w:leftChars="0" w:firstLine="0" w:firstLineChars="0"/>
              <w:jc w:val="center"/>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30</w:t>
            </w:r>
          </w:p>
        </w:tc>
        <w:tc>
          <w:tcPr>
            <w:tcW w:w="950" w:type="pct"/>
            <w:tcBorders>
              <w:right w:val="single" w:color="auto" w:sz="4" w:space="0"/>
            </w:tcBorders>
            <w:noWrap w:val="0"/>
            <w:vAlign w:val="center"/>
          </w:tcPr>
          <w:p w14:paraId="0AAACD7A">
            <w:pPr>
              <w:bidi w:val="0"/>
              <w:spacing w:line="240" w:lineRule="auto"/>
              <w:ind w:left="0" w:leftChars="0" w:firstLine="0" w:firstLineChars="0"/>
              <w:jc w:val="center"/>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25</w:t>
            </w:r>
          </w:p>
        </w:tc>
        <w:tc>
          <w:tcPr>
            <w:tcW w:w="850" w:type="pct"/>
            <w:tcBorders>
              <w:left w:val="single" w:color="auto" w:sz="4" w:space="0"/>
            </w:tcBorders>
            <w:noWrap w:val="0"/>
            <w:vAlign w:val="center"/>
          </w:tcPr>
          <w:p w14:paraId="3EE20617">
            <w:pPr>
              <w:bidi w:val="0"/>
              <w:spacing w:line="240" w:lineRule="auto"/>
              <w:ind w:left="0" w:leftChars="0" w:firstLine="0" w:firstLineChars="0"/>
              <w:jc w:val="center"/>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20</w:t>
            </w:r>
          </w:p>
        </w:tc>
      </w:tr>
      <w:tr w14:paraId="7D4FE1B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640" w:type="pct"/>
            <w:vMerge w:val="continue"/>
            <w:tcBorders>
              <w:right w:val="single" w:color="auto" w:sz="4" w:space="0"/>
            </w:tcBorders>
            <w:noWrap w:val="0"/>
            <w:vAlign w:val="center"/>
          </w:tcPr>
          <w:p w14:paraId="0328E850">
            <w:pPr>
              <w:bidi w:val="0"/>
              <w:spacing w:line="240" w:lineRule="auto"/>
              <w:ind w:left="0" w:leftChars="0" w:firstLine="0" w:firstLineChars="0"/>
              <w:jc w:val="center"/>
              <w:rPr>
                <w:rFonts w:hint="default" w:ascii="Times New Roman" w:hAnsi="Times New Roman" w:cs="Times New Roman"/>
                <w:sz w:val="21"/>
                <w:szCs w:val="21"/>
                <w:highlight w:val="none"/>
                <w:lang w:val="en-US" w:eastAsia="zh-CN"/>
              </w:rPr>
            </w:pPr>
          </w:p>
        </w:tc>
        <w:tc>
          <w:tcPr>
            <w:tcW w:w="509" w:type="pct"/>
            <w:tcBorders>
              <w:left w:val="single" w:color="auto" w:sz="4" w:space="0"/>
            </w:tcBorders>
            <w:noWrap w:val="0"/>
            <w:vAlign w:val="center"/>
          </w:tcPr>
          <w:p w14:paraId="7945CE7B">
            <w:pPr>
              <w:bidi w:val="0"/>
              <w:spacing w:line="240" w:lineRule="auto"/>
              <w:ind w:left="0" w:leftChars="0" w:firstLine="0" w:firstLineChars="0"/>
              <w:jc w:val="center"/>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其他</w:t>
            </w:r>
          </w:p>
        </w:tc>
        <w:tc>
          <w:tcPr>
            <w:tcW w:w="1054" w:type="pct"/>
            <w:noWrap w:val="0"/>
            <w:vAlign w:val="center"/>
          </w:tcPr>
          <w:p w14:paraId="267CAE0C">
            <w:pPr>
              <w:bidi w:val="0"/>
              <w:spacing w:line="240" w:lineRule="auto"/>
              <w:ind w:left="0" w:leftChars="0" w:firstLine="0" w:firstLineChars="0"/>
              <w:jc w:val="center"/>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40</w:t>
            </w:r>
          </w:p>
        </w:tc>
        <w:tc>
          <w:tcPr>
            <w:tcW w:w="994" w:type="pct"/>
            <w:noWrap w:val="0"/>
            <w:vAlign w:val="center"/>
          </w:tcPr>
          <w:p w14:paraId="169C0A5F">
            <w:pPr>
              <w:bidi w:val="0"/>
              <w:spacing w:line="240" w:lineRule="auto"/>
              <w:ind w:left="0" w:leftChars="0" w:firstLine="0" w:firstLineChars="0"/>
              <w:jc w:val="center"/>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40</w:t>
            </w:r>
          </w:p>
        </w:tc>
        <w:tc>
          <w:tcPr>
            <w:tcW w:w="950" w:type="pct"/>
            <w:tcBorders>
              <w:right w:val="single" w:color="auto" w:sz="4" w:space="0"/>
            </w:tcBorders>
            <w:noWrap w:val="0"/>
            <w:vAlign w:val="center"/>
          </w:tcPr>
          <w:p w14:paraId="044D8B8F">
            <w:pPr>
              <w:bidi w:val="0"/>
              <w:spacing w:line="240" w:lineRule="auto"/>
              <w:ind w:left="0" w:leftChars="0" w:firstLine="0" w:firstLineChars="0"/>
              <w:jc w:val="center"/>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30</w:t>
            </w:r>
          </w:p>
        </w:tc>
        <w:tc>
          <w:tcPr>
            <w:tcW w:w="850" w:type="pct"/>
            <w:tcBorders>
              <w:left w:val="single" w:color="auto" w:sz="4" w:space="0"/>
            </w:tcBorders>
            <w:noWrap w:val="0"/>
            <w:vAlign w:val="center"/>
          </w:tcPr>
          <w:p w14:paraId="43210151">
            <w:pPr>
              <w:bidi w:val="0"/>
              <w:spacing w:line="240" w:lineRule="auto"/>
              <w:ind w:left="0" w:leftChars="0" w:firstLine="0" w:firstLineChars="0"/>
              <w:jc w:val="center"/>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25</w:t>
            </w:r>
          </w:p>
        </w:tc>
      </w:tr>
      <w:tr w14:paraId="0A09A27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640" w:type="pct"/>
            <w:vMerge w:val="restart"/>
            <w:tcBorders>
              <w:right w:val="single" w:color="auto" w:sz="4" w:space="0"/>
            </w:tcBorders>
            <w:noWrap w:val="0"/>
            <w:vAlign w:val="center"/>
          </w:tcPr>
          <w:p w14:paraId="5A6D3DD4">
            <w:pPr>
              <w:bidi w:val="0"/>
              <w:spacing w:line="240" w:lineRule="auto"/>
              <w:ind w:left="0" w:leftChars="0" w:firstLine="0" w:firstLineChars="0"/>
              <w:jc w:val="center"/>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铅</w:t>
            </w:r>
          </w:p>
        </w:tc>
        <w:tc>
          <w:tcPr>
            <w:tcW w:w="509" w:type="pct"/>
            <w:tcBorders>
              <w:left w:val="single" w:color="auto" w:sz="4" w:space="0"/>
            </w:tcBorders>
            <w:noWrap w:val="0"/>
            <w:vAlign w:val="center"/>
          </w:tcPr>
          <w:p w14:paraId="60E087A7">
            <w:pPr>
              <w:bidi w:val="0"/>
              <w:spacing w:line="240" w:lineRule="auto"/>
              <w:ind w:left="0" w:leftChars="0" w:firstLine="0" w:firstLineChars="0"/>
              <w:jc w:val="center"/>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水田</w:t>
            </w:r>
          </w:p>
        </w:tc>
        <w:tc>
          <w:tcPr>
            <w:tcW w:w="1054" w:type="pct"/>
            <w:noWrap w:val="0"/>
            <w:vAlign w:val="center"/>
          </w:tcPr>
          <w:p w14:paraId="3E43D6BC">
            <w:pPr>
              <w:bidi w:val="0"/>
              <w:spacing w:line="240" w:lineRule="auto"/>
              <w:ind w:left="0" w:leftChars="0" w:firstLine="0" w:firstLineChars="0"/>
              <w:jc w:val="center"/>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80</w:t>
            </w:r>
          </w:p>
        </w:tc>
        <w:tc>
          <w:tcPr>
            <w:tcW w:w="994" w:type="pct"/>
            <w:noWrap w:val="0"/>
            <w:vAlign w:val="center"/>
          </w:tcPr>
          <w:p w14:paraId="43B82789">
            <w:pPr>
              <w:bidi w:val="0"/>
              <w:spacing w:line="240" w:lineRule="auto"/>
              <w:ind w:left="0" w:leftChars="0" w:firstLine="0" w:firstLineChars="0"/>
              <w:jc w:val="center"/>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100</w:t>
            </w:r>
          </w:p>
        </w:tc>
        <w:tc>
          <w:tcPr>
            <w:tcW w:w="950" w:type="pct"/>
            <w:tcBorders>
              <w:right w:val="single" w:color="auto" w:sz="4" w:space="0"/>
            </w:tcBorders>
            <w:noWrap w:val="0"/>
            <w:vAlign w:val="center"/>
          </w:tcPr>
          <w:p w14:paraId="27AF4DE7">
            <w:pPr>
              <w:bidi w:val="0"/>
              <w:spacing w:line="240" w:lineRule="auto"/>
              <w:ind w:left="0" w:leftChars="0" w:firstLine="0" w:firstLineChars="0"/>
              <w:jc w:val="center"/>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140</w:t>
            </w:r>
          </w:p>
        </w:tc>
        <w:tc>
          <w:tcPr>
            <w:tcW w:w="850" w:type="pct"/>
            <w:tcBorders>
              <w:left w:val="single" w:color="auto" w:sz="4" w:space="0"/>
            </w:tcBorders>
            <w:noWrap w:val="0"/>
            <w:vAlign w:val="center"/>
          </w:tcPr>
          <w:p w14:paraId="293D2253">
            <w:pPr>
              <w:bidi w:val="0"/>
              <w:spacing w:line="240" w:lineRule="auto"/>
              <w:ind w:left="0" w:leftChars="0" w:firstLine="0" w:firstLineChars="0"/>
              <w:jc w:val="center"/>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240</w:t>
            </w:r>
          </w:p>
        </w:tc>
      </w:tr>
      <w:tr w14:paraId="44CE88E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640" w:type="pct"/>
            <w:vMerge w:val="continue"/>
            <w:tcBorders>
              <w:right w:val="single" w:color="auto" w:sz="4" w:space="0"/>
            </w:tcBorders>
            <w:noWrap w:val="0"/>
            <w:vAlign w:val="center"/>
          </w:tcPr>
          <w:p w14:paraId="2447FB6D">
            <w:pPr>
              <w:bidi w:val="0"/>
              <w:spacing w:line="240" w:lineRule="auto"/>
              <w:ind w:left="0" w:leftChars="0" w:firstLine="0" w:firstLineChars="0"/>
              <w:jc w:val="center"/>
              <w:rPr>
                <w:rFonts w:hint="default" w:ascii="Times New Roman" w:hAnsi="Times New Roman" w:cs="Times New Roman"/>
                <w:sz w:val="21"/>
                <w:szCs w:val="21"/>
                <w:highlight w:val="none"/>
                <w:lang w:val="en-US" w:eastAsia="zh-CN"/>
              </w:rPr>
            </w:pPr>
          </w:p>
        </w:tc>
        <w:tc>
          <w:tcPr>
            <w:tcW w:w="509" w:type="pct"/>
            <w:tcBorders>
              <w:left w:val="single" w:color="auto" w:sz="4" w:space="0"/>
            </w:tcBorders>
            <w:noWrap w:val="0"/>
            <w:vAlign w:val="center"/>
          </w:tcPr>
          <w:p w14:paraId="5C39A195">
            <w:pPr>
              <w:bidi w:val="0"/>
              <w:spacing w:line="240" w:lineRule="auto"/>
              <w:ind w:left="0" w:leftChars="0" w:firstLine="0" w:firstLineChars="0"/>
              <w:jc w:val="center"/>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其他</w:t>
            </w:r>
          </w:p>
        </w:tc>
        <w:tc>
          <w:tcPr>
            <w:tcW w:w="1054" w:type="pct"/>
            <w:noWrap w:val="0"/>
            <w:vAlign w:val="center"/>
          </w:tcPr>
          <w:p w14:paraId="44184C17">
            <w:pPr>
              <w:bidi w:val="0"/>
              <w:spacing w:line="240" w:lineRule="auto"/>
              <w:ind w:left="0" w:leftChars="0" w:firstLine="0" w:firstLineChars="0"/>
              <w:jc w:val="center"/>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70</w:t>
            </w:r>
          </w:p>
        </w:tc>
        <w:tc>
          <w:tcPr>
            <w:tcW w:w="994" w:type="pct"/>
            <w:noWrap w:val="0"/>
            <w:vAlign w:val="center"/>
          </w:tcPr>
          <w:p w14:paraId="4A39A543">
            <w:pPr>
              <w:bidi w:val="0"/>
              <w:spacing w:line="240" w:lineRule="auto"/>
              <w:ind w:left="0" w:leftChars="0" w:firstLine="0" w:firstLineChars="0"/>
              <w:jc w:val="center"/>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90</w:t>
            </w:r>
          </w:p>
        </w:tc>
        <w:tc>
          <w:tcPr>
            <w:tcW w:w="950" w:type="pct"/>
            <w:tcBorders>
              <w:right w:val="single" w:color="auto" w:sz="4" w:space="0"/>
            </w:tcBorders>
            <w:noWrap w:val="0"/>
            <w:vAlign w:val="center"/>
          </w:tcPr>
          <w:p w14:paraId="4C4C46F4">
            <w:pPr>
              <w:bidi w:val="0"/>
              <w:spacing w:line="240" w:lineRule="auto"/>
              <w:ind w:left="0" w:leftChars="0" w:firstLine="0" w:firstLineChars="0"/>
              <w:jc w:val="center"/>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120</w:t>
            </w:r>
          </w:p>
        </w:tc>
        <w:tc>
          <w:tcPr>
            <w:tcW w:w="850" w:type="pct"/>
            <w:tcBorders>
              <w:left w:val="single" w:color="auto" w:sz="4" w:space="0"/>
            </w:tcBorders>
            <w:noWrap w:val="0"/>
            <w:vAlign w:val="center"/>
          </w:tcPr>
          <w:p w14:paraId="7FECD988">
            <w:pPr>
              <w:bidi w:val="0"/>
              <w:spacing w:line="240" w:lineRule="auto"/>
              <w:ind w:left="0" w:leftChars="0" w:firstLine="0" w:firstLineChars="0"/>
              <w:jc w:val="center"/>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170</w:t>
            </w:r>
          </w:p>
        </w:tc>
      </w:tr>
      <w:tr w14:paraId="372042E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640" w:type="pct"/>
            <w:vMerge w:val="restart"/>
            <w:tcBorders>
              <w:right w:val="single" w:color="auto" w:sz="4" w:space="0"/>
            </w:tcBorders>
            <w:noWrap w:val="0"/>
            <w:vAlign w:val="center"/>
          </w:tcPr>
          <w:p w14:paraId="05068461">
            <w:pPr>
              <w:bidi w:val="0"/>
              <w:spacing w:line="240" w:lineRule="auto"/>
              <w:ind w:left="0" w:leftChars="0" w:firstLine="0" w:firstLineChars="0"/>
              <w:jc w:val="center"/>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铬</w:t>
            </w:r>
          </w:p>
        </w:tc>
        <w:tc>
          <w:tcPr>
            <w:tcW w:w="509" w:type="pct"/>
            <w:tcBorders>
              <w:left w:val="single" w:color="auto" w:sz="4" w:space="0"/>
            </w:tcBorders>
            <w:noWrap w:val="0"/>
            <w:vAlign w:val="center"/>
          </w:tcPr>
          <w:p w14:paraId="1526F99B">
            <w:pPr>
              <w:bidi w:val="0"/>
              <w:spacing w:line="240" w:lineRule="auto"/>
              <w:ind w:left="0" w:leftChars="0" w:firstLine="0" w:firstLineChars="0"/>
              <w:jc w:val="center"/>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水田</w:t>
            </w:r>
          </w:p>
        </w:tc>
        <w:tc>
          <w:tcPr>
            <w:tcW w:w="1054" w:type="pct"/>
            <w:noWrap w:val="0"/>
            <w:vAlign w:val="center"/>
          </w:tcPr>
          <w:p w14:paraId="6DE44B7D">
            <w:pPr>
              <w:bidi w:val="0"/>
              <w:spacing w:line="240" w:lineRule="auto"/>
              <w:ind w:left="0" w:leftChars="0" w:firstLine="0" w:firstLineChars="0"/>
              <w:jc w:val="center"/>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250</w:t>
            </w:r>
          </w:p>
        </w:tc>
        <w:tc>
          <w:tcPr>
            <w:tcW w:w="994" w:type="pct"/>
            <w:noWrap w:val="0"/>
            <w:vAlign w:val="center"/>
          </w:tcPr>
          <w:p w14:paraId="38F8CB0A">
            <w:pPr>
              <w:bidi w:val="0"/>
              <w:spacing w:line="240" w:lineRule="auto"/>
              <w:ind w:left="0" w:leftChars="0" w:firstLine="0" w:firstLineChars="0"/>
              <w:jc w:val="center"/>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250</w:t>
            </w:r>
          </w:p>
        </w:tc>
        <w:tc>
          <w:tcPr>
            <w:tcW w:w="950" w:type="pct"/>
            <w:tcBorders>
              <w:right w:val="single" w:color="auto" w:sz="4" w:space="0"/>
            </w:tcBorders>
            <w:noWrap w:val="0"/>
            <w:vAlign w:val="center"/>
          </w:tcPr>
          <w:p w14:paraId="48FCE4DA">
            <w:pPr>
              <w:bidi w:val="0"/>
              <w:spacing w:line="240" w:lineRule="auto"/>
              <w:ind w:left="0" w:leftChars="0" w:firstLine="0" w:firstLineChars="0"/>
              <w:jc w:val="center"/>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300</w:t>
            </w:r>
          </w:p>
        </w:tc>
        <w:tc>
          <w:tcPr>
            <w:tcW w:w="850" w:type="pct"/>
            <w:tcBorders>
              <w:left w:val="single" w:color="auto" w:sz="4" w:space="0"/>
            </w:tcBorders>
            <w:noWrap w:val="0"/>
            <w:vAlign w:val="center"/>
          </w:tcPr>
          <w:p w14:paraId="74FE576B">
            <w:pPr>
              <w:bidi w:val="0"/>
              <w:spacing w:line="240" w:lineRule="auto"/>
              <w:ind w:left="0" w:leftChars="0" w:firstLine="0" w:firstLineChars="0"/>
              <w:jc w:val="center"/>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350</w:t>
            </w:r>
          </w:p>
        </w:tc>
      </w:tr>
      <w:tr w14:paraId="634F911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640" w:type="pct"/>
            <w:vMerge w:val="continue"/>
            <w:tcBorders>
              <w:right w:val="single" w:color="auto" w:sz="4" w:space="0"/>
            </w:tcBorders>
            <w:noWrap w:val="0"/>
            <w:vAlign w:val="center"/>
          </w:tcPr>
          <w:p w14:paraId="57115072">
            <w:pPr>
              <w:bidi w:val="0"/>
              <w:spacing w:line="240" w:lineRule="auto"/>
              <w:ind w:left="0" w:leftChars="0" w:firstLine="0" w:firstLineChars="0"/>
              <w:jc w:val="center"/>
              <w:rPr>
                <w:rFonts w:hint="default" w:ascii="Times New Roman" w:hAnsi="Times New Roman" w:cs="Times New Roman"/>
                <w:sz w:val="21"/>
                <w:szCs w:val="21"/>
                <w:highlight w:val="none"/>
                <w:lang w:val="en-US" w:eastAsia="zh-CN"/>
              </w:rPr>
            </w:pPr>
          </w:p>
        </w:tc>
        <w:tc>
          <w:tcPr>
            <w:tcW w:w="509" w:type="pct"/>
            <w:tcBorders>
              <w:left w:val="single" w:color="auto" w:sz="4" w:space="0"/>
            </w:tcBorders>
            <w:noWrap w:val="0"/>
            <w:vAlign w:val="center"/>
          </w:tcPr>
          <w:p w14:paraId="729946D5">
            <w:pPr>
              <w:bidi w:val="0"/>
              <w:spacing w:line="240" w:lineRule="auto"/>
              <w:ind w:left="0" w:leftChars="0" w:firstLine="0" w:firstLineChars="0"/>
              <w:jc w:val="center"/>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其他</w:t>
            </w:r>
          </w:p>
        </w:tc>
        <w:tc>
          <w:tcPr>
            <w:tcW w:w="1054" w:type="pct"/>
            <w:noWrap w:val="0"/>
            <w:vAlign w:val="center"/>
          </w:tcPr>
          <w:p w14:paraId="036D3938">
            <w:pPr>
              <w:bidi w:val="0"/>
              <w:spacing w:line="240" w:lineRule="auto"/>
              <w:ind w:left="0" w:leftChars="0" w:firstLine="0" w:firstLineChars="0"/>
              <w:jc w:val="center"/>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150</w:t>
            </w:r>
          </w:p>
        </w:tc>
        <w:tc>
          <w:tcPr>
            <w:tcW w:w="994" w:type="pct"/>
            <w:noWrap w:val="0"/>
            <w:vAlign w:val="center"/>
          </w:tcPr>
          <w:p w14:paraId="762AD01F">
            <w:pPr>
              <w:bidi w:val="0"/>
              <w:spacing w:line="240" w:lineRule="auto"/>
              <w:ind w:left="0" w:leftChars="0" w:firstLine="0" w:firstLineChars="0"/>
              <w:jc w:val="center"/>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150</w:t>
            </w:r>
          </w:p>
        </w:tc>
        <w:tc>
          <w:tcPr>
            <w:tcW w:w="950" w:type="pct"/>
            <w:tcBorders>
              <w:right w:val="single" w:color="auto" w:sz="4" w:space="0"/>
            </w:tcBorders>
            <w:noWrap w:val="0"/>
            <w:vAlign w:val="center"/>
          </w:tcPr>
          <w:p w14:paraId="45213819">
            <w:pPr>
              <w:bidi w:val="0"/>
              <w:spacing w:line="240" w:lineRule="auto"/>
              <w:ind w:left="0" w:leftChars="0" w:firstLine="0" w:firstLineChars="0"/>
              <w:jc w:val="center"/>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200</w:t>
            </w:r>
          </w:p>
        </w:tc>
        <w:tc>
          <w:tcPr>
            <w:tcW w:w="850" w:type="pct"/>
            <w:tcBorders>
              <w:left w:val="single" w:color="auto" w:sz="4" w:space="0"/>
            </w:tcBorders>
            <w:noWrap w:val="0"/>
            <w:vAlign w:val="center"/>
          </w:tcPr>
          <w:p w14:paraId="60B79CC8">
            <w:pPr>
              <w:bidi w:val="0"/>
              <w:spacing w:line="240" w:lineRule="auto"/>
              <w:ind w:left="0" w:leftChars="0" w:firstLine="0" w:firstLineChars="0"/>
              <w:jc w:val="center"/>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250</w:t>
            </w:r>
          </w:p>
        </w:tc>
      </w:tr>
      <w:tr w14:paraId="5F0DB72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640" w:type="pct"/>
            <w:vMerge w:val="restart"/>
            <w:tcBorders>
              <w:right w:val="single" w:color="auto" w:sz="4" w:space="0"/>
            </w:tcBorders>
            <w:noWrap w:val="0"/>
            <w:vAlign w:val="center"/>
          </w:tcPr>
          <w:p w14:paraId="3661AE95">
            <w:pPr>
              <w:bidi w:val="0"/>
              <w:spacing w:line="240" w:lineRule="auto"/>
              <w:ind w:left="0" w:leftChars="0" w:firstLine="0" w:firstLineChars="0"/>
              <w:jc w:val="center"/>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铜</w:t>
            </w:r>
          </w:p>
        </w:tc>
        <w:tc>
          <w:tcPr>
            <w:tcW w:w="509" w:type="pct"/>
            <w:tcBorders>
              <w:left w:val="single" w:color="auto" w:sz="4" w:space="0"/>
            </w:tcBorders>
            <w:noWrap w:val="0"/>
            <w:vAlign w:val="center"/>
          </w:tcPr>
          <w:p w14:paraId="72F3D389">
            <w:pPr>
              <w:bidi w:val="0"/>
              <w:spacing w:line="240" w:lineRule="auto"/>
              <w:ind w:left="0" w:leftChars="0" w:firstLine="0" w:firstLineChars="0"/>
              <w:jc w:val="center"/>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水田</w:t>
            </w:r>
          </w:p>
        </w:tc>
        <w:tc>
          <w:tcPr>
            <w:tcW w:w="1054" w:type="pct"/>
            <w:noWrap w:val="0"/>
            <w:vAlign w:val="center"/>
          </w:tcPr>
          <w:p w14:paraId="7E31BB62">
            <w:pPr>
              <w:bidi w:val="0"/>
              <w:spacing w:line="240" w:lineRule="auto"/>
              <w:ind w:left="0" w:leftChars="0" w:firstLine="0" w:firstLineChars="0"/>
              <w:jc w:val="center"/>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150</w:t>
            </w:r>
          </w:p>
        </w:tc>
        <w:tc>
          <w:tcPr>
            <w:tcW w:w="994" w:type="pct"/>
            <w:noWrap w:val="0"/>
            <w:vAlign w:val="center"/>
          </w:tcPr>
          <w:p w14:paraId="330BB0F6">
            <w:pPr>
              <w:bidi w:val="0"/>
              <w:spacing w:line="240" w:lineRule="auto"/>
              <w:ind w:left="0" w:leftChars="0" w:firstLine="0" w:firstLineChars="0"/>
              <w:jc w:val="center"/>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150</w:t>
            </w:r>
          </w:p>
        </w:tc>
        <w:tc>
          <w:tcPr>
            <w:tcW w:w="950" w:type="pct"/>
            <w:tcBorders>
              <w:right w:val="single" w:color="auto" w:sz="4" w:space="0"/>
            </w:tcBorders>
            <w:noWrap w:val="0"/>
            <w:vAlign w:val="center"/>
          </w:tcPr>
          <w:p w14:paraId="66C95E62">
            <w:pPr>
              <w:bidi w:val="0"/>
              <w:spacing w:line="240" w:lineRule="auto"/>
              <w:ind w:left="0" w:leftChars="0" w:firstLine="0" w:firstLineChars="0"/>
              <w:jc w:val="center"/>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200</w:t>
            </w:r>
          </w:p>
        </w:tc>
        <w:tc>
          <w:tcPr>
            <w:tcW w:w="850" w:type="pct"/>
            <w:tcBorders>
              <w:left w:val="single" w:color="auto" w:sz="4" w:space="0"/>
            </w:tcBorders>
            <w:noWrap w:val="0"/>
            <w:vAlign w:val="center"/>
          </w:tcPr>
          <w:p w14:paraId="5F3DB890">
            <w:pPr>
              <w:bidi w:val="0"/>
              <w:spacing w:line="240" w:lineRule="auto"/>
              <w:ind w:left="0" w:leftChars="0" w:firstLine="0" w:firstLineChars="0"/>
              <w:jc w:val="center"/>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200</w:t>
            </w:r>
          </w:p>
        </w:tc>
      </w:tr>
      <w:tr w14:paraId="71C4A9F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640" w:type="pct"/>
            <w:vMerge w:val="continue"/>
            <w:tcBorders>
              <w:right w:val="single" w:color="auto" w:sz="4" w:space="0"/>
            </w:tcBorders>
            <w:noWrap w:val="0"/>
            <w:vAlign w:val="center"/>
          </w:tcPr>
          <w:p w14:paraId="3D8C4A3D">
            <w:pPr>
              <w:bidi w:val="0"/>
              <w:spacing w:line="240" w:lineRule="auto"/>
              <w:ind w:left="0" w:leftChars="0" w:firstLine="0" w:firstLineChars="0"/>
              <w:jc w:val="center"/>
              <w:rPr>
                <w:rFonts w:hint="default" w:ascii="Times New Roman" w:hAnsi="Times New Roman" w:cs="Times New Roman"/>
                <w:sz w:val="21"/>
                <w:szCs w:val="21"/>
                <w:highlight w:val="none"/>
                <w:lang w:val="en-US" w:eastAsia="zh-CN"/>
              </w:rPr>
            </w:pPr>
          </w:p>
        </w:tc>
        <w:tc>
          <w:tcPr>
            <w:tcW w:w="509" w:type="pct"/>
            <w:tcBorders>
              <w:left w:val="single" w:color="auto" w:sz="4" w:space="0"/>
            </w:tcBorders>
            <w:noWrap w:val="0"/>
            <w:vAlign w:val="center"/>
          </w:tcPr>
          <w:p w14:paraId="092CAB33">
            <w:pPr>
              <w:bidi w:val="0"/>
              <w:spacing w:line="240" w:lineRule="auto"/>
              <w:ind w:left="0" w:leftChars="0" w:firstLine="0" w:firstLineChars="0"/>
              <w:jc w:val="center"/>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其他</w:t>
            </w:r>
          </w:p>
        </w:tc>
        <w:tc>
          <w:tcPr>
            <w:tcW w:w="1054" w:type="pct"/>
            <w:noWrap w:val="0"/>
            <w:vAlign w:val="center"/>
          </w:tcPr>
          <w:p w14:paraId="35B11EEF">
            <w:pPr>
              <w:bidi w:val="0"/>
              <w:spacing w:line="240" w:lineRule="auto"/>
              <w:ind w:left="0" w:leftChars="0" w:firstLine="0" w:firstLineChars="0"/>
              <w:jc w:val="center"/>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50</w:t>
            </w:r>
          </w:p>
        </w:tc>
        <w:tc>
          <w:tcPr>
            <w:tcW w:w="994" w:type="pct"/>
            <w:noWrap w:val="0"/>
            <w:vAlign w:val="center"/>
          </w:tcPr>
          <w:p w14:paraId="59F17D7B">
            <w:pPr>
              <w:bidi w:val="0"/>
              <w:spacing w:line="240" w:lineRule="auto"/>
              <w:ind w:left="0" w:leftChars="0" w:firstLine="0" w:firstLineChars="0"/>
              <w:jc w:val="center"/>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50</w:t>
            </w:r>
          </w:p>
        </w:tc>
        <w:tc>
          <w:tcPr>
            <w:tcW w:w="950" w:type="pct"/>
            <w:tcBorders>
              <w:right w:val="single" w:color="auto" w:sz="4" w:space="0"/>
            </w:tcBorders>
            <w:noWrap w:val="0"/>
            <w:vAlign w:val="center"/>
          </w:tcPr>
          <w:p w14:paraId="7A973AA3">
            <w:pPr>
              <w:bidi w:val="0"/>
              <w:spacing w:line="240" w:lineRule="auto"/>
              <w:ind w:left="0" w:leftChars="0" w:firstLine="0" w:firstLineChars="0"/>
              <w:jc w:val="center"/>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100</w:t>
            </w:r>
          </w:p>
        </w:tc>
        <w:tc>
          <w:tcPr>
            <w:tcW w:w="850" w:type="pct"/>
            <w:tcBorders>
              <w:left w:val="single" w:color="auto" w:sz="4" w:space="0"/>
            </w:tcBorders>
            <w:noWrap w:val="0"/>
            <w:vAlign w:val="center"/>
          </w:tcPr>
          <w:p w14:paraId="449E391A">
            <w:pPr>
              <w:bidi w:val="0"/>
              <w:spacing w:line="240" w:lineRule="auto"/>
              <w:ind w:left="0" w:leftChars="0" w:firstLine="0" w:firstLineChars="0"/>
              <w:jc w:val="center"/>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100</w:t>
            </w:r>
          </w:p>
        </w:tc>
      </w:tr>
      <w:tr w14:paraId="59F6D3E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1149" w:type="pct"/>
            <w:gridSpan w:val="2"/>
            <w:noWrap w:val="0"/>
            <w:vAlign w:val="center"/>
          </w:tcPr>
          <w:p w14:paraId="10EE81C9">
            <w:pPr>
              <w:bidi w:val="0"/>
              <w:spacing w:line="240" w:lineRule="auto"/>
              <w:ind w:left="0" w:leftChars="0" w:firstLine="0" w:firstLineChars="0"/>
              <w:jc w:val="center"/>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镍</w:t>
            </w:r>
          </w:p>
        </w:tc>
        <w:tc>
          <w:tcPr>
            <w:tcW w:w="1054" w:type="pct"/>
            <w:noWrap w:val="0"/>
            <w:vAlign w:val="center"/>
          </w:tcPr>
          <w:p w14:paraId="7E8D89A0">
            <w:pPr>
              <w:bidi w:val="0"/>
              <w:spacing w:line="240" w:lineRule="auto"/>
              <w:ind w:left="0" w:leftChars="0" w:firstLine="0" w:firstLineChars="0"/>
              <w:jc w:val="center"/>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60</w:t>
            </w:r>
          </w:p>
        </w:tc>
        <w:tc>
          <w:tcPr>
            <w:tcW w:w="994" w:type="pct"/>
            <w:noWrap w:val="0"/>
            <w:vAlign w:val="center"/>
          </w:tcPr>
          <w:p w14:paraId="75685FA0">
            <w:pPr>
              <w:bidi w:val="0"/>
              <w:spacing w:line="240" w:lineRule="auto"/>
              <w:ind w:left="0" w:leftChars="0" w:firstLine="0" w:firstLineChars="0"/>
              <w:jc w:val="center"/>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70</w:t>
            </w:r>
          </w:p>
        </w:tc>
        <w:tc>
          <w:tcPr>
            <w:tcW w:w="950" w:type="pct"/>
            <w:tcBorders>
              <w:right w:val="single" w:color="auto" w:sz="4" w:space="0"/>
            </w:tcBorders>
            <w:noWrap w:val="0"/>
            <w:vAlign w:val="center"/>
          </w:tcPr>
          <w:p w14:paraId="5D56B86B">
            <w:pPr>
              <w:bidi w:val="0"/>
              <w:spacing w:line="240" w:lineRule="auto"/>
              <w:ind w:left="0" w:leftChars="0" w:firstLine="0" w:firstLineChars="0"/>
              <w:jc w:val="center"/>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100</w:t>
            </w:r>
          </w:p>
        </w:tc>
        <w:tc>
          <w:tcPr>
            <w:tcW w:w="850" w:type="pct"/>
            <w:tcBorders>
              <w:left w:val="single" w:color="auto" w:sz="4" w:space="0"/>
            </w:tcBorders>
            <w:noWrap w:val="0"/>
            <w:vAlign w:val="center"/>
          </w:tcPr>
          <w:p w14:paraId="36A1261A">
            <w:pPr>
              <w:bidi w:val="0"/>
              <w:spacing w:line="240" w:lineRule="auto"/>
              <w:ind w:left="0" w:leftChars="0" w:firstLine="0" w:firstLineChars="0"/>
              <w:jc w:val="center"/>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190</w:t>
            </w:r>
          </w:p>
        </w:tc>
      </w:tr>
      <w:tr w14:paraId="4F7F64E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1149" w:type="pct"/>
            <w:gridSpan w:val="2"/>
            <w:noWrap w:val="0"/>
            <w:vAlign w:val="center"/>
          </w:tcPr>
          <w:p w14:paraId="261C0504">
            <w:pPr>
              <w:bidi w:val="0"/>
              <w:spacing w:line="240" w:lineRule="auto"/>
              <w:ind w:left="0" w:leftChars="0" w:firstLine="0" w:firstLineChars="0"/>
              <w:jc w:val="center"/>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锌</w:t>
            </w:r>
          </w:p>
        </w:tc>
        <w:tc>
          <w:tcPr>
            <w:tcW w:w="1054" w:type="pct"/>
            <w:noWrap w:val="0"/>
            <w:vAlign w:val="center"/>
          </w:tcPr>
          <w:p w14:paraId="56CE04E3">
            <w:pPr>
              <w:bidi w:val="0"/>
              <w:spacing w:line="240" w:lineRule="auto"/>
              <w:ind w:left="0" w:leftChars="0" w:firstLine="0" w:firstLineChars="0"/>
              <w:jc w:val="center"/>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200</w:t>
            </w:r>
          </w:p>
        </w:tc>
        <w:tc>
          <w:tcPr>
            <w:tcW w:w="994" w:type="pct"/>
            <w:noWrap w:val="0"/>
            <w:vAlign w:val="center"/>
          </w:tcPr>
          <w:p w14:paraId="572237A4">
            <w:pPr>
              <w:bidi w:val="0"/>
              <w:spacing w:line="240" w:lineRule="auto"/>
              <w:ind w:left="0" w:leftChars="0" w:firstLine="0" w:firstLineChars="0"/>
              <w:jc w:val="center"/>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200</w:t>
            </w:r>
          </w:p>
        </w:tc>
        <w:tc>
          <w:tcPr>
            <w:tcW w:w="950" w:type="pct"/>
            <w:tcBorders>
              <w:right w:val="single" w:color="auto" w:sz="4" w:space="0"/>
            </w:tcBorders>
            <w:noWrap w:val="0"/>
            <w:vAlign w:val="center"/>
          </w:tcPr>
          <w:p w14:paraId="7E500E6C">
            <w:pPr>
              <w:bidi w:val="0"/>
              <w:spacing w:line="240" w:lineRule="auto"/>
              <w:ind w:left="0" w:leftChars="0" w:firstLine="0" w:firstLineChars="0"/>
              <w:jc w:val="center"/>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250</w:t>
            </w:r>
          </w:p>
        </w:tc>
        <w:tc>
          <w:tcPr>
            <w:tcW w:w="850" w:type="pct"/>
            <w:tcBorders>
              <w:left w:val="single" w:color="auto" w:sz="4" w:space="0"/>
            </w:tcBorders>
            <w:noWrap w:val="0"/>
            <w:vAlign w:val="center"/>
          </w:tcPr>
          <w:p w14:paraId="4B9755E6">
            <w:pPr>
              <w:bidi w:val="0"/>
              <w:spacing w:line="240" w:lineRule="auto"/>
              <w:ind w:left="0" w:leftChars="0" w:firstLine="0" w:firstLineChars="0"/>
              <w:jc w:val="center"/>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300</w:t>
            </w:r>
          </w:p>
        </w:tc>
      </w:tr>
    </w:tbl>
    <w:p w14:paraId="7A8DD23F">
      <w:pPr>
        <w:pStyle w:val="9"/>
        <w:numPr>
          <w:ilvl w:val="2"/>
          <w:numId w:val="1"/>
        </w:numPr>
        <w:bidi w:val="0"/>
        <w:ind w:left="709" w:leftChars="0" w:hanging="709" w:firstLineChars="0"/>
        <w:rPr>
          <w:rFonts w:hint="default"/>
          <w:highlight w:val="none"/>
        </w:rPr>
      </w:pPr>
      <w:bookmarkStart w:id="23" w:name="_Toc9703"/>
      <w:r>
        <w:rPr>
          <w:rFonts w:hint="default"/>
          <w:highlight w:val="none"/>
        </w:rPr>
        <w:t>污染物排放标准</w:t>
      </w:r>
      <w:bookmarkEnd w:id="23"/>
    </w:p>
    <w:p w14:paraId="2C3784AF">
      <w:pPr>
        <w:bidi w:val="0"/>
        <w:rPr>
          <w:rFonts w:hint="default"/>
          <w:b/>
          <w:bCs/>
          <w:highlight w:val="none"/>
          <w:lang w:val="en-US" w:eastAsia="zh-CN"/>
        </w:rPr>
      </w:pPr>
      <w:r>
        <w:rPr>
          <w:rFonts w:hint="eastAsia"/>
          <w:b/>
          <w:bCs/>
          <w:highlight w:val="none"/>
          <w:lang w:val="en-US" w:eastAsia="zh-CN"/>
        </w:rPr>
        <w:t>（1）废气</w:t>
      </w:r>
    </w:p>
    <w:p w14:paraId="243F2F81">
      <w:pPr>
        <w:bidi w:val="0"/>
        <w:rPr>
          <w:rFonts w:hint="default"/>
          <w:highlight w:val="none"/>
          <w:lang w:val="en-US" w:eastAsia="zh-CN"/>
        </w:rPr>
      </w:pPr>
      <w:r>
        <w:rPr>
          <w:rFonts w:hint="eastAsia"/>
          <w:highlight w:val="none"/>
          <w:lang w:val="en-US" w:eastAsia="zh-CN"/>
        </w:rPr>
        <w:t>施工期废气执行《大气污染物综合排放标准》（GB16297-1996）表2中无组织排放限值，具体见表2.4-8。</w:t>
      </w:r>
    </w:p>
    <w:p w14:paraId="2F318DD5">
      <w:pPr>
        <w:bidi w:val="0"/>
        <w:ind w:left="0" w:leftChars="0" w:firstLine="0" w:firstLineChars="0"/>
        <w:jc w:val="center"/>
        <w:rPr>
          <w:rFonts w:hint="eastAsia"/>
          <w:b/>
          <w:bCs/>
          <w:sz w:val="21"/>
          <w:szCs w:val="21"/>
          <w:highlight w:val="none"/>
          <w:vertAlign w:val="superscript"/>
          <w:lang w:val="en-US" w:eastAsia="zh-CN"/>
        </w:rPr>
      </w:pPr>
      <w:r>
        <w:rPr>
          <w:rFonts w:hint="eastAsia"/>
          <w:b/>
          <w:bCs/>
          <w:sz w:val="21"/>
          <w:szCs w:val="21"/>
          <w:highlight w:val="none"/>
          <w:lang w:val="en-US" w:eastAsia="zh-CN"/>
        </w:rPr>
        <w:t>表2.4-8  大气污染物综合排放标准（摘录）    单位：mg/m</w:t>
      </w:r>
      <w:r>
        <w:rPr>
          <w:rFonts w:hint="eastAsia"/>
          <w:b/>
          <w:bCs/>
          <w:sz w:val="21"/>
          <w:szCs w:val="21"/>
          <w:highlight w:val="none"/>
          <w:vertAlign w:val="superscript"/>
          <w:lang w:val="en-US" w:eastAsia="zh-CN"/>
        </w:rPr>
        <w:t>3</w:t>
      </w:r>
    </w:p>
    <w:tbl>
      <w:tblPr>
        <w:tblStyle w:val="35"/>
        <w:tblW w:w="4999" w:type="pct"/>
        <w:tblInd w:w="0" w:type="dxa"/>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autofit"/>
        <w:tblCellMar>
          <w:top w:w="0" w:type="dxa"/>
          <w:left w:w="108" w:type="dxa"/>
          <w:bottom w:w="0" w:type="dxa"/>
          <w:right w:w="108" w:type="dxa"/>
        </w:tblCellMar>
      </w:tblPr>
      <w:tblGrid>
        <w:gridCol w:w="2692"/>
        <w:gridCol w:w="3508"/>
        <w:gridCol w:w="3030"/>
      </w:tblGrid>
      <w:tr w14:paraId="50B8BF0E">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3" w:hRule="atLeast"/>
        </w:trPr>
        <w:tc>
          <w:tcPr>
            <w:tcW w:w="1458" w:type="pct"/>
            <w:vMerge w:val="restart"/>
            <w:noWrap w:val="0"/>
            <w:vAlign w:val="center"/>
          </w:tcPr>
          <w:p w14:paraId="5FF42CC1">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baseline"/>
              <w:rPr>
                <w:rFonts w:hint="default"/>
                <w:b/>
                <w:bCs/>
                <w:sz w:val="21"/>
                <w:szCs w:val="21"/>
                <w:highlight w:val="none"/>
              </w:rPr>
            </w:pPr>
            <w:r>
              <w:rPr>
                <w:rFonts w:hint="default"/>
                <w:b/>
                <w:bCs/>
                <w:sz w:val="21"/>
                <w:szCs w:val="21"/>
                <w:highlight w:val="none"/>
              </w:rPr>
              <w:t>污染物项目</w:t>
            </w:r>
          </w:p>
        </w:tc>
        <w:tc>
          <w:tcPr>
            <w:tcW w:w="3541" w:type="pct"/>
            <w:gridSpan w:val="2"/>
            <w:noWrap w:val="0"/>
            <w:vAlign w:val="center"/>
          </w:tcPr>
          <w:p w14:paraId="142B3149">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baseline"/>
              <w:rPr>
                <w:rFonts w:hint="default"/>
                <w:b/>
                <w:bCs/>
                <w:sz w:val="21"/>
                <w:szCs w:val="21"/>
                <w:highlight w:val="none"/>
                <w:lang w:val="en-US" w:eastAsia="zh-CN"/>
              </w:rPr>
            </w:pPr>
            <w:r>
              <w:rPr>
                <w:rFonts w:hint="eastAsia"/>
                <w:b/>
                <w:bCs/>
                <w:sz w:val="21"/>
                <w:szCs w:val="21"/>
                <w:highlight w:val="none"/>
                <w:lang w:eastAsia="zh-CN"/>
              </w:rPr>
              <w:t>无组织排放监控浓度限值</w:t>
            </w:r>
          </w:p>
        </w:tc>
      </w:tr>
      <w:tr w14:paraId="36B4A162">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3" w:hRule="atLeast"/>
        </w:trPr>
        <w:tc>
          <w:tcPr>
            <w:tcW w:w="1458" w:type="pct"/>
            <w:vMerge w:val="continue"/>
            <w:noWrap w:val="0"/>
            <w:vAlign w:val="center"/>
          </w:tcPr>
          <w:p w14:paraId="72D72C17">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baseline"/>
              <w:rPr>
                <w:rFonts w:hint="default"/>
                <w:b/>
                <w:bCs/>
                <w:sz w:val="21"/>
                <w:szCs w:val="21"/>
                <w:highlight w:val="none"/>
              </w:rPr>
            </w:pPr>
          </w:p>
        </w:tc>
        <w:tc>
          <w:tcPr>
            <w:tcW w:w="1900" w:type="pct"/>
            <w:shd w:val="clear" w:color="auto" w:fill="auto"/>
            <w:noWrap w:val="0"/>
            <w:vAlign w:val="center"/>
          </w:tcPr>
          <w:p w14:paraId="5E95132B">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baseline"/>
              <w:rPr>
                <w:rFonts w:hint="default" w:ascii="Times New Roman" w:hAnsi="Times New Roman" w:eastAsia="宋体" w:cs="Times New Roman"/>
                <w:b/>
                <w:bCs/>
                <w:kern w:val="2"/>
                <w:sz w:val="21"/>
                <w:szCs w:val="21"/>
                <w:highlight w:val="none"/>
                <w:lang w:val="en-US" w:eastAsia="zh-CN" w:bidi="ar-SA"/>
              </w:rPr>
            </w:pPr>
            <w:r>
              <w:rPr>
                <w:rFonts w:hint="eastAsia" w:cs="Times New Roman"/>
                <w:b/>
                <w:bCs/>
                <w:kern w:val="2"/>
                <w:sz w:val="21"/>
                <w:szCs w:val="21"/>
                <w:highlight w:val="none"/>
                <w:lang w:val="en-US" w:eastAsia="zh-CN" w:bidi="ar-SA"/>
              </w:rPr>
              <w:t>监控点</w:t>
            </w:r>
          </w:p>
        </w:tc>
        <w:tc>
          <w:tcPr>
            <w:tcW w:w="1641" w:type="pct"/>
            <w:shd w:val="clear" w:color="auto" w:fill="auto"/>
            <w:noWrap w:val="0"/>
            <w:vAlign w:val="center"/>
          </w:tcPr>
          <w:p w14:paraId="2767EE9B">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baseline"/>
              <w:rPr>
                <w:rFonts w:hint="default" w:ascii="Times New Roman" w:hAnsi="Times New Roman" w:eastAsia="宋体" w:cs="Times New Roman"/>
                <w:b/>
                <w:bCs/>
                <w:kern w:val="2"/>
                <w:sz w:val="21"/>
                <w:szCs w:val="21"/>
                <w:highlight w:val="none"/>
                <w:lang w:val="en-US" w:eastAsia="zh-CN" w:bidi="ar-SA"/>
              </w:rPr>
            </w:pPr>
            <w:r>
              <w:rPr>
                <w:rFonts w:hint="eastAsia" w:cs="Times New Roman"/>
                <w:b/>
                <w:bCs/>
                <w:kern w:val="2"/>
                <w:sz w:val="21"/>
                <w:szCs w:val="21"/>
                <w:highlight w:val="none"/>
                <w:lang w:val="en-US" w:eastAsia="zh-CN" w:bidi="ar-SA"/>
              </w:rPr>
              <w:t>浓度（mg/m</w:t>
            </w:r>
            <w:r>
              <w:rPr>
                <w:rFonts w:hint="eastAsia" w:cs="Times New Roman"/>
                <w:b/>
                <w:bCs/>
                <w:kern w:val="2"/>
                <w:sz w:val="21"/>
                <w:szCs w:val="21"/>
                <w:highlight w:val="none"/>
                <w:vertAlign w:val="superscript"/>
                <w:lang w:val="en-US" w:eastAsia="zh-CN" w:bidi="ar-SA"/>
              </w:rPr>
              <w:t>3</w:t>
            </w:r>
            <w:r>
              <w:rPr>
                <w:rFonts w:hint="eastAsia" w:cs="Times New Roman"/>
                <w:b/>
                <w:bCs/>
                <w:kern w:val="2"/>
                <w:sz w:val="21"/>
                <w:szCs w:val="21"/>
                <w:highlight w:val="none"/>
                <w:lang w:val="en-US" w:eastAsia="zh-CN" w:bidi="ar-SA"/>
              </w:rPr>
              <w:t>）</w:t>
            </w:r>
          </w:p>
        </w:tc>
      </w:tr>
      <w:tr w14:paraId="146F9993">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3" w:hRule="atLeast"/>
        </w:trPr>
        <w:tc>
          <w:tcPr>
            <w:tcW w:w="1458" w:type="pct"/>
            <w:noWrap w:val="0"/>
            <w:vAlign w:val="center"/>
          </w:tcPr>
          <w:p w14:paraId="2ACCB583">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baseline"/>
              <w:rPr>
                <w:rFonts w:hint="default"/>
                <w:sz w:val="21"/>
                <w:szCs w:val="21"/>
                <w:highlight w:val="none"/>
                <w:lang w:val="en-US" w:eastAsia="zh-CN"/>
              </w:rPr>
            </w:pPr>
            <w:r>
              <w:rPr>
                <w:rFonts w:hint="eastAsia"/>
                <w:sz w:val="21"/>
                <w:szCs w:val="21"/>
                <w:highlight w:val="none"/>
                <w:lang w:val="en-US" w:eastAsia="zh-CN"/>
              </w:rPr>
              <w:t>颗粒物</w:t>
            </w:r>
          </w:p>
        </w:tc>
        <w:tc>
          <w:tcPr>
            <w:tcW w:w="1900" w:type="pct"/>
            <w:noWrap w:val="0"/>
            <w:vAlign w:val="center"/>
          </w:tcPr>
          <w:p w14:paraId="5BAC5B40">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baseline"/>
              <w:rPr>
                <w:rFonts w:hint="default"/>
                <w:sz w:val="21"/>
                <w:szCs w:val="21"/>
                <w:highlight w:val="none"/>
                <w:lang w:val="en-US" w:eastAsia="zh-CN"/>
              </w:rPr>
            </w:pPr>
            <w:r>
              <w:rPr>
                <w:rFonts w:hint="eastAsia"/>
                <w:sz w:val="21"/>
                <w:szCs w:val="21"/>
                <w:highlight w:val="none"/>
                <w:lang w:val="en-US" w:eastAsia="zh-CN"/>
              </w:rPr>
              <w:t>周界外浓度最高点</w:t>
            </w:r>
          </w:p>
        </w:tc>
        <w:tc>
          <w:tcPr>
            <w:tcW w:w="1641" w:type="pct"/>
            <w:noWrap w:val="0"/>
            <w:vAlign w:val="center"/>
          </w:tcPr>
          <w:p w14:paraId="44CB462C">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baseline"/>
              <w:rPr>
                <w:rFonts w:hint="default"/>
                <w:sz w:val="21"/>
                <w:szCs w:val="21"/>
                <w:highlight w:val="none"/>
                <w:lang w:val="en-US" w:eastAsia="zh-CN"/>
              </w:rPr>
            </w:pPr>
            <w:r>
              <w:rPr>
                <w:rFonts w:hint="eastAsia"/>
                <w:sz w:val="21"/>
                <w:szCs w:val="21"/>
                <w:highlight w:val="none"/>
                <w:lang w:val="en-US" w:eastAsia="zh-CN"/>
              </w:rPr>
              <w:t>1.0</w:t>
            </w:r>
          </w:p>
        </w:tc>
      </w:tr>
    </w:tbl>
    <w:p w14:paraId="70E9BC1E">
      <w:pPr>
        <w:bidi w:val="0"/>
        <w:rPr>
          <w:rFonts w:hint="default"/>
          <w:b/>
          <w:bCs/>
          <w:highlight w:val="none"/>
          <w:lang w:val="en-US" w:eastAsia="zh-CN"/>
        </w:rPr>
      </w:pPr>
      <w:r>
        <w:rPr>
          <w:rFonts w:hint="eastAsia"/>
          <w:b/>
          <w:bCs/>
          <w:highlight w:val="none"/>
          <w:lang w:val="en-US" w:eastAsia="zh-CN"/>
        </w:rPr>
        <w:t>（2）废水</w:t>
      </w:r>
    </w:p>
    <w:p w14:paraId="4F0A2A34">
      <w:pPr>
        <w:bidi w:val="0"/>
        <w:rPr>
          <w:rFonts w:hint="eastAsia"/>
          <w:highlight w:val="none"/>
          <w:lang w:val="en-US" w:eastAsia="zh-CN"/>
        </w:rPr>
      </w:pPr>
      <w:r>
        <w:rPr>
          <w:rFonts w:hint="eastAsia"/>
          <w:lang w:val="en-US" w:eastAsia="zh-CN"/>
        </w:rPr>
        <w:t>施工清挖过程中雨季产生的淋溶水、车辆冲洗废水</w:t>
      </w:r>
      <w:r>
        <w:rPr>
          <w:rFonts w:hint="eastAsia"/>
          <w:highlight w:val="none"/>
          <w:lang w:val="en-US" w:eastAsia="zh-CN"/>
        </w:rPr>
        <w:t>经处理后回用于施工场地洒水抑尘等，不外排；施工期生活污水经化粪池处理后用于农肥，不外排。</w:t>
      </w:r>
    </w:p>
    <w:p w14:paraId="1919979B">
      <w:pPr>
        <w:bidi w:val="0"/>
        <w:rPr>
          <w:rFonts w:hint="eastAsia"/>
          <w:highlight w:val="none"/>
          <w:lang w:val="en-US" w:eastAsia="zh-CN"/>
        </w:rPr>
      </w:pPr>
      <w:r>
        <w:rPr>
          <w:rFonts w:hint="eastAsia"/>
          <w:highlight w:val="none"/>
          <w:lang w:val="en-US" w:eastAsia="zh-CN"/>
        </w:rPr>
        <w:t>渗滤液经一体化废水处理设施处理达到《污水综合排放标准》（GB8978-1996）中表1第一类污染物最高允许排放浓度及表4第二类污染物最高允许排放浓度一级标准后委托湖南黄金天岳矿业有限公司垂拱洞尾矿库废水处理站进一步处理后排放。</w:t>
      </w:r>
    </w:p>
    <w:p w14:paraId="182B8540">
      <w:pPr>
        <w:bidi w:val="0"/>
        <w:ind w:left="0" w:leftChars="0" w:firstLine="0" w:firstLineChars="0"/>
        <w:jc w:val="center"/>
        <w:rPr>
          <w:rFonts w:hint="eastAsia"/>
          <w:b/>
          <w:bCs/>
          <w:sz w:val="21"/>
          <w:szCs w:val="21"/>
          <w:highlight w:val="none"/>
          <w:lang w:val="en-US" w:eastAsia="zh-CN"/>
        </w:rPr>
      </w:pPr>
      <w:r>
        <w:rPr>
          <w:rFonts w:hint="eastAsia"/>
          <w:b/>
          <w:bCs/>
          <w:sz w:val="21"/>
          <w:szCs w:val="21"/>
          <w:highlight w:val="none"/>
          <w:lang w:val="en-US" w:eastAsia="zh-CN"/>
        </w:rPr>
        <w:t>表2.4-9  废水排放标准限值</w:t>
      </w:r>
    </w:p>
    <w:tbl>
      <w:tblPr>
        <w:tblStyle w:val="35"/>
        <w:tblW w:w="4997"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867"/>
        <w:gridCol w:w="1469"/>
        <w:gridCol w:w="1730"/>
        <w:gridCol w:w="2365"/>
        <w:gridCol w:w="2795"/>
      </w:tblGrid>
      <w:tr w14:paraId="1F749C8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470" w:type="pct"/>
            <w:vMerge w:val="restart"/>
            <w:noWrap w:val="0"/>
            <w:vAlign w:val="center"/>
          </w:tcPr>
          <w:p w14:paraId="26FF3B8D">
            <w:pPr>
              <w:bidi w:val="0"/>
              <w:spacing w:line="240" w:lineRule="auto"/>
              <w:ind w:left="0" w:leftChars="0" w:firstLine="0" w:firstLineChars="0"/>
              <w:jc w:val="center"/>
              <w:rPr>
                <w:rFonts w:hint="eastAsia"/>
                <w:b/>
                <w:bCs/>
                <w:sz w:val="21"/>
                <w:szCs w:val="21"/>
                <w:lang w:val="en-US" w:eastAsia="zh-CN"/>
              </w:rPr>
            </w:pPr>
            <w:r>
              <w:rPr>
                <w:rFonts w:hint="eastAsia"/>
                <w:b/>
                <w:bCs/>
                <w:sz w:val="21"/>
                <w:szCs w:val="21"/>
                <w:lang w:val="en-US" w:eastAsia="zh-CN"/>
              </w:rPr>
              <w:t>序号</w:t>
            </w:r>
          </w:p>
        </w:tc>
        <w:tc>
          <w:tcPr>
            <w:tcW w:w="796" w:type="pct"/>
            <w:vMerge w:val="restart"/>
            <w:noWrap w:val="0"/>
            <w:vAlign w:val="center"/>
          </w:tcPr>
          <w:p w14:paraId="78BC8908">
            <w:pPr>
              <w:bidi w:val="0"/>
              <w:spacing w:line="240" w:lineRule="auto"/>
              <w:ind w:left="0" w:leftChars="0" w:firstLine="0" w:firstLineChars="0"/>
              <w:jc w:val="center"/>
              <w:rPr>
                <w:rFonts w:hint="eastAsia"/>
                <w:b/>
                <w:bCs/>
                <w:sz w:val="21"/>
                <w:szCs w:val="21"/>
                <w:lang w:val="en-US" w:eastAsia="zh-CN"/>
              </w:rPr>
            </w:pPr>
            <w:r>
              <w:rPr>
                <w:rFonts w:hint="eastAsia"/>
                <w:b/>
                <w:bCs/>
                <w:sz w:val="21"/>
                <w:szCs w:val="21"/>
                <w:lang w:val="en-US" w:eastAsia="zh-CN"/>
              </w:rPr>
              <w:t>项目</w:t>
            </w:r>
          </w:p>
        </w:tc>
        <w:tc>
          <w:tcPr>
            <w:tcW w:w="937" w:type="pct"/>
            <w:vMerge w:val="restart"/>
            <w:noWrap w:val="0"/>
            <w:vAlign w:val="center"/>
          </w:tcPr>
          <w:p w14:paraId="53D43A0D">
            <w:pPr>
              <w:bidi w:val="0"/>
              <w:spacing w:line="240" w:lineRule="auto"/>
              <w:ind w:left="0" w:leftChars="0" w:firstLine="0" w:firstLineChars="0"/>
              <w:jc w:val="center"/>
              <w:rPr>
                <w:rFonts w:hint="eastAsia"/>
                <w:b/>
                <w:bCs/>
                <w:sz w:val="21"/>
                <w:szCs w:val="21"/>
                <w:lang w:val="en-US" w:eastAsia="zh-CN"/>
              </w:rPr>
            </w:pPr>
            <w:r>
              <w:rPr>
                <w:rFonts w:hint="eastAsia"/>
                <w:b/>
                <w:bCs/>
                <w:sz w:val="21"/>
                <w:szCs w:val="21"/>
                <w:lang w:val="en-US" w:eastAsia="zh-CN"/>
              </w:rPr>
              <w:t>单位</w:t>
            </w:r>
          </w:p>
        </w:tc>
        <w:tc>
          <w:tcPr>
            <w:tcW w:w="2795" w:type="pct"/>
            <w:gridSpan w:val="2"/>
            <w:noWrap w:val="0"/>
            <w:vAlign w:val="center"/>
          </w:tcPr>
          <w:p w14:paraId="0C22CE5B">
            <w:pPr>
              <w:bidi w:val="0"/>
              <w:spacing w:line="240" w:lineRule="auto"/>
              <w:ind w:left="0" w:leftChars="0" w:firstLine="0" w:firstLineChars="0"/>
              <w:jc w:val="center"/>
              <w:rPr>
                <w:rFonts w:hint="default"/>
                <w:b/>
                <w:bCs/>
                <w:sz w:val="21"/>
                <w:szCs w:val="21"/>
                <w:lang w:val="en-US" w:eastAsia="zh-CN"/>
              </w:rPr>
            </w:pPr>
            <w:r>
              <w:rPr>
                <w:rFonts w:hint="eastAsia"/>
                <w:b/>
                <w:bCs/>
                <w:sz w:val="21"/>
                <w:szCs w:val="21"/>
                <w:lang w:val="en-US" w:eastAsia="zh-CN"/>
              </w:rPr>
              <w:t>标准限值</w:t>
            </w:r>
          </w:p>
        </w:tc>
      </w:tr>
      <w:tr w14:paraId="7185062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470" w:type="pct"/>
            <w:vMerge w:val="continue"/>
            <w:noWrap w:val="0"/>
            <w:vAlign w:val="center"/>
          </w:tcPr>
          <w:p w14:paraId="1D657D71">
            <w:pPr>
              <w:bidi w:val="0"/>
              <w:spacing w:line="240" w:lineRule="auto"/>
              <w:ind w:left="0" w:leftChars="0" w:firstLine="0" w:firstLineChars="0"/>
              <w:jc w:val="center"/>
              <w:rPr>
                <w:rFonts w:hint="eastAsia"/>
                <w:b/>
                <w:bCs/>
                <w:sz w:val="21"/>
                <w:szCs w:val="21"/>
                <w:lang w:val="en-US" w:eastAsia="zh-CN"/>
              </w:rPr>
            </w:pPr>
          </w:p>
        </w:tc>
        <w:tc>
          <w:tcPr>
            <w:tcW w:w="796" w:type="pct"/>
            <w:vMerge w:val="continue"/>
            <w:noWrap w:val="0"/>
            <w:vAlign w:val="center"/>
          </w:tcPr>
          <w:p w14:paraId="5FB3EDB8">
            <w:pPr>
              <w:bidi w:val="0"/>
              <w:spacing w:line="240" w:lineRule="auto"/>
              <w:ind w:left="0" w:leftChars="0" w:firstLine="0" w:firstLineChars="0"/>
              <w:jc w:val="center"/>
              <w:rPr>
                <w:rFonts w:hint="eastAsia"/>
                <w:b/>
                <w:bCs/>
                <w:sz w:val="21"/>
                <w:szCs w:val="21"/>
                <w:lang w:val="en-US" w:eastAsia="zh-CN"/>
              </w:rPr>
            </w:pPr>
          </w:p>
        </w:tc>
        <w:tc>
          <w:tcPr>
            <w:tcW w:w="937" w:type="pct"/>
            <w:vMerge w:val="continue"/>
            <w:noWrap w:val="0"/>
            <w:vAlign w:val="center"/>
          </w:tcPr>
          <w:p w14:paraId="5B228D70">
            <w:pPr>
              <w:bidi w:val="0"/>
              <w:spacing w:line="240" w:lineRule="auto"/>
              <w:ind w:left="0" w:leftChars="0" w:firstLine="0" w:firstLineChars="0"/>
              <w:jc w:val="center"/>
              <w:rPr>
                <w:rFonts w:hint="eastAsia"/>
                <w:b/>
                <w:bCs/>
                <w:sz w:val="21"/>
                <w:szCs w:val="21"/>
                <w:lang w:val="en-US" w:eastAsia="zh-CN"/>
              </w:rPr>
            </w:pPr>
          </w:p>
        </w:tc>
        <w:tc>
          <w:tcPr>
            <w:tcW w:w="1281" w:type="pct"/>
            <w:noWrap w:val="0"/>
            <w:vAlign w:val="center"/>
          </w:tcPr>
          <w:p w14:paraId="6AB163B8">
            <w:pPr>
              <w:bidi w:val="0"/>
              <w:spacing w:line="240" w:lineRule="auto"/>
              <w:ind w:left="0" w:leftChars="0" w:firstLine="0" w:firstLineChars="0"/>
              <w:jc w:val="center"/>
              <w:rPr>
                <w:rFonts w:hint="eastAsia"/>
                <w:b/>
                <w:bCs/>
                <w:sz w:val="21"/>
                <w:szCs w:val="21"/>
                <w:lang w:val="en-US" w:eastAsia="zh-CN"/>
              </w:rPr>
            </w:pPr>
            <w:r>
              <w:rPr>
                <w:rFonts w:hint="eastAsia"/>
                <w:b/>
                <w:bCs/>
                <w:sz w:val="21"/>
                <w:szCs w:val="21"/>
                <w:lang w:val="en-US" w:eastAsia="zh-CN"/>
              </w:rPr>
              <w:t>第一类污染物最高允许排放浓度</w:t>
            </w:r>
          </w:p>
        </w:tc>
        <w:tc>
          <w:tcPr>
            <w:tcW w:w="1514" w:type="pct"/>
            <w:noWrap w:val="0"/>
            <w:vAlign w:val="center"/>
          </w:tcPr>
          <w:p w14:paraId="028F8BAC">
            <w:pPr>
              <w:bidi w:val="0"/>
              <w:spacing w:line="240" w:lineRule="auto"/>
              <w:ind w:left="0" w:leftChars="0" w:firstLine="0" w:firstLineChars="0"/>
              <w:jc w:val="center"/>
              <w:rPr>
                <w:rFonts w:hint="eastAsia"/>
                <w:b/>
                <w:bCs/>
                <w:sz w:val="21"/>
                <w:szCs w:val="21"/>
                <w:lang w:val="en-US" w:eastAsia="zh-CN"/>
              </w:rPr>
            </w:pPr>
            <w:r>
              <w:rPr>
                <w:rFonts w:hint="eastAsia"/>
                <w:b/>
                <w:bCs/>
                <w:sz w:val="21"/>
                <w:szCs w:val="21"/>
                <w:lang w:val="en-US" w:eastAsia="zh-CN"/>
              </w:rPr>
              <w:t>第二类污染物最高允许排放浓度一级标准</w:t>
            </w:r>
          </w:p>
        </w:tc>
      </w:tr>
      <w:tr w14:paraId="715572F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0" w:type="pct"/>
            <w:noWrap w:val="0"/>
            <w:vAlign w:val="center"/>
          </w:tcPr>
          <w:p w14:paraId="1B1BE580">
            <w:pPr>
              <w:bidi w:val="0"/>
              <w:spacing w:line="240" w:lineRule="auto"/>
              <w:ind w:left="0" w:leftChars="0" w:firstLine="0" w:firstLineChars="0"/>
              <w:jc w:val="center"/>
              <w:rPr>
                <w:rFonts w:hint="eastAsia"/>
                <w:sz w:val="21"/>
                <w:szCs w:val="21"/>
                <w:lang w:val="en-US" w:eastAsia="zh-CN"/>
              </w:rPr>
            </w:pPr>
            <w:r>
              <w:rPr>
                <w:rFonts w:hint="eastAsia"/>
                <w:sz w:val="21"/>
                <w:szCs w:val="21"/>
                <w:lang w:val="en-US" w:eastAsia="zh-CN"/>
              </w:rPr>
              <w:t>1</w:t>
            </w:r>
          </w:p>
        </w:tc>
        <w:tc>
          <w:tcPr>
            <w:tcW w:w="796" w:type="pct"/>
            <w:noWrap w:val="0"/>
            <w:vAlign w:val="center"/>
          </w:tcPr>
          <w:p w14:paraId="6D887E81">
            <w:pPr>
              <w:bidi w:val="0"/>
              <w:spacing w:line="240" w:lineRule="auto"/>
              <w:ind w:left="0" w:leftChars="0" w:firstLine="0" w:firstLineChars="0"/>
              <w:jc w:val="center"/>
              <w:rPr>
                <w:rFonts w:hint="eastAsia"/>
                <w:sz w:val="21"/>
                <w:szCs w:val="21"/>
                <w:lang w:val="en-US" w:eastAsia="zh-CN"/>
              </w:rPr>
            </w:pPr>
            <w:r>
              <w:rPr>
                <w:rFonts w:hint="eastAsia"/>
                <w:sz w:val="21"/>
                <w:szCs w:val="21"/>
                <w:lang w:val="en-US" w:eastAsia="zh-CN"/>
              </w:rPr>
              <w:t>pH</w:t>
            </w:r>
          </w:p>
        </w:tc>
        <w:tc>
          <w:tcPr>
            <w:tcW w:w="937" w:type="pct"/>
            <w:noWrap w:val="0"/>
            <w:vAlign w:val="center"/>
          </w:tcPr>
          <w:p w14:paraId="5AC99BA4">
            <w:pPr>
              <w:bidi w:val="0"/>
              <w:spacing w:line="240" w:lineRule="auto"/>
              <w:ind w:left="0" w:leftChars="0" w:firstLine="0" w:firstLineChars="0"/>
              <w:jc w:val="center"/>
              <w:rPr>
                <w:rFonts w:hint="eastAsia"/>
                <w:sz w:val="21"/>
                <w:szCs w:val="21"/>
                <w:lang w:val="en-US" w:eastAsia="zh-CN"/>
              </w:rPr>
            </w:pPr>
            <w:r>
              <w:rPr>
                <w:rFonts w:hint="eastAsia"/>
                <w:sz w:val="21"/>
                <w:szCs w:val="21"/>
                <w:lang w:val="en-US" w:eastAsia="zh-CN"/>
              </w:rPr>
              <w:t>无量纲</w:t>
            </w:r>
          </w:p>
        </w:tc>
        <w:tc>
          <w:tcPr>
            <w:tcW w:w="1281" w:type="pct"/>
            <w:noWrap w:val="0"/>
            <w:vAlign w:val="center"/>
          </w:tcPr>
          <w:p w14:paraId="74011638">
            <w:pPr>
              <w:bidi w:val="0"/>
              <w:spacing w:line="240" w:lineRule="auto"/>
              <w:ind w:left="0" w:leftChars="0" w:firstLine="0" w:firstLineChars="0"/>
              <w:jc w:val="center"/>
              <w:rPr>
                <w:rFonts w:hint="eastAsia"/>
                <w:sz w:val="21"/>
                <w:szCs w:val="21"/>
                <w:lang w:val="en-US" w:eastAsia="zh-CN"/>
              </w:rPr>
            </w:pPr>
            <w:r>
              <w:rPr>
                <w:rFonts w:hint="eastAsia"/>
                <w:sz w:val="21"/>
                <w:szCs w:val="21"/>
                <w:lang w:val="en-US" w:eastAsia="zh-CN"/>
              </w:rPr>
              <w:t>/</w:t>
            </w:r>
          </w:p>
        </w:tc>
        <w:tc>
          <w:tcPr>
            <w:tcW w:w="1514" w:type="pct"/>
            <w:noWrap w:val="0"/>
            <w:vAlign w:val="center"/>
          </w:tcPr>
          <w:p w14:paraId="089FF1D9">
            <w:pPr>
              <w:bidi w:val="0"/>
              <w:spacing w:line="240" w:lineRule="auto"/>
              <w:ind w:left="0" w:leftChars="0" w:firstLine="0" w:firstLineChars="0"/>
              <w:jc w:val="center"/>
              <w:rPr>
                <w:rFonts w:hint="eastAsia"/>
                <w:sz w:val="21"/>
                <w:szCs w:val="21"/>
                <w:lang w:val="en-US" w:eastAsia="zh-CN"/>
              </w:rPr>
            </w:pPr>
            <w:r>
              <w:rPr>
                <w:rFonts w:hint="eastAsia"/>
                <w:sz w:val="21"/>
                <w:szCs w:val="21"/>
                <w:lang w:val="en-US" w:eastAsia="zh-CN"/>
              </w:rPr>
              <w:t>6-9</w:t>
            </w:r>
          </w:p>
        </w:tc>
      </w:tr>
      <w:tr w14:paraId="448A9E4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0" w:type="pct"/>
            <w:noWrap w:val="0"/>
            <w:vAlign w:val="center"/>
          </w:tcPr>
          <w:p w14:paraId="52595F1B">
            <w:pPr>
              <w:bidi w:val="0"/>
              <w:spacing w:line="240" w:lineRule="auto"/>
              <w:ind w:left="0" w:leftChars="0" w:firstLine="0" w:firstLineChars="0"/>
              <w:jc w:val="center"/>
              <w:rPr>
                <w:rFonts w:hint="eastAsia"/>
                <w:sz w:val="21"/>
                <w:szCs w:val="21"/>
                <w:lang w:val="en-US" w:eastAsia="zh-CN"/>
              </w:rPr>
            </w:pPr>
            <w:r>
              <w:rPr>
                <w:rFonts w:hint="eastAsia"/>
                <w:sz w:val="21"/>
                <w:szCs w:val="21"/>
                <w:lang w:val="en-US" w:eastAsia="zh-CN"/>
              </w:rPr>
              <w:t>2</w:t>
            </w:r>
          </w:p>
        </w:tc>
        <w:tc>
          <w:tcPr>
            <w:tcW w:w="796" w:type="pct"/>
            <w:noWrap w:val="0"/>
            <w:vAlign w:val="center"/>
          </w:tcPr>
          <w:p w14:paraId="6398E15B">
            <w:pPr>
              <w:bidi w:val="0"/>
              <w:spacing w:line="240" w:lineRule="auto"/>
              <w:ind w:left="0" w:leftChars="0" w:firstLine="0" w:firstLineChars="0"/>
              <w:jc w:val="center"/>
              <w:rPr>
                <w:rFonts w:hint="eastAsia"/>
                <w:sz w:val="21"/>
                <w:szCs w:val="21"/>
                <w:lang w:val="en-US" w:eastAsia="zh-CN"/>
              </w:rPr>
            </w:pPr>
            <w:r>
              <w:rPr>
                <w:rFonts w:hint="eastAsia"/>
                <w:sz w:val="21"/>
                <w:szCs w:val="21"/>
                <w:lang w:val="en-US" w:eastAsia="zh-CN"/>
              </w:rPr>
              <w:t>化学需氧量</w:t>
            </w:r>
          </w:p>
        </w:tc>
        <w:tc>
          <w:tcPr>
            <w:tcW w:w="937" w:type="pct"/>
            <w:noWrap w:val="0"/>
            <w:vAlign w:val="center"/>
          </w:tcPr>
          <w:p w14:paraId="4F182BF7">
            <w:pPr>
              <w:bidi w:val="0"/>
              <w:spacing w:line="240" w:lineRule="auto"/>
              <w:ind w:left="0" w:leftChars="0" w:firstLine="0" w:firstLineChars="0"/>
              <w:jc w:val="center"/>
              <w:rPr>
                <w:rFonts w:hint="eastAsia"/>
                <w:sz w:val="21"/>
                <w:szCs w:val="21"/>
                <w:lang w:val="en-US" w:eastAsia="zh-CN"/>
              </w:rPr>
            </w:pPr>
            <w:r>
              <w:rPr>
                <w:rFonts w:hint="eastAsia"/>
                <w:sz w:val="21"/>
                <w:szCs w:val="21"/>
                <w:lang w:val="en-US" w:eastAsia="zh-CN"/>
              </w:rPr>
              <w:t>mg/L</w:t>
            </w:r>
          </w:p>
        </w:tc>
        <w:tc>
          <w:tcPr>
            <w:tcW w:w="1281" w:type="pct"/>
            <w:noWrap w:val="0"/>
            <w:vAlign w:val="center"/>
          </w:tcPr>
          <w:p w14:paraId="4F0BF56A">
            <w:pPr>
              <w:bidi w:val="0"/>
              <w:spacing w:line="240" w:lineRule="auto"/>
              <w:ind w:left="0" w:leftChars="0" w:firstLine="0" w:firstLineChars="0"/>
              <w:jc w:val="center"/>
              <w:rPr>
                <w:rFonts w:hint="eastAsia"/>
                <w:sz w:val="21"/>
                <w:szCs w:val="21"/>
                <w:lang w:val="en-US" w:eastAsia="zh-CN"/>
              </w:rPr>
            </w:pPr>
            <w:r>
              <w:rPr>
                <w:rFonts w:hint="eastAsia"/>
                <w:sz w:val="21"/>
                <w:szCs w:val="21"/>
                <w:lang w:val="en-US" w:eastAsia="zh-CN"/>
              </w:rPr>
              <w:t>/</w:t>
            </w:r>
          </w:p>
        </w:tc>
        <w:tc>
          <w:tcPr>
            <w:tcW w:w="1514" w:type="pct"/>
            <w:noWrap w:val="0"/>
            <w:vAlign w:val="center"/>
          </w:tcPr>
          <w:p w14:paraId="55E824D8">
            <w:pPr>
              <w:bidi w:val="0"/>
              <w:spacing w:line="240" w:lineRule="auto"/>
              <w:ind w:left="0" w:leftChars="0" w:firstLine="0" w:firstLineChars="0"/>
              <w:jc w:val="center"/>
              <w:rPr>
                <w:rFonts w:hint="eastAsia"/>
                <w:sz w:val="21"/>
                <w:szCs w:val="21"/>
                <w:lang w:val="en-US" w:eastAsia="zh-CN"/>
              </w:rPr>
            </w:pPr>
            <w:r>
              <w:rPr>
                <w:rFonts w:hint="eastAsia"/>
                <w:sz w:val="21"/>
                <w:szCs w:val="21"/>
                <w:lang w:val="en-US" w:eastAsia="zh-CN"/>
              </w:rPr>
              <w:t>100</w:t>
            </w:r>
          </w:p>
        </w:tc>
      </w:tr>
      <w:tr w14:paraId="702CEB4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0" w:type="pct"/>
            <w:noWrap w:val="0"/>
            <w:vAlign w:val="center"/>
          </w:tcPr>
          <w:p w14:paraId="704E336D">
            <w:pPr>
              <w:bidi w:val="0"/>
              <w:spacing w:line="240" w:lineRule="auto"/>
              <w:ind w:left="0" w:leftChars="0" w:firstLine="0" w:firstLineChars="0"/>
              <w:jc w:val="center"/>
              <w:rPr>
                <w:rFonts w:hint="eastAsia"/>
                <w:sz w:val="21"/>
                <w:szCs w:val="21"/>
                <w:lang w:val="en-US" w:eastAsia="zh-CN"/>
              </w:rPr>
            </w:pPr>
            <w:r>
              <w:rPr>
                <w:rFonts w:hint="eastAsia"/>
                <w:sz w:val="21"/>
                <w:szCs w:val="21"/>
                <w:lang w:val="en-US" w:eastAsia="zh-CN"/>
              </w:rPr>
              <w:t>3</w:t>
            </w:r>
          </w:p>
        </w:tc>
        <w:tc>
          <w:tcPr>
            <w:tcW w:w="796" w:type="pct"/>
            <w:noWrap w:val="0"/>
            <w:vAlign w:val="center"/>
          </w:tcPr>
          <w:p w14:paraId="3324A735">
            <w:pPr>
              <w:bidi w:val="0"/>
              <w:spacing w:line="240" w:lineRule="auto"/>
              <w:ind w:left="0" w:leftChars="0" w:firstLine="0" w:firstLineChars="0"/>
              <w:jc w:val="center"/>
              <w:rPr>
                <w:rFonts w:hint="eastAsia"/>
                <w:sz w:val="21"/>
                <w:szCs w:val="21"/>
                <w:lang w:val="en-US" w:eastAsia="zh-CN"/>
              </w:rPr>
            </w:pPr>
            <w:r>
              <w:rPr>
                <w:rFonts w:hint="eastAsia"/>
                <w:sz w:val="21"/>
                <w:szCs w:val="21"/>
                <w:lang w:val="en-US" w:eastAsia="zh-CN"/>
              </w:rPr>
              <w:t>氨氮</w:t>
            </w:r>
          </w:p>
        </w:tc>
        <w:tc>
          <w:tcPr>
            <w:tcW w:w="937" w:type="pct"/>
            <w:noWrap w:val="0"/>
            <w:vAlign w:val="center"/>
          </w:tcPr>
          <w:p w14:paraId="28149E2F">
            <w:pPr>
              <w:bidi w:val="0"/>
              <w:spacing w:line="240" w:lineRule="auto"/>
              <w:ind w:left="0" w:leftChars="0" w:firstLine="0" w:firstLineChars="0"/>
              <w:jc w:val="center"/>
              <w:rPr>
                <w:rFonts w:hint="eastAsia"/>
                <w:sz w:val="21"/>
                <w:szCs w:val="21"/>
                <w:lang w:val="en-US" w:eastAsia="zh-CN"/>
              </w:rPr>
            </w:pPr>
            <w:r>
              <w:rPr>
                <w:rFonts w:hint="eastAsia"/>
                <w:sz w:val="21"/>
                <w:szCs w:val="21"/>
                <w:lang w:val="en-US" w:eastAsia="zh-CN"/>
              </w:rPr>
              <w:t>mg/L</w:t>
            </w:r>
          </w:p>
        </w:tc>
        <w:tc>
          <w:tcPr>
            <w:tcW w:w="1281" w:type="pct"/>
            <w:noWrap w:val="0"/>
            <w:vAlign w:val="center"/>
          </w:tcPr>
          <w:p w14:paraId="422370EB">
            <w:pPr>
              <w:bidi w:val="0"/>
              <w:spacing w:line="240" w:lineRule="auto"/>
              <w:ind w:left="0" w:leftChars="0" w:firstLine="0" w:firstLineChars="0"/>
              <w:jc w:val="center"/>
              <w:rPr>
                <w:rFonts w:hint="eastAsia"/>
                <w:sz w:val="21"/>
                <w:szCs w:val="21"/>
                <w:lang w:val="en-US" w:eastAsia="zh-CN"/>
              </w:rPr>
            </w:pPr>
            <w:r>
              <w:rPr>
                <w:rFonts w:hint="eastAsia"/>
                <w:sz w:val="21"/>
                <w:szCs w:val="21"/>
                <w:lang w:val="en-US" w:eastAsia="zh-CN"/>
              </w:rPr>
              <w:t>/</w:t>
            </w:r>
          </w:p>
        </w:tc>
        <w:tc>
          <w:tcPr>
            <w:tcW w:w="1514" w:type="pct"/>
            <w:noWrap w:val="0"/>
            <w:vAlign w:val="center"/>
          </w:tcPr>
          <w:p w14:paraId="0E3EA949">
            <w:pPr>
              <w:bidi w:val="0"/>
              <w:spacing w:line="240" w:lineRule="auto"/>
              <w:ind w:left="0" w:leftChars="0" w:firstLine="0" w:firstLineChars="0"/>
              <w:jc w:val="center"/>
              <w:rPr>
                <w:rFonts w:hint="eastAsia"/>
                <w:sz w:val="21"/>
                <w:szCs w:val="21"/>
                <w:lang w:val="en-US" w:eastAsia="zh-CN"/>
              </w:rPr>
            </w:pPr>
            <w:r>
              <w:rPr>
                <w:rFonts w:hint="eastAsia"/>
                <w:sz w:val="21"/>
                <w:szCs w:val="21"/>
                <w:lang w:val="en-US" w:eastAsia="zh-CN"/>
              </w:rPr>
              <w:t>15</w:t>
            </w:r>
          </w:p>
        </w:tc>
      </w:tr>
      <w:tr w14:paraId="0A6ECF6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0" w:type="pct"/>
            <w:noWrap w:val="0"/>
            <w:vAlign w:val="center"/>
          </w:tcPr>
          <w:p w14:paraId="34DD2143">
            <w:pPr>
              <w:bidi w:val="0"/>
              <w:spacing w:line="240" w:lineRule="auto"/>
              <w:ind w:left="0" w:leftChars="0" w:firstLine="0" w:firstLineChars="0"/>
              <w:jc w:val="center"/>
              <w:rPr>
                <w:rFonts w:hint="eastAsia"/>
                <w:sz w:val="21"/>
                <w:szCs w:val="21"/>
                <w:lang w:val="en-US" w:eastAsia="zh-CN"/>
              </w:rPr>
            </w:pPr>
            <w:r>
              <w:rPr>
                <w:rFonts w:hint="eastAsia"/>
                <w:sz w:val="21"/>
                <w:szCs w:val="21"/>
                <w:lang w:val="en-US" w:eastAsia="zh-CN"/>
              </w:rPr>
              <w:t>4</w:t>
            </w:r>
          </w:p>
        </w:tc>
        <w:tc>
          <w:tcPr>
            <w:tcW w:w="796" w:type="pct"/>
            <w:noWrap w:val="0"/>
            <w:vAlign w:val="center"/>
          </w:tcPr>
          <w:p w14:paraId="04DCE0B2">
            <w:pPr>
              <w:bidi w:val="0"/>
              <w:spacing w:line="240" w:lineRule="auto"/>
              <w:ind w:left="0" w:leftChars="0" w:firstLine="0" w:firstLineChars="0"/>
              <w:jc w:val="center"/>
              <w:rPr>
                <w:rFonts w:hint="eastAsia"/>
                <w:sz w:val="21"/>
                <w:szCs w:val="21"/>
                <w:lang w:val="en-US" w:eastAsia="zh-CN"/>
              </w:rPr>
            </w:pPr>
            <w:r>
              <w:rPr>
                <w:rFonts w:hint="eastAsia"/>
                <w:sz w:val="21"/>
                <w:szCs w:val="21"/>
                <w:lang w:val="en-US" w:eastAsia="zh-CN"/>
              </w:rPr>
              <w:t>悬浮物</w:t>
            </w:r>
          </w:p>
        </w:tc>
        <w:tc>
          <w:tcPr>
            <w:tcW w:w="937" w:type="pct"/>
            <w:noWrap w:val="0"/>
            <w:vAlign w:val="center"/>
          </w:tcPr>
          <w:p w14:paraId="71E30E53">
            <w:pPr>
              <w:bidi w:val="0"/>
              <w:spacing w:line="240" w:lineRule="auto"/>
              <w:ind w:left="0" w:leftChars="0" w:firstLine="0" w:firstLineChars="0"/>
              <w:jc w:val="center"/>
              <w:rPr>
                <w:rFonts w:hint="eastAsia"/>
                <w:sz w:val="21"/>
                <w:szCs w:val="21"/>
                <w:lang w:val="en-US" w:eastAsia="zh-CN"/>
              </w:rPr>
            </w:pPr>
            <w:r>
              <w:rPr>
                <w:rFonts w:hint="eastAsia"/>
                <w:sz w:val="21"/>
                <w:szCs w:val="21"/>
                <w:lang w:val="en-US" w:eastAsia="zh-CN"/>
              </w:rPr>
              <w:t>mg/L</w:t>
            </w:r>
          </w:p>
        </w:tc>
        <w:tc>
          <w:tcPr>
            <w:tcW w:w="1281" w:type="pct"/>
            <w:noWrap w:val="0"/>
            <w:vAlign w:val="center"/>
          </w:tcPr>
          <w:p w14:paraId="2E20C152">
            <w:pPr>
              <w:bidi w:val="0"/>
              <w:spacing w:line="240" w:lineRule="auto"/>
              <w:ind w:left="0" w:leftChars="0" w:firstLine="0" w:firstLineChars="0"/>
              <w:jc w:val="center"/>
              <w:rPr>
                <w:rFonts w:hint="eastAsia"/>
                <w:sz w:val="21"/>
                <w:szCs w:val="21"/>
                <w:lang w:val="en-US" w:eastAsia="zh-CN"/>
              </w:rPr>
            </w:pPr>
            <w:r>
              <w:rPr>
                <w:rFonts w:hint="eastAsia"/>
                <w:sz w:val="21"/>
                <w:szCs w:val="21"/>
                <w:lang w:val="en-US" w:eastAsia="zh-CN"/>
              </w:rPr>
              <w:t>/</w:t>
            </w:r>
          </w:p>
        </w:tc>
        <w:tc>
          <w:tcPr>
            <w:tcW w:w="1514" w:type="pct"/>
            <w:noWrap w:val="0"/>
            <w:vAlign w:val="center"/>
          </w:tcPr>
          <w:p w14:paraId="203C20F7">
            <w:pPr>
              <w:bidi w:val="0"/>
              <w:spacing w:line="240" w:lineRule="auto"/>
              <w:ind w:left="0" w:leftChars="0" w:firstLine="0" w:firstLineChars="0"/>
              <w:jc w:val="center"/>
              <w:rPr>
                <w:rFonts w:hint="eastAsia"/>
                <w:sz w:val="21"/>
                <w:szCs w:val="21"/>
                <w:lang w:val="en-US" w:eastAsia="zh-CN"/>
              </w:rPr>
            </w:pPr>
            <w:r>
              <w:rPr>
                <w:rFonts w:hint="eastAsia"/>
                <w:sz w:val="21"/>
                <w:szCs w:val="21"/>
                <w:lang w:val="en-US" w:eastAsia="zh-CN"/>
              </w:rPr>
              <w:t>70</w:t>
            </w:r>
          </w:p>
        </w:tc>
      </w:tr>
      <w:tr w14:paraId="4A8B554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0" w:type="pct"/>
            <w:noWrap w:val="0"/>
            <w:vAlign w:val="center"/>
          </w:tcPr>
          <w:p w14:paraId="082DA6BA">
            <w:pPr>
              <w:bidi w:val="0"/>
              <w:spacing w:line="240" w:lineRule="auto"/>
              <w:ind w:left="0" w:leftChars="0" w:firstLine="0" w:firstLineChars="0"/>
              <w:jc w:val="center"/>
              <w:rPr>
                <w:rFonts w:hint="eastAsia"/>
                <w:sz w:val="21"/>
                <w:szCs w:val="21"/>
                <w:lang w:val="en-US" w:eastAsia="zh-CN"/>
              </w:rPr>
            </w:pPr>
            <w:r>
              <w:rPr>
                <w:rFonts w:hint="eastAsia"/>
                <w:sz w:val="21"/>
                <w:szCs w:val="21"/>
                <w:lang w:val="en-US" w:eastAsia="zh-CN"/>
              </w:rPr>
              <w:t>5</w:t>
            </w:r>
          </w:p>
        </w:tc>
        <w:tc>
          <w:tcPr>
            <w:tcW w:w="796" w:type="pct"/>
            <w:shd w:val="clear" w:color="auto" w:fill="auto"/>
            <w:noWrap w:val="0"/>
            <w:vAlign w:val="center"/>
          </w:tcPr>
          <w:p w14:paraId="6295FBE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kern w:val="2"/>
                <w:sz w:val="21"/>
                <w:szCs w:val="21"/>
                <w:highlight w:val="none"/>
                <w:vertAlign w:val="baseline"/>
                <w:lang w:val="en-US" w:eastAsia="zh-CN" w:bidi="ar-SA"/>
              </w:rPr>
            </w:pPr>
            <w:r>
              <w:rPr>
                <w:rFonts w:hint="eastAsia"/>
                <w:sz w:val="21"/>
                <w:szCs w:val="21"/>
                <w:highlight w:val="none"/>
                <w:vertAlign w:val="baseline"/>
                <w:lang w:val="en-US" w:eastAsia="zh-CN"/>
              </w:rPr>
              <w:t>总铬</w:t>
            </w:r>
          </w:p>
        </w:tc>
        <w:tc>
          <w:tcPr>
            <w:tcW w:w="937" w:type="pct"/>
            <w:noWrap w:val="0"/>
            <w:vAlign w:val="center"/>
          </w:tcPr>
          <w:p w14:paraId="71DB38C6">
            <w:pPr>
              <w:bidi w:val="0"/>
              <w:spacing w:line="240" w:lineRule="auto"/>
              <w:ind w:left="0" w:leftChars="0" w:firstLine="0" w:firstLineChars="0"/>
              <w:jc w:val="center"/>
              <w:rPr>
                <w:rFonts w:hint="eastAsia"/>
                <w:sz w:val="21"/>
                <w:szCs w:val="21"/>
                <w:lang w:val="en-US" w:eastAsia="zh-CN"/>
              </w:rPr>
            </w:pPr>
            <w:r>
              <w:rPr>
                <w:rFonts w:hint="eastAsia"/>
                <w:sz w:val="21"/>
                <w:szCs w:val="21"/>
                <w:lang w:val="en-US" w:eastAsia="zh-CN"/>
              </w:rPr>
              <w:t>mg/L</w:t>
            </w:r>
          </w:p>
        </w:tc>
        <w:tc>
          <w:tcPr>
            <w:tcW w:w="1281" w:type="pct"/>
            <w:noWrap w:val="0"/>
            <w:vAlign w:val="center"/>
          </w:tcPr>
          <w:p w14:paraId="2FF68C07">
            <w:pPr>
              <w:bidi w:val="0"/>
              <w:spacing w:line="240" w:lineRule="auto"/>
              <w:ind w:left="0" w:leftChars="0" w:firstLine="0" w:firstLineChars="0"/>
              <w:jc w:val="center"/>
              <w:rPr>
                <w:rFonts w:hint="default"/>
                <w:sz w:val="21"/>
                <w:szCs w:val="21"/>
                <w:lang w:val="en-US" w:eastAsia="zh-CN"/>
              </w:rPr>
            </w:pPr>
            <w:r>
              <w:rPr>
                <w:rFonts w:hint="eastAsia"/>
                <w:sz w:val="21"/>
                <w:szCs w:val="21"/>
                <w:lang w:val="en-US" w:eastAsia="zh-CN"/>
              </w:rPr>
              <w:t>1.5</w:t>
            </w:r>
          </w:p>
        </w:tc>
        <w:tc>
          <w:tcPr>
            <w:tcW w:w="1514" w:type="pct"/>
            <w:noWrap w:val="0"/>
            <w:vAlign w:val="center"/>
          </w:tcPr>
          <w:p w14:paraId="36EC9EC3">
            <w:pPr>
              <w:bidi w:val="0"/>
              <w:spacing w:line="240" w:lineRule="auto"/>
              <w:ind w:left="0" w:leftChars="0" w:firstLine="0" w:firstLineChars="0"/>
              <w:jc w:val="center"/>
              <w:rPr>
                <w:rFonts w:hint="eastAsia"/>
                <w:sz w:val="21"/>
                <w:szCs w:val="21"/>
                <w:lang w:val="en-US" w:eastAsia="zh-CN"/>
              </w:rPr>
            </w:pPr>
            <w:r>
              <w:rPr>
                <w:rFonts w:hint="eastAsia"/>
                <w:sz w:val="21"/>
                <w:szCs w:val="21"/>
                <w:lang w:val="en-US" w:eastAsia="zh-CN"/>
              </w:rPr>
              <w:t>/</w:t>
            </w:r>
          </w:p>
        </w:tc>
      </w:tr>
      <w:tr w14:paraId="368EA97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0" w:type="pct"/>
            <w:noWrap w:val="0"/>
            <w:vAlign w:val="center"/>
          </w:tcPr>
          <w:p w14:paraId="4A361B75">
            <w:pPr>
              <w:bidi w:val="0"/>
              <w:spacing w:line="240" w:lineRule="auto"/>
              <w:ind w:left="0" w:leftChars="0" w:firstLine="0" w:firstLineChars="0"/>
              <w:jc w:val="center"/>
              <w:rPr>
                <w:rFonts w:hint="eastAsia"/>
                <w:sz w:val="21"/>
                <w:szCs w:val="21"/>
                <w:lang w:val="en-US" w:eastAsia="zh-CN"/>
              </w:rPr>
            </w:pPr>
            <w:r>
              <w:rPr>
                <w:rFonts w:hint="eastAsia"/>
                <w:sz w:val="21"/>
                <w:szCs w:val="21"/>
                <w:lang w:val="en-US" w:eastAsia="zh-CN"/>
              </w:rPr>
              <w:t>6</w:t>
            </w:r>
          </w:p>
        </w:tc>
        <w:tc>
          <w:tcPr>
            <w:tcW w:w="796" w:type="pct"/>
            <w:shd w:val="clear" w:color="auto" w:fill="auto"/>
            <w:noWrap w:val="0"/>
            <w:vAlign w:val="center"/>
          </w:tcPr>
          <w:p w14:paraId="6F34136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kern w:val="2"/>
                <w:sz w:val="21"/>
                <w:szCs w:val="21"/>
                <w:highlight w:val="none"/>
                <w:vertAlign w:val="baseline"/>
                <w:lang w:val="en-US" w:eastAsia="zh-CN" w:bidi="ar-SA"/>
              </w:rPr>
            </w:pPr>
            <w:r>
              <w:rPr>
                <w:rFonts w:hint="eastAsia"/>
                <w:sz w:val="21"/>
                <w:szCs w:val="21"/>
                <w:highlight w:val="none"/>
                <w:vertAlign w:val="baseline"/>
                <w:lang w:val="en-US" w:eastAsia="zh-CN"/>
              </w:rPr>
              <w:t>总镍</w:t>
            </w:r>
          </w:p>
        </w:tc>
        <w:tc>
          <w:tcPr>
            <w:tcW w:w="937" w:type="pct"/>
            <w:noWrap w:val="0"/>
            <w:vAlign w:val="center"/>
          </w:tcPr>
          <w:p w14:paraId="49A68232">
            <w:pPr>
              <w:bidi w:val="0"/>
              <w:spacing w:line="240" w:lineRule="auto"/>
              <w:ind w:left="0" w:leftChars="0" w:firstLine="0" w:firstLineChars="0"/>
              <w:jc w:val="center"/>
              <w:rPr>
                <w:rFonts w:hint="eastAsia"/>
                <w:sz w:val="21"/>
                <w:szCs w:val="21"/>
                <w:lang w:val="en-US" w:eastAsia="zh-CN"/>
              </w:rPr>
            </w:pPr>
            <w:r>
              <w:rPr>
                <w:rFonts w:hint="eastAsia"/>
                <w:sz w:val="21"/>
                <w:szCs w:val="21"/>
                <w:lang w:val="en-US" w:eastAsia="zh-CN"/>
              </w:rPr>
              <w:t>mg/L</w:t>
            </w:r>
          </w:p>
        </w:tc>
        <w:tc>
          <w:tcPr>
            <w:tcW w:w="1281" w:type="pct"/>
            <w:noWrap w:val="0"/>
            <w:vAlign w:val="center"/>
          </w:tcPr>
          <w:p w14:paraId="4F565F08">
            <w:pPr>
              <w:bidi w:val="0"/>
              <w:spacing w:line="240" w:lineRule="auto"/>
              <w:ind w:left="0" w:leftChars="0" w:firstLine="0" w:firstLineChars="0"/>
              <w:jc w:val="center"/>
              <w:rPr>
                <w:rFonts w:hint="default"/>
                <w:sz w:val="21"/>
                <w:szCs w:val="21"/>
                <w:lang w:val="en-US" w:eastAsia="zh-CN"/>
              </w:rPr>
            </w:pPr>
            <w:r>
              <w:rPr>
                <w:rFonts w:hint="eastAsia"/>
                <w:sz w:val="21"/>
                <w:szCs w:val="21"/>
                <w:lang w:val="en-US" w:eastAsia="zh-CN"/>
              </w:rPr>
              <w:t>1.0</w:t>
            </w:r>
          </w:p>
        </w:tc>
        <w:tc>
          <w:tcPr>
            <w:tcW w:w="1514" w:type="pct"/>
            <w:noWrap w:val="0"/>
            <w:vAlign w:val="center"/>
          </w:tcPr>
          <w:p w14:paraId="2021E780">
            <w:pPr>
              <w:bidi w:val="0"/>
              <w:spacing w:line="240" w:lineRule="auto"/>
              <w:ind w:left="0" w:leftChars="0" w:firstLine="0" w:firstLineChars="0"/>
              <w:jc w:val="center"/>
              <w:rPr>
                <w:rFonts w:hint="eastAsia"/>
                <w:sz w:val="21"/>
                <w:szCs w:val="21"/>
                <w:lang w:val="en-US" w:eastAsia="zh-CN"/>
              </w:rPr>
            </w:pPr>
            <w:r>
              <w:rPr>
                <w:rFonts w:hint="eastAsia"/>
                <w:sz w:val="21"/>
                <w:szCs w:val="21"/>
                <w:lang w:val="en-US" w:eastAsia="zh-CN"/>
              </w:rPr>
              <w:t>/</w:t>
            </w:r>
          </w:p>
        </w:tc>
      </w:tr>
      <w:tr w14:paraId="2971EA9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0" w:type="pct"/>
            <w:noWrap w:val="0"/>
            <w:vAlign w:val="center"/>
          </w:tcPr>
          <w:p w14:paraId="0C5136E6">
            <w:pPr>
              <w:bidi w:val="0"/>
              <w:spacing w:line="240" w:lineRule="auto"/>
              <w:ind w:left="0" w:leftChars="0" w:firstLine="0" w:firstLineChars="0"/>
              <w:jc w:val="center"/>
              <w:rPr>
                <w:rFonts w:hint="eastAsia"/>
                <w:sz w:val="21"/>
                <w:szCs w:val="21"/>
                <w:lang w:val="en-US" w:eastAsia="zh-CN"/>
              </w:rPr>
            </w:pPr>
            <w:r>
              <w:rPr>
                <w:rFonts w:hint="eastAsia"/>
                <w:sz w:val="21"/>
                <w:szCs w:val="21"/>
                <w:lang w:val="en-US" w:eastAsia="zh-CN"/>
              </w:rPr>
              <w:t>7</w:t>
            </w:r>
          </w:p>
        </w:tc>
        <w:tc>
          <w:tcPr>
            <w:tcW w:w="796" w:type="pct"/>
            <w:shd w:val="clear" w:color="auto" w:fill="auto"/>
            <w:noWrap w:val="0"/>
            <w:vAlign w:val="center"/>
          </w:tcPr>
          <w:p w14:paraId="02294F0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kern w:val="2"/>
                <w:sz w:val="21"/>
                <w:szCs w:val="21"/>
                <w:highlight w:val="none"/>
                <w:vertAlign w:val="baseline"/>
                <w:lang w:val="en-US" w:eastAsia="zh-CN" w:bidi="ar-SA"/>
              </w:rPr>
            </w:pPr>
            <w:r>
              <w:rPr>
                <w:rFonts w:hint="eastAsia"/>
                <w:sz w:val="21"/>
                <w:szCs w:val="21"/>
                <w:highlight w:val="none"/>
                <w:vertAlign w:val="baseline"/>
                <w:lang w:val="en-US" w:eastAsia="zh-CN"/>
              </w:rPr>
              <w:t>总铜</w:t>
            </w:r>
          </w:p>
        </w:tc>
        <w:tc>
          <w:tcPr>
            <w:tcW w:w="937" w:type="pct"/>
            <w:noWrap w:val="0"/>
            <w:vAlign w:val="center"/>
          </w:tcPr>
          <w:p w14:paraId="154290C7">
            <w:pPr>
              <w:bidi w:val="0"/>
              <w:spacing w:line="240" w:lineRule="auto"/>
              <w:ind w:left="0" w:leftChars="0" w:firstLine="0" w:firstLineChars="0"/>
              <w:jc w:val="center"/>
              <w:rPr>
                <w:rFonts w:hint="eastAsia"/>
                <w:sz w:val="21"/>
                <w:szCs w:val="21"/>
                <w:lang w:val="en-US" w:eastAsia="zh-CN"/>
              </w:rPr>
            </w:pPr>
            <w:r>
              <w:rPr>
                <w:rFonts w:hint="eastAsia"/>
                <w:sz w:val="21"/>
                <w:szCs w:val="21"/>
                <w:lang w:val="en-US" w:eastAsia="zh-CN"/>
              </w:rPr>
              <w:t>mg/L</w:t>
            </w:r>
          </w:p>
        </w:tc>
        <w:tc>
          <w:tcPr>
            <w:tcW w:w="1281" w:type="pct"/>
            <w:noWrap w:val="0"/>
            <w:vAlign w:val="center"/>
          </w:tcPr>
          <w:p w14:paraId="2CD0B7B0">
            <w:pPr>
              <w:bidi w:val="0"/>
              <w:spacing w:line="240" w:lineRule="auto"/>
              <w:ind w:left="0" w:leftChars="0" w:firstLine="0" w:firstLineChars="0"/>
              <w:jc w:val="center"/>
              <w:rPr>
                <w:rFonts w:hint="default"/>
                <w:sz w:val="21"/>
                <w:szCs w:val="21"/>
                <w:lang w:val="en-US" w:eastAsia="zh-CN"/>
              </w:rPr>
            </w:pPr>
            <w:r>
              <w:rPr>
                <w:rFonts w:hint="eastAsia"/>
                <w:sz w:val="21"/>
                <w:szCs w:val="21"/>
                <w:lang w:val="en-US" w:eastAsia="zh-CN"/>
              </w:rPr>
              <w:t>/</w:t>
            </w:r>
          </w:p>
        </w:tc>
        <w:tc>
          <w:tcPr>
            <w:tcW w:w="1514" w:type="pct"/>
            <w:noWrap w:val="0"/>
            <w:vAlign w:val="center"/>
          </w:tcPr>
          <w:p w14:paraId="1F4B1912">
            <w:pPr>
              <w:bidi w:val="0"/>
              <w:spacing w:line="240" w:lineRule="auto"/>
              <w:ind w:left="0" w:leftChars="0" w:firstLine="0" w:firstLineChars="0"/>
              <w:jc w:val="center"/>
              <w:rPr>
                <w:rFonts w:hint="default"/>
                <w:sz w:val="21"/>
                <w:szCs w:val="21"/>
                <w:lang w:val="en-US" w:eastAsia="zh-CN"/>
              </w:rPr>
            </w:pPr>
            <w:r>
              <w:rPr>
                <w:rFonts w:hint="eastAsia"/>
                <w:sz w:val="21"/>
                <w:szCs w:val="21"/>
                <w:lang w:val="en-US" w:eastAsia="zh-CN"/>
              </w:rPr>
              <w:t>0.5</w:t>
            </w:r>
          </w:p>
        </w:tc>
      </w:tr>
      <w:tr w14:paraId="01108CA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0" w:type="pct"/>
            <w:noWrap w:val="0"/>
            <w:vAlign w:val="center"/>
          </w:tcPr>
          <w:p w14:paraId="305A6B94">
            <w:pPr>
              <w:bidi w:val="0"/>
              <w:spacing w:line="240" w:lineRule="auto"/>
              <w:ind w:left="0" w:leftChars="0" w:firstLine="0" w:firstLineChars="0"/>
              <w:jc w:val="center"/>
              <w:rPr>
                <w:rFonts w:hint="eastAsia"/>
                <w:sz w:val="21"/>
                <w:szCs w:val="21"/>
                <w:lang w:val="en-US" w:eastAsia="zh-CN"/>
              </w:rPr>
            </w:pPr>
            <w:r>
              <w:rPr>
                <w:rFonts w:hint="eastAsia"/>
                <w:sz w:val="21"/>
                <w:szCs w:val="21"/>
                <w:lang w:val="en-US" w:eastAsia="zh-CN"/>
              </w:rPr>
              <w:t>8</w:t>
            </w:r>
          </w:p>
        </w:tc>
        <w:tc>
          <w:tcPr>
            <w:tcW w:w="796" w:type="pct"/>
            <w:shd w:val="clear" w:color="auto" w:fill="auto"/>
            <w:noWrap w:val="0"/>
            <w:vAlign w:val="center"/>
          </w:tcPr>
          <w:p w14:paraId="3F096DD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kern w:val="2"/>
                <w:sz w:val="21"/>
                <w:szCs w:val="21"/>
                <w:highlight w:val="none"/>
                <w:vertAlign w:val="baseline"/>
                <w:lang w:val="en-US" w:eastAsia="zh-CN" w:bidi="ar-SA"/>
              </w:rPr>
            </w:pPr>
            <w:r>
              <w:rPr>
                <w:rFonts w:hint="eastAsia"/>
                <w:sz w:val="21"/>
                <w:szCs w:val="21"/>
                <w:highlight w:val="none"/>
                <w:vertAlign w:val="baseline"/>
                <w:lang w:val="en-US" w:eastAsia="zh-CN"/>
              </w:rPr>
              <w:t>总锌</w:t>
            </w:r>
          </w:p>
        </w:tc>
        <w:tc>
          <w:tcPr>
            <w:tcW w:w="937" w:type="pct"/>
            <w:noWrap w:val="0"/>
            <w:vAlign w:val="center"/>
          </w:tcPr>
          <w:p w14:paraId="39CE61D7">
            <w:pPr>
              <w:bidi w:val="0"/>
              <w:spacing w:line="240" w:lineRule="auto"/>
              <w:ind w:left="0" w:leftChars="0" w:firstLine="0" w:firstLineChars="0"/>
              <w:jc w:val="center"/>
              <w:rPr>
                <w:rFonts w:hint="eastAsia"/>
                <w:sz w:val="21"/>
                <w:szCs w:val="21"/>
                <w:lang w:val="en-US" w:eastAsia="zh-CN"/>
              </w:rPr>
            </w:pPr>
            <w:r>
              <w:rPr>
                <w:rFonts w:hint="eastAsia"/>
                <w:sz w:val="21"/>
                <w:szCs w:val="21"/>
                <w:lang w:val="en-US" w:eastAsia="zh-CN"/>
              </w:rPr>
              <w:t>mg/L</w:t>
            </w:r>
          </w:p>
        </w:tc>
        <w:tc>
          <w:tcPr>
            <w:tcW w:w="1281" w:type="pct"/>
            <w:noWrap w:val="0"/>
            <w:vAlign w:val="center"/>
          </w:tcPr>
          <w:p w14:paraId="51F084BE">
            <w:pPr>
              <w:bidi w:val="0"/>
              <w:spacing w:line="240" w:lineRule="auto"/>
              <w:ind w:left="0" w:leftChars="0" w:firstLine="0" w:firstLineChars="0"/>
              <w:jc w:val="center"/>
              <w:rPr>
                <w:rFonts w:hint="default"/>
                <w:sz w:val="21"/>
                <w:szCs w:val="21"/>
                <w:lang w:val="en-US" w:eastAsia="zh-CN"/>
              </w:rPr>
            </w:pPr>
            <w:r>
              <w:rPr>
                <w:rFonts w:hint="eastAsia"/>
                <w:sz w:val="21"/>
                <w:szCs w:val="21"/>
                <w:lang w:val="en-US" w:eastAsia="zh-CN"/>
              </w:rPr>
              <w:t>/</w:t>
            </w:r>
          </w:p>
        </w:tc>
        <w:tc>
          <w:tcPr>
            <w:tcW w:w="1514" w:type="pct"/>
            <w:noWrap w:val="0"/>
            <w:vAlign w:val="center"/>
          </w:tcPr>
          <w:p w14:paraId="417268AC">
            <w:pPr>
              <w:bidi w:val="0"/>
              <w:spacing w:line="240" w:lineRule="auto"/>
              <w:ind w:left="0" w:leftChars="0" w:firstLine="0" w:firstLineChars="0"/>
              <w:jc w:val="center"/>
              <w:rPr>
                <w:rFonts w:hint="eastAsia"/>
                <w:sz w:val="21"/>
                <w:szCs w:val="21"/>
                <w:lang w:val="en-US" w:eastAsia="zh-CN"/>
              </w:rPr>
            </w:pPr>
            <w:r>
              <w:rPr>
                <w:rFonts w:hint="eastAsia"/>
                <w:sz w:val="21"/>
                <w:szCs w:val="21"/>
                <w:lang w:val="en-US" w:eastAsia="zh-CN"/>
              </w:rPr>
              <w:t>2.0</w:t>
            </w:r>
          </w:p>
        </w:tc>
      </w:tr>
      <w:tr w14:paraId="49A6D2E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0" w:type="pct"/>
            <w:noWrap w:val="0"/>
            <w:vAlign w:val="center"/>
          </w:tcPr>
          <w:p w14:paraId="5841020E">
            <w:pPr>
              <w:bidi w:val="0"/>
              <w:spacing w:line="240" w:lineRule="auto"/>
              <w:ind w:left="0" w:leftChars="0" w:firstLine="0" w:firstLineChars="0"/>
              <w:jc w:val="center"/>
              <w:rPr>
                <w:rFonts w:hint="eastAsia"/>
                <w:sz w:val="21"/>
                <w:szCs w:val="21"/>
                <w:lang w:val="en-US" w:eastAsia="zh-CN"/>
              </w:rPr>
            </w:pPr>
            <w:r>
              <w:rPr>
                <w:rFonts w:hint="eastAsia"/>
                <w:sz w:val="21"/>
                <w:szCs w:val="21"/>
                <w:lang w:val="en-US" w:eastAsia="zh-CN"/>
              </w:rPr>
              <w:t>9</w:t>
            </w:r>
          </w:p>
        </w:tc>
        <w:tc>
          <w:tcPr>
            <w:tcW w:w="796" w:type="pct"/>
            <w:shd w:val="clear" w:color="auto" w:fill="auto"/>
            <w:noWrap w:val="0"/>
            <w:vAlign w:val="center"/>
          </w:tcPr>
          <w:p w14:paraId="3050DFF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kern w:val="2"/>
                <w:sz w:val="21"/>
                <w:szCs w:val="21"/>
                <w:highlight w:val="none"/>
                <w:vertAlign w:val="baseline"/>
                <w:lang w:val="en-US" w:eastAsia="zh-CN" w:bidi="ar-SA"/>
              </w:rPr>
            </w:pPr>
            <w:r>
              <w:rPr>
                <w:rFonts w:hint="eastAsia"/>
                <w:sz w:val="21"/>
                <w:szCs w:val="21"/>
                <w:highlight w:val="none"/>
                <w:vertAlign w:val="baseline"/>
                <w:lang w:val="en-US" w:eastAsia="zh-CN"/>
              </w:rPr>
              <w:t>总砷</w:t>
            </w:r>
          </w:p>
        </w:tc>
        <w:tc>
          <w:tcPr>
            <w:tcW w:w="937" w:type="pct"/>
            <w:noWrap w:val="0"/>
            <w:vAlign w:val="center"/>
          </w:tcPr>
          <w:p w14:paraId="0059C035">
            <w:pPr>
              <w:bidi w:val="0"/>
              <w:spacing w:line="240" w:lineRule="auto"/>
              <w:ind w:left="0" w:leftChars="0" w:firstLine="0" w:firstLineChars="0"/>
              <w:jc w:val="center"/>
              <w:rPr>
                <w:rFonts w:hint="eastAsia"/>
                <w:sz w:val="21"/>
                <w:szCs w:val="21"/>
                <w:lang w:val="en-US" w:eastAsia="zh-CN"/>
              </w:rPr>
            </w:pPr>
            <w:r>
              <w:rPr>
                <w:rFonts w:hint="eastAsia"/>
                <w:sz w:val="21"/>
                <w:szCs w:val="21"/>
                <w:lang w:val="en-US" w:eastAsia="zh-CN"/>
              </w:rPr>
              <w:t>mg/L</w:t>
            </w:r>
          </w:p>
        </w:tc>
        <w:tc>
          <w:tcPr>
            <w:tcW w:w="1281" w:type="pct"/>
            <w:noWrap w:val="0"/>
            <w:vAlign w:val="center"/>
          </w:tcPr>
          <w:p w14:paraId="3293A4BA">
            <w:pPr>
              <w:bidi w:val="0"/>
              <w:spacing w:line="240" w:lineRule="auto"/>
              <w:ind w:left="0" w:leftChars="0" w:firstLine="0" w:firstLineChars="0"/>
              <w:jc w:val="center"/>
              <w:rPr>
                <w:rFonts w:hint="default"/>
                <w:sz w:val="21"/>
                <w:szCs w:val="21"/>
                <w:lang w:val="en-US" w:eastAsia="zh-CN"/>
              </w:rPr>
            </w:pPr>
            <w:r>
              <w:rPr>
                <w:rFonts w:hint="eastAsia"/>
                <w:sz w:val="21"/>
                <w:szCs w:val="21"/>
                <w:lang w:val="en-US" w:eastAsia="zh-CN"/>
              </w:rPr>
              <w:t>0.5</w:t>
            </w:r>
          </w:p>
        </w:tc>
        <w:tc>
          <w:tcPr>
            <w:tcW w:w="1514" w:type="pct"/>
            <w:noWrap w:val="0"/>
            <w:vAlign w:val="center"/>
          </w:tcPr>
          <w:p w14:paraId="0A0024D5">
            <w:pPr>
              <w:bidi w:val="0"/>
              <w:spacing w:line="240" w:lineRule="auto"/>
              <w:ind w:left="0" w:leftChars="0" w:firstLine="0" w:firstLineChars="0"/>
              <w:jc w:val="center"/>
              <w:rPr>
                <w:rFonts w:hint="default"/>
                <w:sz w:val="21"/>
                <w:szCs w:val="21"/>
                <w:lang w:val="en-US" w:eastAsia="zh-CN"/>
              </w:rPr>
            </w:pPr>
            <w:r>
              <w:rPr>
                <w:rFonts w:hint="eastAsia"/>
                <w:sz w:val="21"/>
                <w:szCs w:val="21"/>
                <w:lang w:val="en-US" w:eastAsia="zh-CN"/>
              </w:rPr>
              <w:t>/</w:t>
            </w:r>
          </w:p>
        </w:tc>
      </w:tr>
      <w:tr w14:paraId="0B132AC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0" w:type="pct"/>
            <w:noWrap w:val="0"/>
            <w:vAlign w:val="center"/>
          </w:tcPr>
          <w:p w14:paraId="7DCDE47C">
            <w:pPr>
              <w:bidi w:val="0"/>
              <w:spacing w:line="240" w:lineRule="auto"/>
              <w:ind w:left="0" w:leftChars="0" w:firstLine="0" w:firstLineChars="0"/>
              <w:jc w:val="center"/>
              <w:rPr>
                <w:rFonts w:hint="eastAsia"/>
                <w:sz w:val="21"/>
                <w:szCs w:val="21"/>
                <w:lang w:val="en-US" w:eastAsia="zh-CN"/>
              </w:rPr>
            </w:pPr>
            <w:r>
              <w:rPr>
                <w:rFonts w:hint="eastAsia"/>
                <w:sz w:val="21"/>
                <w:szCs w:val="21"/>
                <w:lang w:val="en-US" w:eastAsia="zh-CN"/>
              </w:rPr>
              <w:t>10</w:t>
            </w:r>
          </w:p>
        </w:tc>
        <w:tc>
          <w:tcPr>
            <w:tcW w:w="796" w:type="pct"/>
            <w:shd w:val="clear" w:color="auto" w:fill="auto"/>
            <w:noWrap w:val="0"/>
            <w:vAlign w:val="center"/>
          </w:tcPr>
          <w:p w14:paraId="7684F94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kern w:val="2"/>
                <w:sz w:val="21"/>
                <w:szCs w:val="21"/>
                <w:highlight w:val="none"/>
                <w:vertAlign w:val="baseline"/>
                <w:lang w:val="en-US" w:eastAsia="zh-CN" w:bidi="ar-SA"/>
              </w:rPr>
            </w:pPr>
            <w:r>
              <w:rPr>
                <w:rFonts w:hint="eastAsia"/>
                <w:sz w:val="21"/>
                <w:szCs w:val="21"/>
                <w:highlight w:val="none"/>
                <w:vertAlign w:val="baseline"/>
                <w:lang w:val="en-US" w:eastAsia="zh-CN"/>
              </w:rPr>
              <w:t>总镉</w:t>
            </w:r>
          </w:p>
        </w:tc>
        <w:tc>
          <w:tcPr>
            <w:tcW w:w="937" w:type="pct"/>
            <w:noWrap w:val="0"/>
            <w:vAlign w:val="center"/>
          </w:tcPr>
          <w:p w14:paraId="18A8245E">
            <w:pPr>
              <w:bidi w:val="0"/>
              <w:spacing w:line="240" w:lineRule="auto"/>
              <w:ind w:left="0" w:leftChars="0" w:firstLine="0" w:firstLineChars="0"/>
              <w:jc w:val="center"/>
              <w:rPr>
                <w:rFonts w:hint="eastAsia"/>
                <w:sz w:val="21"/>
                <w:szCs w:val="21"/>
                <w:lang w:val="en-US" w:eastAsia="zh-CN"/>
              </w:rPr>
            </w:pPr>
            <w:r>
              <w:rPr>
                <w:rFonts w:hint="eastAsia"/>
                <w:sz w:val="21"/>
                <w:szCs w:val="21"/>
                <w:lang w:val="en-US" w:eastAsia="zh-CN"/>
              </w:rPr>
              <w:t>mg/L</w:t>
            </w:r>
          </w:p>
        </w:tc>
        <w:tc>
          <w:tcPr>
            <w:tcW w:w="1281" w:type="pct"/>
            <w:noWrap w:val="0"/>
            <w:vAlign w:val="center"/>
          </w:tcPr>
          <w:p w14:paraId="4B6CB420">
            <w:pPr>
              <w:bidi w:val="0"/>
              <w:spacing w:line="240" w:lineRule="auto"/>
              <w:ind w:left="0" w:leftChars="0" w:firstLine="0" w:firstLineChars="0"/>
              <w:jc w:val="center"/>
              <w:rPr>
                <w:rFonts w:hint="default"/>
                <w:sz w:val="21"/>
                <w:szCs w:val="21"/>
                <w:lang w:val="en-US" w:eastAsia="zh-CN"/>
              </w:rPr>
            </w:pPr>
            <w:r>
              <w:rPr>
                <w:rFonts w:hint="eastAsia"/>
                <w:sz w:val="21"/>
                <w:szCs w:val="21"/>
                <w:lang w:val="en-US" w:eastAsia="zh-CN"/>
              </w:rPr>
              <w:t>0.1</w:t>
            </w:r>
          </w:p>
        </w:tc>
        <w:tc>
          <w:tcPr>
            <w:tcW w:w="1514" w:type="pct"/>
            <w:noWrap w:val="0"/>
            <w:vAlign w:val="center"/>
          </w:tcPr>
          <w:p w14:paraId="3854AD9B">
            <w:pPr>
              <w:bidi w:val="0"/>
              <w:spacing w:line="240" w:lineRule="auto"/>
              <w:ind w:left="0" w:leftChars="0" w:firstLine="0" w:firstLineChars="0"/>
              <w:jc w:val="center"/>
              <w:rPr>
                <w:rFonts w:hint="default"/>
                <w:sz w:val="21"/>
                <w:szCs w:val="21"/>
                <w:lang w:val="en-US" w:eastAsia="zh-CN"/>
              </w:rPr>
            </w:pPr>
            <w:r>
              <w:rPr>
                <w:rFonts w:hint="eastAsia"/>
                <w:sz w:val="21"/>
                <w:szCs w:val="21"/>
                <w:lang w:val="en-US" w:eastAsia="zh-CN"/>
              </w:rPr>
              <w:t>/</w:t>
            </w:r>
          </w:p>
        </w:tc>
      </w:tr>
      <w:tr w14:paraId="6A1508A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0" w:type="pct"/>
            <w:noWrap w:val="0"/>
            <w:vAlign w:val="center"/>
          </w:tcPr>
          <w:p w14:paraId="7B0DCAC7">
            <w:pPr>
              <w:bidi w:val="0"/>
              <w:spacing w:line="240" w:lineRule="auto"/>
              <w:ind w:left="0" w:leftChars="0" w:firstLine="0" w:firstLineChars="0"/>
              <w:jc w:val="center"/>
              <w:rPr>
                <w:rFonts w:hint="eastAsia"/>
                <w:sz w:val="21"/>
                <w:szCs w:val="21"/>
                <w:lang w:val="en-US" w:eastAsia="zh-CN"/>
              </w:rPr>
            </w:pPr>
            <w:r>
              <w:rPr>
                <w:rFonts w:hint="eastAsia"/>
                <w:sz w:val="21"/>
                <w:szCs w:val="21"/>
                <w:lang w:val="en-US" w:eastAsia="zh-CN"/>
              </w:rPr>
              <w:t>11</w:t>
            </w:r>
          </w:p>
        </w:tc>
        <w:tc>
          <w:tcPr>
            <w:tcW w:w="796" w:type="pct"/>
            <w:shd w:val="clear" w:color="auto" w:fill="auto"/>
            <w:noWrap w:val="0"/>
            <w:vAlign w:val="center"/>
          </w:tcPr>
          <w:p w14:paraId="1DCC20E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kern w:val="2"/>
                <w:sz w:val="21"/>
                <w:szCs w:val="21"/>
                <w:highlight w:val="none"/>
                <w:vertAlign w:val="baseline"/>
                <w:lang w:val="en-US" w:eastAsia="zh-CN" w:bidi="ar-SA"/>
              </w:rPr>
            </w:pPr>
            <w:r>
              <w:rPr>
                <w:rFonts w:hint="eastAsia"/>
                <w:sz w:val="21"/>
                <w:szCs w:val="21"/>
                <w:highlight w:val="none"/>
                <w:vertAlign w:val="baseline"/>
                <w:lang w:val="en-US" w:eastAsia="zh-CN"/>
              </w:rPr>
              <w:t>总铅</w:t>
            </w:r>
          </w:p>
        </w:tc>
        <w:tc>
          <w:tcPr>
            <w:tcW w:w="937" w:type="pct"/>
            <w:noWrap w:val="0"/>
            <w:vAlign w:val="center"/>
          </w:tcPr>
          <w:p w14:paraId="6D26DFCE">
            <w:pPr>
              <w:bidi w:val="0"/>
              <w:spacing w:line="240" w:lineRule="auto"/>
              <w:ind w:left="0" w:leftChars="0" w:firstLine="0" w:firstLineChars="0"/>
              <w:jc w:val="center"/>
              <w:rPr>
                <w:rFonts w:hint="eastAsia"/>
                <w:sz w:val="21"/>
                <w:szCs w:val="21"/>
                <w:lang w:val="en-US" w:eastAsia="zh-CN"/>
              </w:rPr>
            </w:pPr>
            <w:r>
              <w:rPr>
                <w:rFonts w:hint="eastAsia"/>
                <w:sz w:val="21"/>
                <w:szCs w:val="21"/>
                <w:lang w:val="en-US" w:eastAsia="zh-CN"/>
              </w:rPr>
              <w:t>mg/L</w:t>
            </w:r>
          </w:p>
        </w:tc>
        <w:tc>
          <w:tcPr>
            <w:tcW w:w="1281" w:type="pct"/>
            <w:noWrap w:val="0"/>
            <w:vAlign w:val="center"/>
          </w:tcPr>
          <w:p w14:paraId="3D8A4C4D">
            <w:pPr>
              <w:bidi w:val="0"/>
              <w:spacing w:line="240" w:lineRule="auto"/>
              <w:ind w:left="0" w:leftChars="0" w:firstLine="0" w:firstLineChars="0"/>
              <w:jc w:val="center"/>
              <w:rPr>
                <w:rFonts w:hint="default"/>
                <w:sz w:val="21"/>
                <w:szCs w:val="21"/>
                <w:lang w:val="en-US" w:eastAsia="zh-CN"/>
              </w:rPr>
            </w:pPr>
            <w:r>
              <w:rPr>
                <w:rFonts w:hint="eastAsia"/>
                <w:sz w:val="21"/>
                <w:szCs w:val="21"/>
                <w:lang w:val="en-US" w:eastAsia="zh-CN"/>
              </w:rPr>
              <w:t>1.0</w:t>
            </w:r>
          </w:p>
        </w:tc>
        <w:tc>
          <w:tcPr>
            <w:tcW w:w="1514" w:type="pct"/>
            <w:noWrap w:val="0"/>
            <w:vAlign w:val="center"/>
          </w:tcPr>
          <w:p w14:paraId="2C99CD96">
            <w:pPr>
              <w:bidi w:val="0"/>
              <w:spacing w:line="240" w:lineRule="auto"/>
              <w:ind w:left="0" w:leftChars="0" w:firstLine="0" w:firstLineChars="0"/>
              <w:jc w:val="center"/>
              <w:rPr>
                <w:rFonts w:hint="default"/>
                <w:sz w:val="21"/>
                <w:szCs w:val="21"/>
                <w:lang w:val="en-US" w:eastAsia="zh-CN"/>
              </w:rPr>
            </w:pPr>
            <w:r>
              <w:rPr>
                <w:rFonts w:hint="eastAsia"/>
                <w:sz w:val="21"/>
                <w:szCs w:val="21"/>
                <w:lang w:val="en-US" w:eastAsia="zh-CN"/>
              </w:rPr>
              <w:t>/</w:t>
            </w:r>
          </w:p>
        </w:tc>
      </w:tr>
      <w:tr w14:paraId="5E0292E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0" w:type="pct"/>
            <w:noWrap w:val="0"/>
            <w:vAlign w:val="center"/>
          </w:tcPr>
          <w:p w14:paraId="54FFA9D7">
            <w:pPr>
              <w:bidi w:val="0"/>
              <w:spacing w:line="240" w:lineRule="auto"/>
              <w:ind w:left="0" w:leftChars="0" w:firstLine="0" w:firstLineChars="0"/>
              <w:jc w:val="center"/>
              <w:rPr>
                <w:rFonts w:hint="eastAsia"/>
                <w:sz w:val="21"/>
                <w:szCs w:val="21"/>
                <w:lang w:val="en-US" w:eastAsia="zh-CN"/>
              </w:rPr>
            </w:pPr>
            <w:r>
              <w:rPr>
                <w:rFonts w:hint="eastAsia"/>
                <w:sz w:val="21"/>
                <w:szCs w:val="21"/>
                <w:lang w:val="en-US" w:eastAsia="zh-CN"/>
              </w:rPr>
              <w:t>12</w:t>
            </w:r>
          </w:p>
        </w:tc>
        <w:tc>
          <w:tcPr>
            <w:tcW w:w="796" w:type="pct"/>
            <w:shd w:val="clear" w:color="auto" w:fill="auto"/>
            <w:noWrap w:val="0"/>
            <w:vAlign w:val="center"/>
          </w:tcPr>
          <w:p w14:paraId="66E2271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kern w:val="2"/>
                <w:sz w:val="21"/>
                <w:szCs w:val="21"/>
                <w:highlight w:val="none"/>
                <w:vertAlign w:val="baseline"/>
                <w:lang w:val="en-US" w:eastAsia="zh-CN" w:bidi="ar-SA"/>
              </w:rPr>
            </w:pPr>
            <w:r>
              <w:rPr>
                <w:rFonts w:hint="eastAsia"/>
                <w:sz w:val="21"/>
                <w:szCs w:val="21"/>
                <w:highlight w:val="none"/>
                <w:vertAlign w:val="baseline"/>
                <w:lang w:val="en-US" w:eastAsia="zh-CN"/>
              </w:rPr>
              <w:t>总汞</w:t>
            </w:r>
          </w:p>
        </w:tc>
        <w:tc>
          <w:tcPr>
            <w:tcW w:w="937" w:type="pct"/>
            <w:noWrap w:val="0"/>
            <w:vAlign w:val="center"/>
          </w:tcPr>
          <w:p w14:paraId="6DC9B3AB">
            <w:pPr>
              <w:bidi w:val="0"/>
              <w:spacing w:line="240" w:lineRule="auto"/>
              <w:ind w:left="0" w:leftChars="0" w:firstLine="0" w:firstLineChars="0"/>
              <w:jc w:val="center"/>
              <w:rPr>
                <w:rFonts w:hint="eastAsia"/>
                <w:sz w:val="21"/>
                <w:szCs w:val="21"/>
                <w:lang w:val="en-US" w:eastAsia="zh-CN"/>
              </w:rPr>
            </w:pPr>
            <w:r>
              <w:rPr>
                <w:rFonts w:hint="eastAsia"/>
                <w:sz w:val="21"/>
                <w:szCs w:val="21"/>
                <w:lang w:val="en-US" w:eastAsia="zh-CN"/>
              </w:rPr>
              <w:t>mg/L</w:t>
            </w:r>
          </w:p>
        </w:tc>
        <w:tc>
          <w:tcPr>
            <w:tcW w:w="1281" w:type="pct"/>
            <w:noWrap w:val="0"/>
            <w:vAlign w:val="center"/>
          </w:tcPr>
          <w:p w14:paraId="5FDC36E7">
            <w:pPr>
              <w:bidi w:val="0"/>
              <w:spacing w:line="240" w:lineRule="auto"/>
              <w:ind w:left="0" w:leftChars="0" w:firstLine="0" w:firstLineChars="0"/>
              <w:jc w:val="center"/>
              <w:rPr>
                <w:rFonts w:hint="default"/>
                <w:sz w:val="21"/>
                <w:szCs w:val="21"/>
                <w:lang w:val="en-US" w:eastAsia="zh-CN"/>
              </w:rPr>
            </w:pPr>
            <w:r>
              <w:rPr>
                <w:rFonts w:hint="eastAsia"/>
                <w:sz w:val="21"/>
                <w:szCs w:val="21"/>
                <w:lang w:val="en-US" w:eastAsia="zh-CN"/>
              </w:rPr>
              <w:t>0.05</w:t>
            </w:r>
          </w:p>
        </w:tc>
        <w:tc>
          <w:tcPr>
            <w:tcW w:w="1514" w:type="pct"/>
            <w:noWrap w:val="0"/>
            <w:vAlign w:val="center"/>
          </w:tcPr>
          <w:p w14:paraId="10135938">
            <w:pPr>
              <w:bidi w:val="0"/>
              <w:spacing w:line="240" w:lineRule="auto"/>
              <w:ind w:left="0" w:leftChars="0" w:firstLine="0" w:firstLineChars="0"/>
              <w:jc w:val="center"/>
              <w:rPr>
                <w:rFonts w:hint="default"/>
                <w:sz w:val="21"/>
                <w:szCs w:val="21"/>
                <w:lang w:val="en-US" w:eastAsia="zh-CN"/>
              </w:rPr>
            </w:pPr>
            <w:r>
              <w:rPr>
                <w:rFonts w:hint="eastAsia"/>
                <w:sz w:val="21"/>
                <w:szCs w:val="21"/>
                <w:lang w:val="en-US" w:eastAsia="zh-CN"/>
              </w:rPr>
              <w:t>/</w:t>
            </w:r>
          </w:p>
        </w:tc>
      </w:tr>
      <w:tr w14:paraId="650E985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23" w:hRule="atLeast"/>
          <w:jc w:val="center"/>
        </w:trPr>
        <w:tc>
          <w:tcPr>
            <w:tcW w:w="470" w:type="pct"/>
            <w:noWrap w:val="0"/>
            <w:vAlign w:val="center"/>
          </w:tcPr>
          <w:p w14:paraId="367769B4">
            <w:pPr>
              <w:bidi w:val="0"/>
              <w:spacing w:line="240" w:lineRule="auto"/>
              <w:ind w:left="0" w:leftChars="0" w:firstLine="0" w:firstLineChars="0"/>
              <w:jc w:val="center"/>
              <w:rPr>
                <w:rFonts w:hint="eastAsia"/>
                <w:sz w:val="21"/>
                <w:szCs w:val="21"/>
                <w:lang w:val="en-US" w:eastAsia="zh-CN"/>
              </w:rPr>
            </w:pPr>
            <w:r>
              <w:rPr>
                <w:rFonts w:hint="eastAsia"/>
                <w:sz w:val="21"/>
                <w:szCs w:val="21"/>
                <w:lang w:val="en-US" w:eastAsia="zh-CN"/>
              </w:rPr>
              <w:t>13</w:t>
            </w:r>
          </w:p>
        </w:tc>
        <w:tc>
          <w:tcPr>
            <w:tcW w:w="796" w:type="pct"/>
            <w:shd w:val="clear" w:color="auto" w:fill="auto"/>
            <w:noWrap w:val="0"/>
            <w:vAlign w:val="center"/>
          </w:tcPr>
          <w:p w14:paraId="338D7D9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kern w:val="2"/>
                <w:sz w:val="21"/>
                <w:szCs w:val="21"/>
                <w:highlight w:val="none"/>
                <w:vertAlign w:val="baseline"/>
                <w:lang w:val="en-US" w:eastAsia="zh-CN" w:bidi="ar-SA"/>
              </w:rPr>
            </w:pPr>
            <w:r>
              <w:rPr>
                <w:rFonts w:hint="eastAsia"/>
                <w:sz w:val="21"/>
                <w:szCs w:val="21"/>
                <w:highlight w:val="none"/>
                <w:vertAlign w:val="baseline"/>
                <w:lang w:val="en-US" w:eastAsia="zh-CN"/>
              </w:rPr>
              <w:t>六价铬</w:t>
            </w:r>
          </w:p>
        </w:tc>
        <w:tc>
          <w:tcPr>
            <w:tcW w:w="937" w:type="pct"/>
            <w:noWrap w:val="0"/>
            <w:vAlign w:val="center"/>
          </w:tcPr>
          <w:p w14:paraId="2CBD122E">
            <w:pPr>
              <w:bidi w:val="0"/>
              <w:spacing w:line="240" w:lineRule="auto"/>
              <w:ind w:left="0" w:leftChars="0" w:firstLine="0" w:firstLineChars="0"/>
              <w:jc w:val="center"/>
              <w:rPr>
                <w:rFonts w:hint="eastAsia"/>
                <w:sz w:val="21"/>
                <w:szCs w:val="21"/>
                <w:lang w:val="en-US" w:eastAsia="zh-CN"/>
              </w:rPr>
            </w:pPr>
            <w:r>
              <w:rPr>
                <w:rFonts w:hint="eastAsia"/>
                <w:sz w:val="21"/>
                <w:szCs w:val="21"/>
                <w:lang w:val="en-US" w:eastAsia="zh-CN"/>
              </w:rPr>
              <w:t>mg/L</w:t>
            </w:r>
          </w:p>
        </w:tc>
        <w:tc>
          <w:tcPr>
            <w:tcW w:w="1281" w:type="pct"/>
            <w:noWrap w:val="0"/>
            <w:vAlign w:val="center"/>
          </w:tcPr>
          <w:p w14:paraId="0BCCB215">
            <w:pPr>
              <w:bidi w:val="0"/>
              <w:spacing w:line="240" w:lineRule="auto"/>
              <w:ind w:left="0" w:leftChars="0" w:firstLine="0" w:firstLineChars="0"/>
              <w:jc w:val="center"/>
              <w:rPr>
                <w:rFonts w:hint="default"/>
                <w:sz w:val="21"/>
                <w:szCs w:val="21"/>
                <w:lang w:val="en-US" w:eastAsia="zh-CN"/>
              </w:rPr>
            </w:pPr>
            <w:r>
              <w:rPr>
                <w:rFonts w:hint="eastAsia"/>
                <w:sz w:val="21"/>
                <w:szCs w:val="21"/>
                <w:lang w:val="en-US" w:eastAsia="zh-CN"/>
              </w:rPr>
              <w:t>0.5</w:t>
            </w:r>
          </w:p>
        </w:tc>
        <w:tc>
          <w:tcPr>
            <w:tcW w:w="1514" w:type="pct"/>
            <w:noWrap w:val="0"/>
            <w:vAlign w:val="center"/>
          </w:tcPr>
          <w:p w14:paraId="52A2EC14">
            <w:pPr>
              <w:bidi w:val="0"/>
              <w:spacing w:line="240" w:lineRule="auto"/>
              <w:ind w:left="0" w:leftChars="0" w:firstLine="0" w:firstLineChars="0"/>
              <w:jc w:val="center"/>
              <w:rPr>
                <w:rFonts w:hint="default"/>
                <w:sz w:val="21"/>
                <w:szCs w:val="21"/>
                <w:lang w:val="en-US" w:eastAsia="zh-CN"/>
              </w:rPr>
            </w:pPr>
            <w:r>
              <w:rPr>
                <w:rFonts w:hint="eastAsia"/>
                <w:sz w:val="21"/>
                <w:szCs w:val="21"/>
                <w:lang w:val="en-US" w:eastAsia="zh-CN"/>
              </w:rPr>
              <w:t>/</w:t>
            </w:r>
          </w:p>
        </w:tc>
      </w:tr>
      <w:tr w14:paraId="42779D9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0" w:type="auto"/>
          </w:tcPr>
          <w:p w14:paraId="49EDFC66">
            <w:pPr>
              <w:bidi w:val="0"/>
              <w:spacing w:line="240" w:lineRule="auto"/>
              <w:ind w:left="0" w:leftChars="0" w:firstLine="0" w:firstLineChars="0"/>
              <w:jc w:val="center"/>
              <w:rPr>
                <w:rFonts w:hint="default"/>
                <w:sz w:val="21"/>
                <w:szCs w:val="21"/>
                <w:lang w:val="en-US" w:eastAsia="zh-CN"/>
              </w:rPr>
            </w:pPr>
            <w:r>
              <w:rPr>
                <w:rFonts w:hint="eastAsia"/>
                <w:sz w:val="21"/>
                <w:szCs w:val="21"/>
                <w:lang w:val="en-US" w:eastAsia="zh-CN"/>
              </w:rPr>
              <w:t>14</w:t>
            </w:r>
          </w:p>
        </w:tc>
        <w:tc>
          <w:tcPr>
            <w:tcW w:w="0" w:type="auto"/>
            <w:shd w:val="clear" w:color="auto" w:fill="auto"/>
            <w:vAlign w:val="center"/>
          </w:tcPr>
          <w:p w14:paraId="7867F3A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kern w:val="2"/>
                <w:sz w:val="21"/>
                <w:szCs w:val="21"/>
                <w:highlight w:val="none"/>
                <w:vertAlign w:val="baseline"/>
                <w:lang w:val="en-US" w:eastAsia="zh-CN" w:bidi="ar-SA"/>
              </w:rPr>
            </w:pPr>
            <w:r>
              <w:rPr>
                <w:rFonts w:hint="eastAsia"/>
                <w:sz w:val="21"/>
                <w:szCs w:val="21"/>
                <w:highlight w:val="none"/>
                <w:vertAlign w:val="baseline"/>
                <w:lang w:val="en-US" w:eastAsia="zh-CN"/>
              </w:rPr>
              <w:t>氰化物</w:t>
            </w:r>
          </w:p>
        </w:tc>
        <w:tc>
          <w:tcPr>
            <w:tcW w:w="0" w:type="auto"/>
          </w:tcPr>
          <w:p w14:paraId="1C561AC9">
            <w:pPr>
              <w:bidi w:val="0"/>
              <w:spacing w:line="240" w:lineRule="auto"/>
              <w:ind w:left="0" w:leftChars="0" w:firstLine="0" w:firstLineChars="0"/>
              <w:jc w:val="center"/>
              <w:rPr>
                <w:rFonts w:hint="eastAsia"/>
                <w:sz w:val="21"/>
                <w:szCs w:val="21"/>
                <w:lang w:val="en-US" w:eastAsia="zh-CN"/>
              </w:rPr>
            </w:pPr>
            <w:r>
              <w:rPr>
                <w:rFonts w:hint="eastAsia"/>
                <w:sz w:val="21"/>
                <w:szCs w:val="21"/>
                <w:lang w:val="en-US" w:eastAsia="zh-CN"/>
              </w:rPr>
              <w:t>mg/L</w:t>
            </w:r>
          </w:p>
        </w:tc>
        <w:tc>
          <w:tcPr>
            <w:tcW w:w="0" w:type="auto"/>
          </w:tcPr>
          <w:p w14:paraId="7E167223">
            <w:pPr>
              <w:bidi w:val="0"/>
              <w:spacing w:line="240" w:lineRule="auto"/>
              <w:ind w:left="0" w:leftChars="0" w:firstLine="0" w:firstLineChars="0"/>
              <w:jc w:val="center"/>
              <w:rPr>
                <w:rFonts w:hint="default"/>
                <w:sz w:val="21"/>
                <w:szCs w:val="21"/>
                <w:lang w:val="en-US" w:eastAsia="zh-CN"/>
              </w:rPr>
            </w:pPr>
            <w:r>
              <w:rPr>
                <w:rFonts w:hint="eastAsia"/>
                <w:sz w:val="21"/>
                <w:szCs w:val="21"/>
                <w:lang w:val="en-US" w:eastAsia="zh-CN"/>
              </w:rPr>
              <w:t>/</w:t>
            </w:r>
          </w:p>
        </w:tc>
        <w:tc>
          <w:tcPr>
            <w:tcW w:w="0" w:type="auto"/>
          </w:tcPr>
          <w:p w14:paraId="16C83314">
            <w:pPr>
              <w:bidi w:val="0"/>
              <w:spacing w:line="240" w:lineRule="auto"/>
              <w:ind w:left="0" w:leftChars="0" w:firstLine="0" w:firstLineChars="0"/>
              <w:jc w:val="center"/>
              <w:rPr>
                <w:rFonts w:hint="eastAsia"/>
                <w:sz w:val="21"/>
                <w:szCs w:val="21"/>
                <w:lang w:val="en-US" w:eastAsia="zh-CN"/>
              </w:rPr>
            </w:pPr>
            <w:r>
              <w:rPr>
                <w:rFonts w:hint="eastAsia"/>
                <w:sz w:val="21"/>
                <w:szCs w:val="21"/>
                <w:lang w:val="en-US" w:eastAsia="zh-CN"/>
              </w:rPr>
              <w:t>0.5</w:t>
            </w:r>
          </w:p>
        </w:tc>
      </w:tr>
    </w:tbl>
    <w:p w14:paraId="338B6F7B">
      <w:pPr>
        <w:bidi w:val="0"/>
        <w:rPr>
          <w:rFonts w:hint="eastAsia"/>
          <w:b/>
          <w:bCs/>
          <w:highlight w:val="none"/>
          <w:lang w:val="en-US" w:eastAsia="zh-CN"/>
        </w:rPr>
      </w:pPr>
      <w:r>
        <w:rPr>
          <w:rFonts w:hint="eastAsia"/>
          <w:b/>
          <w:bCs/>
          <w:highlight w:val="none"/>
          <w:lang w:val="en-US" w:eastAsia="zh-CN"/>
        </w:rPr>
        <w:t>（3）噪声</w:t>
      </w:r>
    </w:p>
    <w:p w14:paraId="6CB08D05">
      <w:pPr>
        <w:bidi w:val="0"/>
        <w:rPr>
          <w:rFonts w:hint="eastAsia"/>
          <w:highlight w:val="none"/>
          <w:lang w:val="en-US" w:eastAsia="zh-CN"/>
        </w:rPr>
      </w:pPr>
      <w:r>
        <w:rPr>
          <w:rFonts w:hint="eastAsia"/>
          <w:highlight w:val="none"/>
          <w:lang w:val="en-US" w:eastAsia="zh-CN"/>
        </w:rPr>
        <w:t>本项目施工期噪声执行《建筑施工场界环境噪声排放标准》（GB12523-2011）中表1规定的排放限值，具体见表2.4-10。</w:t>
      </w:r>
    </w:p>
    <w:p w14:paraId="6CE7DC01">
      <w:pPr>
        <w:spacing w:line="360" w:lineRule="auto"/>
        <w:ind w:left="0" w:leftChars="0" w:firstLine="0" w:firstLineChars="0"/>
        <w:jc w:val="center"/>
        <w:rPr>
          <w:rFonts w:hint="default" w:ascii="Times New Roman" w:hAnsi="Times New Roman" w:cs="Times New Roman"/>
          <w:b/>
          <w:bCs/>
          <w:color w:val="auto"/>
          <w:sz w:val="21"/>
          <w:szCs w:val="21"/>
          <w:highlight w:val="none"/>
          <w:u w:val="none"/>
          <w:lang w:val="en-US" w:eastAsia="zh-CN"/>
        </w:rPr>
      </w:pPr>
      <w:r>
        <w:rPr>
          <w:rFonts w:hint="eastAsia" w:ascii="Times New Roman" w:hAnsi="Times New Roman" w:cs="Times New Roman"/>
          <w:b/>
          <w:bCs/>
          <w:color w:val="auto"/>
          <w:sz w:val="21"/>
          <w:szCs w:val="21"/>
          <w:highlight w:val="none"/>
          <w:u w:val="none"/>
          <w:lang w:val="en-US" w:eastAsia="zh-CN"/>
        </w:rPr>
        <w:t>表</w:t>
      </w:r>
      <w:r>
        <w:rPr>
          <w:rFonts w:hint="eastAsia" w:cs="Times New Roman"/>
          <w:b/>
          <w:bCs/>
          <w:color w:val="auto"/>
          <w:sz w:val="21"/>
          <w:szCs w:val="21"/>
          <w:highlight w:val="none"/>
          <w:u w:val="none"/>
          <w:lang w:val="en-US" w:eastAsia="zh-CN"/>
        </w:rPr>
        <w:t>2</w:t>
      </w:r>
      <w:r>
        <w:rPr>
          <w:rFonts w:hint="eastAsia" w:ascii="Times New Roman" w:hAnsi="Times New Roman" w:cs="Times New Roman"/>
          <w:b/>
          <w:bCs/>
          <w:color w:val="auto"/>
          <w:sz w:val="21"/>
          <w:szCs w:val="21"/>
          <w:highlight w:val="none"/>
          <w:u w:val="none"/>
          <w:lang w:val="en-US" w:eastAsia="zh-CN"/>
        </w:rPr>
        <w:t>.</w:t>
      </w:r>
      <w:r>
        <w:rPr>
          <w:rFonts w:hint="eastAsia" w:cs="Times New Roman"/>
          <w:b/>
          <w:bCs/>
          <w:color w:val="auto"/>
          <w:sz w:val="21"/>
          <w:szCs w:val="21"/>
          <w:highlight w:val="none"/>
          <w:u w:val="none"/>
          <w:lang w:val="en-US" w:eastAsia="zh-CN"/>
        </w:rPr>
        <w:t>4</w:t>
      </w:r>
      <w:r>
        <w:rPr>
          <w:rFonts w:hint="eastAsia" w:ascii="Times New Roman" w:hAnsi="Times New Roman" w:cs="Times New Roman"/>
          <w:b/>
          <w:bCs/>
          <w:color w:val="auto"/>
          <w:sz w:val="21"/>
          <w:szCs w:val="21"/>
          <w:highlight w:val="none"/>
          <w:u w:val="none"/>
          <w:lang w:val="en-US" w:eastAsia="zh-CN"/>
        </w:rPr>
        <w:t>-</w:t>
      </w:r>
      <w:r>
        <w:rPr>
          <w:rFonts w:hint="eastAsia" w:cs="Times New Roman"/>
          <w:b/>
          <w:bCs/>
          <w:color w:val="auto"/>
          <w:sz w:val="21"/>
          <w:szCs w:val="21"/>
          <w:highlight w:val="none"/>
          <w:u w:val="none"/>
          <w:lang w:val="en-US" w:eastAsia="zh-CN"/>
        </w:rPr>
        <w:t>10</w:t>
      </w:r>
      <w:r>
        <w:rPr>
          <w:rFonts w:hint="eastAsia" w:ascii="Times New Roman" w:hAnsi="Times New Roman" w:cs="Times New Roman"/>
          <w:b/>
          <w:bCs/>
          <w:color w:val="auto"/>
          <w:sz w:val="21"/>
          <w:szCs w:val="21"/>
          <w:highlight w:val="none"/>
          <w:u w:val="none"/>
          <w:lang w:val="en-US" w:eastAsia="zh-CN"/>
        </w:rPr>
        <w:t xml:space="preserve">  建筑施工场界环境噪声排放限值    单位：</w:t>
      </w:r>
      <w:r>
        <w:rPr>
          <w:rFonts w:hint="default" w:ascii="Times New Roman" w:hAnsi="Times New Roman" w:cs="Times New Roman"/>
          <w:b/>
          <w:bCs/>
          <w:color w:val="auto"/>
          <w:sz w:val="21"/>
          <w:szCs w:val="21"/>
          <w:highlight w:val="none"/>
          <w:u w:val="none"/>
          <w:lang w:val="en-US" w:eastAsia="zh-CN"/>
        </w:rPr>
        <w:t>dB（A）</w:t>
      </w:r>
    </w:p>
    <w:tbl>
      <w:tblPr>
        <w:tblStyle w:val="36"/>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4616"/>
        <w:gridCol w:w="4616"/>
      </w:tblGrid>
      <w:tr w14:paraId="2FF42DA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500" w:type="pct"/>
            <w:noWrap w:val="0"/>
            <w:vAlign w:val="center"/>
          </w:tcPr>
          <w:p w14:paraId="6F052F0E">
            <w:pPr>
              <w:keepNext w:val="0"/>
              <w:keepLines w:val="0"/>
              <w:suppressLineNumbers w:val="0"/>
              <w:spacing w:before="0" w:beforeAutospacing="0" w:after="0" w:afterAutospacing="0" w:line="360" w:lineRule="auto"/>
              <w:ind w:left="0" w:leftChars="0" w:right="0" w:firstLine="0" w:firstLineChars="0"/>
              <w:jc w:val="center"/>
              <w:rPr>
                <w:rFonts w:hint="eastAsia" w:ascii="Times New Roman" w:hAnsi="Times New Roman" w:cs="Times New Roman"/>
                <w:b/>
                <w:bCs/>
                <w:color w:val="auto"/>
                <w:sz w:val="21"/>
                <w:szCs w:val="21"/>
                <w:highlight w:val="none"/>
                <w:u w:val="none"/>
                <w:vertAlign w:val="baseline"/>
                <w:lang w:val="en-US" w:eastAsia="zh-CN"/>
              </w:rPr>
            </w:pPr>
            <w:r>
              <w:rPr>
                <w:rFonts w:hint="eastAsia" w:cs="Times New Roman"/>
                <w:b/>
                <w:bCs/>
                <w:color w:val="auto"/>
                <w:sz w:val="21"/>
                <w:szCs w:val="21"/>
                <w:highlight w:val="none"/>
                <w:u w:val="none"/>
                <w:vertAlign w:val="baseline"/>
                <w:lang w:val="en-US" w:eastAsia="zh-CN"/>
              </w:rPr>
              <w:t>昼间</w:t>
            </w:r>
          </w:p>
        </w:tc>
        <w:tc>
          <w:tcPr>
            <w:tcW w:w="2500" w:type="pct"/>
            <w:noWrap w:val="0"/>
            <w:vAlign w:val="center"/>
          </w:tcPr>
          <w:p w14:paraId="355DEFBC">
            <w:pPr>
              <w:keepNext w:val="0"/>
              <w:keepLines w:val="0"/>
              <w:suppressLineNumbers w:val="0"/>
              <w:spacing w:before="0" w:beforeAutospacing="0" w:after="0" w:afterAutospacing="0" w:line="360" w:lineRule="auto"/>
              <w:ind w:left="0" w:leftChars="0" w:right="0" w:firstLine="0" w:firstLineChars="0"/>
              <w:jc w:val="center"/>
              <w:rPr>
                <w:rFonts w:hint="eastAsia" w:ascii="Times New Roman" w:hAnsi="Times New Roman" w:cs="Times New Roman"/>
                <w:b/>
                <w:bCs/>
                <w:color w:val="auto"/>
                <w:sz w:val="21"/>
                <w:szCs w:val="21"/>
                <w:highlight w:val="none"/>
                <w:u w:val="none"/>
                <w:vertAlign w:val="baseline"/>
                <w:lang w:val="en-US" w:eastAsia="zh-CN"/>
              </w:rPr>
            </w:pPr>
            <w:r>
              <w:rPr>
                <w:rFonts w:hint="eastAsia" w:cs="Times New Roman"/>
                <w:b/>
                <w:bCs/>
                <w:color w:val="auto"/>
                <w:sz w:val="21"/>
                <w:szCs w:val="21"/>
                <w:highlight w:val="none"/>
                <w:u w:val="none"/>
                <w:vertAlign w:val="baseline"/>
                <w:lang w:val="en-US" w:eastAsia="zh-CN"/>
              </w:rPr>
              <w:t>夜间</w:t>
            </w:r>
          </w:p>
        </w:tc>
      </w:tr>
      <w:tr w14:paraId="35DA8EE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500" w:type="pct"/>
            <w:noWrap w:val="0"/>
            <w:vAlign w:val="center"/>
          </w:tcPr>
          <w:p w14:paraId="7C62C6C2">
            <w:pPr>
              <w:keepNext w:val="0"/>
              <w:keepLines w:val="0"/>
              <w:suppressLineNumbers w:val="0"/>
              <w:spacing w:before="0" w:beforeAutospacing="0" w:after="0" w:afterAutospacing="0" w:line="240" w:lineRule="auto"/>
              <w:ind w:left="0" w:leftChars="0" w:right="0" w:firstLine="0" w:firstLineChars="0"/>
              <w:jc w:val="center"/>
              <w:rPr>
                <w:rFonts w:hint="eastAsia" w:ascii="Times New Roman" w:hAnsi="Times New Roman" w:cs="Times New Roman"/>
                <w:b w:val="0"/>
                <w:bCs w:val="0"/>
                <w:color w:val="auto"/>
                <w:sz w:val="21"/>
                <w:szCs w:val="21"/>
                <w:highlight w:val="none"/>
                <w:u w:val="none"/>
                <w:vertAlign w:val="baseline"/>
                <w:lang w:val="en-US" w:eastAsia="zh-CN"/>
              </w:rPr>
            </w:pPr>
            <w:r>
              <w:rPr>
                <w:rFonts w:hint="eastAsia" w:cs="Times New Roman"/>
                <w:b w:val="0"/>
                <w:bCs w:val="0"/>
                <w:color w:val="auto"/>
                <w:sz w:val="21"/>
                <w:szCs w:val="21"/>
                <w:highlight w:val="none"/>
                <w:u w:val="none"/>
                <w:vertAlign w:val="baseline"/>
                <w:lang w:val="en-US" w:eastAsia="zh-CN"/>
              </w:rPr>
              <w:t>70</w:t>
            </w:r>
          </w:p>
        </w:tc>
        <w:tc>
          <w:tcPr>
            <w:tcW w:w="2500" w:type="pct"/>
            <w:noWrap w:val="0"/>
            <w:vAlign w:val="center"/>
          </w:tcPr>
          <w:p w14:paraId="499D4EB0">
            <w:pPr>
              <w:keepNext w:val="0"/>
              <w:keepLines w:val="0"/>
              <w:suppressLineNumbers w:val="0"/>
              <w:spacing w:before="0" w:beforeAutospacing="0" w:after="0" w:afterAutospacing="0" w:line="240" w:lineRule="auto"/>
              <w:ind w:left="0" w:leftChars="0" w:right="0" w:firstLine="0" w:firstLineChars="0"/>
              <w:jc w:val="center"/>
              <w:rPr>
                <w:rFonts w:hint="eastAsia" w:ascii="Times New Roman" w:hAnsi="Times New Roman" w:cs="Times New Roman"/>
                <w:b w:val="0"/>
                <w:bCs w:val="0"/>
                <w:color w:val="auto"/>
                <w:sz w:val="21"/>
                <w:szCs w:val="21"/>
                <w:highlight w:val="none"/>
                <w:u w:val="none"/>
                <w:vertAlign w:val="baseline"/>
                <w:lang w:val="en-US" w:eastAsia="zh-CN"/>
              </w:rPr>
            </w:pPr>
            <w:r>
              <w:rPr>
                <w:rFonts w:hint="eastAsia" w:cs="Times New Roman"/>
                <w:b w:val="0"/>
                <w:bCs w:val="0"/>
                <w:color w:val="auto"/>
                <w:sz w:val="21"/>
                <w:szCs w:val="21"/>
                <w:highlight w:val="none"/>
                <w:u w:val="none"/>
                <w:vertAlign w:val="baseline"/>
                <w:lang w:val="en-US" w:eastAsia="zh-CN"/>
              </w:rPr>
              <w:t>55</w:t>
            </w:r>
          </w:p>
        </w:tc>
      </w:tr>
    </w:tbl>
    <w:p w14:paraId="79449A64">
      <w:pPr>
        <w:bidi w:val="0"/>
        <w:rPr>
          <w:rFonts w:hint="default"/>
          <w:b/>
          <w:bCs/>
          <w:highlight w:val="none"/>
          <w:lang w:val="en-US" w:eastAsia="zh-CN"/>
        </w:rPr>
      </w:pPr>
      <w:r>
        <w:rPr>
          <w:rFonts w:hint="eastAsia"/>
          <w:b/>
          <w:bCs/>
          <w:highlight w:val="none"/>
          <w:lang w:val="en-US" w:eastAsia="zh-CN"/>
        </w:rPr>
        <w:t>（4）固废</w:t>
      </w:r>
    </w:p>
    <w:p w14:paraId="4D645F21">
      <w:pPr>
        <w:bidi w:val="0"/>
        <w:rPr>
          <w:rFonts w:hint="eastAsia"/>
          <w:highlight w:val="none"/>
          <w:lang w:val="en-US" w:eastAsia="zh-CN"/>
        </w:rPr>
      </w:pPr>
      <w:r>
        <w:rPr>
          <w:rFonts w:hint="eastAsia"/>
          <w:highlight w:val="none"/>
          <w:lang w:val="en-US" w:eastAsia="zh-CN"/>
        </w:rPr>
        <w:t>一般固废执行《一般工业固体废物贮存和填埋污染控制标准》（GB18599-2020）；危险废物执行《危险废物贮存污染控制标准》（GB18597-2023）；生活垃圾执行《生活垃圾焚烧污染控制标准》（GB18485-2014）及修改单。</w:t>
      </w:r>
    </w:p>
    <w:p w14:paraId="1C888E74">
      <w:pPr>
        <w:pStyle w:val="8"/>
        <w:numPr>
          <w:ilvl w:val="1"/>
          <w:numId w:val="1"/>
        </w:numPr>
        <w:tabs>
          <w:tab w:val="clear" w:pos="420"/>
        </w:tabs>
        <w:bidi w:val="0"/>
        <w:ind w:left="567" w:leftChars="0" w:hanging="567" w:firstLineChars="0"/>
        <w:rPr>
          <w:rFonts w:hint="eastAsia"/>
          <w:highlight w:val="none"/>
          <w:lang w:val="en-US" w:eastAsia="zh-CN"/>
        </w:rPr>
      </w:pPr>
      <w:bookmarkStart w:id="24" w:name="_Toc10869"/>
      <w:r>
        <w:rPr>
          <w:rFonts w:hint="eastAsia"/>
          <w:highlight w:val="none"/>
          <w:lang w:val="en-US" w:eastAsia="zh-CN"/>
        </w:rPr>
        <w:t>评价工作等级及评价范围</w:t>
      </w:r>
      <w:bookmarkEnd w:id="24"/>
    </w:p>
    <w:p w14:paraId="63D03A4A">
      <w:pPr>
        <w:pStyle w:val="9"/>
        <w:numPr>
          <w:ilvl w:val="2"/>
          <w:numId w:val="1"/>
        </w:numPr>
        <w:bidi w:val="0"/>
        <w:ind w:left="709" w:leftChars="0" w:hanging="709" w:firstLineChars="0"/>
        <w:rPr>
          <w:rFonts w:hint="default"/>
          <w:highlight w:val="none"/>
          <w:lang w:val="en-US" w:eastAsia="zh-CN"/>
        </w:rPr>
      </w:pPr>
      <w:r>
        <w:rPr>
          <w:rFonts w:hint="eastAsia"/>
          <w:highlight w:val="none"/>
          <w:lang w:val="en-US" w:eastAsia="zh-CN"/>
        </w:rPr>
        <w:t>评价工作等级</w:t>
      </w:r>
    </w:p>
    <w:p w14:paraId="3C4C5EE8">
      <w:pPr>
        <w:pStyle w:val="10"/>
        <w:numPr>
          <w:ilvl w:val="3"/>
          <w:numId w:val="1"/>
        </w:numPr>
        <w:bidi w:val="0"/>
        <w:ind w:left="850" w:leftChars="0" w:hanging="850" w:firstLineChars="0"/>
        <w:rPr>
          <w:rFonts w:hint="eastAsia"/>
          <w:highlight w:val="none"/>
          <w:lang w:val="en-US" w:eastAsia="zh-CN"/>
        </w:rPr>
      </w:pPr>
      <w:r>
        <w:rPr>
          <w:rFonts w:hint="eastAsia"/>
          <w:highlight w:val="none"/>
          <w:lang w:val="en-US" w:eastAsia="zh-CN"/>
        </w:rPr>
        <w:t>大气环境影响评价工作等级</w:t>
      </w:r>
    </w:p>
    <w:p w14:paraId="069D2A27">
      <w:pPr>
        <w:bidi w:val="0"/>
        <w:rPr>
          <w:rFonts w:hint="eastAsia"/>
          <w:color w:val="auto"/>
          <w:highlight w:val="none"/>
          <w:u w:val="none" w:color="auto"/>
          <w:lang w:val="en-US" w:eastAsia="zh-CN"/>
        </w:rPr>
      </w:pPr>
      <w:r>
        <w:rPr>
          <w:rFonts w:hint="eastAsia"/>
          <w:color w:val="auto"/>
          <w:highlight w:val="none"/>
          <w:u w:val="none" w:color="auto"/>
          <w:lang w:val="en-US" w:eastAsia="zh-CN"/>
        </w:rPr>
        <w:t>依据《环境影响评价技术导则  大气环境》（HJ2.2-2018）中5.3节工作等级的确定方法，结合项目工程分析结果，选择正常排放的主要污染物及排放参数，采用附录A推荐模型中的AERSCREEN模式计算项目污染源的最大环境影响，然后按评价工作分级判据进行分级。</w:t>
      </w:r>
    </w:p>
    <w:p w14:paraId="7A689CB1">
      <w:pPr>
        <w:bidi w:val="0"/>
        <w:rPr>
          <w:rFonts w:hint="eastAsia"/>
          <w:color w:val="auto"/>
          <w:highlight w:val="none"/>
          <w:u w:val="none" w:color="auto"/>
          <w:lang w:val="en-US" w:eastAsia="zh-CN"/>
        </w:rPr>
      </w:pPr>
      <w:r>
        <w:rPr>
          <w:rFonts w:hint="eastAsia"/>
          <w:color w:val="auto"/>
          <w:highlight w:val="none"/>
          <w:u w:val="none" w:color="auto"/>
          <w:lang w:val="en-US" w:eastAsia="zh-CN"/>
        </w:rPr>
        <w:t>①P</w:t>
      </w:r>
      <w:r>
        <w:rPr>
          <w:rFonts w:hint="eastAsia"/>
          <w:color w:val="auto"/>
          <w:highlight w:val="none"/>
          <w:u w:val="none" w:color="auto"/>
          <w:vertAlign w:val="subscript"/>
          <w:lang w:val="en-US" w:eastAsia="zh-CN"/>
        </w:rPr>
        <w:t>max</w:t>
      </w:r>
      <w:r>
        <w:rPr>
          <w:rFonts w:hint="eastAsia"/>
          <w:color w:val="auto"/>
          <w:highlight w:val="none"/>
          <w:u w:val="none" w:color="auto"/>
          <w:lang w:val="en-US" w:eastAsia="zh-CN"/>
        </w:rPr>
        <w:t>及D</w:t>
      </w:r>
      <w:r>
        <w:rPr>
          <w:rFonts w:hint="eastAsia"/>
          <w:color w:val="auto"/>
          <w:highlight w:val="none"/>
          <w:u w:val="none" w:color="auto"/>
          <w:vertAlign w:val="subscript"/>
          <w:lang w:val="en-US" w:eastAsia="zh-CN"/>
        </w:rPr>
        <w:t>10%</w:t>
      </w:r>
      <w:r>
        <w:rPr>
          <w:rFonts w:hint="eastAsia"/>
          <w:color w:val="auto"/>
          <w:highlight w:val="none"/>
          <w:u w:val="none" w:color="auto"/>
          <w:lang w:val="en-US" w:eastAsia="zh-CN"/>
        </w:rPr>
        <w:t>的确定</w:t>
      </w:r>
    </w:p>
    <w:p w14:paraId="5A01CB60">
      <w:pPr>
        <w:bidi w:val="0"/>
        <w:rPr>
          <w:rFonts w:hint="eastAsia"/>
          <w:color w:val="auto"/>
          <w:highlight w:val="none"/>
          <w:u w:val="none" w:color="auto"/>
          <w:lang w:val="en-US" w:eastAsia="zh-CN"/>
        </w:rPr>
      </w:pPr>
      <w:r>
        <w:rPr>
          <w:rFonts w:hint="eastAsia"/>
          <w:color w:val="auto"/>
          <w:highlight w:val="none"/>
          <w:u w:val="none" w:color="auto"/>
          <w:lang w:val="en-US" w:eastAsia="zh-CN"/>
        </w:rPr>
        <w:t>依据《环境影响评价技术导则大气环境》（HJ2.2-2018）中最大地面浓度占标率P</w:t>
      </w:r>
      <w:r>
        <w:rPr>
          <w:rFonts w:hint="eastAsia"/>
          <w:color w:val="auto"/>
          <w:highlight w:val="none"/>
          <w:u w:val="none" w:color="auto"/>
          <w:vertAlign w:val="subscript"/>
          <w:lang w:val="en-US" w:eastAsia="zh-CN"/>
        </w:rPr>
        <w:t>i</w:t>
      </w:r>
      <w:r>
        <w:rPr>
          <w:rFonts w:hint="eastAsia"/>
          <w:color w:val="auto"/>
          <w:highlight w:val="none"/>
          <w:u w:val="none" w:color="auto"/>
          <w:lang w:val="en-US" w:eastAsia="zh-CN"/>
        </w:rPr>
        <w:t>定义如下：</w:t>
      </w:r>
    </w:p>
    <w:p w14:paraId="551C616B">
      <w:pPr>
        <w:bidi w:val="0"/>
        <w:rPr>
          <w:rFonts w:hint="eastAsia"/>
          <w:color w:val="auto"/>
          <w:highlight w:val="none"/>
          <w:u w:val="none" w:color="auto"/>
          <w:lang w:val="en-US" w:eastAsia="zh-CN"/>
        </w:rPr>
      </w:pPr>
      <m:oMathPara>
        <m:oMath>
          <m:sSub>
            <m:sSubPr>
              <m:ctrlPr>
                <w:rPr>
                  <w:rFonts w:hint="default" w:ascii="Cambria Math" w:hAnsi="Cambria Math" w:cs="Times New Roman"/>
                  <w:color w:val="auto"/>
                  <w:highlight w:val="none"/>
                  <w:u w:val="none" w:color="auto"/>
                  <w:lang w:val="en-US" w:eastAsia="zh-CN"/>
                </w:rPr>
              </m:ctrlPr>
            </m:sSubPr>
            <m:e>
              <m:r>
                <m:rPr>
                  <m:sty m:val="p"/>
                </m:rPr>
                <w:rPr>
                  <w:rFonts w:hint="default" w:ascii="Cambria Math" w:hAnsi="Cambria Math" w:cs="Times New Roman"/>
                  <w:color w:val="auto"/>
                  <w:highlight w:val="none"/>
                  <w:u w:val="none" w:color="auto"/>
                  <w:lang w:val="en-US" w:eastAsia="zh-CN"/>
                </w:rPr>
                <m:t>P</m:t>
              </m:r>
              <m:ctrlPr>
                <w:rPr>
                  <w:rFonts w:hint="default" w:ascii="Cambria Math" w:hAnsi="Cambria Math" w:cs="Times New Roman"/>
                  <w:color w:val="auto"/>
                  <w:highlight w:val="none"/>
                  <w:u w:val="none" w:color="auto"/>
                  <w:lang w:val="en-US" w:eastAsia="zh-CN"/>
                </w:rPr>
              </m:ctrlPr>
            </m:e>
            <m:sub>
              <m:r>
                <m:rPr>
                  <m:sty m:val="p"/>
                </m:rPr>
                <w:rPr>
                  <w:rFonts w:hint="default" w:ascii="Cambria Math" w:hAnsi="Cambria Math" w:cs="Times New Roman"/>
                  <w:color w:val="auto"/>
                  <w:highlight w:val="none"/>
                  <w:u w:val="none" w:color="auto"/>
                  <w:lang w:val="en-US" w:eastAsia="zh-CN"/>
                </w:rPr>
                <m:t>i</m:t>
              </m:r>
              <m:ctrlPr>
                <w:rPr>
                  <w:rFonts w:hint="default" w:ascii="Cambria Math" w:hAnsi="Cambria Math" w:cs="Times New Roman"/>
                  <w:color w:val="auto"/>
                  <w:highlight w:val="none"/>
                  <w:u w:val="none" w:color="auto"/>
                  <w:lang w:val="en-US" w:eastAsia="zh-CN"/>
                </w:rPr>
              </m:ctrlPr>
            </m:sub>
          </m:sSub>
          <m:r>
            <m:rPr>
              <m:sty m:val="p"/>
            </m:rPr>
            <w:rPr>
              <w:rFonts w:hint="default" w:ascii="Cambria Math" w:hAnsi="Cambria Math" w:cs="Times New Roman"/>
              <w:color w:val="auto"/>
              <w:highlight w:val="none"/>
              <w:u w:val="none" w:color="auto"/>
              <w:lang w:val="en-US" w:eastAsia="zh-CN"/>
            </w:rPr>
            <m:t>=</m:t>
          </m:r>
          <m:f>
            <m:fPr>
              <m:ctrlPr>
                <w:rPr>
                  <w:rFonts w:hint="default" w:ascii="Cambria Math" w:hAnsi="Cambria Math" w:cs="Times New Roman"/>
                  <w:color w:val="auto"/>
                  <w:highlight w:val="none"/>
                  <w:u w:val="none" w:color="auto"/>
                  <w:lang w:val="en-US" w:eastAsia="zh-CN"/>
                </w:rPr>
              </m:ctrlPr>
            </m:fPr>
            <m:num>
              <m:sSub>
                <m:sSubPr>
                  <m:ctrlPr>
                    <w:rPr>
                      <w:rFonts w:hint="default" w:ascii="Cambria Math" w:hAnsi="Cambria Math" w:cs="Times New Roman"/>
                      <w:color w:val="auto"/>
                      <w:highlight w:val="none"/>
                      <w:u w:val="none" w:color="auto"/>
                      <w:lang w:val="en-US" w:eastAsia="zh-CN"/>
                    </w:rPr>
                  </m:ctrlPr>
                </m:sSubPr>
                <m:e>
                  <m:r>
                    <m:rPr>
                      <m:sty m:val="p"/>
                    </m:rPr>
                    <w:rPr>
                      <w:rFonts w:hint="default" w:ascii="Cambria Math" w:hAnsi="Cambria Math" w:cs="Times New Roman"/>
                      <w:color w:val="auto"/>
                      <w:highlight w:val="none"/>
                      <w:u w:val="none" w:color="auto"/>
                      <w:lang w:val="en-US" w:eastAsia="zh-CN"/>
                    </w:rPr>
                    <m:t>C</m:t>
                  </m:r>
                  <m:ctrlPr>
                    <w:rPr>
                      <w:rFonts w:hint="default" w:ascii="Cambria Math" w:hAnsi="Cambria Math" w:cs="Times New Roman"/>
                      <w:color w:val="auto"/>
                      <w:highlight w:val="none"/>
                      <w:u w:val="none" w:color="auto"/>
                      <w:lang w:val="en-US" w:eastAsia="zh-CN"/>
                    </w:rPr>
                  </m:ctrlPr>
                </m:e>
                <m:sub>
                  <m:r>
                    <m:rPr>
                      <m:sty m:val="p"/>
                    </m:rPr>
                    <w:rPr>
                      <w:rFonts w:hint="default" w:ascii="Cambria Math" w:hAnsi="Cambria Math" w:cs="Times New Roman"/>
                      <w:color w:val="auto"/>
                      <w:highlight w:val="none"/>
                      <w:u w:val="none" w:color="auto"/>
                      <w:lang w:val="en-US" w:eastAsia="zh-CN"/>
                    </w:rPr>
                    <m:t>i</m:t>
                  </m:r>
                  <m:ctrlPr>
                    <w:rPr>
                      <w:rFonts w:hint="default" w:ascii="Cambria Math" w:hAnsi="Cambria Math" w:cs="Times New Roman"/>
                      <w:color w:val="auto"/>
                      <w:highlight w:val="none"/>
                      <w:u w:val="none" w:color="auto"/>
                      <w:lang w:val="en-US" w:eastAsia="zh-CN"/>
                    </w:rPr>
                  </m:ctrlPr>
                </m:sub>
              </m:sSub>
              <m:ctrlPr>
                <w:rPr>
                  <w:rFonts w:hint="default" w:ascii="Cambria Math" w:hAnsi="Cambria Math" w:cs="Times New Roman"/>
                  <w:color w:val="auto"/>
                  <w:highlight w:val="none"/>
                  <w:u w:val="none" w:color="auto"/>
                  <w:lang w:val="en-US" w:eastAsia="zh-CN"/>
                </w:rPr>
              </m:ctrlPr>
            </m:num>
            <m:den>
              <m:sSub>
                <m:sSubPr>
                  <m:ctrlPr>
                    <w:rPr>
                      <w:rFonts w:hint="default" w:ascii="Cambria Math" w:hAnsi="Cambria Math" w:cs="Times New Roman"/>
                      <w:color w:val="auto"/>
                      <w:highlight w:val="none"/>
                      <w:u w:val="none" w:color="auto"/>
                      <w:lang w:val="en-US" w:eastAsia="zh-CN"/>
                    </w:rPr>
                  </m:ctrlPr>
                </m:sSubPr>
                <m:e>
                  <m:r>
                    <m:rPr>
                      <m:sty m:val="p"/>
                    </m:rPr>
                    <w:rPr>
                      <w:rFonts w:hint="default" w:ascii="Cambria Math" w:hAnsi="Cambria Math" w:cs="Times New Roman"/>
                      <w:color w:val="auto"/>
                      <w:highlight w:val="none"/>
                      <w:u w:val="none" w:color="auto"/>
                      <w:lang w:val="en-US" w:eastAsia="zh-CN"/>
                    </w:rPr>
                    <m:t>C</m:t>
                  </m:r>
                  <m:ctrlPr>
                    <w:rPr>
                      <w:rFonts w:hint="default" w:ascii="Cambria Math" w:hAnsi="Cambria Math" w:cs="Times New Roman"/>
                      <w:color w:val="auto"/>
                      <w:highlight w:val="none"/>
                      <w:u w:val="none" w:color="auto"/>
                      <w:lang w:val="en-US" w:eastAsia="zh-CN"/>
                    </w:rPr>
                  </m:ctrlPr>
                </m:e>
                <m:sub>
                  <m:r>
                    <m:rPr>
                      <m:sty m:val="p"/>
                    </m:rPr>
                    <w:rPr>
                      <w:rFonts w:hint="default" w:ascii="Cambria Math" w:hAnsi="Cambria Math" w:cs="Times New Roman"/>
                      <w:color w:val="auto"/>
                      <w:highlight w:val="none"/>
                      <w:u w:val="none" w:color="auto"/>
                      <w:lang w:val="en-US" w:eastAsia="zh-CN"/>
                    </w:rPr>
                    <m:t>0i</m:t>
                  </m:r>
                  <m:ctrlPr>
                    <w:rPr>
                      <w:rFonts w:hint="default" w:ascii="Cambria Math" w:hAnsi="Cambria Math" w:cs="Times New Roman"/>
                      <w:color w:val="auto"/>
                      <w:highlight w:val="none"/>
                      <w:u w:val="none" w:color="auto"/>
                      <w:lang w:val="en-US" w:eastAsia="zh-CN"/>
                    </w:rPr>
                  </m:ctrlPr>
                </m:sub>
              </m:sSub>
              <m:ctrlPr>
                <w:rPr>
                  <w:rFonts w:hint="default" w:ascii="Cambria Math" w:hAnsi="Cambria Math" w:cs="Times New Roman"/>
                  <w:color w:val="auto"/>
                  <w:highlight w:val="none"/>
                  <w:u w:val="none" w:color="auto"/>
                  <w:lang w:val="en-US" w:eastAsia="zh-CN"/>
                </w:rPr>
              </m:ctrlPr>
            </m:den>
          </m:f>
          <m:r>
            <m:rPr>
              <m:sty m:val="p"/>
            </m:rPr>
            <w:rPr>
              <w:rFonts w:hint="default" w:ascii="Cambria Math" w:hAnsi="Cambria Math" w:cs="Times New Roman"/>
              <w:color w:val="auto"/>
              <w:highlight w:val="none"/>
              <w:u w:val="none" w:color="auto"/>
              <w:lang w:val="en-US" w:eastAsia="zh-CN"/>
            </w:rPr>
            <m:t>×100%</m:t>
          </m:r>
        </m:oMath>
      </m:oMathPara>
    </w:p>
    <w:p w14:paraId="272F1C0E">
      <w:pPr>
        <w:bidi w:val="0"/>
        <w:rPr>
          <w:rFonts w:hint="default" w:ascii="Times New Roman" w:hAnsi="Times New Roman" w:cs="Times New Roman"/>
          <w:color w:val="auto"/>
          <w:highlight w:val="none"/>
          <w:u w:val="none" w:color="auto"/>
          <w:lang w:val="en-US" w:eastAsia="zh-CN"/>
        </w:rPr>
      </w:pPr>
      <w:r>
        <w:rPr>
          <w:rFonts w:hint="default" w:ascii="Times New Roman" w:hAnsi="Times New Roman" w:cs="Times New Roman"/>
          <w:color w:val="auto"/>
          <w:highlight w:val="none"/>
          <w:u w:val="none" w:color="auto"/>
          <w:lang w:val="en-US" w:eastAsia="zh-CN"/>
        </w:rPr>
        <w:t>P</w:t>
      </w:r>
      <w:r>
        <w:rPr>
          <w:rFonts w:hint="default" w:ascii="Times New Roman" w:hAnsi="Times New Roman" w:cs="Times New Roman"/>
          <w:color w:val="auto"/>
          <w:highlight w:val="none"/>
          <w:u w:val="none" w:color="auto"/>
          <w:vertAlign w:val="subscript"/>
          <w:lang w:val="en-US" w:eastAsia="zh-CN"/>
        </w:rPr>
        <w:t>i</w:t>
      </w:r>
      <w:r>
        <w:rPr>
          <w:rFonts w:hint="default" w:ascii="Times New Roman" w:hAnsi="Times New Roman" w:cs="Times New Roman"/>
          <w:color w:val="auto"/>
          <w:highlight w:val="none"/>
          <w:u w:val="none" w:color="auto"/>
          <w:lang w:val="en-US" w:eastAsia="zh-CN"/>
        </w:rPr>
        <w:fldChar w:fldCharType="begin"/>
      </w:r>
      <w:r>
        <w:rPr>
          <w:rFonts w:hint="default" w:ascii="Times New Roman" w:hAnsi="Times New Roman" w:cs="Times New Roman"/>
          <w:color w:val="auto"/>
          <w:highlight w:val="none"/>
          <w:u w:val="none" w:color="auto"/>
          <w:lang w:val="en-US" w:eastAsia="zh-CN"/>
        </w:rPr>
        <w:instrText xml:space="preserve"> QUOTE </w:instrText>
      </w:r>
      <w:r>
        <w:rPr>
          <w:rFonts w:hint="default" w:ascii="Times New Roman" w:hAnsi="Times New Roman" w:cs="Times New Roman"/>
          <w:color w:val="auto"/>
          <w:highlight w:val="none"/>
          <w:u w:val="none" w:color="auto"/>
          <w:lang w:val="en-US" w:eastAsia="zh-CN"/>
        </w:rPr>
        <w:pict>
          <v:shape id="_x0000_i1025" o:spt="75" type="#_x0000_t75" style="height:21pt;width:9.75pt;" filled="f" stroked="f" coordsize="21600,21600" equationxml="&lt;?xml version=&quot;1.0&quot; encoding=&quot;UTF-8&quot; standalone=&quot;yes&quot;?&gt;&#13;&#10;&lt;?mso-application progid=&quot;Word.Document&quot;?&gt;&#13;&#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stylePaneFormatFilter w:val=&quot;3F01&quot;/&gt;&lt;w:documentProtection w:edit=&quot;read-only&quot; w:enforcement=&quot;off&quot;/&gt;&lt;w:defaultTabStop w:val=&quot;420&quot;/&gt;&lt;w:drawingGridVerticalSpacing w:val=&quot;156&quot;/&gt;&lt;w:characterSpacingControl w:val=&quot;CompressPunctuation&quot;/&gt;&lt;w:webPageEncoding w:val=&quot;x-cp20936&quot;/&gt;&lt;w:optimizeForBrowser/&gt;&lt;w:validateAgainstSchema w:val=&quot;off&quot;/&gt;&lt;w:saveInvalidXML w:val=&quot;off&quot;/&gt;&lt;w:ignoreMixedContent w:val=&quot;off&quot;/&gt;&lt;w:alwaysShowPlaceholderText w:val=&quot;off&quot;/&gt;&lt;w:doNotUnderlineInvalidXML/&gt;&lt;w:endnotePr&gt;&lt;w:numFmt w:val=&quot;decimal&quot;/&gt;&lt;/w:endnotePr&gt;&lt;w:compat&gt;&lt;w:spaceForUL/&gt;&lt;w:balanceSingleByteDoubleByteWidth/&gt;&lt;w:doNotLeaveBackslashAlone/&gt;&lt;w:ulTrailSpace/&gt;&lt;w:doNotExpandShiftReturn/&gt;&lt;w:adjustLineHeightInTable/&gt;&lt;w:breakWrappedTables/&gt;&lt;w:snapToGridInCell/&gt;&lt;w:dontGrowAutofit/&gt;&lt;w:useFELayout/&gt;&lt;/w:compat&gt;&lt;wsp:rsids&gt;&lt;wsp:rsidRoot wsp:val=&quot;00172A27&quot;/&gt;&lt;wsp:rsid wsp:val=&quot;00000BDC&quot;/&gt;&lt;wsp:rsid wsp:val=&quot;00000C48&quot;/&gt;&lt;wsp:rsid wsp:val=&quot;00000DE8&quot;/&gt;&lt;wsp:rsid wsp:val=&quot;00002044&quot;/&gt;&lt;wsp:rsid wsp:val=&quot;00002384&quot;/&gt;&lt;wsp:rsid wsp:val=&quot;000023BB&quot;/&gt;&lt;wsp:rsid wsp:val=&quot;000026DF&quot;/&gt;&lt;wsp:rsid wsp:val=&quot;00003D43&quot;/&gt;&lt;wsp:rsid wsp:val=&quot;000049D5&quot;/&gt;&lt;wsp:rsid wsp:val=&quot;00007E76&quot;/&gt;&lt;wsp:rsid wsp:val=&quot;00010A97&quot;/&gt;&lt;wsp:rsid wsp:val=&quot;00011442&quot;/&gt;&lt;wsp:rsid wsp:val=&quot;00011611&quot;/&gt;&lt;wsp:rsid wsp:val=&quot;00012003&quot;/&gt;&lt;wsp:rsid wsp:val=&quot;00012680&quot;/&gt;&lt;wsp:rsid wsp:val=&quot;00013608&quot;/&gt;&lt;wsp:rsid wsp:val=&quot;000137FB&quot;/&gt;&lt;wsp:rsid wsp:val=&quot;00014054&quot;/&gt;&lt;wsp:rsid wsp:val=&quot;00014774&quot;/&gt;&lt;wsp:rsid wsp:val=&quot;00014FE9&quot;/&gt;&lt;wsp:rsid wsp:val=&quot;0001510B&quot;/&gt;&lt;wsp:rsid wsp:val=&quot;00015189&quot;/&gt;&lt;wsp:rsid wsp:val=&quot;000153F1&quot;/&gt;&lt;wsp:rsid wsp:val=&quot;00015940&quot;/&gt;&lt;wsp:rsid wsp:val=&quot;00015F77&quot;/&gt;&lt;wsp:rsid wsp:val=&quot;000161D2&quot;/&gt;&lt;wsp:rsid wsp:val=&quot;00016A2F&quot;/&gt;&lt;wsp:rsid wsp:val=&quot;00016CF4&quot;/&gt;&lt;wsp:rsid wsp:val=&quot;000176C2&quot;/&gt;&lt;wsp:rsid wsp:val=&quot;00017960&quot;/&gt;&lt;wsp:rsid wsp:val=&quot;00020069&quot;/&gt;&lt;wsp:rsid wsp:val=&quot;00020890&quot;/&gt;&lt;wsp:rsid wsp:val=&quot;00020902&quot;/&gt;&lt;wsp:rsid wsp:val=&quot;00021F5B&quot;/&gt;&lt;wsp:rsid wsp:val=&quot;000243DA&quot;/&gt;&lt;wsp:rsid wsp:val=&quot;00024599&quot;/&gt;&lt;wsp:rsid wsp:val=&quot;00024C46&quot;/&gt;&lt;wsp:rsid wsp:val=&quot;00024C57&quot;/&gt;&lt;wsp:rsid wsp:val=&quot;00024F85&quot;/&gt;&lt;wsp:rsid wsp:val=&quot;00025DA8&quot;/&gt;&lt;wsp:rsid wsp:val=&quot;00025E7D&quot;/&gt;&lt;wsp:rsid wsp:val=&quot;00026A23&quot;/&gt;&lt;wsp:rsid wsp:val=&quot;000315D7&quot;/&gt;&lt;wsp:rsid wsp:val=&quot;0003201D&quot;/&gt;&lt;wsp:rsid wsp:val=&quot;000321EF&quot;/&gt;&lt;wsp:rsid wsp:val=&quot;0003242F&quot;/&gt;&lt;wsp:rsid wsp:val=&quot;00032539&quot;/&gt;&lt;wsp:rsid wsp:val=&quot;00033BC3&quot;/&gt;&lt;wsp:rsid wsp:val=&quot;000340D2&quot;/&gt;&lt;wsp:rsid wsp:val=&quot;0003438A&quot;/&gt;&lt;wsp:rsid wsp:val=&quot;00035764&quot;/&gt;&lt;wsp:rsid wsp:val=&quot;00035B09&quot;/&gt;&lt;wsp:rsid wsp:val=&quot;00035BBA&quot;/&gt;&lt;wsp:rsid wsp:val=&quot;000366BB&quot;/&gt;&lt;wsp:rsid wsp:val=&quot;0003728E&quot;/&gt;&lt;wsp:rsid wsp:val=&quot;000373AF&quot;/&gt;&lt;wsp:rsid wsp:val=&quot;0003798F&quot;/&gt;&lt;wsp:rsid wsp:val=&quot;00040362&quot;/&gt;&lt;wsp:rsid wsp:val=&quot;00040AF5&quot;/&gt;&lt;wsp:rsid wsp:val=&quot;00040B38&quot;/&gt;&lt;wsp:rsid wsp:val=&quot;00042045&quot;/&gt;&lt;wsp:rsid wsp:val=&quot;00042400&quot;/&gt;&lt;wsp:rsid wsp:val=&quot;00042FDC&quot;/&gt;&lt;wsp:rsid wsp:val=&quot;000430C2&quot;/&gt;&lt;wsp:rsid wsp:val=&quot;00043C8A&quot;/&gt;&lt;wsp:rsid wsp:val=&quot;00043EE4&quot;/&gt;&lt;wsp:rsid wsp:val=&quot;000445D2&quot;/&gt;&lt;wsp:rsid wsp:val=&quot;000449FA&quot;/&gt;&lt;wsp:rsid wsp:val=&quot;0004570E&quot;/&gt;&lt;wsp:rsid wsp:val=&quot;000460E8&quot;/&gt;&lt;wsp:rsid wsp:val=&quot;00046207&quot;/&gt;&lt;wsp:rsid wsp:val=&quot;00046D04&quot;/&gt;&lt;wsp:rsid wsp:val=&quot;00047758&quot;/&gt;&lt;wsp:rsid wsp:val=&quot;00047BE0&quot;/&gt;&lt;wsp:rsid wsp:val=&quot;000501BB&quot;/&gt;&lt;wsp:rsid wsp:val=&quot;0005056C&quot;/&gt;&lt;wsp:rsid wsp:val=&quot;00050B2B&quot;/&gt;&lt;wsp:rsid wsp:val=&quot;00050E30&quot;/&gt;&lt;wsp:rsid wsp:val=&quot;0005160B&quot;/&gt;&lt;wsp:rsid wsp:val=&quot;000519A3&quot;/&gt;&lt;wsp:rsid wsp:val=&quot;000522EB&quot;/&gt;&lt;wsp:rsid wsp:val=&quot;00052E38&quot;/&gt;&lt;wsp:rsid wsp:val=&quot;00052FAE&quot;/&gt;&lt;wsp:rsid wsp:val=&quot;00053F67&quot;/&gt;&lt;wsp:rsid wsp:val=&quot;00054294&quot;/&gt;&lt;wsp:rsid wsp:val=&quot;00054425&quot;/&gt;&lt;wsp:rsid wsp:val=&quot;000556D0&quot;/&gt;&lt;wsp:rsid wsp:val=&quot;000563AC&quot;/&gt;&lt;wsp:rsid wsp:val=&quot;00057F74&quot;/&gt;&lt;wsp:rsid wsp:val=&quot;00061344&quot;/&gt;&lt;wsp:rsid wsp:val=&quot;000625FF&quot;/&gt;&lt;wsp:rsid wsp:val=&quot;00062DE9&quot;/&gt;&lt;wsp:rsid wsp:val=&quot;00063AF0&quot;/&gt;&lt;wsp:rsid wsp:val=&quot;00063B5F&quot;/&gt;&lt;wsp:rsid wsp:val=&quot;000653F8&quot;/&gt;&lt;wsp:rsid wsp:val=&quot;0006563D&quot;/&gt;&lt;wsp:rsid wsp:val=&quot;000663B8&quot;/&gt;&lt;wsp:rsid wsp:val=&quot;00066BDF&quot;/&gt;&lt;wsp:rsid wsp:val=&quot;000670D7&quot;/&gt;&lt;wsp:rsid wsp:val=&quot;000675AB&quot;/&gt;&lt;wsp:rsid wsp:val=&quot;0007061A&quot;/&gt;&lt;wsp:rsid wsp:val=&quot;000708C3&quot;/&gt;&lt;wsp:rsid wsp:val=&quot;0007123E&quot;/&gt;&lt;wsp:rsid wsp:val=&quot;000715C0&quot;/&gt;&lt;wsp:rsid wsp:val=&quot;00071EA9&quot;/&gt;&lt;wsp:rsid wsp:val=&quot;00073DEA&quot;/&gt;&lt;wsp:rsid wsp:val=&quot;000743F6&quot;/&gt;&lt;wsp:rsid wsp:val=&quot;00074C92&quot;/&gt;&lt;wsp:rsid wsp:val=&quot;00075FDD&quot;/&gt;&lt;wsp:rsid wsp:val=&quot;0007632E&quot;/&gt;&lt;wsp:rsid wsp:val=&quot;00077287&quot;/&gt;&lt;wsp:rsid wsp:val=&quot;00077CB5&quot;/&gt;&lt;wsp:rsid wsp:val=&quot;00080216&quot;/&gt;&lt;wsp:rsid wsp:val=&quot;00080318&quot;/&gt;&lt;wsp:rsid wsp:val=&quot;00080818&quot;/&gt;&lt;wsp:rsid wsp:val=&quot;00080F17&quot;/&gt;&lt;wsp:rsid wsp:val=&quot;00081044&quot;/&gt;&lt;wsp:rsid wsp:val=&quot;0008154D&quot;/&gt;&lt;wsp:rsid wsp:val=&quot;00081C5E&quot;/&gt;&lt;wsp:rsid wsp:val=&quot;000820BD&quot;/&gt;&lt;wsp:rsid wsp:val=&quot;00082130&quot;/&gt;&lt;wsp:rsid wsp:val=&quot;000836FC&quot;/&gt;&lt;wsp:rsid wsp:val=&quot;00083AA9&quot;/&gt;&lt;wsp:rsid wsp:val=&quot;00083E8D&quot;/&gt;&lt;wsp:rsid wsp:val=&quot;00084258&quot;/&gt;&lt;wsp:rsid wsp:val=&quot;00085453&quot;/&gt;&lt;wsp:rsid wsp:val=&quot;000856EF&quot;/&gt;&lt;wsp:rsid wsp:val=&quot;00085892&quot;/&gt;&lt;wsp:rsid wsp:val=&quot;00085E4B&quot;/&gt;&lt;wsp:rsid wsp:val=&quot;00085EFF&quot;/&gt;&lt;wsp:rsid wsp:val=&quot;00086BC7&quot;/&gt;&lt;wsp:rsid wsp:val=&quot;00087086&quot;/&gt;&lt;wsp:rsid wsp:val=&quot;00087706&quot;/&gt;&lt;wsp:rsid wsp:val=&quot;0008793B&quot;/&gt;&lt;wsp:rsid wsp:val=&quot;00087D44&quot;/&gt;&lt;wsp:rsid wsp:val=&quot;00087DC0&quot;/&gt;&lt;wsp:rsid wsp:val=&quot;00090618&quot;/&gt;&lt;wsp:rsid wsp:val=&quot;000919FF&quot;/&gt;&lt;wsp:rsid wsp:val=&quot;000920FA&quot;/&gt;&lt;wsp:rsid wsp:val=&quot;00092311&quot;/&gt;&lt;wsp:rsid wsp:val=&quot;00092E1E&quot;/&gt;&lt;wsp:rsid wsp:val=&quot;000934E2&quot;/&gt;&lt;wsp:rsid wsp:val=&quot;00094315&quot;/&gt;&lt;wsp:rsid wsp:val=&quot;00094567&quot;/&gt;&lt;wsp:rsid wsp:val=&quot;00095CF4&quot;/&gt;&lt;wsp:rsid wsp:val=&quot;0009625B&quot;/&gt;&lt;wsp:rsid wsp:val=&quot;0009678D&quot;/&gt;&lt;wsp:rsid wsp:val=&quot;00096D8F&quot;/&gt;&lt;wsp:rsid wsp:val=&quot;000972DA&quot;/&gt;&lt;wsp:rsid wsp:val=&quot;00097305&quot;/&gt;&lt;wsp:rsid wsp:val=&quot;00097492&quot;/&gt;&lt;wsp:rsid wsp:val=&quot;00097A72&quot;/&gt;&lt;wsp:rsid wsp:val=&quot;00097EC9&quot;/&gt;&lt;wsp:rsid wsp:val=&quot;000A0B04&quot;/&gt;&lt;wsp:rsid wsp:val=&quot;000A12BE&quot;/&gt;&lt;wsp:rsid wsp:val=&quot;000A12F7&quot;/&gt;&lt;wsp:rsid wsp:val=&quot;000A2BD3&quot;/&gt;&lt;wsp:rsid wsp:val=&quot;000A2C20&quot;/&gt;&lt;wsp:rsid wsp:val=&quot;000A2F35&quot;/&gt;&lt;wsp:rsid wsp:val=&quot;000A31B2&quot;/&gt;&lt;wsp:rsid wsp:val=&quot;000A445C&quot;/&gt;&lt;wsp:rsid wsp:val=&quot;000A4D0B&quot;/&gt;&lt;wsp:rsid wsp:val=&quot;000A558C&quot;/&gt;&lt;wsp:rsid wsp:val=&quot;000A6A0F&quot;/&gt;&lt;wsp:rsid wsp:val=&quot;000A70F8&quot;/&gt;&lt;wsp:rsid wsp:val=&quot;000A751C&quot;/&gt;&lt;wsp:rsid wsp:val=&quot;000B01C7&quot;/&gt;&lt;wsp:rsid wsp:val=&quot;000B0841&quot;/&gt;&lt;wsp:rsid wsp:val=&quot;000B08EA&quot;/&gt;&lt;wsp:rsid wsp:val=&quot;000B1EFD&quot;/&gt;&lt;wsp:rsid wsp:val=&quot;000B2611&quot;/&gt;&lt;wsp:rsid wsp:val=&quot;000B2C3A&quot;/&gt;&lt;wsp:rsid wsp:val=&quot;000B314D&quot;/&gt;&lt;wsp:rsid wsp:val=&quot;000B4954&quot;/&gt;&lt;wsp:rsid wsp:val=&quot;000B4F30&quot;/&gt;&lt;wsp:rsid wsp:val=&quot;000B5077&quot;/&gt;&lt;wsp:rsid wsp:val=&quot;000B516E&quot;/&gt;&lt;wsp:rsid wsp:val=&quot;000B54F7&quot;/&gt;&lt;wsp:rsid wsp:val=&quot;000B62A1&quot;/&gt;&lt;wsp:rsid wsp:val=&quot;000C06AC&quot;/&gt;&lt;wsp:rsid wsp:val=&quot;000C0F8F&quot;/&gt;&lt;wsp:rsid wsp:val=&quot;000C135F&quot;/&gt;&lt;wsp:rsid wsp:val=&quot;000C4014&quot;/&gt;&lt;wsp:rsid wsp:val=&quot;000C41B6&quot;/&gt;&lt;wsp:rsid wsp:val=&quot;000C6114&quot;/&gt;&lt;wsp:rsid wsp:val=&quot;000C680E&quot;/&gt;&lt;wsp:rsid wsp:val=&quot;000C68E3&quot;/&gt;&lt;wsp:rsid wsp:val=&quot;000C6942&quot;/&gt;&lt;wsp:rsid wsp:val=&quot;000C6A5A&quot;/&gt;&lt;wsp:rsid wsp:val=&quot;000C70C4&quot;/&gt;&lt;wsp:rsid wsp:val=&quot;000C7B7A&quot;/&gt;&lt;wsp:rsid wsp:val=&quot;000C7DD1&quot;/&gt;&lt;wsp:rsid wsp:val=&quot;000C7E88&quot;/&gt;&lt;wsp:rsid wsp:val=&quot;000D060C&quot;/&gt;&lt;wsp:rsid wsp:val=&quot;000D0DE8&quot;/&gt;&lt;wsp:rsid wsp:val=&quot;000D1A2E&quot;/&gt;&lt;wsp:rsid wsp:val=&quot;000D1CA5&quot;/&gt;&lt;wsp:rsid wsp:val=&quot;000D1DDE&quot;/&gt;&lt;wsp:rsid wsp:val=&quot;000D2DBE&quot;/&gt;&lt;wsp:rsid wsp:val=&quot;000D3269&quot;/&gt;&lt;wsp:rsid wsp:val=&quot;000D3939&quot;/&gt;&lt;wsp:rsid wsp:val=&quot;000D40BB&quot;/&gt;&lt;wsp:rsid wsp:val=&quot;000D415E&quot;/&gt;&lt;wsp:rsid wsp:val=&quot;000D48F5&quot;/&gt;&lt;wsp:rsid wsp:val=&quot;000D5ED7&quot;/&gt;&lt;wsp:rsid wsp:val=&quot;000D5F4B&quot;/&gt;&lt;wsp:rsid wsp:val=&quot;000D610E&quot;/&gt;&lt;wsp:rsid wsp:val=&quot;000D695F&quot;/&gt;&lt;wsp:rsid wsp:val=&quot;000D6C57&quot;/&gt;&lt;wsp:rsid wsp:val=&quot;000E12AF&quot;/&gt;&lt;wsp:rsid wsp:val=&quot;000E1DDE&quot;/&gt;&lt;wsp:rsid wsp:val=&quot;000E27F1&quot;/&gt;&lt;wsp:rsid wsp:val=&quot;000E2E27&quot;/&gt;&lt;wsp:rsid wsp:val=&quot;000E480F&quot;/&gt;&lt;wsp:rsid wsp:val=&quot;000E5025&quot;/&gt;&lt;wsp:rsid wsp:val=&quot;000E5095&quot;/&gt;&lt;wsp:rsid wsp:val=&quot;000E5104&quot;/&gt;&lt;wsp:rsid wsp:val=&quot;000E5ED6&quot;/&gt;&lt;wsp:rsid wsp:val=&quot;000E6528&quot;/&gt;&lt;wsp:rsid wsp:val=&quot;000E72F9&quot;/&gt;&lt;wsp:rsid wsp:val=&quot;000E7FA7&quot;/&gt;&lt;wsp:rsid wsp:val=&quot;000F0147&quot;/&gt;&lt;wsp:rsid wsp:val=&quot;000F02F8&quot;/&gt;&lt;wsp:rsid wsp:val=&quot;000F0DBC&quot;/&gt;&lt;wsp:rsid wsp:val=&quot;000F0EAB&quot;/&gt;&lt;wsp:rsid wsp:val=&quot;000F12C0&quot;/&gt;&lt;wsp:rsid wsp:val=&quot;000F12D5&quot;/&gt;&lt;wsp:rsid wsp:val=&quot;000F13E7&quot;/&gt;&lt;wsp:rsid wsp:val=&quot;000F2482&quot;/&gt;&lt;wsp:rsid wsp:val=&quot;000F25C7&quot;/&gt;&lt;wsp:rsid wsp:val=&quot;000F299A&quot;/&gt;&lt;wsp:rsid wsp:val=&quot;000F2B35&quot;/&gt;&lt;wsp:rsid wsp:val=&quot;000F49B0&quot;/&gt;&lt;wsp:rsid wsp:val=&quot;000F535C&quot;/&gt;&lt;wsp:rsid wsp:val=&quot;000F5492&quot;/&gt;&lt;wsp:rsid wsp:val=&quot;000F5983&quot;/&gt;&lt;wsp:rsid wsp:val=&quot;000F64F0&quot;/&gt;&lt;wsp:rsid wsp:val=&quot;000F654E&quot;/&gt;&lt;wsp:rsid wsp:val=&quot;000F6579&quot;/&gt;&lt;wsp:rsid wsp:val=&quot;000F66D8&quot;/&gt;&lt;wsp:rsid wsp:val=&quot;000F6C0D&quot;/&gt;&lt;wsp:rsid wsp:val=&quot;000F7F88&quot;/&gt;&lt;wsp:rsid wsp:val=&quot;00100318&quot;/&gt;&lt;wsp:rsid wsp:val=&quot;001005D6&quot;/&gt;&lt;wsp:rsid wsp:val=&quot;00100D32&quot;/&gt;&lt;wsp:rsid wsp:val=&quot;0010104B&quot;/&gt;&lt;wsp:rsid wsp:val=&quot;001014C7&quot;/&gt;&lt;wsp:rsid wsp:val=&quot;00101C86&quot;/&gt;&lt;wsp:rsid wsp:val=&quot;00101E4F&quot;/&gt;&lt;wsp:rsid wsp:val=&quot;001033A5&quot;/&gt;&lt;wsp:rsid wsp:val=&quot;001033D0&quot;/&gt;&lt;wsp:rsid wsp:val=&quot;001038C3&quot;/&gt;&lt;wsp:rsid wsp:val=&quot;00103FC4&quot;/&gt;&lt;wsp:rsid wsp:val=&quot;0010500B&quot;/&gt;&lt;wsp:rsid wsp:val=&quot;00105D39&quot;/&gt;&lt;wsp:rsid wsp:val=&quot;00106045&quot;/&gt;&lt;wsp:rsid wsp:val=&quot;00106AD8&quot;/&gt;&lt;wsp:rsid wsp:val=&quot;00106E5C&quot;/&gt;&lt;wsp:rsid wsp:val=&quot;0010701B&quot;/&gt;&lt;wsp:rsid wsp:val=&quot;0010726D&quot;/&gt;&lt;wsp:rsid wsp:val=&quot;00107754&quot;/&gt;&lt;wsp:rsid wsp:val=&quot;00110262&quot;/&gt;&lt;wsp:rsid wsp:val=&quot;001110DC&quot;/&gt;&lt;wsp:rsid wsp:val=&quot;00112597&quot;/&gt;&lt;wsp:rsid wsp:val=&quot;00112B09&quot;/&gt;&lt;wsp:rsid wsp:val=&quot;00112D18&quot;/&gt;&lt;wsp:rsid wsp:val=&quot;00112E1E&quot;/&gt;&lt;wsp:rsid wsp:val=&quot;001137BA&quot;/&gt;&lt;wsp:rsid wsp:val=&quot;00114583&quot;/&gt;&lt;wsp:rsid wsp:val=&quot;0011467F&quot;/&gt;&lt;wsp:rsid wsp:val=&quot;00114C11&quot;/&gt;&lt;wsp:rsid wsp:val=&quot;0011535C&quot;/&gt;&lt;wsp:rsid wsp:val=&quot;00115812&quot;/&gt;&lt;wsp:rsid wsp:val=&quot;001167F9&quot;/&gt;&lt;wsp:rsid wsp:val=&quot;00116830&quot;/&gt;&lt;wsp:rsid wsp:val=&quot;00116CFE&quot;/&gt;&lt;wsp:rsid wsp:val=&quot;00116DDC&quot;/&gt;&lt;wsp:rsid wsp:val=&quot;001176D5&quot;/&gt;&lt;wsp:rsid wsp:val=&quot;00117BD1&quot;/&gt;&lt;wsp:rsid wsp:val=&quot;00120537&quot;/&gt;&lt;wsp:rsid wsp:val=&quot;00122000&quot;/&gt;&lt;wsp:rsid wsp:val=&quot;0012263E&quot;/&gt;&lt;wsp:rsid wsp:val=&quot;001226D2&quot;/&gt;&lt;wsp:rsid wsp:val=&quot;00122B05&quot;/&gt;&lt;wsp:rsid wsp:val=&quot;00123A40&quot;/&gt;&lt;wsp:rsid wsp:val=&quot;00123FE2&quot;/&gt;&lt;wsp:rsid wsp:val=&quot;001242B7&quot;/&gt;&lt;wsp:rsid wsp:val=&quot;001242EE&quot;/&gt;&lt;wsp:rsid wsp:val=&quot;00126B87&quot;/&gt;&lt;wsp:rsid wsp:val=&quot;00126C50&quot;/&gt;&lt;wsp:rsid wsp:val=&quot;001270B6&quot;/&gt;&lt;wsp:rsid wsp:val=&quot;00130846&quot;/&gt;&lt;wsp:rsid wsp:val=&quot;00130C03&quot;/&gt;&lt;wsp:rsid wsp:val=&quot;0013105B&quot;/&gt;&lt;wsp:rsid wsp:val=&quot;001312EE&quot;/&gt;&lt;wsp:rsid wsp:val=&quot;00131A2F&quot;/&gt;&lt;wsp:rsid wsp:val=&quot;00132AA6&quot;/&gt;&lt;wsp:rsid wsp:val=&quot;00132CA3&quot;/&gt;&lt;wsp:rsid wsp:val=&quot;00132FA0&quot;/&gt;&lt;wsp:rsid wsp:val=&quot;0013320B&quot;/&gt;&lt;wsp:rsid wsp:val=&quot;0013394E&quot;/&gt;&lt;wsp:rsid wsp:val=&quot;001339D2&quot;/&gt;&lt;wsp:rsid wsp:val=&quot;001347E1&quot;/&gt;&lt;wsp:rsid wsp:val=&quot;0013564E&quot;/&gt;&lt;wsp:rsid wsp:val=&quot;00135E2E&quot;/&gt;&lt;wsp:rsid wsp:val=&quot;00136878&quot;/&gt;&lt;wsp:rsid wsp:val=&quot;001370C5&quot;/&gt;&lt;wsp:rsid wsp:val=&quot;001406D2&quot;/&gt;&lt;wsp:rsid wsp:val=&quot;00140F48&quot;/&gt;&lt;wsp:rsid wsp:val=&quot;00141C61&quot;/&gt;&lt;wsp:rsid wsp:val=&quot;00143A76&quot;/&gt;&lt;wsp:rsid wsp:val=&quot;00143AE7&quot;/&gt;&lt;wsp:rsid wsp:val=&quot;00144061&quot;/&gt;&lt;wsp:rsid wsp:val=&quot;0014422B&quot;/&gt;&lt;wsp:rsid wsp:val=&quot;00144D52&quot;/&gt;&lt;wsp:rsid wsp:val=&quot;001459A6&quot;/&gt;&lt;wsp:rsid wsp:val=&quot;00145E51&quot;/&gt;&lt;wsp:rsid wsp:val=&quot;001462BA&quot;/&gt;&lt;wsp:rsid wsp:val=&quot;00146693&quot;/&gt;&lt;wsp:rsid wsp:val=&quot;00147421&quot;/&gt;&lt;wsp:rsid wsp:val=&quot;001475EC&quot;/&gt;&lt;wsp:rsid wsp:val=&quot;00147BF3&quot;/&gt;&lt;wsp:rsid wsp:val=&quot;001502C9&quot;/&gt;&lt;wsp:rsid wsp:val=&quot;0015034E&quot;/&gt;&lt;wsp:rsid wsp:val=&quot;001505A0&quot;/&gt;&lt;wsp:rsid wsp:val=&quot;00150A9A&quot;/&gt;&lt;wsp:rsid wsp:val=&quot;00150E1A&quot;/&gt;&lt;wsp:rsid wsp:val=&quot;001518E7&quot;/&gt;&lt;wsp:rsid wsp:val=&quot;0015191B&quot;/&gt;&lt;wsp:rsid wsp:val=&quot;00151A17&quot;/&gt;&lt;wsp:rsid wsp:val=&quot;00151CE7&quot;/&gt;&lt;wsp:rsid wsp:val=&quot;00151F0C&quot;/&gt;&lt;wsp:rsid wsp:val=&quot;001528DA&quot;/&gt;&lt;wsp:rsid wsp:val=&quot;00152FFC&quot;/&gt;&lt;wsp:rsid wsp:val=&quot;0015397E&quot;/&gt;&lt;wsp:rsid wsp:val=&quot;00153A75&quot;/&gt;&lt;wsp:rsid wsp:val=&quot;00153C79&quot;/&gt;&lt;wsp:rsid wsp:val=&quot;00153EDD&quot;/&gt;&lt;wsp:rsid wsp:val=&quot;00154938&quot;/&gt;&lt;wsp:rsid wsp:val=&quot;00154F81&quot;/&gt;&lt;wsp:rsid wsp:val=&quot;0015572D&quot;/&gt;&lt;wsp:rsid wsp:val=&quot;00155CF6&quot;/&gt;&lt;wsp:rsid wsp:val=&quot;0015658A&quot;/&gt;&lt;wsp:rsid wsp:val=&quot;00157403&quot;/&gt;&lt;wsp:rsid wsp:val=&quot;00157630&quot;/&gt;&lt;wsp:rsid wsp:val=&quot;001609F5&quot;/&gt;&lt;wsp:rsid wsp:val=&quot;00160AAA&quot;/&gt;&lt;wsp:rsid wsp:val=&quot;00162A33&quot;/&gt;&lt;wsp:rsid wsp:val=&quot;00162DBE&quot;/&gt;&lt;wsp:rsid wsp:val=&quot;00163E1C&quot;/&gt;&lt;wsp:rsid wsp:val=&quot;00164CB5&quot;/&gt;&lt;wsp:rsid wsp:val=&quot;00165185&quot;/&gt;&lt;wsp:rsid wsp:val=&quot;001653E1&quot;/&gt;&lt;wsp:rsid wsp:val=&quot;00166A71&quot;/&gt;&lt;wsp:rsid wsp:val=&quot;00166C48&quot;/&gt;&lt;wsp:rsid wsp:val=&quot;00166E14&quot;/&gt;&lt;wsp:rsid wsp:val=&quot;001676BC&quot;/&gt;&lt;wsp:rsid wsp:val=&quot;0016784A&quot;/&gt;&lt;wsp:rsid wsp:val=&quot;00167E75&quot;/&gt;&lt;wsp:rsid wsp:val=&quot;00167F50&quot;/&gt;&lt;wsp:rsid wsp:val=&quot;00167FAA&quot;/&gt;&lt;wsp:rsid wsp:val=&quot;00170335&quot;/&gt;&lt;wsp:rsid wsp:val=&quot;00170FCD&quot;/&gt;&lt;wsp:rsid wsp:val=&quot;00171123&quot;/&gt;&lt;wsp:rsid wsp:val=&quot;00172108&quot;/&gt;&lt;wsp:rsid wsp:val=&quot;001726E4&quot;/&gt;&lt;wsp:rsid wsp:val=&quot;0017271D&quot;/&gt;&lt;wsp:rsid wsp:val=&quot;00172B95&quot;/&gt;&lt;wsp:rsid wsp:val=&quot;001733B2&quot;/&gt;&lt;wsp:rsid wsp:val=&quot;00173484&quot;/&gt;&lt;wsp:rsid wsp:val=&quot;0017455D&quot;/&gt;&lt;wsp:rsid wsp:val=&quot;0017512C&quot;/&gt;&lt;wsp:rsid wsp:val=&quot;001754A5&quot;/&gt;&lt;wsp:rsid wsp:val=&quot;001760B7&quot;/&gt;&lt;wsp:rsid wsp:val=&quot;00176788&quot;/&gt;&lt;wsp:rsid wsp:val=&quot;0017681E&quot;/&gt;&lt;wsp:rsid wsp:val=&quot;001770A3&quot;/&gt;&lt;wsp:rsid wsp:val=&quot;001775D8&quot;/&gt;&lt;wsp:rsid wsp:val=&quot;0018074B&quot;/&gt;&lt;wsp:rsid wsp:val=&quot;00180A08&quot;/&gt;&lt;wsp:rsid wsp:val=&quot;00180FA9&quot;/&gt;&lt;wsp:rsid wsp:val=&quot;00181FCC&quot;/&gt;&lt;wsp:rsid wsp:val=&quot;00182124&quot;/&gt;&lt;wsp:rsid wsp:val=&quot;00182E17&quot;/&gt;&lt;wsp:rsid wsp:val=&quot;0018372A&quot;/&gt;&lt;wsp:rsid wsp:val=&quot;00183913&quot;/&gt;&lt;wsp:rsid wsp:val=&quot;00183A8E&quot;/&gt;&lt;wsp:rsid wsp:val=&quot;00183BE1&quot;/&gt;&lt;wsp:rsid wsp:val=&quot;001845A0&quot;/&gt;&lt;wsp:rsid wsp:val=&quot;001848B4&quot;/&gt;&lt;wsp:rsid wsp:val=&quot;00185090&quot;/&gt;&lt;wsp:rsid wsp:val=&quot;0018566E&quot;/&gt;&lt;wsp:rsid wsp:val=&quot;0018575C&quot;/&gt;&lt;wsp:rsid wsp:val=&quot;00185D14&quot;/&gt;&lt;wsp:rsid wsp:val=&quot;00185EC8&quot;/&gt;&lt;wsp:rsid wsp:val=&quot;001862BD&quot;/&gt;&lt;wsp:rsid wsp:val=&quot;0018633D&quot;/&gt;&lt;wsp:rsid wsp:val=&quot;001864C6&quot;/&gt;&lt;wsp:rsid wsp:val=&quot;00187963&quot;/&gt;&lt;wsp:rsid wsp:val=&quot;00190AA6&quot;/&gt;&lt;wsp:rsid wsp:val=&quot;00190F18&quot;/&gt;&lt;wsp:rsid wsp:val=&quot;001911A2&quot;/&gt;&lt;wsp:rsid wsp:val=&quot;0019201D&quot;/&gt;&lt;wsp:rsid wsp:val=&quot;001920B8&quot;/&gt;&lt;wsp:rsid wsp:val=&quot;00192272&quot;/&gt;&lt;wsp:rsid wsp:val=&quot;0019229E&quot;/&gt;&lt;wsp:rsid wsp:val=&quot;001926B9&quot;/&gt;&lt;wsp:rsid wsp:val=&quot;0019349C&quot;/&gt;&lt;wsp:rsid wsp:val=&quot;00193994&quot;/&gt;&lt;wsp:rsid wsp:val=&quot;00193AC6&quot;/&gt;&lt;wsp:rsid wsp:val=&quot;00193C19&quot;/&gt;&lt;wsp:rsid wsp:val=&quot;00194A7E&quot;/&gt;&lt;wsp:rsid wsp:val=&quot;00194B48&quot;/&gt;&lt;wsp:rsid wsp:val=&quot;001952AD&quot;/&gt;&lt;wsp:rsid wsp:val=&quot;00195CE2&quot;/&gt;&lt;wsp:rsid wsp:val=&quot;00196430&quot;/&gt;&lt;wsp:rsid wsp:val=&quot;00196E81&quot;/&gt;&lt;wsp:rsid wsp:val=&quot;00196F49&quot;/&gt;&lt;wsp:rsid wsp:val=&quot;0019762C&quot;/&gt;&lt;wsp:rsid wsp:val=&quot;001A046E&quot;/&gt;&lt;wsp:rsid wsp:val=&quot;001A0F96&quot;/&gt;&lt;wsp:rsid wsp:val=&quot;001A1264&quot;/&gt;&lt;wsp:rsid wsp:val=&quot;001A1494&quot;/&gt;&lt;wsp:rsid wsp:val=&quot;001A151C&quot;/&gt;&lt;wsp:rsid wsp:val=&quot;001A1E18&quot;/&gt;&lt;wsp:rsid wsp:val=&quot;001A22BE&quot;/&gt;&lt;wsp:rsid wsp:val=&quot;001A2A3C&quot;/&gt;&lt;wsp:rsid wsp:val=&quot;001A341C&quot;/&gt;&lt;wsp:rsid wsp:val=&quot;001A3B1D&quot;/&gt;&lt;wsp:rsid wsp:val=&quot;001A3E98&quot;/&gt;&lt;wsp:rsid wsp:val=&quot;001A3F79&quot;/&gt;&lt;wsp:rsid wsp:val=&quot;001A411A&quot;/&gt;&lt;wsp:rsid wsp:val=&quot;001A5E39&quot;/&gt;&lt;wsp:rsid wsp:val=&quot;001A6230&quot;/&gt;&lt;wsp:rsid wsp:val=&quot;001A6480&quot;/&gt;&lt;wsp:rsid wsp:val=&quot;001A65AF&quot;/&gt;&lt;wsp:rsid wsp:val=&quot;001A6877&quot;/&gt;&lt;wsp:rsid wsp:val=&quot;001A75C4&quot;/&gt;&lt;wsp:rsid wsp:val=&quot;001B1DBE&quot;/&gt;&lt;wsp:rsid wsp:val=&quot;001B2341&quot;/&gt;&lt;wsp:rsid wsp:val=&quot;001B23FF&quot;/&gt;&lt;wsp:rsid wsp:val=&quot;001B2551&quot;/&gt;&lt;wsp:rsid wsp:val=&quot;001B49DF&quot;/&gt;&lt;wsp:rsid wsp:val=&quot;001B59C0&quot;/&gt;&lt;wsp:rsid wsp:val=&quot;001B651F&quot;/&gt;&lt;wsp:rsid wsp:val=&quot;001B7591&quot;/&gt;&lt;wsp:rsid wsp:val=&quot;001B7AE8&quot;/&gt;&lt;wsp:rsid wsp:val=&quot;001B7E43&quot;/&gt;&lt;wsp:rsid wsp:val=&quot;001C0668&quot;/&gt;&lt;wsp:rsid wsp:val=&quot;001C092E&quot;/&gt;&lt;wsp:rsid wsp:val=&quot;001C1316&quot;/&gt;&lt;wsp:rsid wsp:val=&quot;001C14E6&quot;/&gt;&lt;wsp:rsid wsp:val=&quot;001C16F9&quot;/&gt;&lt;wsp:rsid wsp:val=&quot;001C19BF&quot;/&gt;&lt;wsp:rsid wsp:val=&quot;001C29A8&quot;/&gt;&lt;wsp:rsid wsp:val=&quot;001C2D28&quot;/&gt;&lt;wsp:rsid wsp:val=&quot;001C2F10&quot;/&gt;&lt;wsp:rsid wsp:val=&quot;001C3194&quot;/&gt;&lt;wsp:rsid wsp:val=&quot;001C4A9D&quot;/&gt;&lt;wsp:rsid wsp:val=&quot;001C4D18&quot;/&gt;&lt;wsp:rsid wsp:val=&quot;001C5237&quot;/&gt;&lt;wsp:rsid wsp:val=&quot;001C5415&quot;/&gt;&lt;wsp:rsid wsp:val=&quot;001C6DB5&quot;/&gt;&lt;wsp:rsid wsp:val=&quot;001C717D&quot;/&gt;&lt;wsp:rsid wsp:val=&quot;001C75D9&quot;/&gt;&lt;wsp:rsid wsp:val=&quot;001D0A15&quot;/&gt;&lt;wsp:rsid wsp:val=&quot;001D0B6B&quot;/&gt;&lt;wsp:rsid wsp:val=&quot;001D10D5&quot;/&gt;&lt;wsp:rsid wsp:val=&quot;001D1B62&quot;/&gt;&lt;wsp:rsid wsp:val=&quot;001D1F53&quot;/&gt;&lt;wsp:rsid wsp:val=&quot;001D20E5&quot;/&gt;&lt;wsp:rsid wsp:val=&quot;001D24D4&quot;/&gt;&lt;wsp:rsid wsp:val=&quot;001D31EB&quot;/&gt;&lt;wsp:rsid wsp:val=&quot;001D34C0&quot;/&gt;&lt;wsp:rsid wsp:val=&quot;001D3B05&quot;/&gt;&lt;wsp:rsid wsp:val=&quot;001D4984&quot;/&gt;&lt;wsp:rsid wsp:val=&quot;001D4BF8&quot;/&gt;&lt;wsp:rsid wsp:val=&quot;001D5F88&quot;/&gt;&lt;wsp:rsid wsp:val=&quot;001D75BF&quot;/&gt;&lt;wsp:rsid wsp:val=&quot;001D7A47&quot;/&gt;&lt;wsp:rsid wsp:val=&quot;001E003E&quot;/&gt;&lt;wsp:rsid wsp:val=&quot;001E051F&quot;/&gt;&lt;wsp:rsid wsp:val=&quot;001E0571&quot;/&gt;&lt;wsp:rsid wsp:val=&quot;001E150A&quot;/&gt;&lt;wsp:rsid wsp:val=&quot;001E17FF&quot;/&gt;&lt;wsp:rsid wsp:val=&quot;001E1DB5&quot;/&gt;&lt;wsp:rsid wsp:val=&quot;001E1E29&quot;/&gt;&lt;wsp:rsid wsp:val=&quot;001E1E47&quot;/&gt;&lt;wsp:rsid wsp:val=&quot;001E25EA&quot;/&gt;&lt;wsp:rsid wsp:val=&quot;001E283A&quot;/&gt;&lt;wsp:rsid wsp:val=&quot;001E3146&quot;/&gt;&lt;wsp:rsid wsp:val=&quot;001E3555&quot;/&gt;&lt;wsp:rsid wsp:val=&quot;001E51BD&quot;/&gt;&lt;wsp:rsid wsp:val=&quot;001E53A1&quot;/&gt;&lt;wsp:rsid wsp:val=&quot;001E5BDC&quot;/&gt;&lt;wsp:rsid wsp:val=&quot;001E5F87&quot;/&gt;&lt;wsp:rsid wsp:val=&quot;001E710C&quot;/&gt;&lt;wsp:rsid wsp:val=&quot;001E72ED&quot;/&gt;&lt;wsp:rsid wsp:val=&quot;001E78E4&quot;/&gt;&lt;wsp:rsid wsp:val=&quot;001E7C95&quot;/&gt;&lt;wsp:rsid wsp:val=&quot;001F0EE3&quot;/&gt;&lt;wsp:rsid wsp:val=&quot;001F126E&quot;/&gt;&lt;wsp:rsid wsp:val=&quot;001F1675&quot;/&gt;&lt;wsp:rsid wsp:val=&quot;001F1A50&quot;/&gt;&lt;wsp:rsid wsp:val=&quot;001F1E92&quot;/&gt;&lt;wsp:rsid wsp:val=&quot;001F2834&quot;/&gt;&lt;wsp:rsid wsp:val=&quot;001F2CE8&quot;/&gt;&lt;wsp:rsid wsp:val=&quot;001F3626&quot;/&gt;&lt;wsp:rsid wsp:val=&quot;001F38FC&quot;/&gt;&lt;wsp:rsid wsp:val=&quot;001F39A0&quot;/&gt;&lt;wsp:rsid wsp:val=&quot;001F3A72&quot;/&gt;&lt;wsp:rsid wsp:val=&quot;001F641E&quot;/&gt;&lt;wsp:rsid wsp:val=&quot;001F7240&quot;/&gt;&lt;wsp:rsid wsp:val=&quot;002007D1&quot;/&gt;&lt;wsp:rsid wsp:val=&quot;0020096E&quot;/&gt;&lt;wsp:rsid wsp:val=&quot;00200BEF&quot;/&gt;&lt;wsp:rsid wsp:val=&quot;00201470&quot;/&gt;&lt;wsp:rsid wsp:val=&quot;0020149F&quot;/&gt;&lt;wsp:rsid wsp:val=&quot;00201C0C&quot;/&gt;&lt;wsp:rsid wsp:val=&quot;00201CF8&quot;/&gt;&lt;wsp:rsid wsp:val=&quot;00201D7F&quot;/&gt;&lt;wsp:rsid wsp:val=&quot;00201DAD&quot;/&gt;&lt;wsp:rsid wsp:val=&quot;00201F76&quot;/&gt;&lt;wsp:rsid wsp:val=&quot;00202BBA&quot;/&gt;&lt;wsp:rsid wsp:val=&quot;0020302C&quot;/&gt;&lt;wsp:rsid wsp:val=&quot;0020344A&quot;/&gt;&lt;wsp:rsid wsp:val=&quot;002059A1&quot;/&gt;&lt;wsp:rsid wsp:val=&quot;002063A1&quot;/&gt;&lt;wsp:rsid wsp:val=&quot;00206CA1&quot;/&gt;&lt;wsp:rsid wsp:val=&quot;00206CC9&quot;/&gt;&lt;wsp:rsid wsp:val=&quot;00206D5B&quot;/&gt;&lt;wsp:rsid wsp:val=&quot;0020712A&quot;/&gt;&lt;wsp:rsid wsp:val=&quot;002077A5&quot;/&gt;&lt;wsp:rsid wsp:val=&quot;00207AF6&quot;/&gt;&lt;wsp:rsid wsp:val=&quot;00210FA2&quot;/&gt;&lt;wsp:rsid wsp:val=&quot;00211610&quot;/&gt;&lt;wsp:rsid wsp:val=&quot;0021183B&quot;/&gt;&lt;wsp:rsid wsp:val=&quot;002119D5&quot;/&gt;&lt;wsp:rsid wsp:val=&quot;00211B02&quot;/&gt;&lt;wsp:rsid wsp:val=&quot;00211BA7&quot;/&gt;&lt;wsp:rsid wsp:val=&quot;00211C3A&quot;/&gt;&lt;wsp:rsid wsp:val=&quot;00212244&quot;/&gt;&lt;wsp:rsid wsp:val=&quot;002125D5&quot;/&gt;&lt;wsp:rsid wsp:val=&quot;00212817&quot;/&gt;&lt;wsp:rsid wsp:val=&quot;00212B68&quot;/&gt;&lt;wsp:rsid wsp:val=&quot;002133C7&quot;/&gt;&lt;wsp:rsid wsp:val=&quot;00213495&quot;/&gt;&lt;wsp:rsid wsp:val=&quot;00214C98&quot;/&gt;&lt;wsp:rsid wsp:val=&quot;00214ED3&quot;/&gt;&lt;wsp:rsid wsp:val=&quot;0021598C&quot;/&gt;&lt;wsp:rsid wsp:val=&quot;00215A45&quot;/&gt;&lt;wsp:rsid wsp:val=&quot;0021695E&quot;/&gt;&lt;wsp:rsid wsp:val=&quot;002178E9&quot;/&gt;&lt;wsp:rsid wsp:val=&quot;00217A0A&quot;/&gt;&lt;wsp:rsid wsp:val=&quot;00217D27&quot;/&gt;&lt;wsp:rsid wsp:val=&quot;00217F02&quot;/&gt;&lt;wsp:rsid wsp:val=&quot;00220245&quot;/&gt;&lt;wsp:rsid wsp:val=&quot;0022031B&quot;/&gt;&lt;wsp:rsid wsp:val=&quot;0022041E&quot;/&gt;&lt;wsp:rsid wsp:val=&quot;00221234&quot;/&gt;&lt;wsp:rsid wsp:val=&quot;002215D8&quot;/&gt;&lt;wsp:rsid wsp:val=&quot;00222B24&quot;/&gt;&lt;wsp:rsid wsp:val=&quot;002231EC&quot;/&gt;&lt;wsp:rsid wsp:val=&quot;00223291&quot;/&gt;&lt;wsp:rsid wsp:val=&quot;002247B9&quot;/&gt;&lt;wsp:rsid wsp:val=&quot;0022522A&quot;/&gt;&lt;wsp:rsid wsp:val=&quot;0022531B&quot;/&gt;&lt;wsp:rsid wsp:val=&quot;002262E3&quot;/&gt;&lt;wsp:rsid wsp:val=&quot;0022728A&quot;/&gt;&lt;wsp:rsid wsp:val=&quot;0023004F&quot;/&gt;&lt;wsp:rsid wsp:val=&quot;00230233&quot;/&gt;&lt;wsp:rsid wsp:val=&quot;002307D4&quot;/&gt;&lt;wsp:rsid wsp:val=&quot;002310AC&quot;/&gt;&lt;wsp:rsid wsp:val=&quot;002311DF&quot;/&gt;&lt;wsp:rsid wsp:val=&quot;00231FA7&quot;/&gt;&lt;wsp:rsid wsp:val=&quot;00232F8F&quot;/&gt;&lt;wsp:rsid wsp:val=&quot;00233097&quot;/&gt;&lt;wsp:rsid wsp:val=&quot;00233F17&quot;/&gt;&lt;wsp:rsid wsp:val=&quot;00233F9E&quot;/&gt;&lt;wsp:rsid wsp:val=&quot;00234470&quot;/&gt;&lt;wsp:rsid wsp:val=&quot;0023461E&quot;/&gt;&lt;wsp:rsid wsp:val=&quot;00234986&quot;/&gt;&lt;wsp:rsid wsp:val=&quot;00234F87&quot;/&gt;&lt;wsp:rsid wsp:val=&quot;00235039&quot;/&gt;&lt;wsp:rsid wsp:val=&quot;002358D4&quot;/&gt;&lt;wsp:rsid wsp:val=&quot;0023622A&quot;/&gt;&lt;wsp:rsid wsp:val=&quot;0023710E&quot;/&gt;&lt;wsp:rsid wsp:val=&quot;00237895&quot;/&gt;&lt;wsp:rsid wsp:val=&quot;00240C1A&quot;/&gt;&lt;wsp:rsid wsp:val=&quot;002414F5&quot;/&gt;&lt;wsp:rsid wsp:val=&quot;00241D0C&quot;/&gt;&lt;wsp:rsid wsp:val=&quot;002423C6&quot;/&gt;&lt;wsp:rsid wsp:val=&quot;00242A5A&quot;/&gt;&lt;wsp:rsid wsp:val=&quot;00242FA9&quot;/&gt;&lt;wsp:rsid wsp:val=&quot;0024355A&quot;/&gt;&lt;wsp:rsid wsp:val=&quot;00243598&quot;/&gt;&lt;wsp:rsid wsp:val=&quot;00243FFF&quot;/&gt;&lt;wsp:rsid wsp:val=&quot;00244420&quot;/&gt;&lt;wsp:rsid wsp:val=&quot;00245076&quot;/&gt;&lt;wsp:rsid wsp:val=&quot;00245CC7&quot;/&gt;&lt;wsp:rsid wsp:val=&quot;002464A5&quot;/&gt;&lt;wsp:rsid wsp:val=&quot;00246523&quot;/&gt;&lt;wsp:rsid wsp:val=&quot;0024785C&quot;/&gt;&lt;wsp:rsid wsp:val=&quot;002479A2&quot;/&gt;&lt;wsp:rsid wsp:val=&quot;002500C2&quot;/&gt;&lt;wsp:rsid wsp:val=&quot;002504DC&quot;/&gt;&lt;wsp:rsid wsp:val=&quot;002506CB&quot;/&gt;&lt;wsp:rsid wsp:val=&quot;002507B8&quot;/&gt;&lt;wsp:rsid wsp:val=&quot;002520E7&quot;/&gt;&lt;wsp:rsid wsp:val=&quot;00252214&quot;/&gt;&lt;wsp:rsid wsp:val=&quot;00252949&quot;/&gt;&lt;wsp:rsid wsp:val=&quot;00252A64&quot;/&gt;&lt;wsp:rsid wsp:val=&quot;00252F0D&quot;/&gt;&lt;wsp:rsid wsp:val=&quot;00253493&quot;/&gt;&lt;wsp:rsid wsp:val=&quot;002558C6&quot;/&gt;&lt;wsp:rsid wsp:val=&quot;002558DD&quot;/&gt;&lt;wsp:rsid wsp:val=&quot;00255CA5&quot;/&gt;&lt;wsp:rsid wsp:val=&quot;00256561&quot;/&gt;&lt;wsp:rsid wsp:val=&quot;00260622&quot;/&gt;&lt;wsp:rsid wsp:val=&quot;00260C90&quot;/&gt;&lt;wsp:rsid wsp:val=&quot;00261B7A&quot;/&gt;&lt;wsp:rsid wsp:val=&quot;00261EF1&quot;/&gt;&lt;wsp:rsid wsp:val=&quot;002627C4&quot;/&gt;&lt;wsp:rsid wsp:val=&quot;00262A42&quot;/&gt;&lt;wsp:rsid wsp:val=&quot;00262B5A&quot;/&gt;&lt;wsp:rsid wsp:val=&quot;00262CA3&quot;/&gt;&lt;wsp:rsid wsp:val=&quot;002634D5&quot;/&gt;&lt;wsp:rsid wsp:val=&quot;00263FED&quot;/&gt;&lt;wsp:rsid wsp:val=&quot;002640EE&quot;/&gt;&lt;wsp:rsid wsp:val=&quot;002654E0&quot;/&gt;&lt;wsp:rsid wsp:val=&quot;00265E0B&quot;/&gt;&lt;wsp:rsid wsp:val=&quot;0026663A&quot;/&gt;&lt;wsp:rsid wsp:val=&quot;00266838&quot;/&gt;&lt;wsp:rsid wsp:val=&quot;00267A46&quot;/&gt;&lt;wsp:rsid wsp:val=&quot;00267B7E&quot;/&gt;&lt;wsp:rsid wsp:val=&quot;00267DAE&quot;/&gt;&lt;wsp:rsid wsp:val=&quot;002701D3&quot;/&gt;&lt;wsp:rsid wsp:val=&quot;00270252&quot;/&gt;&lt;wsp:rsid wsp:val=&quot;0027176B&quot;/&gt;&lt;wsp:rsid wsp:val=&quot;0027190D&quot;/&gt;&lt;wsp:rsid wsp:val=&quot;00271A11&quot;/&gt;&lt;wsp:rsid wsp:val=&quot;00272450&quot;/&gt;&lt;wsp:rsid wsp:val=&quot;00272B27&quot;/&gt;&lt;wsp:rsid wsp:val=&quot;00274103&quot;/&gt;&lt;wsp:rsid wsp:val=&quot;002746F4&quot;/&gt;&lt;wsp:rsid wsp:val=&quot;00274899&quot;/&gt;&lt;wsp:rsid wsp:val=&quot;002756E5&quot;/&gt;&lt;wsp:rsid wsp:val=&quot;00275F5B&quot;/&gt;&lt;wsp:rsid wsp:val=&quot;0027661C&quot;/&gt;&lt;wsp:rsid wsp:val=&quot;00277430&quot;/&gt;&lt;wsp:rsid wsp:val=&quot;002779F3&quot;/&gt;&lt;wsp:rsid wsp:val=&quot;00277A35&quot;/&gt;&lt;wsp:rsid wsp:val=&quot;00277B4A&quot;/&gt;&lt;wsp:rsid wsp:val=&quot;00277B79&quot;/&gt;&lt;wsp:rsid wsp:val=&quot;00280794&quot;/&gt;&lt;wsp:rsid wsp:val=&quot;00280B49&quot;/&gt;&lt;wsp:rsid wsp:val=&quot;00281439&quot;/&gt;&lt;wsp:rsid wsp:val=&quot;00281482&quot;/&gt;&lt;wsp:rsid wsp:val=&quot;002824A6&quot;/&gt;&lt;wsp:rsid wsp:val=&quot;00282834&quot;/&gt;&lt;wsp:rsid wsp:val=&quot;00282BF9&quot;/&gt;&lt;wsp:rsid wsp:val=&quot;0028320F&quot;/&gt;&lt;wsp:rsid wsp:val=&quot;002835C1&quot;/&gt;&lt;wsp:rsid wsp:val=&quot;00283AC8&quot;/&gt;&lt;wsp:rsid wsp:val=&quot;00283D25&quot;/&gt;&lt;wsp:rsid wsp:val=&quot;002840F5&quot;/&gt;&lt;wsp:rsid wsp:val=&quot;0028418B&quot;/&gt;&lt;wsp:rsid wsp:val=&quot;0028506F&quot;/&gt;&lt;wsp:rsid wsp:val=&quot;00285B40&quot;/&gt;&lt;wsp:rsid wsp:val=&quot;00285E18&quot;/&gt;&lt;wsp:rsid wsp:val=&quot;00286A5B&quot;/&gt;&lt;wsp:rsid wsp:val=&quot;00287C62&quot;/&gt;&lt;wsp:rsid wsp:val=&quot;00290A07&quot;/&gt;&lt;wsp:rsid wsp:val=&quot;00290EB0&quot;/&gt;&lt;wsp:rsid wsp:val=&quot;002914DF&quot;/&gt;&lt;wsp:rsid wsp:val=&quot;00292248&quot;/&gt;&lt;wsp:rsid wsp:val=&quot;00292991&quot;/&gt;&lt;wsp:rsid wsp:val=&quot;00292FA3&quot;/&gt;&lt;wsp:rsid wsp:val=&quot;00293443&quot;/&gt;&lt;wsp:rsid wsp:val=&quot;002934FB&quot;/&gt;&lt;wsp:rsid wsp:val=&quot;00293B8D&quot;/&gt;&lt;wsp:rsid wsp:val=&quot;00294A24&quot;/&gt;&lt;wsp:rsid wsp:val=&quot;00294C89&quot;/&gt;&lt;wsp:rsid wsp:val=&quot;00295C07&quot;/&gt;&lt;wsp:rsid wsp:val=&quot;00295F35&quot;/&gt;&lt;wsp:rsid wsp:val=&quot;00296BAA&quot;/&gt;&lt;wsp:rsid wsp:val=&quot;00297E08&quot;/&gt;&lt;wsp:rsid wsp:val=&quot;002A02A8&quot;/&gt;&lt;wsp:rsid wsp:val=&quot;002A035B&quot;/&gt;&lt;wsp:rsid wsp:val=&quot;002A0469&quot;/&gt;&lt;wsp:rsid wsp:val=&quot;002A0EBD&quot;/&gt;&lt;wsp:rsid wsp:val=&quot;002A1400&quot;/&gt;&lt;wsp:rsid wsp:val=&quot;002A19FA&quot;/&gt;&lt;wsp:rsid wsp:val=&quot;002A2558&quot;/&gt;&lt;wsp:rsid wsp:val=&quot;002A29E0&quot;/&gt;&lt;wsp:rsid wsp:val=&quot;002A2A40&quot;/&gt;&lt;wsp:rsid wsp:val=&quot;002A31E7&quot;/&gt;&lt;wsp:rsid wsp:val=&quot;002A31E9&quot;/&gt;&lt;wsp:rsid wsp:val=&quot;002A3638&quot;/&gt;&lt;wsp:rsid wsp:val=&quot;002A3909&quot;/&gt;&lt;wsp:rsid wsp:val=&quot;002A3DB2&quot;/&gt;&lt;wsp:rsid wsp:val=&quot;002A406F&quot;/&gt;&lt;wsp:rsid wsp:val=&quot;002A666A&quot;/&gt;&lt;wsp:rsid wsp:val=&quot;002A66EA&quot;/&gt;&lt;wsp:rsid wsp:val=&quot;002A6C5F&quot;/&gt;&lt;wsp:rsid wsp:val=&quot;002A799A&quot;/&gt;&lt;wsp:rsid wsp:val=&quot;002A7FAF&quot;/&gt;&lt;wsp:rsid wsp:val=&quot;002B04AC&quot;/&gt;&lt;wsp:rsid wsp:val=&quot;002B06EA&quot;/&gt;&lt;wsp:rsid wsp:val=&quot;002B0CB1&quot;/&gt;&lt;wsp:rsid wsp:val=&quot;002B0F6E&quot;/&gt;&lt;wsp:rsid wsp:val=&quot;002B1981&quot;/&gt;&lt;wsp:rsid wsp:val=&quot;002B20F1&quot;/&gt;&lt;wsp:rsid wsp:val=&quot;002B2A76&quot;/&gt;&lt;wsp:rsid wsp:val=&quot;002B3651&quot;/&gt;&lt;wsp:rsid wsp:val=&quot;002B3F5B&quot;/&gt;&lt;wsp:rsid wsp:val=&quot;002B44DC&quot;/&gt;&lt;wsp:rsid wsp:val=&quot;002B476A&quot;/&gt;&lt;wsp:rsid wsp:val=&quot;002B5279&quot;/&gt;&lt;wsp:rsid wsp:val=&quot;002B586F&quot;/&gt;&lt;wsp:rsid wsp:val=&quot;002B7C9F&quot;/&gt;&lt;wsp:rsid wsp:val=&quot;002C047C&quot;/&gt;&lt;wsp:rsid wsp:val=&quot;002C0560&quot;/&gt;&lt;wsp:rsid wsp:val=&quot;002C11F7&quot;/&gt;&lt;wsp:rsid wsp:val=&quot;002C1BB4&quot;/&gt;&lt;wsp:rsid wsp:val=&quot;002C1F20&quot;/&gt;&lt;wsp:rsid wsp:val=&quot;002C2783&quot;/&gt;&lt;wsp:rsid wsp:val=&quot;002C2D0D&quot;/&gt;&lt;wsp:rsid wsp:val=&quot;002C2E80&quot;/&gt;&lt;wsp:rsid wsp:val=&quot;002C2F03&quot;/&gt;&lt;wsp:rsid wsp:val=&quot;002C37E4&quot;/&gt;&lt;wsp:rsid wsp:val=&quot;002C42F9&quot;/&gt;&lt;wsp:rsid wsp:val=&quot;002C4C10&quot;/&gt;&lt;wsp:rsid wsp:val=&quot;002C58F8&quot;/&gt;&lt;wsp:rsid wsp:val=&quot;002C66F0&quot;/&gt;&lt;wsp:rsid wsp:val=&quot;002C6ACF&quot;/&gt;&lt;wsp:rsid wsp:val=&quot;002C7A8D&quot;/&gt;&lt;wsp:rsid wsp:val=&quot;002C7BCE&quot;/&gt;&lt;wsp:rsid wsp:val=&quot;002D0323&quot;/&gt;&lt;wsp:rsid wsp:val=&quot;002D061E&quot;/&gt;&lt;wsp:rsid wsp:val=&quot;002D0907&quot;/&gt;&lt;wsp:rsid wsp:val=&quot;002D0951&quot;/&gt;&lt;wsp:rsid wsp:val=&quot;002D0AA1&quot;/&gt;&lt;wsp:rsid wsp:val=&quot;002D227C&quot;/&gt;&lt;wsp:rsid wsp:val=&quot;002D228F&quot;/&gt;&lt;wsp:rsid wsp:val=&quot;002D37AF&quot;/&gt;&lt;wsp:rsid wsp:val=&quot;002D40AC&quot;/&gt;&lt;wsp:rsid wsp:val=&quot;002D44EB&quot;/&gt;&lt;wsp:rsid wsp:val=&quot;002D4887&quot;/&gt;&lt;wsp:rsid wsp:val=&quot;002D5AA7&quot;/&gt;&lt;wsp:rsid wsp:val=&quot;002D5D64&quot;/&gt;&lt;wsp:rsid wsp:val=&quot;002D673A&quot;/&gt;&lt;wsp:rsid wsp:val=&quot;002D6FA7&quot;/&gt;&lt;wsp:rsid wsp:val=&quot;002D709D&quot;/&gt;&lt;wsp:rsid wsp:val=&quot;002D7EBB&quot;/&gt;&lt;wsp:rsid wsp:val=&quot;002E013F&quot;/&gt;&lt;wsp:rsid wsp:val=&quot;002E06FF&quot;/&gt;&lt;wsp:rsid wsp:val=&quot;002E0B06&quot;/&gt;&lt;wsp:rsid wsp:val=&quot;002E2062&quot;/&gt;&lt;wsp:rsid wsp:val=&quot;002E287F&quot;/&gt;&lt;wsp:rsid wsp:val=&quot;002E301D&quot;/&gt;&lt;wsp:rsid wsp:val=&quot;002E3519&quot;/&gt;&lt;wsp:rsid wsp:val=&quot;002E371C&quot;/&gt;&lt;wsp:rsid wsp:val=&quot;002E4430&quot;/&gt;&lt;wsp:rsid wsp:val=&quot;002E4A7A&quot;/&gt;&lt;wsp:rsid wsp:val=&quot;002E4A7D&quot;/&gt;&lt;wsp:rsid wsp:val=&quot;002E4CA1&quot;/&gt;&lt;wsp:rsid wsp:val=&quot;002E6C75&quot;/&gt;&lt;wsp:rsid wsp:val=&quot;002F004A&quot;/&gt;&lt;wsp:rsid wsp:val=&quot;002F061D&quot;/&gt;&lt;wsp:rsid wsp:val=&quot;002F090C&quot;/&gt;&lt;wsp:rsid wsp:val=&quot;002F09B4&quot;/&gt;&lt;wsp:rsid wsp:val=&quot;002F0D21&quot;/&gt;&lt;wsp:rsid wsp:val=&quot;002F1894&quot;/&gt;&lt;wsp:rsid wsp:val=&quot;002F224E&quot;/&gt;&lt;wsp:rsid wsp:val=&quot;002F2598&quot;/&gt;&lt;wsp:rsid wsp:val=&quot;002F2CD4&quot;/&gt;&lt;wsp:rsid wsp:val=&quot;002F3E61&quot;/&gt;&lt;wsp:rsid wsp:val=&quot;002F4210&quot;/&gt;&lt;wsp:rsid wsp:val=&quot;002F4600&quot;/&gt;&lt;wsp:rsid wsp:val=&quot;002F498E&quot;/&gt;&lt;wsp:rsid wsp:val=&quot;002F4AF8&quot;/&gt;&lt;wsp:rsid wsp:val=&quot;002F64DA&quot;/&gt;&lt;wsp:rsid wsp:val=&quot;002F6E27&quot;/&gt;&lt;wsp:rsid wsp:val=&quot;002F6E5D&quot;/&gt;&lt;wsp:rsid wsp:val=&quot;002F754D&quot;/&gt;&lt;wsp:rsid wsp:val=&quot;002F75FA&quot;/&gt;&lt;wsp:rsid wsp:val=&quot;002F78EC&quot;/&gt;&lt;wsp:rsid wsp:val=&quot;002F7BF6&quot;/&gt;&lt;wsp:rsid wsp:val=&quot;00300454&quot;/&gt;&lt;wsp:rsid wsp:val=&quot;00300530&quot;/&gt;&lt;wsp:rsid wsp:val=&quot;003005C6&quot;/&gt;&lt;wsp:rsid wsp:val=&quot;00300653&quot;/&gt;&lt;wsp:rsid wsp:val=&quot;00300ACA&quot;/&gt;&lt;wsp:rsid wsp:val=&quot;0030101C&quot;/&gt;&lt;wsp:rsid wsp:val=&quot;003021A3&quot;/&gt;&lt;wsp:rsid wsp:val=&quot;00302513&quot;/&gt;&lt;wsp:rsid wsp:val=&quot;003030B5&quot;/&gt;&lt;wsp:rsid wsp:val=&quot;0030377A&quot;/&gt;&lt;wsp:rsid wsp:val=&quot;00303FFF&quot;/&gt;&lt;wsp:rsid wsp:val=&quot;00305AF8&quot;/&gt;&lt;wsp:rsid wsp:val=&quot;0030614D&quot;/&gt;&lt;wsp:rsid wsp:val=&quot;00306458&quot;/&gt;&lt;wsp:rsid wsp:val=&quot;003073A0&quot;/&gt;&lt;wsp:rsid wsp:val=&quot;00307A5C&quot;/&gt;&lt;wsp:rsid wsp:val=&quot;00307FDC&quot;/&gt;&lt;wsp:rsid wsp:val=&quot;00310280&quot;/&gt;&lt;wsp:rsid wsp:val=&quot;0031049B&quot;/&gt;&lt;wsp:rsid wsp:val=&quot;00310A45&quot;/&gt;&lt;wsp:rsid wsp:val=&quot;00311245&quot;/&gt;&lt;wsp:rsid wsp:val=&quot;003114D6&quot;/&gt;&lt;wsp:rsid wsp:val=&quot;003129D8&quot;/&gt;&lt;wsp:rsid wsp:val=&quot;00312B8D&quot;/&gt;&lt;wsp:rsid wsp:val=&quot;003145FF&quot;/&gt;&lt;wsp:rsid wsp:val=&quot;0031495A&quot;/&gt;&lt;wsp:rsid wsp:val=&quot;00314B33&quot;/&gt;&lt;wsp:rsid wsp:val=&quot;003157C9&quot;/&gt;&lt;wsp:rsid wsp:val=&quot;00315A02&quot;/&gt;&lt;wsp:rsid wsp:val=&quot;003168E4&quot;/&gt;&lt;wsp:rsid wsp:val=&quot;00316D11&quot;/&gt;&lt;wsp:rsid wsp:val=&quot;003171B9&quot;/&gt;&lt;wsp:rsid wsp:val=&quot;003209C8&quot;/&gt;&lt;wsp:rsid wsp:val=&quot;00321E70&quot;/&gt;&lt;wsp:rsid wsp:val=&quot;00322B66&quot;/&gt;&lt;wsp:rsid wsp:val=&quot;003230A1&quot;/&gt;&lt;wsp:rsid wsp:val=&quot;003239B8&quot;/&gt;&lt;wsp:rsid wsp:val=&quot;00324A45&quot;/&gt;&lt;wsp:rsid wsp:val=&quot;00325784&quot;/&gt;&lt;wsp:rsid wsp:val=&quot;00325BD3&quot;/&gt;&lt;wsp:rsid wsp:val=&quot;00325D11&quot;/&gt;&lt;wsp:rsid wsp:val=&quot;00325FBA&quot;/&gt;&lt;wsp:rsid wsp:val=&quot;00327404&quot;/&gt;&lt;wsp:rsid wsp:val=&quot;0032740F&quot;/&gt;&lt;wsp:rsid wsp:val=&quot;00327593&quot;/&gt;&lt;wsp:rsid wsp:val=&quot;003275C0&quot;/&gt;&lt;wsp:rsid wsp:val=&quot;00327AC7&quot;/&gt;&lt;wsp:rsid wsp:val=&quot;00331491&quot;/&gt;&lt;wsp:rsid wsp:val=&quot;00331C64&quot;/&gt;&lt;wsp:rsid wsp:val=&quot;00333C07&quot;/&gt;&lt;wsp:rsid wsp:val=&quot;0033402B&quot;/&gt;&lt;wsp:rsid wsp:val=&quot;00334BD8&quot;/&gt;&lt;wsp:rsid wsp:val=&quot;00335FB6&quot;/&gt;&lt;wsp:rsid wsp:val=&quot;0033617C&quot;/&gt;&lt;wsp:rsid wsp:val=&quot;00336BCB&quot;/&gt;&lt;wsp:rsid wsp:val=&quot;003372E4&quot;/&gt;&lt;wsp:rsid wsp:val=&quot;0034077D&quot;/&gt;&lt;wsp:rsid wsp:val=&quot;00341ACF&quot;/&gt;&lt;wsp:rsid wsp:val=&quot;00341F18&quot;/&gt;&lt;wsp:rsid wsp:val=&quot;00342FFC&quot;/&gt;&lt;wsp:rsid wsp:val=&quot;0034328F&quot;/&gt;&lt;wsp:rsid wsp:val=&quot;003434A4&quot;/&gt;&lt;wsp:rsid wsp:val=&quot;00343BDC&quot;/&gt;&lt;wsp:rsid wsp:val=&quot;0034466C&quot;/&gt;&lt;wsp:rsid wsp:val=&quot;00344FB0&quot;/&gt;&lt;wsp:rsid wsp:val=&quot;00344FE6&quot;/&gt;&lt;wsp:rsid wsp:val=&quot;0034540E&quot;/&gt;&lt;wsp:rsid wsp:val=&quot;0034545E&quot;/&gt;&lt;wsp:rsid wsp:val=&quot;00346C6A&quot;/&gt;&lt;wsp:rsid wsp:val=&quot;00347166&quot;/&gt;&lt;wsp:rsid wsp:val=&quot;003475FD&quot;/&gt;&lt;wsp:rsid wsp:val=&quot;00351A6E&quot;/&gt;&lt;wsp:rsid wsp:val=&quot;00351FA7&quot;/&gt;&lt;wsp:rsid wsp:val=&quot;00352459&quot;/&gt;&lt;wsp:rsid wsp:val=&quot;00353191&quot;/&gt;&lt;wsp:rsid wsp:val=&quot;0035346E&quot;/&gt;&lt;wsp:rsid wsp:val=&quot;0035410F&quot;/&gt;&lt;wsp:rsid wsp:val=&quot;003552D5&quot;/&gt;&lt;wsp:rsid wsp:val=&quot;00355581&quot;/&gt;&lt;wsp:rsid wsp:val=&quot;00355C2D&quot;/&gt;&lt;wsp:rsid wsp:val=&quot;00356795&quot;/&gt;&lt;wsp:rsid wsp:val=&quot;00356E54&quot;/&gt;&lt;wsp:rsid wsp:val=&quot;00360397&quot;/&gt;&lt;wsp:rsid wsp:val=&quot;00360CD6&quot;/&gt;&lt;wsp:rsid wsp:val=&quot;00360FE3&quot;/&gt;&lt;wsp:rsid wsp:val=&quot;003611EE&quot;/&gt;&lt;wsp:rsid wsp:val=&quot;003618CE&quot;/&gt;&lt;wsp:rsid wsp:val=&quot;0036199C&quot;/&gt;&lt;wsp:rsid wsp:val=&quot;00361F06&quot;/&gt;&lt;wsp:rsid wsp:val=&quot;00361FAE&quot;/&gt;&lt;wsp:rsid wsp:val=&quot;00361FB6&quot;/&gt;&lt;wsp:rsid wsp:val=&quot;00362532&quot;/&gt;&lt;wsp:rsid wsp:val=&quot;00362837&quot;/&gt;&lt;wsp:rsid wsp:val=&quot;00363354&quot;/&gt;&lt;wsp:rsid wsp:val=&quot;00363C65&quot;/&gt;&lt;wsp:rsid wsp:val=&quot;003640D4&quot;/&gt;&lt;wsp:rsid wsp:val=&quot;00364465&quot;/&gt;&lt;wsp:rsid wsp:val=&quot;003648AB&quot;/&gt;&lt;wsp:rsid wsp:val=&quot;003662A1&quot;/&gt;&lt;wsp:rsid wsp:val=&quot;00367278&quot;/&gt;&lt;wsp:rsid wsp:val=&quot;003679F5&quot;/&gt;&lt;wsp:rsid wsp:val=&quot;00367DD9&quot;/&gt;&lt;wsp:rsid wsp:val=&quot;00370942&quot;/&gt;&lt;wsp:rsid wsp:val=&quot;00371718&quot;/&gt;&lt;wsp:rsid wsp:val=&quot;0037203F&quot;/&gt;&lt;wsp:rsid wsp:val=&quot;0037216A&quot;/&gt;&lt;wsp:rsid wsp:val=&quot;00372E2F&quot;/&gt;&lt;wsp:rsid wsp:val=&quot;00372FE7&quot;/&gt;&lt;wsp:rsid wsp:val=&quot;00373043&quot;/&gt;&lt;wsp:rsid wsp:val=&quot;00373046&quot;/&gt;&lt;wsp:rsid wsp:val=&quot;00373190&quot;/&gt;&lt;wsp:rsid wsp:val=&quot;00374169&quot;/&gt;&lt;wsp:rsid wsp:val=&quot;0037422F&quot;/&gt;&lt;wsp:rsid wsp:val=&quot;003747F4&quot;/&gt;&lt;wsp:rsid wsp:val=&quot;00374B32&quot;/&gt;&lt;wsp:rsid wsp:val=&quot;00374C11&quot;/&gt;&lt;wsp:rsid wsp:val=&quot;0037514A&quot;/&gt;&lt;wsp:rsid wsp:val=&quot;003757A9&quot;/&gt;&lt;wsp:rsid wsp:val=&quot;003762BD&quot;/&gt;&lt;wsp:rsid wsp:val=&quot;00376421&quot;/&gt;&lt;wsp:rsid wsp:val=&quot;00376D85&quot;/&gt;&lt;wsp:rsid wsp:val=&quot;00377FFB&quot;/&gt;&lt;wsp:rsid wsp:val=&quot;00380A23&quot;/&gt;&lt;wsp:rsid wsp:val=&quot;0038117D&quot;/&gt;&lt;wsp:rsid wsp:val=&quot;00381BAE&quot;/&gt;&lt;wsp:rsid wsp:val=&quot;00381ECF&quot;/&gt;&lt;wsp:rsid wsp:val=&quot;0038212C&quot;/&gt;&lt;wsp:rsid wsp:val=&quot;0038231F&quot;/&gt;&lt;wsp:rsid wsp:val=&quot;00382EC9&quot;/&gt;&lt;wsp:rsid wsp:val=&quot;0038318D&quot;/&gt;&lt;wsp:rsid wsp:val=&quot;003833B5&quot;/&gt;&lt;wsp:rsid wsp:val=&quot;00383B92&quot;/&gt;&lt;wsp:rsid wsp:val=&quot;00384965&quot;/&gt;&lt;wsp:rsid wsp:val=&quot;00385222&quot;/&gt;&lt;wsp:rsid wsp:val=&quot;00385366&quot;/&gt;&lt;wsp:rsid wsp:val=&quot;003855F9&quot;/&gt;&lt;wsp:rsid wsp:val=&quot;00385965&quot;/&gt;&lt;wsp:rsid wsp:val=&quot;00386253&quot;/&gt;&lt;wsp:rsid wsp:val=&quot;003862C2&quot;/&gt;&lt;wsp:rsid wsp:val=&quot;00386585&quot;/&gt;&lt;wsp:rsid wsp:val=&quot;00387ADD&quot;/&gt;&lt;wsp:rsid wsp:val=&quot;00387F10&quot;/&gt;&lt;wsp:rsid wsp:val=&quot;0039057E&quot;/&gt;&lt;wsp:rsid wsp:val=&quot;00390A9C&quot;/&gt;&lt;wsp:rsid wsp:val=&quot;003911C7&quot;/&gt;&lt;wsp:rsid wsp:val=&quot;00392594&quot;/&gt;&lt;wsp:rsid wsp:val=&quot;00392B88&quot;/&gt;&lt;wsp:rsid wsp:val=&quot;003938AF&quot;/&gt;&lt;wsp:rsid wsp:val=&quot;00393E36&quot;/&gt;&lt;wsp:rsid wsp:val=&quot;003940C9&quot;/&gt;&lt;wsp:rsid wsp:val=&quot;0039492B&quot;/&gt;&lt;wsp:rsid wsp:val=&quot;0039633E&quot;/&gt;&lt;wsp:rsid wsp:val=&quot;003965F2&quot;/&gt;&lt;wsp:rsid wsp:val=&quot;003969C7&quot;/&gt;&lt;wsp:rsid wsp:val=&quot;003972EE&quot;/&gt;&lt;wsp:rsid wsp:val=&quot;003A02A0&quot;/&gt;&lt;wsp:rsid wsp:val=&quot;003A18EC&quot;/&gt;&lt;wsp:rsid wsp:val=&quot;003A1E71&quot;/&gt;&lt;wsp:rsid wsp:val=&quot;003A1F5D&quot;/&gt;&lt;wsp:rsid wsp:val=&quot;003A2BE9&quot;/&gt;&lt;wsp:rsid wsp:val=&quot;003A400C&quot;/&gt;&lt;wsp:rsid wsp:val=&quot;003A44C4&quot;/&gt;&lt;wsp:rsid wsp:val=&quot;003A4FDA&quot;/&gt;&lt;wsp:rsid wsp:val=&quot;003A5029&quot;/&gt;&lt;wsp:rsid wsp:val=&quot;003A56AA&quot;/&gt;&lt;wsp:rsid wsp:val=&quot;003A5F22&quot;/&gt;&lt;wsp:rsid wsp:val=&quot;003A6B49&quot;/&gt;&lt;wsp:rsid wsp:val=&quot;003A6BE1&quot;/&gt;&lt;wsp:rsid wsp:val=&quot;003A7150&quot;/&gt;&lt;wsp:rsid wsp:val=&quot;003A75D3&quot;/&gt;&lt;wsp:rsid wsp:val=&quot;003A76CF&quot;/&gt;&lt;wsp:rsid wsp:val=&quot;003B119F&quot;/&gt;&lt;wsp:rsid wsp:val=&quot;003B1ACC&quot;/&gt;&lt;wsp:rsid wsp:val=&quot;003B2CA6&quot;/&gt;&lt;wsp:rsid wsp:val=&quot;003B3BA7&quot;/&gt;&lt;wsp:rsid wsp:val=&quot;003B402D&quot;/&gt;&lt;wsp:rsid wsp:val=&quot;003B40A5&quot;/&gt;&lt;wsp:rsid wsp:val=&quot;003B43F4&quot;/&gt;&lt;wsp:rsid wsp:val=&quot;003B4442&quot;/&gt;&lt;wsp:rsid wsp:val=&quot;003B4CEA&quot;/&gt;&lt;wsp:rsid wsp:val=&quot;003B5789&quot;/&gt;&lt;wsp:rsid wsp:val=&quot;003B6B66&quot;/&gt;&lt;wsp:rsid wsp:val=&quot;003B6FF6&quot;/&gt;&lt;wsp:rsid wsp:val=&quot;003C249F&quot;/&gt;&lt;wsp:rsid wsp:val=&quot;003C262A&quot;/&gt;&lt;wsp:rsid wsp:val=&quot;003C336C&quot;/&gt;&lt;wsp:rsid wsp:val=&quot;003C39AC&quot;/&gt;&lt;wsp:rsid wsp:val=&quot;003C43C4&quot;/&gt;&lt;wsp:rsid wsp:val=&quot;003C44A6&quot;/&gt;&lt;wsp:rsid wsp:val=&quot;003C486F&quot;/&gt;&lt;wsp:rsid wsp:val=&quot;003C4915&quot;/&gt;&lt;wsp:rsid wsp:val=&quot;003C4E2F&quot;/&gt;&lt;wsp:rsid wsp:val=&quot;003C6F4D&quot;/&gt;&lt;wsp:rsid wsp:val=&quot;003C705A&quot;/&gt;&lt;wsp:rsid wsp:val=&quot;003C71B7&quot;/&gt;&lt;wsp:rsid wsp:val=&quot;003C76FE&quot;/&gt;&lt;wsp:rsid wsp:val=&quot;003D064E&quot;/&gt;&lt;wsp:rsid wsp:val=&quot;003D09A3&quot;/&gt;&lt;wsp:rsid wsp:val=&quot;003D0B38&quot;/&gt;&lt;wsp:rsid wsp:val=&quot;003D0CE1&quot;/&gt;&lt;wsp:rsid wsp:val=&quot;003D16EA&quot;/&gt;&lt;wsp:rsid wsp:val=&quot;003D18F9&quot;/&gt;&lt;wsp:rsid wsp:val=&quot;003D25DE&quot;/&gt;&lt;wsp:rsid wsp:val=&quot;003D2600&quot;/&gt;&lt;wsp:rsid wsp:val=&quot;003D31E0&quot;/&gt;&lt;wsp:rsid wsp:val=&quot;003D368D&quot;/&gt;&lt;wsp:rsid wsp:val=&quot;003D407B&quot;/&gt;&lt;wsp:rsid wsp:val=&quot;003D4619&quot;/&gt;&lt;wsp:rsid wsp:val=&quot;003D52F4&quot;/&gt;&lt;wsp:rsid wsp:val=&quot;003D5384&quot;/&gt;&lt;wsp:rsid wsp:val=&quot;003D5622&quot;/&gt;&lt;wsp:rsid wsp:val=&quot;003D5864&quot;/&gt;&lt;wsp:rsid wsp:val=&quot;003D5B0E&quot;/&gt;&lt;wsp:rsid wsp:val=&quot;003D5B8B&quot;/&gt;&lt;wsp:rsid wsp:val=&quot;003D61C2&quot;/&gt;&lt;wsp:rsid wsp:val=&quot;003D6312&quot;/&gt;&lt;wsp:rsid wsp:val=&quot;003D6D69&quot;/&gt;&lt;wsp:rsid wsp:val=&quot;003D6E0D&quot;/&gt;&lt;wsp:rsid wsp:val=&quot;003D7590&quot;/&gt;&lt;wsp:rsid wsp:val=&quot;003E0B80&quot;/&gt;&lt;wsp:rsid wsp:val=&quot;003E1476&quot;/&gt;&lt;wsp:rsid wsp:val=&quot;003E2717&quot;/&gt;&lt;wsp:rsid wsp:val=&quot;003E2959&quot;/&gt;&lt;wsp:rsid wsp:val=&quot;003E2F49&quot;/&gt;&lt;wsp:rsid wsp:val=&quot;003E36D6&quot;/&gt;&lt;wsp:rsid wsp:val=&quot;003E3756&quot;/&gt;&lt;wsp:rsid wsp:val=&quot;003E3861&quot;/&gt;&lt;wsp:rsid wsp:val=&quot;003E3C0B&quot;/&gt;&lt;wsp:rsid wsp:val=&quot;003E4316&quot;/&gt;&lt;wsp:rsid wsp:val=&quot;003E56CA&quot;/&gt;&lt;wsp:rsid wsp:val=&quot;003E5888&quot;/&gt;&lt;wsp:rsid wsp:val=&quot;003E5C3F&quot;/&gt;&lt;wsp:rsid wsp:val=&quot;003E5C65&quot;/&gt;&lt;wsp:rsid wsp:val=&quot;003E5D61&quot;/&gt;&lt;wsp:rsid wsp:val=&quot;003E7F9D&quot;/&gt;&lt;wsp:rsid wsp:val=&quot;003F194A&quot;/&gt;&lt;wsp:rsid wsp:val=&quot;003F19C5&quot;/&gt;&lt;wsp:rsid wsp:val=&quot;003F1FA3&quot;/&gt;&lt;wsp:rsid wsp:val=&quot;003F2A74&quot;/&gt;&lt;wsp:rsid wsp:val=&quot;003F2BCA&quot;/&gt;&lt;wsp:rsid wsp:val=&quot;003F2E98&quot;/&gt;&lt;wsp:rsid wsp:val=&quot;003F3A11&quot;/&gt;&lt;wsp:rsid wsp:val=&quot;003F5962&quot;/&gt;&lt;wsp:rsid wsp:val=&quot;003F5AD9&quot;/&gt;&lt;wsp:rsid wsp:val=&quot;00400206&quot;/&gt;&lt;wsp:rsid wsp:val=&quot;004006A6&quot;/&gt;&lt;wsp:rsid wsp:val=&quot;00400710&quot;/&gt;&lt;wsp:rsid wsp:val=&quot;00400A54&quot;/&gt;&lt;wsp:rsid wsp:val=&quot;00401852&quot;/&gt;&lt;wsp:rsid wsp:val=&quot;004023FA&quot;/&gt;&lt;wsp:rsid wsp:val=&quot;004025FD&quot;/&gt;&lt;wsp:rsid wsp:val=&quot;00402649&quot;/&gt;&lt;wsp:rsid wsp:val=&quot;00402AF8&quot;/&gt;&lt;wsp:rsid wsp:val=&quot;00402B1B&quot;/&gt;&lt;wsp:rsid wsp:val=&quot;00402DC3&quot;/&gt;&lt;wsp:rsid wsp:val=&quot;00403CAE&quot;/&gt;&lt;wsp:rsid wsp:val=&quot;00404575&quot;/&gt;&lt;wsp:rsid wsp:val=&quot;004045E9&quot;/&gt;&lt;wsp:rsid wsp:val=&quot;00405C3B&quot;/&gt;&lt;wsp:rsid wsp:val=&quot;00406126&quot;/&gt;&lt;wsp:rsid wsp:val=&quot;00406803&quot;/&gt;&lt;wsp:rsid wsp:val=&quot;00406D52&quot;/&gt;&lt;wsp:rsid wsp:val=&quot;0040757F&quot;/&gt;&lt;wsp:rsid wsp:val=&quot;004077A1&quot;/&gt;&lt;wsp:rsid wsp:val=&quot;004078B6&quot;/&gt;&lt;wsp:rsid wsp:val=&quot;00407F0D&quot;/&gt;&lt;wsp:rsid wsp:val=&quot;00410507&quot;/&gt;&lt;wsp:rsid wsp:val=&quot;004109AD&quot;/&gt;&lt;wsp:rsid wsp:val=&quot;004114F6&quot;/&gt;&lt;wsp:rsid wsp:val=&quot;00411C20&quot;/&gt;&lt;wsp:rsid wsp:val=&quot;0041214F&quot;/&gt;&lt;wsp:rsid wsp:val=&quot;004125A8&quot;/&gt;&lt;wsp:rsid wsp:val=&quot;0041278F&quot;/&gt;&lt;wsp:rsid wsp:val=&quot;00413416&quot;/&gt;&lt;wsp:rsid wsp:val=&quot;00413AD7&quot;/&gt;&lt;wsp:rsid wsp:val=&quot;00413D76&quot;/&gt;&lt;wsp:rsid wsp:val=&quot;00414A73&quot;/&gt;&lt;wsp:rsid wsp:val=&quot;00414B7E&quot;/&gt;&lt;wsp:rsid wsp:val=&quot;00414F3F&quot;/&gt;&lt;wsp:rsid wsp:val=&quot;004163E1&quot;/&gt;&lt;wsp:rsid wsp:val=&quot;004164B7&quot;/&gt;&lt;wsp:rsid wsp:val=&quot;00416A6A&quot;/&gt;&lt;wsp:rsid wsp:val=&quot;00417627&quot;/&gt;&lt;wsp:rsid wsp:val=&quot;0041771D&quot;/&gt;&lt;wsp:rsid wsp:val=&quot;00417ECE&quot;/&gt;&lt;wsp:rsid wsp:val=&quot;00417FD0&quot;/&gt;&lt;wsp:rsid wsp:val=&quot;004200EC&quot;/&gt;&lt;wsp:rsid wsp:val=&quot;0042031C&quot;/&gt;&lt;wsp:rsid wsp:val=&quot;00420E8E&quot;/&gt;&lt;wsp:rsid wsp:val=&quot;00422216&quot;/&gt;&lt;wsp:rsid wsp:val=&quot;0042244E&quot;/&gt;&lt;wsp:rsid wsp:val=&quot;00422FFA&quot;/&gt;&lt;wsp:rsid wsp:val=&quot;0042314C&quot;/&gt;&lt;wsp:rsid wsp:val=&quot;00423612&quot;/&gt;&lt;wsp:rsid wsp:val=&quot;00423AA5&quot;/&gt;&lt;wsp:rsid wsp:val=&quot;00423AB5&quot;/&gt;&lt;wsp:rsid wsp:val=&quot;004245E3&quot;/&gt;&lt;wsp:rsid wsp:val=&quot;004246DB&quot;/&gt;&lt;wsp:rsid wsp:val=&quot;004256EC&quot;/&gt;&lt;wsp:rsid wsp:val=&quot;00425C57&quot;/&gt;&lt;wsp:rsid wsp:val=&quot;00426CF8&quot;/&gt;&lt;wsp:rsid wsp:val=&quot;00426F49&quot;/&gt;&lt;wsp:rsid wsp:val=&quot;0042702E&quot;/&gt;&lt;wsp:rsid wsp:val=&quot;00427201&quot;/&gt;&lt;wsp:rsid wsp:val=&quot;004277C0&quot;/&gt;&lt;wsp:rsid wsp:val=&quot;004278DC&quot;/&gt;&lt;wsp:rsid wsp:val=&quot;00427C5B&quot;/&gt;&lt;wsp:rsid wsp:val=&quot;00427D22&quot;/&gt;&lt;wsp:rsid wsp:val=&quot;00427DC8&quot;/&gt;&lt;wsp:rsid wsp:val=&quot;004304D7&quot;/&gt;&lt;wsp:rsid wsp:val=&quot;00431598&quot;/&gt;&lt;wsp:rsid wsp:val=&quot;00431E10&quot;/&gt;&lt;wsp:rsid wsp:val=&quot;00431F66&quot;/&gt;&lt;wsp:rsid wsp:val=&quot;004320FD&quot;/&gt;&lt;wsp:rsid wsp:val=&quot;004321BF&quot;/&gt;&lt;wsp:rsid wsp:val=&quot;0043235F&quot;/&gt;&lt;wsp:rsid wsp:val=&quot;00433199&quot;/&gt;&lt;wsp:rsid wsp:val=&quot;00433A46&quot;/&gt;&lt;wsp:rsid wsp:val=&quot;00434598&quot;/&gt;&lt;wsp:rsid wsp:val=&quot;0043484F&quot;/&gt;&lt;wsp:rsid wsp:val=&quot;0043516D&quot;/&gt;&lt;wsp:rsid wsp:val=&quot;004353DE&quot;/&gt;&lt;wsp:rsid wsp:val=&quot;00435857&quot;/&gt;&lt;wsp:rsid wsp:val=&quot;00436025&quot;/&gt;&lt;wsp:rsid wsp:val=&quot;004362C1&quot;/&gt;&lt;wsp:rsid wsp:val=&quot;00436467&quot;/&gt;&lt;wsp:rsid wsp:val=&quot;004365B9&quot;/&gt;&lt;wsp:rsid wsp:val=&quot;0043687F&quot;/&gt;&lt;wsp:rsid wsp:val=&quot;00436BE2&quot;/&gt;&lt;wsp:rsid wsp:val=&quot;00436E31&quot;/&gt;&lt;wsp:rsid wsp:val=&quot;00437FB8&quot;/&gt;&lt;wsp:rsid wsp:val=&quot;0044004C&quot;/&gt;&lt;wsp:rsid wsp:val=&quot;004400D4&quot;/&gt;&lt;wsp:rsid wsp:val=&quot;004401F7&quot;/&gt;&lt;wsp:rsid wsp:val=&quot;0044121B&quot;/&gt;&lt;wsp:rsid wsp:val=&quot;00441332&quot;/&gt;&lt;wsp:rsid wsp:val=&quot;004413A3&quot;/&gt;&lt;wsp:rsid wsp:val=&quot;00441659&quot;/&gt;&lt;wsp:rsid wsp:val=&quot;00441C38&quot;/&gt;&lt;wsp:rsid wsp:val=&quot;00441C4F&quot;/&gt;&lt;wsp:rsid wsp:val=&quot;00442CAF&quot;/&gt;&lt;wsp:rsid wsp:val=&quot;004435AD&quot;/&gt;&lt;wsp:rsid wsp:val=&quot;0044396F&quot;/&gt;&lt;wsp:rsid wsp:val=&quot;00443E86&quot;/&gt;&lt;wsp:rsid wsp:val=&quot;004445E6&quot;/&gt;&lt;wsp:rsid wsp:val=&quot;004449B4&quot;/&gt;&lt;wsp:rsid wsp:val=&quot;004452A9&quot;/&gt;&lt;wsp:rsid wsp:val=&quot;00446AD9&quot;/&gt;&lt;wsp:rsid wsp:val=&quot;004473F4&quot;/&gt;&lt;wsp:rsid wsp:val=&quot;004478D4&quot;/&gt;&lt;wsp:rsid wsp:val=&quot;00447A1F&quot;/&gt;&lt;wsp:rsid wsp:val=&quot;00447A63&quot;/&gt;&lt;wsp:rsid wsp:val=&quot;00447E7C&quot;/&gt;&lt;wsp:rsid wsp:val=&quot;0045033E&quot;/&gt;&lt;wsp:rsid wsp:val=&quot;004503B7&quot;/&gt;&lt;wsp:rsid wsp:val=&quot;004507FB&quot;/&gt;&lt;wsp:rsid wsp:val=&quot;00450D2D&quot;/&gt;&lt;wsp:rsid wsp:val=&quot;004516D6&quot;/&gt;&lt;wsp:rsid wsp:val=&quot;00452282&quot;/&gt;&lt;wsp:rsid wsp:val=&quot;004527AD&quot;/&gt;&lt;wsp:rsid wsp:val=&quot;00453A26&quot;/&gt;&lt;wsp:rsid wsp:val=&quot;00453C43&quot;/&gt;&lt;wsp:rsid wsp:val=&quot;00453C71&quot;/&gt;&lt;wsp:rsid wsp:val=&quot;0045548F&quot;/&gt;&lt;wsp:rsid wsp:val=&quot;00455B4B&quot;/&gt;&lt;wsp:rsid wsp:val=&quot;00455BF1&quot;/&gt;&lt;wsp:rsid wsp:val=&quot;0045651C&quot;/&gt;&lt;wsp:rsid wsp:val=&quot;004572D1&quot;/&gt;&lt;wsp:rsid wsp:val=&quot;00457765&quot;/&gt;&lt;wsp:rsid wsp:val=&quot;00457A05&quot;/&gt;&lt;wsp:rsid wsp:val=&quot;00460203&quot;/&gt;&lt;wsp:rsid wsp:val=&quot;0046046B&quot;/&gt;&lt;wsp:rsid wsp:val=&quot;004610EB&quot;/&gt;&lt;wsp:rsid wsp:val=&quot;004621C0&quot;/&gt;&lt;wsp:rsid wsp:val=&quot;00463AA0&quot;/&gt;&lt;wsp:rsid wsp:val=&quot;004640A8&quot;/&gt;&lt;wsp:rsid wsp:val=&quot;004643BF&quot;/&gt;&lt;wsp:rsid wsp:val=&quot;00464886&quot;/&gt;&lt;wsp:rsid wsp:val=&quot;00464E37&quot;/&gt;&lt;wsp:rsid wsp:val=&quot;004654DA&quot;/&gt;&lt;wsp:rsid wsp:val=&quot;00465E2A&quot;/&gt;&lt;wsp:rsid wsp:val=&quot;00465EAC&quot;/&gt;&lt;wsp:rsid wsp:val=&quot;0046688C&quot;/&gt;&lt;wsp:rsid wsp:val=&quot;00467F9B&quot;/&gt;&lt;wsp:rsid wsp:val=&quot;00470001&quot;/&gt;&lt;wsp:rsid wsp:val=&quot;0047000A&quot;/&gt;&lt;wsp:rsid wsp:val=&quot;00470D82&quot;/&gt;&lt;wsp:rsid wsp:val=&quot;00471D15&quot;/&gt;&lt;wsp:rsid wsp:val=&quot;004730AE&quot;/&gt;&lt;wsp:rsid wsp:val=&quot;00473869&quot;/&gt;&lt;wsp:rsid wsp:val=&quot;00474823&quot;/&gt;&lt;wsp:rsid wsp:val=&quot;004753F8&quot;/&gt;&lt;wsp:rsid wsp:val=&quot;004757BA&quot;/&gt;&lt;wsp:rsid wsp:val=&quot;00476977&quot;/&gt;&lt;wsp:rsid wsp:val=&quot;00476C1F&quot;/&gt;&lt;wsp:rsid wsp:val=&quot;00476D4A&quot;/&gt;&lt;wsp:rsid wsp:val=&quot;00480255&quot;/&gt;&lt;wsp:rsid wsp:val=&quot;00481074&quot;/&gt;&lt;wsp:rsid wsp:val=&quot;00481A3A&quot;/&gt;&lt;wsp:rsid wsp:val=&quot;00481ED9&quot;/&gt;&lt;wsp:rsid wsp:val=&quot;004826A5&quot;/&gt;&lt;wsp:rsid wsp:val=&quot;00482DE6&quot;/&gt;&lt;wsp:rsid wsp:val=&quot;0048352E&quot;/&gt;&lt;wsp:rsid wsp:val=&quot;004838CF&quot;/&gt;&lt;wsp:rsid wsp:val=&quot;0048511C&quot;/&gt;&lt;wsp:rsid wsp:val=&quot;00485275&quot;/&gt;&lt;wsp:rsid wsp:val=&quot;00485381&quot;/&gt;&lt;wsp:rsid wsp:val=&quot;0048555D&quot;/&gt;&lt;wsp:rsid wsp:val=&quot;00485744&quot;/&gt;&lt;wsp:rsid wsp:val=&quot;00486A23&quot;/&gt;&lt;wsp:rsid wsp:val=&quot;00487118&quot;/&gt;&lt;wsp:rsid wsp:val=&quot;0048749B&quot;/&gt;&lt;wsp:rsid wsp:val=&quot;004879CC&quot;/&gt;&lt;wsp:rsid wsp:val=&quot;00487CE4&quot;/&gt;&lt;wsp:rsid wsp:val=&quot;00487ED8&quot;/&gt;&lt;wsp:rsid wsp:val=&quot;00490D9A&quot;/&gt;&lt;wsp:rsid wsp:val=&quot;00491389&quot;/&gt;&lt;wsp:rsid wsp:val=&quot;00492032&quot;/&gt;&lt;wsp:rsid wsp:val=&quot;004928EC&quot;/&gt;&lt;wsp:rsid wsp:val=&quot;00492C4B&quot;/&gt;&lt;wsp:rsid wsp:val=&quot;004934EC&quot;/&gt;&lt;wsp:rsid wsp:val=&quot;00493F49&quot;/&gt;&lt;wsp:rsid wsp:val=&quot;00494993&quot;/&gt;&lt;wsp:rsid wsp:val=&quot;00494A88&quot;/&gt;&lt;wsp:rsid wsp:val=&quot;00494BA2&quot;/&gt;&lt;wsp:rsid wsp:val=&quot;004952E4&quot;/&gt;&lt;wsp:rsid wsp:val=&quot;004953DA&quot;/&gt;&lt;wsp:rsid wsp:val=&quot;00495921&quot;/&gt;&lt;wsp:rsid wsp:val=&quot;0049620F&quot;/&gt;&lt;wsp:rsid wsp:val=&quot;004962B5&quot;/&gt;&lt;wsp:rsid wsp:val=&quot;00497F5E&quot;/&gt;&lt;wsp:rsid wsp:val=&quot;004A02B6&quot;/&gt;&lt;wsp:rsid wsp:val=&quot;004A0809&quot;/&gt;&lt;wsp:rsid wsp:val=&quot;004A0CB0&quot;/&gt;&lt;wsp:rsid wsp:val=&quot;004A0FD0&quot;/&gt;&lt;wsp:rsid wsp:val=&quot;004A1A8D&quot;/&gt;&lt;wsp:rsid wsp:val=&quot;004A1DDF&quot;/&gt;&lt;wsp:rsid wsp:val=&quot;004A1E3D&quot;/&gt;&lt;wsp:rsid wsp:val=&quot;004A21CE&quot;/&gt;&lt;wsp:rsid wsp:val=&quot;004A2C56&quot;/&gt;&lt;wsp:rsid wsp:val=&quot;004A30C0&quot;/&gt;&lt;wsp:rsid wsp:val=&quot;004A3805&quot;/&gt;&lt;wsp:rsid wsp:val=&quot;004A4423&quot;/&gt;&lt;wsp:rsid wsp:val=&quot;004A4751&quot;/&gt;&lt;wsp:rsid wsp:val=&quot;004A4FFE&quot;/&gt;&lt;wsp:rsid wsp:val=&quot;004A6382&quot;/&gt;&lt;wsp:rsid wsp:val=&quot;004A7E9A&quot;/&gt;&lt;wsp:rsid wsp:val=&quot;004B0014&quot;/&gt;&lt;wsp:rsid wsp:val=&quot;004B132C&quot;/&gt;&lt;wsp:rsid wsp:val=&quot;004B14AC&quot;/&gt;&lt;wsp:rsid wsp:val=&quot;004B2240&quot;/&gt;&lt;wsp:rsid wsp:val=&quot;004B2291&quot;/&gt;&lt;wsp:rsid wsp:val=&quot;004B34B0&quot;/&gt;&lt;wsp:rsid wsp:val=&quot;004B3B5A&quot;/&gt;&lt;wsp:rsid wsp:val=&quot;004B3D21&quot;/&gt;&lt;wsp:rsid wsp:val=&quot;004B41F4&quot;/&gt;&lt;wsp:rsid wsp:val=&quot;004B4FC7&quot;/&gt;&lt;wsp:rsid wsp:val=&quot;004B53C9&quot;/&gt;&lt;wsp:rsid wsp:val=&quot;004B54A6&quot;/&gt;&lt;wsp:rsid wsp:val=&quot;004B598E&quot;/&gt;&lt;wsp:rsid wsp:val=&quot;004B65ED&quot;/&gt;&lt;wsp:rsid wsp:val=&quot;004B6A51&quot;/&gt;&lt;wsp:rsid wsp:val=&quot;004C0B08&quot;/&gt;&lt;wsp:rsid wsp:val=&quot;004C1385&quot;/&gt;&lt;wsp:rsid wsp:val=&quot;004C1686&quot;/&gt;&lt;wsp:rsid wsp:val=&quot;004C1AF7&quot;/&gt;&lt;wsp:rsid wsp:val=&quot;004C2252&quot;/&gt;&lt;wsp:rsid wsp:val=&quot;004C3CED&quot;/&gt;&lt;wsp:rsid wsp:val=&quot;004C4061&quot;/&gt;&lt;wsp:rsid wsp:val=&quot;004C52D4&quot;/&gt;&lt;wsp:rsid wsp:val=&quot;004C55B6&quot;/&gt;&lt;wsp:rsid wsp:val=&quot;004C59FB&quot;/&gt;&lt;wsp:rsid wsp:val=&quot;004C5B09&quot;/&gt;&lt;wsp:rsid wsp:val=&quot;004C5C1F&quot;/&gt;&lt;wsp:rsid wsp:val=&quot;004C6644&quot;/&gt;&lt;wsp:rsid wsp:val=&quot;004C690E&quot;/&gt;&lt;wsp:rsid wsp:val=&quot;004C6CC6&quot;/&gt;&lt;wsp:rsid wsp:val=&quot;004C747D&quot;/&gt;&lt;wsp:rsid wsp:val=&quot;004C7792&quot;/&gt;&lt;wsp:rsid wsp:val=&quot;004C7CAB&quot;/&gt;&lt;wsp:rsid wsp:val=&quot;004D03D3&quot;/&gt;&lt;wsp:rsid wsp:val=&quot;004D0509&quot;/&gt;&lt;wsp:rsid wsp:val=&quot;004D1305&quot;/&gt;&lt;wsp:rsid wsp:val=&quot;004D1E68&quot;/&gt;&lt;wsp:rsid wsp:val=&quot;004D2966&quot;/&gt;&lt;wsp:rsid wsp:val=&quot;004D2B2B&quot;/&gt;&lt;wsp:rsid wsp:val=&quot;004D3489&quot;/&gt;&lt;wsp:rsid wsp:val=&quot;004D39F9&quot;/&gt;&lt;wsp:rsid wsp:val=&quot;004D455C&quot;/&gt;&lt;wsp:rsid wsp:val=&quot;004D479D&quot;/&gt;&lt;wsp:rsid wsp:val=&quot;004D4FE4&quot;/&gt;&lt;wsp:rsid wsp:val=&quot;004D52C1&quot;/&gt;&lt;wsp:rsid wsp:val=&quot;004D577A&quot;/&gt;&lt;wsp:rsid wsp:val=&quot;004D6282&quot;/&gt;&lt;wsp:rsid wsp:val=&quot;004D7101&quot;/&gt;&lt;wsp:rsid wsp:val=&quot;004D7304&quot;/&gt;&lt;wsp:rsid wsp:val=&quot;004D7473&quot;/&gt;&lt;wsp:rsid wsp:val=&quot;004E0A51&quot;/&gt;&lt;wsp:rsid wsp:val=&quot;004E0F2F&quot;/&gt;&lt;wsp:rsid wsp:val=&quot;004E126A&quot;/&gt;&lt;wsp:rsid wsp:val=&quot;004E1E95&quot;/&gt;&lt;wsp:rsid wsp:val=&quot;004E21B1&quot;/&gt;&lt;wsp:rsid wsp:val=&quot;004E28CF&quot;/&gt;&lt;wsp:rsid wsp:val=&quot;004E3644&quot;/&gt;&lt;wsp:rsid wsp:val=&quot;004E3679&quot;/&gt;&lt;wsp:rsid wsp:val=&quot;004E3920&quot;/&gt;&lt;wsp:rsid wsp:val=&quot;004E3E8A&quot;/&gt;&lt;wsp:rsid wsp:val=&quot;004E45D7&quot;/&gt;&lt;wsp:rsid wsp:val=&quot;004E589F&quot;/&gt;&lt;wsp:rsid wsp:val=&quot;004E5B3C&quot;/&gt;&lt;wsp:rsid wsp:val=&quot;004E6360&quot;/&gt;&lt;wsp:rsid wsp:val=&quot;004E6BA9&quot;/&gt;&lt;wsp:rsid wsp:val=&quot;004E6BCD&quot;/&gt;&lt;wsp:rsid wsp:val=&quot;004E720E&quot;/&gt;&lt;wsp:rsid wsp:val=&quot;004E72FC&quot;/&gt;&lt;wsp:rsid wsp:val=&quot;004E7337&quot;/&gt;&lt;wsp:rsid wsp:val=&quot;004E793E&quot;/&gt;&lt;wsp:rsid wsp:val=&quot;004F0556&quot;/&gt;&lt;wsp:rsid wsp:val=&quot;004F0D2B&quot;/&gt;&lt;wsp:rsid wsp:val=&quot;004F27F1&quot;/&gt;&lt;wsp:rsid wsp:val=&quot;004F2BCA&quot;/&gt;&lt;wsp:rsid wsp:val=&quot;004F2D93&quot;/&gt;&lt;wsp:rsid wsp:val=&quot;004F37CE&quot;/&gt;&lt;wsp:rsid wsp:val=&quot;004F3981&quot;/&gt;&lt;wsp:rsid wsp:val=&quot;004F3F8D&quot;/&gt;&lt;wsp:rsid wsp:val=&quot;004F3FCB&quot;/&gt;&lt;wsp:rsid wsp:val=&quot;004F45F2&quot;/&gt;&lt;wsp:rsid wsp:val=&quot;004F4849&quot;/&gt;&lt;wsp:rsid wsp:val=&quot;004F4DB3&quot;/&gt;&lt;wsp:rsid wsp:val=&quot;004F530E&quot;/&gt;&lt;wsp:rsid wsp:val=&quot;004F571A&quot;/&gt;&lt;wsp:rsid wsp:val=&quot;004F5829&quot;/&gt;&lt;wsp:rsid wsp:val=&quot;004F6710&quot;/&gt;&lt;wsp:rsid wsp:val=&quot;004F6D93&quot;/&gt;&lt;wsp:rsid wsp:val=&quot;004F700D&quot;/&gt;&lt;wsp:rsid wsp:val=&quot;004F71FE&quot;/&gt;&lt;wsp:rsid wsp:val=&quot;00500213&quot;/&gt;&lt;wsp:rsid wsp:val=&quot;00500F66&quot;/&gt;&lt;wsp:rsid wsp:val=&quot;005012D5&quot;/&gt;&lt;wsp:rsid wsp:val=&quot;00501736&quot;/&gt;&lt;wsp:rsid wsp:val=&quot;005025E8&quot;/&gt;&lt;wsp:rsid wsp:val=&quot;005027AA&quot;/&gt;&lt;wsp:rsid wsp:val=&quot;00502FBF&quot;/&gt;&lt;wsp:rsid wsp:val=&quot;005037B2&quot;/&gt;&lt;wsp:rsid wsp:val=&quot;005037B6&quot;/&gt;&lt;wsp:rsid wsp:val=&quot;00503901&quot;/&gt;&lt;wsp:rsid wsp:val=&quot;00504A0B&quot;/&gt;&lt;wsp:rsid wsp:val=&quot;005050B6&quot;/&gt;&lt;wsp:rsid wsp:val=&quot;00505303&quot;/&gt;&lt;wsp:rsid wsp:val=&quot;0050542A&quot;/&gt;&lt;wsp:rsid wsp:val=&quot;00505801&quot;/&gt;&lt;wsp:rsid wsp:val=&quot;00505E90&quot;/&gt;&lt;wsp:rsid wsp:val=&quot;00505EC9&quot;/&gt;&lt;wsp:rsid wsp:val=&quot;00506030&quot;/&gt;&lt;wsp:rsid wsp:val=&quot;0050609E&quot;/&gt;&lt;wsp:rsid wsp:val=&quot;0050678F&quot;/&gt;&lt;wsp:rsid wsp:val=&quot;00506F08&quot;/&gt;&lt;wsp:rsid wsp:val=&quot;00507990&quot;/&gt;&lt;wsp:rsid wsp:val=&quot;00507CC7&quot;/&gt;&lt;wsp:rsid wsp:val=&quot;00510395&quot;/&gt;&lt;wsp:rsid wsp:val=&quot;00510912&quot;/&gt;&lt;wsp:rsid wsp:val=&quot;00510C21&quot;/&gt;&lt;wsp:rsid wsp:val=&quot;00510EC7&quot;/&gt;&lt;wsp:rsid wsp:val=&quot;005110BF&quot;/&gt;&lt;wsp:rsid wsp:val=&quot;005119A8&quot;/&gt;&lt;wsp:rsid wsp:val=&quot;005119CF&quot;/&gt;&lt;wsp:rsid wsp:val=&quot;00511A7F&quot;/&gt;&lt;wsp:rsid wsp:val=&quot;00512956&quot;/&gt;&lt;wsp:rsid wsp:val=&quot;00512A86&quot;/&gt;&lt;wsp:rsid wsp:val=&quot;00512D26&quot;/&gt;&lt;wsp:rsid wsp:val=&quot;0051318A&quot;/&gt;&lt;wsp:rsid wsp:val=&quot;00513CDB&quot;/&gt;&lt;wsp:rsid wsp:val=&quot;00513D30&quot;/&gt;&lt;wsp:rsid wsp:val=&quot;00513DE7&quot;/&gt;&lt;wsp:rsid wsp:val=&quot;0051408F&quot;/&gt;&lt;wsp:rsid wsp:val=&quot;00514354&quot;/&gt;&lt;wsp:rsid wsp:val=&quot;0051437C&quot;/&gt;&lt;wsp:rsid wsp:val=&quot;005148B6&quot;/&gt;&lt;wsp:rsid wsp:val=&quot;00514C01&quot;/&gt;&lt;wsp:rsid wsp:val=&quot;00515548&quot;/&gt;&lt;wsp:rsid wsp:val=&quot;00515E44&quot;/&gt;&lt;wsp:rsid wsp:val=&quot;005175D4&quot;/&gt;&lt;wsp:rsid wsp:val=&quot;005208C0&quot;/&gt;&lt;wsp:rsid wsp:val=&quot;00520BAE&quot;/&gt;&lt;wsp:rsid wsp:val=&quot;00520DC1&quot;/&gt;&lt;wsp:rsid wsp:val=&quot;00520EF8&quot;/&gt;&lt;wsp:rsid wsp:val=&quot;00521662&quot;/&gt;&lt;wsp:rsid wsp:val=&quot;00523728&quot;/&gt;&lt;wsp:rsid wsp:val=&quot;00523BA8&quot;/&gt;&lt;wsp:rsid wsp:val=&quot;005247A6&quot;/&gt;&lt;wsp:rsid wsp:val=&quot;00524E3F&quot;/&gt;&lt;wsp:rsid wsp:val=&quot;00525421&quot;/&gt;&lt;wsp:rsid wsp:val=&quot;005257B5&quot;/&gt;&lt;wsp:rsid wsp:val=&quot;005257C6&quot;/&gt;&lt;wsp:rsid wsp:val=&quot;005264A7&quot;/&gt;&lt;wsp:rsid wsp:val=&quot;00526978&quot;/&gt;&lt;wsp:rsid wsp:val=&quot;00526C25&quot;/&gt;&lt;wsp:rsid wsp:val=&quot;0052723C&quot;/&gt;&lt;wsp:rsid wsp:val=&quot;0052742D&quot;/&gt;&lt;wsp:rsid wsp:val=&quot;005279E0&quot;/&gt;&lt;wsp:rsid wsp:val=&quot;00527F46&quot;/&gt;&lt;wsp:rsid wsp:val=&quot;00530344&quot;/&gt;&lt;wsp:rsid wsp:val=&quot;00530A20&quot;/&gt;&lt;wsp:rsid wsp:val=&quot;00531126&quot;/&gt;&lt;wsp:rsid wsp:val=&quot;00531C82&quot;/&gt;&lt;wsp:rsid wsp:val=&quot;00531F82&quot;/&gt;&lt;wsp:rsid wsp:val=&quot;00532408&quot;/&gt;&lt;wsp:rsid wsp:val=&quot;00533520&quot;/&gt;&lt;wsp:rsid wsp:val=&quot;00533876&quot;/&gt;&lt;wsp:rsid wsp:val=&quot;00533F81&quot;/&gt;&lt;wsp:rsid wsp:val=&quot;0053435B&quot;/&gt;&lt;wsp:rsid wsp:val=&quot;005360AC&quot;/&gt;&lt;wsp:rsid wsp:val=&quot;005377DD&quot;/&gt;&lt;wsp:rsid wsp:val=&quot;00540505&quot;/&gt;&lt;wsp:rsid wsp:val=&quot;00540886&quot;/&gt;&lt;wsp:rsid wsp:val=&quot;00540A08&quot;/&gt;&lt;wsp:rsid wsp:val=&quot;00540B65&quot;/&gt;&lt;wsp:rsid wsp:val=&quot;0054127D&quot;/&gt;&lt;wsp:rsid wsp:val=&quot;00541857&quot;/&gt;&lt;wsp:rsid wsp:val=&quot;005419E9&quot;/&gt;&lt;wsp:rsid wsp:val=&quot;0054252B&quot;/&gt;&lt;wsp:rsid wsp:val=&quot;005441A7&quot;/&gt;&lt;wsp:rsid wsp:val=&quot;005441C6&quot;/&gt;&lt;wsp:rsid wsp:val=&quot;0054452E&quot;/&gt;&lt;wsp:rsid wsp:val=&quot;00544CF4&quot;/&gt;&lt;wsp:rsid wsp:val=&quot;005468A3&quot;/&gt;&lt;wsp:rsid wsp:val=&quot;00547640&quot;/&gt;&lt;wsp:rsid wsp:val=&quot;00547881&quot;/&gt;&lt;wsp:rsid wsp:val=&quot;00547A87&quot;/&gt;&lt;wsp:rsid wsp:val=&quot;00547D94&quot;/&gt;&lt;wsp:rsid wsp:val=&quot;00551D27&quot;/&gt;&lt;wsp:rsid wsp:val=&quot;00551DA1&quot;/&gt;&lt;wsp:rsid wsp:val=&quot;005529F4&quot;/&gt;&lt;wsp:rsid wsp:val=&quot;005542C7&quot;/&gt;&lt;wsp:rsid wsp:val=&quot;00554301&quot;/&gt;&lt;wsp:rsid wsp:val=&quot;005549B1&quot;/&gt;&lt;wsp:rsid wsp:val=&quot;0055535C&quot;/&gt;&lt;wsp:rsid wsp:val=&quot;005563B9&quot;/&gt;&lt;wsp:rsid wsp:val=&quot;00556B8B&quot;/&gt;&lt;wsp:rsid wsp:val=&quot;00557BE6&quot;/&gt;&lt;wsp:rsid wsp:val=&quot;005601FD&quot;/&gt;&lt;wsp:rsid wsp:val=&quot;00560335&quot;/&gt;&lt;wsp:rsid wsp:val=&quot;00560685&quot;/&gt;&lt;wsp:rsid wsp:val=&quot;00561226&quot;/&gt;&lt;wsp:rsid wsp:val=&quot;00561BD0&quot;/&gt;&lt;wsp:rsid wsp:val=&quot;005622E8&quot;/&gt;&lt;wsp:rsid wsp:val=&quot;0056246F&quot;/&gt;&lt;wsp:rsid wsp:val=&quot;00562989&quot;/&gt;&lt;wsp:rsid wsp:val=&quot;00563349&quot;/&gt;&lt;wsp:rsid wsp:val=&quot;00563AC1&quot;/&gt;&lt;wsp:rsid wsp:val=&quot;00563B38&quot;/&gt;&lt;wsp:rsid wsp:val=&quot;00564649&quot;/&gt;&lt;wsp:rsid wsp:val=&quot;005651A5&quot;/&gt;&lt;wsp:rsid wsp:val=&quot;00565E04&quot;/&gt;&lt;wsp:rsid wsp:val=&quot;00565FDE&quot;/&gt;&lt;wsp:rsid wsp:val=&quot;005669D8&quot;/&gt;&lt;wsp:rsid wsp:val=&quot;00566C51&quot;/&gt;&lt;wsp:rsid wsp:val=&quot;00567619&quot;/&gt;&lt;wsp:rsid wsp:val=&quot;00570A40&quot;/&gt;&lt;wsp:rsid wsp:val=&quot;00570F51&quot;/&gt;&lt;wsp:rsid wsp:val=&quot;005710DE&quot;/&gt;&lt;wsp:rsid wsp:val=&quot;00571695&quot;/&gt;&lt;wsp:rsid wsp:val=&quot;00571F6A&quot;/&gt;&lt;wsp:rsid wsp:val=&quot;005724E0&quot;/&gt;&lt;wsp:rsid wsp:val=&quot;00573D4A&quot;/&gt;&lt;wsp:rsid wsp:val=&quot;00574BAC&quot;/&gt;&lt;wsp:rsid wsp:val=&quot;00575305&quot;/&gt;&lt;wsp:rsid wsp:val=&quot;00575511&quot;/&gt;&lt;wsp:rsid wsp:val=&quot;005768CB&quot;/&gt;&lt;wsp:rsid wsp:val=&quot;00576D81&quot;/&gt;&lt;wsp:rsid wsp:val=&quot;005773FB&quot;/&gt;&lt;wsp:rsid wsp:val=&quot;00580BF3&quot;/&gt;&lt;wsp:rsid wsp:val=&quot;00581571&quot;/&gt;&lt;wsp:rsid wsp:val=&quot;00581913&quot;/&gt;&lt;wsp:rsid wsp:val=&quot;005829C2&quot;/&gt;&lt;wsp:rsid wsp:val=&quot;00582ABF&quot;/&gt;&lt;wsp:rsid wsp:val=&quot;00582DF8&quot;/&gt;&lt;wsp:rsid wsp:val=&quot;00582EBB&quot;/&gt;&lt;wsp:rsid wsp:val=&quot;00582EFE&quot;/&gt;&lt;wsp:rsid wsp:val=&quot;00583332&quot;/&gt;&lt;wsp:rsid wsp:val=&quot;00584167&quot;/&gt;&lt;wsp:rsid wsp:val=&quot;00584471&quot;/&gt;&lt;wsp:rsid wsp:val=&quot;005844FD&quot;/&gt;&lt;wsp:rsid wsp:val=&quot;00584598&quot;/&gt;&lt;wsp:rsid wsp:val=&quot;00585225&quot;/&gt;&lt;wsp:rsid wsp:val=&quot;005854A3&quot;/&gt;&lt;wsp:rsid wsp:val=&quot;00585BAC&quot;/&gt;&lt;wsp:rsid wsp:val=&quot;00585C7C&quot;/&gt;&lt;wsp:rsid wsp:val=&quot;00585F2D&quot;/&gt;&lt;wsp:rsid wsp:val=&quot;0058689C&quot;/&gt;&lt;wsp:rsid wsp:val=&quot;00586D0D&quot;/&gt;&lt;wsp:rsid wsp:val=&quot;005876E1&quot;/&gt;&lt;wsp:rsid wsp:val=&quot;00587945&quot;/&gt;&lt;wsp:rsid wsp:val=&quot;00590AB1&quot;/&gt;&lt;wsp:rsid wsp:val=&quot;00590D3C&quot;/&gt;&lt;wsp:rsid wsp:val=&quot;00591373&quot;/&gt;&lt;wsp:rsid wsp:val=&quot;0059187F&quot;/&gt;&lt;wsp:rsid wsp:val=&quot;005924A9&quot;/&gt;&lt;wsp:rsid wsp:val=&quot;0059252B&quot;/&gt;&lt;wsp:rsid wsp:val=&quot;00592582&quot;/&gt;&lt;wsp:rsid wsp:val=&quot;00593D06&quot;/&gt;&lt;wsp:rsid wsp:val=&quot;00593D3F&quot;/&gt;&lt;wsp:rsid wsp:val=&quot;00594021&quot;/&gt;&lt;wsp:rsid wsp:val=&quot;00594081&quot;/&gt;&lt;wsp:rsid wsp:val=&quot;005946C4&quot;/&gt;&lt;wsp:rsid wsp:val=&quot;00594D49&quot;/&gt;&lt;wsp:rsid wsp:val=&quot;00595150&quot;/&gt;&lt;wsp:rsid wsp:val=&quot;0059523F&quot;/&gt;&lt;wsp:rsid wsp:val=&quot;005956F3&quot;/&gt;&lt;wsp:rsid wsp:val=&quot;00596FFC&quot;/&gt;&lt;wsp:rsid wsp:val=&quot;005A0413&quot;/&gt;&lt;wsp:rsid wsp:val=&quot;005A0B44&quot;/&gt;&lt;wsp:rsid wsp:val=&quot;005A1783&quot;/&gt;&lt;wsp:rsid wsp:val=&quot;005A1936&quot;/&gt;&lt;wsp:rsid wsp:val=&quot;005A1E12&quot;/&gt;&lt;wsp:rsid wsp:val=&quot;005A26CB&quot;/&gt;&lt;wsp:rsid wsp:val=&quot;005A3FA4&quot;/&gt;&lt;wsp:rsid wsp:val=&quot;005A4A47&quot;/&gt;&lt;wsp:rsid wsp:val=&quot;005A4F42&quot;/&gt;&lt;wsp:rsid wsp:val=&quot;005A544A&quot;/&gt;&lt;wsp:rsid wsp:val=&quot;005A62E2&quot;/&gt;&lt;wsp:rsid wsp:val=&quot;005A6320&quot;/&gt;&lt;wsp:rsid wsp:val=&quot;005A646E&quot;/&gt;&lt;wsp:rsid wsp:val=&quot;005A64E8&quot;/&gt;&lt;wsp:rsid wsp:val=&quot;005A67B8&quot;/&gt;&lt;wsp:rsid wsp:val=&quot;005A6BE7&quot;/&gt;&lt;wsp:rsid wsp:val=&quot;005A78E1&quot;/&gt;&lt;wsp:rsid wsp:val=&quot;005B00C1&quot;/&gt;&lt;wsp:rsid wsp:val=&quot;005B015C&quot;/&gt;&lt;wsp:rsid wsp:val=&quot;005B0D3D&quot;/&gt;&lt;wsp:rsid wsp:val=&quot;005B0FEB&quot;/&gt;&lt;wsp:rsid wsp:val=&quot;005B11CC&quot;/&gt;&lt;wsp:rsid wsp:val=&quot;005B1217&quot;/&gt;&lt;wsp:rsid wsp:val=&quot;005B1497&quot;/&gt;&lt;wsp:rsid wsp:val=&quot;005B191D&quot;/&gt;&lt;wsp:rsid wsp:val=&quot;005B1D86&quot;/&gt;&lt;wsp:rsid wsp:val=&quot;005B3F57&quot;/&gt;&lt;wsp:rsid wsp:val=&quot;005B4370&quot;/&gt;&lt;wsp:rsid wsp:val=&quot;005B43B0&quot;/&gt;&lt;wsp:rsid wsp:val=&quot;005B4ECC&quot;/&gt;&lt;wsp:rsid wsp:val=&quot;005B537E&quot;/&gt;&lt;wsp:rsid wsp:val=&quot;005B59D0&quot;/&gt;&lt;wsp:rsid wsp:val=&quot;005B6E59&quot;/&gt;&lt;wsp:rsid wsp:val=&quot;005C0AE0&quot;/&gt;&lt;wsp:rsid wsp:val=&quot;005C2202&quot;/&gt;&lt;wsp:rsid wsp:val=&quot;005C26B6&quot;/&gt;&lt;wsp:rsid wsp:val=&quot;005C2BA1&quot;/&gt;&lt;wsp:rsid wsp:val=&quot;005C2FC6&quot;/&gt;&lt;wsp:rsid wsp:val=&quot;005C3AF6&quot;/&gt;&lt;wsp:rsid wsp:val=&quot;005C45E7&quot;/&gt;&lt;wsp:rsid wsp:val=&quot;005C4671&quot;/&gt;&lt;wsp:rsid wsp:val=&quot;005C58EB&quot;/&gt;&lt;wsp:rsid wsp:val=&quot;005C5F21&quot;/&gt;&lt;wsp:rsid wsp:val=&quot;005C62D4&quot;/&gt;&lt;wsp:rsid wsp:val=&quot;005C6B6F&quot;/&gt;&lt;wsp:rsid wsp:val=&quot;005C6F01&quot;/&gt;&lt;wsp:rsid wsp:val=&quot;005C7239&quot;/&gt;&lt;wsp:rsid wsp:val=&quot;005C75B2&quot;/&gt;&lt;wsp:rsid wsp:val=&quot;005C784A&quot;/&gt;&lt;wsp:rsid wsp:val=&quot;005D00C1&quot;/&gt;&lt;wsp:rsid wsp:val=&quot;005D19DF&quot;/&gt;&lt;wsp:rsid wsp:val=&quot;005D1F57&quot;/&gt;&lt;wsp:rsid wsp:val=&quot;005D2C03&quot;/&gt;&lt;wsp:rsid wsp:val=&quot;005D3562&quot;/&gt;&lt;wsp:rsid wsp:val=&quot;005D38C7&quot;/&gt;&lt;wsp:rsid wsp:val=&quot;005D3B89&quot;/&gt;&lt;wsp:rsid wsp:val=&quot;005D3C8A&quot;/&gt;&lt;wsp:rsid wsp:val=&quot;005D661F&quot;/&gt;&lt;wsp:rsid wsp:val=&quot;005D6943&quot;/&gt;&lt;wsp:rsid wsp:val=&quot;005E024F&quot;/&gt;&lt;wsp:rsid wsp:val=&quot;005E04A3&quot;/&gt;&lt;wsp:rsid wsp:val=&quot;005E0F8D&quot;/&gt;&lt;wsp:rsid wsp:val=&quot;005E18B1&quot;/&gt;&lt;wsp:rsid wsp:val=&quot;005E1E85&quot;/&gt;&lt;wsp:rsid wsp:val=&quot;005E2560&quot;/&gt;&lt;wsp:rsid wsp:val=&quot;005E2D39&quot;/&gt;&lt;wsp:rsid wsp:val=&quot;005E3012&quot;/&gt;&lt;wsp:rsid wsp:val=&quot;005E3CFE&quot;/&gt;&lt;wsp:rsid wsp:val=&quot;005E45DE&quot;/&gt;&lt;wsp:rsid wsp:val=&quot;005E4966&quot;/&gt;&lt;wsp:rsid wsp:val=&quot;005E516D&quot;/&gt;&lt;wsp:rsid wsp:val=&quot;005E559F&quot;/&gt;&lt;wsp:rsid wsp:val=&quot;005E593B&quot;/&gt;&lt;wsp:rsid wsp:val=&quot;005E6153&quot;/&gt;&lt;wsp:rsid wsp:val=&quot;005E61CF&quot;/&gt;&lt;wsp:rsid wsp:val=&quot;005E6AEC&quot;/&gt;&lt;wsp:rsid wsp:val=&quot;005E6C7A&quot;/&gt;&lt;wsp:rsid wsp:val=&quot;005F0474&quot;/&gt;&lt;wsp:rsid wsp:val=&quot;005F1795&quot;/&gt;&lt;wsp:rsid wsp:val=&quot;005F1C13&quot;/&gt;&lt;wsp:rsid wsp:val=&quot;005F1F5A&quot;/&gt;&lt;wsp:rsid wsp:val=&quot;005F2824&quot;/&gt;&lt;wsp:rsid wsp:val=&quot;005F384F&quot;/&gt;&lt;wsp:rsid wsp:val=&quot;005F49C1&quot;/&gt;&lt;wsp:rsid wsp:val=&quot;005F4B16&quot;/&gt;&lt;wsp:rsid wsp:val=&quot;005F4EF7&quot;/&gt;&lt;wsp:rsid wsp:val=&quot;005F559F&quot;/&gt;&lt;wsp:rsid wsp:val=&quot;005F564D&quot;/&gt;&lt;wsp:rsid wsp:val=&quot;005F5AD5&quot;/&gt;&lt;wsp:rsid wsp:val=&quot;005F61F3&quot;/&gt;&lt;wsp:rsid wsp:val=&quot;005F7C89&quot;/&gt;&lt;wsp:rsid wsp:val=&quot;0060018C&quot;/&gt;&lt;wsp:rsid wsp:val=&quot;006004A9&quot;/&gt;&lt;wsp:rsid wsp:val=&quot;006009C1&quot;/&gt;&lt;wsp:rsid wsp:val=&quot;00600EE8&quot;/&gt;&lt;wsp:rsid wsp:val=&quot;00601655&quot;/&gt;&lt;wsp:rsid wsp:val=&quot;006021B0&quot;/&gt;&lt;wsp:rsid wsp:val=&quot;00602205&quot;/&gt;&lt;wsp:rsid wsp:val=&quot;006052CC&quot;/&gt;&lt;wsp:rsid wsp:val=&quot;006055F5&quot;/&gt;&lt;wsp:rsid wsp:val=&quot;0060605D&quot;/&gt;&lt;wsp:rsid wsp:val=&quot;00606128&quot;/&gt;&lt;wsp:rsid wsp:val=&quot;006065CF&quot;/&gt;&lt;wsp:rsid wsp:val=&quot;00606750&quot;/&gt;&lt;wsp:rsid wsp:val=&quot;0060759B&quot;/&gt;&lt;wsp:rsid wsp:val=&quot;006078D1&quot;/&gt;&lt;wsp:rsid wsp:val=&quot;00607DB3&quot;/&gt;&lt;wsp:rsid wsp:val=&quot;00610288&quot;/&gt;&lt;wsp:rsid wsp:val=&quot;006114B5&quot;/&gt;&lt;wsp:rsid wsp:val=&quot;00611A35&quot;/&gt;&lt;wsp:rsid wsp:val=&quot;00611B99&quot;/&gt;&lt;wsp:rsid wsp:val=&quot;00611C24&quot;/&gt;&lt;wsp:rsid wsp:val=&quot;00611E74&quot;/&gt;&lt;wsp:rsid wsp:val=&quot;00613E49&quot;/&gt;&lt;wsp:rsid wsp:val=&quot;00613EE3&quot;/&gt;&lt;wsp:rsid wsp:val=&quot;006155F5&quot;/&gt;&lt;wsp:rsid wsp:val=&quot;00615607&quot;/&gt;&lt;wsp:rsid wsp:val=&quot;00615A14&quot;/&gt;&lt;wsp:rsid wsp:val=&quot;006160B1&quot;/&gt;&lt;wsp:rsid wsp:val=&quot;006160B3&quot;/&gt;&lt;wsp:rsid wsp:val=&quot;00616E66&quot;/&gt;&lt;wsp:rsid wsp:val=&quot;00617735&quot;/&gt;&lt;wsp:rsid wsp:val=&quot;0061788E&quot;/&gt;&lt;wsp:rsid wsp:val=&quot;00621515&quot;/&gt;&lt;wsp:rsid wsp:val=&quot;006219E6&quot;/&gt;&lt;wsp:rsid wsp:val=&quot;0062217D&quot;/&gt;&lt;wsp:rsid wsp:val=&quot;00622304&quot;/&gt;&lt;wsp:rsid wsp:val=&quot;006225FC&quot;/&gt;&lt;wsp:rsid wsp:val=&quot;00623469&quot;/&gt;&lt;wsp:rsid wsp:val=&quot;006238A2&quot;/&gt;&lt;wsp:rsid wsp:val=&quot;00623BDD&quot;/&gt;&lt;wsp:rsid wsp:val=&quot;00624591&quot;/&gt;&lt;wsp:rsid wsp:val=&quot;00624D36&quot;/&gt;&lt;wsp:rsid wsp:val=&quot;00624EEC&quot;/&gt;&lt;wsp:rsid wsp:val=&quot;00625DE4&quot;/&gt;&lt;wsp:rsid wsp:val=&quot;00626E7A&quot;/&gt;&lt;wsp:rsid wsp:val=&quot;00627333&quot;/&gt;&lt;wsp:rsid wsp:val=&quot;006274FF&quot;/&gt;&lt;wsp:rsid wsp:val=&quot;00627AD0&quot;/&gt;&lt;wsp:rsid wsp:val=&quot;00627D0C&quot;/&gt;&lt;wsp:rsid wsp:val=&quot;00630353&quot;/&gt;&lt;wsp:rsid wsp:val=&quot;0063074C&quot;/&gt;&lt;wsp:rsid wsp:val=&quot;0063080C&quot;/&gt;&lt;wsp:rsid wsp:val=&quot;00630AB7&quot;/&gt;&lt;wsp:rsid wsp:val=&quot;00631B0E&quot;/&gt;&lt;wsp:rsid wsp:val=&quot;0063224B&quot;/&gt;&lt;wsp:rsid wsp:val=&quot;00632881&quot;/&gt;&lt;wsp:rsid wsp:val=&quot;006328B5&quot;/&gt;&lt;wsp:rsid wsp:val=&quot;00633247&quot;/&gt;&lt;wsp:rsid wsp:val=&quot;00633423&quot;/&gt;&lt;wsp:rsid wsp:val=&quot;0063360A&quot;/&gt;&lt;wsp:rsid wsp:val=&quot;006339F5&quot;/&gt;&lt;wsp:rsid wsp:val=&quot;00633F98&quot;/&gt;&lt;wsp:rsid wsp:val=&quot;00634488&quot;/&gt;&lt;wsp:rsid wsp:val=&quot;00634F95&quot;/&gt;&lt;wsp:rsid wsp:val=&quot;0063588B&quot;/&gt;&lt;wsp:rsid wsp:val=&quot;00637BD4&quot;/&gt;&lt;wsp:rsid wsp:val=&quot;00640055&quot;/&gt;&lt;wsp:rsid wsp:val=&quot;006401BB&quot;/&gt;&lt;wsp:rsid wsp:val=&quot;006414FB&quot;/&gt;&lt;wsp:rsid wsp:val=&quot;00641965&quot;/&gt;&lt;wsp:rsid wsp:val=&quot;00641DE7&quot;/&gt;&lt;wsp:rsid wsp:val=&quot;006429C6&quot;/&gt;&lt;wsp:rsid wsp:val=&quot;00642C2A&quot;/&gt;&lt;wsp:rsid wsp:val=&quot;00642E4F&quot;/&gt;&lt;wsp:rsid wsp:val=&quot;00642FF9&quot;/&gt;&lt;wsp:rsid wsp:val=&quot;0064331E&quot;/&gt;&lt;wsp:rsid wsp:val=&quot;00643A0D&quot;/&gt;&lt;wsp:rsid wsp:val=&quot;00643A25&quot;/&gt;&lt;wsp:rsid wsp:val=&quot;00643DEC&quot;/&gt;&lt;wsp:rsid wsp:val=&quot;006445BE&quot;/&gt;&lt;wsp:rsid wsp:val=&quot;0064494B&quot;/&gt;&lt;wsp:rsid wsp:val=&quot;00644F50&quot;/&gt;&lt;wsp:rsid wsp:val=&quot;0064510F&quot;/&gt;&lt;wsp:rsid wsp:val=&quot;00645ADC&quot;/&gt;&lt;wsp:rsid wsp:val=&quot;00645E56&quot;/&gt;&lt;wsp:rsid wsp:val=&quot;0064642C&quot;/&gt;&lt;wsp:rsid wsp:val=&quot;00646840&quot;/&gt;&lt;wsp:rsid wsp:val=&quot;00646874&quot;/&gt;&lt;wsp:rsid wsp:val=&quot;00646CC0&quot;/&gt;&lt;wsp:rsid wsp:val=&quot;00647292&quot;/&gt;&lt;wsp:rsid wsp:val=&quot;006479E3&quot;/&gt;&lt;wsp:rsid wsp:val=&quot;00647D5B&quot;/&gt;&lt;wsp:rsid wsp:val=&quot;006500C3&quot;/&gt;&lt;wsp:rsid wsp:val=&quot;00650247&quot;/&gt;&lt;wsp:rsid wsp:val=&quot;00650688&quot;/&gt;&lt;wsp:rsid wsp:val=&quot;00650EDD&quot;/&gt;&lt;wsp:rsid wsp:val=&quot;00651D3F&quot;/&gt;&lt;wsp:rsid wsp:val=&quot;006523FC&quot;/&gt;&lt;wsp:rsid wsp:val=&quot;00652A55&quot;/&gt;&lt;wsp:rsid wsp:val=&quot;00652FF6&quot;/&gt;&lt;wsp:rsid wsp:val=&quot;00653012&quot;/&gt;&lt;wsp:rsid wsp:val=&quot;00653E10&quot;/&gt;&lt;wsp:rsid wsp:val=&quot;006543B1&quot;/&gt;&lt;wsp:rsid wsp:val=&quot;00654DA3&quot;/&gt;&lt;wsp:rsid wsp:val=&quot;00655260&quot;/&gt;&lt;wsp:rsid wsp:val=&quot;00656205&quot;/&gt;&lt;wsp:rsid wsp:val=&quot;00660341&quot;/&gt;&lt;wsp:rsid wsp:val=&quot;00660B0B&quot;/&gt;&lt;wsp:rsid wsp:val=&quot;00660CB9&quot;/&gt;&lt;wsp:rsid wsp:val=&quot;0066153A&quot;/&gt;&lt;wsp:rsid wsp:val=&quot;00661B67&quot;/&gt;&lt;wsp:rsid wsp:val=&quot;00661DC9&quot;/&gt;&lt;wsp:rsid wsp:val=&quot;006622A3&quot;/&gt;&lt;wsp:rsid wsp:val=&quot;006628CF&quot;/&gt;&lt;wsp:rsid wsp:val=&quot;00662AF8&quot;/&gt;&lt;wsp:rsid wsp:val=&quot;006639B6&quot;/&gt;&lt;wsp:rsid wsp:val=&quot;00663B90&quot;/&gt;&lt;wsp:rsid wsp:val=&quot;00663BE5&quot;/&gt;&lt;wsp:rsid wsp:val=&quot;00663C99&quot;/&gt;&lt;wsp:rsid wsp:val=&quot;006643BE&quot;/&gt;&lt;wsp:rsid wsp:val=&quot;00665201&quot;/&gt;&lt;wsp:rsid wsp:val=&quot;006652B1&quot;/&gt;&lt;wsp:rsid wsp:val=&quot;00665AEC&quot;/&gt;&lt;wsp:rsid wsp:val=&quot;00666320&quot;/&gt;&lt;wsp:rsid wsp:val=&quot;0066638E&quot;/&gt;&lt;wsp:rsid wsp:val=&quot;00666ED1&quot;/&gt;&lt;wsp:rsid wsp:val=&quot;0066726F&quot;/&gt;&lt;wsp:rsid wsp:val=&quot;006678F6&quot;/&gt;&lt;wsp:rsid wsp:val=&quot;006701FA&quot;/&gt;&lt;wsp:rsid wsp:val=&quot;00670A85&quot;/&gt;&lt;wsp:rsid wsp:val=&quot;00671BFA&quot;/&gt;&lt;wsp:rsid wsp:val=&quot;006720CE&quot;/&gt;&lt;wsp:rsid wsp:val=&quot;0067247E&quot;/&gt;&lt;wsp:rsid wsp:val=&quot;00672521&quot;/&gt;&lt;wsp:rsid wsp:val=&quot;00672600&quot;/&gt;&lt;wsp:rsid wsp:val=&quot;00672805&quot;/&gt;&lt;wsp:rsid wsp:val=&quot;006730E3&quot;/&gt;&lt;wsp:rsid wsp:val=&quot;00674802&quot;/&gt;&lt;wsp:rsid wsp:val=&quot;00674FA2&quot;/&gt;&lt;wsp:rsid wsp:val=&quot;00675DBF&quot;/&gt;&lt;wsp:rsid wsp:val=&quot;006760B5&quot;/&gt;&lt;wsp:rsid wsp:val=&quot;0067623B&quot;/&gt;&lt;wsp:rsid wsp:val=&quot;0067667A&quot;/&gt;&lt;wsp:rsid wsp:val=&quot;006769D6&quot;/&gt;&lt;wsp:rsid wsp:val=&quot;006770A8&quot;/&gt;&lt;wsp:rsid wsp:val=&quot;00677AC6&quot;/&gt;&lt;wsp:rsid wsp:val=&quot;00680D82&quot;/&gt;&lt;wsp:rsid wsp:val=&quot;00680FB9&quot;/&gt;&lt;wsp:rsid wsp:val=&quot;00682414&quot;/&gt;&lt;wsp:rsid wsp:val=&quot;0068296F&quot;/&gt;&lt;wsp:rsid wsp:val=&quot;00683044&quot;/&gt;&lt;wsp:rsid wsp:val=&quot;00684189&quot;/&gt;&lt;wsp:rsid wsp:val=&quot;00684272&quot;/&gt;&lt;wsp:rsid wsp:val=&quot;0068480A&quot;/&gt;&lt;wsp:rsid wsp:val=&quot;00685C22&quot;/&gt;&lt;wsp:rsid wsp:val=&quot;006860D8&quot;/&gt;&lt;wsp:rsid wsp:val=&quot;006869D0&quot;/&gt;&lt;wsp:rsid wsp:val=&quot;00686B81&quot;/&gt;&lt;wsp:rsid wsp:val=&quot;00686BF7&quot;/&gt;&lt;wsp:rsid wsp:val=&quot;00687EF9&quot;/&gt;&lt;wsp:rsid wsp:val=&quot;006905DE&quot;/&gt;&lt;wsp:rsid wsp:val=&quot;0069086B&quot;/&gt;&lt;wsp:rsid wsp:val=&quot;00690DBA&quot;/&gt;&lt;wsp:rsid wsp:val=&quot;00690F86&quot;/&gt;&lt;wsp:rsid wsp:val=&quot;006916C4&quot;/&gt;&lt;wsp:rsid wsp:val=&quot;006920B5&quot;/&gt;&lt;wsp:rsid wsp:val=&quot;00692316&quot;/&gt;&lt;wsp:rsid wsp:val=&quot;006923C1&quot;/&gt;&lt;wsp:rsid wsp:val=&quot;00692E00&quot;/&gt;&lt;wsp:rsid wsp:val=&quot;006934D2&quot;/&gt;&lt;wsp:rsid wsp:val=&quot;0069420E&quot;/&gt;&lt;wsp:rsid wsp:val=&quot;00694B86&quot;/&gt;&lt;wsp:rsid wsp:val=&quot;00694D58&quot;/&gt;&lt;wsp:rsid wsp:val=&quot;00694EFD&quot;/&gt;&lt;wsp:rsid wsp:val=&quot;006950D1&quot;/&gt;&lt;wsp:rsid wsp:val=&quot;00697A3A&quot;/&gt;&lt;wsp:rsid wsp:val=&quot;006A0540&quot;/&gt;&lt;wsp:rsid wsp:val=&quot;006A0CD8&quot;/&gt;&lt;wsp:rsid wsp:val=&quot;006A0E8C&quot;/&gt;&lt;wsp:rsid wsp:val=&quot;006A143D&quot;/&gt;&lt;wsp:rsid wsp:val=&quot;006A1580&quot;/&gt;&lt;wsp:rsid wsp:val=&quot;006A29F4&quot;/&gt;&lt;wsp:rsid wsp:val=&quot;006A2A2C&quot;/&gt;&lt;wsp:rsid wsp:val=&quot;006A2A66&quot;/&gt;&lt;wsp:rsid wsp:val=&quot;006A38D6&quot;/&gt;&lt;wsp:rsid wsp:val=&quot;006A3EAD&quot;/&gt;&lt;wsp:rsid wsp:val=&quot;006A507A&quot;/&gt;&lt;wsp:rsid wsp:val=&quot;006A5141&quot;/&gt;&lt;wsp:rsid wsp:val=&quot;006A5841&quot;/&gt;&lt;wsp:rsid wsp:val=&quot;006A5B5F&quot;/&gt;&lt;wsp:rsid wsp:val=&quot;006A6521&quot;/&gt;&lt;wsp:rsid wsp:val=&quot;006B05E6&quot;/&gt;&lt;wsp:rsid wsp:val=&quot;006B0966&quot;/&gt;&lt;wsp:rsid wsp:val=&quot;006B0FA2&quot;/&gt;&lt;wsp:rsid wsp:val=&quot;006B15E7&quot;/&gt;&lt;wsp:rsid wsp:val=&quot;006B165C&quot;/&gt;&lt;wsp:rsid wsp:val=&quot;006B25F7&quot;/&gt;&lt;wsp:rsid wsp:val=&quot;006B27A9&quot;/&gt;&lt;wsp:rsid wsp:val=&quot;006B2807&quot;/&gt;&lt;wsp:rsid wsp:val=&quot;006B28AF&quot;/&gt;&lt;wsp:rsid wsp:val=&quot;006B3242&quot;/&gt;&lt;wsp:rsid wsp:val=&quot;006B3B0A&quot;/&gt;&lt;wsp:rsid wsp:val=&quot;006B40E8&quot;/&gt;&lt;wsp:rsid wsp:val=&quot;006B5069&quot;/&gt;&lt;wsp:rsid wsp:val=&quot;006B5B5D&quot;/&gt;&lt;wsp:rsid wsp:val=&quot;006B6FAC&quot;/&gt;&lt;wsp:rsid wsp:val=&quot;006B771C&quot;/&gt;&lt;wsp:rsid wsp:val=&quot;006B7E27&quot;/&gt;&lt;wsp:rsid wsp:val=&quot;006B7F39&quot;/&gt;&lt;wsp:rsid wsp:val=&quot;006C0283&quot;/&gt;&lt;wsp:rsid wsp:val=&quot;006C058F&quot;/&gt;&lt;wsp:rsid wsp:val=&quot;006C1D74&quot;/&gt;&lt;wsp:rsid wsp:val=&quot;006C2400&quot;/&gt;&lt;wsp:rsid wsp:val=&quot;006C2E09&quot;/&gt;&lt;wsp:rsid wsp:val=&quot;006C5E5C&quot;/&gt;&lt;wsp:rsid wsp:val=&quot;006C726E&quot;/&gt;&lt;wsp:rsid wsp:val=&quot;006C75EE&quot;/&gt;&lt;wsp:rsid wsp:val=&quot;006C7D7C&quot;/&gt;&lt;wsp:rsid wsp:val=&quot;006D0255&quot;/&gt;&lt;wsp:rsid wsp:val=&quot;006D0B91&quot;/&gt;&lt;wsp:rsid wsp:val=&quot;006D2B4D&quot;/&gt;&lt;wsp:rsid wsp:val=&quot;006D34D8&quot;/&gt;&lt;wsp:rsid wsp:val=&quot;006D3988&quot;/&gt;&lt;wsp:rsid wsp:val=&quot;006D3ADF&quot;/&gt;&lt;wsp:rsid wsp:val=&quot;006D3CFE&quot;/&gt;&lt;wsp:rsid wsp:val=&quot;006D5481&quot;/&gt;&lt;wsp:rsid wsp:val=&quot;006D5A5D&quot;/&gt;&lt;wsp:rsid wsp:val=&quot;006D5B9C&quot;/&gt;&lt;wsp:rsid wsp:val=&quot;006D62A8&quot;/&gt;&lt;wsp:rsid wsp:val=&quot;006D64DD&quot;/&gt;&lt;wsp:rsid wsp:val=&quot;006D7451&quot;/&gt;&lt;wsp:rsid wsp:val=&quot;006D7548&quot;/&gt;&lt;wsp:rsid wsp:val=&quot;006D7D9D&quot;/&gt;&lt;wsp:rsid wsp:val=&quot;006E023D&quot;/&gt;&lt;wsp:rsid wsp:val=&quot;006E0927&quot;/&gt;&lt;wsp:rsid wsp:val=&quot;006E128B&quot;/&gt;&lt;wsp:rsid wsp:val=&quot;006E13BD&quot;/&gt;&lt;wsp:rsid wsp:val=&quot;006E186A&quot;/&gt;&lt;wsp:rsid wsp:val=&quot;006E2634&quot;/&gt;&lt;wsp:rsid wsp:val=&quot;006E29F5&quot;/&gt;&lt;wsp:rsid wsp:val=&quot;006E2C72&quot;/&gt;&lt;wsp:rsid wsp:val=&quot;006E3728&quot;/&gt;&lt;wsp:rsid wsp:val=&quot;006E416E&quot;/&gt;&lt;wsp:rsid wsp:val=&quot;006E43CE&quot;/&gt;&lt;wsp:rsid wsp:val=&quot;006E5AE1&quot;/&gt;&lt;wsp:rsid wsp:val=&quot;006E5DB7&quot;/&gt;&lt;wsp:rsid wsp:val=&quot;006E6A1B&quot;/&gt;&lt;wsp:rsid wsp:val=&quot;006E7DDF&quot;/&gt;&lt;wsp:rsid wsp:val=&quot;006F0550&quot;/&gt;&lt;wsp:rsid wsp:val=&quot;006F073C&quot;/&gt;&lt;wsp:rsid wsp:val=&quot;006F0D88&quot;/&gt;&lt;wsp:rsid wsp:val=&quot;006F1162&quot;/&gt;&lt;wsp:rsid wsp:val=&quot;006F1BD2&quot;/&gt;&lt;wsp:rsid wsp:val=&quot;006F225E&quot;/&gt;&lt;wsp:rsid wsp:val=&quot;006F3607&quot;/&gt;&lt;wsp:rsid wsp:val=&quot;006F3B01&quot;/&gt;&lt;wsp:rsid wsp:val=&quot;006F4C3F&quot;/&gt;&lt;wsp:rsid wsp:val=&quot;006F5233&quot;/&gt;&lt;wsp:rsid wsp:val=&quot;006F54EC&quot;/&gt;&lt;wsp:rsid wsp:val=&quot;006F5AB0&quot;/&gt;&lt;wsp:rsid wsp:val=&quot;006F7898&quot;/&gt;&lt;wsp:rsid wsp:val=&quot;00701159&quot;/&gt;&lt;wsp:rsid wsp:val=&quot;00701BC7&quot;/&gt;&lt;wsp:rsid wsp:val=&quot;00702676&quot;/&gt;&lt;wsp:rsid wsp:val=&quot;00702794&quot;/&gt;&lt;wsp:rsid wsp:val=&quot;007027E1&quot;/&gt;&lt;wsp:rsid wsp:val=&quot;00703130&quot;/&gt;&lt;wsp:rsid wsp:val=&quot;0070361A&quot;/&gt;&lt;wsp:rsid wsp:val=&quot;007042BC&quot;/&gt;&lt;wsp:rsid wsp:val=&quot;007046F9&quot;/&gt;&lt;wsp:rsid wsp:val=&quot;00704AB6&quot;/&gt;&lt;wsp:rsid wsp:val=&quot;00704BD6&quot;/&gt;&lt;wsp:rsid wsp:val=&quot;00706220&quot;/&gt;&lt;wsp:rsid wsp:val=&quot;00706A2F&quot;/&gt;&lt;wsp:rsid wsp:val=&quot;00707D83&quot;/&gt;&lt;wsp:rsid wsp:val=&quot;00707F03&quot;/&gt;&lt;wsp:rsid wsp:val=&quot;0071051C&quot;/&gt;&lt;wsp:rsid wsp:val=&quot;00711D24&quot;/&gt;&lt;wsp:rsid wsp:val=&quot;007146FA&quot;/&gt;&lt;wsp:rsid wsp:val=&quot;007147BA&quot;/&gt;&lt;wsp:rsid wsp:val=&quot;00714E16&quot;/&gt;&lt;wsp:rsid wsp:val=&quot;00714E70&quot;/&gt;&lt;wsp:rsid wsp:val=&quot;00714FE2&quot;/&gt;&lt;wsp:rsid wsp:val=&quot;00715BE0&quot;/&gt;&lt;wsp:rsid wsp:val=&quot;00715CB2&quot;/&gt;&lt;wsp:rsid wsp:val=&quot;00716272&quot;/&gt;&lt;wsp:rsid wsp:val=&quot;007168EA&quot;/&gt;&lt;wsp:rsid wsp:val=&quot;00717437&quot;/&gt;&lt;wsp:rsid wsp:val=&quot;007176E7&quot;/&gt;&lt;wsp:rsid wsp:val=&quot;00717915&quot;/&gt;&lt;wsp:rsid wsp:val=&quot;00717C9F&quot;/&gt;&lt;wsp:rsid wsp:val=&quot;0072030E&quot;/&gt;&lt;wsp:rsid wsp:val=&quot;00720606&quot;/&gt;&lt;wsp:rsid wsp:val=&quot;00720B9A&quot;/&gt;&lt;wsp:rsid wsp:val=&quot;007218F9&quot;/&gt;&lt;wsp:rsid wsp:val=&quot;00721AC5&quot;/&gt;&lt;wsp:rsid wsp:val=&quot;00721E15&quot;/&gt;&lt;wsp:rsid wsp:val=&quot;007224D5&quot;/&gt;&lt;wsp:rsid wsp:val=&quot;0072280A&quot;/&gt;&lt;wsp:rsid wsp:val=&quot;00722960&quot;/&gt;&lt;wsp:rsid wsp:val=&quot;00723CCD&quot;/&gt;&lt;wsp:rsid wsp:val=&quot;00723F06&quot;/&gt;&lt;wsp:rsid wsp:val=&quot;007240BB&quot;/&gt;&lt;wsp:rsid wsp:val=&quot;0072515C&quot;/&gt;&lt;wsp:rsid wsp:val=&quot;00725D48&quot;/&gt;&lt;wsp:rsid wsp:val=&quot;00727B14&quot;/&gt;&lt;wsp:rsid wsp:val=&quot;00727F7A&quot;/&gt;&lt;wsp:rsid wsp:val=&quot;00730252&quot;/&gt;&lt;wsp:rsid wsp:val=&quot;00730E60&quot;/&gt;&lt;wsp:rsid wsp:val=&quot;007313E6&quot;/&gt;&lt;wsp:rsid wsp:val=&quot;007316C1&quot;/&gt;&lt;wsp:rsid wsp:val=&quot;00731733&quot;/&gt;&lt;wsp:rsid wsp:val=&quot;007324C3&quot;/&gt;&lt;wsp:rsid wsp:val=&quot;007324D4&quot;/&gt;&lt;wsp:rsid wsp:val=&quot;007324F2&quot;/&gt;&lt;wsp:rsid wsp:val=&quot;00733572&quot;/&gt;&lt;wsp:rsid wsp:val=&quot;007335AC&quot;/&gt;&lt;wsp:rsid wsp:val=&quot;0073393A&quot;/&gt;&lt;wsp:rsid wsp:val=&quot;0073519F&quot;/&gt;&lt;wsp:rsid wsp:val=&quot;007375B1&quot;/&gt;&lt;wsp:rsid wsp:val=&quot;00737C79&quot;/&gt;&lt;wsp:rsid wsp:val=&quot;0074036C&quot;/&gt;&lt;wsp:rsid wsp:val=&quot;007403D0&quot;/&gt;&lt;wsp:rsid wsp:val=&quot;00740E53&quot;/&gt;&lt;wsp:rsid wsp:val=&quot;00741895&quot;/&gt;&lt;wsp:rsid wsp:val=&quot;00741A9C&quot;/&gt;&lt;wsp:rsid wsp:val=&quot;0074280C&quot;/&gt;&lt;wsp:rsid wsp:val=&quot;00742C3E&quot;/&gt;&lt;wsp:rsid wsp:val=&quot;00743549&quot;/&gt;&lt;wsp:rsid wsp:val=&quot;00743615&quot;/&gt;&lt;wsp:rsid wsp:val=&quot;00743AFA&quot;/&gt;&lt;wsp:rsid wsp:val=&quot;00743C81&quot;/&gt;&lt;wsp:rsid wsp:val=&quot;0074490F&quot;/&gt;&lt;wsp:rsid wsp:val=&quot;007461CC&quot;/&gt;&lt;wsp:rsid wsp:val=&quot;00746675&quot;/&gt;&lt;wsp:rsid wsp:val=&quot;00746747&quot;/&gt;&lt;wsp:rsid wsp:val=&quot;00746EC2&quot;/&gt;&lt;wsp:rsid wsp:val=&quot;00750792&quot;/&gt;&lt;wsp:rsid wsp:val=&quot;00750BC7&quot;/&gt;&lt;wsp:rsid wsp:val=&quot;00751F4E&quot;/&gt;&lt;wsp:rsid wsp:val=&quot;0075214E&quot;/&gt;&lt;wsp:rsid wsp:val=&quot;00752EFE&quot;/&gt;&lt;wsp:rsid wsp:val=&quot;00753C9D&quot;/&gt;&lt;wsp:rsid wsp:val=&quot;00753E12&quot;/&gt;&lt;wsp:rsid wsp:val=&quot;0075426F&quot;/&gt;&lt;wsp:rsid wsp:val=&quot;00754BB7&quot;/&gt;&lt;wsp:rsid wsp:val=&quot;00755120&quot;/&gt;&lt;wsp:rsid wsp:val=&quot;007555DC&quot;/&gt;&lt;wsp:rsid wsp:val=&quot;0075691F&quot;/&gt;&lt;wsp:rsid wsp:val=&quot;00756C60&quot;/&gt;&lt;wsp:rsid wsp:val=&quot;00757B19&quot;/&gt;&lt;wsp:rsid wsp:val=&quot;00757C33&quot;/&gt;&lt;wsp:rsid wsp:val=&quot;00757F1B&quot;/&gt;&lt;wsp:rsid wsp:val=&quot;0076037C&quot;/&gt;&lt;wsp:rsid wsp:val=&quot;00760C55&quot;/&gt;&lt;wsp:rsid wsp:val=&quot;00761C59&quot;/&gt;&lt;wsp:rsid wsp:val=&quot;00761D24&quot;/&gt;&lt;wsp:rsid wsp:val=&quot;0076214A&quot;/&gt;&lt;wsp:rsid wsp:val=&quot;0076222E&quot;/&gt;&lt;wsp:rsid wsp:val=&quot;007622DA&quot;/&gt;&lt;wsp:rsid wsp:val=&quot;00762334&quot;/&gt;&lt;wsp:rsid wsp:val=&quot;00763666&quot;/&gt;&lt;wsp:rsid wsp:val=&quot;00763ABD&quot;/&gt;&lt;wsp:rsid wsp:val=&quot;00763F7B&quot;/&gt;&lt;wsp:rsid wsp:val=&quot;00764089&quot;/&gt;&lt;wsp:rsid wsp:val=&quot;0076562F&quot;/&gt;&lt;wsp:rsid wsp:val=&quot;00765ABF&quot;/&gt;&lt;wsp:rsid wsp:val=&quot;00765C99&quot;/&gt;&lt;wsp:rsid wsp:val=&quot;00765FD9&quot;/&gt;&lt;wsp:rsid wsp:val=&quot;00766349&quot;/&gt;&lt;wsp:rsid wsp:val=&quot;0076686E&quot;/&gt;&lt;wsp:rsid wsp:val=&quot;00766B12&quot;/&gt;&lt;wsp:rsid wsp:val=&quot;00767B7B&quot;/&gt;&lt;wsp:rsid wsp:val=&quot;00767F9A&quot;/&gt;&lt;wsp:rsid wsp:val=&quot;00770241&quot;/&gt;&lt;wsp:rsid wsp:val=&quot;007708EC&quot;/&gt;&lt;wsp:rsid wsp:val=&quot;00771039&quot;/&gt;&lt;wsp:rsid wsp:val=&quot;007712E5&quot;/&gt;&lt;wsp:rsid wsp:val=&quot;00771314&quot;/&gt;&lt;wsp:rsid wsp:val=&quot;00771822&quot;/&gt;&lt;wsp:rsid wsp:val=&quot;00771EF5&quot;/&gt;&lt;wsp:rsid wsp:val=&quot;00772124&quot;/&gt;&lt;wsp:rsid wsp:val=&quot;007723E4&quot;/&gt;&lt;wsp:rsid wsp:val=&quot;007724F8&quot;/&gt;&lt;wsp:rsid wsp:val=&quot;007731A2&quot;/&gt;&lt;wsp:rsid wsp:val=&quot;0077370D&quot;/&gt;&lt;wsp:rsid wsp:val=&quot;00773F8C&quot;/&gt;&lt;wsp:rsid wsp:val=&quot;00773FCC&quot;/&gt;&lt;wsp:rsid wsp:val=&quot;0077401D&quot;/&gt;&lt;wsp:rsid wsp:val=&quot;0077403A&quot;/&gt;&lt;wsp:rsid wsp:val=&quot;00774092&quot;/&gt;&lt;wsp:rsid wsp:val=&quot;007741AC&quot;/&gt;&lt;wsp:rsid wsp:val=&quot;00776A45&quot;/&gt;&lt;wsp:rsid wsp:val=&quot;00776F2D&quot;/&gt;&lt;wsp:rsid wsp:val=&quot;00777304&quot;/&gt;&lt;wsp:rsid wsp:val=&quot;00777F48&quot;/&gt;&lt;wsp:rsid wsp:val=&quot;00780EFE&quot;/&gt;&lt;wsp:rsid wsp:val=&quot;00781A84&quot;/&gt;&lt;wsp:rsid wsp:val=&quot;00781F7D&quot;/&gt;&lt;wsp:rsid wsp:val=&quot;007826C5&quot;/&gt;&lt;wsp:rsid wsp:val=&quot;0078326B&quot;/&gt;&lt;wsp:rsid wsp:val=&quot;00783CF9&quot;/&gt;&lt;wsp:rsid wsp:val=&quot;007841CC&quot;/&gt;&lt;wsp:rsid wsp:val=&quot;0078551A&quot;/&gt;&lt;wsp:rsid wsp:val=&quot;00785B1F&quot;/&gt;&lt;wsp:rsid wsp:val=&quot;0078607C&quot;/&gt;&lt;wsp:rsid wsp:val=&quot;00786526&quot;/&gt;&lt;wsp:rsid wsp:val=&quot;00786D22&quot;/&gt;&lt;wsp:rsid wsp:val=&quot;00787419&quot;/&gt;&lt;wsp:rsid wsp:val=&quot;00787453&quot;/&gt;&lt;wsp:rsid wsp:val=&quot;0078760D&quot;/&gt;&lt;wsp:rsid wsp:val=&quot;00787A05&quot;/&gt;&lt;wsp:rsid wsp:val=&quot;00787A4F&quot;/&gt;&lt;wsp:rsid wsp:val=&quot;00790FB4&quot;/&gt;&lt;wsp:rsid wsp:val=&quot;007921D3&quot;/&gt;&lt;wsp:rsid wsp:val=&quot;007921F7&quot;/&gt;&lt;wsp:rsid wsp:val=&quot;00792335&quot;/&gt;&lt;wsp:rsid wsp:val=&quot;007924C1&quot;/&gt;&lt;wsp:rsid wsp:val=&quot;00792EB6&quot;/&gt;&lt;wsp:rsid wsp:val=&quot;00793579&quot;/&gt;&lt;wsp:rsid wsp:val=&quot;00794149&quot;/&gt;&lt;wsp:rsid wsp:val=&quot;0079455E&quot;/&gt;&lt;wsp:rsid wsp:val=&quot;0079472E&quot;/&gt;&lt;wsp:rsid wsp:val=&quot;00794FBE&quot;/&gt;&lt;wsp:rsid wsp:val=&quot;007952C7&quot;/&gt;&lt;wsp:rsid wsp:val=&quot;0079547B&quot;/&gt;&lt;wsp:rsid wsp:val=&quot;007968B9&quot;/&gt;&lt;wsp:rsid wsp:val=&quot;007A023E&quot;/&gt;&lt;wsp:rsid wsp:val=&quot;007A0E78&quot;/&gt;&lt;wsp:rsid wsp:val=&quot;007A1BB6&quot;/&gt;&lt;wsp:rsid wsp:val=&quot;007A2F99&quot;/&gt;&lt;wsp:rsid wsp:val=&quot;007A3750&quot;/&gt;&lt;wsp:rsid wsp:val=&quot;007A3BCA&quot;/&gt;&lt;wsp:rsid wsp:val=&quot;007A44C5&quot;/&gt;&lt;wsp:rsid wsp:val=&quot;007A5603&quot;/&gt;&lt;wsp:rsid wsp:val=&quot;007A5C48&quot;/&gt;&lt;wsp:rsid wsp:val=&quot;007A60BC&quot;/&gt;&lt;wsp:rsid wsp:val=&quot;007A6AA0&quot;/&gt;&lt;wsp:rsid wsp:val=&quot;007A6B39&quot;/&gt;&lt;wsp:rsid wsp:val=&quot;007A7688&quot;/&gt;&lt;wsp:rsid wsp:val=&quot;007A7705&quot;/&gt;&lt;wsp:rsid wsp:val=&quot;007A77CB&quot;/&gt;&lt;wsp:rsid wsp:val=&quot;007B1B17&quot;/&gt;&lt;wsp:rsid wsp:val=&quot;007B29B6&quot;/&gt;&lt;wsp:rsid wsp:val=&quot;007B2AD0&quot;/&gt;&lt;wsp:rsid wsp:val=&quot;007B33D0&quot;/&gt;&lt;wsp:rsid wsp:val=&quot;007B48D7&quot;/&gt;&lt;wsp:rsid wsp:val=&quot;007B4C2F&quot;/&gt;&lt;wsp:rsid wsp:val=&quot;007B4DAD&quot;/&gt;&lt;wsp:rsid wsp:val=&quot;007B526B&quot;/&gt;&lt;wsp:rsid wsp:val=&quot;007B58FD&quot;/&gt;&lt;wsp:rsid wsp:val=&quot;007B5CD9&quot;/&gt;&lt;wsp:rsid wsp:val=&quot;007B6B61&quot;/&gt;&lt;wsp:rsid wsp:val=&quot;007B787F&quot;/&gt;&lt;wsp:rsid wsp:val=&quot;007B7985&quot;/&gt;&lt;wsp:rsid wsp:val=&quot;007C015B&quot;/&gt;&lt;wsp:rsid wsp:val=&quot;007C0467&quot;/&gt;&lt;wsp:rsid wsp:val=&quot;007C10BA&quot;/&gt;&lt;wsp:rsid wsp:val=&quot;007C1425&quot;/&gt;&lt;wsp:rsid wsp:val=&quot;007C1464&quot;/&gt;&lt;wsp:rsid wsp:val=&quot;007C172C&quot;/&gt;&lt;wsp:rsid wsp:val=&quot;007C1C6C&quot;/&gt;&lt;wsp:rsid wsp:val=&quot;007C1D40&quot;/&gt;&lt;wsp:rsid wsp:val=&quot;007C1DC5&quot;/&gt;&lt;wsp:rsid wsp:val=&quot;007C25BA&quot;/&gt;&lt;wsp:rsid wsp:val=&quot;007C2F5C&quot;/&gt;&lt;wsp:rsid wsp:val=&quot;007C323F&quot;/&gt;&lt;wsp:rsid wsp:val=&quot;007C364E&quot;/&gt;&lt;wsp:rsid wsp:val=&quot;007C38A1&quot;/&gt;&lt;wsp:rsid wsp:val=&quot;007C41D6&quot;/&gt;&lt;wsp:rsid wsp:val=&quot;007C47CC&quot;/&gt;&lt;wsp:rsid wsp:val=&quot;007C4F69&quot;/&gt;&lt;wsp:rsid wsp:val=&quot;007C4FF3&quot;/&gt;&lt;wsp:rsid wsp:val=&quot;007C5F85&quot;/&gt;&lt;wsp:rsid wsp:val=&quot;007C62C5&quot;/&gt;&lt;wsp:rsid wsp:val=&quot;007C6FFD&quot;/&gt;&lt;wsp:rsid wsp:val=&quot;007C7B7F&quot;/&gt;&lt;wsp:rsid wsp:val=&quot;007C7E98&quot;/&gt;&lt;wsp:rsid wsp:val=&quot;007D0084&quot;/&gt;&lt;wsp:rsid wsp:val=&quot;007D009E&quot;/&gt;&lt;wsp:rsid wsp:val=&quot;007D0D89&quot;/&gt;&lt;wsp:rsid wsp:val=&quot;007D209F&quot;/&gt;&lt;wsp:rsid wsp:val=&quot;007D2610&quot;/&gt;&lt;wsp:rsid wsp:val=&quot;007D2760&quot;/&gt;&lt;wsp:rsid wsp:val=&quot;007D33BB&quot;/&gt;&lt;wsp:rsid wsp:val=&quot;007D3E2B&quot;/&gt;&lt;wsp:rsid wsp:val=&quot;007D42E3&quot;/&gt;&lt;wsp:rsid wsp:val=&quot;007D4F7E&quot;/&gt;&lt;wsp:rsid wsp:val=&quot;007D69F0&quot;/&gt;&lt;wsp:rsid wsp:val=&quot;007D6CCC&quot;/&gt;&lt;wsp:rsid wsp:val=&quot;007E04E9&quot;/&gt;&lt;wsp:rsid wsp:val=&quot;007E06FA&quot;/&gt;&lt;wsp:rsid wsp:val=&quot;007E0785&quot;/&gt;&lt;wsp:rsid wsp:val=&quot;007E1454&quot;/&gt;&lt;wsp:rsid wsp:val=&quot;007E1BA5&quot;/&gt;&lt;wsp:rsid wsp:val=&quot;007E1F34&quot;/&gt;&lt;wsp:rsid wsp:val=&quot;007E2C0C&quot;/&gt;&lt;wsp:rsid wsp:val=&quot;007E3FD9&quot;/&gt;&lt;wsp:rsid wsp:val=&quot;007E4C4F&quot;/&gt;&lt;wsp:rsid wsp:val=&quot;007E5BA9&quot;/&gt;&lt;wsp:rsid wsp:val=&quot;007E5E7D&quot;/&gt;&lt;wsp:rsid wsp:val=&quot;007E7606&quot;/&gt;&lt;wsp:rsid wsp:val=&quot;007F004B&quot;/&gt;&lt;wsp:rsid wsp:val=&quot;007F0436&quot;/&gt;&lt;wsp:rsid wsp:val=&quot;007F0530&quot;/&gt;&lt;wsp:rsid wsp:val=&quot;007F057B&quot;/&gt;&lt;wsp:rsid wsp:val=&quot;007F1970&quot;/&gt;&lt;wsp:rsid wsp:val=&quot;007F1AC6&quot;/&gt;&lt;wsp:rsid wsp:val=&quot;007F1DE7&quot;/&gt;&lt;wsp:rsid wsp:val=&quot;007F20CD&quot;/&gt;&lt;wsp:rsid wsp:val=&quot;007F214F&quot;/&gt;&lt;wsp:rsid wsp:val=&quot;007F2636&quot;/&gt;&lt;wsp:rsid wsp:val=&quot;007F30C2&quot;/&gt;&lt;wsp:rsid wsp:val=&quot;007F3CE0&quot;/&gt;&lt;wsp:rsid wsp:val=&quot;007F42B1&quot;/&gt;&lt;wsp:rsid wsp:val=&quot;007F4379&quot;/&gt;&lt;wsp:rsid wsp:val=&quot;007F45E5&quot;/&gt;&lt;wsp:rsid wsp:val=&quot;007F4A36&quot;/&gt;&lt;wsp:rsid wsp:val=&quot;007F57FB&quot;/&gt;&lt;wsp:rsid wsp:val=&quot;007F60D4&quot;/&gt;&lt;wsp:rsid wsp:val=&quot;007F7624&quot;/&gt;&lt;wsp:rsid wsp:val=&quot;007F7917&quot;/&gt;&lt;wsp:rsid wsp:val=&quot;007F7A30&quot;/&gt;&lt;wsp:rsid wsp:val=&quot;007F7FE2&quot;/&gt;&lt;wsp:rsid wsp:val=&quot;0080002B&quot;/&gt;&lt;wsp:rsid wsp:val=&quot;008001CE&quot;/&gt;&lt;wsp:rsid wsp:val=&quot;00800B7A&quot;/&gt;&lt;wsp:rsid wsp:val=&quot;00800D24&quot;/&gt;&lt;wsp:rsid wsp:val=&quot;00801941&quot;/&gt;&lt;wsp:rsid wsp:val=&quot;00801F86&quot;/&gt;&lt;wsp:rsid wsp:val=&quot;008029CB&quot;/&gt;&lt;wsp:rsid wsp:val=&quot;00802E45&quot;/&gt;&lt;wsp:rsid wsp:val=&quot;00802FFB&quot;/&gt;&lt;wsp:rsid wsp:val=&quot;008034EA&quot;/&gt;&lt;wsp:rsid wsp:val=&quot;00803544&quot;/&gt;&lt;wsp:rsid wsp:val=&quot;0080387D&quot;/&gt;&lt;wsp:rsid wsp:val=&quot;00803A5C&quot;/&gt;&lt;wsp:rsid wsp:val=&quot;00804052&quot;/&gt;&lt;wsp:rsid wsp:val=&quot;00804077&quot;/&gt;&lt;wsp:rsid wsp:val=&quot;008041EE&quot;/&gt;&lt;wsp:rsid wsp:val=&quot;0080431A&quot;/&gt;&lt;wsp:rsid wsp:val=&quot;00804C49&quot;/&gt;&lt;wsp:rsid wsp:val=&quot;0080547F&quot;/&gt;&lt;wsp:rsid wsp:val=&quot;00805490&quot;/&gt;&lt;wsp:rsid wsp:val=&quot;0080569B&quot;/&gt;&lt;wsp:rsid wsp:val=&quot;008061DD&quot;/&gt;&lt;wsp:rsid wsp:val=&quot;00807A0D&quot;/&gt;&lt;wsp:rsid wsp:val=&quot;00807CBF&quot;/&gt;&lt;wsp:rsid wsp:val=&quot;00807D14&quot;/&gt;&lt;wsp:rsid wsp:val=&quot;008106DB&quot;/&gt;&lt;wsp:rsid wsp:val=&quot;00810DBE&quot;/&gt;&lt;wsp:rsid wsp:val=&quot;00812183&quot;/&gt;&lt;wsp:rsid wsp:val=&quot;00812FA3&quot;/&gt;&lt;wsp:rsid wsp:val=&quot;008131DC&quot;/&gt;&lt;wsp:rsid wsp:val=&quot;00814369&quot;/&gt;&lt;wsp:rsid wsp:val=&quot;0081543B&quot;/&gt;&lt;wsp:rsid wsp:val=&quot;008155B3&quot;/&gt;&lt;wsp:rsid wsp:val=&quot;00815C5B&quot;/&gt;&lt;wsp:rsid wsp:val=&quot;0081608A&quot;/&gt;&lt;wsp:rsid wsp:val=&quot;00816479&quot;/&gt;&lt;wsp:rsid wsp:val=&quot;00816BEA&quot;/&gt;&lt;wsp:rsid wsp:val=&quot;0081734F&quot;/&gt;&lt;wsp:rsid wsp:val=&quot;00820FAF&quot;/&gt;&lt;wsp:rsid wsp:val=&quot;00820FD8&quot;/&gt;&lt;wsp:rsid wsp:val=&quot;00821C9E&quot;/&gt;&lt;wsp:rsid wsp:val=&quot;00821D76&quot;/&gt;&lt;wsp:rsid wsp:val=&quot;00822CB8&quot;/&gt;&lt;wsp:rsid wsp:val=&quot;00822D53&quot;/&gt;&lt;wsp:rsid wsp:val=&quot;008230C2&quot;/&gt;&lt;wsp:rsid wsp:val=&quot;0082321E&quot;/&gt;&lt;wsp:rsid wsp:val=&quot;00823363&quot;/&gt;&lt;wsp:rsid wsp:val=&quot;008237EF&quot;/&gt;&lt;wsp:rsid wsp:val=&quot;00823F89&quot;/&gt;&lt;wsp:rsid wsp:val=&quot;0082404D&quot;/&gt;&lt;wsp:rsid wsp:val=&quot;00824198&quot;/&gt;&lt;wsp:rsid wsp:val=&quot;008241EC&quot;/&gt;&lt;wsp:rsid wsp:val=&quot;008243AF&quot;/&gt;&lt;wsp:rsid wsp:val=&quot;00824852&quot;/&gt;&lt;wsp:rsid wsp:val=&quot;00825B69&quot;/&gt;&lt;wsp:rsid wsp:val=&quot;00826AEF&quot;/&gt;&lt;wsp:rsid wsp:val=&quot;00826E4A&quot;/&gt;&lt;wsp:rsid wsp:val=&quot;00826F43&quot;/&gt;&lt;wsp:rsid wsp:val=&quot;00827EB3&quot;/&gt;&lt;wsp:rsid wsp:val=&quot;00830769&quot;/&gt;&lt;wsp:rsid wsp:val=&quot;00830D73&quot;/&gt;&lt;wsp:rsid wsp:val=&quot;00831F60&quot;/&gt;&lt;wsp:rsid wsp:val=&quot;0083218A&quot;/&gt;&lt;wsp:rsid wsp:val=&quot;008325DA&quot;/&gt;&lt;wsp:rsid wsp:val=&quot;00832679&quot;/&gt;&lt;wsp:rsid wsp:val=&quot;00832718&quot;/&gt;&lt;wsp:rsid wsp:val=&quot;00832FCF&quot;/&gt;&lt;wsp:rsid wsp:val=&quot;0083334D&quot;/&gt;&lt;wsp:rsid wsp:val=&quot;00834663&quot;/&gt;&lt;wsp:rsid wsp:val=&quot;00834E38&quot;/&gt;&lt;wsp:rsid wsp:val=&quot;00835E86&quot;/&gt;&lt;wsp:rsid wsp:val=&quot;00836A00&quot;/&gt;&lt;wsp:rsid wsp:val=&quot;00836DAB&quot;/&gt;&lt;wsp:rsid wsp:val=&quot;00837AB1&quot;/&gt;&lt;wsp:rsid wsp:val=&quot;00840354&quot;/&gt;&lt;wsp:rsid wsp:val=&quot;00841264&quot;/&gt;&lt;wsp:rsid wsp:val=&quot;008420A2&quot;/&gt;&lt;wsp:rsid wsp:val=&quot;0084434D&quot;/&gt;&lt;wsp:rsid wsp:val=&quot;00844C2C&quot;/&gt;&lt;wsp:rsid wsp:val=&quot;00844C3A&quot;/&gt;&lt;wsp:rsid wsp:val=&quot;00845ABA&quot;/&gt;&lt;wsp:rsid wsp:val=&quot;00845D87&quot;/&gt;&lt;wsp:rsid wsp:val=&quot;00846248&quot;/&gt;&lt;wsp:rsid wsp:val=&quot;0084638C&quot;/&gt;&lt;wsp:rsid wsp:val=&quot;00846487&quot;/&gt;&lt;wsp:rsid wsp:val=&quot;008470C6&quot;/&gt;&lt;wsp:rsid wsp:val=&quot;0084744D&quot;/&gt;&lt;wsp:rsid wsp:val=&quot;00847CBA&quot;/&gt;&lt;wsp:rsid wsp:val=&quot;00847D3E&quot;/&gt;&lt;wsp:rsid wsp:val=&quot;0085067A&quot;/&gt;&lt;wsp:rsid wsp:val=&quot;00850EB1&quot;/&gt;&lt;wsp:rsid wsp:val=&quot;00851530&quot;/&gt;&lt;wsp:rsid wsp:val=&quot;00851630&quot;/&gt;&lt;wsp:rsid wsp:val=&quot;00851736&quot;/&gt;&lt;wsp:rsid wsp:val=&quot;00851BC5&quot;/&gt;&lt;wsp:rsid wsp:val=&quot;00851D41&quot;/&gt;&lt;wsp:rsid wsp:val=&quot;008525A4&quot;/&gt;&lt;wsp:rsid wsp:val=&quot;008542E9&quot;/&gt;&lt;wsp:rsid wsp:val=&quot;008545C5&quot;/&gt;&lt;wsp:rsid wsp:val=&quot;0085499E&quot;/&gt;&lt;wsp:rsid wsp:val=&quot;00854A60&quot;/&gt;&lt;wsp:rsid wsp:val=&quot;00854F0F&quot;/&gt;&lt;wsp:rsid wsp:val=&quot;0085518D&quot;/&gt;&lt;wsp:rsid wsp:val=&quot;0085525B&quot;/&gt;&lt;wsp:rsid wsp:val=&quot;00855466&quot;/&gt;&lt;wsp:rsid wsp:val=&quot;0085563E&quot;/&gt;&lt;wsp:rsid wsp:val=&quot;00855C14&quot;/&gt;&lt;wsp:rsid wsp:val=&quot;00855FA9&quot;/&gt;&lt;wsp:rsid wsp:val=&quot;008566E6&quot;/&gt;&lt;wsp:rsid wsp:val=&quot;00856999&quot;/&gt;&lt;wsp:rsid wsp:val=&quot;00856D5A&quot;/&gt;&lt;wsp:rsid wsp:val=&quot;0085706E&quot;/&gt;&lt;wsp:rsid wsp:val=&quot;00860714&quot;/&gt;&lt;wsp:rsid wsp:val=&quot;0086134D&quot;/&gt;&lt;wsp:rsid wsp:val=&quot;008619B5&quot;/&gt;&lt;wsp:rsid wsp:val=&quot;00861DF4&quot;/&gt;&lt;wsp:rsid wsp:val=&quot;00861E68&quot;/&gt;&lt;wsp:rsid wsp:val=&quot;008624ED&quot;/&gt;&lt;wsp:rsid wsp:val=&quot;00862ECD&quot;/&gt;&lt;wsp:rsid wsp:val=&quot;00863088&quot;/&gt;&lt;wsp:rsid wsp:val=&quot;00863698&quot;/&gt;&lt;wsp:rsid wsp:val=&quot;00863EBD&quot;/&gt;&lt;wsp:rsid wsp:val=&quot;0086410D&quot;/&gt;&lt;wsp:rsid wsp:val=&quot;008661FA&quot;/&gt;&lt;wsp:rsid wsp:val=&quot;0086732A&quot;/&gt;&lt;wsp:rsid wsp:val=&quot;008678B5&quot;/&gt;&lt;wsp:rsid wsp:val=&quot;008678C6&quot;/&gt;&lt;wsp:rsid wsp:val=&quot;008679C1&quot;/&gt;&lt;wsp:rsid wsp:val=&quot;00867EED&quot;/&gt;&lt;wsp:rsid wsp:val=&quot;0087036E&quot;/&gt;&lt;wsp:rsid wsp:val=&quot;00870BB4&quot;/&gt;&lt;wsp:rsid wsp:val=&quot;0087162C&quot;/&gt;&lt;wsp:rsid wsp:val=&quot;008717C3&quot;/&gt;&lt;wsp:rsid wsp:val=&quot;00872986&quot;/&gt;&lt;wsp:rsid wsp:val=&quot;00872F85&quot;/&gt;&lt;wsp:rsid wsp:val=&quot;008732F4&quot;/&gt;&lt;wsp:rsid wsp:val=&quot;00873D5F&quot;/&gt;&lt;wsp:rsid wsp:val=&quot;00874092&quot;/&gt;&lt;wsp:rsid wsp:val=&quot;00874552&quot;/&gt;&lt;wsp:rsid wsp:val=&quot;00874AFE&quot;/&gt;&lt;wsp:rsid wsp:val=&quot;00875A95&quot;/&gt;&lt;wsp:rsid wsp:val=&quot;00875C86&quot;/&gt;&lt;wsp:rsid wsp:val=&quot;00875F79&quot;/&gt;&lt;wsp:rsid wsp:val=&quot;00875FEE&quot;/&gt;&lt;wsp:rsid wsp:val=&quot;008772A9&quot;/&gt;&lt;wsp:rsid wsp:val=&quot;0087738A&quot;/&gt;&lt;wsp:rsid wsp:val=&quot;0087754F&quot;/&gt;&lt;wsp:rsid wsp:val=&quot;00877594&quot;/&gt;&lt;wsp:rsid wsp:val=&quot;0088014A&quot;/&gt;&lt;wsp:rsid wsp:val=&quot;008803AC&quot;/&gt;&lt;wsp:rsid wsp:val=&quot;0088076E&quot;/&gt;&lt;wsp:rsid wsp:val=&quot;00880FA8&quot;/&gt;&lt;wsp:rsid wsp:val=&quot;008811DD&quot;/&gt;&lt;wsp:rsid wsp:val=&quot;0088352A&quot;/&gt;&lt;wsp:rsid wsp:val=&quot;0088363C&quot;/&gt;&lt;wsp:rsid wsp:val=&quot;00884218&quot;/&gt;&lt;wsp:rsid wsp:val=&quot;00884BA7&quot;/&gt;&lt;wsp:rsid wsp:val=&quot;008851DB&quot;/&gt;&lt;wsp:rsid wsp:val=&quot;0088628C&quot;/&gt;&lt;wsp:rsid wsp:val=&quot;0088681A&quot;/&gt;&lt;wsp:rsid wsp:val=&quot;00886856&quot;/&gt;&lt;wsp:rsid wsp:val=&quot;00886E08&quot;/&gt;&lt;wsp:rsid wsp:val=&quot;00886F6C&quot;/&gt;&lt;wsp:rsid wsp:val=&quot;008872C0&quot;/&gt;&lt;wsp:rsid wsp:val=&quot;0088756C&quot;/&gt;&lt;wsp:rsid wsp:val=&quot;00887867&quot;/&gt;&lt;wsp:rsid wsp:val=&quot;00887881&quot;/&gt;&lt;wsp:rsid wsp:val=&quot;00887C24&quot;/&gt;&lt;wsp:rsid wsp:val=&quot;008907C6&quot;/&gt;&lt;wsp:rsid wsp:val=&quot;008908E4&quot;/&gt;&lt;wsp:rsid wsp:val=&quot;00891009&quot;/&gt;&lt;wsp:rsid wsp:val=&quot;008918F8&quot;/&gt;&lt;wsp:rsid wsp:val=&quot;00892156&quot;/&gt;&lt;wsp:rsid wsp:val=&quot;0089265D&quot;/&gt;&lt;wsp:rsid wsp:val=&quot;00892945&quot;/&gt;&lt;wsp:rsid wsp:val=&quot;0089317C&quot;/&gt;&lt;wsp:rsid wsp:val=&quot;00893C95&quot;/&gt;&lt;wsp:rsid wsp:val=&quot;00893E34&quot;/&gt;&lt;wsp:rsid wsp:val=&quot;00894917&quot;/&gt;&lt;wsp:rsid wsp:val=&quot;00896783&quot;/&gt;&lt;wsp:rsid wsp:val=&quot;008973C8&quot;/&gt;&lt;wsp:rsid wsp:val=&quot;00897D70&quot;/&gt;&lt;wsp:rsid wsp:val=&quot;00897FE5&quot;/&gt;&lt;wsp:rsid wsp:val=&quot;008A063C&quot;/&gt;&lt;wsp:rsid wsp:val=&quot;008A090B&quot;/&gt;&lt;wsp:rsid wsp:val=&quot;008A11BE&quot;/&gt;&lt;wsp:rsid wsp:val=&quot;008A1289&quot;/&gt;&lt;wsp:rsid wsp:val=&quot;008A16D2&quot;/&gt;&lt;wsp:rsid wsp:val=&quot;008A1A17&quot;/&gt;&lt;wsp:rsid wsp:val=&quot;008A21F2&quot;/&gt;&lt;wsp:rsid wsp:val=&quot;008A2B0C&quot;/&gt;&lt;wsp:rsid wsp:val=&quot;008A2CF8&quot;/&gt;&lt;wsp:rsid wsp:val=&quot;008A3D8F&quot;/&gt;&lt;wsp:rsid wsp:val=&quot;008A3E1D&quot;/&gt;&lt;wsp:rsid wsp:val=&quot;008A4B52&quot;/&gt;&lt;wsp:rsid wsp:val=&quot;008A4BB4&quot;/&gt;&lt;wsp:rsid wsp:val=&quot;008A50E6&quot;/&gt;&lt;wsp:rsid wsp:val=&quot;008A5C1F&quot;/&gt;&lt;wsp:rsid wsp:val=&quot;008A680D&quot;/&gt;&lt;wsp:rsid wsp:val=&quot;008A6ECC&quot;/&gt;&lt;wsp:rsid wsp:val=&quot;008B09C9&quot;/&gt;&lt;wsp:rsid wsp:val=&quot;008B0B92&quot;/&gt;&lt;wsp:rsid wsp:val=&quot;008B0CC5&quot;/&gt;&lt;wsp:rsid wsp:val=&quot;008B1274&quot;/&gt;&lt;wsp:rsid wsp:val=&quot;008B1668&quot;/&gt;&lt;wsp:rsid wsp:val=&quot;008B1BE7&quot;/&gt;&lt;wsp:rsid wsp:val=&quot;008B36D9&quot;/&gt;&lt;wsp:rsid wsp:val=&quot;008B3707&quot;/&gt;&lt;wsp:rsid wsp:val=&quot;008B3828&quot;/&gt;&lt;wsp:rsid wsp:val=&quot;008B45A2&quot;/&gt;&lt;wsp:rsid wsp:val=&quot;008B4AFD&quot;/&gt;&lt;wsp:rsid wsp:val=&quot;008B4B59&quot;/&gt;&lt;wsp:rsid wsp:val=&quot;008B5AA5&quot;/&gt;&lt;wsp:rsid wsp:val=&quot;008B5CED&quot;/&gt;&lt;wsp:rsid wsp:val=&quot;008B5E08&quot;/&gt;&lt;wsp:rsid wsp:val=&quot;008B6095&quot;/&gt;&lt;wsp:rsid wsp:val=&quot;008B65BA&quot;/&gt;&lt;wsp:rsid wsp:val=&quot;008B679C&quot;/&gt;&lt;wsp:rsid wsp:val=&quot;008B67A8&quot;/&gt;&lt;wsp:rsid wsp:val=&quot;008B6ACF&quot;/&gt;&lt;wsp:rsid wsp:val=&quot;008B6D9F&quot;/&gt;&lt;wsp:rsid wsp:val=&quot;008B6FFB&quot;/&gt;&lt;wsp:rsid wsp:val=&quot;008B7373&quot;/&gt;&lt;wsp:rsid wsp:val=&quot;008B7B58&quot;/&gt;&lt;wsp:rsid wsp:val=&quot;008C0169&quot;/&gt;&lt;wsp:rsid wsp:val=&quot;008C0E35&quot;/&gt;&lt;wsp:rsid wsp:val=&quot;008C2B54&quot;/&gt;&lt;wsp:rsid wsp:val=&quot;008C33A7&quot;/&gt;&lt;wsp:rsid wsp:val=&quot;008C3563&quot;/&gt;&lt;wsp:rsid wsp:val=&quot;008C386B&quot;/&gt;&lt;wsp:rsid wsp:val=&quot;008C3A86&quot;/&gt;&lt;wsp:rsid wsp:val=&quot;008C489C&quot;/&gt;&lt;wsp:rsid wsp:val=&quot;008C54E0&quot;/&gt;&lt;wsp:rsid wsp:val=&quot;008C5593&quot;/&gt;&lt;wsp:rsid wsp:val=&quot;008C61B2&quot;/&gt;&lt;wsp:rsid wsp:val=&quot;008C62F4&quot;/&gt;&lt;wsp:rsid wsp:val=&quot;008C6474&quot;/&gt;&lt;wsp:rsid wsp:val=&quot;008C6949&quot;/&gt;&lt;wsp:rsid wsp:val=&quot;008C773A&quot;/&gt;&lt;wsp:rsid wsp:val=&quot;008D0B25&quot;/&gt;&lt;wsp:rsid wsp:val=&quot;008D116F&quot;/&gt;&lt;wsp:rsid wsp:val=&quot;008D1229&quot;/&gt;&lt;wsp:rsid wsp:val=&quot;008D1863&quot;/&gt;&lt;wsp:rsid wsp:val=&quot;008D18CD&quot;/&gt;&lt;wsp:rsid wsp:val=&quot;008D1DB7&quot;/&gt;&lt;wsp:rsid wsp:val=&quot;008D26B4&quot;/&gt;&lt;wsp:rsid wsp:val=&quot;008D2DE8&quot;/&gt;&lt;wsp:rsid wsp:val=&quot;008D3457&quot;/&gt;&lt;wsp:rsid wsp:val=&quot;008D43AA&quot;/&gt;&lt;wsp:rsid wsp:val=&quot;008D4CBF&quot;/&gt;&lt;wsp:rsid wsp:val=&quot;008D6DA1&quot;/&gt;&lt;wsp:rsid wsp:val=&quot;008D737E&quot;/&gt;&lt;wsp:rsid wsp:val=&quot;008D7D66&quot;/&gt;&lt;wsp:rsid wsp:val=&quot;008E01EE&quot;/&gt;&lt;wsp:rsid wsp:val=&quot;008E0552&quot;/&gt;&lt;wsp:rsid wsp:val=&quot;008E1BD0&quot;/&gt;&lt;wsp:rsid wsp:val=&quot;008E2434&quot;/&gt;&lt;wsp:rsid wsp:val=&quot;008E2446&quot;/&gt;&lt;wsp:rsid wsp:val=&quot;008E417F&quot;/&gt;&lt;wsp:rsid wsp:val=&quot;008E47C2&quot;/&gt;&lt;wsp:rsid wsp:val=&quot;008E554D&quot;/&gt;&lt;wsp:rsid wsp:val=&quot;008E5B3B&quot;/&gt;&lt;wsp:rsid wsp:val=&quot;008E5F7A&quot;/&gt;&lt;wsp:rsid wsp:val=&quot;008E6F73&quot;/&gt;&lt;wsp:rsid wsp:val=&quot;008F0866&quot;/&gt;&lt;wsp:rsid wsp:val=&quot;008F0D98&quot;/&gt;&lt;wsp:rsid wsp:val=&quot;008F0F1F&quot;/&gt;&lt;wsp:rsid wsp:val=&quot;008F1555&quot;/&gt;&lt;wsp:rsid wsp:val=&quot;008F29C0&quot;/&gt;&lt;wsp:rsid wsp:val=&quot;008F3302&quot;/&gt;&lt;wsp:rsid wsp:val=&quot;008F604B&quot;/&gt;&lt;wsp:rsid wsp:val=&quot;008F66F1&quot;/&gt;&lt;wsp:rsid wsp:val=&quot;008F6B48&quot;/&gt;&lt;wsp:rsid wsp:val=&quot;008F70B6&quot;/&gt;&lt;wsp:rsid wsp:val=&quot;008F71BB&quot;/&gt;&lt;wsp:rsid wsp:val=&quot;008F7707&quot;/&gt;&lt;wsp:rsid wsp:val=&quot;009011D5&quot;/&gt;&lt;wsp:rsid wsp:val=&quot;00901802&quot;/&gt;&lt;wsp:rsid wsp:val=&quot;00901EAC&quot;/&gt;&lt;wsp:rsid wsp:val=&quot;00902E1A&quot;/&gt;&lt;wsp:rsid wsp:val=&quot;009044F4&quot;/&gt;&lt;wsp:rsid wsp:val=&quot;00904731&quot;/&gt;&lt;wsp:rsid wsp:val=&quot;00904884&quot;/&gt;&lt;wsp:rsid wsp:val=&quot;009051BC&quot;/&gt;&lt;wsp:rsid wsp:val=&quot;009056A5&quot;/&gt;&lt;wsp:rsid wsp:val=&quot;0090590F&quot;/&gt;&lt;wsp:rsid wsp:val=&quot;00907272&quot;/&gt;&lt;wsp:rsid wsp:val=&quot;009076A2&quot;/&gt;&lt;wsp:rsid wsp:val=&quot;00907DEE&quot;/&gt;&lt;wsp:rsid wsp:val=&quot;00910B25&quot;/&gt;&lt;wsp:rsid wsp:val=&quot;009113DD&quot;/&gt;&lt;wsp:rsid wsp:val=&quot;009113F1&quot;/&gt;&lt;wsp:rsid wsp:val=&quot;00911456&quot;/&gt;&lt;wsp:rsid wsp:val=&quot;00911DB0&quot;/&gt;&lt;wsp:rsid wsp:val=&quot;0091262F&quot;/&gt;&lt;wsp:rsid wsp:val=&quot;00912A5C&quot;/&gt;&lt;wsp:rsid wsp:val=&quot;00912CD2&quot;/&gt;&lt;wsp:rsid wsp:val=&quot;009135F6&quot;/&gt;&lt;wsp:rsid wsp:val=&quot;00913851&quot;/&gt;&lt;wsp:rsid wsp:val=&quot;009141D0&quot;/&gt;&lt;wsp:rsid wsp:val=&quot;00914BA4&quot;/&gt;&lt;wsp:rsid wsp:val=&quot;00916A06&quot;/&gt;&lt;wsp:rsid wsp:val=&quot;00916D5D&quot;/&gt;&lt;wsp:rsid wsp:val=&quot;00916E15&quot;/&gt;&lt;wsp:rsid wsp:val=&quot;00917276&quot;/&gt;&lt;wsp:rsid wsp:val=&quot;009174B0&quot;/&gt;&lt;wsp:rsid wsp:val=&quot;00917B80&quot;/&gt;&lt;wsp:rsid wsp:val=&quot;00917E44&quot;/&gt;&lt;wsp:rsid wsp:val=&quot;00917EA3&quot;/&gt;&lt;wsp:rsid wsp:val=&quot;00920D3D&quot;/&gt;&lt;wsp:rsid wsp:val=&quot;0092112B&quot;/&gt;&lt;wsp:rsid wsp:val=&quot;00921EE0&quot;/&gt;&lt;wsp:rsid wsp:val=&quot;00921F82&quot;/&gt;&lt;wsp:rsid wsp:val=&quot;009224B1&quot;/&gt;&lt;wsp:rsid wsp:val=&quot;00922C9A&quot;/&gt;&lt;wsp:rsid wsp:val=&quot;0092362B&quot;/&gt;&lt;wsp:rsid wsp:val=&quot;00923A3C&quot;/&gt;&lt;wsp:rsid wsp:val=&quot;00923D83&quot;/&gt;&lt;wsp:rsid wsp:val=&quot;009259D4&quot;/&gt;&lt;wsp:rsid wsp:val=&quot;00925A9A&quot;/&gt;&lt;wsp:rsid wsp:val=&quot;0092627D&quot;/&gt;&lt;wsp:rsid wsp:val=&quot;009272DD&quot;/&gt;&lt;wsp:rsid wsp:val=&quot;0092749F&quot;/&gt;&lt;wsp:rsid wsp:val=&quot;00927595&quot;/&gt;&lt;wsp:rsid wsp:val=&quot;009279E8&quot;/&gt;&lt;wsp:rsid wsp:val=&quot;00927AA8&quot;/&gt;&lt;wsp:rsid wsp:val=&quot;00927C4D&quot;/&gt;&lt;wsp:rsid wsp:val=&quot;00927E35&quot;/&gt;&lt;wsp:rsid wsp:val=&quot;009308F0&quot;/&gt;&lt;wsp:rsid wsp:val=&quot;009310BE&quot;/&gt;&lt;wsp:rsid wsp:val=&quot;009310CE&quot;/&gt;&lt;wsp:rsid wsp:val=&quot;009313A4&quot;/&gt;&lt;wsp:rsid wsp:val=&quot;00931EE6&quot;/&gt;&lt;wsp:rsid wsp:val=&quot;00932275&quot;/&gt;&lt;wsp:rsid wsp:val=&quot;00933AB5&quot;/&gt;&lt;wsp:rsid wsp:val=&quot;00934403&quot;/&gt;&lt;wsp:rsid wsp:val=&quot;00934AA3&quot;/&gt;&lt;wsp:rsid wsp:val=&quot;00934E4F&quot;/&gt;&lt;wsp:rsid wsp:val=&quot;00937A9D&quot;/&gt;&lt;wsp:rsid wsp:val=&quot;00937C13&quot;/&gt;&lt;wsp:rsid wsp:val=&quot;00940758&quot;/&gt;&lt;wsp:rsid wsp:val=&quot;00940E2C&quot;/&gt;&lt;wsp:rsid wsp:val=&quot;00941999&quot;/&gt;&lt;wsp:rsid wsp:val=&quot;00942484&quot;/&gt;&lt;wsp:rsid wsp:val=&quot;00942A77&quot;/&gt;&lt;wsp:rsid wsp:val=&quot;00942E3B&quot;/&gt;&lt;wsp:rsid wsp:val=&quot;00943140&quot;/&gt;&lt;wsp:rsid wsp:val=&quot;00943B7F&quot;/&gt;&lt;wsp:rsid wsp:val=&quot;00943D8E&quot;/&gt;&lt;wsp:rsid wsp:val=&quot;009447BD&quot;/&gt;&lt;wsp:rsid wsp:val=&quot;009449A7&quot;/&gt;&lt;wsp:rsid wsp:val=&quot;00944EC3&quot;/&gt;&lt;wsp:rsid wsp:val=&quot;00945847&quot;/&gt;&lt;wsp:rsid wsp:val=&quot;00945C52&quot;/&gt;&lt;wsp:rsid wsp:val=&quot;0094689F&quot;/&gt;&lt;wsp:rsid wsp:val=&quot;0094698B&quot;/&gt;&lt;wsp:rsid wsp:val=&quot;009475CF&quot;/&gt;&lt;wsp:rsid wsp:val=&quot;00947DF0&quot;/&gt;&lt;wsp:rsid wsp:val=&quot;00950517&quot;/&gt;&lt;wsp:rsid wsp:val=&quot;009506C8&quot;/&gt;&lt;wsp:rsid wsp:val=&quot;00950C74&quot;/&gt;&lt;wsp:rsid wsp:val=&quot;00951371&quot;/&gt;&lt;wsp:rsid wsp:val=&quot;00951562&quot;/&gt;&lt;wsp:rsid wsp:val=&quot;00951F90&quot;/&gt;&lt;wsp:rsid wsp:val=&quot;009528D7&quot;/&gt;&lt;wsp:rsid wsp:val=&quot;009544D2&quot;/&gt;&lt;wsp:rsid wsp:val=&quot;00954EB8&quot;/&gt;&lt;wsp:rsid wsp:val=&quot;009552B8&quot;/&gt;&lt;wsp:rsid wsp:val=&quot;00955388&quot;/&gt;&lt;wsp:rsid wsp:val=&quot;009554C8&quot;/&gt;&lt;wsp:rsid wsp:val=&quot;009600F4&quot;/&gt;&lt;wsp:rsid wsp:val=&quot;009605DF&quot;/&gt;&lt;wsp:rsid wsp:val=&quot;00960820&quot;/&gt;&lt;wsp:rsid wsp:val=&quot;009615C9&quot;/&gt;&lt;wsp:rsid wsp:val=&quot;00961742&quot;/&gt;&lt;wsp:rsid wsp:val=&quot;00961B14&quot;/&gt;&lt;wsp:rsid wsp:val=&quot;0096246C&quot;/&gt;&lt;wsp:rsid wsp:val=&quot;009626C3&quot;/&gt;&lt;wsp:rsid wsp:val=&quot;009640CB&quot;/&gt;&lt;wsp:rsid wsp:val=&quot;009645B6&quot;/&gt;&lt;wsp:rsid wsp:val=&quot;0096577A&quot;/&gt;&lt;wsp:rsid wsp:val=&quot;00965C43&quot;/&gt;&lt;wsp:rsid wsp:val=&quot;00966283&quot;/&gt;&lt;wsp:rsid wsp:val=&quot;00967666&quot;/&gt;&lt;wsp:rsid wsp:val=&quot;0096778E&quot;/&gt;&lt;wsp:rsid wsp:val=&quot;0097002C&quot;/&gt;&lt;wsp:rsid wsp:val=&quot;009709EF&quot;/&gt;&lt;wsp:rsid wsp:val=&quot;00970ECB&quot;/&gt;&lt;wsp:rsid wsp:val=&quot;0097152F&quot;/&gt;&lt;wsp:rsid wsp:val=&quot;00971B52&quot;/&gt;&lt;wsp:rsid wsp:val=&quot;0097264F&quot;/&gt;&lt;wsp:rsid wsp:val=&quot;009732BD&quot;/&gt;&lt;wsp:rsid wsp:val=&quot;0097395F&quot;/&gt;&lt;wsp:rsid wsp:val=&quot;00973F66&quot;/&gt;&lt;wsp:rsid wsp:val=&quot;00973FEA&quot;/&gt;&lt;wsp:rsid wsp:val=&quot;009741DA&quot;/&gt;&lt;wsp:rsid wsp:val=&quot;0097491E&quot;/&gt;&lt;wsp:rsid wsp:val=&quot;00975345&quot;/&gt;&lt;wsp:rsid wsp:val=&quot;009754A7&quot;/&gt;&lt;wsp:rsid wsp:val=&quot;00975876&quot;/&gt;&lt;wsp:rsid wsp:val=&quot;00975FDA&quot;/&gt;&lt;wsp:rsid wsp:val=&quot;009768F9&quot;/&gt;&lt;wsp:rsid wsp:val=&quot;00976E50&quot;/&gt;&lt;wsp:rsid wsp:val=&quot;00977036&quot;/&gt;&lt;wsp:rsid wsp:val=&quot;009777E9&quot;/&gt;&lt;wsp:rsid wsp:val=&quot;00977F3D&quot;/&gt;&lt;wsp:rsid wsp:val=&quot;00981606&quot;/&gt;&lt;wsp:rsid wsp:val=&quot;0098195C&quot;/&gt;&lt;wsp:rsid wsp:val=&quot;0098235E&quot;/&gt;&lt;wsp:rsid wsp:val=&quot;00982DC1&quot;/&gt;&lt;wsp:rsid wsp:val=&quot;00982DEC&quot;/&gt;&lt;wsp:rsid wsp:val=&quot;0098329C&quot;/&gt;&lt;wsp:rsid wsp:val=&quot;00983C7A&quot;/&gt;&lt;wsp:rsid wsp:val=&quot;00984810&quot;/&gt;&lt;wsp:rsid wsp:val=&quot;00984923&quot;/&gt;&lt;wsp:rsid wsp:val=&quot;00984B5E&quot;/&gt;&lt;wsp:rsid wsp:val=&quot;00985CCA&quot;/&gt;&lt;wsp:rsid wsp:val=&quot;0098604D&quot;/&gt;&lt;wsp:rsid wsp:val=&quot;009871CF&quot;/&gt;&lt;wsp:rsid wsp:val=&quot;00987C3D&quot;/&gt;&lt;wsp:rsid wsp:val=&quot;0099077C&quot;/&gt;&lt;wsp:rsid wsp:val=&quot;00990A6A&quot;/&gt;&lt;wsp:rsid wsp:val=&quot;00990E52&quot;/&gt;&lt;wsp:rsid wsp:val=&quot;0099274C&quot;/&gt;&lt;wsp:rsid wsp:val=&quot;00992DB0&quot;/&gt;&lt;wsp:rsid wsp:val=&quot;00993273&quot;/&gt;&lt;wsp:rsid wsp:val=&quot;00993307&quot;/&gt;&lt;wsp:rsid wsp:val=&quot;0099360B&quot;/&gt;&lt;wsp:rsid wsp:val=&quot;009937DB&quot;/&gt;&lt;wsp:rsid wsp:val=&quot;00994292&quot;/&gt;&lt;wsp:rsid wsp:val=&quot;00994CA1&quot;/&gt;&lt;wsp:rsid wsp:val=&quot;00995362&quot;/&gt;&lt;wsp:rsid wsp:val=&quot;00995800&quot;/&gt;&lt;wsp:rsid wsp:val=&quot;009959C1&quot;/&gt;&lt;wsp:rsid wsp:val=&quot;00995A07&quot;/&gt;&lt;wsp:rsid wsp:val=&quot;00995EA5&quot;/&gt;&lt;wsp:rsid wsp:val=&quot;00995EC4&quot;/&gt;&lt;wsp:rsid wsp:val=&quot;009A04F3&quot;/&gt;&lt;wsp:rsid wsp:val=&quot;009A15D8&quot;/&gt;&lt;wsp:rsid wsp:val=&quot;009A2CEA&quot;/&gt;&lt;wsp:rsid wsp:val=&quot;009A36A2&quot;/&gt;&lt;wsp:rsid wsp:val=&quot;009A37DA&quot;/&gt;&lt;wsp:rsid wsp:val=&quot;009A3CE7&quot;/&gt;&lt;wsp:rsid wsp:val=&quot;009A408E&quot;/&gt;&lt;wsp:rsid wsp:val=&quot;009A50B5&quot;/&gt;&lt;wsp:rsid wsp:val=&quot;009A53D2&quot;/&gt;&lt;wsp:rsid wsp:val=&quot;009A5AB4&quot;/&gt;&lt;wsp:rsid wsp:val=&quot;009A7623&quot;/&gt;&lt;wsp:rsid wsp:val=&quot;009A7790&quot;/&gt;&lt;wsp:rsid wsp:val=&quot;009B0EB0&quot;/&gt;&lt;wsp:rsid wsp:val=&quot;009B10FD&quot;/&gt;&lt;wsp:rsid wsp:val=&quot;009B128B&quot;/&gt;&lt;wsp:rsid wsp:val=&quot;009B14C0&quot;/&gt;&lt;wsp:rsid wsp:val=&quot;009B1790&quot;/&gt;&lt;wsp:rsid wsp:val=&quot;009B1DFD&quot;/&gt;&lt;wsp:rsid wsp:val=&quot;009B2B5B&quot;/&gt;&lt;wsp:rsid wsp:val=&quot;009B3884&quot;/&gt;&lt;wsp:rsid wsp:val=&quot;009B4B92&quot;/&gt;&lt;wsp:rsid wsp:val=&quot;009B4CB6&quot;/&gt;&lt;wsp:rsid wsp:val=&quot;009B5344&quot;/&gt;&lt;wsp:rsid wsp:val=&quot;009B53DE&quot;/&gt;&lt;wsp:rsid wsp:val=&quot;009B56E7&quot;/&gt;&lt;wsp:rsid wsp:val=&quot;009B6E3B&quot;/&gt;&lt;wsp:rsid wsp:val=&quot;009B6F59&quot;/&gt;&lt;wsp:rsid wsp:val=&quot;009B73B8&quot;/&gt;&lt;wsp:rsid wsp:val=&quot;009B7AED&quot;/&gt;&lt;wsp:rsid wsp:val=&quot;009B7CFD&quot;/&gt;&lt;wsp:rsid wsp:val=&quot;009B7F80&quot;/&gt;&lt;wsp:rsid wsp:val=&quot;009C0BD6&quot;/&gt;&lt;wsp:rsid wsp:val=&quot;009C1269&quot;/&gt;&lt;wsp:rsid wsp:val=&quot;009C22F1&quot;/&gt;&lt;wsp:rsid wsp:val=&quot;009C2A2D&quot;/&gt;&lt;wsp:rsid wsp:val=&quot;009C3431&quot;/&gt;&lt;wsp:rsid wsp:val=&quot;009C4006&quot;/&gt;&lt;wsp:rsid wsp:val=&quot;009C41E0&quot;/&gt;&lt;wsp:rsid wsp:val=&quot;009C583D&quot;/&gt;&lt;wsp:rsid wsp:val=&quot;009C5EA3&quot;/&gt;&lt;wsp:rsid wsp:val=&quot;009C714F&quot;/&gt;&lt;wsp:rsid wsp:val=&quot;009C78F9&quot;/&gt;&lt;wsp:rsid wsp:val=&quot;009C7D55&quot;/&gt;&lt;wsp:rsid wsp:val=&quot;009C7E03&quot;/&gt;&lt;wsp:rsid wsp:val=&quot;009D0624&quot;/&gt;&lt;wsp:rsid wsp:val=&quot;009D17C8&quot;/&gt;&lt;wsp:rsid wsp:val=&quot;009D2A02&quot;/&gt;&lt;wsp:rsid wsp:val=&quot;009D4165&quot;/&gt;&lt;wsp:rsid wsp:val=&quot;009D4756&quot;/&gt;&lt;wsp:rsid wsp:val=&quot;009D4E60&quot;/&gt;&lt;wsp:rsid wsp:val=&quot;009D5A37&quot;/&gt;&lt;wsp:rsid wsp:val=&quot;009D5DA0&quot;/&gt;&lt;wsp:rsid wsp:val=&quot;009D62EE&quot;/&gt;&lt;wsp:rsid wsp:val=&quot;009D6503&quot;/&gt;&lt;wsp:rsid wsp:val=&quot;009D685A&quot;/&gt;&lt;wsp:rsid wsp:val=&quot;009D6B83&quot;/&gt;&lt;wsp:rsid wsp:val=&quot;009D6BD0&quot;/&gt;&lt;wsp:rsid wsp:val=&quot;009D6FC0&quot;/&gt;&lt;wsp:rsid wsp:val=&quot;009D7B2C&quot;/&gt;&lt;wsp:rsid wsp:val=&quot;009D7C8F&quot;/&gt;&lt;wsp:rsid wsp:val=&quot;009E029F&quot;/&gt;&lt;wsp:rsid wsp:val=&quot;009E02D7&quot;/&gt;&lt;wsp:rsid wsp:val=&quot;009E0BEA&quot;/&gt;&lt;wsp:rsid wsp:val=&quot;009E0F4A&quot;/&gt;&lt;wsp:rsid wsp:val=&quot;009E1225&quot;/&gt;&lt;wsp:rsid wsp:val=&quot;009E1528&quot;/&gt;&lt;wsp:rsid wsp:val=&quot;009E2244&quot;/&gt;&lt;wsp:rsid wsp:val=&quot;009E3C76&quot;/&gt;&lt;wsp:rsid wsp:val=&quot;009E4473&quot;/&gt;&lt;wsp:rsid wsp:val=&quot;009E4F0F&quot;/&gt;&lt;wsp:rsid wsp:val=&quot;009E51C0&quot;/&gt;&lt;wsp:rsid wsp:val=&quot;009E57CA&quot;/&gt;&lt;wsp:rsid wsp:val=&quot;009E655D&quot;/&gt;&lt;wsp:rsid wsp:val=&quot;009E7090&quot;/&gt;&lt;wsp:rsid wsp:val=&quot;009E7BF0&quot;/&gt;&lt;wsp:rsid wsp:val=&quot;009F0C4D&quot;/&gt;&lt;wsp:rsid wsp:val=&quot;009F12A8&quot;/&gt;&lt;wsp:rsid wsp:val=&quot;009F17E6&quot;/&gt;&lt;wsp:rsid wsp:val=&quot;009F21DB&quot;/&gt;&lt;wsp:rsid wsp:val=&quot;009F2CFF&quot;/&gt;&lt;wsp:rsid wsp:val=&quot;009F3A92&quot;/&gt;&lt;wsp:rsid wsp:val=&quot;009F3AB2&quot;/&gt;&lt;wsp:rsid wsp:val=&quot;009F4196&quot;/&gt;&lt;wsp:rsid wsp:val=&quot;009F634B&quot;/&gt;&lt;wsp:rsid wsp:val=&quot;009F7103&quot;/&gt;&lt;wsp:rsid wsp:val=&quot;00A000F4&quot;/&gt;&lt;wsp:rsid wsp:val=&quot;00A00634&quot;/&gt;&lt;wsp:rsid wsp:val=&quot;00A008DC&quot;/&gt;&lt;wsp:rsid wsp:val=&quot;00A008EA&quot;/&gt;&lt;wsp:rsid wsp:val=&quot;00A00D6D&quot;/&gt;&lt;wsp:rsid wsp:val=&quot;00A014DA&quot;/&gt;&lt;wsp:rsid wsp:val=&quot;00A014FB&quot;/&gt;&lt;wsp:rsid wsp:val=&quot;00A01AFA&quot;/&gt;&lt;wsp:rsid wsp:val=&quot;00A024D6&quot;/&gt;&lt;wsp:rsid wsp:val=&quot;00A0286E&quot;/&gt;&lt;wsp:rsid wsp:val=&quot;00A0290C&quot;/&gt;&lt;wsp:rsid wsp:val=&quot;00A035AB&quot;/&gt;&lt;wsp:rsid wsp:val=&quot;00A0379C&quot;/&gt;&lt;wsp:rsid wsp:val=&quot;00A03CCB&quot;/&gt;&lt;wsp:rsid wsp:val=&quot;00A060C3&quot;/&gt;&lt;wsp:rsid wsp:val=&quot;00A0684E&quot;/&gt;&lt;wsp:rsid wsp:val=&quot;00A0693C&quot;/&gt;&lt;wsp:rsid wsp:val=&quot;00A07E81&quot;/&gt;&lt;wsp:rsid wsp:val=&quot;00A1047C&quot;/&gt;&lt;wsp:rsid wsp:val=&quot;00A10B3C&quot;/&gt;&lt;wsp:rsid wsp:val=&quot;00A10F8E&quot;/&gt;&lt;wsp:rsid wsp:val=&quot;00A117A6&quot;/&gt;&lt;wsp:rsid wsp:val=&quot;00A129D7&quot;/&gt;&lt;wsp:rsid wsp:val=&quot;00A12F9E&quot;/&gt;&lt;wsp:rsid wsp:val=&quot;00A13A5C&quot;/&gt;&lt;wsp:rsid wsp:val=&quot;00A14CB9&quot;/&gt;&lt;wsp:rsid wsp:val=&quot;00A155C3&quot;/&gt;&lt;wsp:rsid wsp:val=&quot;00A15BCF&quot;/&gt;&lt;wsp:rsid wsp:val=&quot;00A16D36&quot;/&gt;&lt;wsp:rsid wsp:val=&quot;00A177F8&quot;/&gt;&lt;wsp:rsid wsp:val=&quot;00A17AF4&quot;/&gt;&lt;wsp:rsid wsp:val=&quot;00A17BA5&quot;/&gt;&lt;wsp:rsid wsp:val=&quot;00A20F3C&quot;/&gt;&lt;wsp:rsid wsp:val=&quot;00A21FE5&quot;/&gt;&lt;wsp:rsid wsp:val=&quot;00A22224&quot;/&gt;&lt;wsp:rsid wsp:val=&quot;00A22D0F&quot;/&gt;&lt;wsp:rsid wsp:val=&quot;00A230C7&quot;/&gt;&lt;wsp:rsid wsp:val=&quot;00A2366E&quot;/&gt;&lt;wsp:rsid wsp:val=&quot;00A239E4&quot;/&gt;&lt;wsp:rsid wsp:val=&quot;00A23B66&quot;/&gt;&lt;wsp:rsid wsp:val=&quot;00A23FD6&quot;/&gt;&lt;wsp:rsid wsp:val=&quot;00A23FF2&quot;/&gt;&lt;wsp:rsid wsp:val=&quot;00A2437C&quot;/&gt;&lt;wsp:rsid wsp:val=&quot;00A24F34&quot;/&gt;&lt;wsp:rsid wsp:val=&quot;00A25ADF&quot;/&gt;&lt;wsp:rsid wsp:val=&quot;00A25B2D&quot;/&gt;&lt;wsp:rsid wsp:val=&quot;00A25B3C&quot;/&gt;&lt;wsp:rsid wsp:val=&quot;00A26420&quot;/&gt;&lt;wsp:rsid wsp:val=&quot;00A26B23&quot;/&gt;&lt;wsp:rsid wsp:val=&quot;00A26D37&quot;/&gt;&lt;wsp:rsid wsp:val=&quot;00A27070&quot;/&gt;&lt;wsp:rsid wsp:val=&quot;00A2751C&quot;/&gt;&lt;wsp:rsid wsp:val=&quot;00A30410&quot;/&gt;&lt;wsp:rsid wsp:val=&quot;00A30751&quot;/&gt;&lt;wsp:rsid wsp:val=&quot;00A312FA&quot;/&gt;&lt;wsp:rsid wsp:val=&quot;00A31EF2&quot;/&gt;&lt;wsp:rsid wsp:val=&quot;00A32164&quot;/&gt;&lt;wsp:rsid wsp:val=&quot;00A322FB&quot;/&gt;&lt;wsp:rsid wsp:val=&quot;00A323DB&quot;/&gt;&lt;wsp:rsid wsp:val=&quot;00A325B2&quot;/&gt;&lt;wsp:rsid wsp:val=&quot;00A32CD9&quot;/&gt;&lt;wsp:rsid wsp:val=&quot;00A33690&quot;/&gt;&lt;wsp:rsid wsp:val=&quot;00A336D1&quot;/&gt;&lt;wsp:rsid wsp:val=&quot;00A33EDC&quot;/&gt;&lt;wsp:rsid wsp:val=&quot;00A35CE6&quot;/&gt;&lt;wsp:rsid wsp:val=&quot;00A36385&quot;/&gt;&lt;wsp:rsid wsp:val=&quot;00A367FA&quot;/&gt;&lt;wsp:rsid wsp:val=&quot;00A369FB&quot;/&gt;&lt;wsp:rsid wsp:val=&quot;00A36BC7&quot;/&gt;&lt;wsp:rsid wsp:val=&quot;00A36E8F&quot;/&gt;&lt;wsp:rsid wsp:val=&quot;00A372BF&quot;/&gt;&lt;wsp:rsid wsp:val=&quot;00A40254&quot;/&gt;&lt;wsp:rsid wsp:val=&quot;00A42C03&quot;/&gt;&lt;wsp:rsid wsp:val=&quot;00A42D6A&quot;/&gt;&lt;wsp:rsid wsp:val=&quot;00A430C9&quot;/&gt;&lt;wsp:rsid wsp:val=&quot;00A4316C&quot;/&gt;&lt;wsp:rsid wsp:val=&quot;00A433CD&quot;/&gt;&lt;wsp:rsid wsp:val=&quot;00A44288&quot;/&gt;&lt;wsp:rsid wsp:val=&quot;00A45495&quot;/&gt;&lt;wsp:rsid wsp:val=&quot;00A47557&quot;/&gt;&lt;wsp:rsid wsp:val=&quot;00A4775F&quot;/&gt;&lt;wsp:rsid wsp:val=&quot;00A47954&quot;/&gt;&lt;wsp:rsid wsp:val=&quot;00A500C2&quot;/&gt;&lt;wsp:rsid wsp:val=&quot;00A50422&quot;/&gt;&lt;wsp:rsid wsp:val=&quot;00A50D42&quot;/&gt;&lt;wsp:rsid wsp:val=&quot;00A50D64&quot;/&gt;&lt;wsp:rsid wsp:val=&quot;00A5163D&quot;/&gt;&lt;wsp:rsid wsp:val=&quot;00A51721&quot;/&gt;&lt;wsp:rsid wsp:val=&quot;00A52B77&quot;/&gt;&lt;wsp:rsid wsp:val=&quot;00A52EE1&quot;/&gt;&lt;wsp:rsid wsp:val=&quot;00A53851&quot;/&gt;&lt;wsp:rsid wsp:val=&quot;00A54352&quot;/&gt;&lt;wsp:rsid wsp:val=&quot;00A543F9&quot;/&gt;&lt;wsp:rsid wsp:val=&quot;00A5449C&quot;/&gt;&lt;wsp:rsid wsp:val=&quot;00A55625&quot;/&gt;&lt;wsp:rsid wsp:val=&quot;00A56461&quot;/&gt;&lt;wsp:rsid wsp:val=&quot;00A564E1&quot;/&gt;&lt;wsp:rsid wsp:val=&quot;00A56A6F&quot;/&gt;&lt;wsp:rsid wsp:val=&quot;00A60259&quot;/&gt;&lt;wsp:rsid wsp:val=&quot;00A604D4&quot;/&gt;&lt;wsp:rsid wsp:val=&quot;00A60626&quot;/&gt;&lt;wsp:rsid wsp:val=&quot;00A60BF8&quot;/&gt;&lt;wsp:rsid wsp:val=&quot;00A6119E&quot;/&gt;&lt;wsp:rsid wsp:val=&quot;00A617A2&quot;/&gt;&lt;wsp:rsid wsp:val=&quot;00A61C3B&quot;/&gt;&lt;wsp:rsid wsp:val=&quot;00A623E6&quot;/&gt;&lt;wsp:rsid wsp:val=&quot;00A62B53&quot;/&gt;&lt;wsp:rsid wsp:val=&quot;00A62F70&quot;/&gt;&lt;wsp:rsid wsp:val=&quot;00A6333B&quot;/&gt;&lt;wsp:rsid wsp:val=&quot;00A634D0&quot;/&gt;&lt;wsp:rsid wsp:val=&quot;00A63B9A&quot;/&gt;&lt;wsp:rsid wsp:val=&quot;00A64D17&quot;/&gt;&lt;wsp:rsid wsp:val=&quot;00A64EC6&quot;/&gt;&lt;wsp:rsid wsp:val=&quot;00A66006&quot;/&gt;&lt;wsp:rsid wsp:val=&quot;00A66265&quot;/&gt;&lt;wsp:rsid wsp:val=&quot;00A66287&quot;/&gt;&lt;wsp:rsid wsp:val=&quot;00A6708D&quot;/&gt;&lt;wsp:rsid wsp:val=&quot;00A6782A&quot;/&gt;&lt;wsp:rsid wsp:val=&quot;00A705AC&quot;/&gt;&lt;wsp:rsid wsp:val=&quot;00A7161F&quot;/&gt;&lt;wsp:rsid wsp:val=&quot;00A71744&quot;/&gt;&lt;wsp:rsid wsp:val=&quot;00A71DAB&quot;/&gt;&lt;wsp:rsid wsp:val=&quot;00A720C8&quot;/&gt;&lt;wsp:rsid wsp:val=&quot;00A7423A&quot;/&gt;&lt;wsp:rsid wsp:val=&quot;00A7472C&quot;/&gt;&lt;wsp:rsid wsp:val=&quot;00A75686&quot;/&gt;&lt;wsp:rsid wsp:val=&quot;00A75E2D&quot;/&gt;&lt;wsp:rsid wsp:val=&quot;00A7611B&quot;/&gt;&lt;wsp:rsid wsp:val=&quot;00A765B0&quot;/&gt;&lt;wsp:rsid wsp:val=&quot;00A76E46&quot;/&gt;&lt;wsp:rsid wsp:val=&quot;00A76FE9&quot;/&gt;&lt;wsp:rsid wsp:val=&quot;00A77718&quot;/&gt;&lt;wsp:rsid wsp:val=&quot;00A77B97&quot;/&gt;&lt;wsp:rsid wsp:val=&quot;00A828E2&quot;/&gt;&lt;wsp:rsid wsp:val=&quot;00A82F68&quot;/&gt;&lt;wsp:rsid wsp:val=&quot;00A82F6D&quot;/&gt;&lt;wsp:rsid wsp:val=&quot;00A831DB&quot;/&gt;&lt;wsp:rsid wsp:val=&quot;00A8374F&quot;/&gt;&lt;wsp:rsid wsp:val=&quot;00A839A8&quot;/&gt;&lt;wsp:rsid wsp:val=&quot;00A83D95&quot;/&gt;&lt;wsp:rsid wsp:val=&quot;00A83FD5&quot;/&gt;&lt;wsp:rsid wsp:val=&quot;00A846BA&quot;/&gt;&lt;wsp:rsid wsp:val=&quot;00A84A61&quot;/&gt;&lt;wsp:rsid wsp:val=&quot;00A855FF&quot;/&gt;&lt;wsp:rsid wsp:val=&quot;00A85D93&quot;/&gt;&lt;wsp:rsid wsp:val=&quot;00A85E33&quot;/&gt;&lt;wsp:rsid wsp:val=&quot;00A86271&quot;/&gt;&lt;wsp:rsid wsp:val=&quot;00A87317&quot;/&gt;&lt;wsp:rsid wsp:val=&quot;00A8738C&quot;/&gt;&lt;wsp:rsid wsp:val=&quot;00A87E4B&quot;/&gt;&lt;wsp:rsid wsp:val=&quot;00A9013A&quot;/&gt;&lt;wsp:rsid wsp:val=&quot;00A922C4&quot;/&gt;&lt;wsp:rsid wsp:val=&quot;00A92B22&quot;/&gt;&lt;wsp:rsid wsp:val=&quot;00A931B8&quot;/&gt;&lt;wsp:rsid wsp:val=&quot;00A9324F&quot;/&gt;&lt;wsp:rsid wsp:val=&quot;00A9328D&quot;/&gt;&lt;wsp:rsid wsp:val=&quot;00A9489B&quot;/&gt;&lt;wsp:rsid wsp:val=&quot;00A94BB4&quot;/&gt;&lt;wsp:rsid wsp:val=&quot;00A94DC4&quot;/&gt;&lt;wsp:rsid wsp:val=&quot;00A95004&quot;/&gt;&lt;wsp:rsid wsp:val=&quot;00A950F5&quot;/&gt;&lt;wsp:rsid wsp:val=&quot;00A952A6&quot;/&gt;&lt;wsp:rsid wsp:val=&quot;00A96E6F&quot;/&gt;&lt;wsp:rsid wsp:val=&quot;00A97227&quot;/&gt;&lt;wsp:rsid wsp:val=&quot;00A972E4&quot;/&gt;&lt;wsp:rsid wsp:val=&quot;00AA0625&quot;/&gt;&lt;wsp:rsid wsp:val=&quot;00AA0811&quot;/&gt;&lt;wsp:rsid wsp:val=&quot;00AA17EA&quot;/&gt;&lt;wsp:rsid wsp:val=&quot;00AA2825&quot;/&gt;&lt;wsp:rsid wsp:val=&quot;00AA2A50&quot;/&gt;&lt;wsp:rsid wsp:val=&quot;00AA2E9A&quot;/&gt;&lt;wsp:rsid wsp:val=&quot;00AA4044&quot;/&gt;&lt;wsp:rsid wsp:val=&quot;00AA4327&quot;/&gt;&lt;wsp:rsid wsp:val=&quot;00AA484D&quot;/&gt;&lt;wsp:rsid wsp:val=&quot;00AA4B58&quot;/&gt;&lt;wsp:rsid wsp:val=&quot;00AA53CB&quot;/&gt;&lt;wsp:rsid wsp:val=&quot;00AA6489&quot;/&gt;&lt;wsp:rsid wsp:val=&quot;00AA6BDD&quot;/&gt;&lt;wsp:rsid wsp:val=&quot;00AA72B4&quot;/&gt;&lt;wsp:rsid wsp:val=&quot;00AB04C7&quot;/&gt;&lt;wsp:rsid wsp:val=&quot;00AB1809&quot;/&gt;&lt;wsp:rsid wsp:val=&quot;00AB1DF4&quot;/&gt;&lt;wsp:rsid wsp:val=&quot;00AB2854&quot;/&gt;&lt;wsp:rsid wsp:val=&quot;00AB2D59&quot;/&gt;&lt;wsp:rsid wsp:val=&quot;00AB2E24&quot;/&gt;&lt;wsp:rsid wsp:val=&quot;00AB491E&quot;/&gt;&lt;wsp:rsid wsp:val=&quot;00AB4EB1&quot;/&gt;&lt;wsp:rsid wsp:val=&quot;00AB5E03&quot;/&gt;&lt;wsp:rsid wsp:val=&quot;00AC030D&quot;/&gt;&lt;wsp:rsid wsp:val=&quot;00AC0C02&quot;/&gt;&lt;wsp:rsid wsp:val=&quot;00AC11A6&quot;/&gt;&lt;wsp:rsid wsp:val=&quot;00AC1FD7&quot;/&gt;&lt;wsp:rsid wsp:val=&quot;00AC24F7&quot;/&gt;&lt;wsp:rsid wsp:val=&quot;00AC273F&quot;/&gt;&lt;wsp:rsid wsp:val=&quot;00AC2FB2&quot;/&gt;&lt;wsp:rsid wsp:val=&quot;00AC38C0&quot;/&gt;&lt;wsp:rsid wsp:val=&quot;00AC3E59&quot;/&gt;&lt;wsp:rsid wsp:val=&quot;00AC4050&quot;/&gt;&lt;wsp:rsid wsp:val=&quot;00AC4166&quot;/&gt;&lt;wsp:rsid wsp:val=&quot;00AC44BD&quot;/&gt;&lt;wsp:rsid wsp:val=&quot;00AC45B0&quot;/&gt;&lt;wsp:rsid wsp:val=&quot;00AC6BB4&quot;/&gt;&lt;wsp:rsid wsp:val=&quot;00AC6BC0&quot;/&gt;&lt;wsp:rsid wsp:val=&quot;00AC7342&quot;/&gt;&lt;wsp:rsid wsp:val=&quot;00AC78E7&quot;/&gt;&lt;wsp:rsid wsp:val=&quot;00AD22A4&quot;/&gt;&lt;wsp:rsid wsp:val=&quot;00AD30BB&quot;/&gt;&lt;wsp:rsid wsp:val=&quot;00AD40C8&quot;/&gt;&lt;wsp:rsid wsp:val=&quot;00AD43F8&quot;/&gt;&lt;wsp:rsid wsp:val=&quot;00AD54E1&quot;/&gt;&lt;wsp:rsid wsp:val=&quot;00AD5959&quot;/&gt;&lt;wsp:rsid wsp:val=&quot;00AD6EB2&quot;/&gt;&lt;wsp:rsid wsp:val=&quot;00AE1F79&quot;/&gt;&lt;wsp:rsid wsp:val=&quot;00AE2575&quot;/&gt;&lt;wsp:rsid wsp:val=&quot;00AE2896&quot;/&gt;&lt;wsp:rsid wsp:val=&quot;00AE2B83&quot;/&gt;&lt;wsp:rsid wsp:val=&quot;00AE32DD&quot;/&gt;&lt;wsp:rsid wsp:val=&quot;00AE6222&quot;/&gt;&lt;wsp:rsid wsp:val=&quot;00AE781C&quot;/&gt;&lt;wsp:rsid wsp:val=&quot;00AF0115&quot;/&gt;&lt;wsp:rsid wsp:val=&quot;00AF016D&quot;/&gt;&lt;wsp:rsid wsp:val=&quot;00AF06E9&quot;/&gt;&lt;wsp:rsid wsp:val=&quot;00AF11DE&quot;/&gt;&lt;wsp:rsid wsp:val=&quot;00AF12EA&quot;/&gt;&lt;wsp:rsid wsp:val=&quot;00AF16B5&quot;/&gt;&lt;wsp:rsid wsp:val=&quot;00AF203B&quot;/&gt;&lt;wsp:rsid wsp:val=&quot;00AF20C4&quot;/&gt;&lt;wsp:rsid wsp:val=&quot;00AF2408&quot;/&gt;&lt;wsp:rsid wsp:val=&quot;00AF27FF&quot;/&gt;&lt;wsp:rsid wsp:val=&quot;00AF2A32&quot;/&gt;&lt;wsp:rsid wsp:val=&quot;00AF2D50&quot;/&gt;&lt;wsp:rsid wsp:val=&quot;00AF32DE&quot;/&gt;&lt;wsp:rsid wsp:val=&quot;00AF3BD2&quot;/&gt;&lt;wsp:rsid wsp:val=&quot;00AF4C48&quot;/&gt;&lt;wsp:rsid wsp:val=&quot;00AF4CD6&quot;/&gt;&lt;wsp:rsid wsp:val=&quot;00AF4F44&quot;/&gt;&lt;wsp:rsid wsp:val=&quot;00AF5868&quot;/&gt;&lt;wsp:rsid wsp:val=&quot;00AF5A20&quot;/&gt;&lt;wsp:rsid wsp:val=&quot;00AF5ACE&quot;/&gt;&lt;wsp:rsid wsp:val=&quot;00AF5AD3&quot;/&gt;&lt;wsp:rsid wsp:val=&quot;00AF5F16&quot;/&gt;&lt;wsp:rsid wsp:val=&quot;00B00860&quot;/&gt;&lt;wsp:rsid wsp:val=&quot;00B00E5D&quot;/&gt;&lt;wsp:rsid wsp:val=&quot;00B010D2&quot;/&gt;&lt;wsp:rsid wsp:val=&quot;00B0156A&quot;/&gt;&lt;wsp:rsid wsp:val=&quot;00B017BA&quot;/&gt;&lt;wsp:rsid wsp:val=&quot;00B019D3&quot;/&gt;&lt;wsp:rsid wsp:val=&quot;00B01AB7&quot;/&gt;&lt;wsp:rsid wsp:val=&quot;00B02F02&quot;/&gt;&lt;wsp:rsid wsp:val=&quot;00B031F7&quot;/&gt;&lt;wsp:rsid wsp:val=&quot;00B0370E&quot;/&gt;&lt;wsp:rsid wsp:val=&quot;00B03DE1&quot;/&gt;&lt;wsp:rsid wsp:val=&quot;00B03E68&quot;/&gt;&lt;wsp:rsid wsp:val=&quot;00B04D31&quot;/&gt;&lt;wsp:rsid wsp:val=&quot;00B05204&quot;/&gt;&lt;wsp:rsid wsp:val=&quot;00B05DAB&quot;/&gt;&lt;wsp:rsid wsp:val=&quot;00B0648F&quot;/&gt;&lt;wsp:rsid wsp:val=&quot;00B067CF&quot;/&gt;&lt;wsp:rsid wsp:val=&quot;00B06CED&quot;/&gt;&lt;wsp:rsid wsp:val=&quot;00B0755C&quot;/&gt;&lt;wsp:rsid wsp:val=&quot;00B07C17&quot;/&gt;&lt;wsp:rsid wsp:val=&quot;00B10380&quot;/&gt;&lt;wsp:rsid wsp:val=&quot;00B10421&quot;/&gt;&lt;wsp:rsid wsp:val=&quot;00B10A6B&quot;/&gt;&lt;wsp:rsid wsp:val=&quot;00B11951&quot;/&gt;&lt;wsp:rsid wsp:val=&quot;00B1264A&quot;/&gt;&lt;wsp:rsid wsp:val=&quot;00B1355A&quot;/&gt;&lt;wsp:rsid wsp:val=&quot;00B14F6E&quot;/&gt;&lt;wsp:rsid wsp:val=&quot;00B15767&quot;/&gt;&lt;wsp:rsid wsp:val=&quot;00B1614E&quot;/&gt;&lt;wsp:rsid wsp:val=&quot;00B164C5&quot;/&gt;&lt;wsp:rsid wsp:val=&quot;00B204A7&quot;/&gt;&lt;wsp:rsid wsp:val=&quot;00B21229&quot;/&gt;&lt;wsp:rsid wsp:val=&quot;00B215F0&quot;/&gt;&lt;wsp:rsid wsp:val=&quot;00B2181B&quot;/&gt;&lt;wsp:rsid wsp:val=&quot;00B2190A&quot;/&gt;&lt;wsp:rsid wsp:val=&quot;00B22824&quot;/&gt;&lt;wsp:rsid wsp:val=&quot;00B235BF&quot;/&gt;&lt;wsp:rsid wsp:val=&quot;00B24695&quot;/&gt;&lt;wsp:rsid wsp:val=&quot;00B246FE&quot;/&gt;&lt;wsp:rsid wsp:val=&quot;00B24E7C&quot;/&gt;&lt;wsp:rsid wsp:val=&quot;00B258C5&quot;/&gt;&lt;wsp:rsid wsp:val=&quot;00B25F03&quot;/&gt;&lt;wsp:rsid wsp:val=&quot;00B27053&quot;/&gt;&lt;wsp:rsid wsp:val=&quot;00B27158&quot;/&gt;&lt;wsp:rsid wsp:val=&quot;00B27218&quot;/&gt;&lt;wsp:rsid wsp:val=&quot;00B272CA&quot;/&gt;&lt;wsp:rsid wsp:val=&quot;00B272E3&quot;/&gt;&lt;wsp:rsid wsp:val=&quot;00B30893&quot;/&gt;&lt;wsp:rsid wsp:val=&quot;00B310F6&quot;/&gt;&lt;wsp:rsid wsp:val=&quot;00B31293&quot;/&gt;&lt;wsp:rsid wsp:val=&quot;00B319F2&quot;/&gt;&lt;wsp:rsid wsp:val=&quot;00B31AE3&quot;/&gt;&lt;wsp:rsid wsp:val=&quot;00B32202&quot;/&gt;&lt;wsp:rsid wsp:val=&quot;00B32EC4&quot;/&gt;&lt;wsp:rsid wsp:val=&quot;00B332EA&quot;/&gt;&lt;wsp:rsid wsp:val=&quot;00B34303&quot;/&gt;&lt;wsp:rsid wsp:val=&quot;00B344ED&quot;/&gt;&lt;wsp:rsid wsp:val=&quot;00B345F3&quot;/&gt;&lt;wsp:rsid wsp:val=&quot;00B35492&quot;/&gt;&lt;wsp:rsid wsp:val=&quot;00B358E9&quot;/&gt;&lt;wsp:rsid wsp:val=&quot;00B359B0&quot;/&gt;&lt;wsp:rsid wsp:val=&quot;00B35F7C&quot;/&gt;&lt;wsp:rsid wsp:val=&quot;00B365E0&quot;/&gt;&lt;wsp:rsid wsp:val=&quot;00B36F84&quot;/&gt;&lt;wsp:rsid wsp:val=&quot;00B36FC4&quot;/&gt;&lt;wsp:rsid wsp:val=&quot;00B37142&quot;/&gt;&lt;wsp:rsid wsp:val=&quot;00B40652&quot;/&gt;&lt;wsp:rsid wsp:val=&quot;00B40A8F&quot;/&gt;&lt;wsp:rsid wsp:val=&quot;00B40D08&quot;/&gt;&lt;wsp:rsid wsp:val=&quot;00B40E7B&quot;/&gt;&lt;wsp:rsid wsp:val=&quot;00B410A5&quot;/&gt;&lt;wsp:rsid wsp:val=&quot;00B4225E&quot;/&gt;&lt;wsp:rsid wsp:val=&quot;00B428D1&quot;/&gt;&lt;wsp:rsid wsp:val=&quot;00B429AF&quot;/&gt;&lt;wsp:rsid wsp:val=&quot;00B42CF0&quot;/&gt;&lt;wsp:rsid wsp:val=&quot;00B43170&quot;/&gt;&lt;wsp:rsid wsp:val=&quot;00B43236&quot;/&gt;&lt;wsp:rsid wsp:val=&quot;00B43D60&quot;/&gt;&lt;wsp:rsid wsp:val=&quot;00B44DFB&quot;/&gt;&lt;wsp:rsid wsp:val=&quot;00B4510F&quot;/&gt;&lt;wsp:rsid wsp:val=&quot;00B451C0&quot;/&gt;&lt;wsp:rsid wsp:val=&quot;00B46A50&quot;/&gt;&lt;wsp:rsid wsp:val=&quot;00B46BF1&quot;/&gt;&lt;wsp:rsid wsp:val=&quot;00B46BF3&quot;/&gt;&lt;wsp:rsid wsp:val=&quot;00B46C08&quot;/&gt;&lt;wsp:rsid wsp:val=&quot;00B46E9B&quot;/&gt;&lt;wsp:rsid wsp:val=&quot;00B473CA&quot;/&gt;&lt;wsp:rsid wsp:val=&quot;00B50560&quot;/&gt;&lt;wsp:rsid wsp:val=&quot;00B50586&quot;/&gt;&lt;wsp:rsid wsp:val=&quot;00B50957&quot;/&gt;&lt;wsp:rsid wsp:val=&quot;00B516FB&quot;/&gt;&lt;wsp:rsid wsp:val=&quot;00B51B30&quot;/&gt;&lt;wsp:rsid wsp:val=&quot;00B51FED&quot;/&gt;&lt;wsp:rsid wsp:val=&quot;00B521F6&quot;/&gt;&lt;wsp:rsid wsp:val=&quot;00B528BD&quot;/&gt;&lt;wsp:rsid wsp:val=&quot;00B5362D&quot;/&gt;&lt;wsp:rsid wsp:val=&quot;00B53AB4&quot;/&gt;&lt;wsp:rsid wsp:val=&quot;00B53FCA&quot;/&gt;&lt;wsp:rsid wsp:val=&quot;00B55BAB&quot;/&gt;&lt;wsp:rsid wsp:val=&quot;00B55F7F&quot;/&gt;&lt;wsp:rsid wsp:val=&quot;00B5626A&quot;/&gt;&lt;wsp:rsid wsp:val=&quot;00B5638B&quot;/&gt;&lt;wsp:rsid wsp:val=&quot;00B56652&quot;/&gt;&lt;wsp:rsid wsp:val=&quot;00B569E4&quot;/&gt;&lt;wsp:rsid wsp:val=&quot;00B56F4C&quot;/&gt;&lt;wsp:rsid wsp:val=&quot;00B6055E&quot;/&gt;&lt;wsp:rsid wsp:val=&quot;00B605A6&quot;/&gt;&lt;wsp:rsid wsp:val=&quot;00B60A16&quot;/&gt;&lt;wsp:rsid wsp:val=&quot;00B60C71&quot;/&gt;&lt;wsp:rsid wsp:val=&quot;00B60CAF&quot;/&gt;&lt;wsp:rsid wsp:val=&quot;00B6130A&quot;/&gt;&lt;wsp:rsid wsp:val=&quot;00B61D42&quot;/&gt;&lt;wsp:rsid wsp:val=&quot;00B61F49&quot;/&gt;&lt;wsp:rsid wsp:val=&quot;00B62346&quot;/&gt;&lt;wsp:rsid wsp:val=&quot;00B624E3&quot;/&gt;&lt;wsp:rsid wsp:val=&quot;00B62DD4&quot;/&gt;&lt;wsp:rsid wsp:val=&quot;00B635EA&quot;/&gt;&lt;wsp:rsid wsp:val=&quot;00B639E4&quot;/&gt;&lt;wsp:rsid wsp:val=&quot;00B63D87&quot;/&gt;&lt;wsp:rsid wsp:val=&quot;00B63E5E&quot;/&gt;&lt;wsp:rsid wsp:val=&quot;00B65103&quot;/&gt;&lt;wsp:rsid wsp:val=&quot;00B66089&quot;/&gt;&lt;wsp:rsid wsp:val=&quot;00B660E8&quot;/&gt;&lt;wsp:rsid wsp:val=&quot;00B664A0&quot;/&gt;&lt;wsp:rsid wsp:val=&quot;00B6664A&quot;/&gt;&lt;wsp:rsid wsp:val=&quot;00B668C8&quot;/&gt;&lt;wsp:rsid wsp:val=&quot;00B6715C&quot;/&gt;&lt;wsp:rsid wsp:val=&quot;00B67939&quot;/&gt;&lt;wsp:rsid wsp:val=&quot;00B67BDB&quot;/&gt;&lt;wsp:rsid wsp:val=&quot;00B70432&quot;/&gt;&lt;wsp:rsid wsp:val=&quot;00B7126F&quot;/&gt;&lt;wsp:rsid wsp:val=&quot;00B713E3&quot;/&gt;&lt;wsp:rsid wsp:val=&quot;00B715FC&quot;/&gt;&lt;wsp:rsid wsp:val=&quot;00B7161A&quot;/&gt;&lt;wsp:rsid wsp:val=&quot;00B719A9&quot;/&gt;&lt;wsp:rsid wsp:val=&quot;00B71FC8&quot;/&gt;&lt;wsp:rsid wsp:val=&quot;00B722C4&quot;/&gt;&lt;wsp:rsid wsp:val=&quot;00B724AA&quot;/&gt;&lt;wsp:rsid wsp:val=&quot;00B7349C&quot;/&gt;&lt;wsp:rsid wsp:val=&quot;00B7360A&quot;/&gt;&lt;wsp:rsid wsp:val=&quot;00B73DA5&quot;/&gt;&lt;wsp:rsid wsp:val=&quot;00B7403B&quot;/&gt;&lt;wsp:rsid wsp:val=&quot;00B7489E&quot;/&gt;&lt;wsp:rsid wsp:val=&quot;00B74D56&quot;/&gt;&lt;wsp:rsid wsp:val=&quot;00B75202&quot;/&gt;&lt;wsp:rsid wsp:val=&quot;00B75262&quot;/&gt;&lt;wsp:rsid wsp:val=&quot;00B75301&quot;/&gt;&lt;wsp:rsid wsp:val=&quot;00B756E9&quot;/&gt;&lt;wsp:rsid wsp:val=&quot;00B75F7C&quot;/&gt;&lt;wsp:rsid wsp:val=&quot;00B766C8&quot;/&gt;&lt;wsp:rsid wsp:val=&quot;00B77CD7&quot;/&gt;&lt;wsp:rsid wsp:val=&quot;00B77F1C&quot;/&gt;&lt;wsp:rsid wsp:val=&quot;00B800E6&quot;/&gt;&lt;wsp:rsid wsp:val=&quot;00B80134&quot;/&gt;&lt;wsp:rsid wsp:val=&quot;00B80A1B&quot;/&gt;&lt;wsp:rsid wsp:val=&quot;00B815EB&quot;/&gt;&lt;wsp:rsid wsp:val=&quot;00B824F9&quot;/&gt;&lt;wsp:rsid wsp:val=&quot;00B8463E&quot;/&gt;&lt;wsp:rsid wsp:val=&quot;00B84930&quot;/&gt;&lt;wsp:rsid wsp:val=&quot;00B85075&quot;/&gt;&lt;wsp:rsid wsp:val=&quot;00B865F3&quot;/&gt;&lt;wsp:rsid wsp:val=&quot;00B8667B&quot;/&gt;&lt;wsp:rsid wsp:val=&quot;00B868E5&quot;/&gt;&lt;wsp:rsid wsp:val=&quot;00B87196&quot;/&gt;&lt;wsp:rsid wsp:val=&quot;00B8723C&quot;/&gt;&lt;wsp:rsid wsp:val=&quot;00B90166&quot;/&gt;&lt;wsp:rsid wsp:val=&quot;00B90597&quot;/&gt;&lt;wsp:rsid wsp:val=&quot;00B9086D&quot;/&gt;&lt;wsp:rsid wsp:val=&quot;00B90A32&quot;/&gt;&lt;wsp:rsid wsp:val=&quot;00B9101C&quot;/&gt;&lt;wsp:rsid wsp:val=&quot;00B9172D&quot;/&gt;&lt;wsp:rsid wsp:val=&quot;00B918E6&quot;/&gt;&lt;wsp:rsid wsp:val=&quot;00B92573&quot;/&gt;&lt;wsp:rsid wsp:val=&quot;00B93142&quot;/&gt;&lt;wsp:rsid wsp:val=&quot;00B936CB&quot;/&gt;&lt;wsp:rsid wsp:val=&quot;00B93B6E&quot;/&gt;&lt;wsp:rsid wsp:val=&quot;00B94754&quot;/&gt;&lt;wsp:rsid wsp:val=&quot;00B95747&quot;/&gt;&lt;wsp:rsid wsp:val=&quot;00B97CE0&quot;/&gt;&lt;wsp:rsid wsp:val=&quot;00B97DDF&quot;/&gt;&lt;wsp:rsid wsp:val=&quot;00BA0398&quot;/&gt;&lt;wsp:rsid wsp:val=&quot;00BA0432&quot;/&gt;&lt;wsp:rsid wsp:val=&quot;00BA06A0&quot;/&gt;&lt;wsp:rsid wsp:val=&quot;00BA1074&quot;/&gt;&lt;wsp:rsid wsp:val=&quot;00BA1328&quot;/&gt;&lt;wsp:rsid wsp:val=&quot;00BA142E&quot;/&gt;&lt;wsp:rsid wsp:val=&quot;00BA2028&quot;/&gt;&lt;wsp:rsid wsp:val=&quot;00BA3231&quot;/&gt;&lt;wsp:rsid wsp:val=&quot;00BA4182&quot;/&gt;&lt;wsp:rsid wsp:val=&quot;00BA424A&quot;/&gt;&lt;wsp:rsid wsp:val=&quot;00BA56B3&quot;/&gt;&lt;wsp:rsid wsp:val=&quot;00BA578E&quot;/&gt;&lt;wsp:rsid wsp:val=&quot;00BA58CA&quot;/&gt;&lt;wsp:rsid wsp:val=&quot;00BA78DA&quot;/&gt;&lt;wsp:rsid wsp:val=&quot;00BA7994&quot;/&gt;&lt;wsp:rsid wsp:val=&quot;00BB0C00&quot;/&gt;&lt;wsp:rsid wsp:val=&quot;00BB132E&quot;/&gt;&lt;wsp:rsid wsp:val=&quot;00BB1437&quot;/&gt;&lt;wsp:rsid wsp:val=&quot;00BB233A&quot;/&gt;&lt;wsp:rsid wsp:val=&quot;00BB3B57&quot;/&gt;&lt;wsp:rsid wsp:val=&quot;00BB3EA5&quot;/&gt;&lt;wsp:rsid wsp:val=&quot;00BB444E&quot;/&gt;&lt;wsp:rsid wsp:val=&quot;00BB49D8&quot;/&gt;&lt;wsp:rsid wsp:val=&quot;00BB5257&quot;/&gt;&lt;wsp:rsid wsp:val=&quot;00BB5D38&quot;/&gt;&lt;wsp:rsid wsp:val=&quot;00BB6199&quot;/&gt;&lt;wsp:rsid wsp:val=&quot;00BB6924&quot;/&gt;&lt;wsp:rsid wsp:val=&quot;00BB69DA&quot;/&gt;&lt;wsp:rsid wsp:val=&quot;00BB6E7F&quot;/&gt;&lt;wsp:rsid wsp:val=&quot;00BB7BC7&quot;/&gt;&lt;wsp:rsid wsp:val=&quot;00BC02E8&quot;/&gt;&lt;wsp:rsid wsp:val=&quot;00BC3646&quot;/&gt;&lt;wsp:rsid wsp:val=&quot;00BC4019&quot;/&gt;&lt;wsp:rsid wsp:val=&quot;00BC4FB4&quot;/&gt;&lt;wsp:rsid wsp:val=&quot;00BC51D0&quot;/&gt;&lt;wsp:rsid wsp:val=&quot;00BC53F1&quot;/&gt;&lt;wsp:rsid wsp:val=&quot;00BC5C25&quot;/&gt;&lt;wsp:rsid wsp:val=&quot;00BC5D52&quot;/&gt;&lt;wsp:rsid wsp:val=&quot;00BC60C7&quot;/&gt;&lt;wsp:rsid wsp:val=&quot;00BC690E&quot;/&gt;&lt;wsp:rsid wsp:val=&quot;00BC71C8&quot;/&gt;&lt;wsp:rsid wsp:val=&quot;00BC7AB1&quot;/&gt;&lt;wsp:rsid wsp:val=&quot;00BD0085&quot;/&gt;&lt;wsp:rsid wsp:val=&quot;00BD19C5&quot;/&gt;&lt;wsp:rsid wsp:val=&quot;00BD1DBC&quot;/&gt;&lt;wsp:rsid wsp:val=&quot;00BD21B4&quot;/&gt;&lt;wsp:rsid wsp:val=&quot;00BD2393&quot;/&gt;&lt;wsp:rsid wsp:val=&quot;00BD32F2&quot;/&gt;&lt;wsp:rsid wsp:val=&quot;00BD4E88&quot;/&gt;&lt;wsp:rsid wsp:val=&quot;00BD5688&quot;/&gt;&lt;wsp:rsid wsp:val=&quot;00BD58E3&quot;/&gt;&lt;wsp:rsid wsp:val=&quot;00BD59BF&quot;/&gt;&lt;wsp:rsid wsp:val=&quot;00BD60DE&quot;/&gt;&lt;wsp:rsid wsp:val=&quot;00BD62CA&quot;/&gt;&lt;wsp:rsid wsp:val=&quot;00BD67CA&quot;/&gt;&lt;wsp:rsid wsp:val=&quot;00BD68C4&quot;/&gt;&lt;wsp:rsid wsp:val=&quot;00BD7019&quot;/&gt;&lt;wsp:rsid wsp:val=&quot;00BD7211&quot;/&gt;&lt;wsp:rsid wsp:val=&quot;00BD773D&quot;/&gt;&lt;wsp:rsid wsp:val=&quot;00BD7C62&quot;/&gt;&lt;wsp:rsid wsp:val=&quot;00BD7F8A&quot;/&gt;&lt;wsp:rsid wsp:val=&quot;00BE00DA&quot;/&gt;&lt;wsp:rsid wsp:val=&quot;00BE030C&quot;/&gt;&lt;wsp:rsid wsp:val=&quot;00BE0424&quot;/&gt;&lt;wsp:rsid wsp:val=&quot;00BE05D7&quot;/&gt;&lt;wsp:rsid wsp:val=&quot;00BE079B&quot;/&gt;&lt;wsp:rsid wsp:val=&quot;00BE08C9&quot;/&gt;&lt;wsp:rsid wsp:val=&quot;00BE0DBC&quot;/&gt;&lt;wsp:rsid wsp:val=&quot;00BE101C&quot;/&gt;&lt;wsp:rsid wsp:val=&quot;00BE1DF2&quot;/&gt;&lt;wsp:rsid wsp:val=&quot;00BE1E71&quot;/&gt;&lt;wsp:rsid wsp:val=&quot;00BE3926&quot;/&gt;&lt;wsp:rsid wsp:val=&quot;00BE3DDF&quot;/&gt;&lt;wsp:rsid wsp:val=&quot;00BE4B38&quot;/&gt;&lt;wsp:rsid wsp:val=&quot;00BE644B&quot;/&gt;&lt;wsp:rsid wsp:val=&quot;00BE6877&quot;/&gt;&lt;wsp:rsid wsp:val=&quot;00BE6CDD&quot;/&gt;&lt;wsp:rsid wsp:val=&quot;00BE737F&quot;/&gt;&lt;wsp:rsid wsp:val=&quot;00BE7702&quot;/&gt;&lt;wsp:rsid wsp:val=&quot;00BE7C3D&quot;/&gt;&lt;wsp:rsid wsp:val=&quot;00BF0539&quot;/&gt;&lt;wsp:rsid wsp:val=&quot;00BF0FA7&quot;/&gt;&lt;wsp:rsid wsp:val=&quot;00BF2151&quot;/&gt;&lt;wsp:rsid wsp:val=&quot;00BF2B6C&quot;/&gt;&lt;wsp:rsid wsp:val=&quot;00BF2ECD&quot;/&gt;&lt;wsp:rsid wsp:val=&quot;00BF37E4&quot;/&gt;&lt;wsp:rsid wsp:val=&quot;00BF3957&quot;/&gt;&lt;wsp:rsid wsp:val=&quot;00BF3B11&quot;/&gt;&lt;wsp:rsid wsp:val=&quot;00BF47B4&quot;/&gt;&lt;wsp:rsid wsp:val=&quot;00BF4A8F&quot;/&gt;&lt;wsp:rsid wsp:val=&quot;00BF4BDF&quot;/&gt;&lt;wsp:rsid wsp:val=&quot;00BF55C6&quot;/&gt;&lt;wsp:rsid wsp:val=&quot;00BF6606&quot;/&gt;&lt;wsp:rsid wsp:val=&quot;00BF6869&quot;/&gt;&lt;wsp:rsid wsp:val=&quot;00BF6CC4&quot;/&gt;&lt;wsp:rsid wsp:val=&quot;00BF75BE&quot;/&gt;&lt;wsp:rsid wsp:val=&quot;00BF761B&quot;/&gt;&lt;wsp:rsid wsp:val=&quot;00C001FF&quot;/&gt;&lt;wsp:rsid wsp:val=&quot;00C006B5&quot;/&gt;&lt;wsp:rsid wsp:val=&quot;00C006F6&quot;/&gt;&lt;wsp:rsid wsp:val=&quot;00C00BD4&quot;/&gt;&lt;wsp:rsid wsp:val=&quot;00C02166&quot;/&gt;&lt;wsp:rsid wsp:val=&quot;00C02777&quot;/&gt;&lt;wsp:rsid wsp:val=&quot;00C02FF6&quot;/&gt;&lt;wsp:rsid wsp:val=&quot;00C03091&quot;/&gt;&lt;wsp:rsid wsp:val=&quot;00C0347A&quot;/&gt;&lt;wsp:rsid wsp:val=&quot;00C0376E&quot;/&gt;&lt;wsp:rsid wsp:val=&quot;00C0436C&quot;/&gt;&lt;wsp:rsid wsp:val=&quot;00C04E08&quot;/&gt;&lt;wsp:rsid wsp:val=&quot;00C05D95&quot;/&gt;&lt;wsp:rsid wsp:val=&quot;00C0602B&quot;/&gt;&lt;wsp:rsid wsp:val=&quot;00C07376&quot;/&gt;&lt;wsp:rsid wsp:val=&quot;00C0778C&quot;/&gt;&lt;wsp:rsid wsp:val=&quot;00C07AB3&quot;/&gt;&lt;wsp:rsid wsp:val=&quot;00C1044C&quot;/&gt;&lt;wsp:rsid wsp:val=&quot;00C104C0&quot;/&gt;&lt;wsp:rsid wsp:val=&quot;00C10660&quot;/&gt;&lt;wsp:rsid wsp:val=&quot;00C10D6D&quot;/&gt;&lt;wsp:rsid wsp:val=&quot;00C111A2&quot;/&gt;&lt;wsp:rsid wsp:val=&quot;00C11342&quot;/&gt;&lt;wsp:rsid wsp:val=&quot;00C1214B&quot;/&gt;&lt;wsp:rsid wsp:val=&quot;00C12BC3&quot;/&gt;&lt;wsp:rsid wsp:val=&quot;00C13538&quot;/&gt;&lt;wsp:rsid wsp:val=&quot;00C13777&quot;/&gt;&lt;wsp:rsid wsp:val=&quot;00C1595B&quot;/&gt;&lt;wsp:rsid wsp:val=&quot;00C16810&quot;/&gt;&lt;wsp:rsid wsp:val=&quot;00C17D9B&quot;/&gt;&lt;wsp:rsid wsp:val=&quot;00C20877&quot;/&gt;&lt;wsp:rsid wsp:val=&quot;00C2127F&quot;/&gt;&lt;wsp:rsid wsp:val=&quot;00C213C0&quot;/&gt;&lt;wsp:rsid wsp:val=&quot;00C2289A&quot;/&gt;&lt;wsp:rsid wsp:val=&quot;00C2371F&quot;/&gt;&lt;wsp:rsid wsp:val=&quot;00C24720&quot;/&gt;&lt;wsp:rsid wsp:val=&quot;00C24939&quot;/&gt;&lt;wsp:rsid wsp:val=&quot;00C24BEC&quot;/&gt;&lt;wsp:rsid wsp:val=&quot;00C25148&quot;/&gt;&lt;wsp:rsid wsp:val=&quot;00C25B4F&quot;/&gt;&lt;wsp:rsid wsp:val=&quot;00C25C52&quot;/&gt;&lt;wsp:rsid wsp:val=&quot;00C26985&quot;/&gt;&lt;wsp:rsid wsp:val=&quot;00C27C16&quot;/&gt;&lt;wsp:rsid wsp:val=&quot;00C27EF3&quot;/&gt;&lt;wsp:rsid wsp:val=&quot;00C3145B&quot;/&gt;&lt;wsp:rsid wsp:val=&quot;00C31549&quot;/&gt;&lt;wsp:rsid wsp:val=&quot;00C315DD&quot;/&gt;&lt;wsp:rsid wsp:val=&quot;00C31B4A&quot;/&gt;&lt;wsp:rsid wsp:val=&quot;00C31F2F&quot;/&gt;&lt;wsp:rsid wsp:val=&quot;00C32B56&quot;/&gt;&lt;wsp:rsid wsp:val=&quot;00C33AFE&quot;/&gt;&lt;wsp:rsid wsp:val=&quot;00C340FF&quot;/&gt;&lt;wsp:rsid wsp:val=&quot;00C34223&quot;/&gt;&lt;wsp:rsid wsp:val=&quot;00C34A61&quot;/&gt;&lt;wsp:rsid wsp:val=&quot;00C34F9A&quot;/&gt;&lt;wsp:rsid wsp:val=&quot;00C35697&quot;/&gt;&lt;wsp:rsid wsp:val=&quot;00C36450&quot;/&gt;&lt;wsp:rsid wsp:val=&quot;00C3688A&quot;/&gt;&lt;wsp:rsid wsp:val=&quot;00C37E5F&quot;/&gt;&lt;wsp:rsid wsp:val=&quot;00C40043&quot;/&gt;&lt;wsp:rsid wsp:val=&quot;00C40D14&quot;/&gt;&lt;wsp:rsid wsp:val=&quot;00C41EB3&quot;/&gt;&lt;wsp:rsid wsp:val=&quot;00C42559&quot;/&gt;&lt;wsp:rsid wsp:val=&quot;00C42A20&quot;/&gt;&lt;wsp:rsid wsp:val=&quot;00C442FC&quot;/&gt;&lt;wsp:rsid wsp:val=&quot;00C447F7&quot;/&gt;&lt;wsp:rsid wsp:val=&quot;00C44C86&quot;/&gt;&lt;wsp:rsid wsp:val=&quot;00C45055&quot;/&gt;&lt;wsp:rsid wsp:val=&quot;00C45080&quot;/&gt;&lt;wsp:rsid wsp:val=&quot;00C45ACA&quot;/&gt;&lt;wsp:rsid wsp:val=&quot;00C45CB3&quot;/&gt;&lt;wsp:rsid wsp:val=&quot;00C46EF4&quot;/&gt;&lt;wsp:rsid wsp:val=&quot;00C476C1&quot;/&gt;&lt;wsp:rsid wsp:val=&quot;00C502C3&quot;/&gt;&lt;wsp:rsid wsp:val=&quot;00C503D2&quot;/&gt;&lt;wsp:rsid wsp:val=&quot;00C50E03&quot;/&gt;&lt;wsp:rsid wsp:val=&quot;00C51322&quot;/&gt;&lt;wsp:rsid wsp:val=&quot;00C515B6&quot;/&gt;&lt;wsp:rsid wsp:val=&quot;00C518E0&quot;/&gt;&lt;wsp:rsid wsp:val=&quot;00C5304C&quot;/&gt;&lt;wsp:rsid wsp:val=&quot;00C55074&quot;/&gt;&lt;wsp:rsid wsp:val=&quot;00C56058&quot;/&gt;&lt;wsp:rsid wsp:val=&quot;00C5633A&quot;/&gt;&lt;wsp:rsid wsp:val=&quot;00C56F0C&quot;/&gt;&lt;wsp:rsid wsp:val=&quot;00C56F9C&quot;/&gt;&lt;wsp:rsid wsp:val=&quot;00C5744C&quot;/&gt;&lt;wsp:rsid wsp:val=&quot;00C57550&quot;/&gt;&lt;wsp:rsid wsp:val=&quot;00C57744&quot;/&gt;&lt;wsp:rsid wsp:val=&quot;00C57D3F&quot;/&gt;&lt;wsp:rsid wsp:val=&quot;00C57E20&quot;/&gt;&lt;wsp:rsid wsp:val=&quot;00C57EB7&quot;/&gt;&lt;wsp:rsid wsp:val=&quot;00C60C22&quot;/&gt;&lt;wsp:rsid wsp:val=&quot;00C60E89&quot;/&gt;&lt;wsp:rsid wsp:val=&quot;00C61094&quot;/&gt;&lt;wsp:rsid wsp:val=&quot;00C6168C&quot;/&gt;&lt;wsp:rsid wsp:val=&quot;00C62A99&quot;/&gt;&lt;wsp:rsid wsp:val=&quot;00C6342C&quot;/&gt;&lt;wsp:rsid wsp:val=&quot;00C6441D&quot;/&gt;&lt;wsp:rsid wsp:val=&quot;00C649D1&quot;/&gt;&lt;wsp:rsid wsp:val=&quot;00C6521C&quot;/&gt;&lt;wsp:rsid wsp:val=&quot;00C65244&quot;/&gt;&lt;wsp:rsid wsp:val=&quot;00C65796&quot;/&gt;&lt;wsp:rsid wsp:val=&quot;00C66A34&quot;/&gt;&lt;wsp:rsid wsp:val=&quot;00C670F8&quot;/&gt;&lt;wsp:rsid wsp:val=&quot;00C67B90&quot;/&gt;&lt;wsp:rsid wsp:val=&quot;00C70DC1&quot;/&gt;&lt;wsp:rsid wsp:val=&quot;00C70EB4&quot;/&gt;&lt;wsp:rsid wsp:val=&quot;00C72378&quot;/&gt;&lt;wsp:rsid wsp:val=&quot;00C72498&quot;/&gt;&lt;wsp:rsid wsp:val=&quot;00C7263A&quot;/&gt;&lt;wsp:rsid wsp:val=&quot;00C7284A&quot;/&gt;&lt;wsp:rsid wsp:val=&quot;00C72E29&quot;/&gt;&lt;wsp:rsid wsp:val=&quot;00C7308D&quot;/&gt;&lt;wsp:rsid wsp:val=&quot;00C73D63&quot;/&gt;&lt;wsp:rsid wsp:val=&quot;00C73FE1&quot;/&gt;&lt;wsp:rsid wsp:val=&quot;00C748F2&quot;/&gt;&lt;wsp:rsid wsp:val=&quot;00C74DEE&quot;/&gt;&lt;wsp:rsid wsp:val=&quot;00C7526A&quot;/&gt;&lt;wsp:rsid wsp:val=&quot;00C752A0&quot;/&gt;&lt;wsp:rsid wsp:val=&quot;00C7551F&quot;/&gt;&lt;wsp:rsid wsp:val=&quot;00C756BB&quot;/&gt;&lt;wsp:rsid wsp:val=&quot;00C756C5&quot;/&gt;&lt;wsp:rsid wsp:val=&quot;00C76A09&quot;/&gt;&lt;wsp:rsid wsp:val=&quot;00C77B0A&quot;/&gt;&lt;wsp:rsid wsp:val=&quot;00C80744&quot;/&gt;&lt;wsp:rsid wsp:val=&quot;00C808C7&quot;/&gt;&lt;wsp:rsid wsp:val=&quot;00C829D6&quot;/&gt;&lt;wsp:rsid wsp:val=&quot;00C83A9C&quot;/&gt;&lt;wsp:rsid wsp:val=&quot;00C83D87&quot;/&gt;&lt;wsp:rsid wsp:val=&quot;00C84682&quot;/&gt;&lt;wsp:rsid wsp:val=&quot;00C85B96&quot;/&gt;&lt;wsp:rsid wsp:val=&quot;00C85C23&quot;/&gt;&lt;wsp:rsid wsp:val=&quot;00C86559&quot;/&gt;&lt;wsp:rsid wsp:val=&quot;00C87650&quot;/&gt;&lt;wsp:rsid wsp:val=&quot;00C879AA&quot;/&gt;&lt;wsp:rsid wsp:val=&quot;00C87C34&quot;/&gt;&lt;wsp:rsid wsp:val=&quot;00C87E71&quot;/&gt;&lt;wsp:rsid wsp:val=&quot;00C907FF&quot;/&gt;&lt;wsp:rsid wsp:val=&quot;00C909FC&quot;/&gt;&lt;wsp:rsid wsp:val=&quot;00C90DEF&quot;/&gt;&lt;wsp:rsid wsp:val=&quot;00C910F1&quot;/&gt;&lt;wsp:rsid wsp:val=&quot;00C916A3&quot;/&gt;&lt;wsp:rsid wsp:val=&quot;00C9199D&quot;/&gt;&lt;wsp:rsid wsp:val=&quot;00C91C3A&quot;/&gt;&lt;wsp:rsid wsp:val=&quot;00C92757&quot;/&gt;&lt;wsp:rsid wsp:val=&quot;00C93FE8&quot;/&gt;&lt;wsp:rsid wsp:val=&quot;00C94AF0&quot;/&gt;&lt;wsp:rsid wsp:val=&quot;00C94C17&quot;/&gt;&lt;wsp:rsid wsp:val=&quot;00C969B7&quot;/&gt;&lt;wsp:rsid wsp:val=&quot;00C96AD1&quot;/&gt;&lt;wsp:rsid wsp:val=&quot;00C97927&quot;/&gt;&lt;wsp:rsid wsp:val=&quot;00C979B7&quot;/&gt;&lt;wsp:rsid wsp:val=&quot;00C97EE9&quot;/&gt;&lt;wsp:rsid wsp:val=&quot;00CA0948&quot;/&gt;&lt;wsp:rsid wsp:val=&quot;00CA1032&quot;/&gt;&lt;wsp:rsid wsp:val=&quot;00CA108C&quot;/&gt;&lt;wsp:rsid wsp:val=&quot;00CA12CA&quot;/&gt;&lt;wsp:rsid wsp:val=&quot;00CA1570&quot;/&gt;&lt;wsp:rsid wsp:val=&quot;00CA189C&quot;/&gt;&lt;wsp:rsid wsp:val=&quot;00CA2193&quot;/&gt;&lt;wsp:rsid wsp:val=&quot;00CA2E6A&quot;/&gt;&lt;wsp:rsid wsp:val=&quot;00CA3109&quot;/&gt;&lt;wsp:rsid wsp:val=&quot;00CA3B0B&quot;/&gt;&lt;wsp:rsid wsp:val=&quot;00CA3D82&quot;/&gt;&lt;wsp:rsid wsp:val=&quot;00CA415A&quot;/&gt;&lt;wsp:rsid wsp:val=&quot;00CA4397&quot;/&gt;&lt;wsp:rsid wsp:val=&quot;00CA52A2&quot;/&gt;&lt;wsp:rsid wsp:val=&quot;00CA5815&quot;/&gt;&lt;wsp:rsid wsp:val=&quot;00CA5AE1&quot;/&gt;&lt;wsp:rsid wsp:val=&quot;00CA75C9&quot;/&gt;&lt;wsp:rsid wsp:val=&quot;00CA7F1C&quot;/&gt;&lt;wsp:rsid wsp:val=&quot;00CB0723&quot;/&gt;&lt;wsp:rsid wsp:val=&quot;00CB07B6&quot;/&gt;&lt;wsp:rsid wsp:val=&quot;00CB0D44&quot;/&gt;&lt;wsp:rsid wsp:val=&quot;00CB2928&quot;/&gt;&lt;wsp:rsid wsp:val=&quot;00CB32F7&quot;/&gt;&lt;wsp:rsid wsp:val=&quot;00CB3A32&quot;/&gt;&lt;wsp:rsid wsp:val=&quot;00CB44B0&quot;/&gt;&lt;wsp:rsid wsp:val=&quot;00CB4DF2&quot;/&gt;&lt;wsp:rsid wsp:val=&quot;00CB6064&quot;/&gt;&lt;wsp:rsid wsp:val=&quot;00CB614F&quot;/&gt;&lt;wsp:rsid wsp:val=&quot;00CB6C90&quot;/&gt;&lt;wsp:rsid wsp:val=&quot;00CB6DC9&quot;/&gt;&lt;wsp:rsid wsp:val=&quot;00CC1069&quot;/&gt;&lt;wsp:rsid wsp:val=&quot;00CC160E&quot;/&gt;&lt;wsp:rsid wsp:val=&quot;00CC17B9&quot;/&gt;&lt;wsp:rsid wsp:val=&quot;00CC239D&quot;/&gt;&lt;wsp:rsid wsp:val=&quot;00CC369B&quot;/&gt;&lt;wsp:rsid wsp:val=&quot;00CC39BF&quot;/&gt;&lt;wsp:rsid wsp:val=&quot;00CC5E61&quot;/&gt;&lt;wsp:rsid wsp:val=&quot;00CC65BF&quot;/&gt;&lt;wsp:rsid wsp:val=&quot;00CC6F0A&quot;/&gt;&lt;wsp:rsid wsp:val=&quot;00CC7756&quot;/&gt;&lt;wsp:rsid wsp:val=&quot;00CC7AA2&quot;/&gt;&lt;wsp:rsid wsp:val=&quot;00CD03A3&quot;/&gt;&lt;wsp:rsid wsp:val=&quot;00CD06BF&quot;/&gt;&lt;wsp:rsid wsp:val=&quot;00CD0F07&quot;/&gt;&lt;wsp:rsid wsp:val=&quot;00CD1090&quot;/&gt;&lt;wsp:rsid wsp:val=&quot;00CD141C&quot;/&gt;&lt;wsp:rsid wsp:val=&quot;00CD2482&quot;/&gt;&lt;wsp:rsid wsp:val=&quot;00CD2A19&quot;/&gt;&lt;wsp:rsid wsp:val=&quot;00CD3A5B&quot;/&gt;&lt;wsp:rsid wsp:val=&quot;00CD3A9C&quot;/&gt;&lt;wsp:rsid wsp:val=&quot;00CD3D0A&quot;/&gt;&lt;wsp:rsid wsp:val=&quot;00CD420A&quot;/&gt;&lt;wsp:rsid wsp:val=&quot;00CD6A32&quot;/&gt;&lt;wsp:rsid wsp:val=&quot;00CD72A4&quot;/&gt;&lt;wsp:rsid wsp:val=&quot;00CD7FCB&quot;/&gt;&lt;wsp:rsid wsp:val=&quot;00CE03C4&quot;/&gt;&lt;wsp:rsid wsp:val=&quot;00CE0BD1&quot;/&gt;&lt;wsp:rsid wsp:val=&quot;00CE1A06&quot;/&gt;&lt;wsp:rsid wsp:val=&quot;00CE220F&quot;/&gt;&lt;wsp:rsid wsp:val=&quot;00CE25BD&quot;/&gt;&lt;wsp:rsid wsp:val=&quot;00CE26C8&quot;/&gt;&lt;wsp:rsid wsp:val=&quot;00CE3980&quot;/&gt;&lt;wsp:rsid wsp:val=&quot;00CE4886&quot;/&gt;&lt;wsp:rsid wsp:val=&quot;00CE523B&quot;/&gt;&lt;wsp:rsid wsp:val=&quot;00CE54EA&quot;/&gt;&lt;wsp:rsid wsp:val=&quot;00CE6799&quot;/&gt;&lt;wsp:rsid wsp:val=&quot;00CE6C1F&quot;/&gt;&lt;wsp:rsid wsp:val=&quot;00CE6C43&quot;/&gt;&lt;wsp:rsid wsp:val=&quot;00CE7367&quot;/&gt;&lt;wsp:rsid wsp:val=&quot;00CE778B&quot;/&gt;&lt;wsp:rsid wsp:val=&quot;00CE7BE3&quot;/&gt;&lt;wsp:rsid wsp:val=&quot;00CF0829&quot;/&gt;&lt;wsp:rsid wsp:val=&quot;00CF0E6A&quot;/&gt;&lt;wsp:rsid wsp:val=&quot;00CF0FD3&quot;/&gt;&lt;wsp:rsid wsp:val=&quot;00CF11AC&quot;/&gt;&lt;wsp:rsid wsp:val=&quot;00CF153C&quot;/&gt;&lt;wsp:rsid wsp:val=&quot;00CF15FE&quot;/&gt;&lt;wsp:rsid wsp:val=&quot;00CF19A9&quot;/&gt;&lt;wsp:rsid wsp:val=&quot;00CF2245&quot;/&gt;&lt;wsp:rsid wsp:val=&quot;00CF2285&quot;/&gt;&lt;wsp:rsid wsp:val=&quot;00CF25B8&quot;/&gt;&lt;wsp:rsid wsp:val=&quot;00CF2CFD&quot;/&gt;&lt;wsp:rsid wsp:val=&quot;00CF3027&quot;/&gt;&lt;wsp:rsid wsp:val=&quot;00CF357A&quot;/&gt;&lt;wsp:rsid wsp:val=&quot;00CF4543&quot;/&gt;&lt;wsp:rsid wsp:val=&quot;00CF470B&quot;/&gt;&lt;wsp:rsid wsp:val=&quot;00CF549C&quot;/&gt;&lt;wsp:rsid wsp:val=&quot;00CF6322&quot;/&gt;&lt;wsp:rsid wsp:val=&quot;00CF6383&quot;/&gt;&lt;wsp:rsid wsp:val=&quot;00CF63F6&quot;/&gt;&lt;wsp:rsid wsp:val=&quot;00CF6B41&quot;/&gt;&lt;wsp:rsid wsp:val=&quot;00CF7317&quot;/&gt;&lt;wsp:rsid wsp:val=&quot;00CF77D6&quot;/&gt;&lt;wsp:rsid wsp:val=&quot;00CF795E&quot;/&gt;&lt;wsp:rsid wsp:val=&quot;00CF7BC0&quot;/&gt;&lt;wsp:rsid wsp:val=&quot;00CF7F8E&quot;/&gt;&lt;wsp:rsid wsp:val=&quot;00D02006&quot;/&gt;&lt;wsp:rsid wsp:val=&quot;00D02BB6&quot;/&gt;&lt;wsp:rsid wsp:val=&quot;00D033DA&quot;/&gt;&lt;wsp:rsid wsp:val=&quot;00D03885&quot;/&gt;&lt;wsp:rsid wsp:val=&quot;00D050A7&quot;/&gt;&lt;wsp:rsid wsp:val=&quot;00D05371&quot;/&gt;&lt;wsp:rsid wsp:val=&quot;00D05CB7&quot;/&gt;&lt;wsp:rsid wsp:val=&quot;00D05FA1&quot;/&gt;&lt;wsp:rsid wsp:val=&quot;00D0697C&quot;/&gt;&lt;wsp:rsid wsp:val=&quot;00D07FDB&quot;/&gt;&lt;wsp:rsid wsp:val=&quot;00D107B7&quot;/&gt;&lt;wsp:rsid wsp:val=&quot;00D107C0&quot;/&gt;&lt;wsp:rsid wsp:val=&quot;00D10FAA&quot;/&gt;&lt;wsp:rsid wsp:val=&quot;00D11014&quot;/&gt;&lt;wsp:rsid wsp:val=&quot;00D11B52&quot;/&gt;&lt;wsp:rsid wsp:val=&quot;00D11B56&quot;/&gt;&lt;wsp:rsid wsp:val=&quot;00D12373&quot;/&gt;&lt;wsp:rsid wsp:val=&quot;00D1281E&quot;/&gt;&lt;wsp:rsid wsp:val=&quot;00D12A35&quot;/&gt;&lt;wsp:rsid wsp:val=&quot;00D12BC0&quot;/&gt;&lt;wsp:rsid wsp:val=&quot;00D12D8C&quot;/&gt;&lt;wsp:rsid wsp:val=&quot;00D13FCD&quot;/&gt;&lt;wsp:rsid wsp:val=&quot;00D14C1E&quot;/&gt;&lt;wsp:rsid wsp:val=&quot;00D1510F&quot;/&gt;&lt;wsp:rsid wsp:val=&quot;00D15392&quot;/&gt;&lt;wsp:rsid wsp:val=&quot;00D15CCD&quot;/&gt;&lt;wsp:rsid wsp:val=&quot;00D1678B&quot;/&gt;&lt;wsp:rsid wsp:val=&quot;00D17D86&quot;/&gt;&lt;wsp:rsid wsp:val=&quot;00D2016B&quot;/&gt;&lt;wsp:rsid wsp:val=&quot;00D204F6&quot;/&gt;&lt;wsp:rsid wsp:val=&quot;00D205E3&quot;/&gt;&lt;wsp:rsid wsp:val=&quot;00D21BA4&quot;/&gt;&lt;wsp:rsid wsp:val=&quot;00D222C4&quot;/&gt;&lt;wsp:rsid wsp:val=&quot;00D235EC&quot;/&gt;&lt;wsp:rsid wsp:val=&quot;00D25493&quot;/&gt;&lt;wsp:rsid wsp:val=&quot;00D25F41&quot;/&gt;&lt;wsp:rsid wsp:val=&quot;00D2694E&quot;/&gt;&lt;wsp:rsid wsp:val=&quot;00D27152&quot;/&gt;&lt;wsp:rsid wsp:val=&quot;00D277AA&quot;/&gt;&lt;wsp:rsid wsp:val=&quot;00D277BF&quot;/&gt;&lt;wsp:rsid wsp:val=&quot;00D27BFF&quot;/&gt;&lt;wsp:rsid wsp:val=&quot;00D30BDA&quot;/&gt;&lt;wsp:rsid wsp:val=&quot;00D318FE&quot;/&gt;&lt;wsp:rsid wsp:val=&quot;00D32678&quot;/&gt;&lt;wsp:rsid wsp:val=&quot;00D32871&quot;/&gt;&lt;wsp:rsid wsp:val=&quot;00D32986&quot;/&gt;&lt;wsp:rsid wsp:val=&quot;00D32ACE&quot;/&gt;&lt;wsp:rsid wsp:val=&quot;00D3366A&quot;/&gt;&lt;wsp:rsid wsp:val=&quot;00D33884&quot;/&gt;&lt;wsp:rsid wsp:val=&quot;00D33E6A&quot;/&gt;&lt;wsp:rsid wsp:val=&quot;00D3419E&quot;/&gt;&lt;wsp:rsid wsp:val=&quot;00D34938&quot;/&gt;&lt;wsp:rsid wsp:val=&quot;00D34A48&quot;/&gt;&lt;wsp:rsid wsp:val=&quot;00D35BE6&quot;/&gt;&lt;wsp:rsid wsp:val=&quot;00D36E74&quot;/&gt;&lt;wsp:rsid wsp:val=&quot;00D37ED2&quot;/&gt;&lt;wsp:rsid wsp:val=&quot;00D409AC&quot;/&gt;&lt;wsp:rsid wsp:val=&quot;00D421DF&quot;/&gt;&lt;wsp:rsid wsp:val=&quot;00D425BE&quot;/&gt;&lt;wsp:rsid wsp:val=&quot;00D42B75&quot;/&gt;&lt;wsp:rsid wsp:val=&quot;00D42EA9&quot;/&gt;&lt;wsp:rsid wsp:val=&quot;00D4302B&quot;/&gt;&lt;wsp:rsid wsp:val=&quot;00D440E0&quot;/&gt;&lt;wsp:rsid wsp:val=&quot;00D44B83&quot;/&gt;&lt;wsp:rsid wsp:val=&quot;00D45697&quot;/&gt;&lt;wsp:rsid wsp:val=&quot;00D459A3&quot;/&gt;&lt;wsp:rsid wsp:val=&quot;00D4689B&quot;/&gt;&lt;wsp:rsid wsp:val=&quot;00D46DD8&quot;/&gt;&lt;wsp:rsid wsp:val=&quot;00D46EB2&quot;/&gt;&lt;wsp:rsid wsp:val=&quot;00D4796C&quot;/&gt;&lt;wsp:rsid wsp:val=&quot;00D50198&quot;/&gt;&lt;wsp:rsid wsp:val=&quot;00D501F2&quot;/&gt;&lt;wsp:rsid wsp:val=&quot;00D50910&quot;/&gt;&lt;wsp:rsid wsp:val=&quot;00D51010&quot;/&gt;&lt;wsp:rsid wsp:val=&quot;00D5120D&quot;/&gt;&lt;wsp:rsid wsp:val=&quot;00D514FE&quot;/&gt;&lt;wsp:rsid wsp:val=&quot;00D5273A&quot;/&gt;&lt;wsp:rsid wsp:val=&quot;00D531AE&quot;/&gt;&lt;wsp:rsid wsp:val=&quot;00D5342E&quot;/&gt;&lt;wsp:rsid wsp:val=&quot;00D53A4B&quot;/&gt;&lt;wsp:rsid wsp:val=&quot;00D54093&quot;/&gt;&lt;wsp:rsid wsp:val=&quot;00D54455&quot;/&gt;&lt;wsp:rsid wsp:val=&quot;00D55556&quot;/&gt;&lt;wsp:rsid wsp:val=&quot;00D5587A&quot;/&gt;&lt;wsp:rsid wsp:val=&quot;00D565F2&quot;/&gt;&lt;wsp:rsid wsp:val=&quot;00D56A48&quot;/&gt;&lt;wsp:rsid wsp:val=&quot;00D57F17&quot;/&gt;&lt;wsp:rsid wsp:val=&quot;00D605A0&quot;/&gt;&lt;wsp:rsid wsp:val=&quot;00D608F4&quot;/&gt;&lt;wsp:rsid wsp:val=&quot;00D61619&quot;/&gt;&lt;wsp:rsid wsp:val=&quot;00D62C87&quot;/&gt;&lt;wsp:rsid wsp:val=&quot;00D6314C&quot;/&gt;&lt;wsp:rsid wsp:val=&quot;00D63E6B&quot;/&gt;&lt;wsp:rsid wsp:val=&quot;00D64051&quot;/&gt;&lt;wsp:rsid wsp:val=&quot;00D644BD&quot;/&gt;&lt;wsp:rsid wsp:val=&quot;00D649C4&quot;/&gt;&lt;wsp:rsid wsp:val=&quot;00D64C61&quot;/&gt;&lt;wsp:rsid wsp:val=&quot;00D65E25&quot;/&gt;&lt;wsp:rsid wsp:val=&quot;00D66315&quot;/&gt;&lt;wsp:rsid wsp:val=&quot;00D67245&quot;/&gt;&lt;wsp:rsid wsp:val=&quot;00D67750&quot;/&gt;&lt;wsp:rsid wsp:val=&quot;00D67C0F&quot;/&gt;&lt;wsp:rsid wsp:val=&quot;00D70182&quot;/&gt;&lt;wsp:rsid wsp:val=&quot;00D7061D&quot;/&gt;&lt;wsp:rsid wsp:val=&quot;00D709AA&quot;/&gt;&lt;wsp:rsid wsp:val=&quot;00D72141&quot;/&gt;&lt;wsp:rsid wsp:val=&quot;00D722D4&quot;/&gt;&lt;wsp:rsid wsp:val=&quot;00D724E3&quot;/&gt;&lt;wsp:rsid wsp:val=&quot;00D7289E&quot;/&gt;&lt;wsp:rsid wsp:val=&quot;00D72B4D&quot;/&gt;&lt;wsp:rsid wsp:val=&quot;00D72CA3&quot;/&gt;&lt;wsp:rsid wsp:val=&quot;00D7348C&quot;/&gt;&lt;wsp:rsid wsp:val=&quot;00D73B80&quot;/&gt;&lt;wsp:rsid wsp:val=&quot;00D73E96&quot;/&gt;&lt;wsp:rsid wsp:val=&quot;00D742ED&quot;/&gt;&lt;wsp:rsid wsp:val=&quot;00D7435C&quot;/&gt;&lt;wsp:rsid wsp:val=&quot;00D74874&quot;/&gt;&lt;wsp:rsid wsp:val=&quot;00D7496E&quot;/&gt;&lt;wsp:rsid wsp:val=&quot;00D76D06&quot;/&gt;&lt;wsp:rsid wsp:val=&quot;00D772CA&quot;/&gt;&lt;wsp:rsid wsp:val=&quot;00D80A60&quot;/&gt;&lt;wsp:rsid wsp:val=&quot;00D81205&quot;/&gt;&lt;wsp:rsid wsp:val=&quot;00D822D0&quot;/&gt;&lt;wsp:rsid wsp:val=&quot;00D825E0&quot;/&gt;&lt;wsp:rsid wsp:val=&quot;00D82D1A&quot;/&gt;&lt;wsp:rsid wsp:val=&quot;00D82D26&quot;/&gt;&lt;wsp:rsid wsp:val=&quot;00D82F39&quot;/&gt;&lt;wsp:rsid wsp:val=&quot;00D84E4A&quot;/&gt;&lt;wsp:rsid wsp:val=&quot;00D853C7&quot;/&gt;&lt;wsp:rsid wsp:val=&quot;00D8643A&quot;/&gt;&lt;wsp:rsid wsp:val=&quot;00D86788&quot;/&gt;&lt;wsp:rsid wsp:val=&quot;00D86E37&quot;/&gt;&lt;wsp:rsid wsp:val=&quot;00D87D58&quot;/&gt;&lt;wsp:rsid wsp:val=&quot;00D87DD3&quot;/&gt;&lt;wsp:rsid wsp:val=&quot;00D87F78&quot;/&gt;&lt;wsp:rsid wsp:val=&quot;00D90DEA&quot;/&gt;&lt;wsp:rsid wsp:val=&quot;00D919A2&quot;/&gt;&lt;wsp:rsid wsp:val=&quot;00D91CB8&quot;/&gt;&lt;wsp:rsid wsp:val=&quot;00D91DDB&quot;/&gt;&lt;wsp:rsid wsp:val=&quot;00D932D1&quot;/&gt;&lt;wsp:rsid wsp:val=&quot;00D93AC0&quot;/&gt;&lt;wsp:rsid wsp:val=&quot;00D93F20&quot;/&gt;&lt;wsp:rsid wsp:val=&quot;00D9466B&quot;/&gt;&lt;wsp:rsid wsp:val=&quot;00D94C93&quot;/&gt;&lt;wsp:rsid wsp:val=&quot;00D94E64&quot;/&gt;&lt;wsp:rsid wsp:val=&quot;00D95124&quot;/&gt;&lt;wsp:rsid wsp:val=&quot;00D956D2&quot;/&gt;&lt;wsp:rsid wsp:val=&quot;00DA0DFF&quot;/&gt;&lt;wsp:rsid wsp:val=&quot;00DA115F&quot;/&gt;&lt;wsp:rsid wsp:val=&quot;00DA1269&quot;/&gt;&lt;wsp:rsid wsp:val=&quot;00DA231A&quot;/&gt;&lt;wsp:rsid wsp:val=&quot;00DA2B50&quot;/&gt;&lt;wsp:rsid wsp:val=&quot;00DA2CE5&quot;/&gt;&lt;wsp:rsid wsp:val=&quot;00DA3472&quot;/&gt;&lt;wsp:rsid wsp:val=&quot;00DA3548&quot;/&gt;&lt;wsp:rsid wsp:val=&quot;00DA3894&quot;/&gt;&lt;wsp:rsid wsp:val=&quot;00DA3B1B&quot;/&gt;&lt;wsp:rsid wsp:val=&quot;00DA436E&quot;/&gt;&lt;wsp:rsid wsp:val=&quot;00DA4CCF&quot;/&gt;&lt;wsp:rsid wsp:val=&quot;00DA5C13&quot;/&gt;&lt;wsp:rsid wsp:val=&quot;00DA5E14&quot;/&gt;&lt;wsp:rsid wsp:val=&quot;00DA6541&quot;/&gt;&lt;wsp:rsid wsp:val=&quot;00DA6F43&quot;/&gt;&lt;wsp:rsid wsp:val=&quot;00DA70F9&quot;/&gt;&lt;wsp:rsid wsp:val=&quot;00DA7D36&quot;/&gt;&lt;wsp:rsid wsp:val=&quot;00DB1B12&quot;/&gt;&lt;wsp:rsid wsp:val=&quot;00DB1CEC&quot;/&gt;&lt;wsp:rsid wsp:val=&quot;00DB26DB&quot;/&gt;&lt;wsp:rsid wsp:val=&quot;00DB3129&quot;/&gt;&lt;wsp:rsid wsp:val=&quot;00DB38E2&quot;/&gt;&lt;wsp:rsid wsp:val=&quot;00DB412C&quot;/&gt;&lt;wsp:rsid wsp:val=&quot;00DB4146&quot;/&gt;&lt;wsp:rsid wsp:val=&quot;00DB45C1&quot;/&gt;&lt;wsp:rsid wsp:val=&quot;00DB491F&quot;/&gt;&lt;wsp:rsid wsp:val=&quot;00DB5583&quot;/&gt;&lt;wsp:rsid wsp:val=&quot;00DB5619&quot;/&gt;&lt;wsp:rsid wsp:val=&quot;00DB65C0&quot;/&gt;&lt;wsp:rsid wsp:val=&quot;00DB7740&quot;/&gt;&lt;wsp:rsid wsp:val=&quot;00DB78BB&quot;/&gt;&lt;wsp:rsid wsp:val=&quot;00DC1325&quot;/&gt;&lt;wsp:rsid wsp:val=&quot;00DC155D&quot;/&gt;&lt;wsp:rsid wsp:val=&quot;00DC16FD&quot;/&gt;&lt;wsp:rsid wsp:val=&quot;00DC1B5F&quot;/&gt;&lt;wsp:rsid wsp:val=&quot;00DC241F&quot;/&gt;&lt;wsp:rsid wsp:val=&quot;00DC2577&quot;/&gt;&lt;wsp:rsid wsp:val=&quot;00DC30F0&quot;/&gt;&lt;wsp:rsid wsp:val=&quot;00DC35A8&quot;/&gt;&lt;wsp:rsid wsp:val=&quot;00DC368E&quot;/&gt;&lt;wsp:rsid wsp:val=&quot;00DC3C57&quot;/&gt;&lt;wsp:rsid wsp:val=&quot;00DC423F&quot;/&gt;&lt;wsp:rsid wsp:val=&quot;00DC4BF4&quot;/&gt;&lt;wsp:rsid wsp:val=&quot;00DC4CA8&quot;/&gt;&lt;wsp:rsid wsp:val=&quot;00DC4F32&quot;/&gt;&lt;wsp:rsid wsp:val=&quot;00DC4FCA&quot;/&gt;&lt;wsp:rsid wsp:val=&quot;00DC5675&quot;/&gt;&lt;wsp:rsid wsp:val=&quot;00DC6574&quot;/&gt;&lt;wsp:rsid wsp:val=&quot;00DC6984&quot;/&gt;&lt;wsp:rsid wsp:val=&quot;00DC7150&quot;/&gt;&lt;wsp:rsid wsp:val=&quot;00DC731F&quot;/&gt;&lt;wsp:rsid wsp:val=&quot;00DC7415&quot;/&gt;&lt;wsp:rsid wsp:val=&quot;00DC7DB0&quot;/&gt;&lt;wsp:rsid wsp:val=&quot;00DD02F0&quot;/&gt;&lt;wsp:rsid wsp:val=&quot;00DD126F&quot;/&gt;&lt;wsp:rsid wsp:val=&quot;00DD24A7&quot;/&gt;&lt;wsp:rsid wsp:val=&quot;00DD3707&quot;/&gt;&lt;wsp:rsid wsp:val=&quot;00DD3EDD&quot;/&gt;&lt;wsp:rsid wsp:val=&quot;00DD4010&quot;/&gt;&lt;wsp:rsid wsp:val=&quot;00DD496E&quot;/&gt;&lt;wsp:rsid wsp:val=&quot;00DD4D99&quot;/&gt;&lt;wsp:rsid wsp:val=&quot;00DD590E&quot;/&gt;&lt;wsp:rsid wsp:val=&quot;00DD67A0&quot;/&gt;&lt;wsp:rsid wsp:val=&quot;00DD6A96&quot;/&gt;&lt;wsp:rsid wsp:val=&quot;00DD6C0E&quot;/&gt;&lt;wsp:rsid wsp:val=&quot;00DD701E&quot;/&gt;&lt;wsp:rsid wsp:val=&quot;00DE05CA&quot;/&gt;&lt;wsp:rsid wsp:val=&quot;00DE0B87&quot;/&gt;&lt;wsp:rsid wsp:val=&quot;00DE124C&quot;/&gt;&lt;wsp:rsid wsp:val=&quot;00DE1F3C&quot;/&gt;&lt;wsp:rsid wsp:val=&quot;00DE2072&quot;/&gt;&lt;wsp:rsid wsp:val=&quot;00DE21AC&quot;/&gt;&lt;wsp:rsid wsp:val=&quot;00DE2D90&quot;/&gt;&lt;wsp:rsid wsp:val=&quot;00DE2FBE&quot;/&gt;&lt;wsp:rsid wsp:val=&quot;00DE3762&quot;/&gt;&lt;wsp:rsid wsp:val=&quot;00DE3842&quot;/&gt;&lt;wsp:rsid wsp:val=&quot;00DE4299&quot;/&gt;&lt;wsp:rsid wsp:val=&quot;00DE4E6C&quot;/&gt;&lt;wsp:rsid wsp:val=&quot;00DE647F&quot;/&gt;&lt;wsp:rsid wsp:val=&quot;00DE764C&quot;/&gt;&lt;wsp:rsid wsp:val=&quot;00DF0049&quot;/&gt;&lt;wsp:rsid wsp:val=&quot;00DF0087&quot;/&gt;&lt;wsp:rsid wsp:val=&quot;00DF0230&quot;/&gt;&lt;wsp:rsid wsp:val=&quot;00DF21FB&quot;/&gt;&lt;wsp:rsid wsp:val=&quot;00DF3241&quot;/&gt;&lt;wsp:rsid wsp:val=&quot;00DF336B&quot;/&gt;&lt;wsp:rsid wsp:val=&quot;00DF3738&quot;/&gt;&lt;wsp:rsid wsp:val=&quot;00DF4415&quot;/&gt;&lt;wsp:rsid wsp:val=&quot;00DF4AF8&quot;/&gt;&lt;wsp:rsid wsp:val=&quot;00DF69F6&quot;/&gt;&lt;wsp:rsid wsp:val=&quot;00DF780D&quot;/&gt;&lt;wsp:rsid wsp:val=&quot;00E005A3&quot;/&gt;&lt;wsp:rsid wsp:val=&quot;00E015A8&quot;/&gt;&lt;wsp:rsid wsp:val=&quot;00E015E9&quot;/&gt;&lt;wsp:rsid wsp:val=&quot;00E01ED1&quot;/&gt;&lt;wsp:rsid wsp:val=&quot;00E036DF&quot;/&gt;&lt;wsp:rsid wsp:val=&quot;00E03A3E&quot;/&gt;&lt;wsp:rsid wsp:val=&quot;00E03BEE&quot;/&gt;&lt;wsp:rsid wsp:val=&quot;00E04312&quot;/&gt;&lt;wsp:rsid wsp:val=&quot;00E054C6&quot;/&gt;&lt;wsp:rsid wsp:val=&quot;00E05DCB&quot;/&gt;&lt;wsp:rsid wsp:val=&quot;00E05FD6&quot;/&gt;&lt;wsp:rsid wsp:val=&quot;00E064E4&quot;/&gt;&lt;wsp:rsid wsp:val=&quot;00E06759&quot;/&gt;&lt;wsp:rsid wsp:val=&quot;00E06A95&quot;/&gt;&lt;wsp:rsid wsp:val=&quot;00E06B4D&quot;/&gt;&lt;wsp:rsid wsp:val=&quot;00E07C32&quot;/&gt;&lt;wsp:rsid wsp:val=&quot;00E1049F&quot;/&gt;&lt;wsp:rsid wsp:val=&quot;00E105AB&quot;/&gt;&lt;wsp:rsid wsp:val=&quot;00E10768&quot;/&gt;&lt;wsp:rsid wsp:val=&quot;00E10C99&quot;/&gt;&lt;wsp:rsid wsp:val=&quot;00E112E6&quot;/&gt;&lt;wsp:rsid wsp:val=&quot;00E11AA6&quot;/&gt;&lt;wsp:rsid wsp:val=&quot;00E11CC4&quot;/&gt;&lt;wsp:rsid wsp:val=&quot;00E12975&quot;/&gt;&lt;wsp:rsid wsp:val=&quot;00E12A38&quot;/&gt;&lt;wsp:rsid wsp:val=&quot;00E13C53&quot;/&gt;&lt;wsp:rsid wsp:val=&quot;00E14114&quot;/&gt;&lt;wsp:rsid wsp:val=&quot;00E148CB&quot;/&gt;&lt;wsp:rsid wsp:val=&quot;00E14E34&quot;/&gt;&lt;wsp:rsid wsp:val=&quot;00E15888&quot;/&gt;&lt;wsp:rsid wsp:val=&quot;00E15B7F&quot;/&gt;&lt;wsp:rsid wsp:val=&quot;00E16587&quot;/&gt;&lt;wsp:rsid wsp:val=&quot;00E17611&quot;/&gt;&lt;wsp:rsid wsp:val=&quot;00E201AD&quot;/&gt;&lt;wsp:rsid wsp:val=&quot;00E20D8D&quot;/&gt;&lt;wsp:rsid wsp:val=&quot;00E20F29&quot;/&gt;&lt;wsp:rsid wsp:val=&quot;00E20FD6&quot;/&gt;&lt;wsp:rsid wsp:val=&quot;00E2190E&quot;/&gt;&lt;wsp:rsid wsp:val=&quot;00E21C8F&quot;/&gt;&lt;wsp:rsid wsp:val=&quot;00E22A6D&quot;/&gt;&lt;wsp:rsid wsp:val=&quot;00E22AE0&quot;/&gt;&lt;wsp:rsid wsp:val=&quot;00E237A4&quot;/&gt;&lt;wsp:rsid wsp:val=&quot;00E2382E&quot;/&gt;&lt;wsp:rsid wsp:val=&quot;00E24C19&quot;/&gt;&lt;wsp:rsid wsp:val=&quot;00E250DF&quot;/&gt;&lt;wsp:rsid wsp:val=&quot;00E2751C&quot;/&gt;&lt;wsp:rsid wsp:val=&quot;00E30EE2&quot;/&gt;&lt;wsp:rsid wsp:val=&quot;00E32305&quot;/&gt;&lt;wsp:rsid wsp:val=&quot;00E32DD1&quot;/&gt;&lt;wsp:rsid wsp:val=&quot;00E346D1&quot;/&gt;&lt;wsp:rsid wsp:val=&quot;00E34971&quot;/&gt;&lt;wsp:rsid wsp:val=&quot;00E34EF9&quot;/&gt;&lt;wsp:rsid wsp:val=&quot;00E35ED3&quot;/&gt;&lt;wsp:rsid wsp:val=&quot;00E35F7A&quot;/&gt;&lt;wsp:rsid wsp:val=&quot;00E411BA&quot;/&gt;&lt;wsp:rsid wsp:val=&quot;00E41571&quot;/&gt;&lt;wsp:rsid wsp:val=&quot;00E416AC&quot;/&gt;&lt;wsp:rsid wsp:val=&quot;00E41DA1&quot;/&gt;&lt;wsp:rsid wsp:val=&quot;00E41F16&quot;/&gt;&lt;wsp:rsid wsp:val=&quot;00E43345&quot;/&gt;&lt;wsp:rsid wsp:val=&quot;00E445BC&quot;/&gt;&lt;wsp:rsid wsp:val=&quot;00E44ADD&quot;/&gt;&lt;wsp:rsid wsp:val=&quot;00E45345&quot;/&gt;&lt;wsp:rsid wsp:val=&quot;00E4578E&quot;/&gt;&lt;wsp:rsid wsp:val=&quot;00E457C3&quot;/&gt;&lt;wsp:rsid wsp:val=&quot;00E45A17&quot;/&gt;&lt;wsp:rsid wsp:val=&quot;00E45B60&quot;/&gt;&lt;wsp:rsid wsp:val=&quot;00E45CB2&quot;/&gt;&lt;wsp:rsid wsp:val=&quot;00E45CBD&quot;/&gt;&lt;wsp:rsid wsp:val=&quot;00E45DA8&quot;/&gt;&lt;wsp:rsid wsp:val=&quot;00E46229&quot;/&gt;&lt;wsp:rsid wsp:val=&quot;00E46498&quot;/&gt;&lt;wsp:rsid wsp:val=&quot;00E47267&quot;/&gt;&lt;wsp:rsid wsp:val=&quot;00E47664&quot;/&gt;&lt;wsp:rsid wsp:val=&quot;00E477AA&quot;/&gt;&lt;wsp:rsid wsp:val=&quot;00E47D84&quot;/&gt;&lt;wsp:rsid wsp:val=&quot;00E5000B&quot;/&gt;&lt;wsp:rsid wsp:val=&quot;00E50429&quot;/&gt;&lt;wsp:rsid wsp:val=&quot;00E5056C&quot;/&gt;&lt;wsp:rsid wsp:val=&quot;00E50A7D&quot;/&gt;&lt;wsp:rsid wsp:val=&quot;00E511A0&quot;/&gt;&lt;wsp:rsid wsp:val=&quot;00E513D6&quot;/&gt;&lt;wsp:rsid wsp:val=&quot;00E518FC&quot;/&gt;&lt;wsp:rsid wsp:val=&quot;00E51A40&quot;/&gt;&lt;wsp:rsid wsp:val=&quot;00E524C5&quot;/&gt;&lt;wsp:rsid wsp:val=&quot;00E5291D&quot;/&gt;&lt;wsp:rsid wsp:val=&quot;00E52B80&quot;/&gt;&lt;wsp:rsid wsp:val=&quot;00E54CCC&quot;/&gt;&lt;wsp:rsid wsp:val=&quot;00E54DCC&quot;/&gt;&lt;wsp:rsid wsp:val=&quot;00E54F18&quot;/&gt;&lt;wsp:rsid wsp:val=&quot;00E54F83&quot;/&gt;&lt;wsp:rsid wsp:val=&quot;00E5504D&quot;/&gt;&lt;wsp:rsid wsp:val=&quot;00E5522B&quot;/&gt;&lt;wsp:rsid wsp:val=&quot;00E55778&quot;/&gt;&lt;wsp:rsid wsp:val=&quot;00E559D6&quot;/&gt;&lt;wsp:rsid wsp:val=&quot;00E55A13&quot;/&gt;&lt;wsp:rsid wsp:val=&quot;00E568F9&quot;/&gt;&lt;wsp:rsid wsp:val=&quot;00E56C66&quot;/&gt;&lt;wsp:rsid wsp:val=&quot;00E60CAC&quot;/&gt;&lt;wsp:rsid wsp:val=&quot;00E6148E&quot;/&gt;&lt;wsp:rsid wsp:val=&quot;00E61685&quot;/&gt;&lt;wsp:rsid wsp:val=&quot;00E61935&quot;/&gt;&lt;wsp:rsid wsp:val=&quot;00E628D0&quot;/&gt;&lt;wsp:rsid wsp:val=&quot;00E628EE&quot;/&gt;&lt;wsp:rsid wsp:val=&quot;00E63875&quot;/&gt;&lt;wsp:rsid wsp:val=&quot;00E63B81&quot;/&gt;&lt;wsp:rsid wsp:val=&quot;00E63C75&quot;/&gt;&lt;wsp:rsid wsp:val=&quot;00E64671&quot;/&gt;&lt;wsp:rsid wsp:val=&quot;00E65D35&quot;/&gt;&lt;wsp:rsid wsp:val=&quot;00E66052&quot;/&gt;&lt;wsp:rsid wsp:val=&quot;00E666EE&quot;/&gt;&lt;wsp:rsid wsp:val=&quot;00E67295&quot;/&gt;&lt;wsp:rsid wsp:val=&quot;00E6777C&quot;/&gt;&lt;wsp:rsid wsp:val=&quot;00E67838&quot;/&gt;&lt;wsp:rsid wsp:val=&quot;00E70A99&quot;/&gt;&lt;wsp:rsid wsp:val=&quot;00E71A1A&quot;/&gt;&lt;wsp:rsid wsp:val=&quot;00E71CC9&quot;/&gt;&lt;wsp:rsid wsp:val=&quot;00E72B53&quot;/&gt;&lt;wsp:rsid wsp:val=&quot;00E72E3D&quot;/&gt;&lt;wsp:rsid wsp:val=&quot;00E73992&quot;/&gt;&lt;wsp:rsid wsp:val=&quot;00E739FA&quot;/&gt;&lt;wsp:rsid wsp:val=&quot;00E73F7F&quot;/&gt;&lt;wsp:rsid wsp:val=&quot;00E74343&quot;/&gt;&lt;wsp:rsid wsp:val=&quot;00E757EF&quot;/&gt;&lt;wsp:rsid wsp:val=&quot;00E75866&quot;/&gt;&lt;wsp:rsid wsp:val=&quot;00E75BDF&quot;/&gt;&lt;wsp:rsid wsp:val=&quot;00E76AD7&quot;/&gt;&lt;wsp:rsid wsp:val=&quot;00E77A4C&quot;/&gt;&lt;wsp:rsid wsp:val=&quot;00E77AD6&quot;/&gt;&lt;wsp:rsid wsp:val=&quot;00E802C8&quot;/&gt;&lt;wsp:rsid wsp:val=&quot;00E814F7&quot;/&gt;&lt;wsp:rsid wsp:val=&quot;00E816F0&quot;/&gt;&lt;wsp:rsid wsp:val=&quot;00E8268C&quot;/&gt;&lt;wsp:rsid wsp:val=&quot;00E82691&quot;/&gt;&lt;wsp:rsid wsp:val=&quot;00E82B59&quot;/&gt;&lt;wsp:rsid wsp:val=&quot;00E831D8&quot;/&gt;&lt;wsp:rsid wsp:val=&quot;00E83BA1&quot;/&gt;&lt;wsp:rsid wsp:val=&quot;00E840B6&quot;/&gt;&lt;wsp:rsid wsp:val=&quot;00E841BB&quot;/&gt;&lt;wsp:rsid wsp:val=&quot;00E84395&quot;/&gt;&lt;wsp:rsid wsp:val=&quot;00E843FA&quot;/&gt;&lt;wsp:rsid wsp:val=&quot;00E8499F&quot;/&gt;&lt;wsp:rsid wsp:val=&quot;00E86198&quot;/&gt;&lt;wsp:rsid wsp:val=&quot;00E8628F&quot;/&gt;&lt;wsp:rsid wsp:val=&quot;00E866ED&quot;/&gt;&lt;wsp:rsid wsp:val=&quot;00E8698F&quot;/&gt;&lt;wsp:rsid wsp:val=&quot;00E86F7E&quot;/&gt;&lt;wsp:rsid wsp:val=&quot;00E876CE&quot;/&gt;&lt;wsp:rsid wsp:val=&quot;00E87ADD&quot;/&gt;&lt;wsp:rsid wsp:val=&quot;00E9051B&quot;/&gt;&lt;wsp:rsid wsp:val=&quot;00E90B8B&quot;/&gt;&lt;wsp:rsid wsp:val=&quot;00E90BAD&quot;/&gt;&lt;wsp:rsid wsp:val=&quot;00E9210B&quot;/&gt;&lt;wsp:rsid wsp:val=&quot;00E92EE5&quot;/&gt;&lt;wsp:rsid wsp:val=&quot;00E944AC&quot;/&gt;&lt;wsp:rsid wsp:val=&quot;00E94781&quot;/&gt;&lt;wsp:rsid wsp:val=&quot;00E94CF6&quot;/&gt;&lt;wsp:rsid wsp:val=&quot;00E94E2C&quot;/&gt;&lt;wsp:rsid wsp:val=&quot;00E94FAA&quot;/&gt;&lt;wsp:rsid wsp:val=&quot;00E95A2A&quot;/&gt;&lt;wsp:rsid wsp:val=&quot;00E96552&quot;/&gt;&lt;wsp:rsid wsp:val=&quot;00E96D1A&quot;/&gt;&lt;wsp:rsid wsp:val=&quot;00E97CA2&quot;/&gt;&lt;wsp:rsid wsp:val=&quot;00EA06DF&quot;/&gt;&lt;wsp:rsid wsp:val=&quot;00EA07CE&quot;/&gt;&lt;wsp:rsid wsp:val=&quot;00EA0AE9&quot;/&gt;&lt;wsp:rsid wsp:val=&quot;00EA1283&quot;/&gt;&lt;wsp:rsid wsp:val=&quot;00EA1558&quot;/&gt;&lt;wsp:rsid wsp:val=&quot;00EA16AC&quot;/&gt;&lt;wsp:rsid wsp:val=&quot;00EA2010&quot;/&gt;&lt;wsp:rsid wsp:val=&quot;00EA26C9&quot;/&gt;&lt;wsp:rsid wsp:val=&quot;00EA2E99&quot;/&gt;&lt;wsp:rsid wsp:val=&quot;00EA485F&quot;/&gt;&lt;wsp:rsid wsp:val=&quot;00EA5298&quot;/&gt;&lt;wsp:rsid wsp:val=&quot;00EA6010&quot;/&gt;&lt;wsp:rsid wsp:val=&quot;00EA6D97&quot;/&gt;&lt;wsp:rsid wsp:val=&quot;00EA7DA8&quot;/&gt;&lt;wsp:rsid wsp:val=&quot;00EB03E0&quot;/&gt;&lt;wsp:rsid wsp:val=&quot;00EB0864&quot;/&gt;&lt;wsp:rsid wsp:val=&quot;00EB171A&quot;/&gt;&lt;wsp:rsid wsp:val=&quot;00EB1BB5&quot;/&gt;&lt;wsp:rsid wsp:val=&quot;00EB333E&quot;/&gt;&lt;wsp:rsid wsp:val=&quot;00EB3623&quot;/&gt;&lt;wsp:rsid wsp:val=&quot;00EB3A80&quot;/&gt;&lt;wsp:rsid wsp:val=&quot;00EB4F7B&quot;/&gt;&lt;wsp:rsid wsp:val=&quot;00EB57BC&quot;/&gt;&lt;wsp:rsid wsp:val=&quot;00EB60A1&quot;/&gt;&lt;wsp:rsid wsp:val=&quot;00EB6557&quot;/&gt;&lt;wsp:rsid wsp:val=&quot;00EB7BDA&quot;/&gt;&lt;wsp:rsid wsp:val=&quot;00EC017F&quot;/&gt;&lt;wsp:rsid wsp:val=&quot;00EC0C8A&quot;/&gt;&lt;wsp:rsid wsp:val=&quot;00EC1300&quot;/&gt;&lt;wsp:rsid wsp:val=&quot;00EC1EFB&quot;/&gt;&lt;wsp:rsid wsp:val=&quot;00EC279C&quot;/&gt;&lt;wsp:rsid wsp:val=&quot;00EC36F7&quot;/&gt;&lt;wsp:rsid wsp:val=&quot;00EC433A&quot;/&gt;&lt;wsp:rsid wsp:val=&quot;00EC4661&quot;/&gt;&lt;wsp:rsid wsp:val=&quot;00EC5768&quot;/&gt;&lt;wsp:rsid wsp:val=&quot;00EC58E8&quot;/&gt;&lt;wsp:rsid wsp:val=&quot;00EC5C95&quot;/&gt;&lt;wsp:rsid wsp:val=&quot;00EC60C2&quot;/&gt;&lt;wsp:rsid wsp:val=&quot;00EC674A&quot;/&gt;&lt;wsp:rsid wsp:val=&quot;00EC6BAC&quot;/&gt;&lt;wsp:rsid wsp:val=&quot;00EC7E1E&quot;/&gt;&lt;wsp:rsid wsp:val=&quot;00ED0218&quot;/&gt;&lt;wsp:rsid wsp:val=&quot;00ED0769&quot;/&gt;&lt;wsp:rsid wsp:val=&quot;00ED1087&quot;/&gt;&lt;wsp:rsid wsp:val=&quot;00ED1418&quot;/&gt;&lt;wsp:rsid wsp:val=&quot;00ED2180&quot;/&gt;&lt;wsp:rsid wsp:val=&quot;00ED2246&quot;/&gt;&lt;wsp:rsid wsp:val=&quot;00ED3066&quot;/&gt;&lt;wsp:rsid wsp:val=&quot;00ED3F73&quot;/&gt;&lt;wsp:rsid wsp:val=&quot;00ED4587&quot;/&gt;&lt;wsp:rsid wsp:val=&quot;00ED4600&quot;/&gt;&lt;wsp:rsid wsp:val=&quot;00ED49FF&quot;/&gt;&lt;wsp:rsid wsp:val=&quot;00ED5121&quot;/&gt;&lt;wsp:rsid wsp:val=&quot;00ED5A4B&quot;/&gt;&lt;wsp:rsid wsp:val=&quot;00ED6634&quot;/&gt;&lt;wsp:rsid wsp:val=&quot;00ED6D41&quot;/&gt;&lt;wsp:rsid wsp:val=&quot;00ED7495&quot;/&gt;&lt;wsp:rsid wsp:val=&quot;00ED7500&quot;/&gt;&lt;wsp:rsid wsp:val=&quot;00ED7642&quot;/&gt;&lt;wsp:rsid wsp:val=&quot;00ED7F0E&quot;/&gt;&lt;wsp:rsid wsp:val=&quot;00EE0B24&quot;/&gt;&lt;wsp:rsid wsp:val=&quot;00EE1778&quot;/&gt;&lt;wsp:rsid wsp:val=&quot;00EE1BFC&quot;/&gt;&lt;wsp:rsid wsp:val=&quot;00EE2D5A&quot;/&gt;&lt;wsp:rsid wsp:val=&quot;00EE3096&quot;/&gt;&lt;wsp:rsid wsp:val=&quot;00EE3C36&quot;/&gt;&lt;wsp:rsid wsp:val=&quot;00EE3F6B&quot;/&gt;&lt;wsp:rsid wsp:val=&quot;00EE3FA6&quot;/&gt;&lt;wsp:rsid wsp:val=&quot;00EE4443&quot;/&gt;&lt;wsp:rsid wsp:val=&quot;00EE5139&quot;/&gt;&lt;wsp:rsid wsp:val=&quot;00EE526E&quot;/&gt;&lt;wsp:rsid wsp:val=&quot;00EE54D8&quot;/&gt;&lt;wsp:rsid wsp:val=&quot;00EE7218&quot;/&gt;&lt;wsp:rsid wsp:val=&quot;00EF0502&quot;/&gt;&lt;wsp:rsid wsp:val=&quot;00EF0C5B&quot;/&gt;&lt;wsp:rsid wsp:val=&quot;00EF0DEC&quot;/&gt;&lt;wsp:rsid wsp:val=&quot;00EF0E07&quot;/&gt;&lt;wsp:rsid wsp:val=&quot;00EF284E&quot;/&gt;&lt;wsp:rsid wsp:val=&quot;00EF4942&quot;/&gt;&lt;wsp:rsid wsp:val=&quot;00EF4D51&quot;/&gt;&lt;wsp:rsid wsp:val=&quot;00EF51B4&quot;/&gt;&lt;wsp:rsid wsp:val=&quot;00EF6969&quot;/&gt;&lt;wsp:rsid wsp:val=&quot;00EF73F3&quot;/&gt;&lt;wsp:rsid wsp:val=&quot;00EF74D9&quot;/&gt;&lt;wsp:rsid wsp:val=&quot;00F00818&quot;/&gt;&lt;wsp:rsid wsp:val=&quot;00F00B47&quot;/&gt;&lt;wsp:rsid wsp:val=&quot;00F02EA8&quot;/&gt;&lt;wsp:rsid wsp:val=&quot;00F030B6&quot;/&gt;&lt;wsp:rsid wsp:val=&quot;00F05F07&quot;/&gt;&lt;wsp:rsid wsp:val=&quot;00F0615D&quot;/&gt;&lt;wsp:rsid wsp:val=&quot;00F07D52&quot;/&gt;&lt;wsp:rsid wsp:val=&quot;00F1052F&quot;/&gt;&lt;wsp:rsid wsp:val=&quot;00F11E7D&quot;/&gt;&lt;wsp:rsid wsp:val=&quot;00F12488&quot;/&gt;&lt;wsp:rsid wsp:val=&quot;00F128E9&quot;/&gt;&lt;wsp:rsid wsp:val=&quot;00F12B72&quot;/&gt;&lt;wsp:rsid wsp:val=&quot;00F12D50&quot;/&gt;&lt;wsp:rsid wsp:val=&quot;00F1356E&quot;/&gt;&lt;wsp:rsid wsp:val=&quot;00F144FE&quot;/&gt;&lt;wsp:rsid wsp:val=&quot;00F147E3&quot;/&gt;&lt;wsp:rsid wsp:val=&quot;00F163B1&quot;/&gt;&lt;wsp:rsid wsp:val=&quot;00F165D2&quot;/&gt;&lt;wsp:rsid wsp:val=&quot;00F16667&quot;/&gt;&lt;wsp:rsid wsp:val=&quot;00F17B1A&quot;/&gt;&lt;wsp:rsid wsp:val=&quot;00F17E8A&quot;/&gt;&lt;wsp:rsid wsp:val=&quot;00F200E5&quot;/&gt;&lt;wsp:rsid wsp:val=&quot;00F205E8&quot;/&gt;&lt;wsp:rsid wsp:val=&quot;00F22646&quot;/&gt;&lt;wsp:rsid wsp:val=&quot;00F22FD3&quot;/&gt;&lt;wsp:rsid wsp:val=&quot;00F2338D&quot;/&gt;&lt;wsp:rsid wsp:val=&quot;00F23433&quot;/&gt;&lt;wsp:rsid wsp:val=&quot;00F23458&quot;/&gt;&lt;wsp:rsid wsp:val=&quot;00F24346&quot;/&gt;&lt;wsp:rsid wsp:val=&quot;00F243E5&quot;/&gt;&lt;wsp:rsid wsp:val=&quot;00F243EC&quot;/&gt;&lt;wsp:rsid wsp:val=&quot;00F24982&quot;/&gt;&lt;wsp:rsid wsp:val=&quot;00F260D0&quot;/&gt;&lt;wsp:rsid wsp:val=&quot;00F26842&quot;/&gt;&lt;wsp:rsid wsp:val=&quot;00F30193&quot;/&gt;&lt;wsp:rsid wsp:val=&quot;00F303C1&quot;/&gt;&lt;wsp:rsid wsp:val=&quot;00F305D4&quot;/&gt;&lt;wsp:rsid wsp:val=&quot;00F31D58&quot;/&gt;&lt;wsp:rsid wsp:val=&quot;00F320BD&quot;/&gt;&lt;wsp:rsid wsp:val=&quot;00F323F4&quot;/&gt;&lt;wsp:rsid wsp:val=&quot;00F32833&quot;/&gt;&lt;wsp:rsid wsp:val=&quot;00F33417&quot;/&gt;&lt;wsp:rsid wsp:val=&quot;00F337A1&quot;/&gt;&lt;wsp:rsid wsp:val=&quot;00F33834&quot;/&gt;&lt;wsp:rsid wsp:val=&quot;00F33CC4&quot;/&gt;&lt;wsp:rsid wsp:val=&quot;00F340CD&quot;/&gt;&lt;wsp:rsid wsp:val=&quot;00F34EFF&quot;/&gt;&lt;wsp:rsid wsp:val=&quot;00F34FEA&quot;/&gt;&lt;wsp:rsid wsp:val=&quot;00F354B7&quot;/&gt;&lt;wsp:rsid wsp:val=&quot;00F35537&quot;/&gt;&lt;wsp:rsid wsp:val=&quot;00F3579F&quot;/&gt;&lt;wsp:rsid wsp:val=&quot;00F364FF&quot;/&gt;&lt;wsp:rsid wsp:val=&quot;00F376F3&quot;/&gt;&lt;wsp:rsid wsp:val=&quot;00F40561&quot;/&gt;&lt;wsp:rsid wsp:val=&quot;00F417DA&quot;/&gt;&lt;wsp:rsid wsp:val=&quot;00F41AAC&quot;/&gt;&lt;wsp:rsid wsp:val=&quot;00F4291D&quot;/&gt;&lt;wsp:rsid wsp:val=&quot;00F42A0A&quot;/&gt;&lt;wsp:rsid wsp:val=&quot;00F43117&quot;/&gt;&lt;wsp:rsid wsp:val=&quot;00F4357F&quot;/&gt;&lt;wsp:rsid wsp:val=&quot;00F44320&quot;/&gt;&lt;wsp:rsid wsp:val=&quot;00F464DF&quot;/&gt;&lt;wsp:rsid wsp:val=&quot;00F468B0&quot;/&gt;&lt;wsp:rsid wsp:val=&quot;00F46DAA&quot;/&gt;&lt;wsp:rsid wsp:val=&quot;00F4781C&quot;/&gt;&lt;wsp:rsid wsp:val=&quot;00F5011B&quot;/&gt;&lt;wsp:rsid wsp:val=&quot;00F50227&quot;/&gt;&lt;wsp:rsid wsp:val=&quot;00F50C6B&quot;/&gt;&lt;wsp:rsid wsp:val=&quot;00F5271F&quot;/&gt;&lt;wsp:rsid wsp:val=&quot;00F52F33&quot;/&gt;&lt;wsp:rsid wsp:val=&quot;00F53A01&quot;/&gt;&lt;wsp:rsid wsp:val=&quot;00F542E0&quot;/&gt;&lt;wsp:rsid wsp:val=&quot;00F5445F&quot;/&gt;&lt;wsp:rsid wsp:val=&quot;00F546A1&quot;/&gt;&lt;wsp:rsid wsp:val=&quot;00F54D4F&quot;/&gt;&lt;wsp:rsid wsp:val=&quot;00F552F3&quot;/&gt;&lt;wsp:rsid wsp:val=&quot;00F5585D&quot;/&gt;&lt;wsp:rsid wsp:val=&quot;00F559EC&quot;/&gt;&lt;wsp:rsid wsp:val=&quot;00F55DC2&quot;/&gt;&lt;wsp:rsid wsp:val=&quot;00F56924&quot;/&gt;&lt;wsp:rsid wsp:val=&quot;00F57515&quot;/&gt;&lt;wsp:rsid wsp:val=&quot;00F608F8&quot;/&gt;&lt;wsp:rsid wsp:val=&quot;00F61DBE&quot;/&gt;&lt;wsp:rsid wsp:val=&quot;00F62262&quot;/&gt;&lt;wsp:rsid wsp:val=&quot;00F6254B&quot;/&gt;&lt;wsp:rsid wsp:val=&quot;00F63270&quot;/&gt;&lt;wsp:rsid wsp:val=&quot;00F636E6&quot;/&gt;&lt;wsp:rsid wsp:val=&quot;00F6389B&quot;/&gt;&lt;wsp:rsid wsp:val=&quot;00F63B8B&quot;/&gt;&lt;wsp:rsid wsp:val=&quot;00F63E48&quot;/&gt;&lt;wsp:rsid wsp:val=&quot;00F63F91&quot;/&gt;&lt;wsp:rsid wsp:val=&quot;00F6409F&quot;/&gt;&lt;wsp:rsid wsp:val=&quot;00F652E1&quot;/&gt;&lt;wsp:rsid wsp:val=&quot;00F659F7&quot;/&gt;&lt;wsp:rsid wsp:val=&quot;00F67803&quot;/&gt;&lt;wsp:rsid wsp:val=&quot;00F67C5E&quot;/&gt;&lt;wsp:rsid wsp:val=&quot;00F67C93&quot;/&gt;&lt;wsp:rsid wsp:val=&quot;00F67DA6&quot;/&gt;&lt;wsp:rsid wsp:val=&quot;00F67EAE&quot;/&gt;&lt;wsp:rsid wsp:val=&quot;00F70E04&quot;/&gt;&lt;wsp:rsid wsp:val=&quot;00F71418&quot;/&gt;&lt;wsp:rsid wsp:val=&quot;00F71472&quot;/&gt;&lt;wsp:rsid wsp:val=&quot;00F71612&quot;/&gt;&lt;wsp:rsid wsp:val=&quot;00F71A6B&quot;/&gt;&lt;wsp:rsid wsp:val=&quot;00F71C74&quot;/&gt;&lt;wsp:rsid wsp:val=&quot;00F71F5C&quot;/&gt;&lt;wsp:rsid wsp:val=&quot;00F73BDB&quot;/&gt;&lt;wsp:rsid wsp:val=&quot;00F73FEA&quot;/&gt;&lt;wsp:rsid wsp:val=&quot;00F74190&quot;/&gt;&lt;wsp:rsid wsp:val=&quot;00F74349&quot;/&gt;&lt;wsp:rsid wsp:val=&quot;00F74910&quot;/&gt;&lt;wsp:rsid wsp:val=&quot;00F74A8D&quot;/&gt;&lt;wsp:rsid wsp:val=&quot;00F75662&quot;/&gt;&lt;wsp:rsid wsp:val=&quot;00F76361&quot;/&gt;&lt;wsp:rsid wsp:val=&quot;00F767BF&quot;/&gt;&lt;wsp:rsid wsp:val=&quot;00F76C58&quot;/&gt;&lt;wsp:rsid wsp:val=&quot;00F76F66&quot;/&gt;&lt;wsp:rsid wsp:val=&quot;00F77204&quot;/&gt;&lt;wsp:rsid wsp:val=&quot;00F773F9&quot;/&gt;&lt;wsp:rsid wsp:val=&quot;00F775B1&quot;/&gt;&lt;wsp:rsid wsp:val=&quot;00F81BDA&quot;/&gt;&lt;wsp:rsid wsp:val=&quot;00F81F2B&quot;/&gt;&lt;wsp:rsid wsp:val=&quot;00F82031&quot;/&gt;&lt;wsp:rsid wsp:val=&quot;00F82060&quot;/&gt;&lt;wsp:rsid wsp:val=&quot;00F822AE&quot;/&gt;&lt;wsp:rsid wsp:val=&quot;00F82693&quot;/&gt;&lt;wsp:rsid wsp:val=&quot;00F82834&quot;/&gt;&lt;wsp:rsid wsp:val=&quot;00F82B4B&quot;/&gt;&lt;wsp:rsid wsp:val=&quot;00F83CE2&quot;/&gt;&lt;wsp:rsid wsp:val=&quot;00F83D47&quot;/&gt;&lt;wsp:rsid wsp:val=&quot;00F83D74&quot;/&gt;&lt;wsp:rsid wsp:val=&quot;00F8444A&quot;/&gt;&lt;wsp:rsid wsp:val=&quot;00F84BE9&quot;/&gt;&lt;wsp:rsid wsp:val=&quot;00F8553F&quot;/&gt;&lt;wsp:rsid wsp:val=&quot;00F87EBF&quot;/&gt;&lt;wsp:rsid wsp:val=&quot;00F90498&quot;/&gt;&lt;wsp:rsid wsp:val=&quot;00F9077A&quot;/&gt;&lt;wsp:rsid wsp:val=&quot;00F90C4B&quot;/&gt;&lt;wsp:rsid wsp:val=&quot;00F90FF5&quot;/&gt;&lt;wsp:rsid wsp:val=&quot;00F912D9&quot;/&gt;&lt;wsp:rsid wsp:val=&quot;00F91B3B&quot;/&gt;&lt;wsp:rsid wsp:val=&quot;00F91F7C&quot;/&gt;&lt;wsp:rsid wsp:val=&quot;00F92288&quot;/&gt;&lt;wsp:rsid wsp:val=&quot;00F923D4&quot;/&gt;&lt;wsp:rsid wsp:val=&quot;00F93D4C&quot;/&gt;&lt;wsp:rsid wsp:val=&quot;00F94CE8&quot;/&gt;&lt;wsp:rsid wsp:val=&quot;00F94D39&quot;/&gt;&lt;wsp:rsid wsp:val=&quot;00F95230&quot;/&gt;&lt;wsp:rsid wsp:val=&quot;00F95509&quot;/&gt;&lt;wsp:rsid wsp:val=&quot;00F9588B&quot;/&gt;&lt;wsp:rsid wsp:val=&quot;00F95E04&quot;/&gt;&lt;wsp:rsid wsp:val=&quot;00F95E41&quot;/&gt;&lt;wsp:rsid wsp:val=&quot;00F961E1&quot;/&gt;&lt;wsp:rsid wsp:val=&quot;00F9639A&quot;/&gt;&lt;wsp:rsid wsp:val=&quot;00F963CF&quot;/&gt;&lt;wsp:rsid wsp:val=&quot;00F96489&quot;/&gt;&lt;wsp:rsid wsp:val=&quot;00F96585&quot;/&gt;&lt;wsp:rsid wsp:val=&quot;00F967E6&quot;/&gt;&lt;wsp:rsid wsp:val=&quot;00F971B3&quot;/&gt;&lt;wsp:rsid wsp:val=&quot;00F974E6&quot;/&gt;&lt;wsp:rsid wsp:val=&quot;00F9778F&quot;/&gt;&lt;wsp:rsid wsp:val=&quot;00FA0895&quot;/&gt;&lt;wsp:rsid wsp:val=&quot;00FA0A66&quot;/&gt;&lt;wsp:rsid wsp:val=&quot;00FA1A88&quot;/&gt;&lt;wsp:rsid wsp:val=&quot;00FA2191&quot;/&gt;&lt;wsp:rsid wsp:val=&quot;00FA31F5&quot;/&gt;&lt;wsp:rsid wsp:val=&quot;00FA3B1B&quot;/&gt;&lt;wsp:rsid wsp:val=&quot;00FA3F62&quot;/&gt;&lt;wsp:rsid wsp:val=&quot;00FA4203&quot;/&gt;&lt;wsp:rsid wsp:val=&quot;00FA53D7&quot;/&gt;&lt;wsp:rsid wsp:val=&quot;00FA58DB&quot;/&gt;&lt;wsp:rsid wsp:val=&quot;00FA5A32&quot;/&gt;&lt;wsp:rsid wsp:val=&quot;00FA732E&quot;/&gt;&lt;wsp:rsid wsp:val=&quot;00FB0BF0&quot;/&gt;&lt;wsp:rsid wsp:val=&quot;00FB182F&quot;/&gt;&lt;wsp:rsid wsp:val=&quot;00FB1A97&quot;/&gt;&lt;wsp:rsid wsp:val=&quot;00FB1BEE&quot;/&gt;&lt;wsp:rsid wsp:val=&quot;00FB2087&quot;/&gt;&lt;wsp:rsid wsp:val=&quot;00FB2175&quot;/&gt;&lt;wsp:rsid wsp:val=&quot;00FB2F72&quot;/&gt;&lt;wsp:rsid wsp:val=&quot;00FB306D&quot;/&gt;&lt;wsp:rsid wsp:val=&quot;00FB46B2&quot;/&gt;&lt;wsp:rsid wsp:val=&quot;00FB4760&quot;/&gt;&lt;wsp:rsid wsp:val=&quot;00FB4B5C&quot;/&gt;&lt;wsp:rsid wsp:val=&quot;00FB4C5A&quot;/&gt;&lt;wsp:rsid wsp:val=&quot;00FB4F17&quot;/&gt;&lt;wsp:rsid wsp:val=&quot;00FB5122&quot;/&gt;&lt;wsp:rsid wsp:val=&quot;00FB5C5E&quot;/&gt;&lt;wsp:rsid wsp:val=&quot;00FB5EEE&quot;/&gt;&lt;wsp:rsid wsp:val=&quot;00FB6576&quot;/&gt;&lt;wsp:rsid wsp:val=&quot;00FB6C0F&quot;/&gt;&lt;wsp:rsid wsp:val=&quot;00FB6EF6&quot;/&gt;&lt;wsp:rsid wsp:val=&quot;00FB7036&quot;/&gt;&lt;wsp:rsid wsp:val=&quot;00FB754D&quot;/&gt;&lt;wsp:rsid wsp:val=&quot;00FB7DD0&quot;/&gt;&lt;wsp:rsid wsp:val=&quot;00FC0CF0&quot;/&gt;&lt;wsp:rsid wsp:val=&quot;00FC0D35&quot;/&gt;&lt;wsp:rsid wsp:val=&quot;00FC10A9&quot;/&gt;&lt;wsp:rsid wsp:val=&quot;00FC1B4B&quot;/&gt;&lt;wsp:rsid wsp:val=&quot;00FC1B99&quot;/&gt;&lt;wsp:rsid wsp:val=&quot;00FC225F&quot;/&gt;&lt;wsp:rsid wsp:val=&quot;00FC3221&quot;/&gt;&lt;wsp:rsid wsp:val=&quot;00FC3933&quot;/&gt;&lt;wsp:rsid wsp:val=&quot;00FC47CC&quot;/&gt;&lt;wsp:rsid wsp:val=&quot;00FC4E63&quot;/&gt;&lt;wsp:rsid wsp:val=&quot;00FC6124&quot;/&gt;&lt;wsp:rsid wsp:val=&quot;00FC64AE&quot;/&gt;&lt;wsp:rsid wsp:val=&quot;00FC7E60&quot;/&gt;&lt;wsp:rsid wsp:val=&quot;00FD028A&quot;/&gt;&lt;wsp:rsid wsp:val=&quot;00FD04F7&quot;/&gt;&lt;wsp:rsid wsp:val=&quot;00FD0AF5&quot;/&gt;&lt;wsp:rsid wsp:val=&quot;00FD121A&quot;/&gt;&lt;wsp:rsid wsp:val=&quot;00FD1582&quot;/&gt;&lt;wsp:rsid wsp:val=&quot;00FD38BA&quot;/&gt;&lt;wsp:rsid wsp:val=&quot;00FD406A&quot;/&gt;&lt;wsp:rsid wsp:val=&quot;00FD440C&quot;/&gt;&lt;wsp:rsid wsp:val=&quot;00FD5ECF&quot;/&gt;&lt;wsp:rsid wsp:val=&quot;00FD6A0E&quot;/&gt;&lt;wsp:rsid wsp:val=&quot;00FD6A93&quot;/&gt;&lt;wsp:rsid wsp:val=&quot;00FD6D6C&quot;/&gt;&lt;wsp:rsid wsp:val=&quot;00FD71F3&quot;/&gt;&lt;wsp:rsid wsp:val=&quot;00FD7B12&quot;/&gt;&lt;wsp:rsid wsp:val=&quot;00FE157D&quot;/&gt;&lt;wsp:rsid wsp:val=&quot;00FE162D&quot;/&gt;&lt;wsp:rsid wsp:val=&quot;00FE1E3E&quot;/&gt;&lt;wsp:rsid wsp:val=&quot;00FE2DEE&quot;/&gt;&lt;wsp:rsid wsp:val=&quot;00FE34FE&quot;/&gt;&lt;wsp:rsid wsp:val=&quot;00FE379D&quot;/&gt;&lt;wsp:rsid wsp:val=&quot;00FE38CD&quot;/&gt;&lt;wsp:rsid wsp:val=&quot;00FE3912&quot;/&gt;&lt;wsp:rsid wsp:val=&quot;00FE47C4&quot;/&gt;&lt;wsp:rsid wsp:val=&quot;00FE4B49&quot;/&gt;&lt;wsp:rsid wsp:val=&quot;00FE51E9&quot;/&gt;&lt;wsp:rsid wsp:val=&quot;00FE5532&quot;/&gt;&lt;wsp:rsid wsp:val=&quot;00FE561F&quot;/&gt;&lt;wsp:rsid wsp:val=&quot;00FE5E39&quot;/&gt;&lt;wsp:rsid wsp:val=&quot;00FE6587&quot;/&gt;&lt;wsp:rsid wsp:val=&quot;00FE6808&quot;/&gt;&lt;wsp:rsid wsp:val=&quot;00FE683C&quot;/&gt;&lt;wsp:rsid wsp:val=&quot;00FE6FD1&quot;/&gt;&lt;wsp:rsid wsp:val=&quot;00FE73DF&quot;/&gt;&lt;wsp:rsid wsp:val=&quot;00FF040D&quot;/&gt;&lt;wsp:rsid wsp:val=&quot;00FF0550&quot;/&gt;&lt;wsp:rsid wsp:val=&quot;00FF0DD6&quot;/&gt;&lt;wsp:rsid wsp:val=&quot;00FF18D7&quot;/&gt;&lt;wsp:rsid wsp:val=&quot;00FF1BFE&quot;/&gt;&lt;wsp:rsid wsp:val=&quot;00FF2671&quot;/&gt;&lt;wsp:rsid wsp:val=&quot;00FF2C36&quot;/&gt;&lt;wsp:rsid wsp:val=&quot;00FF2EAC&quot;/&gt;&lt;wsp:rsid wsp:val=&quot;00FF2F17&quot;/&gt;&lt;wsp:rsid wsp:val=&quot;00FF37EF&quot;/&gt;&lt;wsp:rsid wsp:val=&quot;00FF40AE&quot;/&gt;&lt;wsp:rsid wsp:val=&quot;00FF447B&quot;/&gt;&lt;wsp:rsid wsp:val=&quot;00FF47B6&quot;/&gt;&lt;wsp:rsid wsp:val=&quot;00FF4B44&quot;/&gt;&lt;wsp:rsid wsp:val=&quot;00FF4E5F&quot;/&gt;&lt;wsp:rsid wsp:val=&quot;00FF56FC&quot;/&gt;&lt;wsp:rsid wsp:val=&quot;00FF5FBE&quot;/&gt;&lt;wsp:rsid wsp:val=&quot;00FF7279&quot;/&gt;&lt;wsp:rsid wsp:val=&quot;00FF730C&quot;/&gt;&lt;wsp:rsid wsp:val=&quot;00FF7C58&quot;/&gt;&lt;wsp:rsid wsp:val=&quot;02480F96&quot;/&gt;&lt;wsp:rsid wsp:val=&quot;027421AE&quot;/&gt;&lt;wsp:rsid wsp:val=&quot;02A17E88&quot;/&gt;&lt;wsp:rsid wsp:val=&quot;050E27F8&quot;/&gt;&lt;wsp:rsid wsp:val=&quot;06526154&quot;/&gt;&lt;wsp:rsid wsp:val=&quot;065829F1&quot;/&gt;&lt;wsp:rsid wsp:val=&quot;096746B3&quot;/&gt;&lt;wsp:rsid wsp:val=&quot;10E221A8&quot;/&gt;&lt;wsp:rsid wsp:val=&quot;116E00EE&quot;/&gt;&lt;wsp:rsid wsp:val=&quot;13C5141D&quot;/&gt;&lt;wsp:rsid wsp:val=&quot;147B25CC&quot;/&gt;&lt;wsp:rsid wsp:val=&quot;150A3850&quot;/&gt;&lt;wsp:rsid wsp:val=&quot;18946E8F&quot;/&gt;&lt;wsp:rsid wsp:val=&quot;1A087ADB&quot;/&gt;&lt;wsp:rsid wsp:val=&quot;1A1B52FA&quot;/&gt;&lt;wsp:rsid wsp:val=&quot;1A7864A1&quot;/&gt;&lt;wsp:rsid wsp:val=&quot;1DCE34CE&quot;/&gt;&lt;wsp:rsid wsp:val=&quot;206075CD&quot;/&gt;&lt;wsp:rsid wsp:val=&quot;226C7190&quot;/&gt;&lt;wsp:rsid wsp:val=&quot;22F6565C&quot;/&gt;&lt;wsp:rsid wsp:val=&quot;24A002A7&quot;/&gt;&lt;wsp:rsid wsp:val=&quot;26521C0C&quot;/&gt;&lt;wsp:rsid wsp:val=&quot;2A0A4AE0&quot;/&gt;&lt;wsp:rsid wsp:val=&quot;2BFD2CE5&quot;/&gt;&lt;wsp:rsid wsp:val=&quot;2FFA13B6&quot;/&gt;&lt;wsp:rsid wsp:val=&quot;3027241B&quot;/&gt;&lt;wsp:rsid wsp:val=&quot;30CD5F3D&quot;/&gt;&lt;wsp:rsid wsp:val=&quot;356C7AF9&quot;/&gt;&lt;wsp:rsid wsp:val=&quot;36BA23F0&quot;/&gt;&lt;wsp:rsid wsp:val=&quot;38BB0370&quot;/&gt;&lt;wsp:rsid wsp:val=&quot;3A7F44D8&quot;/&gt;&lt;wsp:rsid wsp:val=&quot;3AB3657D&quot;/&gt;&lt;wsp:rsid wsp:val=&quot;3B944D22&quot;/&gt;&lt;wsp:rsid wsp:val=&quot;3BC60721&quot;/&gt;&lt;wsp:rsid wsp:val=&quot;3D1A395A&quot;/&gt;&lt;wsp:rsid wsp:val=&quot;3D1E23EE&quot;/&gt;&lt;wsp:rsid wsp:val=&quot;44E47AFA&quot;/&gt;&lt;wsp:rsid wsp:val=&quot;455373A1&quot;/&gt;&lt;wsp:rsid wsp:val=&quot;45A20272&quot;/&gt;&lt;wsp:rsid wsp:val=&quot;494A0752&quot;/&gt;&lt;wsp:rsid wsp:val=&quot;4A6E57FE&quot;/&gt;&lt;wsp:rsid wsp:val=&quot;4C2D0915&quot;/&gt;&lt;wsp:rsid wsp:val=&quot;4DFC0976&quot;/&gt;&lt;wsp:rsid wsp:val=&quot;4E964F55&quot;/&gt;&lt;wsp:rsid wsp:val=&quot;5307148A&quot;/&gt;&lt;wsp:rsid wsp:val=&quot;55171927&quot;/&gt;&lt;wsp:rsid wsp:val=&quot;56F549A1&quot;/&gt;&lt;wsp:rsid wsp:val=&quot;57D303F2&quot;/&gt;&lt;wsp:rsid wsp:val=&quot;5B873B34&quot;/&gt;&lt;wsp:rsid wsp:val=&quot;5D033B22&quot;/&gt;&lt;wsp:rsid wsp:val=&quot;5E585B4E&quot;/&gt;&lt;wsp:rsid wsp:val=&quot;5F3E2E1E&quot;/&gt;&lt;wsp:rsid wsp:val=&quot;609C1717&quot;/&gt;&lt;wsp:rsid wsp:val=&quot;635F5024&quot;/&gt;&lt;wsp:rsid wsp:val=&quot;670130CA&quot;/&gt;&lt;wsp:rsid wsp:val=&quot;677D6958&quot;/&gt;&lt;wsp:rsid wsp:val=&quot;684B2A97&quot;/&gt;&lt;wsp:rsid wsp:val=&quot;687133E0&quot;/&gt;&lt;wsp:rsid wsp:val=&quot;689D5FF7&quot;/&gt;&lt;wsp:rsid wsp:val=&quot;6A6C05BF&quot;/&gt;&lt;wsp:rsid wsp:val=&quot;6C815020&quot;/&gt;&lt;wsp:rsid wsp:val=&quot;6ECB1F8F&quot;/&gt;&lt;wsp:rsid wsp:val=&quot;6EFF2BFA&quot;/&gt;&lt;wsp:rsid wsp:val=&quot;70704D87&quot;/&gt;&lt;wsp:rsid wsp:val=&quot;70B31A0B&quot;/&gt;&lt;wsp:rsid wsp:val=&quot;7144171B&quot;/&gt;&lt;wsp:rsid wsp:val=&quot;71B65686&quot;/&gt;&lt;wsp:rsid wsp:val=&quot;71F05146&quot;/&gt;&lt;wsp:rsid wsp:val=&quot;72A6345A&quot;/&gt;&lt;wsp:rsid wsp:val=&quot;72C34660&quot;/&gt;&lt;wsp:rsid wsp:val=&quot;74380D09&quot;/&gt;&lt;wsp:rsid wsp:val=&quot;75D6300E&quot;/&gt;&lt;wsp:rsid wsp:val=&quot;76B56222&quot;/&gt;&lt;wsp:rsid wsp:val=&quot;78374E93&quot;/&gt;&lt;wsp:rsid wsp:val=&quot;795A7EB6&quot;/&gt;&lt;wsp:rsid wsp:val=&quot;796A2C43&quot;/&gt;&lt;wsp:rsid wsp:val=&quot;7CCD5657&quot;/&gt;&lt;wsp:rsid wsp:val=&quot;7D214335&quot;/&gt;&lt;wsp:rsid wsp:val=&quot;7F24135E&quot;/&gt;&lt;/wsp:rsids&gt;&lt;/w:docPr&gt;&lt;w:body&gt;&lt;w:p wsp:rsidR=&quot;00000000&quot; wsp:rsidRDefault=&quot;00414F3F&quot;&gt;&lt;m:oMathPara&gt;&lt;m:oMath&gt;&lt;m:sSub&gt;&lt;m:sSubPr&gt;&lt;m:ctrlPr&gt;&lt;w:rPr&gt;&lt;w:rFonts w:ascii=&quot;Cambria Math&quot; w:h-ansi=&quot;Cambria Math&quot;/&gt;&lt;wx:font wx:val=&quot;Cambria Math&quot;/&gt;&lt;w:sz-cs w:val=&quot;24&quot;/&gt;&lt;/w:rPr&gt;&lt;/m:ctrlPr&gt;&lt;/m:sSubPr&gt;&lt;m:e&gt;&lt;m:r&gt;&lt;w:rPr&gt;&lt;w:rFonts w:ascii=&quot;Cambria Math&quot; w:h-ansi=&quot;Cambria Math&quot;/&gt;&lt;wx:font wx:val=&quot;Cambria Math&quot;/&gt;&lt;w:i/&gt;&lt;w:sz-cs w:val=&quot;24&quot;/&gt;&lt;/w:rPr&gt;&lt;m:t&gt;P&lt;/m:t&gt;&lt;/m:r&gt;&lt;/m:e&gt;&lt;m:sub&gt;&lt;m:r&gt;&lt;w:rPr&gt;&lt;w:rFonts w:ascii=&quot;Cambria Math&quot; w:h-ansi=&quot;Cambria Math&quot;/&gt;&lt;wx:font wx:val=&quot;Cambria Math&quot;/&gt;&lt;w:i/&gt;&lt;w:sz-cs w:val=&quot;24&quot;/&gt;&lt;/w:rPr&gt;&lt;m:t&gt;i&lt;/m:t&gt;&lt;/m:r&gt;&lt;/m:sub&gt;&lt;/m:sSub&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body&gt;&lt;/w:wordDocument&gt;">
            <v:path/>
            <v:fill on="f" focussize="0,0"/>
            <v:stroke on="f"/>
            <v:imagedata r:id="rId10" chromakey="#FFFFFF" o:title=""/>
            <o:lock v:ext="edit" aspectratio="t"/>
            <w10:wrap type="none"/>
            <w10:anchorlock/>
          </v:shape>
        </w:pict>
      </w:r>
      <w:r>
        <w:rPr>
          <w:rFonts w:hint="default" w:ascii="Times New Roman" w:hAnsi="Times New Roman" w:cs="Times New Roman"/>
          <w:color w:val="auto"/>
          <w:highlight w:val="none"/>
          <w:u w:val="none" w:color="auto"/>
          <w:lang w:val="en-US" w:eastAsia="zh-CN"/>
        </w:rPr>
        <w:instrText xml:space="preserve"> </w:instrText>
      </w:r>
      <w:r>
        <w:rPr>
          <w:rFonts w:hint="default" w:ascii="Times New Roman" w:hAnsi="Times New Roman" w:cs="Times New Roman"/>
          <w:color w:val="auto"/>
          <w:highlight w:val="none"/>
          <w:u w:val="none" w:color="auto"/>
          <w:lang w:val="en-US" w:eastAsia="zh-CN"/>
        </w:rPr>
        <w:fldChar w:fldCharType="separate"/>
      </w:r>
      <w:r>
        <w:rPr>
          <w:rFonts w:hint="default" w:ascii="Times New Roman" w:hAnsi="Times New Roman" w:cs="Times New Roman"/>
          <w:color w:val="auto"/>
          <w:highlight w:val="none"/>
          <w:u w:val="none" w:color="auto"/>
          <w:lang w:val="en-US" w:eastAsia="zh-CN"/>
        </w:rPr>
        <w:fldChar w:fldCharType="end"/>
      </w:r>
      <w:r>
        <w:rPr>
          <w:rFonts w:hint="default" w:ascii="Times New Roman" w:hAnsi="Times New Roman" w:cs="Times New Roman"/>
          <w:color w:val="auto"/>
          <w:highlight w:val="none"/>
          <w:u w:val="none" w:color="auto"/>
          <w:lang w:val="en-US" w:eastAsia="zh-CN"/>
        </w:rPr>
        <w:t>——第i个污染物的最大地面空气质量浓度占标率，%；</w:t>
      </w:r>
    </w:p>
    <w:p w14:paraId="584D8DB3">
      <w:pPr>
        <w:bidi w:val="0"/>
        <w:rPr>
          <w:rFonts w:hint="default" w:ascii="Times New Roman" w:hAnsi="Times New Roman" w:cs="Times New Roman"/>
          <w:color w:val="auto"/>
          <w:highlight w:val="none"/>
          <w:u w:val="none" w:color="auto"/>
          <w:lang w:val="en-US" w:eastAsia="zh-CN"/>
        </w:rPr>
      </w:pPr>
      <w:r>
        <w:rPr>
          <w:rFonts w:hint="default" w:ascii="Times New Roman" w:hAnsi="Times New Roman" w:cs="Times New Roman"/>
          <w:color w:val="auto"/>
          <w:highlight w:val="none"/>
          <w:u w:val="none" w:color="auto"/>
          <w:lang w:val="en-US" w:eastAsia="zh-CN"/>
        </w:rPr>
        <w:t>C</w:t>
      </w:r>
      <w:r>
        <w:rPr>
          <w:rFonts w:hint="default" w:ascii="Times New Roman" w:hAnsi="Times New Roman" w:cs="Times New Roman"/>
          <w:color w:val="auto"/>
          <w:highlight w:val="none"/>
          <w:u w:val="none" w:color="auto"/>
          <w:vertAlign w:val="subscript"/>
          <w:lang w:val="en-US" w:eastAsia="zh-CN"/>
        </w:rPr>
        <w:t>i</w:t>
      </w:r>
      <w:r>
        <w:rPr>
          <w:rFonts w:hint="default" w:ascii="Times New Roman" w:hAnsi="Times New Roman" w:cs="Times New Roman"/>
          <w:color w:val="auto"/>
          <w:highlight w:val="none"/>
          <w:u w:val="none" w:color="auto"/>
          <w:lang w:val="en-US" w:eastAsia="zh-CN"/>
        </w:rPr>
        <w:fldChar w:fldCharType="begin"/>
      </w:r>
      <w:r>
        <w:rPr>
          <w:rFonts w:hint="default" w:ascii="Times New Roman" w:hAnsi="Times New Roman" w:cs="Times New Roman"/>
          <w:color w:val="auto"/>
          <w:highlight w:val="none"/>
          <w:u w:val="none" w:color="auto"/>
          <w:lang w:val="en-US" w:eastAsia="zh-CN"/>
        </w:rPr>
        <w:instrText xml:space="preserve"> QUOTE </w:instrText>
      </w:r>
      <w:r>
        <w:rPr>
          <w:rFonts w:hint="default" w:ascii="Times New Roman" w:hAnsi="Times New Roman" w:cs="Times New Roman"/>
          <w:color w:val="auto"/>
          <w:highlight w:val="none"/>
          <w:u w:val="none" w:color="auto"/>
          <w:lang w:val="en-US" w:eastAsia="zh-CN"/>
        </w:rPr>
        <w:pict>
          <v:shape id="_x0000_i1026" o:spt="75" type="#_x0000_t75" style="height:21pt;width:10.5pt;" filled="f" stroked="f" coordsize="21600,21600" equationxml="&lt;?xml version=&quot;1.0&quot; encoding=&quot;UTF-8&quot; standalone=&quot;yes&quot;?&gt;&#13;&#10;&lt;?mso-application progid=&quot;Word.Document&quot;?&gt;&#13;&#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stylePaneFormatFilter w:val=&quot;3F01&quot;/&gt;&lt;w:documentProtection w:edit=&quot;read-only&quot; w:enforcement=&quot;off&quot;/&gt;&lt;w:defaultTabStop w:val=&quot;420&quot;/&gt;&lt;w:drawingGridVerticalSpacing w:val=&quot;156&quot;/&gt;&lt;w:characterSpacingControl w:val=&quot;CompressPunctuation&quot;/&gt;&lt;w:webPageEncoding w:val=&quot;x-cp20936&quot;/&gt;&lt;w:optimizeForBrowser/&gt;&lt;w:validateAgainstSchema w:val=&quot;off&quot;/&gt;&lt;w:saveInvalidXML w:val=&quot;off&quot;/&gt;&lt;w:ignoreMixedContent w:val=&quot;off&quot;/&gt;&lt;w:alwaysShowPlaceholderText w:val=&quot;off&quot;/&gt;&lt;w:doNotUnderlineInvalidXML/&gt;&lt;w:endnotePr&gt;&lt;w:numFmt w:val=&quot;decimal&quot;/&gt;&lt;/w:endnotePr&gt;&lt;w:compat&gt;&lt;w:spaceForUL/&gt;&lt;w:balanceSingleByteDoubleByteWidth/&gt;&lt;w:doNotLeaveBackslashAlone/&gt;&lt;w:ulTrailSpace/&gt;&lt;w:doNotExpandShiftReturn/&gt;&lt;w:adjustLineHeightInTable/&gt;&lt;w:breakWrappedTables/&gt;&lt;w:snapToGridInCell/&gt;&lt;w:dontGrowAutofit/&gt;&lt;w:useFELayout/&gt;&lt;/w:compat&gt;&lt;wsp:rsids&gt;&lt;wsp:rsidRoot wsp:val=&quot;00172A27&quot;/&gt;&lt;wsp:rsid wsp:val=&quot;00000BDC&quot;/&gt;&lt;wsp:rsid wsp:val=&quot;00000C48&quot;/&gt;&lt;wsp:rsid wsp:val=&quot;00000DE8&quot;/&gt;&lt;wsp:rsid wsp:val=&quot;00002044&quot;/&gt;&lt;wsp:rsid wsp:val=&quot;00002384&quot;/&gt;&lt;wsp:rsid wsp:val=&quot;000023BB&quot;/&gt;&lt;wsp:rsid wsp:val=&quot;000026DF&quot;/&gt;&lt;wsp:rsid wsp:val=&quot;00003D43&quot;/&gt;&lt;wsp:rsid wsp:val=&quot;000049D5&quot;/&gt;&lt;wsp:rsid wsp:val=&quot;00007E76&quot;/&gt;&lt;wsp:rsid wsp:val=&quot;00010A97&quot;/&gt;&lt;wsp:rsid wsp:val=&quot;00011442&quot;/&gt;&lt;wsp:rsid wsp:val=&quot;00011611&quot;/&gt;&lt;wsp:rsid wsp:val=&quot;00012003&quot;/&gt;&lt;wsp:rsid wsp:val=&quot;00012680&quot;/&gt;&lt;wsp:rsid wsp:val=&quot;00013608&quot;/&gt;&lt;wsp:rsid wsp:val=&quot;000137FB&quot;/&gt;&lt;wsp:rsid wsp:val=&quot;00014054&quot;/&gt;&lt;wsp:rsid wsp:val=&quot;00014774&quot;/&gt;&lt;wsp:rsid wsp:val=&quot;00014FE9&quot;/&gt;&lt;wsp:rsid wsp:val=&quot;0001510B&quot;/&gt;&lt;wsp:rsid wsp:val=&quot;00015189&quot;/&gt;&lt;wsp:rsid wsp:val=&quot;000153F1&quot;/&gt;&lt;wsp:rsid wsp:val=&quot;00015940&quot;/&gt;&lt;wsp:rsid wsp:val=&quot;00015F77&quot;/&gt;&lt;wsp:rsid wsp:val=&quot;000161D2&quot;/&gt;&lt;wsp:rsid wsp:val=&quot;00016A2F&quot;/&gt;&lt;wsp:rsid wsp:val=&quot;00016CF4&quot;/&gt;&lt;wsp:rsid wsp:val=&quot;000176C2&quot;/&gt;&lt;wsp:rsid wsp:val=&quot;00017960&quot;/&gt;&lt;wsp:rsid wsp:val=&quot;00020069&quot;/&gt;&lt;wsp:rsid wsp:val=&quot;00020890&quot;/&gt;&lt;wsp:rsid wsp:val=&quot;00020902&quot;/&gt;&lt;wsp:rsid wsp:val=&quot;00021F5B&quot;/&gt;&lt;wsp:rsid wsp:val=&quot;000243DA&quot;/&gt;&lt;wsp:rsid wsp:val=&quot;00024599&quot;/&gt;&lt;wsp:rsid wsp:val=&quot;00024C46&quot;/&gt;&lt;wsp:rsid wsp:val=&quot;00024C57&quot;/&gt;&lt;wsp:rsid wsp:val=&quot;00024F85&quot;/&gt;&lt;wsp:rsid wsp:val=&quot;00025DA8&quot;/&gt;&lt;wsp:rsid wsp:val=&quot;00025E7D&quot;/&gt;&lt;wsp:rsid wsp:val=&quot;00026A23&quot;/&gt;&lt;wsp:rsid wsp:val=&quot;000315D7&quot;/&gt;&lt;wsp:rsid wsp:val=&quot;0003201D&quot;/&gt;&lt;wsp:rsid wsp:val=&quot;000321EF&quot;/&gt;&lt;wsp:rsid wsp:val=&quot;0003242F&quot;/&gt;&lt;wsp:rsid wsp:val=&quot;00032539&quot;/&gt;&lt;wsp:rsid wsp:val=&quot;00033BC3&quot;/&gt;&lt;wsp:rsid wsp:val=&quot;000340D2&quot;/&gt;&lt;wsp:rsid wsp:val=&quot;0003438A&quot;/&gt;&lt;wsp:rsid wsp:val=&quot;00035764&quot;/&gt;&lt;wsp:rsid wsp:val=&quot;00035B09&quot;/&gt;&lt;wsp:rsid wsp:val=&quot;00035BBA&quot;/&gt;&lt;wsp:rsid wsp:val=&quot;000366BB&quot;/&gt;&lt;wsp:rsid wsp:val=&quot;0003728E&quot;/&gt;&lt;wsp:rsid wsp:val=&quot;000373AF&quot;/&gt;&lt;wsp:rsid wsp:val=&quot;0003798F&quot;/&gt;&lt;wsp:rsid wsp:val=&quot;00040362&quot;/&gt;&lt;wsp:rsid wsp:val=&quot;00040AF5&quot;/&gt;&lt;wsp:rsid wsp:val=&quot;00040B38&quot;/&gt;&lt;wsp:rsid wsp:val=&quot;00042045&quot;/&gt;&lt;wsp:rsid wsp:val=&quot;00042400&quot;/&gt;&lt;wsp:rsid wsp:val=&quot;00042FDC&quot;/&gt;&lt;wsp:rsid wsp:val=&quot;000430C2&quot;/&gt;&lt;wsp:rsid wsp:val=&quot;00043C8A&quot;/&gt;&lt;wsp:rsid wsp:val=&quot;00043EE4&quot;/&gt;&lt;wsp:rsid wsp:val=&quot;000445D2&quot;/&gt;&lt;wsp:rsid wsp:val=&quot;000449FA&quot;/&gt;&lt;wsp:rsid wsp:val=&quot;0004570E&quot;/&gt;&lt;wsp:rsid wsp:val=&quot;000460E8&quot;/&gt;&lt;wsp:rsid wsp:val=&quot;00046207&quot;/&gt;&lt;wsp:rsid wsp:val=&quot;00046D04&quot;/&gt;&lt;wsp:rsid wsp:val=&quot;00047758&quot;/&gt;&lt;wsp:rsid wsp:val=&quot;00047BE0&quot;/&gt;&lt;wsp:rsid wsp:val=&quot;000501BB&quot;/&gt;&lt;wsp:rsid wsp:val=&quot;0005056C&quot;/&gt;&lt;wsp:rsid wsp:val=&quot;00050B2B&quot;/&gt;&lt;wsp:rsid wsp:val=&quot;00050E30&quot;/&gt;&lt;wsp:rsid wsp:val=&quot;0005160B&quot;/&gt;&lt;wsp:rsid wsp:val=&quot;000519A3&quot;/&gt;&lt;wsp:rsid wsp:val=&quot;000522EB&quot;/&gt;&lt;wsp:rsid wsp:val=&quot;00052E38&quot;/&gt;&lt;wsp:rsid wsp:val=&quot;00052FAE&quot;/&gt;&lt;wsp:rsid wsp:val=&quot;00053F67&quot;/&gt;&lt;wsp:rsid wsp:val=&quot;00054294&quot;/&gt;&lt;wsp:rsid wsp:val=&quot;00054425&quot;/&gt;&lt;wsp:rsid wsp:val=&quot;000556D0&quot;/&gt;&lt;wsp:rsid wsp:val=&quot;000563AC&quot;/&gt;&lt;wsp:rsid wsp:val=&quot;00057F74&quot;/&gt;&lt;wsp:rsid wsp:val=&quot;00061344&quot;/&gt;&lt;wsp:rsid wsp:val=&quot;000625FF&quot;/&gt;&lt;wsp:rsid wsp:val=&quot;00062DE9&quot;/&gt;&lt;wsp:rsid wsp:val=&quot;00063AF0&quot;/&gt;&lt;wsp:rsid wsp:val=&quot;00063B5F&quot;/&gt;&lt;wsp:rsid wsp:val=&quot;000653F8&quot;/&gt;&lt;wsp:rsid wsp:val=&quot;0006563D&quot;/&gt;&lt;wsp:rsid wsp:val=&quot;000663B8&quot;/&gt;&lt;wsp:rsid wsp:val=&quot;00066BDF&quot;/&gt;&lt;wsp:rsid wsp:val=&quot;000670D7&quot;/&gt;&lt;wsp:rsid wsp:val=&quot;000675AB&quot;/&gt;&lt;wsp:rsid wsp:val=&quot;0007061A&quot;/&gt;&lt;wsp:rsid wsp:val=&quot;000708C3&quot;/&gt;&lt;wsp:rsid wsp:val=&quot;0007123E&quot;/&gt;&lt;wsp:rsid wsp:val=&quot;000715C0&quot;/&gt;&lt;wsp:rsid wsp:val=&quot;00071EA9&quot;/&gt;&lt;wsp:rsid wsp:val=&quot;00073DEA&quot;/&gt;&lt;wsp:rsid wsp:val=&quot;000743F6&quot;/&gt;&lt;wsp:rsid wsp:val=&quot;00074C92&quot;/&gt;&lt;wsp:rsid wsp:val=&quot;00075FDD&quot;/&gt;&lt;wsp:rsid wsp:val=&quot;0007632E&quot;/&gt;&lt;wsp:rsid wsp:val=&quot;00077287&quot;/&gt;&lt;wsp:rsid wsp:val=&quot;00077CB5&quot;/&gt;&lt;wsp:rsid wsp:val=&quot;00080216&quot;/&gt;&lt;wsp:rsid wsp:val=&quot;00080318&quot;/&gt;&lt;wsp:rsid wsp:val=&quot;00080818&quot;/&gt;&lt;wsp:rsid wsp:val=&quot;00080F17&quot;/&gt;&lt;wsp:rsid wsp:val=&quot;00081044&quot;/&gt;&lt;wsp:rsid wsp:val=&quot;0008154D&quot;/&gt;&lt;wsp:rsid wsp:val=&quot;00081C5E&quot;/&gt;&lt;wsp:rsid wsp:val=&quot;000820BD&quot;/&gt;&lt;wsp:rsid wsp:val=&quot;00082130&quot;/&gt;&lt;wsp:rsid wsp:val=&quot;000836FC&quot;/&gt;&lt;wsp:rsid wsp:val=&quot;00083AA9&quot;/&gt;&lt;wsp:rsid wsp:val=&quot;00083E8D&quot;/&gt;&lt;wsp:rsid wsp:val=&quot;00084258&quot;/&gt;&lt;wsp:rsid wsp:val=&quot;00085453&quot;/&gt;&lt;wsp:rsid wsp:val=&quot;000856EF&quot;/&gt;&lt;wsp:rsid wsp:val=&quot;00085892&quot;/&gt;&lt;wsp:rsid wsp:val=&quot;00085E4B&quot;/&gt;&lt;wsp:rsid wsp:val=&quot;00085EFF&quot;/&gt;&lt;wsp:rsid wsp:val=&quot;00086BC7&quot;/&gt;&lt;wsp:rsid wsp:val=&quot;00087086&quot;/&gt;&lt;wsp:rsid wsp:val=&quot;00087706&quot;/&gt;&lt;wsp:rsid wsp:val=&quot;0008793B&quot;/&gt;&lt;wsp:rsid wsp:val=&quot;00087D44&quot;/&gt;&lt;wsp:rsid wsp:val=&quot;00087DC0&quot;/&gt;&lt;wsp:rsid wsp:val=&quot;00090618&quot;/&gt;&lt;wsp:rsid wsp:val=&quot;000919FF&quot;/&gt;&lt;wsp:rsid wsp:val=&quot;000920FA&quot;/&gt;&lt;wsp:rsid wsp:val=&quot;00092311&quot;/&gt;&lt;wsp:rsid wsp:val=&quot;00092E1E&quot;/&gt;&lt;wsp:rsid wsp:val=&quot;000934E2&quot;/&gt;&lt;wsp:rsid wsp:val=&quot;00094315&quot;/&gt;&lt;wsp:rsid wsp:val=&quot;00094567&quot;/&gt;&lt;wsp:rsid wsp:val=&quot;00095CF4&quot;/&gt;&lt;wsp:rsid wsp:val=&quot;0009625B&quot;/&gt;&lt;wsp:rsid wsp:val=&quot;0009678D&quot;/&gt;&lt;wsp:rsid wsp:val=&quot;00096D8F&quot;/&gt;&lt;wsp:rsid wsp:val=&quot;000972DA&quot;/&gt;&lt;wsp:rsid wsp:val=&quot;00097305&quot;/&gt;&lt;wsp:rsid wsp:val=&quot;00097492&quot;/&gt;&lt;wsp:rsid wsp:val=&quot;00097A72&quot;/&gt;&lt;wsp:rsid wsp:val=&quot;00097EC9&quot;/&gt;&lt;wsp:rsid wsp:val=&quot;000A0B04&quot;/&gt;&lt;wsp:rsid wsp:val=&quot;000A12BE&quot;/&gt;&lt;wsp:rsid wsp:val=&quot;000A12F7&quot;/&gt;&lt;wsp:rsid wsp:val=&quot;000A2BD3&quot;/&gt;&lt;wsp:rsid wsp:val=&quot;000A2C20&quot;/&gt;&lt;wsp:rsid wsp:val=&quot;000A2F35&quot;/&gt;&lt;wsp:rsid wsp:val=&quot;000A31B2&quot;/&gt;&lt;wsp:rsid wsp:val=&quot;000A445C&quot;/&gt;&lt;wsp:rsid wsp:val=&quot;000A4D0B&quot;/&gt;&lt;wsp:rsid wsp:val=&quot;000A558C&quot;/&gt;&lt;wsp:rsid wsp:val=&quot;000A6A0F&quot;/&gt;&lt;wsp:rsid wsp:val=&quot;000A70F8&quot;/&gt;&lt;wsp:rsid wsp:val=&quot;000A751C&quot;/&gt;&lt;wsp:rsid wsp:val=&quot;000B01C7&quot;/&gt;&lt;wsp:rsid wsp:val=&quot;000B0841&quot;/&gt;&lt;wsp:rsid wsp:val=&quot;000B08EA&quot;/&gt;&lt;wsp:rsid wsp:val=&quot;000B1EFD&quot;/&gt;&lt;wsp:rsid wsp:val=&quot;000B2611&quot;/&gt;&lt;wsp:rsid wsp:val=&quot;000B2C3A&quot;/&gt;&lt;wsp:rsid wsp:val=&quot;000B314D&quot;/&gt;&lt;wsp:rsid wsp:val=&quot;000B4954&quot;/&gt;&lt;wsp:rsid wsp:val=&quot;000B4F30&quot;/&gt;&lt;wsp:rsid wsp:val=&quot;000B5077&quot;/&gt;&lt;wsp:rsid wsp:val=&quot;000B516E&quot;/&gt;&lt;wsp:rsid wsp:val=&quot;000B54F7&quot;/&gt;&lt;wsp:rsid wsp:val=&quot;000B62A1&quot;/&gt;&lt;wsp:rsid wsp:val=&quot;000C06AC&quot;/&gt;&lt;wsp:rsid wsp:val=&quot;000C0F8F&quot;/&gt;&lt;wsp:rsid wsp:val=&quot;000C135F&quot;/&gt;&lt;wsp:rsid wsp:val=&quot;000C4014&quot;/&gt;&lt;wsp:rsid wsp:val=&quot;000C41B6&quot;/&gt;&lt;wsp:rsid wsp:val=&quot;000C6114&quot;/&gt;&lt;wsp:rsid wsp:val=&quot;000C680E&quot;/&gt;&lt;wsp:rsid wsp:val=&quot;000C68E3&quot;/&gt;&lt;wsp:rsid wsp:val=&quot;000C6942&quot;/&gt;&lt;wsp:rsid wsp:val=&quot;000C6A5A&quot;/&gt;&lt;wsp:rsid wsp:val=&quot;000C70C4&quot;/&gt;&lt;wsp:rsid wsp:val=&quot;000C7B7A&quot;/&gt;&lt;wsp:rsid wsp:val=&quot;000C7DD1&quot;/&gt;&lt;wsp:rsid wsp:val=&quot;000C7E88&quot;/&gt;&lt;wsp:rsid wsp:val=&quot;000D060C&quot;/&gt;&lt;wsp:rsid wsp:val=&quot;000D0DE8&quot;/&gt;&lt;wsp:rsid wsp:val=&quot;000D1A2E&quot;/&gt;&lt;wsp:rsid wsp:val=&quot;000D1CA5&quot;/&gt;&lt;wsp:rsid wsp:val=&quot;000D1DDE&quot;/&gt;&lt;wsp:rsid wsp:val=&quot;000D2DBE&quot;/&gt;&lt;wsp:rsid wsp:val=&quot;000D3269&quot;/&gt;&lt;wsp:rsid wsp:val=&quot;000D3939&quot;/&gt;&lt;wsp:rsid wsp:val=&quot;000D40BB&quot;/&gt;&lt;wsp:rsid wsp:val=&quot;000D415E&quot;/&gt;&lt;wsp:rsid wsp:val=&quot;000D48F5&quot;/&gt;&lt;wsp:rsid wsp:val=&quot;000D5ED7&quot;/&gt;&lt;wsp:rsid wsp:val=&quot;000D5F4B&quot;/&gt;&lt;wsp:rsid wsp:val=&quot;000D610E&quot;/&gt;&lt;wsp:rsid wsp:val=&quot;000D695F&quot;/&gt;&lt;wsp:rsid wsp:val=&quot;000D6C57&quot;/&gt;&lt;wsp:rsid wsp:val=&quot;000E12AF&quot;/&gt;&lt;wsp:rsid wsp:val=&quot;000E1DDE&quot;/&gt;&lt;wsp:rsid wsp:val=&quot;000E27F1&quot;/&gt;&lt;wsp:rsid wsp:val=&quot;000E2E27&quot;/&gt;&lt;wsp:rsid wsp:val=&quot;000E480F&quot;/&gt;&lt;wsp:rsid wsp:val=&quot;000E5025&quot;/&gt;&lt;wsp:rsid wsp:val=&quot;000E5095&quot;/&gt;&lt;wsp:rsid wsp:val=&quot;000E5104&quot;/&gt;&lt;wsp:rsid wsp:val=&quot;000E5ED6&quot;/&gt;&lt;wsp:rsid wsp:val=&quot;000E6528&quot;/&gt;&lt;wsp:rsid wsp:val=&quot;000E72F9&quot;/&gt;&lt;wsp:rsid wsp:val=&quot;000E7FA7&quot;/&gt;&lt;wsp:rsid wsp:val=&quot;000F0147&quot;/&gt;&lt;wsp:rsid wsp:val=&quot;000F02F8&quot;/&gt;&lt;wsp:rsid wsp:val=&quot;000F0DBC&quot;/&gt;&lt;wsp:rsid wsp:val=&quot;000F0EAB&quot;/&gt;&lt;wsp:rsid wsp:val=&quot;000F12C0&quot;/&gt;&lt;wsp:rsid wsp:val=&quot;000F12D5&quot;/&gt;&lt;wsp:rsid wsp:val=&quot;000F13E7&quot;/&gt;&lt;wsp:rsid wsp:val=&quot;000F2482&quot;/&gt;&lt;wsp:rsid wsp:val=&quot;000F25C7&quot;/&gt;&lt;wsp:rsid wsp:val=&quot;000F299A&quot;/&gt;&lt;wsp:rsid wsp:val=&quot;000F2B35&quot;/&gt;&lt;wsp:rsid wsp:val=&quot;000F49B0&quot;/&gt;&lt;wsp:rsid wsp:val=&quot;000F535C&quot;/&gt;&lt;wsp:rsid wsp:val=&quot;000F5492&quot;/&gt;&lt;wsp:rsid wsp:val=&quot;000F5983&quot;/&gt;&lt;wsp:rsid wsp:val=&quot;000F64F0&quot;/&gt;&lt;wsp:rsid wsp:val=&quot;000F654E&quot;/&gt;&lt;wsp:rsid wsp:val=&quot;000F6579&quot;/&gt;&lt;wsp:rsid wsp:val=&quot;000F66D8&quot;/&gt;&lt;wsp:rsid wsp:val=&quot;000F6C0D&quot;/&gt;&lt;wsp:rsid wsp:val=&quot;000F7F88&quot;/&gt;&lt;wsp:rsid wsp:val=&quot;00100318&quot;/&gt;&lt;wsp:rsid wsp:val=&quot;001005D6&quot;/&gt;&lt;wsp:rsid wsp:val=&quot;00100D32&quot;/&gt;&lt;wsp:rsid wsp:val=&quot;0010104B&quot;/&gt;&lt;wsp:rsid wsp:val=&quot;001014C7&quot;/&gt;&lt;wsp:rsid wsp:val=&quot;00101C86&quot;/&gt;&lt;wsp:rsid wsp:val=&quot;00101E4F&quot;/&gt;&lt;wsp:rsid wsp:val=&quot;001033A5&quot;/&gt;&lt;wsp:rsid wsp:val=&quot;001033D0&quot;/&gt;&lt;wsp:rsid wsp:val=&quot;001038C3&quot;/&gt;&lt;wsp:rsid wsp:val=&quot;00103FC4&quot;/&gt;&lt;wsp:rsid wsp:val=&quot;0010500B&quot;/&gt;&lt;wsp:rsid wsp:val=&quot;00105D39&quot;/&gt;&lt;wsp:rsid wsp:val=&quot;00106045&quot;/&gt;&lt;wsp:rsid wsp:val=&quot;00106AD8&quot;/&gt;&lt;wsp:rsid wsp:val=&quot;00106E5C&quot;/&gt;&lt;wsp:rsid wsp:val=&quot;0010701B&quot;/&gt;&lt;wsp:rsid wsp:val=&quot;0010726D&quot;/&gt;&lt;wsp:rsid wsp:val=&quot;00107754&quot;/&gt;&lt;wsp:rsid wsp:val=&quot;00110262&quot;/&gt;&lt;wsp:rsid wsp:val=&quot;001110DC&quot;/&gt;&lt;wsp:rsid wsp:val=&quot;00112597&quot;/&gt;&lt;wsp:rsid wsp:val=&quot;00112B09&quot;/&gt;&lt;wsp:rsid wsp:val=&quot;00112D18&quot;/&gt;&lt;wsp:rsid wsp:val=&quot;00112E1E&quot;/&gt;&lt;wsp:rsid wsp:val=&quot;001137BA&quot;/&gt;&lt;wsp:rsid wsp:val=&quot;00114583&quot;/&gt;&lt;wsp:rsid wsp:val=&quot;0011467F&quot;/&gt;&lt;wsp:rsid wsp:val=&quot;00114C11&quot;/&gt;&lt;wsp:rsid wsp:val=&quot;0011535C&quot;/&gt;&lt;wsp:rsid wsp:val=&quot;00115812&quot;/&gt;&lt;wsp:rsid wsp:val=&quot;001167F9&quot;/&gt;&lt;wsp:rsid wsp:val=&quot;00116830&quot;/&gt;&lt;wsp:rsid wsp:val=&quot;00116CFE&quot;/&gt;&lt;wsp:rsid wsp:val=&quot;00116DDC&quot;/&gt;&lt;wsp:rsid wsp:val=&quot;001176D5&quot;/&gt;&lt;wsp:rsid wsp:val=&quot;00117BD1&quot;/&gt;&lt;wsp:rsid wsp:val=&quot;00120537&quot;/&gt;&lt;wsp:rsid wsp:val=&quot;00122000&quot;/&gt;&lt;wsp:rsid wsp:val=&quot;0012263E&quot;/&gt;&lt;wsp:rsid wsp:val=&quot;001226D2&quot;/&gt;&lt;wsp:rsid wsp:val=&quot;00122B05&quot;/&gt;&lt;wsp:rsid wsp:val=&quot;00123A40&quot;/&gt;&lt;wsp:rsid wsp:val=&quot;00123FE2&quot;/&gt;&lt;wsp:rsid wsp:val=&quot;001242B7&quot;/&gt;&lt;wsp:rsid wsp:val=&quot;001242EE&quot;/&gt;&lt;wsp:rsid wsp:val=&quot;00126B87&quot;/&gt;&lt;wsp:rsid wsp:val=&quot;00126C50&quot;/&gt;&lt;wsp:rsid wsp:val=&quot;001270B6&quot;/&gt;&lt;wsp:rsid wsp:val=&quot;00130846&quot;/&gt;&lt;wsp:rsid wsp:val=&quot;00130C03&quot;/&gt;&lt;wsp:rsid wsp:val=&quot;0013105B&quot;/&gt;&lt;wsp:rsid wsp:val=&quot;001312EE&quot;/&gt;&lt;wsp:rsid wsp:val=&quot;00131A2F&quot;/&gt;&lt;wsp:rsid wsp:val=&quot;00132AA6&quot;/&gt;&lt;wsp:rsid wsp:val=&quot;00132CA3&quot;/&gt;&lt;wsp:rsid wsp:val=&quot;00132FA0&quot;/&gt;&lt;wsp:rsid wsp:val=&quot;0013320B&quot;/&gt;&lt;wsp:rsid wsp:val=&quot;0013394E&quot;/&gt;&lt;wsp:rsid wsp:val=&quot;001339D2&quot;/&gt;&lt;wsp:rsid wsp:val=&quot;001347E1&quot;/&gt;&lt;wsp:rsid wsp:val=&quot;0013564E&quot;/&gt;&lt;wsp:rsid wsp:val=&quot;00135E2E&quot;/&gt;&lt;wsp:rsid wsp:val=&quot;00136878&quot;/&gt;&lt;wsp:rsid wsp:val=&quot;001370C5&quot;/&gt;&lt;wsp:rsid wsp:val=&quot;001406D2&quot;/&gt;&lt;wsp:rsid wsp:val=&quot;00140F48&quot;/&gt;&lt;wsp:rsid wsp:val=&quot;00141C61&quot;/&gt;&lt;wsp:rsid wsp:val=&quot;00143A76&quot;/&gt;&lt;wsp:rsid wsp:val=&quot;00143AE7&quot;/&gt;&lt;wsp:rsid wsp:val=&quot;00144061&quot;/&gt;&lt;wsp:rsid wsp:val=&quot;0014422B&quot;/&gt;&lt;wsp:rsid wsp:val=&quot;00144D52&quot;/&gt;&lt;wsp:rsid wsp:val=&quot;001459A6&quot;/&gt;&lt;wsp:rsid wsp:val=&quot;00145E51&quot;/&gt;&lt;wsp:rsid wsp:val=&quot;001462BA&quot;/&gt;&lt;wsp:rsid wsp:val=&quot;00146693&quot;/&gt;&lt;wsp:rsid wsp:val=&quot;00147421&quot;/&gt;&lt;wsp:rsid wsp:val=&quot;001475EC&quot;/&gt;&lt;wsp:rsid wsp:val=&quot;00147BF3&quot;/&gt;&lt;wsp:rsid wsp:val=&quot;001502C9&quot;/&gt;&lt;wsp:rsid wsp:val=&quot;0015034E&quot;/&gt;&lt;wsp:rsid wsp:val=&quot;001505A0&quot;/&gt;&lt;wsp:rsid wsp:val=&quot;00150A9A&quot;/&gt;&lt;wsp:rsid wsp:val=&quot;00150E1A&quot;/&gt;&lt;wsp:rsid wsp:val=&quot;001518E7&quot;/&gt;&lt;wsp:rsid wsp:val=&quot;0015191B&quot;/&gt;&lt;wsp:rsid wsp:val=&quot;00151A17&quot;/&gt;&lt;wsp:rsid wsp:val=&quot;00151CE7&quot;/&gt;&lt;wsp:rsid wsp:val=&quot;00151F0C&quot;/&gt;&lt;wsp:rsid wsp:val=&quot;001528DA&quot;/&gt;&lt;wsp:rsid wsp:val=&quot;00152FFC&quot;/&gt;&lt;wsp:rsid wsp:val=&quot;0015397E&quot;/&gt;&lt;wsp:rsid wsp:val=&quot;00153A75&quot;/&gt;&lt;wsp:rsid wsp:val=&quot;00153C79&quot;/&gt;&lt;wsp:rsid wsp:val=&quot;00153EDD&quot;/&gt;&lt;wsp:rsid wsp:val=&quot;00154938&quot;/&gt;&lt;wsp:rsid wsp:val=&quot;00154F81&quot;/&gt;&lt;wsp:rsid wsp:val=&quot;0015572D&quot;/&gt;&lt;wsp:rsid wsp:val=&quot;00155CF6&quot;/&gt;&lt;wsp:rsid wsp:val=&quot;0015658A&quot;/&gt;&lt;wsp:rsid wsp:val=&quot;00157403&quot;/&gt;&lt;wsp:rsid wsp:val=&quot;00157630&quot;/&gt;&lt;wsp:rsid wsp:val=&quot;001609F5&quot;/&gt;&lt;wsp:rsid wsp:val=&quot;00160AAA&quot;/&gt;&lt;wsp:rsid wsp:val=&quot;00162A33&quot;/&gt;&lt;wsp:rsid wsp:val=&quot;00162DBE&quot;/&gt;&lt;wsp:rsid wsp:val=&quot;00163E1C&quot;/&gt;&lt;wsp:rsid wsp:val=&quot;00164CB5&quot;/&gt;&lt;wsp:rsid wsp:val=&quot;00165185&quot;/&gt;&lt;wsp:rsid wsp:val=&quot;001653E1&quot;/&gt;&lt;wsp:rsid wsp:val=&quot;00166A71&quot;/&gt;&lt;wsp:rsid wsp:val=&quot;00166C48&quot;/&gt;&lt;wsp:rsid wsp:val=&quot;00166E14&quot;/&gt;&lt;wsp:rsid wsp:val=&quot;001676BC&quot;/&gt;&lt;wsp:rsid wsp:val=&quot;0016784A&quot;/&gt;&lt;wsp:rsid wsp:val=&quot;00167E75&quot;/&gt;&lt;wsp:rsid wsp:val=&quot;00167F50&quot;/&gt;&lt;wsp:rsid wsp:val=&quot;00167FAA&quot;/&gt;&lt;wsp:rsid wsp:val=&quot;00170335&quot;/&gt;&lt;wsp:rsid wsp:val=&quot;00170FCD&quot;/&gt;&lt;wsp:rsid wsp:val=&quot;00171123&quot;/&gt;&lt;wsp:rsid wsp:val=&quot;00172108&quot;/&gt;&lt;wsp:rsid wsp:val=&quot;001726E4&quot;/&gt;&lt;wsp:rsid wsp:val=&quot;0017271D&quot;/&gt;&lt;wsp:rsid wsp:val=&quot;00172B95&quot;/&gt;&lt;wsp:rsid wsp:val=&quot;001733B2&quot;/&gt;&lt;wsp:rsid wsp:val=&quot;00173484&quot;/&gt;&lt;wsp:rsid wsp:val=&quot;0017455D&quot;/&gt;&lt;wsp:rsid wsp:val=&quot;0017512C&quot;/&gt;&lt;wsp:rsid wsp:val=&quot;001754A5&quot;/&gt;&lt;wsp:rsid wsp:val=&quot;001760B7&quot;/&gt;&lt;wsp:rsid wsp:val=&quot;00176788&quot;/&gt;&lt;wsp:rsid wsp:val=&quot;0017681E&quot;/&gt;&lt;wsp:rsid wsp:val=&quot;001770A3&quot;/&gt;&lt;wsp:rsid wsp:val=&quot;001775D8&quot;/&gt;&lt;wsp:rsid wsp:val=&quot;0018074B&quot;/&gt;&lt;wsp:rsid wsp:val=&quot;00180A08&quot;/&gt;&lt;wsp:rsid wsp:val=&quot;00180FA9&quot;/&gt;&lt;wsp:rsid wsp:val=&quot;00181FCC&quot;/&gt;&lt;wsp:rsid wsp:val=&quot;00182124&quot;/&gt;&lt;wsp:rsid wsp:val=&quot;00182E17&quot;/&gt;&lt;wsp:rsid wsp:val=&quot;0018372A&quot;/&gt;&lt;wsp:rsid wsp:val=&quot;00183913&quot;/&gt;&lt;wsp:rsid wsp:val=&quot;00183A8E&quot;/&gt;&lt;wsp:rsid wsp:val=&quot;00183BE1&quot;/&gt;&lt;wsp:rsid wsp:val=&quot;001845A0&quot;/&gt;&lt;wsp:rsid wsp:val=&quot;001848B4&quot;/&gt;&lt;wsp:rsid wsp:val=&quot;00185090&quot;/&gt;&lt;wsp:rsid wsp:val=&quot;0018566E&quot;/&gt;&lt;wsp:rsid wsp:val=&quot;0018575C&quot;/&gt;&lt;wsp:rsid wsp:val=&quot;00185D14&quot;/&gt;&lt;wsp:rsid wsp:val=&quot;00185EC8&quot;/&gt;&lt;wsp:rsid wsp:val=&quot;001862BD&quot;/&gt;&lt;wsp:rsid wsp:val=&quot;0018633D&quot;/&gt;&lt;wsp:rsid wsp:val=&quot;001864C6&quot;/&gt;&lt;wsp:rsid wsp:val=&quot;00187963&quot;/&gt;&lt;wsp:rsid wsp:val=&quot;00190AA6&quot;/&gt;&lt;wsp:rsid wsp:val=&quot;00190F18&quot;/&gt;&lt;wsp:rsid wsp:val=&quot;001911A2&quot;/&gt;&lt;wsp:rsid wsp:val=&quot;0019201D&quot;/&gt;&lt;wsp:rsid wsp:val=&quot;001920B8&quot;/&gt;&lt;wsp:rsid wsp:val=&quot;00192272&quot;/&gt;&lt;wsp:rsid wsp:val=&quot;0019229E&quot;/&gt;&lt;wsp:rsid wsp:val=&quot;001926B9&quot;/&gt;&lt;wsp:rsid wsp:val=&quot;0019349C&quot;/&gt;&lt;wsp:rsid wsp:val=&quot;00193994&quot;/&gt;&lt;wsp:rsid wsp:val=&quot;00193AC6&quot;/&gt;&lt;wsp:rsid wsp:val=&quot;00193C19&quot;/&gt;&lt;wsp:rsid wsp:val=&quot;00194A7E&quot;/&gt;&lt;wsp:rsid wsp:val=&quot;00194B48&quot;/&gt;&lt;wsp:rsid wsp:val=&quot;001952AD&quot;/&gt;&lt;wsp:rsid wsp:val=&quot;00195CE2&quot;/&gt;&lt;wsp:rsid wsp:val=&quot;00196430&quot;/&gt;&lt;wsp:rsid wsp:val=&quot;00196E81&quot;/&gt;&lt;wsp:rsid wsp:val=&quot;00196F49&quot;/&gt;&lt;wsp:rsid wsp:val=&quot;0019762C&quot;/&gt;&lt;wsp:rsid wsp:val=&quot;001A046E&quot;/&gt;&lt;wsp:rsid wsp:val=&quot;001A0F96&quot;/&gt;&lt;wsp:rsid wsp:val=&quot;001A1264&quot;/&gt;&lt;wsp:rsid wsp:val=&quot;001A1494&quot;/&gt;&lt;wsp:rsid wsp:val=&quot;001A151C&quot;/&gt;&lt;wsp:rsid wsp:val=&quot;001A1E18&quot;/&gt;&lt;wsp:rsid wsp:val=&quot;001A22BE&quot;/&gt;&lt;wsp:rsid wsp:val=&quot;001A2A3C&quot;/&gt;&lt;wsp:rsid wsp:val=&quot;001A341C&quot;/&gt;&lt;wsp:rsid wsp:val=&quot;001A3B1D&quot;/&gt;&lt;wsp:rsid wsp:val=&quot;001A3E98&quot;/&gt;&lt;wsp:rsid wsp:val=&quot;001A3F79&quot;/&gt;&lt;wsp:rsid wsp:val=&quot;001A411A&quot;/&gt;&lt;wsp:rsid wsp:val=&quot;001A5E39&quot;/&gt;&lt;wsp:rsid wsp:val=&quot;001A6230&quot;/&gt;&lt;wsp:rsid wsp:val=&quot;001A6480&quot;/&gt;&lt;wsp:rsid wsp:val=&quot;001A65AF&quot;/&gt;&lt;wsp:rsid wsp:val=&quot;001A6877&quot;/&gt;&lt;wsp:rsid wsp:val=&quot;001A75C4&quot;/&gt;&lt;wsp:rsid wsp:val=&quot;001B1DBE&quot;/&gt;&lt;wsp:rsid wsp:val=&quot;001B2341&quot;/&gt;&lt;wsp:rsid wsp:val=&quot;001B23FF&quot;/&gt;&lt;wsp:rsid wsp:val=&quot;001B2551&quot;/&gt;&lt;wsp:rsid wsp:val=&quot;001B49DF&quot;/&gt;&lt;wsp:rsid wsp:val=&quot;001B59C0&quot;/&gt;&lt;wsp:rsid wsp:val=&quot;001B651F&quot;/&gt;&lt;wsp:rsid wsp:val=&quot;001B7591&quot;/&gt;&lt;wsp:rsid wsp:val=&quot;001B7AE8&quot;/&gt;&lt;wsp:rsid wsp:val=&quot;001B7E43&quot;/&gt;&lt;wsp:rsid wsp:val=&quot;001C0668&quot;/&gt;&lt;wsp:rsid wsp:val=&quot;001C092E&quot;/&gt;&lt;wsp:rsid wsp:val=&quot;001C1316&quot;/&gt;&lt;wsp:rsid wsp:val=&quot;001C14E6&quot;/&gt;&lt;wsp:rsid wsp:val=&quot;001C16F9&quot;/&gt;&lt;wsp:rsid wsp:val=&quot;001C19BF&quot;/&gt;&lt;wsp:rsid wsp:val=&quot;001C29A8&quot;/&gt;&lt;wsp:rsid wsp:val=&quot;001C2D28&quot;/&gt;&lt;wsp:rsid wsp:val=&quot;001C2F10&quot;/&gt;&lt;wsp:rsid wsp:val=&quot;001C3194&quot;/&gt;&lt;wsp:rsid wsp:val=&quot;001C4A9D&quot;/&gt;&lt;wsp:rsid wsp:val=&quot;001C4D18&quot;/&gt;&lt;wsp:rsid wsp:val=&quot;001C5237&quot;/&gt;&lt;wsp:rsid wsp:val=&quot;001C5415&quot;/&gt;&lt;wsp:rsid wsp:val=&quot;001C6DB5&quot;/&gt;&lt;wsp:rsid wsp:val=&quot;001C717D&quot;/&gt;&lt;wsp:rsid wsp:val=&quot;001C75D9&quot;/&gt;&lt;wsp:rsid wsp:val=&quot;001D0A15&quot;/&gt;&lt;wsp:rsid wsp:val=&quot;001D0B6B&quot;/&gt;&lt;wsp:rsid wsp:val=&quot;001D10D5&quot;/&gt;&lt;wsp:rsid wsp:val=&quot;001D1B62&quot;/&gt;&lt;wsp:rsid wsp:val=&quot;001D1F53&quot;/&gt;&lt;wsp:rsid wsp:val=&quot;001D20E5&quot;/&gt;&lt;wsp:rsid wsp:val=&quot;001D24D4&quot;/&gt;&lt;wsp:rsid wsp:val=&quot;001D31EB&quot;/&gt;&lt;wsp:rsid wsp:val=&quot;001D34C0&quot;/&gt;&lt;wsp:rsid wsp:val=&quot;001D3B05&quot;/&gt;&lt;wsp:rsid wsp:val=&quot;001D4984&quot;/&gt;&lt;wsp:rsid wsp:val=&quot;001D4BF8&quot;/&gt;&lt;wsp:rsid wsp:val=&quot;001D5F88&quot;/&gt;&lt;wsp:rsid wsp:val=&quot;001D75BF&quot;/&gt;&lt;wsp:rsid wsp:val=&quot;001D7A47&quot;/&gt;&lt;wsp:rsid wsp:val=&quot;001E003E&quot;/&gt;&lt;wsp:rsid wsp:val=&quot;001E051F&quot;/&gt;&lt;wsp:rsid wsp:val=&quot;001E0571&quot;/&gt;&lt;wsp:rsid wsp:val=&quot;001E150A&quot;/&gt;&lt;wsp:rsid wsp:val=&quot;001E17FF&quot;/&gt;&lt;wsp:rsid wsp:val=&quot;001E1DB5&quot;/&gt;&lt;wsp:rsid wsp:val=&quot;001E1E29&quot;/&gt;&lt;wsp:rsid wsp:val=&quot;001E1E47&quot;/&gt;&lt;wsp:rsid wsp:val=&quot;001E25EA&quot;/&gt;&lt;wsp:rsid wsp:val=&quot;001E283A&quot;/&gt;&lt;wsp:rsid wsp:val=&quot;001E3146&quot;/&gt;&lt;wsp:rsid wsp:val=&quot;001E3555&quot;/&gt;&lt;wsp:rsid wsp:val=&quot;001E51BD&quot;/&gt;&lt;wsp:rsid wsp:val=&quot;001E53A1&quot;/&gt;&lt;wsp:rsid wsp:val=&quot;001E5BDC&quot;/&gt;&lt;wsp:rsid wsp:val=&quot;001E5F87&quot;/&gt;&lt;wsp:rsid wsp:val=&quot;001E710C&quot;/&gt;&lt;wsp:rsid wsp:val=&quot;001E72ED&quot;/&gt;&lt;wsp:rsid wsp:val=&quot;001E78E4&quot;/&gt;&lt;wsp:rsid wsp:val=&quot;001E7C95&quot;/&gt;&lt;wsp:rsid wsp:val=&quot;001F0EE3&quot;/&gt;&lt;wsp:rsid wsp:val=&quot;001F126E&quot;/&gt;&lt;wsp:rsid wsp:val=&quot;001F1675&quot;/&gt;&lt;wsp:rsid wsp:val=&quot;001F1A50&quot;/&gt;&lt;wsp:rsid wsp:val=&quot;001F1E92&quot;/&gt;&lt;wsp:rsid wsp:val=&quot;001F2834&quot;/&gt;&lt;wsp:rsid wsp:val=&quot;001F2CE8&quot;/&gt;&lt;wsp:rsid wsp:val=&quot;001F3626&quot;/&gt;&lt;wsp:rsid wsp:val=&quot;001F38FC&quot;/&gt;&lt;wsp:rsid wsp:val=&quot;001F39A0&quot;/&gt;&lt;wsp:rsid wsp:val=&quot;001F3A72&quot;/&gt;&lt;wsp:rsid wsp:val=&quot;001F641E&quot;/&gt;&lt;wsp:rsid wsp:val=&quot;001F7240&quot;/&gt;&lt;wsp:rsid wsp:val=&quot;002007D1&quot;/&gt;&lt;wsp:rsid wsp:val=&quot;0020096E&quot;/&gt;&lt;wsp:rsid wsp:val=&quot;00200BEF&quot;/&gt;&lt;wsp:rsid wsp:val=&quot;00201470&quot;/&gt;&lt;wsp:rsid wsp:val=&quot;0020149F&quot;/&gt;&lt;wsp:rsid wsp:val=&quot;00201C0C&quot;/&gt;&lt;wsp:rsid wsp:val=&quot;00201CF8&quot;/&gt;&lt;wsp:rsid wsp:val=&quot;00201D7F&quot;/&gt;&lt;wsp:rsid wsp:val=&quot;00201DAD&quot;/&gt;&lt;wsp:rsid wsp:val=&quot;00201F76&quot;/&gt;&lt;wsp:rsid wsp:val=&quot;00202BBA&quot;/&gt;&lt;wsp:rsid wsp:val=&quot;0020302C&quot;/&gt;&lt;wsp:rsid wsp:val=&quot;0020344A&quot;/&gt;&lt;wsp:rsid wsp:val=&quot;002059A1&quot;/&gt;&lt;wsp:rsid wsp:val=&quot;002063A1&quot;/&gt;&lt;wsp:rsid wsp:val=&quot;00206CA1&quot;/&gt;&lt;wsp:rsid wsp:val=&quot;00206CC9&quot;/&gt;&lt;wsp:rsid wsp:val=&quot;00206D5B&quot;/&gt;&lt;wsp:rsid wsp:val=&quot;0020712A&quot;/&gt;&lt;wsp:rsid wsp:val=&quot;002077A5&quot;/&gt;&lt;wsp:rsid wsp:val=&quot;00207AF6&quot;/&gt;&lt;wsp:rsid wsp:val=&quot;00210FA2&quot;/&gt;&lt;wsp:rsid wsp:val=&quot;00211610&quot;/&gt;&lt;wsp:rsid wsp:val=&quot;0021183B&quot;/&gt;&lt;wsp:rsid wsp:val=&quot;002119D5&quot;/&gt;&lt;wsp:rsid wsp:val=&quot;00211B02&quot;/&gt;&lt;wsp:rsid wsp:val=&quot;00211BA7&quot;/&gt;&lt;wsp:rsid wsp:val=&quot;00211C3A&quot;/&gt;&lt;wsp:rsid wsp:val=&quot;00212244&quot;/&gt;&lt;wsp:rsid wsp:val=&quot;002125D5&quot;/&gt;&lt;wsp:rsid wsp:val=&quot;00212817&quot;/&gt;&lt;wsp:rsid wsp:val=&quot;00212B68&quot;/&gt;&lt;wsp:rsid wsp:val=&quot;002133C7&quot;/&gt;&lt;wsp:rsid wsp:val=&quot;00213495&quot;/&gt;&lt;wsp:rsid wsp:val=&quot;00214C98&quot;/&gt;&lt;wsp:rsid wsp:val=&quot;00214ED3&quot;/&gt;&lt;wsp:rsid wsp:val=&quot;0021598C&quot;/&gt;&lt;wsp:rsid wsp:val=&quot;00215A45&quot;/&gt;&lt;wsp:rsid wsp:val=&quot;0021695E&quot;/&gt;&lt;wsp:rsid wsp:val=&quot;002178E9&quot;/&gt;&lt;wsp:rsid wsp:val=&quot;00217A0A&quot;/&gt;&lt;wsp:rsid wsp:val=&quot;00217D27&quot;/&gt;&lt;wsp:rsid wsp:val=&quot;00217F02&quot;/&gt;&lt;wsp:rsid wsp:val=&quot;00220245&quot;/&gt;&lt;wsp:rsid wsp:val=&quot;0022031B&quot;/&gt;&lt;wsp:rsid wsp:val=&quot;0022041E&quot;/&gt;&lt;wsp:rsid wsp:val=&quot;00221234&quot;/&gt;&lt;wsp:rsid wsp:val=&quot;002215D8&quot;/&gt;&lt;wsp:rsid wsp:val=&quot;00222B24&quot;/&gt;&lt;wsp:rsid wsp:val=&quot;002231EC&quot;/&gt;&lt;wsp:rsid wsp:val=&quot;00223291&quot;/&gt;&lt;wsp:rsid wsp:val=&quot;002247B9&quot;/&gt;&lt;wsp:rsid wsp:val=&quot;0022522A&quot;/&gt;&lt;wsp:rsid wsp:val=&quot;0022531B&quot;/&gt;&lt;wsp:rsid wsp:val=&quot;002262E3&quot;/&gt;&lt;wsp:rsid wsp:val=&quot;0022728A&quot;/&gt;&lt;wsp:rsid wsp:val=&quot;0023004F&quot;/&gt;&lt;wsp:rsid wsp:val=&quot;00230233&quot;/&gt;&lt;wsp:rsid wsp:val=&quot;002307D4&quot;/&gt;&lt;wsp:rsid wsp:val=&quot;002310AC&quot;/&gt;&lt;wsp:rsid wsp:val=&quot;002311DF&quot;/&gt;&lt;wsp:rsid wsp:val=&quot;00231FA7&quot;/&gt;&lt;wsp:rsid wsp:val=&quot;00232F8F&quot;/&gt;&lt;wsp:rsid wsp:val=&quot;00233097&quot;/&gt;&lt;wsp:rsid wsp:val=&quot;00233F17&quot;/&gt;&lt;wsp:rsid wsp:val=&quot;00233F9E&quot;/&gt;&lt;wsp:rsid wsp:val=&quot;00234470&quot;/&gt;&lt;wsp:rsid wsp:val=&quot;0023461E&quot;/&gt;&lt;wsp:rsid wsp:val=&quot;00234986&quot;/&gt;&lt;wsp:rsid wsp:val=&quot;00234F87&quot;/&gt;&lt;wsp:rsid wsp:val=&quot;00235039&quot;/&gt;&lt;wsp:rsid wsp:val=&quot;002358D4&quot;/&gt;&lt;wsp:rsid wsp:val=&quot;0023622A&quot;/&gt;&lt;wsp:rsid wsp:val=&quot;0023710E&quot;/&gt;&lt;wsp:rsid wsp:val=&quot;00237895&quot;/&gt;&lt;wsp:rsid wsp:val=&quot;00240C1A&quot;/&gt;&lt;wsp:rsid wsp:val=&quot;002414F5&quot;/&gt;&lt;wsp:rsid wsp:val=&quot;00241D0C&quot;/&gt;&lt;wsp:rsid wsp:val=&quot;002423C6&quot;/&gt;&lt;wsp:rsid wsp:val=&quot;00242A5A&quot;/&gt;&lt;wsp:rsid wsp:val=&quot;00242FA9&quot;/&gt;&lt;wsp:rsid wsp:val=&quot;0024355A&quot;/&gt;&lt;wsp:rsid wsp:val=&quot;00243598&quot;/&gt;&lt;wsp:rsid wsp:val=&quot;00243FFF&quot;/&gt;&lt;wsp:rsid wsp:val=&quot;00244420&quot;/&gt;&lt;wsp:rsid wsp:val=&quot;00245076&quot;/&gt;&lt;wsp:rsid wsp:val=&quot;00245CC7&quot;/&gt;&lt;wsp:rsid wsp:val=&quot;002464A5&quot;/&gt;&lt;wsp:rsid wsp:val=&quot;00246523&quot;/&gt;&lt;wsp:rsid wsp:val=&quot;0024785C&quot;/&gt;&lt;wsp:rsid wsp:val=&quot;002479A2&quot;/&gt;&lt;wsp:rsid wsp:val=&quot;002500C2&quot;/&gt;&lt;wsp:rsid wsp:val=&quot;002504DC&quot;/&gt;&lt;wsp:rsid wsp:val=&quot;002506CB&quot;/&gt;&lt;wsp:rsid wsp:val=&quot;002507B8&quot;/&gt;&lt;wsp:rsid wsp:val=&quot;002520E7&quot;/&gt;&lt;wsp:rsid wsp:val=&quot;00252214&quot;/&gt;&lt;wsp:rsid wsp:val=&quot;00252949&quot;/&gt;&lt;wsp:rsid wsp:val=&quot;00252A64&quot;/&gt;&lt;wsp:rsid wsp:val=&quot;00252F0D&quot;/&gt;&lt;wsp:rsid wsp:val=&quot;00253493&quot;/&gt;&lt;wsp:rsid wsp:val=&quot;002558C6&quot;/&gt;&lt;wsp:rsid wsp:val=&quot;002558DD&quot;/&gt;&lt;wsp:rsid wsp:val=&quot;00255CA5&quot;/&gt;&lt;wsp:rsid wsp:val=&quot;00256561&quot;/&gt;&lt;wsp:rsid wsp:val=&quot;00260622&quot;/&gt;&lt;wsp:rsid wsp:val=&quot;00260C90&quot;/&gt;&lt;wsp:rsid wsp:val=&quot;00261B7A&quot;/&gt;&lt;wsp:rsid wsp:val=&quot;00261EF1&quot;/&gt;&lt;wsp:rsid wsp:val=&quot;002627C4&quot;/&gt;&lt;wsp:rsid wsp:val=&quot;00262A42&quot;/&gt;&lt;wsp:rsid wsp:val=&quot;00262B5A&quot;/&gt;&lt;wsp:rsid wsp:val=&quot;00262CA3&quot;/&gt;&lt;wsp:rsid wsp:val=&quot;002634D5&quot;/&gt;&lt;wsp:rsid wsp:val=&quot;00263FED&quot;/&gt;&lt;wsp:rsid wsp:val=&quot;002640EE&quot;/&gt;&lt;wsp:rsid wsp:val=&quot;002654E0&quot;/&gt;&lt;wsp:rsid wsp:val=&quot;00265E0B&quot;/&gt;&lt;wsp:rsid wsp:val=&quot;0026663A&quot;/&gt;&lt;wsp:rsid wsp:val=&quot;00266838&quot;/&gt;&lt;wsp:rsid wsp:val=&quot;00267A46&quot;/&gt;&lt;wsp:rsid wsp:val=&quot;00267B7E&quot;/&gt;&lt;wsp:rsid wsp:val=&quot;00267DAE&quot;/&gt;&lt;wsp:rsid wsp:val=&quot;002701D3&quot;/&gt;&lt;wsp:rsid wsp:val=&quot;00270252&quot;/&gt;&lt;wsp:rsid wsp:val=&quot;0027176B&quot;/&gt;&lt;wsp:rsid wsp:val=&quot;0027190D&quot;/&gt;&lt;wsp:rsid wsp:val=&quot;00271A11&quot;/&gt;&lt;wsp:rsid wsp:val=&quot;00272450&quot;/&gt;&lt;wsp:rsid wsp:val=&quot;00272B27&quot;/&gt;&lt;wsp:rsid wsp:val=&quot;00274103&quot;/&gt;&lt;wsp:rsid wsp:val=&quot;002746F4&quot;/&gt;&lt;wsp:rsid wsp:val=&quot;00274899&quot;/&gt;&lt;wsp:rsid wsp:val=&quot;002756E5&quot;/&gt;&lt;wsp:rsid wsp:val=&quot;00275F5B&quot;/&gt;&lt;wsp:rsid wsp:val=&quot;0027661C&quot;/&gt;&lt;wsp:rsid wsp:val=&quot;00277430&quot;/&gt;&lt;wsp:rsid wsp:val=&quot;002779F3&quot;/&gt;&lt;wsp:rsid wsp:val=&quot;00277A35&quot;/&gt;&lt;wsp:rsid wsp:val=&quot;00277B4A&quot;/&gt;&lt;wsp:rsid wsp:val=&quot;00277B79&quot;/&gt;&lt;wsp:rsid wsp:val=&quot;00280794&quot;/&gt;&lt;wsp:rsid wsp:val=&quot;00280B49&quot;/&gt;&lt;wsp:rsid wsp:val=&quot;00281439&quot;/&gt;&lt;wsp:rsid wsp:val=&quot;00281482&quot;/&gt;&lt;wsp:rsid wsp:val=&quot;002824A6&quot;/&gt;&lt;wsp:rsid wsp:val=&quot;00282834&quot;/&gt;&lt;wsp:rsid wsp:val=&quot;00282BF9&quot;/&gt;&lt;wsp:rsid wsp:val=&quot;0028320F&quot;/&gt;&lt;wsp:rsid wsp:val=&quot;002835C1&quot;/&gt;&lt;wsp:rsid wsp:val=&quot;00283AC8&quot;/&gt;&lt;wsp:rsid wsp:val=&quot;00283D25&quot;/&gt;&lt;wsp:rsid wsp:val=&quot;002840F5&quot;/&gt;&lt;wsp:rsid wsp:val=&quot;0028418B&quot;/&gt;&lt;wsp:rsid wsp:val=&quot;0028506F&quot;/&gt;&lt;wsp:rsid wsp:val=&quot;00285B40&quot;/&gt;&lt;wsp:rsid wsp:val=&quot;00285E18&quot;/&gt;&lt;wsp:rsid wsp:val=&quot;00286A5B&quot;/&gt;&lt;wsp:rsid wsp:val=&quot;00287C62&quot;/&gt;&lt;wsp:rsid wsp:val=&quot;00290A07&quot;/&gt;&lt;wsp:rsid wsp:val=&quot;00290EB0&quot;/&gt;&lt;wsp:rsid wsp:val=&quot;002914DF&quot;/&gt;&lt;wsp:rsid wsp:val=&quot;00292248&quot;/&gt;&lt;wsp:rsid wsp:val=&quot;00292991&quot;/&gt;&lt;wsp:rsid wsp:val=&quot;00292FA3&quot;/&gt;&lt;wsp:rsid wsp:val=&quot;00293443&quot;/&gt;&lt;wsp:rsid wsp:val=&quot;002934FB&quot;/&gt;&lt;wsp:rsid wsp:val=&quot;00293B8D&quot;/&gt;&lt;wsp:rsid wsp:val=&quot;00294A24&quot;/&gt;&lt;wsp:rsid wsp:val=&quot;00294C89&quot;/&gt;&lt;wsp:rsid wsp:val=&quot;00295C07&quot;/&gt;&lt;wsp:rsid wsp:val=&quot;00295F35&quot;/&gt;&lt;wsp:rsid wsp:val=&quot;00296BAA&quot;/&gt;&lt;wsp:rsid wsp:val=&quot;00297E08&quot;/&gt;&lt;wsp:rsid wsp:val=&quot;002A02A8&quot;/&gt;&lt;wsp:rsid wsp:val=&quot;002A035B&quot;/&gt;&lt;wsp:rsid wsp:val=&quot;002A0469&quot;/&gt;&lt;wsp:rsid wsp:val=&quot;002A0EBD&quot;/&gt;&lt;wsp:rsid wsp:val=&quot;002A1400&quot;/&gt;&lt;wsp:rsid wsp:val=&quot;002A19FA&quot;/&gt;&lt;wsp:rsid wsp:val=&quot;002A2558&quot;/&gt;&lt;wsp:rsid wsp:val=&quot;002A29E0&quot;/&gt;&lt;wsp:rsid wsp:val=&quot;002A2A40&quot;/&gt;&lt;wsp:rsid wsp:val=&quot;002A31E7&quot;/&gt;&lt;wsp:rsid wsp:val=&quot;002A31E9&quot;/&gt;&lt;wsp:rsid wsp:val=&quot;002A3638&quot;/&gt;&lt;wsp:rsid wsp:val=&quot;002A3909&quot;/&gt;&lt;wsp:rsid wsp:val=&quot;002A3DB2&quot;/&gt;&lt;wsp:rsid wsp:val=&quot;002A406F&quot;/&gt;&lt;wsp:rsid wsp:val=&quot;002A666A&quot;/&gt;&lt;wsp:rsid wsp:val=&quot;002A66EA&quot;/&gt;&lt;wsp:rsid wsp:val=&quot;002A6C5F&quot;/&gt;&lt;wsp:rsid wsp:val=&quot;002A799A&quot;/&gt;&lt;wsp:rsid wsp:val=&quot;002A7FAF&quot;/&gt;&lt;wsp:rsid wsp:val=&quot;002B04AC&quot;/&gt;&lt;wsp:rsid wsp:val=&quot;002B06EA&quot;/&gt;&lt;wsp:rsid wsp:val=&quot;002B0CB1&quot;/&gt;&lt;wsp:rsid wsp:val=&quot;002B0F6E&quot;/&gt;&lt;wsp:rsid wsp:val=&quot;002B1981&quot;/&gt;&lt;wsp:rsid wsp:val=&quot;002B20F1&quot;/&gt;&lt;wsp:rsid wsp:val=&quot;002B2A76&quot;/&gt;&lt;wsp:rsid wsp:val=&quot;002B3651&quot;/&gt;&lt;wsp:rsid wsp:val=&quot;002B3F5B&quot;/&gt;&lt;wsp:rsid wsp:val=&quot;002B44DC&quot;/&gt;&lt;wsp:rsid wsp:val=&quot;002B476A&quot;/&gt;&lt;wsp:rsid wsp:val=&quot;002B5279&quot;/&gt;&lt;wsp:rsid wsp:val=&quot;002B586F&quot;/&gt;&lt;wsp:rsid wsp:val=&quot;002B7C9F&quot;/&gt;&lt;wsp:rsid wsp:val=&quot;002C047C&quot;/&gt;&lt;wsp:rsid wsp:val=&quot;002C0560&quot;/&gt;&lt;wsp:rsid wsp:val=&quot;002C11F7&quot;/&gt;&lt;wsp:rsid wsp:val=&quot;002C1BB4&quot;/&gt;&lt;wsp:rsid wsp:val=&quot;002C1F20&quot;/&gt;&lt;wsp:rsid wsp:val=&quot;002C2783&quot;/&gt;&lt;wsp:rsid wsp:val=&quot;002C2D0D&quot;/&gt;&lt;wsp:rsid wsp:val=&quot;002C2E80&quot;/&gt;&lt;wsp:rsid wsp:val=&quot;002C2F03&quot;/&gt;&lt;wsp:rsid wsp:val=&quot;002C37E4&quot;/&gt;&lt;wsp:rsid wsp:val=&quot;002C42F9&quot;/&gt;&lt;wsp:rsid wsp:val=&quot;002C4C10&quot;/&gt;&lt;wsp:rsid wsp:val=&quot;002C58F8&quot;/&gt;&lt;wsp:rsid wsp:val=&quot;002C66F0&quot;/&gt;&lt;wsp:rsid wsp:val=&quot;002C6ACF&quot;/&gt;&lt;wsp:rsid wsp:val=&quot;002C7A8D&quot;/&gt;&lt;wsp:rsid wsp:val=&quot;002C7BCE&quot;/&gt;&lt;wsp:rsid wsp:val=&quot;002D0323&quot;/&gt;&lt;wsp:rsid wsp:val=&quot;002D061E&quot;/&gt;&lt;wsp:rsid wsp:val=&quot;002D0907&quot;/&gt;&lt;wsp:rsid wsp:val=&quot;002D0951&quot;/&gt;&lt;wsp:rsid wsp:val=&quot;002D0AA1&quot;/&gt;&lt;wsp:rsid wsp:val=&quot;002D227C&quot;/&gt;&lt;wsp:rsid wsp:val=&quot;002D228F&quot;/&gt;&lt;wsp:rsid wsp:val=&quot;002D37AF&quot;/&gt;&lt;wsp:rsid wsp:val=&quot;002D40AC&quot;/&gt;&lt;wsp:rsid wsp:val=&quot;002D44EB&quot;/&gt;&lt;wsp:rsid wsp:val=&quot;002D4887&quot;/&gt;&lt;wsp:rsid wsp:val=&quot;002D5AA7&quot;/&gt;&lt;wsp:rsid wsp:val=&quot;002D5D64&quot;/&gt;&lt;wsp:rsid wsp:val=&quot;002D673A&quot;/&gt;&lt;wsp:rsid wsp:val=&quot;002D6FA7&quot;/&gt;&lt;wsp:rsid wsp:val=&quot;002D709D&quot;/&gt;&lt;wsp:rsid wsp:val=&quot;002D7EBB&quot;/&gt;&lt;wsp:rsid wsp:val=&quot;002E013F&quot;/&gt;&lt;wsp:rsid wsp:val=&quot;002E06FF&quot;/&gt;&lt;wsp:rsid wsp:val=&quot;002E0B06&quot;/&gt;&lt;wsp:rsid wsp:val=&quot;002E2062&quot;/&gt;&lt;wsp:rsid wsp:val=&quot;002E287F&quot;/&gt;&lt;wsp:rsid wsp:val=&quot;002E301D&quot;/&gt;&lt;wsp:rsid wsp:val=&quot;002E3519&quot;/&gt;&lt;wsp:rsid wsp:val=&quot;002E371C&quot;/&gt;&lt;wsp:rsid wsp:val=&quot;002E4430&quot;/&gt;&lt;wsp:rsid wsp:val=&quot;002E4A7A&quot;/&gt;&lt;wsp:rsid wsp:val=&quot;002E4A7D&quot;/&gt;&lt;wsp:rsid wsp:val=&quot;002E4CA1&quot;/&gt;&lt;wsp:rsid wsp:val=&quot;002E6C75&quot;/&gt;&lt;wsp:rsid wsp:val=&quot;002F004A&quot;/&gt;&lt;wsp:rsid wsp:val=&quot;002F061D&quot;/&gt;&lt;wsp:rsid wsp:val=&quot;002F090C&quot;/&gt;&lt;wsp:rsid wsp:val=&quot;002F09B4&quot;/&gt;&lt;wsp:rsid wsp:val=&quot;002F0D21&quot;/&gt;&lt;wsp:rsid wsp:val=&quot;002F1894&quot;/&gt;&lt;wsp:rsid wsp:val=&quot;002F224E&quot;/&gt;&lt;wsp:rsid wsp:val=&quot;002F2598&quot;/&gt;&lt;wsp:rsid wsp:val=&quot;002F2CD4&quot;/&gt;&lt;wsp:rsid wsp:val=&quot;002F3E61&quot;/&gt;&lt;wsp:rsid wsp:val=&quot;002F4210&quot;/&gt;&lt;wsp:rsid wsp:val=&quot;002F4600&quot;/&gt;&lt;wsp:rsid wsp:val=&quot;002F498E&quot;/&gt;&lt;wsp:rsid wsp:val=&quot;002F4AF8&quot;/&gt;&lt;wsp:rsid wsp:val=&quot;002F64DA&quot;/&gt;&lt;wsp:rsid wsp:val=&quot;002F6E27&quot;/&gt;&lt;wsp:rsid wsp:val=&quot;002F6E5D&quot;/&gt;&lt;wsp:rsid wsp:val=&quot;002F754D&quot;/&gt;&lt;wsp:rsid wsp:val=&quot;002F75FA&quot;/&gt;&lt;wsp:rsid wsp:val=&quot;002F78EC&quot;/&gt;&lt;wsp:rsid wsp:val=&quot;002F7BF6&quot;/&gt;&lt;wsp:rsid wsp:val=&quot;00300454&quot;/&gt;&lt;wsp:rsid wsp:val=&quot;00300530&quot;/&gt;&lt;wsp:rsid wsp:val=&quot;003005C6&quot;/&gt;&lt;wsp:rsid wsp:val=&quot;00300653&quot;/&gt;&lt;wsp:rsid wsp:val=&quot;00300ACA&quot;/&gt;&lt;wsp:rsid wsp:val=&quot;0030101C&quot;/&gt;&lt;wsp:rsid wsp:val=&quot;003021A3&quot;/&gt;&lt;wsp:rsid wsp:val=&quot;00302513&quot;/&gt;&lt;wsp:rsid wsp:val=&quot;003030B5&quot;/&gt;&lt;wsp:rsid wsp:val=&quot;0030377A&quot;/&gt;&lt;wsp:rsid wsp:val=&quot;00303FFF&quot;/&gt;&lt;wsp:rsid wsp:val=&quot;00305AF8&quot;/&gt;&lt;wsp:rsid wsp:val=&quot;0030614D&quot;/&gt;&lt;wsp:rsid wsp:val=&quot;00306458&quot;/&gt;&lt;wsp:rsid wsp:val=&quot;003073A0&quot;/&gt;&lt;wsp:rsid wsp:val=&quot;00307A5C&quot;/&gt;&lt;wsp:rsid wsp:val=&quot;00307FDC&quot;/&gt;&lt;wsp:rsid wsp:val=&quot;00310280&quot;/&gt;&lt;wsp:rsid wsp:val=&quot;0031049B&quot;/&gt;&lt;wsp:rsid wsp:val=&quot;00310A45&quot;/&gt;&lt;wsp:rsid wsp:val=&quot;00311245&quot;/&gt;&lt;wsp:rsid wsp:val=&quot;003114D6&quot;/&gt;&lt;wsp:rsid wsp:val=&quot;003129D8&quot;/&gt;&lt;wsp:rsid wsp:val=&quot;00312B8D&quot;/&gt;&lt;wsp:rsid wsp:val=&quot;003145FF&quot;/&gt;&lt;wsp:rsid wsp:val=&quot;0031495A&quot;/&gt;&lt;wsp:rsid wsp:val=&quot;00314B33&quot;/&gt;&lt;wsp:rsid wsp:val=&quot;003157C9&quot;/&gt;&lt;wsp:rsid wsp:val=&quot;00315A02&quot;/&gt;&lt;wsp:rsid wsp:val=&quot;003168E4&quot;/&gt;&lt;wsp:rsid wsp:val=&quot;00316D11&quot;/&gt;&lt;wsp:rsid wsp:val=&quot;003171B9&quot;/&gt;&lt;wsp:rsid wsp:val=&quot;003209C8&quot;/&gt;&lt;wsp:rsid wsp:val=&quot;00321E70&quot;/&gt;&lt;wsp:rsid wsp:val=&quot;00322B66&quot;/&gt;&lt;wsp:rsid wsp:val=&quot;003230A1&quot;/&gt;&lt;wsp:rsid wsp:val=&quot;003239B8&quot;/&gt;&lt;wsp:rsid wsp:val=&quot;00324A45&quot;/&gt;&lt;wsp:rsid wsp:val=&quot;00325784&quot;/&gt;&lt;wsp:rsid wsp:val=&quot;00325BD3&quot;/&gt;&lt;wsp:rsid wsp:val=&quot;00325D11&quot;/&gt;&lt;wsp:rsid wsp:val=&quot;00325FBA&quot;/&gt;&lt;wsp:rsid wsp:val=&quot;00327404&quot;/&gt;&lt;wsp:rsid wsp:val=&quot;0032740F&quot;/&gt;&lt;wsp:rsid wsp:val=&quot;00327593&quot;/&gt;&lt;wsp:rsid wsp:val=&quot;003275C0&quot;/&gt;&lt;wsp:rsid wsp:val=&quot;00327AC7&quot;/&gt;&lt;wsp:rsid wsp:val=&quot;00331491&quot;/&gt;&lt;wsp:rsid wsp:val=&quot;00331C64&quot;/&gt;&lt;wsp:rsid wsp:val=&quot;00333C07&quot;/&gt;&lt;wsp:rsid wsp:val=&quot;0033402B&quot;/&gt;&lt;wsp:rsid wsp:val=&quot;00334BD8&quot;/&gt;&lt;wsp:rsid wsp:val=&quot;00335FB6&quot;/&gt;&lt;wsp:rsid wsp:val=&quot;0033617C&quot;/&gt;&lt;wsp:rsid wsp:val=&quot;00336BCB&quot;/&gt;&lt;wsp:rsid wsp:val=&quot;003372E4&quot;/&gt;&lt;wsp:rsid wsp:val=&quot;0034077D&quot;/&gt;&lt;wsp:rsid wsp:val=&quot;00341ACF&quot;/&gt;&lt;wsp:rsid wsp:val=&quot;00341F18&quot;/&gt;&lt;wsp:rsid wsp:val=&quot;00342FFC&quot;/&gt;&lt;wsp:rsid wsp:val=&quot;0034328F&quot;/&gt;&lt;wsp:rsid wsp:val=&quot;003434A4&quot;/&gt;&lt;wsp:rsid wsp:val=&quot;00343BDC&quot;/&gt;&lt;wsp:rsid wsp:val=&quot;0034466C&quot;/&gt;&lt;wsp:rsid wsp:val=&quot;00344FB0&quot;/&gt;&lt;wsp:rsid wsp:val=&quot;00344FE6&quot;/&gt;&lt;wsp:rsid wsp:val=&quot;0034540E&quot;/&gt;&lt;wsp:rsid wsp:val=&quot;0034545E&quot;/&gt;&lt;wsp:rsid wsp:val=&quot;00346C6A&quot;/&gt;&lt;wsp:rsid wsp:val=&quot;00347166&quot;/&gt;&lt;wsp:rsid wsp:val=&quot;003475FD&quot;/&gt;&lt;wsp:rsid wsp:val=&quot;00351A6E&quot;/&gt;&lt;wsp:rsid wsp:val=&quot;00351FA7&quot;/&gt;&lt;wsp:rsid wsp:val=&quot;00352459&quot;/&gt;&lt;wsp:rsid wsp:val=&quot;00353191&quot;/&gt;&lt;wsp:rsid wsp:val=&quot;0035346E&quot;/&gt;&lt;wsp:rsid wsp:val=&quot;0035410F&quot;/&gt;&lt;wsp:rsid wsp:val=&quot;003552D5&quot;/&gt;&lt;wsp:rsid wsp:val=&quot;00355581&quot;/&gt;&lt;wsp:rsid wsp:val=&quot;00355C2D&quot;/&gt;&lt;wsp:rsid wsp:val=&quot;00356795&quot;/&gt;&lt;wsp:rsid wsp:val=&quot;00356E54&quot;/&gt;&lt;wsp:rsid wsp:val=&quot;00360397&quot;/&gt;&lt;wsp:rsid wsp:val=&quot;00360CD6&quot;/&gt;&lt;wsp:rsid wsp:val=&quot;00360FE3&quot;/&gt;&lt;wsp:rsid wsp:val=&quot;003611EE&quot;/&gt;&lt;wsp:rsid wsp:val=&quot;003618CE&quot;/&gt;&lt;wsp:rsid wsp:val=&quot;0036199C&quot;/&gt;&lt;wsp:rsid wsp:val=&quot;00361F06&quot;/&gt;&lt;wsp:rsid wsp:val=&quot;00361FAE&quot;/&gt;&lt;wsp:rsid wsp:val=&quot;00361FB6&quot;/&gt;&lt;wsp:rsid wsp:val=&quot;00362532&quot;/&gt;&lt;wsp:rsid wsp:val=&quot;00362837&quot;/&gt;&lt;wsp:rsid wsp:val=&quot;00363354&quot;/&gt;&lt;wsp:rsid wsp:val=&quot;00363C65&quot;/&gt;&lt;wsp:rsid wsp:val=&quot;003640D4&quot;/&gt;&lt;wsp:rsid wsp:val=&quot;00364465&quot;/&gt;&lt;wsp:rsid wsp:val=&quot;003648AB&quot;/&gt;&lt;wsp:rsid wsp:val=&quot;003662A1&quot;/&gt;&lt;wsp:rsid wsp:val=&quot;00367278&quot;/&gt;&lt;wsp:rsid wsp:val=&quot;003679F5&quot;/&gt;&lt;wsp:rsid wsp:val=&quot;00367DD9&quot;/&gt;&lt;wsp:rsid wsp:val=&quot;00370942&quot;/&gt;&lt;wsp:rsid wsp:val=&quot;00371718&quot;/&gt;&lt;wsp:rsid wsp:val=&quot;0037203F&quot;/&gt;&lt;wsp:rsid wsp:val=&quot;0037216A&quot;/&gt;&lt;wsp:rsid wsp:val=&quot;00372E2F&quot;/&gt;&lt;wsp:rsid wsp:val=&quot;00372FE7&quot;/&gt;&lt;wsp:rsid wsp:val=&quot;00373043&quot;/&gt;&lt;wsp:rsid wsp:val=&quot;00373046&quot;/&gt;&lt;wsp:rsid wsp:val=&quot;00373190&quot;/&gt;&lt;wsp:rsid wsp:val=&quot;00374169&quot;/&gt;&lt;wsp:rsid wsp:val=&quot;0037422F&quot;/&gt;&lt;wsp:rsid wsp:val=&quot;003747F4&quot;/&gt;&lt;wsp:rsid wsp:val=&quot;00374B32&quot;/&gt;&lt;wsp:rsid wsp:val=&quot;00374C11&quot;/&gt;&lt;wsp:rsid wsp:val=&quot;0037514A&quot;/&gt;&lt;wsp:rsid wsp:val=&quot;003757A9&quot;/&gt;&lt;wsp:rsid wsp:val=&quot;003762BD&quot;/&gt;&lt;wsp:rsid wsp:val=&quot;00376421&quot;/&gt;&lt;wsp:rsid wsp:val=&quot;00376D85&quot;/&gt;&lt;wsp:rsid wsp:val=&quot;00377FFB&quot;/&gt;&lt;wsp:rsid wsp:val=&quot;00380A23&quot;/&gt;&lt;wsp:rsid wsp:val=&quot;0038117D&quot;/&gt;&lt;wsp:rsid wsp:val=&quot;00381BAE&quot;/&gt;&lt;wsp:rsid wsp:val=&quot;00381ECF&quot;/&gt;&lt;wsp:rsid wsp:val=&quot;0038212C&quot;/&gt;&lt;wsp:rsid wsp:val=&quot;0038231F&quot;/&gt;&lt;wsp:rsid wsp:val=&quot;00382EC9&quot;/&gt;&lt;wsp:rsid wsp:val=&quot;0038318D&quot;/&gt;&lt;wsp:rsid wsp:val=&quot;003833B5&quot;/&gt;&lt;wsp:rsid wsp:val=&quot;00383B92&quot;/&gt;&lt;wsp:rsid wsp:val=&quot;00384965&quot;/&gt;&lt;wsp:rsid wsp:val=&quot;00385222&quot;/&gt;&lt;wsp:rsid wsp:val=&quot;00385366&quot;/&gt;&lt;wsp:rsid wsp:val=&quot;003855F9&quot;/&gt;&lt;wsp:rsid wsp:val=&quot;00385965&quot;/&gt;&lt;wsp:rsid wsp:val=&quot;00386253&quot;/&gt;&lt;wsp:rsid wsp:val=&quot;003862C2&quot;/&gt;&lt;wsp:rsid wsp:val=&quot;00386585&quot;/&gt;&lt;wsp:rsid wsp:val=&quot;00387ADD&quot;/&gt;&lt;wsp:rsid wsp:val=&quot;00387F10&quot;/&gt;&lt;wsp:rsid wsp:val=&quot;0039057E&quot;/&gt;&lt;wsp:rsid wsp:val=&quot;00390A9C&quot;/&gt;&lt;wsp:rsid wsp:val=&quot;003911C7&quot;/&gt;&lt;wsp:rsid wsp:val=&quot;00392594&quot;/&gt;&lt;wsp:rsid wsp:val=&quot;00392B88&quot;/&gt;&lt;wsp:rsid wsp:val=&quot;003938AF&quot;/&gt;&lt;wsp:rsid wsp:val=&quot;00393E36&quot;/&gt;&lt;wsp:rsid wsp:val=&quot;003940C9&quot;/&gt;&lt;wsp:rsid wsp:val=&quot;0039492B&quot;/&gt;&lt;wsp:rsid wsp:val=&quot;0039633E&quot;/&gt;&lt;wsp:rsid wsp:val=&quot;003965F2&quot;/&gt;&lt;wsp:rsid wsp:val=&quot;003969C7&quot;/&gt;&lt;wsp:rsid wsp:val=&quot;003972EE&quot;/&gt;&lt;wsp:rsid wsp:val=&quot;003A02A0&quot;/&gt;&lt;wsp:rsid wsp:val=&quot;003A18EC&quot;/&gt;&lt;wsp:rsid wsp:val=&quot;003A1E71&quot;/&gt;&lt;wsp:rsid wsp:val=&quot;003A1F5D&quot;/&gt;&lt;wsp:rsid wsp:val=&quot;003A2BE9&quot;/&gt;&lt;wsp:rsid wsp:val=&quot;003A400C&quot;/&gt;&lt;wsp:rsid wsp:val=&quot;003A44C4&quot;/&gt;&lt;wsp:rsid wsp:val=&quot;003A4FDA&quot;/&gt;&lt;wsp:rsid wsp:val=&quot;003A5029&quot;/&gt;&lt;wsp:rsid wsp:val=&quot;003A56AA&quot;/&gt;&lt;wsp:rsid wsp:val=&quot;003A5F22&quot;/&gt;&lt;wsp:rsid wsp:val=&quot;003A6B49&quot;/&gt;&lt;wsp:rsid wsp:val=&quot;003A6BE1&quot;/&gt;&lt;wsp:rsid wsp:val=&quot;003A7150&quot;/&gt;&lt;wsp:rsid wsp:val=&quot;003A75D3&quot;/&gt;&lt;wsp:rsid wsp:val=&quot;003A76CF&quot;/&gt;&lt;wsp:rsid wsp:val=&quot;003B119F&quot;/&gt;&lt;wsp:rsid wsp:val=&quot;003B1ACC&quot;/&gt;&lt;wsp:rsid wsp:val=&quot;003B2CA6&quot;/&gt;&lt;wsp:rsid wsp:val=&quot;003B3BA7&quot;/&gt;&lt;wsp:rsid wsp:val=&quot;003B402D&quot;/&gt;&lt;wsp:rsid wsp:val=&quot;003B40A5&quot;/&gt;&lt;wsp:rsid wsp:val=&quot;003B43F4&quot;/&gt;&lt;wsp:rsid wsp:val=&quot;003B4442&quot;/&gt;&lt;wsp:rsid wsp:val=&quot;003B4CEA&quot;/&gt;&lt;wsp:rsid wsp:val=&quot;003B5789&quot;/&gt;&lt;wsp:rsid wsp:val=&quot;003B6B66&quot;/&gt;&lt;wsp:rsid wsp:val=&quot;003B6FF6&quot;/&gt;&lt;wsp:rsid wsp:val=&quot;003C249F&quot;/&gt;&lt;wsp:rsid wsp:val=&quot;003C262A&quot;/&gt;&lt;wsp:rsid wsp:val=&quot;003C336C&quot;/&gt;&lt;wsp:rsid wsp:val=&quot;003C39AC&quot;/&gt;&lt;wsp:rsid wsp:val=&quot;003C43C4&quot;/&gt;&lt;wsp:rsid wsp:val=&quot;003C44A6&quot;/&gt;&lt;wsp:rsid wsp:val=&quot;003C486F&quot;/&gt;&lt;wsp:rsid wsp:val=&quot;003C4915&quot;/&gt;&lt;wsp:rsid wsp:val=&quot;003C4E2F&quot;/&gt;&lt;wsp:rsid wsp:val=&quot;003C6F4D&quot;/&gt;&lt;wsp:rsid wsp:val=&quot;003C705A&quot;/&gt;&lt;wsp:rsid wsp:val=&quot;003C71B7&quot;/&gt;&lt;wsp:rsid wsp:val=&quot;003C76FE&quot;/&gt;&lt;wsp:rsid wsp:val=&quot;003D064E&quot;/&gt;&lt;wsp:rsid wsp:val=&quot;003D09A3&quot;/&gt;&lt;wsp:rsid wsp:val=&quot;003D0B38&quot;/&gt;&lt;wsp:rsid wsp:val=&quot;003D0CE1&quot;/&gt;&lt;wsp:rsid wsp:val=&quot;003D16EA&quot;/&gt;&lt;wsp:rsid wsp:val=&quot;003D18F9&quot;/&gt;&lt;wsp:rsid wsp:val=&quot;003D25DE&quot;/&gt;&lt;wsp:rsid wsp:val=&quot;003D2600&quot;/&gt;&lt;wsp:rsid wsp:val=&quot;003D31E0&quot;/&gt;&lt;wsp:rsid wsp:val=&quot;003D368D&quot;/&gt;&lt;wsp:rsid wsp:val=&quot;003D407B&quot;/&gt;&lt;wsp:rsid wsp:val=&quot;003D4619&quot;/&gt;&lt;wsp:rsid wsp:val=&quot;003D52F4&quot;/&gt;&lt;wsp:rsid wsp:val=&quot;003D5384&quot;/&gt;&lt;wsp:rsid wsp:val=&quot;003D5622&quot;/&gt;&lt;wsp:rsid wsp:val=&quot;003D5864&quot;/&gt;&lt;wsp:rsid wsp:val=&quot;003D5B0E&quot;/&gt;&lt;wsp:rsid wsp:val=&quot;003D5B8B&quot;/&gt;&lt;wsp:rsid wsp:val=&quot;003D61C2&quot;/&gt;&lt;wsp:rsid wsp:val=&quot;003D6312&quot;/&gt;&lt;wsp:rsid wsp:val=&quot;003D6D69&quot;/&gt;&lt;wsp:rsid wsp:val=&quot;003D6E0D&quot;/&gt;&lt;wsp:rsid wsp:val=&quot;003D7590&quot;/&gt;&lt;wsp:rsid wsp:val=&quot;003E0B80&quot;/&gt;&lt;wsp:rsid wsp:val=&quot;003E1476&quot;/&gt;&lt;wsp:rsid wsp:val=&quot;003E2717&quot;/&gt;&lt;wsp:rsid wsp:val=&quot;003E2959&quot;/&gt;&lt;wsp:rsid wsp:val=&quot;003E2F49&quot;/&gt;&lt;wsp:rsid wsp:val=&quot;003E36D6&quot;/&gt;&lt;wsp:rsid wsp:val=&quot;003E3756&quot;/&gt;&lt;wsp:rsid wsp:val=&quot;003E3861&quot;/&gt;&lt;wsp:rsid wsp:val=&quot;003E3C0B&quot;/&gt;&lt;wsp:rsid wsp:val=&quot;003E4316&quot;/&gt;&lt;wsp:rsid wsp:val=&quot;003E56CA&quot;/&gt;&lt;wsp:rsid wsp:val=&quot;003E5888&quot;/&gt;&lt;wsp:rsid wsp:val=&quot;003E5C3F&quot;/&gt;&lt;wsp:rsid wsp:val=&quot;003E5C65&quot;/&gt;&lt;wsp:rsid wsp:val=&quot;003E5D61&quot;/&gt;&lt;wsp:rsid wsp:val=&quot;003E7F9D&quot;/&gt;&lt;wsp:rsid wsp:val=&quot;003F194A&quot;/&gt;&lt;wsp:rsid wsp:val=&quot;003F19C5&quot;/&gt;&lt;wsp:rsid wsp:val=&quot;003F1FA3&quot;/&gt;&lt;wsp:rsid wsp:val=&quot;003F2A74&quot;/&gt;&lt;wsp:rsid wsp:val=&quot;003F2BCA&quot;/&gt;&lt;wsp:rsid wsp:val=&quot;003F2E98&quot;/&gt;&lt;wsp:rsid wsp:val=&quot;003F3A11&quot;/&gt;&lt;wsp:rsid wsp:val=&quot;003F5962&quot;/&gt;&lt;wsp:rsid wsp:val=&quot;003F5AD9&quot;/&gt;&lt;wsp:rsid wsp:val=&quot;00400206&quot;/&gt;&lt;wsp:rsid wsp:val=&quot;004006A6&quot;/&gt;&lt;wsp:rsid wsp:val=&quot;00400710&quot;/&gt;&lt;wsp:rsid wsp:val=&quot;00400A54&quot;/&gt;&lt;wsp:rsid wsp:val=&quot;00401852&quot;/&gt;&lt;wsp:rsid wsp:val=&quot;004023FA&quot;/&gt;&lt;wsp:rsid wsp:val=&quot;004025FD&quot;/&gt;&lt;wsp:rsid wsp:val=&quot;00402649&quot;/&gt;&lt;wsp:rsid wsp:val=&quot;00402AF8&quot;/&gt;&lt;wsp:rsid wsp:val=&quot;00402B1B&quot;/&gt;&lt;wsp:rsid wsp:val=&quot;00402DC3&quot;/&gt;&lt;wsp:rsid wsp:val=&quot;00403CAE&quot;/&gt;&lt;wsp:rsid wsp:val=&quot;00404575&quot;/&gt;&lt;wsp:rsid wsp:val=&quot;004045E9&quot;/&gt;&lt;wsp:rsid wsp:val=&quot;00405C3B&quot;/&gt;&lt;wsp:rsid wsp:val=&quot;00406126&quot;/&gt;&lt;wsp:rsid wsp:val=&quot;00406803&quot;/&gt;&lt;wsp:rsid wsp:val=&quot;00406D52&quot;/&gt;&lt;wsp:rsid wsp:val=&quot;0040757F&quot;/&gt;&lt;wsp:rsid wsp:val=&quot;004077A1&quot;/&gt;&lt;wsp:rsid wsp:val=&quot;004078B6&quot;/&gt;&lt;wsp:rsid wsp:val=&quot;00407F0D&quot;/&gt;&lt;wsp:rsid wsp:val=&quot;00410507&quot;/&gt;&lt;wsp:rsid wsp:val=&quot;004109AD&quot;/&gt;&lt;wsp:rsid wsp:val=&quot;004114F6&quot;/&gt;&lt;wsp:rsid wsp:val=&quot;00411C20&quot;/&gt;&lt;wsp:rsid wsp:val=&quot;0041214F&quot;/&gt;&lt;wsp:rsid wsp:val=&quot;004125A8&quot;/&gt;&lt;wsp:rsid wsp:val=&quot;0041278F&quot;/&gt;&lt;wsp:rsid wsp:val=&quot;00413416&quot;/&gt;&lt;wsp:rsid wsp:val=&quot;00413AD7&quot;/&gt;&lt;wsp:rsid wsp:val=&quot;00413D76&quot;/&gt;&lt;wsp:rsid wsp:val=&quot;00414A73&quot;/&gt;&lt;wsp:rsid wsp:val=&quot;00414B7E&quot;/&gt;&lt;wsp:rsid wsp:val=&quot;004163E1&quot;/&gt;&lt;wsp:rsid wsp:val=&quot;004164B7&quot;/&gt;&lt;wsp:rsid wsp:val=&quot;00416A6A&quot;/&gt;&lt;wsp:rsid wsp:val=&quot;00417627&quot;/&gt;&lt;wsp:rsid wsp:val=&quot;0041771D&quot;/&gt;&lt;wsp:rsid wsp:val=&quot;00417ECE&quot;/&gt;&lt;wsp:rsid wsp:val=&quot;00417FD0&quot;/&gt;&lt;wsp:rsid wsp:val=&quot;004200EC&quot;/&gt;&lt;wsp:rsid wsp:val=&quot;0042031C&quot;/&gt;&lt;wsp:rsid wsp:val=&quot;00420E8E&quot;/&gt;&lt;wsp:rsid wsp:val=&quot;00422216&quot;/&gt;&lt;wsp:rsid wsp:val=&quot;0042244E&quot;/&gt;&lt;wsp:rsid wsp:val=&quot;00422FFA&quot;/&gt;&lt;wsp:rsid wsp:val=&quot;0042314C&quot;/&gt;&lt;wsp:rsid wsp:val=&quot;00423612&quot;/&gt;&lt;wsp:rsid wsp:val=&quot;00423AA5&quot;/&gt;&lt;wsp:rsid wsp:val=&quot;00423AB5&quot;/&gt;&lt;wsp:rsid wsp:val=&quot;004245E3&quot;/&gt;&lt;wsp:rsid wsp:val=&quot;004246DB&quot;/&gt;&lt;wsp:rsid wsp:val=&quot;004256EC&quot;/&gt;&lt;wsp:rsid wsp:val=&quot;00425C57&quot;/&gt;&lt;wsp:rsid wsp:val=&quot;00426CF8&quot;/&gt;&lt;wsp:rsid wsp:val=&quot;00426F49&quot;/&gt;&lt;wsp:rsid wsp:val=&quot;0042702E&quot;/&gt;&lt;wsp:rsid wsp:val=&quot;00427201&quot;/&gt;&lt;wsp:rsid wsp:val=&quot;004277C0&quot;/&gt;&lt;wsp:rsid wsp:val=&quot;004278DC&quot;/&gt;&lt;wsp:rsid wsp:val=&quot;00427C5B&quot;/&gt;&lt;wsp:rsid wsp:val=&quot;00427D22&quot;/&gt;&lt;wsp:rsid wsp:val=&quot;00427DC8&quot;/&gt;&lt;wsp:rsid wsp:val=&quot;004304D7&quot;/&gt;&lt;wsp:rsid wsp:val=&quot;00431598&quot;/&gt;&lt;wsp:rsid wsp:val=&quot;00431E10&quot;/&gt;&lt;wsp:rsid wsp:val=&quot;00431F66&quot;/&gt;&lt;wsp:rsid wsp:val=&quot;004320FD&quot;/&gt;&lt;wsp:rsid wsp:val=&quot;004321BF&quot;/&gt;&lt;wsp:rsid wsp:val=&quot;0043235F&quot;/&gt;&lt;wsp:rsid wsp:val=&quot;00433199&quot;/&gt;&lt;wsp:rsid wsp:val=&quot;00433A46&quot;/&gt;&lt;wsp:rsid wsp:val=&quot;00434598&quot;/&gt;&lt;wsp:rsid wsp:val=&quot;0043484F&quot;/&gt;&lt;wsp:rsid wsp:val=&quot;0043516D&quot;/&gt;&lt;wsp:rsid wsp:val=&quot;004353DE&quot;/&gt;&lt;wsp:rsid wsp:val=&quot;00435857&quot;/&gt;&lt;wsp:rsid wsp:val=&quot;00436025&quot;/&gt;&lt;wsp:rsid wsp:val=&quot;004362C1&quot;/&gt;&lt;wsp:rsid wsp:val=&quot;00436467&quot;/&gt;&lt;wsp:rsid wsp:val=&quot;004365B9&quot;/&gt;&lt;wsp:rsid wsp:val=&quot;0043687F&quot;/&gt;&lt;wsp:rsid wsp:val=&quot;00436BE2&quot;/&gt;&lt;wsp:rsid wsp:val=&quot;00436E31&quot;/&gt;&lt;wsp:rsid wsp:val=&quot;00437FB8&quot;/&gt;&lt;wsp:rsid wsp:val=&quot;0044004C&quot;/&gt;&lt;wsp:rsid wsp:val=&quot;004400D4&quot;/&gt;&lt;wsp:rsid wsp:val=&quot;004401F7&quot;/&gt;&lt;wsp:rsid wsp:val=&quot;0044121B&quot;/&gt;&lt;wsp:rsid wsp:val=&quot;00441332&quot;/&gt;&lt;wsp:rsid wsp:val=&quot;004413A3&quot;/&gt;&lt;wsp:rsid wsp:val=&quot;00441659&quot;/&gt;&lt;wsp:rsid wsp:val=&quot;00441C38&quot;/&gt;&lt;wsp:rsid wsp:val=&quot;00441C4F&quot;/&gt;&lt;wsp:rsid wsp:val=&quot;00442CAF&quot;/&gt;&lt;wsp:rsid wsp:val=&quot;004435AD&quot;/&gt;&lt;wsp:rsid wsp:val=&quot;0044396F&quot;/&gt;&lt;wsp:rsid wsp:val=&quot;00443E86&quot;/&gt;&lt;wsp:rsid wsp:val=&quot;004445E6&quot;/&gt;&lt;wsp:rsid wsp:val=&quot;004449B4&quot;/&gt;&lt;wsp:rsid wsp:val=&quot;004452A9&quot;/&gt;&lt;wsp:rsid wsp:val=&quot;00446AD9&quot;/&gt;&lt;wsp:rsid wsp:val=&quot;004473F4&quot;/&gt;&lt;wsp:rsid wsp:val=&quot;004478D4&quot;/&gt;&lt;wsp:rsid wsp:val=&quot;00447A1F&quot;/&gt;&lt;wsp:rsid wsp:val=&quot;00447A63&quot;/&gt;&lt;wsp:rsid wsp:val=&quot;00447E7C&quot;/&gt;&lt;wsp:rsid wsp:val=&quot;0045033E&quot;/&gt;&lt;wsp:rsid wsp:val=&quot;004503B7&quot;/&gt;&lt;wsp:rsid wsp:val=&quot;004507FB&quot;/&gt;&lt;wsp:rsid wsp:val=&quot;00450D2D&quot;/&gt;&lt;wsp:rsid wsp:val=&quot;004516D6&quot;/&gt;&lt;wsp:rsid wsp:val=&quot;00452282&quot;/&gt;&lt;wsp:rsid wsp:val=&quot;004527AD&quot;/&gt;&lt;wsp:rsid wsp:val=&quot;00453A26&quot;/&gt;&lt;wsp:rsid wsp:val=&quot;00453C43&quot;/&gt;&lt;wsp:rsid wsp:val=&quot;00453C71&quot;/&gt;&lt;wsp:rsid wsp:val=&quot;0045548F&quot;/&gt;&lt;wsp:rsid wsp:val=&quot;00455B4B&quot;/&gt;&lt;wsp:rsid wsp:val=&quot;00455BF1&quot;/&gt;&lt;wsp:rsid wsp:val=&quot;0045651C&quot;/&gt;&lt;wsp:rsid wsp:val=&quot;004572D1&quot;/&gt;&lt;wsp:rsid wsp:val=&quot;00457765&quot;/&gt;&lt;wsp:rsid wsp:val=&quot;00457A05&quot;/&gt;&lt;wsp:rsid wsp:val=&quot;00460203&quot;/&gt;&lt;wsp:rsid wsp:val=&quot;0046046B&quot;/&gt;&lt;wsp:rsid wsp:val=&quot;004610EB&quot;/&gt;&lt;wsp:rsid wsp:val=&quot;004621C0&quot;/&gt;&lt;wsp:rsid wsp:val=&quot;00463AA0&quot;/&gt;&lt;wsp:rsid wsp:val=&quot;004640A8&quot;/&gt;&lt;wsp:rsid wsp:val=&quot;004643BF&quot;/&gt;&lt;wsp:rsid wsp:val=&quot;00464886&quot;/&gt;&lt;wsp:rsid wsp:val=&quot;00464E37&quot;/&gt;&lt;wsp:rsid wsp:val=&quot;004654DA&quot;/&gt;&lt;wsp:rsid wsp:val=&quot;00465E2A&quot;/&gt;&lt;wsp:rsid wsp:val=&quot;00465EAC&quot;/&gt;&lt;wsp:rsid wsp:val=&quot;0046688C&quot;/&gt;&lt;wsp:rsid wsp:val=&quot;00467F9B&quot;/&gt;&lt;wsp:rsid wsp:val=&quot;00470001&quot;/&gt;&lt;wsp:rsid wsp:val=&quot;0047000A&quot;/&gt;&lt;wsp:rsid wsp:val=&quot;00470D82&quot;/&gt;&lt;wsp:rsid wsp:val=&quot;00471D15&quot;/&gt;&lt;wsp:rsid wsp:val=&quot;004730AE&quot;/&gt;&lt;wsp:rsid wsp:val=&quot;00473869&quot;/&gt;&lt;wsp:rsid wsp:val=&quot;00474823&quot;/&gt;&lt;wsp:rsid wsp:val=&quot;004753F8&quot;/&gt;&lt;wsp:rsid wsp:val=&quot;004757BA&quot;/&gt;&lt;wsp:rsid wsp:val=&quot;00476977&quot;/&gt;&lt;wsp:rsid wsp:val=&quot;00476C1F&quot;/&gt;&lt;wsp:rsid wsp:val=&quot;00476D4A&quot;/&gt;&lt;wsp:rsid wsp:val=&quot;00480255&quot;/&gt;&lt;wsp:rsid wsp:val=&quot;00481074&quot;/&gt;&lt;wsp:rsid wsp:val=&quot;00481A3A&quot;/&gt;&lt;wsp:rsid wsp:val=&quot;00481ED9&quot;/&gt;&lt;wsp:rsid wsp:val=&quot;004826A5&quot;/&gt;&lt;wsp:rsid wsp:val=&quot;00482DE6&quot;/&gt;&lt;wsp:rsid wsp:val=&quot;0048352E&quot;/&gt;&lt;wsp:rsid wsp:val=&quot;004838CF&quot;/&gt;&lt;wsp:rsid wsp:val=&quot;0048511C&quot;/&gt;&lt;wsp:rsid wsp:val=&quot;00485275&quot;/&gt;&lt;wsp:rsid wsp:val=&quot;00485381&quot;/&gt;&lt;wsp:rsid wsp:val=&quot;0048555D&quot;/&gt;&lt;wsp:rsid wsp:val=&quot;00485744&quot;/&gt;&lt;wsp:rsid wsp:val=&quot;00486A23&quot;/&gt;&lt;wsp:rsid wsp:val=&quot;00487118&quot;/&gt;&lt;wsp:rsid wsp:val=&quot;0048749B&quot;/&gt;&lt;wsp:rsid wsp:val=&quot;004879CC&quot;/&gt;&lt;wsp:rsid wsp:val=&quot;00487CE4&quot;/&gt;&lt;wsp:rsid wsp:val=&quot;00487ED8&quot;/&gt;&lt;wsp:rsid wsp:val=&quot;00490D9A&quot;/&gt;&lt;wsp:rsid wsp:val=&quot;00491389&quot;/&gt;&lt;wsp:rsid wsp:val=&quot;00492032&quot;/&gt;&lt;wsp:rsid wsp:val=&quot;004928EC&quot;/&gt;&lt;wsp:rsid wsp:val=&quot;00492C4B&quot;/&gt;&lt;wsp:rsid wsp:val=&quot;004934EC&quot;/&gt;&lt;wsp:rsid wsp:val=&quot;00493F49&quot;/&gt;&lt;wsp:rsid wsp:val=&quot;00494993&quot;/&gt;&lt;wsp:rsid wsp:val=&quot;00494A88&quot;/&gt;&lt;wsp:rsid wsp:val=&quot;00494BA2&quot;/&gt;&lt;wsp:rsid wsp:val=&quot;004952E4&quot;/&gt;&lt;wsp:rsid wsp:val=&quot;004953DA&quot;/&gt;&lt;wsp:rsid wsp:val=&quot;00495921&quot;/&gt;&lt;wsp:rsid wsp:val=&quot;0049620F&quot;/&gt;&lt;wsp:rsid wsp:val=&quot;004962B5&quot;/&gt;&lt;wsp:rsid wsp:val=&quot;00497F5E&quot;/&gt;&lt;wsp:rsid wsp:val=&quot;004A02B6&quot;/&gt;&lt;wsp:rsid wsp:val=&quot;004A0809&quot;/&gt;&lt;wsp:rsid wsp:val=&quot;004A0CB0&quot;/&gt;&lt;wsp:rsid wsp:val=&quot;004A0FD0&quot;/&gt;&lt;wsp:rsid wsp:val=&quot;004A1A8D&quot;/&gt;&lt;wsp:rsid wsp:val=&quot;004A1DDF&quot;/&gt;&lt;wsp:rsid wsp:val=&quot;004A1E3D&quot;/&gt;&lt;wsp:rsid wsp:val=&quot;004A21CE&quot;/&gt;&lt;wsp:rsid wsp:val=&quot;004A2C56&quot;/&gt;&lt;wsp:rsid wsp:val=&quot;004A30C0&quot;/&gt;&lt;wsp:rsid wsp:val=&quot;004A3805&quot;/&gt;&lt;wsp:rsid wsp:val=&quot;004A4423&quot;/&gt;&lt;wsp:rsid wsp:val=&quot;004A4751&quot;/&gt;&lt;wsp:rsid wsp:val=&quot;004A4FFE&quot;/&gt;&lt;wsp:rsid wsp:val=&quot;004A6382&quot;/&gt;&lt;wsp:rsid wsp:val=&quot;004A7E9A&quot;/&gt;&lt;wsp:rsid wsp:val=&quot;004B0014&quot;/&gt;&lt;wsp:rsid wsp:val=&quot;004B132C&quot;/&gt;&lt;wsp:rsid wsp:val=&quot;004B14AC&quot;/&gt;&lt;wsp:rsid wsp:val=&quot;004B2240&quot;/&gt;&lt;wsp:rsid wsp:val=&quot;004B2291&quot;/&gt;&lt;wsp:rsid wsp:val=&quot;004B34B0&quot;/&gt;&lt;wsp:rsid wsp:val=&quot;004B3B5A&quot;/&gt;&lt;wsp:rsid wsp:val=&quot;004B3D21&quot;/&gt;&lt;wsp:rsid wsp:val=&quot;004B41F4&quot;/&gt;&lt;wsp:rsid wsp:val=&quot;004B4FC7&quot;/&gt;&lt;wsp:rsid wsp:val=&quot;004B53C9&quot;/&gt;&lt;wsp:rsid wsp:val=&quot;004B54A6&quot;/&gt;&lt;wsp:rsid wsp:val=&quot;004B598E&quot;/&gt;&lt;wsp:rsid wsp:val=&quot;004B65ED&quot;/&gt;&lt;wsp:rsid wsp:val=&quot;004B6A51&quot;/&gt;&lt;wsp:rsid wsp:val=&quot;004C0B08&quot;/&gt;&lt;wsp:rsid wsp:val=&quot;004C1385&quot;/&gt;&lt;wsp:rsid wsp:val=&quot;004C1686&quot;/&gt;&lt;wsp:rsid wsp:val=&quot;004C1AF7&quot;/&gt;&lt;wsp:rsid wsp:val=&quot;004C2252&quot;/&gt;&lt;wsp:rsid wsp:val=&quot;004C3CED&quot;/&gt;&lt;wsp:rsid wsp:val=&quot;004C4061&quot;/&gt;&lt;wsp:rsid wsp:val=&quot;004C52D4&quot;/&gt;&lt;wsp:rsid wsp:val=&quot;004C55B6&quot;/&gt;&lt;wsp:rsid wsp:val=&quot;004C59FB&quot;/&gt;&lt;wsp:rsid wsp:val=&quot;004C5B09&quot;/&gt;&lt;wsp:rsid wsp:val=&quot;004C5C1F&quot;/&gt;&lt;wsp:rsid wsp:val=&quot;004C6644&quot;/&gt;&lt;wsp:rsid wsp:val=&quot;004C690E&quot;/&gt;&lt;wsp:rsid wsp:val=&quot;004C6CC6&quot;/&gt;&lt;wsp:rsid wsp:val=&quot;004C747D&quot;/&gt;&lt;wsp:rsid wsp:val=&quot;004C7792&quot;/&gt;&lt;wsp:rsid wsp:val=&quot;004C7CAB&quot;/&gt;&lt;wsp:rsid wsp:val=&quot;004D03D3&quot;/&gt;&lt;wsp:rsid wsp:val=&quot;004D0509&quot;/&gt;&lt;wsp:rsid wsp:val=&quot;004D1305&quot;/&gt;&lt;wsp:rsid wsp:val=&quot;004D1E68&quot;/&gt;&lt;wsp:rsid wsp:val=&quot;004D2966&quot;/&gt;&lt;wsp:rsid wsp:val=&quot;004D2B2B&quot;/&gt;&lt;wsp:rsid wsp:val=&quot;004D3489&quot;/&gt;&lt;wsp:rsid wsp:val=&quot;004D39F9&quot;/&gt;&lt;wsp:rsid wsp:val=&quot;004D455C&quot;/&gt;&lt;wsp:rsid wsp:val=&quot;004D479D&quot;/&gt;&lt;wsp:rsid wsp:val=&quot;004D4FE4&quot;/&gt;&lt;wsp:rsid wsp:val=&quot;004D52C1&quot;/&gt;&lt;wsp:rsid wsp:val=&quot;004D577A&quot;/&gt;&lt;wsp:rsid wsp:val=&quot;004D6282&quot;/&gt;&lt;wsp:rsid wsp:val=&quot;004D7101&quot;/&gt;&lt;wsp:rsid wsp:val=&quot;004D7304&quot;/&gt;&lt;wsp:rsid wsp:val=&quot;004D7473&quot;/&gt;&lt;wsp:rsid wsp:val=&quot;004E0A51&quot;/&gt;&lt;wsp:rsid wsp:val=&quot;004E0F2F&quot;/&gt;&lt;wsp:rsid wsp:val=&quot;004E126A&quot;/&gt;&lt;wsp:rsid wsp:val=&quot;004E1E95&quot;/&gt;&lt;wsp:rsid wsp:val=&quot;004E21B1&quot;/&gt;&lt;wsp:rsid wsp:val=&quot;004E28CF&quot;/&gt;&lt;wsp:rsid wsp:val=&quot;004E3644&quot;/&gt;&lt;wsp:rsid wsp:val=&quot;004E3679&quot;/&gt;&lt;wsp:rsid wsp:val=&quot;004E3920&quot;/&gt;&lt;wsp:rsid wsp:val=&quot;004E3E8A&quot;/&gt;&lt;wsp:rsid wsp:val=&quot;004E45D7&quot;/&gt;&lt;wsp:rsid wsp:val=&quot;004E589F&quot;/&gt;&lt;wsp:rsid wsp:val=&quot;004E5B3C&quot;/&gt;&lt;wsp:rsid wsp:val=&quot;004E6360&quot;/&gt;&lt;wsp:rsid wsp:val=&quot;004E6BA9&quot;/&gt;&lt;wsp:rsid wsp:val=&quot;004E6BCD&quot;/&gt;&lt;wsp:rsid wsp:val=&quot;004E720E&quot;/&gt;&lt;wsp:rsid wsp:val=&quot;004E72FC&quot;/&gt;&lt;wsp:rsid wsp:val=&quot;004E7337&quot;/&gt;&lt;wsp:rsid wsp:val=&quot;004E793E&quot;/&gt;&lt;wsp:rsid wsp:val=&quot;004F0556&quot;/&gt;&lt;wsp:rsid wsp:val=&quot;004F0D2B&quot;/&gt;&lt;wsp:rsid wsp:val=&quot;004F27F1&quot;/&gt;&lt;wsp:rsid wsp:val=&quot;004F2BCA&quot;/&gt;&lt;wsp:rsid wsp:val=&quot;004F2D93&quot;/&gt;&lt;wsp:rsid wsp:val=&quot;004F37CE&quot;/&gt;&lt;wsp:rsid wsp:val=&quot;004F3981&quot;/&gt;&lt;wsp:rsid wsp:val=&quot;004F3F8D&quot;/&gt;&lt;wsp:rsid wsp:val=&quot;004F3FCB&quot;/&gt;&lt;wsp:rsid wsp:val=&quot;004F45F2&quot;/&gt;&lt;wsp:rsid wsp:val=&quot;004F4849&quot;/&gt;&lt;wsp:rsid wsp:val=&quot;004F4DB3&quot;/&gt;&lt;wsp:rsid wsp:val=&quot;004F530E&quot;/&gt;&lt;wsp:rsid wsp:val=&quot;004F571A&quot;/&gt;&lt;wsp:rsid wsp:val=&quot;004F5829&quot;/&gt;&lt;wsp:rsid wsp:val=&quot;004F6710&quot;/&gt;&lt;wsp:rsid wsp:val=&quot;004F6D93&quot;/&gt;&lt;wsp:rsid wsp:val=&quot;004F700D&quot;/&gt;&lt;wsp:rsid wsp:val=&quot;004F71FE&quot;/&gt;&lt;wsp:rsid wsp:val=&quot;00500213&quot;/&gt;&lt;wsp:rsid wsp:val=&quot;00500F66&quot;/&gt;&lt;wsp:rsid wsp:val=&quot;005012D5&quot;/&gt;&lt;wsp:rsid wsp:val=&quot;00501736&quot;/&gt;&lt;wsp:rsid wsp:val=&quot;005025E8&quot;/&gt;&lt;wsp:rsid wsp:val=&quot;005027AA&quot;/&gt;&lt;wsp:rsid wsp:val=&quot;00502FBF&quot;/&gt;&lt;wsp:rsid wsp:val=&quot;005037B2&quot;/&gt;&lt;wsp:rsid wsp:val=&quot;005037B6&quot;/&gt;&lt;wsp:rsid wsp:val=&quot;00503901&quot;/&gt;&lt;wsp:rsid wsp:val=&quot;00504A0B&quot;/&gt;&lt;wsp:rsid wsp:val=&quot;005050B6&quot;/&gt;&lt;wsp:rsid wsp:val=&quot;00505303&quot;/&gt;&lt;wsp:rsid wsp:val=&quot;0050542A&quot;/&gt;&lt;wsp:rsid wsp:val=&quot;00505801&quot;/&gt;&lt;wsp:rsid wsp:val=&quot;00505E90&quot;/&gt;&lt;wsp:rsid wsp:val=&quot;00505EC9&quot;/&gt;&lt;wsp:rsid wsp:val=&quot;00506030&quot;/&gt;&lt;wsp:rsid wsp:val=&quot;0050609E&quot;/&gt;&lt;wsp:rsid wsp:val=&quot;0050678F&quot;/&gt;&lt;wsp:rsid wsp:val=&quot;00506F08&quot;/&gt;&lt;wsp:rsid wsp:val=&quot;00507990&quot;/&gt;&lt;wsp:rsid wsp:val=&quot;00507CC7&quot;/&gt;&lt;wsp:rsid wsp:val=&quot;00510395&quot;/&gt;&lt;wsp:rsid wsp:val=&quot;00510912&quot;/&gt;&lt;wsp:rsid wsp:val=&quot;00510C21&quot;/&gt;&lt;wsp:rsid wsp:val=&quot;00510EC7&quot;/&gt;&lt;wsp:rsid wsp:val=&quot;005110BF&quot;/&gt;&lt;wsp:rsid wsp:val=&quot;005119A8&quot;/&gt;&lt;wsp:rsid wsp:val=&quot;005119CF&quot;/&gt;&lt;wsp:rsid wsp:val=&quot;00511A7F&quot;/&gt;&lt;wsp:rsid wsp:val=&quot;00512956&quot;/&gt;&lt;wsp:rsid wsp:val=&quot;00512A86&quot;/&gt;&lt;wsp:rsid wsp:val=&quot;00512D26&quot;/&gt;&lt;wsp:rsid wsp:val=&quot;0051318A&quot;/&gt;&lt;wsp:rsid wsp:val=&quot;00513CDB&quot;/&gt;&lt;wsp:rsid wsp:val=&quot;00513D30&quot;/&gt;&lt;wsp:rsid wsp:val=&quot;00513DE7&quot;/&gt;&lt;wsp:rsid wsp:val=&quot;0051408F&quot;/&gt;&lt;wsp:rsid wsp:val=&quot;00514354&quot;/&gt;&lt;wsp:rsid wsp:val=&quot;0051437C&quot;/&gt;&lt;wsp:rsid wsp:val=&quot;005148B6&quot;/&gt;&lt;wsp:rsid wsp:val=&quot;00514C01&quot;/&gt;&lt;wsp:rsid wsp:val=&quot;00515548&quot;/&gt;&lt;wsp:rsid wsp:val=&quot;00515E44&quot;/&gt;&lt;wsp:rsid wsp:val=&quot;005175D4&quot;/&gt;&lt;wsp:rsid wsp:val=&quot;005208C0&quot;/&gt;&lt;wsp:rsid wsp:val=&quot;00520BAE&quot;/&gt;&lt;wsp:rsid wsp:val=&quot;00520DC1&quot;/&gt;&lt;wsp:rsid wsp:val=&quot;00520EF8&quot;/&gt;&lt;wsp:rsid wsp:val=&quot;00521662&quot;/&gt;&lt;wsp:rsid wsp:val=&quot;00523728&quot;/&gt;&lt;wsp:rsid wsp:val=&quot;00523BA8&quot;/&gt;&lt;wsp:rsid wsp:val=&quot;005247A6&quot;/&gt;&lt;wsp:rsid wsp:val=&quot;00524E3F&quot;/&gt;&lt;wsp:rsid wsp:val=&quot;00525421&quot;/&gt;&lt;wsp:rsid wsp:val=&quot;005257B5&quot;/&gt;&lt;wsp:rsid wsp:val=&quot;005257C6&quot;/&gt;&lt;wsp:rsid wsp:val=&quot;005264A7&quot;/&gt;&lt;wsp:rsid wsp:val=&quot;00526978&quot;/&gt;&lt;wsp:rsid wsp:val=&quot;00526C25&quot;/&gt;&lt;wsp:rsid wsp:val=&quot;0052723C&quot;/&gt;&lt;wsp:rsid wsp:val=&quot;0052742D&quot;/&gt;&lt;wsp:rsid wsp:val=&quot;005279E0&quot;/&gt;&lt;wsp:rsid wsp:val=&quot;00527F46&quot;/&gt;&lt;wsp:rsid wsp:val=&quot;00530344&quot;/&gt;&lt;wsp:rsid wsp:val=&quot;00530A20&quot;/&gt;&lt;wsp:rsid wsp:val=&quot;00531126&quot;/&gt;&lt;wsp:rsid wsp:val=&quot;00531C82&quot;/&gt;&lt;wsp:rsid wsp:val=&quot;00531F82&quot;/&gt;&lt;wsp:rsid wsp:val=&quot;00532408&quot;/&gt;&lt;wsp:rsid wsp:val=&quot;00533520&quot;/&gt;&lt;wsp:rsid wsp:val=&quot;00533876&quot;/&gt;&lt;wsp:rsid wsp:val=&quot;00533F81&quot;/&gt;&lt;wsp:rsid wsp:val=&quot;0053435B&quot;/&gt;&lt;wsp:rsid wsp:val=&quot;005360AC&quot;/&gt;&lt;wsp:rsid wsp:val=&quot;005377DD&quot;/&gt;&lt;wsp:rsid wsp:val=&quot;00540505&quot;/&gt;&lt;wsp:rsid wsp:val=&quot;00540886&quot;/&gt;&lt;wsp:rsid wsp:val=&quot;00540A08&quot;/&gt;&lt;wsp:rsid wsp:val=&quot;00540B65&quot;/&gt;&lt;wsp:rsid wsp:val=&quot;0054127D&quot;/&gt;&lt;wsp:rsid wsp:val=&quot;00541857&quot;/&gt;&lt;wsp:rsid wsp:val=&quot;005419E9&quot;/&gt;&lt;wsp:rsid wsp:val=&quot;0054252B&quot;/&gt;&lt;wsp:rsid wsp:val=&quot;005441A7&quot;/&gt;&lt;wsp:rsid wsp:val=&quot;005441C6&quot;/&gt;&lt;wsp:rsid wsp:val=&quot;0054452E&quot;/&gt;&lt;wsp:rsid wsp:val=&quot;00544CF4&quot;/&gt;&lt;wsp:rsid wsp:val=&quot;005468A3&quot;/&gt;&lt;wsp:rsid wsp:val=&quot;00547640&quot;/&gt;&lt;wsp:rsid wsp:val=&quot;00547881&quot;/&gt;&lt;wsp:rsid wsp:val=&quot;00547A87&quot;/&gt;&lt;wsp:rsid wsp:val=&quot;00547D94&quot;/&gt;&lt;wsp:rsid wsp:val=&quot;00551D27&quot;/&gt;&lt;wsp:rsid wsp:val=&quot;00551DA1&quot;/&gt;&lt;wsp:rsid wsp:val=&quot;005529F4&quot;/&gt;&lt;wsp:rsid wsp:val=&quot;005542C7&quot;/&gt;&lt;wsp:rsid wsp:val=&quot;00554301&quot;/&gt;&lt;wsp:rsid wsp:val=&quot;005549B1&quot;/&gt;&lt;wsp:rsid wsp:val=&quot;0055535C&quot;/&gt;&lt;wsp:rsid wsp:val=&quot;005563B9&quot;/&gt;&lt;wsp:rsid wsp:val=&quot;00556B8B&quot;/&gt;&lt;wsp:rsid wsp:val=&quot;00557BE6&quot;/&gt;&lt;wsp:rsid wsp:val=&quot;005601FD&quot;/&gt;&lt;wsp:rsid wsp:val=&quot;00560335&quot;/&gt;&lt;wsp:rsid wsp:val=&quot;00560685&quot;/&gt;&lt;wsp:rsid wsp:val=&quot;00561226&quot;/&gt;&lt;wsp:rsid wsp:val=&quot;00561BD0&quot;/&gt;&lt;wsp:rsid wsp:val=&quot;005622E8&quot;/&gt;&lt;wsp:rsid wsp:val=&quot;0056246F&quot;/&gt;&lt;wsp:rsid wsp:val=&quot;00562989&quot;/&gt;&lt;wsp:rsid wsp:val=&quot;00563349&quot;/&gt;&lt;wsp:rsid wsp:val=&quot;00563AC1&quot;/&gt;&lt;wsp:rsid wsp:val=&quot;00563B38&quot;/&gt;&lt;wsp:rsid wsp:val=&quot;00564649&quot;/&gt;&lt;wsp:rsid wsp:val=&quot;005651A5&quot;/&gt;&lt;wsp:rsid wsp:val=&quot;00565E04&quot;/&gt;&lt;wsp:rsid wsp:val=&quot;00565FDE&quot;/&gt;&lt;wsp:rsid wsp:val=&quot;005669D8&quot;/&gt;&lt;wsp:rsid wsp:val=&quot;00566C51&quot;/&gt;&lt;wsp:rsid wsp:val=&quot;00567619&quot;/&gt;&lt;wsp:rsid wsp:val=&quot;00570A40&quot;/&gt;&lt;wsp:rsid wsp:val=&quot;00570F51&quot;/&gt;&lt;wsp:rsid wsp:val=&quot;005710DE&quot;/&gt;&lt;wsp:rsid wsp:val=&quot;00571695&quot;/&gt;&lt;wsp:rsid wsp:val=&quot;00571F6A&quot;/&gt;&lt;wsp:rsid wsp:val=&quot;005724E0&quot;/&gt;&lt;wsp:rsid wsp:val=&quot;00573D4A&quot;/&gt;&lt;wsp:rsid wsp:val=&quot;00574BAC&quot;/&gt;&lt;wsp:rsid wsp:val=&quot;00575305&quot;/&gt;&lt;wsp:rsid wsp:val=&quot;00575511&quot;/&gt;&lt;wsp:rsid wsp:val=&quot;005768CB&quot;/&gt;&lt;wsp:rsid wsp:val=&quot;00576D81&quot;/&gt;&lt;wsp:rsid wsp:val=&quot;005773FB&quot;/&gt;&lt;wsp:rsid wsp:val=&quot;00580BF3&quot;/&gt;&lt;wsp:rsid wsp:val=&quot;00581571&quot;/&gt;&lt;wsp:rsid wsp:val=&quot;00581913&quot;/&gt;&lt;wsp:rsid wsp:val=&quot;005829C2&quot;/&gt;&lt;wsp:rsid wsp:val=&quot;00582ABF&quot;/&gt;&lt;wsp:rsid wsp:val=&quot;00582DF8&quot;/&gt;&lt;wsp:rsid wsp:val=&quot;00582EBB&quot;/&gt;&lt;wsp:rsid wsp:val=&quot;00582EFE&quot;/&gt;&lt;wsp:rsid wsp:val=&quot;00583332&quot;/&gt;&lt;wsp:rsid wsp:val=&quot;00584167&quot;/&gt;&lt;wsp:rsid wsp:val=&quot;00584471&quot;/&gt;&lt;wsp:rsid wsp:val=&quot;005844FD&quot;/&gt;&lt;wsp:rsid wsp:val=&quot;00584598&quot;/&gt;&lt;wsp:rsid wsp:val=&quot;00585225&quot;/&gt;&lt;wsp:rsid wsp:val=&quot;005854A3&quot;/&gt;&lt;wsp:rsid wsp:val=&quot;00585BAC&quot;/&gt;&lt;wsp:rsid wsp:val=&quot;00585C7C&quot;/&gt;&lt;wsp:rsid wsp:val=&quot;00585F2D&quot;/&gt;&lt;wsp:rsid wsp:val=&quot;0058689C&quot;/&gt;&lt;wsp:rsid wsp:val=&quot;00586D0D&quot;/&gt;&lt;wsp:rsid wsp:val=&quot;005876E1&quot;/&gt;&lt;wsp:rsid wsp:val=&quot;00587945&quot;/&gt;&lt;wsp:rsid wsp:val=&quot;00590AB1&quot;/&gt;&lt;wsp:rsid wsp:val=&quot;00590D3C&quot;/&gt;&lt;wsp:rsid wsp:val=&quot;00591373&quot;/&gt;&lt;wsp:rsid wsp:val=&quot;0059187F&quot;/&gt;&lt;wsp:rsid wsp:val=&quot;005924A9&quot;/&gt;&lt;wsp:rsid wsp:val=&quot;0059252B&quot;/&gt;&lt;wsp:rsid wsp:val=&quot;00592582&quot;/&gt;&lt;wsp:rsid wsp:val=&quot;00593D06&quot;/&gt;&lt;wsp:rsid wsp:val=&quot;00593D3F&quot;/&gt;&lt;wsp:rsid wsp:val=&quot;00594021&quot;/&gt;&lt;wsp:rsid wsp:val=&quot;00594081&quot;/&gt;&lt;wsp:rsid wsp:val=&quot;005946C4&quot;/&gt;&lt;wsp:rsid wsp:val=&quot;00594D49&quot;/&gt;&lt;wsp:rsid wsp:val=&quot;00595150&quot;/&gt;&lt;wsp:rsid wsp:val=&quot;0059523F&quot;/&gt;&lt;wsp:rsid wsp:val=&quot;005956F3&quot;/&gt;&lt;wsp:rsid wsp:val=&quot;00596FFC&quot;/&gt;&lt;wsp:rsid wsp:val=&quot;005A0413&quot;/&gt;&lt;wsp:rsid wsp:val=&quot;005A0B44&quot;/&gt;&lt;wsp:rsid wsp:val=&quot;005A1783&quot;/&gt;&lt;wsp:rsid wsp:val=&quot;005A1936&quot;/&gt;&lt;wsp:rsid wsp:val=&quot;005A1E12&quot;/&gt;&lt;wsp:rsid wsp:val=&quot;005A26CB&quot;/&gt;&lt;wsp:rsid wsp:val=&quot;005A3FA4&quot;/&gt;&lt;wsp:rsid wsp:val=&quot;005A4A47&quot;/&gt;&lt;wsp:rsid wsp:val=&quot;005A4F42&quot;/&gt;&lt;wsp:rsid wsp:val=&quot;005A544A&quot;/&gt;&lt;wsp:rsid wsp:val=&quot;005A62E2&quot;/&gt;&lt;wsp:rsid wsp:val=&quot;005A6320&quot;/&gt;&lt;wsp:rsid wsp:val=&quot;005A646E&quot;/&gt;&lt;wsp:rsid wsp:val=&quot;005A64E8&quot;/&gt;&lt;wsp:rsid wsp:val=&quot;005A67B8&quot;/&gt;&lt;wsp:rsid wsp:val=&quot;005A6BE7&quot;/&gt;&lt;wsp:rsid wsp:val=&quot;005A78E1&quot;/&gt;&lt;wsp:rsid wsp:val=&quot;005B00C1&quot;/&gt;&lt;wsp:rsid wsp:val=&quot;005B015C&quot;/&gt;&lt;wsp:rsid wsp:val=&quot;005B0D3D&quot;/&gt;&lt;wsp:rsid wsp:val=&quot;005B0FEB&quot;/&gt;&lt;wsp:rsid wsp:val=&quot;005B11CC&quot;/&gt;&lt;wsp:rsid wsp:val=&quot;005B1217&quot;/&gt;&lt;wsp:rsid wsp:val=&quot;005B1497&quot;/&gt;&lt;wsp:rsid wsp:val=&quot;005B191D&quot;/&gt;&lt;wsp:rsid wsp:val=&quot;005B1D86&quot;/&gt;&lt;wsp:rsid wsp:val=&quot;005B3F57&quot;/&gt;&lt;wsp:rsid wsp:val=&quot;005B4370&quot;/&gt;&lt;wsp:rsid wsp:val=&quot;005B43B0&quot;/&gt;&lt;wsp:rsid wsp:val=&quot;005B4ECC&quot;/&gt;&lt;wsp:rsid wsp:val=&quot;005B537E&quot;/&gt;&lt;wsp:rsid wsp:val=&quot;005B59D0&quot;/&gt;&lt;wsp:rsid wsp:val=&quot;005B6E59&quot;/&gt;&lt;wsp:rsid wsp:val=&quot;005C0AE0&quot;/&gt;&lt;wsp:rsid wsp:val=&quot;005C2202&quot;/&gt;&lt;wsp:rsid wsp:val=&quot;005C26B6&quot;/&gt;&lt;wsp:rsid wsp:val=&quot;005C2BA1&quot;/&gt;&lt;wsp:rsid wsp:val=&quot;005C2FC6&quot;/&gt;&lt;wsp:rsid wsp:val=&quot;005C3AF6&quot;/&gt;&lt;wsp:rsid wsp:val=&quot;005C45E7&quot;/&gt;&lt;wsp:rsid wsp:val=&quot;005C4671&quot;/&gt;&lt;wsp:rsid wsp:val=&quot;005C58EB&quot;/&gt;&lt;wsp:rsid wsp:val=&quot;005C5F21&quot;/&gt;&lt;wsp:rsid wsp:val=&quot;005C62D4&quot;/&gt;&lt;wsp:rsid wsp:val=&quot;005C6B6F&quot;/&gt;&lt;wsp:rsid wsp:val=&quot;005C6F01&quot;/&gt;&lt;wsp:rsid wsp:val=&quot;005C7239&quot;/&gt;&lt;wsp:rsid wsp:val=&quot;005C75B2&quot;/&gt;&lt;wsp:rsid wsp:val=&quot;005C784A&quot;/&gt;&lt;wsp:rsid wsp:val=&quot;005D00C1&quot;/&gt;&lt;wsp:rsid wsp:val=&quot;005D19DF&quot;/&gt;&lt;wsp:rsid wsp:val=&quot;005D1F57&quot;/&gt;&lt;wsp:rsid wsp:val=&quot;005D2C03&quot;/&gt;&lt;wsp:rsid wsp:val=&quot;005D3562&quot;/&gt;&lt;wsp:rsid wsp:val=&quot;005D38C7&quot;/&gt;&lt;wsp:rsid wsp:val=&quot;005D3B89&quot;/&gt;&lt;wsp:rsid wsp:val=&quot;005D3C8A&quot;/&gt;&lt;wsp:rsid wsp:val=&quot;005D661F&quot;/&gt;&lt;wsp:rsid wsp:val=&quot;005D6943&quot;/&gt;&lt;wsp:rsid wsp:val=&quot;005E024F&quot;/&gt;&lt;wsp:rsid wsp:val=&quot;005E04A3&quot;/&gt;&lt;wsp:rsid wsp:val=&quot;005E0F8D&quot;/&gt;&lt;wsp:rsid wsp:val=&quot;005E18B1&quot;/&gt;&lt;wsp:rsid wsp:val=&quot;005E1E85&quot;/&gt;&lt;wsp:rsid wsp:val=&quot;005E2560&quot;/&gt;&lt;wsp:rsid wsp:val=&quot;005E2D39&quot;/&gt;&lt;wsp:rsid wsp:val=&quot;005E3012&quot;/&gt;&lt;wsp:rsid wsp:val=&quot;005E3CFE&quot;/&gt;&lt;wsp:rsid wsp:val=&quot;005E45DE&quot;/&gt;&lt;wsp:rsid wsp:val=&quot;005E4966&quot;/&gt;&lt;wsp:rsid wsp:val=&quot;005E516D&quot;/&gt;&lt;wsp:rsid wsp:val=&quot;005E559F&quot;/&gt;&lt;wsp:rsid wsp:val=&quot;005E593B&quot;/&gt;&lt;wsp:rsid wsp:val=&quot;005E6153&quot;/&gt;&lt;wsp:rsid wsp:val=&quot;005E61CF&quot;/&gt;&lt;wsp:rsid wsp:val=&quot;005E6AEC&quot;/&gt;&lt;wsp:rsid wsp:val=&quot;005E6C7A&quot;/&gt;&lt;wsp:rsid wsp:val=&quot;005F0474&quot;/&gt;&lt;wsp:rsid wsp:val=&quot;005F1795&quot;/&gt;&lt;wsp:rsid wsp:val=&quot;005F1C13&quot;/&gt;&lt;wsp:rsid wsp:val=&quot;005F1F5A&quot;/&gt;&lt;wsp:rsid wsp:val=&quot;005F2824&quot;/&gt;&lt;wsp:rsid wsp:val=&quot;005F384F&quot;/&gt;&lt;wsp:rsid wsp:val=&quot;005F49C1&quot;/&gt;&lt;wsp:rsid wsp:val=&quot;005F4B16&quot;/&gt;&lt;wsp:rsid wsp:val=&quot;005F4EF7&quot;/&gt;&lt;wsp:rsid wsp:val=&quot;005F559F&quot;/&gt;&lt;wsp:rsid wsp:val=&quot;005F564D&quot;/&gt;&lt;wsp:rsid wsp:val=&quot;005F5AD5&quot;/&gt;&lt;wsp:rsid wsp:val=&quot;005F61F3&quot;/&gt;&lt;wsp:rsid wsp:val=&quot;005F7C89&quot;/&gt;&lt;wsp:rsid wsp:val=&quot;0060018C&quot;/&gt;&lt;wsp:rsid wsp:val=&quot;006004A9&quot;/&gt;&lt;wsp:rsid wsp:val=&quot;006009C1&quot;/&gt;&lt;wsp:rsid wsp:val=&quot;00600EE8&quot;/&gt;&lt;wsp:rsid wsp:val=&quot;00601655&quot;/&gt;&lt;wsp:rsid wsp:val=&quot;006021B0&quot;/&gt;&lt;wsp:rsid wsp:val=&quot;00602205&quot;/&gt;&lt;wsp:rsid wsp:val=&quot;006052CC&quot;/&gt;&lt;wsp:rsid wsp:val=&quot;006055F5&quot;/&gt;&lt;wsp:rsid wsp:val=&quot;0060605D&quot;/&gt;&lt;wsp:rsid wsp:val=&quot;00606128&quot;/&gt;&lt;wsp:rsid wsp:val=&quot;006065CF&quot;/&gt;&lt;wsp:rsid wsp:val=&quot;00606750&quot;/&gt;&lt;wsp:rsid wsp:val=&quot;0060759B&quot;/&gt;&lt;wsp:rsid wsp:val=&quot;006078D1&quot;/&gt;&lt;wsp:rsid wsp:val=&quot;00607DB3&quot;/&gt;&lt;wsp:rsid wsp:val=&quot;00610288&quot;/&gt;&lt;wsp:rsid wsp:val=&quot;006114B5&quot;/&gt;&lt;wsp:rsid wsp:val=&quot;00611A35&quot;/&gt;&lt;wsp:rsid wsp:val=&quot;00611B99&quot;/&gt;&lt;wsp:rsid wsp:val=&quot;00611C24&quot;/&gt;&lt;wsp:rsid wsp:val=&quot;00611E74&quot;/&gt;&lt;wsp:rsid wsp:val=&quot;00613E49&quot;/&gt;&lt;wsp:rsid wsp:val=&quot;00613EE3&quot;/&gt;&lt;wsp:rsid wsp:val=&quot;006155F5&quot;/&gt;&lt;wsp:rsid wsp:val=&quot;00615607&quot;/&gt;&lt;wsp:rsid wsp:val=&quot;00615A14&quot;/&gt;&lt;wsp:rsid wsp:val=&quot;006160B1&quot;/&gt;&lt;wsp:rsid wsp:val=&quot;006160B3&quot;/&gt;&lt;wsp:rsid wsp:val=&quot;00616E66&quot;/&gt;&lt;wsp:rsid wsp:val=&quot;00617735&quot;/&gt;&lt;wsp:rsid wsp:val=&quot;0061788E&quot;/&gt;&lt;wsp:rsid wsp:val=&quot;00621515&quot;/&gt;&lt;wsp:rsid wsp:val=&quot;006219E6&quot;/&gt;&lt;wsp:rsid wsp:val=&quot;0062217D&quot;/&gt;&lt;wsp:rsid wsp:val=&quot;00622304&quot;/&gt;&lt;wsp:rsid wsp:val=&quot;006225FC&quot;/&gt;&lt;wsp:rsid wsp:val=&quot;00623469&quot;/&gt;&lt;wsp:rsid wsp:val=&quot;006238A2&quot;/&gt;&lt;wsp:rsid wsp:val=&quot;00623BDD&quot;/&gt;&lt;wsp:rsid wsp:val=&quot;00624591&quot;/&gt;&lt;wsp:rsid wsp:val=&quot;00624D36&quot;/&gt;&lt;wsp:rsid wsp:val=&quot;00624EEC&quot;/&gt;&lt;wsp:rsid wsp:val=&quot;00625DE4&quot;/&gt;&lt;wsp:rsid wsp:val=&quot;00626E7A&quot;/&gt;&lt;wsp:rsid wsp:val=&quot;00627333&quot;/&gt;&lt;wsp:rsid wsp:val=&quot;006274FF&quot;/&gt;&lt;wsp:rsid wsp:val=&quot;00627AD0&quot;/&gt;&lt;wsp:rsid wsp:val=&quot;00627D0C&quot;/&gt;&lt;wsp:rsid wsp:val=&quot;00630353&quot;/&gt;&lt;wsp:rsid wsp:val=&quot;0063074C&quot;/&gt;&lt;wsp:rsid wsp:val=&quot;0063080C&quot;/&gt;&lt;wsp:rsid wsp:val=&quot;00630AB7&quot;/&gt;&lt;wsp:rsid wsp:val=&quot;00631B0E&quot;/&gt;&lt;wsp:rsid wsp:val=&quot;0063224B&quot;/&gt;&lt;wsp:rsid wsp:val=&quot;00632881&quot;/&gt;&lt;wsp:rsid wsp:val=&quot;006328B5&quot;/&gt;&lt;wsp:rsid wsp:val=&quot;00633247&quot;/&gt;&lt;wsp:rsid wsp:val=&quot;00633423&quot;/&gt;&lt;wsp:rsid wsp:val=&quot;0063360A&quot;/&gt;&lt;wsp:rsid wsp:val=&quot;006339F5&quot;/&gt;&lt;wsp:rsid wsp:val=&quot;00633F98&quot;/&gt;&lt;wsp:rsid wsp:val=&quot;00634488&quot;/&gt;&lt;wsp:rsid wsp:val=&quot;00634F95&quot;/&gt;&lt;wsp:rsid wsp:val=&quot;0063588B&quot;/&gt;&lt;wsp:rsid wsp:val=&quot;00637BD4&quot;/&gt;&lt;wsp:rsid wsp:val=&quot;00640055&quot;/&gt;&lt;wsp:rsid wsp:val=&quot;006401BB&quot;/&gt;&lt;wsp:rsid wsp:val=&quot;006414FB&quot;/&gt;&lt;wsp:rsid wsp:val=&quot;00641965&quot;/&gt;&lt;wsp:rsid wsp:val=&quot;00641DE7&quot;/&gt;&lt;wsp:rsid wsp:val=&quot;006429C6&quot;/&gt;&lt;wsp:rsid wsp:val=&quot;00642C2A&quot;/&gt;&lt;wsp:rsid wsp:val=&quot;00642E4F&quot;/&gt;&lt;wsp:rsid wsp:val=&quot;00642FF9&quot;/&gt;&lt;wsp:rsid wsp:val=&quot;0064331E&quot;/&gt;&lt;wsp:rsid wsp:val=&quot;00643A0D&quot;/&gt;&lt;wsp:rsid wsp:val=&quot;00643A25&quot;/&gt;&lt;wsp:rsid wsp:val=&quot;00643DEC&quot;/&gt;&lt;wsp:rsid wsp:val=&quot;006445BE&quot;/&gt;&lt;wsp:rsid wsp:val=&quot;0064494B&quot;/&gt;&lt;wsp:rsid wsp:val=&quot;00644F50&quot;/&gt;&lt;wsp:rsid wsp:val=&quot;0064510F&quot;/&gt;&lt;wsp:rsid wsp:val=&quot;00645ADC&quot;/&gt;&lt;wsp:rsid wsp:val=&quot;00645E56&quot;/&gt;&lt;wsp:rsid wsp:val=&quot;0064642C&quot;/&gt;&lt;wsp:rsid wsp:val=&quot;00646840&quot;/&gt;&lt;wsp:rsid wsp:val=&quot;00646874&quot;/&gt;&lt;wsp:rsid wsp:val=&quot;00646CC0&quot;/&gt;&lt;wsp:rsid wsp:val=&quot;00647292&quot;/&gt;&lt;wsp:rsid wsp:val=&quot;006479E3&quot;/&gt;&lt;wsp:rsid wsp:val=&quot;00647D5B&quot;/&gt;&lt;wsp:rsid wsp:val=&quot;006500C3&quot;/&gt;&lt;wsp:rsid wsp:val=&quot;00650247&quot;/&gt;&lt;wsp:rsid wsp:val=&quot;00650688&quot;/&gt;&lt;wsp:rsid wsp:val=&quot;00650EDD&quot;/&gt;&lt;wsp:rsid wsp:val=&quot;00651D3F&quot;/&gt;&lt;wsp:rsid wsp:val=&quot;006523FC&quot;/&gt;&lt;wsp:rsid wsp:val=&quot;00652A55&quot;/&gt;&lt;wsp:rsid wsp:val=&quot;00652FF6&quot;/&gt;&lt;wsp:rsid wsp:val=&quot;00653012&quot;/&gt;&lt;wsp:rsid wsp:val=&quot;00653E10&quot;/&gt;&lt;wsp:rsid wsp:val=&quot;006543B1&quot;/&gt;&lt;wsp:rsid wsp:val=&quot;00654DA3&quot;/&gt;&lt;wsp:rsid wsp:val=&quot;00655260&quot;/&gt;&lt;wsp:rsid wsp:val=&quot;00656205&quot;/&gt;&lt;wsp:rsid wsp:val=&quot;00660341&quot;/&gt;&lt;wsp:rsid wsp:val=&quot;00660B0B&quot;/&gt;&lt;wsp:rsid wsp:val=&quot;00660CB9&quot;/&gt;&lt;wsp:rsid wsp:val=&quot;0066153A&quot;/&gt;&lt;wsp:rsid wsp:val=&quot;00661B67&quot;/&gt;&lt;wsp:rsid wsp:val=&quot;00661DC9&quot;/&gt;&lt;wsp:rsid wsp:val=&quot;006622A3&quot;/&gt;&lt;wsp:rsid wsp:val=&quot;006628CF&quot;/&gt;&lt;wsp:rsid wsp:val=&quot;00662AF8&quot;/&gt;&lt;wsp:rsid wsp:val=&quot;006639B6&quot;/&gt;&lt;wsp:rsid wsp:val=&quot;00663B90&quot;/&gt;&lt;wsp:rsid wsp:val=&quot;00663BE5&quot;/&gt;&lt;wsp:rsid wsp:val=&quot;00663C99&quot;/&gt;&lt;wsp:rsid wsp:val=&quot;006643BE&quot;/&gt;&lt;wsp:rsid wsp:val=&quot;00665201&quot;/&gt;&lt;wsp:rsid wsp:val=&quot;006652B1&quot;/&gt;&lt;wsp:rsid wsp:val=&quot;00665AEC&quot;/&gt;&lt;wsp:rsid wsp:val=&quot;00666320&quot;/&gt;&lt;wsp:rsid wsp:val=&quot;0066638E&quot;/&gt;&lt;wsp:rsid wsp:val=&quot;00666ED1&quot;/&gt;&lt;wsp:rsid wsp:val=&quot;0066726F&quot;/&gt;&lt;wsp:rsid wsp:val=&quot;006678F6&quot;/&gt;&lt;wsp:rsid wsp:val=&quot;006701FA&quot;/&gt;&lt;wsp:rsid wsp:val=&quot;00670A85&quot;/&gt;&lt;wsp:rsid wsp:val=&quot;00671BFA&quot;/&gt;&lt;wsp:rsid wsp:val=&quot;006720CE&quot;/&gt;&lt;wsp:rsid wsp:val=&quot;0067247E&quot;/&gt;&lt;wsp:rsid wsp:val=&quot;00672521&quot;/&gt;&lt;wsp:rsid wsp:val=&quot;00672600&quot;/&gt;&lt;wsp:rsid wsp:val=&quot;00672805&quot;/&gt;&lt;wsp:rsid wsp:val=&quot;006730E3&quot;/&gt;&lt;wsp:rsid wsp:val=&quot;00674802&quot;/&gt;&lt;wsp:rsid wsp:val=&quot;00674FA2&quot;/&gt;&lt;wsp:rsid wsp:val=&quot;00675DBF&quot;/&gt;&lt;wsp:rsid wsp:val=&quot;006760B5&quot;/&gt;&lt;wsp:rsid wsp:val=&quot;0067623B&quot;/&gt;&lt;wsp:rsid wsp:val=&quot;0067667A&quot;/&gt;&lt;wsp:rsid wsp:val=&quot;006769D6&quot;/&gt;&lt;wsp:rsid wsp:val=&quot;006770A8&quot;/&gt;&lt;wsp:rsid wsp:val=&quot;00677AC6&quot;/&gt;&lt;wsp:rsid wsp:val=&quot;00680D82&quot;/&gt;&lt;wsp:rsid wsp:val=&quot;00680FB9&quot;/&gt;&lt;wsp:rsid wsp:val=&quot;00682414&quot;/&gt;&lt;wsp:rsid wsp:val=&quot;0068296F&quot;/&gt;&lt;wsp:rsid wsp:val=&quot;00683044&quot;/&gt;&lt;wsp:rsid wsp:val=&quot;00684189&quot;/&gt;&lt;wsp:rsid wsp:val=&quot;00684272&quot;/&gt;&lt;wsp:rsid wsp:val=&quot;0068480A&quot;/&gt;&lt;wsp:rsid wsp:val=&quot;00685C22&quot;/&gt;&lt;wsp:rsid wsp:val=&quot;006860D8&quot;/&gt;&lt;wsp:rsid wsp:val=&quot;006869D0&quot;/&gt;&lt;wsp:rsid wsp:val=&quot;00686B81&quot;/&gt;&lt;wsp:rsid wsp:val=&quot;00686BF7&quot;/&gt;&lt;wsp:rsid wsp:val=&quot;00687EF9&quot;/&gt;&lt;wsp:rsid wsp:val=&quot;006905DE&quot;/&gt;&lt;wsp:rsid wsp:val=&quot;0069086B&quot;/&gt;&lt;wsp:rsid wsp:val=&quot;00690DBA&quot;/&gt;&lt;wsp:rsid wsp:val=&quot;00690F86&quot;/&gt;&lt;wsp:rsid wsp:val=&quot;006916C4&quot;/&gt;&lt;wsp:rsid wsp:val=&quot;006920B5&quot;/&gt;&lt;wsp:rsid wsp:val=&quot;00692316&quot;/&gt;&lt;wsp:rsid wsp:val=&quot;006923C1&quot;/&gt;&lt;wsp:rsid wsp:val=&quot;00692E00&quot;/&gt;&lt;wsp:rsid wsp:val=&quot;006934D2&quot;/&gt;&lt;wsp:rsid wsp:val=&quot;0069420E&quot;/&gt;&lt;wsp:rsid wsp:val=&quot;00694B86&quot;/&gt;&lt;wsp:rsid wsp:val=&quot;00694D58&quot;/&gt;&lt;wsp:rsid wsp:val=&quot;00694EFD&quot;/&gt;&lt;wsp:rsid wsp:val=&quot;006950D1&quot;/&gt;&lt;wsp:rsid wsp:val=&quot;00697A3A&quot;/&gt;&lt;wsp:rsid wsp:val=&quot;006A0540&quot;/&gt;&lt;wsp:rsid wsp:val=&quot;006A0CD8&quot;/&gt;&lt;wsp:rsid wsp:val=&quot;006A0E8C&quot;/&gt;&lt;wsp:rsid wsp:val=&quot;006A143D&quot;/&gt;&lt;wsp:rsid wsp:val=&quot;006A1580&quot;/&gt;&lt;wsp:rsid wsp:val=&quot;006A29F4&quot;/&gt;&lt;wsp:rsid wsp:val=&quot;006A2A2C&quot;/&gt;&lt;wsp:rsid wsp:val=&quot;006A2A66&quot;/&gt;&lt;wsp:rsid wsp:val=&quot;006A38D6&quot;/&gt;&lt;wsp:rsid wsp:val=&quot;006A3EAD&quot;/&gt;&lt;wsp:rsid wsp:val=&quot;006A507A&quot;/&gt;&lt;wsp:rsid wsp:val=&quot;006A5141&quot;/&gt;&lt;wsp:rsid wsp:val=&quot;006A5841&quot;/&gt;&lt;wsp:rsid wsp:val=&quot;006A5B5F&quot;/&gt;&lt;wsp:rsid wsp:val=&quot;006A6521&quot;/&gt;&lt;wsp:rsid wsp:val=&quot;006B05E6&quot;/&gt;&lt;wsp:rsid wsp:val=&quot;006B0966&quot;/&gt;&lt;wsp:rsid wsp:val=&quot;006B0FA2&quot;/&gt;&lt;wsp:rsid wsp:val=&quot;006B15E7&quot;/&gt;&lt;wsp:rsid wsp:val=&quot;006B165C&quot;/&gt;&lt;wsp:rsid wsp:val=&quot;006B25F7&quot;/&gt;&lt;wsp:rsid wsp:val=&quot;006B27A9&quot;/&gt;&lt;wsp:rsid wsp:val=&quot;006B2807&quot;/&gt;&lt;wsp:rsid wsp:val=&quot;006B28AF&quot;/&gt;&lt;wsp:rsid wsp:val=&quot;006B3242&quot;/&gt;&lt;wsp:rsid wsp:val=&quot;006B3B0A&quot;/&gt;&lt;wsp:rsid wsp:val=&quot;006B40E8&quot;/&gt;&lt;wsp:rsid wsp:val=&quot;006B5069&quot;/&gt;&lt;wsp:rsid wsp:val=&quot;006B5B5D&quot;/&gt;&lt;wsp:rsid wsp:val=&quot;006B6FAC&quot;/&gt;&lt;wsp:rsid wsp:val=&quot;006B771C&quot;/&gt;&lt;wsp:rsid wsp:val=&quot;006B7E27&quot;/&gt;&lt;wsp:rsid wsp:val=&quot;006B7F39&quot;/&gt;&lt;wsp:rsid wsp:val=&quot;006C0283&quot;/&gt;&lt;wsp:rsid wsp:val=&quot;006C058F&quot;/&gt;&lt;wsp:rsid wsp:val=&quot;006C1D74&quot;/&gt;&lt;wsp:rsid wsp:val=&quot;006C2400&quot;/&gt;&lt;wsp:rsid wsp:val=&quot;006C2E09&quot;/&gt;&lt;wsp:rsid wsp:val=&quot;006C5E5C&quot;/&gt;&lt;wsp:rsid wsp:val=&quot;006C726E&quot;/&gt;&lt;wsp:rsid wsp:val=&quot;006C75EE&quot;/&gt;&lt;wsp:rsid wsp:val=&quot;006C7D7C&quot;/&gt;&lt;wsp:rsid wsp:val=&quot;006D0255&quot;/&gt;&lt;wsp:rsid wsp:val=&quot;006D0B91&quot;/&gt;&lt;wsp:rsid wsp:val=&quot;006D2B4D&quot;/&gt;&lt;wsp:rsid wsp:val=&quot;006D34D8&quot;/&gt;&lt;wsp:rsid wsp:val=&quot;006D3988&quot;/&gt;&lt;wsp:rsid wsp:val=&quot;006D3ADF&quot;/&gt;&lt;wsp:rsid wsp:val=&quot;006D3CFE&quot;/&gt;&lt;wsp:rsid wsp:val=&quot;006D5481&quot;/&gt;&lt;wsp:rsid wsp:val=&quot;006D5A5D&quot;/&gt;&lt;wsp:rsid wsp:val=&quot;006D5B9C&quot;/&gt;&lt;wsp:rsid wsp:val=&quot;006D62A8&quot;/&gt;&lt;wsp:rsid wsp:val=&quot;006D64DD&quot;/&gt;&lt;wsp:rsid wsp:val=&quot;006D7451&quot;/&gt;&lt;wsp:rsid wsp:val=&quot;006D7548&quot;/&gt;&lt;wsp:rsid wsp:val=&quot;006D7D9D&quot;/&gt;&lt;wsp:rsid wsp:val=&quot;006E023D&quot;/&gt;&lt;wsp:rsid wsp:val=&quot;006E0927&quot;/&gt;&lt;wsp:rsid wsp:val=&quot;006E128B&quot;/&gt;&lt;wsp:rsid wsp:val=&quot;006E13BD&quot;/&gt;&lt;wsp:rsid wsp:val=&quot;006E186A&quot;/&gt;&lt;wsp:rsid wsp:val=&quot;006E2634&quot;/&gt;&lt;wsp:rsid wsp:val=&quot;006E29F5&quot;/&gt;&lt;wsp:rsid wsp:val=&quot;006E2C72&quot;/&gt;&lt;wsp:rsid wsp:val=&quot;006E3728&quot;/&gt;&lt;wsp:rsid wsp:val=&quot;006E416E&quot;/&gt;&lt;wsp:rsid wsp:val=&quot;006E43CE&quot;/&gt;&lt;wsp:rsid wsp:val=&quot;006E5AE1&quot;/&gt;&lt;wsp:rsid wsp:val=&quot;006E5DB7&quot;/&gt;&lt;wsp:rsid wsp:val=&quot;006E6A1B&quot;/&gt;&lt;wsp:rsid wsp:val=&quot;006E7DDF&quot;/&gt;&lt;wsp:rsid wsp:val=&quot;006F0550&quot;/&gt;&lt;wsp:rsid wsp:val=&quot;006F073C&quot;/&gt;&lt;wsp:rsid wsp:val=&quot;006F0D88&quot;/&gt;&lt;wsp:rsid wsp:val=&quot;006F1162&quot;/&gt;&lt;wsp:rsid wsp:val=&quot;006F1BD2&quot;/&gt;&lt;wsp:rsid wsp:val=&quot;006F225E&quot;/&gt;&lt;wsp:rsid wsp:val=&quot;006F3607&quot;/&gt;&lt;wsp:rsid wsp:val=&quot;006F3B01&quot;/&gt;&lt;wsp:rsid wsp:val=&quot;006F4C3F&quot;/&gt;&lt;wsp:rsid wsp:val=&quot;006F5233&quot;/&gt;&lt;wsp:rsid wsp:val=&quot;006F54EC&quot;/&gt;&lt;wsp:rsid wsp:val=&quot;006F5AB0&quot;/&gt;&lt;wsp:rsid wsp:val=&quot;006F7898&quot;/&gt;&lt;wsp:rsid wsp:val=&quot;00701159&quot;/&gt;&lt;wsp:rsid wsp:val=&quot;00701BC7&quot;/&gt;&lt;wsp:rsid wsp:val=&quot;00702676&quot;/&gt;&lt;wsp:rsid wsp:val=&quot;00702794&quot;/&gt;&lt;wsp:rsid wsp:val=&quot;007027E1&quot;/&gt;&lt;wsp:rsid wsp:val=&quot;00703130&quot;/&gt;&lt;wsp:rsid wsp:val=&quot;0070361A&quot;/&gt;&lt;wsp:rsid wsp:val=&quot;007042BC&quot;/&gt;&lt;wsp:rsid wsp:val=&quot;007046F9&quot;/&gt;&lt;wsp:rsid wsp:val=&quot;00704AB6&quot;/&gt;&lt;wsp:rsid wsp:val=&quot;00704BD6&quot;/&gt;&lt;wsp:rsid wsp:val=&quot;00706220&quot;/&gt;&lt;wsp:rsid wsp:val=&quot;00706A2F&quot;/&gt;&lt;wsp:rsid wsp:val=&quot;00707D83&quot;/&gt;&lt;wsp:rsid wsp:val=&quot;00707F03&quot;/&gt;&lt;wsp:rsid wsp:val=&quot;0071051C&quot;/&gt;&lt;wsp:rsid wsp:val=&quot;00711D24&quot;/&gt;&lt;wsp:rsid wsp:val=&quot;007146FA&quot;/&gt;&lt;wsp:rsid wsp:val=&quot;007147BA&quot;/&gt;&lt;wsp:rsid wsp:val=&quot;00714E16&quot;/&gt;&lt;wsp:rsid wsp:val=&quot;00714E70&quot;/&gt;&lt;wsp:rsid wsp:val=&quot;00714FE2&quot;/&gt;&lt;wsp:rsid wsp:val=&quot;00715BE0&quot;/&gt;&lt;wsp:rsid wsp:val=&quot;00715CB2&quot;/&gt;&lt;wsp:rsid wsp:val=&quot;00716272&quot;/&gt;&lt;wsp:rsid wsp:val=&quot;007168EA&quot;/&gt;&lt;wsp:rsid wsp:val=&quot;00717437&quot;/&gt;&lt;wsp:rsid wsp:val=&quot;007176E7&quot;/&gt;&lt;wsp:rsid wsp:val=&quot;00717915&quot;/&gt;&lt;wsp:rsid wsp:val=&quot;00717C9F&quot;/&gt;&lt;wsp:rsid wsp:val=&quot;0072030E&quot;/&gt;&lt;wsp:rsid wsp:val=&quot;00720606&quot;/&gt;&lt;wsp:rsid wsp:val=&quot;00720B9A&quot;/&gt;&lt;wsp:rsid wsp:val=&quot;007218F9&quot;/&gt;&lt;wsp:rsid wsp:val=&quot;00721AC5&quot;/&gt;&lt;wsp:rsid wsp:val=&quot;00721E15&quot;/&gt;&lt;wsp:rsid wsp:val=&quot;007224D5&quot;/&gt;&lt;wsp:rsid wsp:val=&quot;0072280A&quot;/&gt;&lt;wsp:rsid wsp:val=&quot;00722960&quot;/&gt;&lt;wsp:rsid wsp:val=&quot;00723CCD&quot;/&gt;&lt;wsp:rsid wsp:val=&quot;00723F06&quot;/&gt;&lt;wsp:rsid wsp:val=&quot;007240BB&quot;/&gt;&lt;wsp:rsid wsp:val=&quot;0072515C&quot;/&gt;&lt;wsp:rsid wsp:val=&quot;00725D48&quot;/&gt;&lt;wsp:rsid wsp:val=&quot;00727B14&quot;/&gt;&lt;wsp:rsid wsp:val=&quot;00727F7A&quot;/&gt;&lt;wsp:rsid wsp:val=&quot;00730252&quot;/&gt;&lt;wsp:rsid wsp:val=&quot;00730E60&quot;/&gt;&lt;wsp:rsid wsp:val=&quot;007313E6&quot;/&gt;&lt;wsp:rsid wsp:val=&quot;007316C1&quot;/&gt;&lt;wsp:rsid wsp:val=&quot;00731733&quot;/&gt;&lt;wsp:rsid wsp:val=&quot;007324C3&quot;/&gt;&lt;wsp:rsid wsp:val=&quot;007324D4&quot;/&gt;&lt;wsp:rsid wsp:val=&quot;007324F2&quot;/&gt;&lt;wsp:rsid wsp:val=&quot;00733572&quot;/&gt;&lt;wsp:rsid wsp:val=&quot;007335AC&quot;/&gt;&lt;wsp:rsid wsp:val=&quot;0073393A&quot;/&gt;&lt;wsp:rsid wsp:val=&quot;0073519F&quot;/&gt;&lt;wsp:rsid wsp:val=&quot;007375B1&quot;/&gt;&lt;wsp:rsid wsp:val=&quot;00737C79&quot;/&gt;&lt;wsp:rsid wsp:val=&quot;0074036C&quot;/&gt;&lt;wsp:rsid wsp:val=&quot;007403D0&quot;/&gt;&lt;wsp:rsid wsp:val=&quot;00740E53&quot;/&gt;&lt;wsp:rsid wsp:val=&quot;00741895&quot;/&gt;&lt;wsp:rsid wsp:val=&quot;00741A9C&quot;/&gt;&lt;wsp:rsid wsp:val=&quot;0074280C&quot;/&gt;&lt;wsp:rsid wsp:val=&quot;00742C3E&quot;/&gt;&lt;wsp:rsid wsp:val=&quot;00743549&quot;/&gt;&lt;wsp:rsid wsp:val=&quot;00743615&quot;/&gt;&lt;wsp:rsid wsp:val=&quot;00743AFA&quot;/&gt;&lt;wsp:rsid wsp:val=&quot;00743C81&quot;/&gt;&lt;wsp:rsid wsp:val=&quot;0074490F&quot;/&gt;&lt;wsp:rsid wsp:val=&quot;007461CC&quot;/&gt;&lt;wsp:rsid wsp:val=&quot;00746675&quot;/&gt;&lt;wsp:rsid wsp:val=&quot;00746747&quot;/&gt;&lt;wsp:rsid wsp:val=&quot;00746EC2&quot;/&gt;&lt;wsp:rsid wsp:val=&quot;00750792&quot;/&gt;&lt;wsp:rsid wsp:val=&quot;00750BC7&quot;/&gt;&lt;wsp:rsid wsp:val=&quot;00751F4E&quot;/&gt;&lt;wsp:rsid wsp:val=&quot;0075214E&quot;/&gt;&lt;wsp:rsid wsp:val=&quot;00752EFE&quot;/&gt;&lt;wsp:rsid wsp:val=&quot;00753C9D&quot;/&gt;&lt;wsp:rsid wsp:val=&quot;00753E12&quot;/&gt;&lt;wsp:rsid wsp:val=&quot;0075426F&quot;/&gt;&lt;wsp:rsid wsp:val=&quot;00754BB7&quot;/&gt;&lt;wsp:rsid wsp:val=&quot;00755120&quot;/&gt;&lt;wsp:rsid wsp:val=&quot;007555DC&quot;/&gt;&lt;wsp:rsid wsp:val=&quot;0075691F&quot;/&gt;&lt;wsp:rsid wsp:val=&quot;00756C60&quot;/&gt;&lt;wsp:rsid wsp:val=&quot;00757B19&quot;/&gt;&lt;wsp:rsid wsp:val=&quot;00757C33&quot;/&gt;&lt;wsp:rsid wsp:val=&quot;00757F1B&quot;/&gt;&lt;wsp:rsid wsp:val=&quot;0076037C&quot;/&gt;&lt;wsp:rsid wsp:val=&quot;00760C55&quot;/&gt;&lt;wsp:rsid wsp:val=&quot;00761C59&quot;/&gt;&lt;wsp:rsid wsp:val=&quot;00761D24&quot;/&gt;&lt;wsp:rsid wsp:val=&quot;0076214A&quot;/&gt;&lt;wsp:rsid wsp:val=&quot;0076222E&quot;/&gt;&lt;wsp:rsid wsp:val=&quot;007622DA&quot;/&gt;&lt;wsp:rsid wsp:val=&quot;00762334&quot;/&gt;&lt;wsp:rsid wsp:val=&quot;00763666&quot;/&gt;&lt;wsp:rsid wsp:val=&quot;00763ABD&quot;/&gt;&lt;wsp:rsid wsp:val=&quot;00763F7B&quot;/&gt;&lt;wsp:rsid wsp:val=&quot;00764089&quot;/&gt;&lt;wsp:rsid wsp:val=&quot;0076562F&quot;/&gt;&lt;wsp:rsid wsp:val=&quot;00765ABF&quot;/&gt;&lt;wsp:rsid wsp:val=&quot;00765C99&quot;/&gt;&lt;wsp:rsid wsp:val=&quot;00765FD9&quot;/&gt;&lt;wsp:rsid wsp:val=&quot;00766349&quot;/&gt;&lt;wsp:rsid wsp:val=&quot;0076686E&quot;/&gt;&lt;wsp:rsid wsp:val=&quot;00766B12&quot;/&gt;&lt;wsp:rsid wsp:val=&quot;00767B7B&quot;/&gt;&lt;wsp:rsid wsp:val=&quot;00767F9A&quot;/&gt;&lt;wsp:rsid wsp:val=&quot;00770241&quot;/&gt;&lt;wsp:rsid wsp:val=&quot;007708EC&quot;/&gt;&lt;wsp:rsid wsp:val=&quot;00771039&quot;/&gt;&lt;wsp:rsid wsp:val=&quot;007712E5&quot;/&gt;&lt;wsp:rsid wsp:val=&quot;00771314&quot;/&gt;&lt;wsp:rsid wsp:val=&quot;00771822&quot;/&gt;&lt;wsp:rsid wsp:val=&quot;00771EF5&quot;/&gt;&lt;wsp:rsid wsp:val=&quot;00772124&quot;/&gt;&lt;wsp:rsid wsp:val=&quot;007723E4&quot;/&gt;&lt;wsp:rsid wsp:val=&quot;007724F8&quot;/&gt;&lt;wsp:rsid wsp:val=&quot;007731A2&quot;/&gt;&lt;wsp:rsid wsp:val=&quot;0077370D&quot;/&gt;&lt;wsp:rsid wsp:val=&quot;00773F8C&quot;/&gt;&lt;wsp:rsid wsp:val=&quot;00773FCC&quot;/&gt;&lt;wsp:rsid wsp:val=&quot;0077401D&quot;/&gt;&lt;wsp:rsid wsp:val=&quot;0077403A&quot;/&gt;&lt;wsp:rsid wsp:val=&quot;00774092&quot;/&gt;&lt;wsp:rsid wsp:val=&quot;007741AC&quot;/&gt;&lt;wsp:rsid wsp:val=&quot;00776A45&quot;/&gt;&lt;wsp:rsid wsp:val=&quot;00776F2D&quot;/&gt;&lt;wsp:rsid wsp:val=&quot;00777304&quot;/&gt;&lt;wsp:rsid wsp:val=&quot;00777F48&quot;/&gt;&lt;wsp:rsid wsp:val=&quot;00780EFE&quot;/&gt;&lt;wsp:rsid wsp:val=&quot;00781A84&quot;/&gt;&lt;wsp:rsid wsp:val=&quot;00781F7D&quot;/&gt;&lt;wsp:rsid wsp:val=&quot;007826C5&quot;/&gt;&lt;wsp:rsid wsp:val=&quot;0078326B&quot;/&gt;&lt;wsp:rsid wsp:val=&quot;00783CF9&quot;/&gt;&lt;wsp:rsid wsp:val=&quot;007841CC&quot;/&gt;&lt;wsp:rsid wsp:val=&quot;0078551A&quot;/&gt;&lt;wsp:rsid wsp:val=&quot;00785B1F&quot;/&gt;&lt;wsp:rsid wsp:val=&quot;0078607C&quot;/&gt;&lt;wsp:rsid wsp:val=&quot;00786526&quot;/&gt;&lt;wsp:rsid wsp:val=&quot;00786D22&quot;/&gt;&lt;wsp:rsid wsp:val=&quot;00787419&quot;/&gt;&lt;wsp:rsid wsp:val=&quot;00787453&quot;/&gt;&lt;wsp:rsid wsp:val=&quot;0078760D&quot;/&gt;&lt;wsp:rsid wsp:val=&quot;00787A05&quot;/&gt;&lt;wsp:rsid wsp:val=&quot;00787A4F&quot;/&gt;&lt;wsp:rsid wsp:val=&quot;00790FB4&quot;/&gt;&lt;wsp:rsid wsp:val=&quot;007921D3&quot;/&gt;&lt;wsp:rsid wsp:val=&quot;007921F7&quot;/&gt;&lt;wsp:rsid wsp:val=&quot;00792335&quot;/&gt;&lt;wsp:rsid wsp:val=&quot;007924C1&quot;/&gt;&lt;wsp:rsid wsp:val=&quot;00792EB6&quot;/&gt;&lt;wsp:rsid wsp:val=&quot;00793579&quot;/&gt;&lt;wsp:rsid wsp:val=&quot;00794149&quot;/&gt;&lt;wsp:rsid wsp:val=&quot;0079455E&quot;/&gt;&lt;wsp:rsid wsp:val=&quot;0079472E&quot;/&gt;&lt;wsp:rsid wsp:val=&quot;00794FBE&quot;/&gt;&lt;wsp:rsid wsp:val=&quot;007952C7&quot;/&gt;&lt;wsp:rsid wsp:val=&quot;0079547B&quot;/&gt;&lt;wsp:rsid wsp:val=&quot;007968B9&quot;/&gt;&lt;wsp:rsid wsp:val=&quot;007A023E&quot;/&gt;&lt;wsp:rsid wsp:val=&quot;007A0E78&quot;/&gt;&lt;wsp:rsid wsp:val=&quot;007A1BB6&quot;/&gt;&lt;wsp:rsid wsp:val=&quot;007A2F99&quot;/&gt;&lt;wsp:rsid wsp:val=&quot;007A3750&quot;/&gt;&lt;wsp:rsid wsp:val=&quot;007A3BCA&quot;/&gt;&lt;wsp:rsid wsp:val=&quot;007A44C5&quot;/&gt;&lt;wsp:rsid wsp:val=&quot;007A5603&quot;/&gt;&lt;wsp:rsid wsp:val=&quot;007A5C48&quot;/&gt;&lt;wsp:rsid wsp:val=&quot;007A60BC&quot;/&gt;&lt;wsp:rsid wsp:val=&quot;007A6AA0&quot;/&gt;&lt;wsp:rsid wsp:val=&quot;007A6B39&quot;/&gt;&lt;wsp:rsid wsp:val=&quot;007A7688&quot;/&gt;&lt;wsp:rsid wsp:val=&quot;007A7705&quot;/&gt;&lt;wsp:rsid wsp:val=&quot;007A77CB&quot;/&gt;&lt;wsp:rsid wsp:val=&quot;007B1B17&quot;/&gt;&lt;wsp:rsid wsp:val=&quot;007B29B6&quot;/&gt;&lt;wsp:rsid wsp:val=&quot;007B2AD0&quot;/&gt;&lt;wsp:rsid wsp:val=&quot;007B33D0&quot;/&gt;&lt;wsp:rsid wsp:val=&quot;007B48D7&quot;/&gt;&lt;wsp:rsid wsp:val=&quot;007B4C2F&quot;/&gt;&lt;wsp:rsid wsp:val=&quot;007B4DAD&quot;/&gt;&lt;wsp:rsid wsp:val=&quot;007B526B&quot;/&gt;&lt;wsp:rsid wsp:val=&quot;007B58FD&quot;/&gt;&lt;wsp:rsid wsp:val=&quot;007B5CD9&quot;/&gt;&lt;wsp:rsid wsp:val=&quot;007B6B61&quot;/&gt;&lt;wsp:rsid wsp:val=&quot;007B787F&quot;/&gt;&lt;wsp:rsid wsp:val=&quot;007B7985&quot;/&gt;&lt;wsp:rsid wsp:val=&quot;007C015B&quot;/&gt;&lt;wsp:rsid wsp:val=&quot;007C0467&quot;/&gt;&lt;wsp:rsid wsp:val=&quot;007C10BA&quot;/&gt;&lt;wsp:rsid wsp:val=&quot;007C1425&quot;/&gt;&lt;wsp:rsid wsp:val=&quot;007C1464&quot;/&gt;&lt;wsp:rsid wsp:val=&quot;007C172C&quot;/&gt;&lt;wsp:rsid wsp:val=&quot;007C1C6C&quot;/&gt;&lt;wsp:rsid wsp:val=&quot;007C1D40&quot;/&gt;&lt;wsp:rsid wsp:val=&quot;007C1DC5&quot;/&gt;&lt;wsp:rsid wsp:val=&quot;007C25BA&quot;/&gt;&lt;wsp:rsid wsp:val=&quot;007C2F5C&quot;/&gt;&lt;wsp:rsid wsp:val=&quot;007C323F&quot;/&gt;&lt;wsp:rsid wsp:val=&quot;007C364E&quot;/&gt;&lt;wsp:rsid wsp:val=&quot;007C38A1&quot;/&gt;&lt;wsp:rsid wsp:val=&quot;007C41D6&quot;/&gt;&lt;wsp:rsid wsp:val=&quot;007C47CC&quot;/&gt;&lt;wsp:rsid wsp:val=&quot;007C4F69&quot;/&gt;&lt;wsp:rsid wsp:val=&quot;007C4FF3&quot;/&gt;&lt;wsp:rsid wsp:val=&quot;007C5F85&quot;/&gt;&lt;wsp:rsid wsp:val=&quot;007C62C5&quot;/&gt;&lt;wsp:rsid wsp:val=&quot;007C6FFD&quot;/&gt;&lt;wsp:rsid wsp:val=&quot;007C7B7F&quot;/&gt;&lt;wsp:rsid wsp:val=&quot;007C7E98&quot;/&gt;&lt;wsp:rsid wsp:val=&quot;007D0084&quot;/&gt;&lt;wsp:rsid wsp:val=&quot;007D009E&quot;/&gt;&lt;wsp:rsid wsp:val=&quot;007D0D89&quot;/&gt;&lt;wsp:rsid wsp:val=&quot;007D209F&quot;/&gt;&lt;wsp:rsid wsp:val=&quot;007D2610&quot;/&gt;&lt;wsp:rsid wsp:val=&quot;007D2760&quot;/&gt;&lt;wsp:rsid wsp:val=&quot;007D33BB&quot;/&gt;&lt;wsp:rsid wsp:val=&quot;007D3E2B&quot;/&gt;&lt;wsp:rsid wsp:val=&quot;007D42E3&quot;/&gt;&lt;wsp:rsid wsp:val=&quot;007D4F7E&quot;/&gt;&lt;wsp:rsid wsp:val=&quot;007D69F0&quot;/&gt;&lt;wsp:rsid wsp:val=&quot;007D6CCC&quot;/&gt;&lt;wsp:rsid wsp:val=&quot;007E04E9&quot;/&gt;&lt;wsp:rsid wsp:val=&quot;007E06FA&quot;/&gt;&lt;wsp:rsid wsp:val=&quot;007E0785&quot;/&gt;&lt;wsp:rsid wsp:val=&quot;007E1454&quot;/&gt;&lt;wsp:rsid wsp:val=&quot;007E1BA5&quot;/&gt;&lt;wsp:rsid wsp:val=&quot;007E1F34&quot;/&gt;&lt;wsp:rsid wsp:val=&quot;007E2C0C&quot;/&gt;&lt;wsp:rsid wsp:val=&quot;007E3FD9&quot;/&gt;&lt;wsp:rsid wsp:val=&quot;007E4C4F&quot;/&gt;&lt;wsp:rsid wsp:val=&quot;007E5BA9&quot;/&gt;&lt;wsp:rsid wsp:val=&quot;007E5E7D&quot;/&gt;&lt;wsp:rsid wsp:val=&quot;007E7606&quot;/&gt;&lt;wsp:rsid wsp:val=&quot;007F004B&quot;/&gt;&lt;wsp:rsid wsp:val=&quot;007F0436&quot;/&gt;&lt;wsp:rsid wsp:val=&quot;007F0530&quot;/&gt;&lt;wsp:rsid wsp:val=&quot;007F057B&quot;/&gt;&lt;wsp:rsid wsp:val=&quot;007F1970&quot;/&gt;&lt;wsp:rsid wsp:val=&quot;007F1AC6&quot;/&gt;&lt;wsp:rsid wsp:val=&quot;007F1DE7&quot;/&gt;&lt;wsp:rsid wsp:val=&quot;007F20CD&quot;/&gt;&lt;wsp:rsid wsp:val=&quot;007F214F&quot;/&gt;&lt;wsp:rsid wsp:val=&quot;007F2636&quot;/&gt;&lt;wsp:rsid wsp:val=&quot;007F30C2&quot;/&gt;&lt;wsp:rsid wsp:val=&quot;007F3CE0&quot;/&gt;&lt;wsp:rsid wsp:val=&quot;007F42B1&quot;/&gt;&lt;wsp:rsid wsp:val=&quot;007F4379&quot;/&gt;&lt;wsp:rsid wsp:val=&quot;007F45E5&quot;/&gt;&lt;wsp:rsid wsp:val=&quot;007F4A36&quot;/&gt;&lt;wsp:rsid wsp:val=&quot;007F57FB&quot;/&gt;&lt;wsp:rsid wsp:val=&quot;007F60D4&quot;/&gt;&lt;wsp:rsid wsp:val=&quot;007F7624&quot;/&gt;&lt;wsp:rsid wsp:val=&quot;007F7917&quot;/&gt;&lt;wsp:rsid wsp:val=&quot;007F7A30&quot;/&gt;&lt;wsp:rsid wsp:val=&quot;007F7FE2&quot;/&gt;&lt;wsp:rsid wsp:val=&quot;0080002B&quot;/&gt;&lt;wsp:rsid wsp:val=&quot;008001CE&quot;/&gt;&lt;wsp:rsid wsp:val=&quot;00800B7A&quot;/&gt;&lt;wsp:rsid wsp:val=&quot;00800D24&quot;/&gt;&lt;wsp:rsid wsp:val=&quot;00801941&quot;/&gt;&lt;wsp:rsid wsp:val=&quot;00801F86&quot;/&gt;&lt;wsp:rsid wsp:val=&quot;008029CB&quot;/&gt;&lt;wsp:rsid wsp:val=&quot;00802E45&quot;/&gt;&lt;wsp:rsid wsp:val=&quot;00802FFB&quot;/&gt;&lt;wsp:rsid wsp:val=&quot;008034EA&quot;/&gt;&lt;wsp:rsid wsp:val=&quot;00803544&quot;/&gt;&lt;wsp:rsid wsp:val=&quot;0080387D&quot;/&gt;&lt;wsp:rsid wsp:val=&quot;00803A5C&quot;/&gt;&lt;wsp:rsid wsp:val=&quot;00804052&quot;/&gt;&lt;wsp:rsid wsp:val=&quot;00804077&quot;/&gt;&lt;wsp:rsid wsp:val=&quot;008041EE&quot;/&gt;&lt;wsp:rsid wsp:val=&quot;0080431A&quot;/&gt;&lt;wsp:rsid wsp:val=&quot;00804C49&quot;/&gt;&lt;wsp:rsid wsp:val=&quot;0080547F&quot;/&gt;&lt;wsp:rsid wsp:val=&quot;00805490&quot;/&gt;&lt;wsp:rsid wsp:val=&quot;0080569B&quot;/&gt;&lt;wsp:rsid wsp:val=&quot;008061DD&quot;/&gt;&lt;wsp:rsid wsp:val=&quot;00807A0D&quot;/&gt;&lt;wsp:rsid wsp:val=&quot;00807CBF&quot;/&gt;&lt;wsp:rsid wsp:val=&quot;00807D14&quot;/&gt;&lt;wsp:rsid wsp:val=&quot;008106DB&quot;/&gt;&lt;wsp:rsid wsp:val=&quot;00810DBE&quot;/&gt;&lt;wsp:rsid wsp:val=&quot;00812183&quot;/&gt;&lt;wsp:rsid wsp:val=&quot;00812FA3&quot;/&gt;&lt;wsp:rsid wsp:val=&quot;008131DC&quot;/&gt;&lt;wsp:rsid wsp:val=&quot;00814369&quot;/&gt;&lt;wsp:rsid wsp:val=&quot;0081543B&quot;/&gt;&lt;wsp:rsid wsp:val=&quot;008155B3&quot;/&gt;&lt;wsp:rsid wsp:val=&quot;00815C5B&quot;/&gt;&lt;wsp:rsid wsp:val=&quot;0081608A&quot;/&gt;&lt;wsp:rsid wsp:val=&quot;00816479&quot;/&gt;&lt;wsp:rsid wsp:val=&quot;00816BEA&quot;/&gt;&lt;wsp:rsid wsp:val=&quot;0081734F&quot;/&gt;&lt;wsp:rsid wsp:val=&quot;00820FAF&quot;/&gt;&lt;wsp:rsid wsp:val=&quot;00820FD8&quot;/&gt;&lt;wsp:rsid wsp:val=&quot;00821C9E&quot;/&gt;&lt;wsp:rsid wsp:val=&quot;00821D76&quot;/&gt;&lt;wsp:rsid wsp:val=&quot;00822CB8&quot;/&gt;&lt;wsp:rsid wsp:val=&quot;00822D53&quot;/&gt;&lt;wsp:rsid wsp:val=&quot;008230C2&quot;/&gt;&lt;wsp:rsid wsp:val=&quot;0082321E&quot;/&gt;&lt;wsp:rsid wsp:val=&quot;00823363&quot;/&gt;&lt;wsp:rsid wsp:val=&quot;008237EF&quot;/&gt;&lt;wsp:rsid wsp:val=&quot;00823F89&quot;/&gt;&lt;wsp:rsid wsp:val=&quot;0082404D&quot;/&gt;&lt;wsp:rsid wsp:val=&quot;00824198&quot;/&gt;&lt;wsp:rsid wsp:val=&quot;008241EC&quot;/&gt;&lt;wsp:rsid wsp:val=&quot;008243AF&quot;/&gt;&lt;wsp:rsid wsp:val=&quot;00824852&quot;/&gt;&lt;wsp:rsid wsp:val=&quot;00825B69&quot;/&gt;&lt;wsp:rsid wsp:val=&quot;00826AEF&quot;/&gt;&lt;wsp:rsid wsp:val=&quot;00826E4A&quot;/&gt;&lt;wsp:rsid wsp:val=&quot;00826F43&quot;/&gt;&lt;wsp:rsid wsp:val=&quot;00827EB3&quot;/&gt;&lt;wsp:rsid wsp:val=&quot;00830769&quot;/&gt;&lt;wsp:rsid wsp:val=&quot;00830D73&quot;/&gt;&lt;wsp:rsid wsp:val=&quot;00831F60&quot;/&gt;&lt;wsp:rsid wsp:val=&quot;0083218A&quot;/&gt;&lt;wsp:rsid wsp:val=&quot;008325DA&quot;/&gt;&lt;wsp:rsid wsp:val=&quot;00832679&quot;/&gt;&lt;wsp:rsid wsp:val=&quot;00832718&quot;/&gt;&lt;wsp:rsid wsp:val=&quot;00832FCF&quot;/&gt;&lt;wsp:rsid wsp:val=&quot;0083334D&quot;/&gt;&lt;wsp:rsid wsp:val=&quot;00834663&quot;/&gt;&lt;wsp:rsid wsp:val=&quot;00834E38&quot;/&gt;&lt;wsp:rsid wsp:val=&quot;00835E86&quot;/&gt;&lt;wsp:rsid wsp:val=&quot;00836A00&quot;/&gt;&lt;wsp:rsid wsp:val=&quot;00836DAB&quot;/&gt;&lt;wsp:rsid wsp:val=&quot;00837AB1&quot;/&gt;&lt;wsp:rsid wsp:val=&quot;00840354&quot;/&gt;&lt;wsp:rsid wsp:val=&quot;00841264&quot;/&gt;&lt;wsp:rsid wsp:val=&quot;008420A2&quot;/&gt;&lt;wsp:rsid wsp:val=&quot;0084434D&quot;/&gt;&lt;wsp:rsid wsp:val=&quot;00844C2C&quot;/&gt;&lt;wsp:rsid wsp:val=&quot;00844C3A&quot;/&gt;&lt;wsp:rsid wsp:val=&quot;00845ABA&quot;/&gt;&lt;wsp:rsid wsp:val=&quot;00845D87&quot;/&gt;&lt;wsp:rsid wsp:val=&quot;00846248&quot;/&gt;&lt;wsp:rsid wsp:val=&quot;0084638C&quot;/&gt;&lt;wsp:rsid wsp:val=&quot;00846487&quot;/&gt;&lt;wsp:rsid wsp:val=&quot;008470C6&quot;/&gt;&lt;wsp:rsid wsp:val=&quot;0084744D&quot;/&gt;&lt;wsp:rsid wsp:val=&quot;00847CBA&quot;/&gt;&lt;wsp:rsid wsp:val=&quot;00847D3E&quot;/&gt;&lt;wsp:rsid wsp:val=&quot;0085067A&quot;/&gt;&lt;wsp:rsid wsp:val=&quot;00850EB1&quot;/&gt;&lt;wsp:rsid wsp:val=&quot;00851530&quot;/&gt;&lt;wsp:rsid wsp:val=&quot;00851630&quot;/&gt;&lt;wsp:rsid wsp:val=&quot;00851736&quot;/&gt;&lt;wsp:rsid wsp:val=&quot;00851BC5&quot;/&gt;&lt;wsp:rsid wsp:val=&quot;00851D41&quot;/&gt;&lt;wsp:rsid wsp:val=&quot;008525A4&quot;/&gt;&lt;wsp:rsid wsp:val=&quot;008542E9&quot;/&gt;&lt;wsp:rsid wsp:val=&quot;008545C5&quot;/&gt;&lt;wsp:rsid wsp:val=&quot;0085499E&quot;/&gt;&lt;wsp:rsid wsp:val=&quot;00854A60&quot;/&gt;&lt;wsp:rsid wsp:val=&quot;00854F0F&quot;/&gt;&lt;wsp:rsid wsp:val=&quot;0085518D&quot;/&gt;&lt;wsp:rsid wsp:val=&quot;0085525B&quot;/&gt;&lt;wsp:rsid wsp:val=&quot;00855466&quot;/&gt;&lt;wsp:rsid wsp:val=&quot;0085563E&quot;/&gt;&lt;wsp:rsid wsp:val=&quot;00855C14&quot;/&gt;&lt;wsp:rsid wsp:val=&quot;00855FA9&quot;/&gt;&lt;wsp:rsid wsp:val=&quot;008566E6&quot;/&gt;&lt;wsp:rsid wsp:val=&quot;00856999&quot;/&gt;&lt;wsp:rsid wsp:val=&quot;00856D5A&quot;/&gt;&lt;wsp:rsid wsp:val=&quot;0085706E&quot;/&gt;&lt;wsp:rsid wsp:val=&quot;00860714&quot;/&gt;&lt;wsp:rsid wsp:val=&quot;0086134D&quot;/&gt;&lt;wsp:rsid wsp:val=&quot;008619B5&quot;/&gt;&lt;wsp:rsid wsp:val=&quot;00861DF4&quot;/&gt;&lt;wsp:rsid wsp:val=&quot;00861E68&quot;/&gt;&lt;wsp:rsid wsp:val=&quot;008624ED&quot;/&gt;&lt;wsp:rsid wsp:val=&quot;00862ECD&quot;/&gt;&lt;wsp:rsid wsp:val=&quot;00863088&quot;/&gt;&lt;wsp:rsid wsp:val=&quot;00863698&quot;/&gt;&lt;wsp:rsid wsp:val=&quot;00863EBD&quot;/&gt;&lt;wsp:rsid wsp:val=&quot;0086410D&quot;/&gt;&lt;wsp:rsid wsp:val=&quot;008661FA&quot;/&gt;&lt;wsp:rsid wsp:val=&quot;0086732A&quot;/&gt;&lt;wsp:rsid wsp:val=&quot;008678B5&quot;/&gt;&lt;wsp:rsid wsp:val=&quot;008678C6&quot;/&gt;&lt;wsp:rsid wsp:val=&quot;008679C1&quot;/&gt;&lt;wsp:rsid wsp:val=&quot;00867EED&quot;/&gt;&lt;wsp:rsid wsp:val=&quot;0087036E&quot;/&gt;&lt;wsp:rsid wsp:val=&quot;00870BB4&quot;/&gt;&lt;wsp:rsid wsp:val=&quot;0087162C&quot;/&gt;&lt;wsp:rsid wsp:val=&quot;008717C3&quot;/&gt;&lt;wsp:rsid wsp:val=&quot;00872986&quot;/&gt;&lt;wsp:rsid wsp:val=&quot;00872F85&quot;/&gt;&lt;wsp:rsid wsp:val=&quot;008732F4&quot;/&gt;&lt;wsp:rsid wsp:val=&quot;00873D5F&quot;/&gt;&lt;wsp:rsid wsp:val=&quot;00874092&quot;/&gt;&lt;wsp:rsid wsp:val=&quot;00874552&quot;/&gt;&lt;wsp:rsid wsp:val=&quot;00874AFE&quot;/&gt;&lt;wsp:rsid wsp:val=&quot;00875A95&quot;/&gt;&lt;wsp:rsid wsp:val=&quot;00875C86&quot;/&gt;&lt;wsp:rsid wsp:val=&quot;00875F79&quot;/&gt;&lt;wsp:rsid wsp:val=&quot;00875FEE&quot;/&gt;&lt;wsp:rsid wsp:val=&quot;008772A9&quot;/&gt;&lt;wsp:rsid wsp:val=&quot;0087738A&quot;/&gt;&lt;wsp:rsid wsp:val=&quot;0087754F&quot;/&gt;&lt;wsp:rsid wsp:val=&quot;00877594&quot;/&gt;&lt;wsp:rsid wsp:val=&quot;0088014A&quot;/&gt;&lt;wsp:rsid wsp:val=&quot;008803AC&quot;/&gt;&lt;wsp:rsid wsp:val=&quot;0088076E&quot;/&gt;&lt;wsp:rsid wsp:val=&quot;00880FA8&quot;/&gt;&lt;wsp:rsid wsp:val=&quot;008811DD&quot;/&gt;&lt;wsp:rsid wsp:val=&quot;0088352A&quot;/&gt;&lt;wsp:rsid wsp:val=&quot;0088363C&quot;/&gt;&lt;wsp:rsid wsp:val=&quot;00884218&quot;/&gt;&lt;wsp:rsid wsp:val=&quot;00884BA7&quot;/&gt;&lt;wsp:rsid wsp:val=&quot;008851DB&quot;/&gt;&lt;wsp:rsid wsp:val=&quot;0088628C&quot;/&gt;&lt;wsp:rsid wsp:val=&quot;0088681A&quot;/&gt;&lt;wsp:rsid wsp:val=&quot;00886856&quot;/&gt;&lt;wsp:rsid wsp:val=&quot;00886E08&quot;/&gt;&lt;wsp:rsid wsp:val=&quot;00886F6C&quot;/&gt;&lt;wsp:rsid wsp:val=&quot;008872C0&quot;/&gt;&lt;wsp:rsid wsp:val=&quot;0088756C&quot;/&gt;&lt;wsp:rsid wsp:val=&quot;00887867&quot;/&gt;&lt;wsp:rsid wsp:val=&quot;00887881&quot;/&gt;&lt;wsp:rsid wsp:val=&quot;00887C24&quot;/&gt;&lt;wsp:rsid wsp:val=&quot;008907C6&quot;/&gt;&lt;wsp:rsid wsp:val=&quot;008908E4&quot;/&gt;&lt;wsp:rsid wsp:val=&quot;00891009&quot;/&gt;&lt;wsp:rsid wsp:val=&quot;008918F8&quot;/&gt;&lt;wsp:rsid wsp:val=&quot;00892156&quot;/&gt;&lt;wsp:rsid wsp:val=&quot;0089265D&quot;/&gt;&lt;wsp:rsid wsp:val=&quot;00892945&quot;/&gt;&lt;wsp:rsid wsp:val=&quot;0089317C&quot;/&gt;&lt;wsp:rsid wsp:val=&quot;00893C95&quot;/&gt;&lt;wsp:rsid wsp:val=&quot;00893E34&quot;/&gt;&lt;wsp:rsid wsp:val=&quot;00894917&quot;/&gt;&lt;wsp:rsid wsp:val=&quot;00896783&quot;/&gt;&lt;wsp:rsid wsp:val=&quot;008973C8&quot;/&gt;&lt;wsp:rsid wsp:val=&quot;00897D70&quot;/&gt;&lt;wsp:rsid wsp:val=&quot;00897FE5&quot;/&gt;&lt;wsp:rsid wsp:val=&quot;008A063C&quot;/&gt;&lt;wsp:rsid wsp:val=&quot;008A090B&quot;/&gt;&lt;wsp:rsid wsp:val=&quot;008A11BE&quot;/&gt;&lt;wsp:rsid wsp:val=&quot;008A1289&quot;/&gt;&lt;wsp:rsid wsp:val=&quot;008A16D2&quot;/&gt;&lt;wsp:rsid wsp:val=&quot;008A1A17&quot;/&gt;&lt;wsp:rsid wsp:val=&quot;008A21F2&quot;/&gt;&lt;wsp:rsid wsp:val=&quot;008A2B0C&quot;/&gt;&lt;wsp:rsid wsp:val=&quot;008A2CF8&quot;/&gt;&lt;wsp:rsid wsp:val=&quot;008A3D8F&quot;/&gt;&lt;wsp:rsid wsp:val=&quot;008A3E1D&quot;/&gt;&lt;wsp:rsid wsp:val=&quot;008A4B52&quot;/&gt;&lt;wsp:rsid wsp:val=&quot;008A4BB4&quot;/&gt;&lt;wsp:rsid wsp:val=&quot;008A50E6&quot;/&gt;&lt;wsp:rsid wsp:val=&quot;008A5C1F&quot;/&gt;&lt;wsp:rsid wsp:val=&quot;008A680D&quot;/&gt;&lt;wsp:rsid wsp:val=&quot;008A6ECC&quot;/&gt;&lt;wsp:rsid wsp:val=&quot;008B09C9&quot;/&gt;&lt;wsp:rsid wsp:val=&quot;008B0B92&quot;/&gt;&lt;wsp:rsid wsp:val=&quot;008B0CC5&quot;/&gt;&lt;wsp:rsid wsp:val=&quot;008B1274&quot;/&gt;&lt;wsp:rsid wsp:val=&quot;008B1668&quot;/&gt;&lt;wsp:rsid wsp:val=&quot;008B1BE7&quot;/&gt;&lt;wsp:rsid wsp:val=&quot;008B36D9&quot;/&gt;&lt;wsp:rsid wsp:val=&quot;008B3707&quot;/&gt;&lt;wsp:rsid wsp:val=&quot;008B3828&quot;/&gt;&lt;wsp:rsid wsp:val=&quot;008B45A2&quot;/&gt;&lt;wsp:rsid wsp:val=&quot;008B4AFD&quot;/&gt;&lt;wsp:rsid wsp:val=&quot;008B4B59&quot;/&gt;&lt;wsp:rsid wsp:val=&quot;008B5AA5&quot;/&gt;&lt;wsp:rsid wsp:val=&quot;008B5CED&quot;/&gt;&lt;wsp:rsid wsp:val=&quot;008B5E08&quot;/&gt;&lt;wsp:rsid wsp:val=&quot;008B6095&quot;/&gt;&lt;wsp:rsid wsp:val=&quot;008B65BA&quot;/&gt;&lt;wsp:rsid wsp:val=&quot;008B679C&quot;/&gt;&lt;wsp:rsid wsp:val=&quot;008B67A8&quot;/&gt;&lt;wsp:rsid wsp:val=&quot;008B6ACF&quot;/&gt;&lt;wsp:rsid wsp:val=&quot;008B6D9F&quot;/&gt;&lt;wsp:rsid wsp:val=&quot;008B6FFB&quot;/&gt;&lt;wsp:rsid wsp:val=&quot;008B7373&quot;/&gt;&lt;wsp:rsid wsp:val=&quot;008B7B58&quot;/&gt;&lt;wsp:rsid wsp:val=&quot;008C0169&quot;/&gt;&lt;wsp:rsid wsp:val=&quot;008C0E35&quot;/&gt;&lt;wsp:rsid wsp:val=&quot;008C2B54&quot;/&gt;&lt;wsp:rsid wsp:val=&quot;008C33A7&quot;/&gt;&lt;wsp:rsid wsp:val=&quot;008C3563&quot;/&gt;&lt;wsp:rsid wsp:val=&quot;008C386B&quot;/&gt;&lt;wsp:rsid wsp:val=&quot;008C3A86&quot;/&gt;&lt;wsp:rsid wsp:val=&quot;008C489C&quot;/&gt;&lt;wsp:rsid wsp:val=&quot;008C54E0&quot;/&gt;&lt;wsp:rsid wsp:val=&quot;008C5593&quot;/&gt;&lt;wsp:rsid wsp:val=&quot;008C61B2&quot;/&gt;&lt;wsp:rsid wsp:val=&quot;008C62F4&quot;/&gt;&lt;wsp:rsid wsp:val=&quot;008C6474&quot;/&gt;&lt;wsp:rsid wsp:val=&quot;008C6949&quot;/&gt;&lt;wsp:rsid wsp:val=&quot;008C773A&quot;/&gt;&lt;wsp:rsid wsp:val=&quot;008D0B25&quot;/&gt;&lt;wsp:rsid wsp:val=&quot;008D116F&quot;/&gt;&lt;wsp:rsid wsp:val=&quot;008D1229&quot;/&gt;&lt;wsp:rsid wsp:val=&quot;008D1863&quot;/&gt;&lt;wsp:rsid wsp:val=&quot;008D18CD&quot;/&gt;&lt;wsp:rsid wsp:val=&quot;008D1DB7&quot;/&gt;&lt;wsp:rsid wsp:val=&quot;008D26B4&quot;/&gt;&lt;wsp:rsid wsp:val=&quot;008D2DE8&quot;/&gt;&lt;wsp:rsid wsp:val=&quot;008D3457&quot;/&gt;&lt;wsp:rsid wsp:val=&quot;008D43AA&quot;/&gt;&lt;wsp:rsid wsp:val=&quot;008D4CBF&quot;/&gt;&lt;wsp:rsid wsp:val=&quot;008D6DA1&quot;/&gt;&lt;wsp:rsid wsp:val=&quot;008D737E&quot;/&gt;&lt;wsp:rsid wsp:val=&quot;008D7D66&quot;/&gt;&lt;wsp:rsid wsp:val=&quot;008E01EE&quot;/&gt;&lt;wsp:rsid wsp:val=&quot;008E0552&quot;/&gt;&lt;wsp:rsid wsp:val=&quot;008E1BD0&quot;/&gt;&lt;wsp:rsid wsp:val=&quot;008E2434&quot;/&gt;&lt;wsp:rsid wsp:val=&quot;008E2446&quot;/&gt;&lt;wsp:rsid wsp:val=&quot;008E417F&quot;/&gt;&lt;wsp:rsid wsp:val=&quot;008E47C2&quot;/&gt;&lt;wsp:rsid wsp:val=&quot;008E554D&quot;/&gt;&lt;wsp:rsid wsp:val=&quot;008E5B3B&quot;/&gt;&lt;wsp:rsid wsp:val=&quot;008E5F7A&quot;/&gt;&lt;wsp:rsid wsp:val=&quot;008E6F73&quot;/&gt;&lt;wsp:rsid wsp:val=&quot;008F0866&quot;/&gt;&lt;wsp:rsid wsp:val=&quot;008F0D98&quot;/&gt;&lt;wsp:rsid wsp:val=&quot;008F0F1F&quot;/&gt;&lt;wsp:rsid wsp:val=&quot;008F1555&quot;/&gt;&lt;wsp:rsid wsp:val=&quot;008F29C0&quot;/&gt;&lt;wsp:rsid wsp:val=&quot;008F3302&quot;/&gt;&lt;wsp:rsid wsp:val=&quot;008F604B&quot;/&gt;&lt;wsp:rsid wsp:val=&quot;008F66F1&quot;/&gt;&lt;wsp:rsid wsp:val=&quot;008F6B48&quot;/&gt;&lt;wsp:rsid wsp:val=&quot;008F70B6&quot;/&gt;&lt;wsp:rsid wsp:val=&quot;008F71BB&quot;/&gt;&lt;wsp:rsid wsp:val=&quot;008F7707&quot;/&gt;&lt;wsp:rsid wsp:val=&quot;009011D5&quot;/&gt;&lt;wsp:rsid wsp:val=&quot;00901802&quot;/&gt;&lt;wsp:rsid wsp:val=&quot;00901EAC&quot;/&gt;&lt;wsp:rsid wsp:val=&quot;00902E1A&quot;/&gt;&lt;wsp:rsid wsp:val=&quot;009044F4&quot;/&gt;&lt;wsp:rsid wsp:val=&quot;00904731&quot;/&gt;&lt;wsp:rsid wsp:val=&quot;00904884&quot;/&gt;&lt;wsp:rsid wsp:val=&quot;009051BC&quot;/&gt;&lt;wsp:rsid wsp:val=&quot;009056A5&quot;/&gt;&lt;wsp:rsid wsp:val=&quot;0090590F&quot;/&gt;&lt;wsp:rsid wsp:val=&quot;00907272&quot;/&gt;&lt;wsp:rsid wsp:val=&quot;009076A2&quot;/&gt;&lt;wsp:rsid wsp:val=&quot;00907DEE&quot;/&gt;&lt;wsp:rsid wsp:val=&quot;00910B25&quot;/&gt;&lt;wsp:rsid wsp:val=&quot;009113DD&quot;/&gt;&lt;wsp:rsid wsp:val=&quot;009113F1&quot;/&gt;&lt;wsp:rsid wsp:val=&quot;00911456&quot;/&gt;&lt;wsp:rsid wsp:val=&quot;00911DB0&quot;/&gt;&lt;wsp:rsid wsp:val=&quot;0091262F&quot;/&gt;&lt;wsp:rsid wsp:val=&quot;00912A5C&quot;/&gt;&lt;wsp:rsid wsp:val=&quot;00912CD2&quot;/&gt;&lt;wsp:rsid wsp:val=&quot;009135F6&quot;/&gt;&lt;wsp:rsid wsp:val=&quot;00913851&quot;/&gt;&lt;wsp:rsid wsp:val=&quot;009141D0&quot;/&gt;&lt;wsp:rsid wsp:val=&quot;00914BA4&quot;/&gt;&lt;wsp:rsid wsp:val=&quot;00916A06&quot;/&gt;&lt;wsp:rsid wsp:val=&quot;00916D5D&quot;/&gt;&lt;wsp:rsid wsp:val=&quot;00916E15&quot;/&gt;&lt;wsp:rsid wsp:val=&quot;00917276&quot;/&gt;&lt;wsp:rsid wsp:val=&quot;009174B0&quot;/&gt;&lt;wsp:rsid wsp:val=&quot;00917B80&quot;/&gt;&lt;wsp:rsid wsp:val=&quot;00917E44&quot;/&gt;&lt;wsp:rsid wsp:val=&quot;00917EA3&quot;/&gt;&lt;wsp:rsid wsp:val=&quot;00920D3D&quot;/&gt;&lt;wsp:rsid wsp:val=&quot;0092112B&quot;/&gt;&lt;wsp:rsid wsp:val=&quot;00921EE0&quot;/&gt;&lt;wsp:rsid wsp:val=&quot;00921F82&quot;/&gt;&lt;wsp:rsid wsp:val=&quot;009224B1&quot;/&gt;&lt;wsp:rsid wsp:val=&quot;00922C9A&quot;/&gt;&lt;wsp:rsid wsp:val=&quot;0092362B&quot;/&gt;&lt;wsp:rsid wsp:val=&quot;00923A3C&quot;/&gt;&lt;wsp:rsid wsp:val=&quot;00923D83&quot;/&gt;&lt;wsp:rsid wsp:val=&quot;009259D4&quot;/&gt;&lt;wsp:rsid wsp:val=&quot;00925A9A&quot;/&gt;&lt;wsp:rsid wsp:val=&quot;0092627D&quot;/&gt;&lt;wsp:rsid wsp:val=&quot;009272DD&quot;/&gt;&lt;wsp:rsid wsp:val=&quot;0092749F&quot;/&gt;&lt;wsp:rsid wsp:val=&quot;00927595&quot;/&gt;&lt;wsp:rsid wsp:val=&quot;009279E8&quot;/&gt;&lt;wsp:rsid wsp:val=&quot;00927AA8&quot;/&gt;&lt;wsp:rsid wsp:val=&quot;00927C4D&quot;/&gt;&lt;wsp:rsid wsp:val=&quot;00927E35&quot;/&gt;&lt;wsp:rsid wsp:val=&quot;009308F0&quot;/&gt;&lt;wsp:rsid wsp:val=&quot;009310BE&quot;/&gt;&lt;wsp:rsid wsp:val=&quot;009310CE&quot;/&gt;&lt;wsp:rsid wsp:val=&quot;009313A4&quot;/&gt;&lt;wsp:rsid wsp:val=&quot;00931EE6&quot;/&gt;&lt;wsp:rsid wsp:val=&quot;00932275&quot;/&gt;&lt;wsp:rsid wsp:val=&quot;00933AB5&quot;/&gt;&lt;wsp:rsid wsp:val=&quot;00934403&quot;/&gt;&lt;wsp:rsid wsp:val=&quot;00934AA3&quot;/&gt;&lt;wsp:rsid wsp:val=&quot;00934E4F&quot;/&gt;&lt;wsp:rsid wsp:val=&quot;00937A9D&quot;/&gt;&lt;wsp:rsid wsp:val=&quot;00937C13&quot;/&gt;&lt;wsp:rsid wsp:val=&quot;00940758&quot;/&gt;&lt;wsp:rsid wsp:val=&quot;00940E2C&quot;/&gt;&lt;wsp:rsid wsp:val=&quot;00941999&quot;/&gt;&lt;wsp:rsid wsp:val=&quot;00942484&quot;/&gt;&lt;wsp:rsid wsp:val=&quot;00942A77&quot;/&gt;&lt;wsp:rsid wsp:val=&quot;00942E3B&quot;/&gt;&lt;wsp:rsid wsp:val=&quot;00943140&quot;/&gt;&lt;wsp:rsid wsp:val=&quot;00943B7F&quot;/&gt;&lt;wsp:rsid wsp:val=&quot;00943D8E&quot;/&gt;&lt;wsp:rsid wsp:val=&quot;009447BD&quot;/&gt;&lt;wsp:rsid wsp:val=&quot;009449A7&quot;/&gt;&lt;wsp:rsid wsp:val=&quot;00944EC3&quot;/&gt;&lt;wsp:rsid wsp:val=&quot;00945847&quot;/&gt;&lt;wsp:rsid wsp:val=&quot;00945C52&quot;/&gt;&lt;wsp:rsid wsp:val=&quot;0094689F&quot;/&gt;&lt;wsp:rsid wsp:val=&quot;0094698B&quot;/&gt;&lt;wsp:rsid wsp:val=&quot;009475CF&quot;/&gt;&lt;wsp:rsid wsp:val=&quot;00947DF0&quot;/&gt;&lt;wsp:rsid wsp:val=&quot;00950517&quot;/&gt;&lt;wsp:rsid wsp:val=&quot;009506C8&quot;/&gt;&lt;wsp:rsid wsp:val=&quot;00950C74&quot;/&gt;&lt;wsp:rsid wsp:val=&quot;00951371&quot;/&gt;&lt;wsp:rsid wsp:val=&quot;00951562&quot;/&gt;&lt;wsp:rsid wsp:val=&quot;00951F90&quot;/&gt;&lt;wsp:rsid wsp:val=&quot;009528D7&quot;/&gt;&lt;wsp:rsid wsp:val=&quot;009544D2&quot;/&gt;&lt;wsp:rsid wsp:val=&quot;00954EB8&quot;/&gt;&lt;wsp:rsid wsp:val=&quot;009552B8&quot;/&gt;&lt;wsp:rsid wsp:val=&quot;00955388&quot;/&gt;&lt;wsp:rsid wsp:val=&quot;009554C8&quot;/&gt;&lt;wsp:rsid wsp:val=&quot;009600F4&quot;/&gt;&lt;wsp:rsid wsp:val=&quot;009605DF&quot;/&gt;&lt;wsp:rsid wsp:val=&quot;00960820&quot;/&gt;&lt;wsp:rsid wsp:val=&quot;009615C9&quot;/&gt;&lt;wsp:rsid wsp:val=&quot;00961742&quot;/&gt;&lt;wsp:rsid wsp:val=&quot;00961B14&quot;/&gt;&lt;wsp:rsid wsp:val=&quot;0096246C&quot;/&gt;&lt;wsp:rsid wsp:val=&quot;009626C3&quot;/&gt;&lt;wsp:rsid wsp:val=&quot;009640CB&quot;/&gt;&lt;wsp:rsid wsp:val=&quot;009645B6&quot;/&gt;&lt;wsp:rsid wsp:val=&quot;0096577A&quot;/&gt;&lt;wsp:rsid wsp:val=&quot;00965C43&quot;/&gt;&lt;wsp:rsid wsp:val=&quot;00966283&quot;/&gt;&lt;wsp:rsid wsp:val=&quot;00967666&quot;/&gt;&lt;wsp:rsid wsp:val=&quot;0096778E&quot;/&gt;&lt;wsp:rsid wsp:val=&quot;0097002C&quot;/&gt;&lt;wsp:rsid wsp:val=&quot;009709EF&quot;/&gt;&lt;wsp:rsid wsp:val=&quot;00970ECB&quot;/&gt;&lt;wsp:rsid wsp:val=&quot;0097152F&quot;/&gt;&lt;wsp:rsid wsp:val=&quot;00971B52&quot;/&gt;&lt;wsp:rsid wsp:val=&quot;0097264F&quot;/&gt;&lt;wsp:rsid wsp:val=&quot;009732BD&quot;/&gt;&lt;wsp:rsid wsp:val=&quot;0097395F&quot;/&gt;&lt;wsp:rsid wsp:val=&quot;00973F66&quot;/&gt;&lt;wsp:rsid wsp:val=&quot;00973FEA&quot;/&gt;&lt;wsp:rsid wsp:val=&quot;009741DA&quot;/&gt;&lt;wsp:rsid wsp:val=&quot;0097491E&quot;/&gt;&lt;wsp:rsid wsp:val=&quot;00975345&quot;/&gt;&lt;wsp:rsid wsp:val=&quot;009754A7&quot;/&gt;&lt;wsp:rsid wsp:val=&quot;00975876&quot;/&gt;&lt;wsp:rsid wsp:val=&quot;00975FDA&quot;/&gt;&lt;wsp:rsid wsp:val=&quot;009768F9&quot;/&gt;&lt;wsp:rsid wsp:val=&quot;00976E50&quot;/&gt;&lt;wsp:rsid wsp:val=&quot;00977036&quot;/&gt;&lt;wsp:rsid wsp:val=&quot;009777E9&quot;/&gt;&lt;wsp:rsid wsp:val=&quot;00977F3D&quot;/&gt;&lt;wsp:rsid wsp:val=&quot;00981606&quot;/&gt;&lt;wsp:rsid wsp:val=&quot;0098195C&quot;/&gt;&lt;wsp:rsid wsp:val=&quot;0098235E&quot;/&gt;&lt;wsp:rsid wsp:val=&quot;00982DC1&quot;/&gt;&lt;wsp:rsid wsp:val=&quot;00982DEC&quot;/&gt;&lt;wsp:rsid wsp:val=&quot;0098329C&quot;/&gt;&lt;wsp:rsid wsp:val=&quot;00983C7A&quot;/&gt;&lt;wsp:rsid wsp:val=&quot;00984810&quot;/&gt;&lt;wsp:rsid wsp:val=&quot;00984923&quot;/&gt;&lt;wsp:rsid wsp:val=&quot;00984B5E&quot;/&gt;&lt;wsp:rsid wsp:val=&quot;00985CCA&quot;/&gt;&lt;wsp:rsid wsp:val=&quot;0098604D&quot;/&gt;&lt;wsp:rsid wsp:val=&quot;009871CF&quot;/&gt;&lt;wsp:rsid wsp:val=&quot;00987C3D&quot;/&gt;&lt;wsp:rsid wsp:val=&quot;0099077C&quot;/&gt;&lt;wsp:rsid wsp:val=&quot;00990A6A&quot;/&gt;&lt;wsp:rsid wsp:val=&quot;00990E52&quot;/&gt;&lt;wsp:rsid wsp:val=&quot;0099274C&quot;/&gt;&lt;wsp:rsid wsp:val=&quot;00992DB0&quot;/&gt;&lt;wsp:rsid wsp:val=&quot;00993273&quot;/&gt;&lt;wsp:rsid wsp:val=&quot;00993307&quot;/&gt;&lt;wsp:rsid wsp:val=&quot;0099360B&quot;/&gt;&lt;wsp:rsid wsp:val=&quot;009937DB&quot;/&gt;&lt;wsp:rsid wsp:val=&quot;00994292&quot;/&gt;&lt;wsp:rsid wsp:val=&quot;00994CA1&quot;/&gt;&lt;wsp:rsid wsp:val=&quot;00995362&quot;/&gt;&lt;wsp:rsid wsp:val=&quot;00995800&quot;/&gt;&lt;wsp:rsid wsp:val=&quot;009959C1&quot;/&gt;&lt;wsp:rsid wsp:val=&quot;00995A07&quot;/&gt;&lt;wsp:rsid wsp:val=&quot;00995EA5&quot;/&gt;&lt;wsp:rsid wsp:val=&quot;00995EC4&quot;/&gt;&lt;wsp:rsid wsp:val=&quot;009A04F3&quot;/&gt;&lt;wsp:rsid wsp:val=&quot;009A15D8&quot;/&gt;&lt;wsp:rsid wsp:val=&quot;009A2CEA&quot;/&gt;&lt;wsp:rsid wsp:val=&quot;009A36A2&quot;/&gt;&lt;wsp:rsid wsp:val=&quot;009A37DA&quot;/&gt;&lt;wsp:rsid wsp:val=&quot;009A3CE7&quot;/&gt;&lt;wsp:rsid wsp:val=&quot;009A408E&quot;/&gt;&lt;wsp:rsid wsp:val=&quot;009A50B5&quot;/&gt;&lt;wsp:rsid wsp:val=&quot;009A53D2&quot;/&gt;&lt;wsp:rsid wsp:val=&quot;009A5AB4&quot;/&gt;&lt;wsp:rsid wsp:val=&quot;009A7623&quot;/&gt;&lt;wsp:rsid wsp:val=&quot;009A7790&quot;/&gt;&lt;wsp:rsid wsp:val=&quot;009B0EB0&quot;/&gt;&lt;wsp:rsid wsp:val=&quot;009B10FD&quot;/&gt;&lt;wsp:rsid wsp:val=&quot;009B128B&quot;/&gt;&lt;wsp:rsid wsp:val=&quot;009B14C0&quot;/&gt;&lt;wsp:rsid wsp:val=&quot;009B1790&quot;/&gt;&lt;wsp:rsid wsp:val=&quot;009B1DFD&quot;/&gt;&lt;wsp:rsid wsp:val=&quot;009B2B5B&quot;/&gt;&lt;wsp:rsid wsp:val=&quot;009B3884&quot;/&gt;&lt;wsp:rsid wsp:val=&quot;009B4B92&quot;/&gt;&lt;wsp:rsid wsp:val=&quot;009B4CB6&quot;/&gt;&lt;wsp:rsid wsp:val=&quot;009B5344&quot;/&gt;&lt;wsp:rsid wsp:val=&quot;009B53DE&quot;/&gt;&lt;wsp:rsid wsp:val=&quot;009B56E7&quot;/&gt;&lt;wsp:rsid wsp:val=&quot;009B6E3B&quot;/&gt;&lt;wsp:rsid wsp:val=&quot;009B6F59&quot;/&gt;&lt;wsp:rsid wsp:val=&quot;009B73B8&quot;/&gt;&lt;wsp:rsid wsp:val=&quot;009B7AED&quot;/&gt;&lt;wsp:rsid wsp:val=&quot;009B7CFD&quot;/&gt;&lt;wsp:rsid wsp:val=&quot;009B7F80&quot;/&gt;&lt;wsp:rsid wsp:val=&quot;009C0BD6&quot;/&gt;&lt;wsp:rsid wsp:val=&quot;009C1269&quot;/&gt;&lt;wsp:rsid wsp:val=&quot;009C22F1&quot;/&gt;&lt;wsp:rsid wsp:val=&quot;009C2A2D&quot;/&gt;&lt;wsp:rsid wsp:val=&quot;009C3431&quot;/&gt;&lt;wsp:rsid wsp:val=&quot;009C4006&quot;/&gt;&lt;wsp:rsid wsp:val=&quot;009C41E0&quot;/&gt;&lt;wsp:rsid wsp:val=&quot;009C583D&quot;/&gt;&lt;wsp:rsid wsp:val=&quot;009C5EA3&quot;/&gt;&lt;wsp:rsid wsp:val=&quot;009C714F&quot;/&gt;&lt;wsp:rsid wsp:val=&quot;009C78F9&quot;/&gt;&lt;wsp:rsid wsp:val=&quot;009C7D55&quot;/&gt;&lt;wsp:rsid wsp:val=&quot;009C7E03&quot;/&gt;&lt;wsp:rsid wsp:val=&quot;009D0624&quot;/&gt;&lt;wsp:rsid wsp:val=&quot;009D17C8&quot;/&gt;&lt;wsp:rsid wsp:val=&quot;009D2A02&quot;/&gt;&lt;wsp:rsid wsp:val=&quot;009D4165&quot;/&gt;&lt;wsp:rsid wsp:val=&quot;009D4756&quot;/&gt;&lt;wsp:rsid wsp:val=&quot;009D4E60&quot;/&gt;&lt;wsp:rsid wsp:val=&quot;009D5A37&quot;/&gt;&lt;wsp:rsid wsp:val=&quot;009D5DA0&quot;/&gt;&lt;wsp:rsid wsp:val=&quot;009D62EE&quot;/&gt;&lt;wsp:rsid wsp:val=&quot;009D6503&quot;/&gt;&lt;wsp:rsid wsp:val=&quot;009D685A&quot;/&gt;&lt;wsp:rsid wsp:val=&quot;009D6B83&quot;/&gt;&lt;wsp:rsid wsp:val=&quot;009D6BD0&quot;/&gt;&lt;wsp:rsid wsp:val=&quot;009D6FC0&quot;/&gt;&lt;wsp:rsid wsp:val=&quot;009D7B2C&quot;/&gt;&lt;wsp:rsid wsp:val=&quot;009D7C8F&quot;/&gt;&lt;wsp:rsid wsp:val=&quot;009E029F&quot;/&gt;&lt;wsp:rsid wsp:val=&quot;009E02D7&quot;/&gt;&lt;wsp:rsid wsp:val=&quot;009E0BEA&quot;/&gt;&lt;wsp:rsid wsp:val=&quot;009E0F4A&quot;/&gt;&lt;wsp:rsid wsp:val=&quot;009E1225&quot;/&gt;&lt;wsp:rsid wsp:val=&quot;009E1528&quot;/&gt;&lt;wsp:rsid wsp:val=&quot;009E2244&quot;/&gt;&lt;wsp:rsid wsp:val=&quot;009E3C76&quot;/&gt;&lt;wsp:rsid wsp:val=&quot;009E4473&quot;/&gt;&lt;wsp:rsid wsp:val=&quot;009E4F0F&quot;/&gt;&lt;wsp:rsid wsp:val=&quot;009E51C0&quot;/&gt;&lt;wsp:rsid wsp:val=&quot;009E57CA&quot;/&gt;&lt;wsp:rsid wsp:val=&quot;009E655D&quot;/&gt;&lt;wsp:rsid wsp:val=&quot;009E7090&quot;/&gt;&lt;wsp:rsid wsp:val=&quot;009E7BF0&quot;/&gt;&lt;wsp:rsid wsp:val=&quot;009F0C4D&quot;/&gt;&lt;wsp:rsid wsp:val=&quot;009F12A8&quot;/&gt;&lt;wsp:rsid wsp:val=&quot;009F17E6&quot;/&gt;&lt;wsp:rsid wsp:val=&quot;009F21DB&quot;/&gt;&lt;wsp:rsid wsp:val=&quot;009F2CFF&quot;/&gt;&lt;wsp:rsid wsp:val=&quot;009F3A92&quot;/&gt;&lt;wsp:rsid wsp:val=&quot;009F3AB2&quot;/&gt;&lt;wsp:rsid wsp:val=&quot;009F4196&quot;/&gt;&lt;wsp:rsid wsp:val=&quot;009F634B&quot;/&gt;&lt;wsp:rsid wsp:val=&quot;009F7103&quot;/&gt;&lt;wsp:rsid wsp:val=&quot;00A000F4&quot;/&gt;&lt;wsp:rsid wsp:val=&quot;00A00634&quot;/&gt;&lt;wsp:rsid wsp:val=&quot;00A008DC&quot;/&gt;&lt;wsp:rsid wsp:val=&quot;00A008EA&quot;/&gt;&lt;wsp:rsid wsp:val=&quot;00A00D6D&quot;/&gt;&lt;wsp:rsid wsp:val=&quot;00A014DA&quot;/&gt;&lt;wsp:rsid wsp:val=&quot;00A014FB&quot;/&gt;&lt;wsp:rsid wsp:val=&quot;00A01AFA&quot;/&gt;&lt;wsp:rsid wsp:val=&quot;00A024D6&quot;/&gt;&lt;wsp:rsid wsp:val=&quot;00A0286E&quot;/&gt;&lt;wsp:rsid wsp:val=&quot;00A0290C&quot;/&gt;&lt;wsp:rsid wsp:val=&quot;00A035AB&quot;/&gt;&lt;wsp:rsid wsp:val=&quot;00A0379C&quot;/&gt;&lt;wsp:rsid wsp:val=&quot;00A03CCB&quot;/&gt;&lt;wsp:rsid wsp:val=&quot;00A060C3&quot;/&gt;&lt;wsp:rsid wsp:val=&quot;00A0684E&quot;/&gt;&lt;wsp:rsid wsp:val=&quot;00A0693C&quot;/&gt;&lt;wsp:rsid wsp:val=&quot;00A07E81&quot;/&gt;&lt;wsp:rsid wsp:val=&quot;00A1047C&quot;/&gt;&lt;wsp:rsid wsp:val=&quot;00A10B3C&quot;/&gt;&lt;wsp:rsid wsp:val=&quot;00A10F8E&quot;/&gt;&lt;wsp:rsid wsp:val=&quot;00A117A6&quot;/&gt;&lt;wsp:rsid wsp:val=&quot;00A129D7&quot;/&gt;&lt;wsp:rsid wsp:val=&quot;00A12F9E&quot;/&gt;&lt;wsp:rsid wsp:val=&quot;00A13A5C&quot;/&gt;&lt;wsp:rsid wsp:val=&quot;00A14CB9&quot;/&gt;&lt;wsp:rsid wsp:val=&quot;00A155C3&quot;/&gt;&lt;wsp:rsid wsp:val=&quot;00A15BCF&quot;/&gt;&lt;wsp:rsid wsp:val=&quot;00A16D36&quot;/&gt;&lt;wsp:rsid wsp:val=&quot;00A177F8&quot;/&gt;&lt;wsp:rsid wsp:val=&quot;00A17AF4&quot;/&gt;&lt;wsp:rsid wsp:val=&quot;00A17BA5&quot;/&gt;&lt;wsp:rsid wsp:val=&quot;00A20F3C&quot;/&gt;&lt;wsp:rsid wsp:val=&quot;00A21FE5&quot;/&gt;&lt;wsp:rsid wsp:val=&quot;00A22224&quot;/&gt;&lt;wsp:rsid wsp:val=&quot;00A22D0F&quot;/&gt;&lt;wsp:rsid wsp:val=&quot;00A230C7&quot;/&gt;&lt;wsp:rsid wsp:val=&quot;00A2366E&quot;/&gt;&lt;wsp:rsid wsp:val=&quot;00A239E4&quot;/&gt;&lt;wsp:rsid wsp:val=&quot;00A23B66&quot;/&gt;&lt;wsp:rsid wsp:val=&quot;00A23FD6&quot;/&gt;&lt;wsp:rsid wsp:val=&quot;00A23FF2&quot;/&gt;&lt;wsp:rsid wsp:val=&quot;00A2437C&quot;/&gt;&lt;wsp:rsid wsp:val=&quot;00A24F34&quot;/&gt;&lt;wsp:rsid wsp:val=&quot;00A25ADF&quot;/&gt;&lt;wsp:rsid wsp:val=&quot;00A25B2D&quot;/&gt;&lt;wsp:rsid wsp:val=&quot;00A25B3C&quot;/&gt;&lt;wsp:rsid wsp:val=&quot;00A26420&quot;/&gt;&lt;wsp:rsid wsp:val=&quot;00A26B23&quot;/&gt;&lt;wsp:rsid wsp:val=&quot;00A26D37&quot;/&gt;&lt;wsp:rsid wsp:val=&quot;00A27070&quot;/&gt;&lt;wsp:rsid wsp:val=&quot;00A2751C&quot;/&gt;&lt;wsp:rsid wsp:val=&quot;00A30410&quot;/&gt;&lt;wsp:rsid wsp:val=&quot;00A30751&quot;/&gt;&lt;wsp:rsid wsp:val=&quot;00A312FA&quot;/&gt;&lt;wsp:rsid wsp:val=&quot;00A31EF2&quot;/&gt;&lt;wsp:rsid wsp:val=&quot;00A32164&quot;/&gt;&lt;wsp:rsid wsp:val=&quot;00A322FB&quot;/&gt;&lt;wsp:rsid wsp:val=&quot;00A323DB&quot;/&gt;&lt;wsp:rsid wsp:val=&quot;00A325B2&quot;/&gt;&lt;wsp:rsid wsp:val=&quot;00A32CD9&quot;/&gt;&lt;wsp:rsid wsp:val=&quot;00A33690&quot;/&gt;&lt;wsp:rsid wsp:val=&quot;00A336D1&quot;/&gt;&lt;wsp:rsid wsp:val=&quot;00A33EDC&quot;/&gt;&lt;wsp:rsid wsp:val=&quot;00A35CE6&quot;/&gt;&lt;wsp:rsid wsp:val=&quot;00A36385&quot;/&gt;&lt;wsp:rsid wsp:val=&quot;00A367FA&quot;/&gt;&lt;wsp:rsid wsp:val=&quot;00A369FB&quot;/&gt;&lt;wsp:rsid wsp:val=&quot;00A36BC7&quot;/&gt;&lt;wsp:rsid wsp:val=&quot;00A36E8F&quot;/&gt;&lt;wsp:rsid wsp:val=&quot;00A372BF&quot;/&gt;&lt;wsp:rsid wsp:val=&quot;00A40254&quot;/&gt;&lt;wsp:rsid wsp:val=&quot;00A42C03&quot;/&gt;&lt;wsp:rsid wsp:val=&quot;00A42D6A&quot;/&gt;&lt;wsp:rsid wsp:val=&quot;00A430C9&quot;/&gt;&lt;wsp:rsid wsp:val=&quot;00A4316C&quot;/&gt;&lt;wsp:rsid wsp:val=&quot;00A433CD&quot;/&gt;&lt;wsp:rsid wsp:val=&quot;00A44288&quot;/&gt;&lt;wsp:rsid wsp:val=&quot;00A45495&quot;/&gt;&lt;wsp:rsid wsp:val=&quot;00A47557&quot;/&gt;&lt;wsp:rsid wsp:val=&quot;00A4775F&quot;/&gt;&lt;wsp:rsid wsp:val=&quot;00A47954&quot;/&gt;&lt;wsp:rsid wsp:val=&quot;00A500C2&quot;/&gt;&lt;wsp:rsid wsp:val=&quot;00A50422&quot;/&gt;&lt;wsp:rsid wsp:val=&quot;00A50D42&quot;/&gt;&lt;wsp:rsid wsp:val=&quot;00A50D64&quot;/&gt;&lt;wsp:rsid wsp:val=&quot;00A5163D&quot;/&gt;&lt;wsp:rsid wsp:val=&quot;00A51721&quot;/&gt;&lt;wsp:rsid wsp:val=&quot;00A52B77&quot;/&gt;&lt;wsp:rsid wsp:val=&quot;00A52EE1&quot;/&gt;&lt;wsp:rsid wsp:val=&quot;00A53851&quot;/&gt;&lt;wsp:rsid wsp:val=&quot;00A54352&quot;/&gt;&lt;wsp:rsid wsp:val=&quot;00A543F9&quot;/&gt;&lt;wsp:rsid wsp:val=&quot;00A5449C&quot;/&gt;&lt;wsp:rsid wsp:val=&quot;00A55625&quot;/&gt;&lt;wsp:rsid wsp:val=&quot;00A56461&quot;/&gt;&lt;wsp:rsid wsp:val=&quot;00A564E1&quot;/&gt;&lt;wsp:rsid wsp:val=&quot;00A56A6F&quot;/&gt;&lt;wsp:rsid wsp:val=&quot;00A60259&quot;/&gt;&lt;wsp:rsid wsp:val=&quot;00A604D4&quot;/&gt;&lt;wsp:rsid wsp:val=&quot;00A60626&quot;/&gt;&lt;wsp:rsid wsp:val=&quot;00A60BF8&quot;/&gt;&lt;wsp:rsid wsp:val=&quot;00A6119E&quot;/&gt;&lt;wsp:rsid wsp:val=&quot;00A617A2&quot;/&gt;&lt;wsp:rsid wsp:val=&quot;00A61C3B&quot;/&gt;&lt;wsp:rsid wsp:val=&quot;00A623E6&quot;/&gt;&lt;wsp:rsid wsp:val=&quot;00A62B53&quot;/&gt;&lt;wsp:rsid wsp:val=&quot;00A62F70&quot;/&gt;&lt;wsp:rsid wsp:val=&quot;00A6333B&quot;/&gt;&lt;wsp:rsid wsp:val=&quot;00A634D0&quot;/&gt;&lt;wsp:rsid wsp:val=&quot;00A63B9A&quot;/&gt;&lt;wsp:rsid wsp:val=&quot;00A64D17&quot;/&gt;&lt;wsp:rsid wsp:val=&quot;00A64EC6&quot;/&gt;&lt;wsp:rsid wsp:val=&quot;00A66006&quot;/&gt;&lt;wsp:rsid wsp:val=&quot;00A66265&quot;/&gt;&lt;wsp:rsid wsp:val=&quot;00A66287&quot;/&gt;&lt;wsp:rsid wsp:val=&quot;00A6708D&quot;/&gt;&lt;wsp:rsid wsp:val=&quot;00A6782A&quot;/&gt;&lt;wsp:rsid wsp:val=&quot;00A705AC&quot;/&gt;&lt;wsp:rsid wsp:val=&quot;00A7161F&quot;/&gt;&lt;wsp:rsid wsp:val=&quot;00A71744&quot;/&gt;&lt;wsp:rsid wsp:val=&quot;00A71DAB&quot;/&gt;&lt;wsp:rsid wsp:val=&quot;00A720C8&quot;/&gt;&lt;wsp:rsid wsp:val=&quot;00A7423A&quot;/&gt;&lt;wsp:rsid wsp:val=&quot;00A7472C&quot;/&gt;&lt;wsp:rsid wsp:val=&quot;00A75686&quot;/&gt;&lt;wsp:rsid wsp:val=&quot;00A75E2D&quot;/&gt;&lt;wsp:rsid wsp:val=&quot;00A7611B&quot;/&gt;&lt;wsp:rsid wsp:val=&quot;00A765B0&quot;/&gt;&lt;wsp:rsid wsp:val=&quot;00A76E46&quot;/&gt;&lt;wsp:rsid wsp:val=&quot;00A76FE9&quot;/&gt;&lt;wsp:rsid wsp:val=&quot;00A77718&quot;/&gt;&lt;wsp:rsid wsp:val=&quot;00A77B97&quot;/&gt;&lt;wsp:rsid wsp:val=&quot;00A828E2&quot;/&gt;&lt;wsp:rsid wsp:val=&quot;00A82F68&quot;/&gt;&lt;wsp:rsid wsp:val=&quot;00A82F6D&quot;/&gt;&lt;wsp:rsid wsp:val=&quot;00A831DB&quot;/&gt;&lt;wsp:rsid wsp:val=&quot;00A8374F&quot;/&gt;&lt;wsp:rsid wsp:val=&quot;00A839A8&quot;/&gt;&lt;wsp:rsid wsp:val=&quot;00A83D95&quot;/&gt;&lt;wsp:rsid wsp:val=&quot;00A83FD5&quot;/&gt;&lt;wsp:rsid wsp:val=&quot;00A846BA&quot;/&gt;&lt;wsp:rsid wsp:val=&quot;00A84A61&quot;/&gt;&lt;wsp:rsid wsp:val=&quot;00A855FF&quot;/&gt;&lt;wsp:rsid wsp:val=&quot;00A85D93&quot;/&gt;&lt;wsp:rsid wsp:val=&quot;00A85E33&quot;/&gt;&lt;wsp:rsid wsp:val=&quot;00A86271&quot;/&gt;&lt;wsp:rsid wsp:val=&quot;00A87317&quot;/&gt;&lt;wsp:rsid wsp:val=&quot;00A8738C&quot;/&gt;&lt;wsp:rsid wsp:val=&quot;00A87E4B&quot;/&gt;&lt;wsp:rsid wsp:val=&quot;00A9013A&quot;/&gt;&lt;wsp:rsid wsp:val=&quot;00A922C4&quot;/&gt;&lt;wsp:rsid wsp:val=&quot;00A92B22&quot;/&gt;&lt;wsp:rsid wsp:val=&quot;00A931B8&quot;/&gt;&lt;wsp:rsid wsp:val=&quot;00A9324F&quot;/&gt;&lt;wsp:rsid wsp:val=&quot;00A9328D&quot;/&gt;&lt;wsp:rsid wsp:val=&quot;00A9489B&quot;/&gt;&lt;wsp:rsid wsp:val=&quot;00A94BB4&quot;/&gt;&lt;wsp:rsid wsp:val=&quot;00A94DC4&quot;/&gt;&lt;wsp:rsid wsp:val=&quot;00A95004&quot;/&gt;&lt;wsp:rsid wsp:val=&quot;00A950F5&quot;/&gt;&lt;wsp:rsid wsp:val=&quot;00A952A6&quot;/&gt;&lt;wsp:rsid wsp:val=&quot;00A96E6F&quot;/&gt;&lt;wsp:rsid wsp:val=&quot;00A97227&quot;/&gt;&lt;wsp:rsid wsp:val=&quot;00A972E4&quot;/&gt;&lt;wsp:rsid wsp:val=&quot;00AA0625&quot;/&gt;&lt;wsp:rsid wsp:val=&quot;00AA0811&quot;/&gt;&lt;wsp:rsid wsp:val=&quot;00AA17EA&quot;/&gt;&lt;wsp:rsid wsp:val=&quot;00AA2825&quot;/&gt;&lt;wsp:rsid wsp:val=&quot;00AA2A50&quot;/&gt;&lt;wsp:rsid wsp:val=&quot;00AA2E9A&quot;/&gt;&lt;wsp:rsid wsp:val=&quot;00AA4044&quot;/&gt;&lt;wsp:rsid wsp:val=&quot;00AA4327&quot;/&gt;&lt;wsp:rsid wsp:val=&quot;00AA484D&quot;/&gt;&lt;wsp:rsid wsp:val=&quot;00AA4B58&quot;/&gt;&lt;wsp:rsid wsp:val=&quot;00AA53CB&quot;/&gt;&lt;wsp:rsid wsp:val=&quot;00AA6489&quot;/&gt;&lt;wsp:rsid wsp:val=&quot;00AA6BDD&quot;/&gt;&lt;wsp:rsid wsp:val=&quot;00AA72B4&quot;/&gt;&lt;wsp:rsid wsp:val=&quot;00AB04C7&quot;/&gt;&lt;wsp:rsid wsp:val=&quot;00AB1809&quot;/&gt;&lt;wsp:rsid wsp:val=&quot;00AB1DF4&quot;/&gt;&lt;wsp:rsid wsp:val=&quot;00AB2854&quot;/&gt;&lt;wsp:rsid wsp:val=&quot;00AB2D59&quot;/&gt;&lt;wsp:rsid wsp:val=&quot;00AB2E24&quot;/&gt;&lt;wsp:rsid wsp:val=&quot;00AB491E&quot;/&gt;&lt;wsp:rsid wsp:val=&quot;00AB4EB1&quot;/&gt;&lt;wsp:rsid wsp:val=&quot;00AB5E03&quot;/&gt;&lt;wsp:rsid wsp:val=&quot;00AC030D&quot;/&gt;&lt;wsp:rsid wsp:val=&quot;00AC0C02&quot;/&gt;&lt;wsp:rsid wsp:val=&quot;00AC11A6&quot;/&gt;&lt;wsp:rsid wsp:val=&quot;00AC1FD7&quot;/&gt;&lt;wsp:rsid wsp:val=&quot;00AC24F7&quot;/&gt;&lt;wsp:rsid wsp:val=&quot;00AC273F&quot;/&gt;&lt;wsp:rsid wsp:val=&quot;00AC2FB2&quot;/&gt;&lt;wsp:rsid wsp:val=&quot;00AC38C0&quot;/&gt;&lt;wsp:rsid wsp:val=&quot;00AC3E59&quot;/&gt;&lt;wsp:rsid wsp:val=&quot;00AC4050&quot;/&gt;&lt;wsp:rsid wsp:val=&quot;00AC4166&quot;/&gt;&lt;wsp:rsid wsp:val=&quot;00AC44BD&quot;/&gt;&lt;wsp:rsid wsp:val=&quot;00AC45B0&quot;/&gt;&lt;wsp:rsid wsp:val=&quot;00AC6BB4&quot;/&gt;&lt;wsp:rsid wsp:val=&quot;00AC6BC0&quot;/&gt;&lt;wsp:rsid wsp:val=&quot;00AC7342&quot;/&gt;&lt;wsp:rsid wsp:val=&quot;00AC78E7&quot;/&gt;&lt;wsp:rsid wsp:val=&quot;00AD22A4&quot;/&gt;&lt;wsp:rsid wsp:val=&quot;00AD30BB&quot;/&gt;&lt;wsp:rsid wsp:val=&quot;00AD40C8&quot;/&gt;&lt;wsp:rsid wsp:val=&quot;00AD43F8&quot;/&gt;&lt;wsp:rsid wsp:val=&quot;00AD54E1&quot;/&gt;&lt;wsp:rsid wsp:val=&quot;00AD5959&quot;/&gt;&lt;wsp:rsid wsp:val=&quot;00AD6EB2&quot;/&gt;&lt;wsp:rsid wsp:val=&quot;00AE1F79&quot;/&gt;&lt;wsp:rsid wsp:val=&quot;00AE2575&quot;/&gt;&lt;wsp:rsid wsp:val=&quot;00AE2896&quot;/&gt;&lt;wsp:rsid wsp:val=&quot;00AE2B83&quot;/&gt;&lt;wsp:rsid wsp:val=&quot;00AE32DD&quot;/&gt;&lt;wsp:rsid wsp:val=&quot;00AE6222&quot;/&gt;&lt;wsp:rsid wsp:val=&quot;00AE781C&quot;/&gt;&lt;wsp:rsid wsp:val=&quot;00AF0115&quot;/&gt;&lt;wsp:rsid wsp:val=&quot;00AF016D&quot;/&gt;&lt;wsp:rsid wsp:val=&quot;00AF06E9&quot;/&gt;&lt;wsp:rsid wsp:val=&quot;00AF11DE&quot;/&gt;&lt;wsp:rsid wsp:val=&quot;00AF12EA&quot;/&gt;&lt;wsp:rsid wsp:val=&quot;00AF16B5&quot;/&gt;&lt;wsp:rsid wsp:val=&quot;00AF203B&quot;/&gt;&lt;wsp:rsid wsp:val=&quot;00AF20C4&quot;/&gt;&lt;wsp:rsid wsp:val=&quot;00AF2408&quot;/&gt;&lt;wsp:rsid wsp:val=&quot;00AF27FF&quot;/&gt;&lt;wsp:rsid wsp:val=&quot;00AF2A32&quot;/&gt;&lt;wsp:rsid wsp:val=&quot;00AF2D50&quot;/&gt;&lt;wsp:rsid wsp:val=&quot;00AF32DE&quot;/&gt;&lt;wsp:rsid wsp:val=&quot;00AF3BD2&quot;/&gt;&lt;wsp:rsid wsp:val=&quot;00AF4C48&quot;/&gt;&lt;wsp:rsid wsp:val=&quot;00AF4CD6&quot;/&gt;&lt;wsp:rsid wsp:val=&quot;00AF4F44&quot;/&gt;&lt;wsp:rsid wsp:val=&quot;00AF5868&quot;/&gt;&lt;wsp:rsid wsp:val=&quot;00AF5A20&quot;/&gt;&lt;wsp:rsid wsp:val=&quot;00AF5ACE&quot;/&gt;&lt;wsp:rsid wsp:val=&quot;00AF5AD3&quot;/&gt;&lt;wsp:rsid wsp:val=&quot;00AF5F16&quot;/&gt;&lt;wsp:rsid wsp:val=&quot;00B00860&quot;/&gt;&lt;wsp:rsid wsp:val=&quot;00B00E5D&quot;/&gt;&lt;wsp:rsid wsp:val=&quot;00B010D2&quot;/&gt;&lt;wsp:rsid wsp:val=&quot;00B0156A&quot;/&gt;&lt;wsp:rsid wsp:val=&quot;00B017BA&quot;/&gt;&lt;wsp:rsid wsp:val=&quot;00B019D3&quot;/&gt;&lt;wsp:rsid wsp:val=&quot;00B01AB7&quot;/&gt;&lt;wsp:rsid wsp:val=&quot;00B02F02&quot;/&gt;&lt;wsp:rsid wsp:val=&quot;00B031F7&quot;/&gt;&lt;wsp:rsid wsp:val=&quot;00B0370E&quot;/&gt;&lt;wsp:rsid wsp:val=&quot;00B03DE1&quot;/&gt;&lt;wsp:rsid wsp:val=&quot;00B03E68&quot;/&gt;&lt;wsp:rsid wsp:val=&quot;00B04D31&quot;/&gt;&lt;wsp:rsid wsp:val=&quot;00B05204&quot;/&gt;&lt;wsp:rsid wsp:val=&quot;00B05DAB&quot;/&gt;&lt;wsp:rsid wsp:val=&quot;00B0648F&quot;/&gt;&lt;wsp:rsid wsp:val=&quot;00B067CF&quot;/&gt;&lt;wsp:rsid wsp:val=&quot;00B06CED&quot;/&gt;&lt;wsp:rsid wsp:val=&quot;00B0755C&quot;/&gt;&lt;wsp:rsid wsp:val=&quot;00B07C17&quot;/&gt;&lt;wsp:rsid wsp:val=&quot;00B10380&quot;/&gt;&lt;wsp:rsid wsp:val=&quot;00B10421&quot;/&gt;&lt;wsp:rsid wsp:val=&quot;00B10A6B&quot;/&gt;&lt;wsp:rsid wsp:val=&quot;00B11951&quot;/&gt;&lt;wsp:rsid wsp:val=&quot;00B1264A&quot;/&gt;&lt;wsp:rsid wsp:val=&quot;00B1355A&quot;/&gt;&lt;wsp:rsid wsp:val=&quot;00B14F6E&quot;/&gt;&lt;wsp:rsid wsp:val=&quot;00B15767&quot;/&gt;&lt;wsp:rsid wsp:val=&quot;00B1614E&quot;/&gt;&lt;wsp:rsid wsp:val=&quot;00B164C5&quot;/&gt;&lt;wsp:rsid wsp:val=&quot;00B204A7&quot;/&gt;&lt;wsp:rsid wsp:val=&quot;00B21229&quot;/&gt;&lt;wsp:rsid wsp:val=&quot;00B215F0&quot;/&gt;&lt;wsp:rsid wsp:val=&quot;00B2181B&quot;/&gt;&lt;wsp:rsid wsp:val=&quot;00B2190A&quot;/&gt;&lt;wsp:rsid wsp:val=&quot;00B22824&quot;/&gt;&lt;wsp:rsid wsp:val=&quot;00B235BF&quot;/&gt;&lt;wsp:rsid wsp:val=&quot;00B24695&quot;/&gt;&lt;wsp:rsid wsp:val=&quot;00B246FE&quot;/&gt;&lt;wsp:rsid wsp:val=&quot;00B24E7C&quot;/&gt;&lt;wsp:rsid wsp:val=&quot;00B258C5&quot;/&gt;&lt;wsp:rsid wsp:val=&quot;00B25F03&quot;/&gt;&lt;wsp:rsid wsp:val=&quot;00B27053&quot;/&gt;&lt;wsp:rsid wsp:val=&quot;00B27158&quot;/&gt;&lt;wsp:rsid wsp:val=&quot;00B27218&quot;/&gt;&lt;wsp:rsid wsp:val=&quot;00B272CA&quot;/&gt;&lt;wsp:rsid wsp:val=&quot;00B272E3&quot;/&gt;&lt;wsp:rsid wsp:val=&quot;00B30893&quot;/&gt;&lt;wsp:rsid wsp:val=&quot;00B310F6&quot;/&gt;&lt;wsp:rsid wsp:val=&quot;00B31293&quot;/&gt;&lt;wsp:rsid wsp:val=&quot;00B319F2&quot;/&gt;&lt;wsp:rsid wsp:val=&quot;00B31AE3&quot;/&gt;&lt;wsp:rsid wsp:val=&quot;00B32202&quot;/&gt;&lt;wsp:rsid wsp:val=&quot;00B32EC4&quot;/&gt;&lt;wsp:rsid wsp:val=&quot;00B332EA&quot;/&gt;&lt;wsp:rsid wsp:val=&quot;00B34303&quot;/&gt;&lt;wsp:rsid wsp:val=&quot;00B344ED&quot;/&gt;&lt;wsp:rsid wsp:val=&quot;00B345F3&quot;/&gt;&lt;wsp:rsid wsp:val=&quot;00B35492&quot;/&gt;&lt;wsp:rsid wsp:val=&quot;00B358E9&quot;/&gt;&lt;wsp:rsid wsp:val=&quot;00B359B0&quot;/&gt;&lt;wsp:rsid wsp:val=&quot;00B35F7C&quot;/&gt;&lt;wsp:rsid wsp:val=&quot;00B365E0&quot;/&gt;&lt;wsp:rsid wsp:val=&quot;00B36F84&quot;/&gt;&lt;wsp:rsid wsp:val=&quot;00B36FC4&quot;/&gt;&lt;wsp:rsid wsp:val=&quot;00B37142&quot;/&gt;&lt;wsp:rsid wsp:val=&quot;00B40652&quot;/&gt;&lt;wsp:rsid wsp:val=&quot;00B40A8F&quot;/&gt;&lt;wsp:rsid wsp:val=&quot;00B40D08&quot;/&gt;&lt;wsp:rsid wsp:val=&quot;00B40E7B&quot;/&gt;&lt;wsp:rsid wsp:val=&quot;00B410A5&quot;/&gt;&lt;wsp:rsid wsp:val=&quot;00B4225E&quot;/&gt;&lt;wsp:rsid wsp:val=&quot;00B428D1&quot;/&gt;&lt;wsp:rsid wsp:val=&quot;00B429AF&quot;/&gt;&lt;wsp:rsid wsp:val=&quot;00B42CF0&quot;/&gt;&lt;wsp:rsid wsp:val=&quot;00B43170&quot;/&gt;&lt;wsp:rsid wsp:val=&quot;00B43236&quot;/&gt;&lt;wsp:rsid wsp:val=&quot;00B43D60&quot;/&gt;&lt;wsp:rsid wsp:val=&quot;00B44DFB&quot;/&gt;&lt;wsp:rsid wsp:val=&quot;00B4510F&quot;/&gt;&lt;wsp:rsid wsp:val=&quot;00B451C0&quot;/&gt;&lt;wsp:rsid wsp:val=&quot;00B46A50&quot;/&gt;&lt;wsp:rsid wsp:val=&quot;00B46BF1&quot;/&gt;&lt;wsp:rsid wsp:val=&quot;00B46BF3&quot;/&gt;&lt;wsp:rsid wsp:val=&quot;00B46C08&quot;/&gt;&lt;wsp:rsid wsp:val=&quot;00B46E9B&quot;/&gt;&lt;wsp:rsid wsp:val=&quot;00B473CA&quot;/&gt;&lt;wsp:rsid wsp:val=&quot;00B50560&quot;/&gt;&lt;wsp:rsid wsp:val=&quot;00B50586&quot;/&gt;&lt;wsp:rsid wsp:val=&quot;00B50957&quot;/&gt;&lt;wsp:rsid wsp:val=&quot;00B516FB&quot;/&gt;&lt;wsp:rsid wsp:val=&quot;00B51B30&quot;/&gt;&lt;wsp:rsid wsp:val=&quot;00B51FED&quot;/&gt;&lt;wsp:rsid wsp:val=&quot;00B521F6&quot;/&gt;&lt;wsp:rsid wsp:val=&quot;00B528BD&quot;/&gt;&lt;wsp:rsid wsp:val=&quot;00B5362D&quot;/&gt;&lt;wsp:rsid wsp:val=&quot;00B53AB4&quot;/&gt;&lt;wsp:rsid wsp:val=&quot;00B53FCA&quot;/&gt;&lt;wsp:rsid wsp:val=&quot;00B55BAB&quot;/&gt;&lt;wsp:rsid wsp:val=&quot;00B55F7F&quot;/&gt;&lt;wsp:rsid wsp:val=&quot;00B5626A&quot;/&gt;&lt;wsp:rsid wsp:val=&quot;00B5638B&quot;/&gt;&lt;wsp:rsid wsp:val=&quot;00B56652&quot;/&gt;&lt;wsp:rsid wsp:val=&quot;00B569E4&quot;/&gt;&lt;wsp:rsid wsp:val=&quot;00B56F4C&quot;/&gt;&lt;wsp:rsid wsp:val=&quot;00B6055E&quot;/&gt;&lt;wsp:rsid wsp:val=&quot;00B605A6&quot;/&gt;&lt;wsp:rsid wsp:val=&quot;00B60A16&quot;/&gt;&lt;wsp:rsid wsp:val=&quot;00B60C71&quot;/&gt;&lt;wsp:rsid wsp:val=&quot;00B60CAF&quot;/&gt;&lt;wsp:rsid wsp:val=&quot;00B6130A&quot;/&gt;&lt;wsp:rsid wsp:val=&quot;00B61D42&quot;/&gt;&lt;wsp:rsid wsp:val=&quot;00B61F49&quot;/&gt;&lt;wsp:rsid wsp:val=&quot;00B62346&quot;/&gt;&lt;wsp:rsid wsp:val=&quot;00B624E3&quot;/&gt;&lt;wsp:rsid wsp:val=&quot;00B62DD4&quot;/&gt;&lt;wsp:rsid wsp:val=&quot;00B635EA&quot;/&gt;&lt;wsp:rsid wsp:val=&quot;00B639E4&quot;/&gt;&lt;wsp:rsid wsp:val=&quot;00B63D87&quot;/&gt;&lt;wsp:rsid wsp:val=&quot;00B63E5E&quot;/&gt;&lt;wsp:rsid wsp:val=&quot;00B65103&quot;/&gt;&lt;wsp:rsid wsp:val=&quot;00B66089&quot;/&gt;&lt;wsp:rsid wsp:val=&quot;00B660E8&quot;/&gt;&lt;wsp:rsid wsp:val=&quot;00B664A0&quot;/&gt;&lt;wsp:rsid wsp:val=&quot;00B6664A&quot;/&gt;&lt;wsp:rsid wsp:val=&quot;00B668C8&quot;/&gt;&lt;wsp:rsid wsp:val=&quot;00B6715C&quot;/&gt;&lt;wsp:rsid wsp:val=&quot;00B67939&quot;/&gt;&lt;wsp:rsid wsp:val=&quot;00B67BDB&quot;/&gt;&lt;wsp:rsid wsp:val=&quot;00B70432&quot;/&gt;&lt;wsp:rsid wsp:val=&quot;00B7126F&quot;/&gt;&lt;wsp:rsid wsp:val=&quot;00B713E3&quot;/&gt;&lt;wsp:rsid wsp:val=&quot;00B715FC&quot;/&gt;&lt;wsp:rsid wsp:val=&quot;00B7161A&quot;/&gt;&lt;wsp:rsid wsp:val=&quot;00B719A9&quot;/&gt;&lt;wsp:rsid wsp:val=&quot;00B71FC8&quot;/&gt;&lt;wsp:rsid wsp:val=&quot;00B722C4&quot;/&gt;&lt;wsp:rsid wsp:val=&quot;00B724AA&quot;/&gt;&lt;wsp:rsid wsp:val=&quot;00B7349C&quot;/&gt;&lt;wsp:rsid wsp:val=&quot;00B7360A&quot;/&gt;&lt;wsp:rsid wsp:val=&quot;00B73DA5&quot;/&gt;&lt;wsp:rsid wsp:val=&quot;00B7403B&quot;/&gt;&lt;wsp:rsid wsp:val=&quot;00B7489E&quot;/&gt;&lt;wsp:rsid wsp:val=&quot;00B74D56&quot;/&gt;&lt;wsp:rsid wsp:val=&quot;00B75202&quot;/&gt;&lt;wsp:rsid wsp:val=&quot;00B75262&quot;/&gt;&lt;wsp:rsid wsp:val=&quot;00B75301&quot;/&gt;&lt;wsp:rsid wsp:val=&quot;00B756E9&quot;/&gt;&lt;wsp:rsid wsp:val=&quot;00B75F7C&quot;/&gt;&lt;wsp:rsid wsp:val=&quot;00B766C8&quot;/&gt;&lt;wsp:rsid wsp:val=&quot;00B77CD7&quot;/&gt;&lt;wsp:rsid wsp:val=&quot;00B77F1C&quot;/&gt;&lt;wsp:rsid wsp:val=&quot;00B800E6&quot;/&gt;&lt;wsp:rsid wsp:val=&quot;00B80134&quot;/&gt;&lt;wsp:rsid wsp:val=&quot;00B80A1B&quot;/&gt;&lt;wsp:rsid wsp:val=&quot;00B815EB&quot;/&gt;&lt;wsp:rsid wsp:val=&quot;00B824F9&quot;/&gt;&lt;wsp:rsid wsp:val=&quot;00B8463E&quot;/&gt;&lt;wsp:rsid wsp:val=&quot;00B84930&quot;/&gt;&lt;wsp:rsid wsp:val=&quot;00B85075&quot;/&gt;&lt;wsp:rsid wsp:val=&quot;00B865F3&quot;/&gt;&lt;wsp:rsid wsp:val=&quot;00B8667B&quot;/&gt;&lt;wsp:rsid wsp:val=&quot;00B868E5&quot;/&gt;&lt;wsp:rsid wsp:val=&quot;00B87196&quot;/&gt;&lt;wsp:rsid wsp:val=&quot;00B8723C&quot;/&gt;&lt;wsp:rsid wsp:val=&quot;00B90166&quot;/&gt;&lt;wsp:rsid wsp:val=&quot;00B90597&quot;/&gt;&lt;wsp:rsid wsp:val=&quot;00B9086D&quot;/&gt;&lt;wsp:rsid wsp:val=&quot;00B90A32&quot;/&gt;&lt;wsp:rsid wsp:val=&quot;00B9101C&quot;/&gt;&lt;wsp:rsid wsp:val=&quot;00B9172D&quot;/&gt;&lt;wsp:rsid wsp:val=&quot;00B918E6&quot;/&gt;&lt;wsp:rsid wsp:val=&quot;00B92573&quot;/&gt;&lt;wsp:rsid wsp:val=&quot;00B93142&quot;/&gt;&lt;wsp:rsid wsp:val=&quot;00B936CB&quot;/&gt;&lt;wsp:rsid wsp:val=&quot;00B93B6E&quot;/&gt;&lt;wsp:rsid wsp:val=&quot;00B94754&quot;/&gt;&lt;wsp:rsid wsp:val=&quot;00B95747&quot;/&gt;&lt;wsp:rsid wsp:val=&quot;00B97CE0&quot;/&gt;&lt;wsp:rsid wsp:val=&quot;00B97DDF&quot;/&gt;&lt;wsp:rsid wsp:val=&quot;00BA0398&quot;/&gt;&lt;wsp:rsid wsp:val=&quot;00BA0432&quot;/&gt;&lt;wsp:rsid wsp:val=&quot;00BA06A0&quot;/&gt;&lt;wsp:rsid wsp:val=&quot;00BA1074&quot;/&gt;&lt;wsp:rsid wsp:val=&quot;00BA1328&quot;/&gt;&lt;wsp:rsid wsp:val=&quot;00BA142E&quot;/&gt;&lt;wsp:rsid wsp:val=&quot;00BA2028&quot;/&gt;&lt;wsp:rsid wsp:val=&quot;00BA3231&quot;/&gt;&lt;wsp:rsid wsp:val=&quot;00BA4182&quot;/&gt;&lt;wsp:rsid wsp:val=&quot;00BA424A&quot;/&gt;&lt;wsp:rsid wsp:val=&quot;00BA56B3&quot;/&gt;&lt;wsp:rsid wsp:val=&quot;00BA578E&quot;/&gt;&lt;wsp:rsid wsp:val=&quot;00BA58CA&quot;/&gt;&lt;wsp:rsid wsp:val=&quot;00BA78DA&quot;/&gt;&lt;wsp:rsid wsp:val=&quot;00BA7994&quot;/&gt;&lt;wsp:rsid wsp:val=&quot;00BB0C00&quot;/&gt;&lt;wsp:rsid wsp:val=&quot;00BB132E&quot;/&gt;&lt;wsp:rsid wsp:val=&quot;00BB1437&quot;/&gt;&lt;wsp:rsid wsp:val=&quot;00BB233A&quot;/&gt;&lt;wsp:rsid wsp:val=&quot;00BB3B57&quot;/&gt;&lt;wsp:rsid wsp:val=&quot;00BB3EA5&quot;/&gt;&lt;wsp:rsid wsp:val=&quot;00BB444E&quot;/&gt;&lt;wsp:rsid wsp:val=&quot;00BB49D8&quot;/&gt;&lt;wsp:rsid wsp:val=&quot;00BB5257&quot;/&gt;&lt;wsp:rsid wsp:val=&quot;00BB5D38&quot;/&gt;&lt;wsp:rsid wsp:val=&quot;00BB6199&quot;/&gt;&lt;wsp:rsid wsp:val=&quot;00BB6924&quot;/&gt;&lt;wsp:rsid wsp:val=&quot;00BB69DA&quot;/&gt;&lt;wsp:rsid wsp:val=&quot;00BB6E7F&quot;/&gt;&lt;wsp:rsid wsp:val=&quot;00BB7BC7&quot;/&gt;&lt;wsp:rsid wsp:val=&quot;00BC02E8&quot;/&gt;&lt;wsp:rsid wsp:val=&quot;00BC3646&quot;/&gt;&lt;wsp:rsid wsp:val=&quot;00BC4019&quot;/&gt;&lt;wsp:rsid wsp:val=&quot;00BC4FB4&quot;/&gt;&lt;wsp:rsid wsp:val=&quot;00BC51D0&quot;/&gt;&lt;wsp:rsid wsp:val=&quot;00BC53F1&quot;/&gt;&lt;wsp:rsid wsp:val=&quot;00BC5C25&quot;/&gt;&lt;wsp:rsid wsp:val=&quot;00BC5D52&quot;/&gt;&lt;wsp:rsid wsp:val=&quot;00BC60C7&quot;/&gt;&lt;wsp:rsid wsp:val=&quot;00BC690E&quot;/&gt;&lt;wsp:rsid wsp:val=&quot;00BC71C8&quot;/&gt;&lt;wsp:rsid wsp:val=&quot;00BC7AB1&quot;/&gt;&lt;wsp:rsid wsp:val=&quot;00BD0085&quot;/&gt;&lt;wsp:rsid wsp:val=&quot;00BD19C5&quot;/&gt;&lt;wsp:rsid wsp:val=&quot;00BD1DBC&quot;/&gt;&lt;wsp:rsid wsp:val=&quot;00BD21B4&quot;/&gt;&lt;wsp:rsid wsp:val=&quot;00BD2393&quot;/&gt;&lt;wsp:rsid wsp:val=&quot;00BD32F2&quot;/&gt;&lt;wsp:rsid wsp:val=&quot;00BD4E88&quot;/&gt;&lt;wsp:rsid wsp:val=&quot;00BD5688&quot;/&gt;&lt;wsp:rsid wsp:val=&quot;00BD58E3&quot;/&gt;&lt;wsp:rsid wsp:val=&quot;00BD59BF&quot;/&gt;&lt;wsp:rsid wsp:val=&quot;00BD60DE&quot;/&gt;&lt;wsp:rsid wsp:val=&quot;00BD62CA&quot;/&gt;&lt;wsp:rsid wsp:val=&quot;00BD67CA&quot;/&gt;&lt;wsp:rsid wsp:val=&quot;00BD68C4&quot;/&gt;&lt;wsp:rsid wsp:val=&quot;00BD7019&quot;/&gt;&lt;wsp:rsid wsp:val=&quot;00BD7211&quot;/&gt;&lt;wsp:rsid wsp:val=&quot;00BD773D&quot;/&gt;&lt;wsp:rsid wsp:val=&quot;00BD7C62&quot;/&gt;&lt;wsp:rsid wsp:val=&quot;00BD7F8A&quot;/&gt;&lt;wsp:rsid wsp:val=&quot;00BE00DA&quot;/&gt;&lt;wsp:rsid wsp:val=&quot;00BE030C&quot;/&gt;&lt;wsp:rsid wsp:val=&quot;00BE0424&quot;/&gt;&lt;wsp:rsid wsp:val=&quot;00BE05D7&quot;/&gt;&lt;wsp:rsid wsp:val=&quot;00BE079B&quot;/&gt;&lt;wsp:rsid wsp:val=&quot;00BE08C9&quot;/&gt;&lt;wsp:rsid wsp:val=&quot;00BE0DBC&quot;/&gt;&lt;wsp:rsid wsp:val=&quot;00BE101C&quot;/&gt;&lt;wsp:rsid wsp:val=&quot;00BE1DF2&quot;/&gt;&lt;wsp:rsid wsp:val=&quot;00BE1E71&quot;/&gt;&lt;wsp:rsid wsp:val=&quot;00BE3926&quot;/&gt;&lt;wsp:rsid wsp:val=&quot;00BE3DDF&quot;/&gt;&lt;wsp:rsid wsp:val=&quot;00BE4B38&quot;/&gt;&lt;wsp:rsid wsp:val=&quot;00BE644B&quot;/&gt;&lt;wsp:rsid wsp:val=&quot;00BE6877&quot;/&gt;&lt;wsp:rsid wsp:val=&quot;00BE6CDD&quot;/&gt;&lt;wsp:rsid wsp:val=&quot;00BE737F&quot;/&gt;&lt;wsp:rsid wsp:val=&quot;00BE7702&quot;/&gt;&lt;wsp:rsid wsp:val=&quot;00BE7C3D&quot;/&gt;&lt;wsp:rsid wsp:val=&quot;00BF0539&quot;/&gt;&lt;wsp:rsid wsp:val=&quot;00BF0FA7&quot;/&gt;&lt;wsp:rsid wsp:val=&quot;00BF2151&quot;/&gt;&lt;wsp:rsid wsp:val=&quot;00BF2B6C&quot;/&gt;&lt;wsp:rsid wsp:val=&quot;00BF2ECD&quot;/&gt;&lt;wsp:rsid wsp:val=&quot;00BF37E4&quot;/&gt;&lt;wsp:rsid wsp:val=&quot;00BF3957&quot;/&gt;&lt;wsp:rsid wsp:val=&quot;00BF3B11&quot;/&gt;&lt;wsp:rsid wsp:val=&quot;00BF47B4&quot;/&gt;&lt;wsp:rsid wsp:val=&quot;00BF4A8F&quot;/&gt;&lt;wsp:rsid wsp:val=&quot;00BF4BDF&quot;/&gt;&lt;wsp:rsid wsp:val=&quot;00BF55C6&quot;/&gt;&lt;wsp:rsid wsp:val=&quot;00BF6606&quot;/&gt;&lt;wsp:rsid wsp:val=&quot;00BF6869&quot;/&gt;&lt;wsp:rsid wsp:val=&quot;00BF6CC4&quot;/&gt;&lt;wsp:rsid wsp:val=&quot;00BF75BE&quot;/&gt;&lt;wsp:rsid wsp:val=&quot;00BF761B&quot;/&gt;&lt;wsp:rsid wsp:val=&quot;00C001FF&quot;/&gt;&lt;wsp:rsid wsp:val=&quot;00C006B5&quot;/&gt;&lt;wsp:rsid wsp:val=&quot;00C006F6&quot;/&gt;&lt;wsp:rsid wsp:val=&quot;00C00BD4&quot;/&gt;&lt;wsp:rsid wsp:val=&quot;00C02166&quot;/&gt;&lt;wsp:rsid wsp:val=&quot;00C02777&quot;/&gt;&lt;wsp:rsid wsp:val=&quot;00C02FF6&quot;/&gt;&lt;wsp:rsid wsp:val=&quot;00C03091&quot;/&gt;&lt;wsp:rsid wsp:val=&quot;00C0347A&quot;/&gt;&lt;wsp:rsid wsp:val=&quot;00C0376E&quot;/&gt;&lt;wsp:rsid wsp:val=&quot;00C0436C&quot;/&gt;&lt;wsp:rsid wsp:val=&quot;00C04E08&quot;/&gt;&lt;wsp:rsid wsp:val=&quot;00C05D95&quot;/&gt;&lt;wsp:rsid wsp:val=&quot;00C0602B&quot;/&gt;&lt;wsp:rsid wsp:val=&quot;00C07376&quot;/&gt;&lt;wsp:rsid wsp:val=&quot;00C0778C&quot;/&gt;&lt;wsp:rsid wsp:val=&quot;00C07AB3&quot;/&gt;&lt;wsp:rsid wsp:val=&quot;00C1044C&quot;/&gt;&lt;wsp:rsid wsp:val=&quot;00C104C0&quot;/&gt;&lt;wsp:rsid wsp:val=&quot;00C10660&quot;/&gt;&lt;wsp:rsid wsp:val=&quot;00C10D6D&quot;/&gt;&lt;wsp:rsid wsp:val=&quot;00C111A2&quot;/&gt;&lt;wsp:rsid wsp:val=&quot;00C11342&quot;/&gt;&lt;wsp:rsid wsp:val=&quot;00C1214B&quot;/&gt;&lt;wsp:rsid wsp:val=&quot;00C12BC3&quot;/&gt;&lt;wsp:rsid wsp:val=&quot;00C13538&quot;/&gt;&lt;wsp:rsid wsp:val=&quot;00C13777&quot;/&gt;&lt;wsp:rsid wsp:val=&quot;00C1595B&quot;/&gt;&lt;wsp:rsid wsp:val=&quot;00C16810&quot;/&gt;&lt;wsp:rsid wsp:val=&quot;00C17D9B&quot;/&gt;&lt;wsp:rsid wsp:val=&quot;00C20877&quot;/&gt;&lt;wsp:rsid wsp:val=&quot;00C2127F&quot;/&gt;&lt;wsp:rsid wsp:val=&quot;00C213C0&quot;/&gt;&lt;wsp:rsid wsp:val=&quot;00C2289A&quot;/&gt;&lt;wsp:rsid wsp:val=&quot;00C2371F&quot;/&gt;&lt;wsp:rsid wsp:val=&quot;00C24720&quot;/&gt;&lt;wsp:rsid wsp:val=&quot;00C24939&quot;/&gt;&lt;wsp:rsid wsp:val=&quot;00C24BEC&quot;/&gt;&lt;wsp:rsid wsp:val=&quot;00C25148&quot;/&gt;&lt;wsp:rsid wsp:val=&quot;00C25B4F&quot;/&gt;&lt;wsp:rsid wsp:val=&quot;00C25C52&quot;/&gt;&lt;wsp:rsid wsp:val=&quot;00C26985&quot;/&gt;&lt;wsp:rsid wsp:val=&quot;00C27C16&quot;/&gt;&lt;wsp:rsid wsp:val=&quot;00C27EF3&quot;/&gt;&lt;wsp:rsid wsp:val=&quot;00C3145B&quot;/&gt;&lt;wsp:rsid wsp:val=&quot;00C31549&quot;/&gt;&lt;wsp:rsid wsp:val=&quot;00C315DD&quot;/&gt;&lt;wsp:rsid wsp:val=&quot;00C31B4A&quot;/&gt;&lt;wsp:rsid wsp:val=&quot;00C31F2F&quot;/&gt;&lt;wsp:rsid wsp:val=&quot;00C32B56&quot;/&gt;&lt;wsp:rsid wsp:val=&quot;00C33AFE&quot;/&gt;&lt;wsp:rsid wsp:val=&quot;00C340FF&quot;/&gt;&lt;wsp:rsid wsp:val=&quot;00C34223&quot;/&gt;&lt;wsp:rsid wsp:val=&quot;00C34A61&quot;/&gt;&lt;wsp:rsid wsp:val=&quot;00C34F9A&quot;/&gt;&lt;wsp:rsid wsp:val=&quot;00C35697&quot;/&gt;&lt;wsp:rsid wsp:val=&quot;00C36450&quot;/&gt;&lt;wsp:rsid wsp:val=&quot;00C3688A&quot;/&gt;&lt;wsp:rsid wsp:val=&quot;00C37E5F&quot;/&gt;&lt;wsp:rsid wsp:val=&quot;00C40043&quot;/&gt;&lt;wsp:rsid wsp:val=&quot;00C40D14&quot;/&gt;&lt;wsp:rsid wsp:val=&quot;00C41EB3&quot;/&gt;&lt;wsp:rsid wsp:val=&quot;00C42559&quot;/&gt;&lt;wsp:rsid wsp:val=&quot;00C42A20&quot;/&gt;&lt;wsp:rsid wsp:val=&quot;00C442FC&quot;/&gt;&lt;wsp:rsid wsp:val=&quot;00C447F7&quot;/&gt;&lt;wsp:rsid wsp:val=&quot;00C44C86&quot;/&gt;&lt;wsp:rsid wsp:val=&quot;00C45055&quot;/&gt;&lt;wsp:rsid wsp:val=&quot;00C45080&quot;/&gt;&lt;wsp:rsid wsp:val=&quot;00C45ACA&quot;/&gt;&lt;wsp:rsid wsp:val=&quot;00C45CB3&quot;/&gt;&lt;wsp:rsid wsp:val=&quot;00C46EF4&quot;/&gt;&lt;wsp:rsid wsp:val=&quot;00C476C1&quot;/&gt;&lt;wsp:rsid wsp:val=&quot;00C502C3&quot;/&gt;&lt;wsp:rsid wsp:val=&quot;00C503D2&quot;/&gt;&lt;wsp:rsid wsp:val=&quot;00C50E03&quot;/&gt;&lt;wsp:rsid wsp:val=&quot;00C51322&quot;/&gt;&lt;wsp:rsid wsp:val=&quot;00C515B6&quot;/&gt;&lt;wsp:rsid wsp:val=&quot;00C518E0&quot;/&gt;&lt;wsp:rsid wsp:val=&quot;00C5304C&quot;/&gt;&lt;wsp:rsid wsp:val=&quot;00C55074&quot;/&gt;&lt;wsp:rsid wsp:val=&quot;00C56058&quot;/&gt;&lt;wsp:rsid wsp:val=&quot;00C5633A&quot;/&gt;&lt;wsp:rsid wsp:val=&quot;00C56F0C&quot;/&gt;&lt;wsp:rsid wsp:val=&quot;00C56F9C&quot;/&gt;&lt;wsp:rsid wsp:val=&quot;00C5744C&quot;/&gt;&lt;wsp:rsid wsp:val=&quot;00C57550&quot;/&gt;&lt;wsp:rsid wsp:val=&quot;00C57744&quot;/&gt;&lt;wsp:rsid wsp:val=&quot;00C57D3F&quot;/&gt;&lt;wsp:rsid wsp:val=&quot;00C57E20&quot;/&gt;&lt;wsp:rsid wsp:val=&quot;00C57EB7&quot;/&gt;&lt;wsp:rsid wsp:val=&quot;00C60C22&quot;/&gt;&lt;wsp:rsid wsp:val=&quot;00C60E89&quot;/&gt;&lt;wsp:rsid wsp:val=&quot;00C61094&quot;/&gt;&lt;wsp:rsid wsp:val=&quot;00C6168C&quot;/&gt;&lt;wsp:rsid wsp:val=&quot;00C62A99&quot;/&gt;&lt;wsp:rsid wsp:val=&quot;00C6342C&quot;/&gt;&lt;wsp:rsid wsp:val=&quot;00C6441D&quot;/&gt;&lt;wsp:rsid wsp:val=&quot;00C649D1&quot;/&gt;&lt;wsp:rsid wsp:val=&quot;00C6521C&quot;/&gt;&lt;wsp:rsid wsp:val=&quot;00C65244&quot;/&gt;&lt;wsp:rsid wsp:val=&quot;00C65796&quot;/&gt;&lt;wsp:rsid wsp:val=&quot;00C66A34&quot;/&gt;&lt;wsp:rsid wsp:val=&quot;00C670F8&quot;/&gt;&lt;wsp:rsid wsp:val=&quot;00C67B90&quot;/&gt;&lt;wsp:rsid wsp:val=&quot;00C70DC1&quot;/&gt;&lt;wsp:rsid wsp:val=&quot;00C70EB4&quot;/&gt;&lt;wsp:rsid wsp:val=&quot;00C72378&quot;/&gt;&lt;wsp:rsid wsp:val=&quot;00C72498&quot;/&gt;&lt;wsp:rsid wsp:val=&quot;00C7263A&quot;/&gt;&lt;wsp:rsid wsp:val=&quot;00C7284A&quot;/&gt;&lt;wsp:rsid wsp:val=&quot;00C72E29&quot;/&gt;&lt;wsp:rsid wsp:val=&quot;00C7308D&quot;/&gt;&lt;wsp:rsid wsp:val=&quot;00C73D63&quot;/&gt;&lt;wsp:rsid wsp:val=&quot;00C73FE1&quot;/&gt;&lt;wsp:rsid wsp:val=&quot;00C748F2&quot;/&gt;&lt;wsp:rsid wsp:val=&quot;00C74DEE&quot;/&gt;&lt;wsp:rsid wsp:val=&quot;00C7526A&quot;/&gt;&lt;wsp:rsid wsp:val=&quot;00C752A0&quot;/&gt;&lt;wsp:rsid wsp:val=&quot;00C7551F&quot;/&gt;&lt;wsp:rsid wsp:val=&quot;00C756BB&quot;/&gt;&lt;wsp:rsid wsp:val=&quot;00C756C5&quot;/&gt;&lt;wsp:rsid wsp:val=&quot;00C76A09&quot;/&gt;&lt;wsp:rsid wsp:val=&quot;00C77B0A&quot;/&gt;&lt;wsp:rsid wsp:val=&quot;00C80744&quot;/&gt;&lt;wsp:rsid wsp:val=&quot;00C808C7&quot;/&gt;&lt;wsp:rsid wsp:val=&quot;00C829D6&quot;/&gt;&lt;wsp:rsid wsp:val=&quot;00C83A9C&quot;/&gt;&lt;wsp:rsid wsp:val=&quot;00C83D87&quot;/&gt;&lt;wsp:rsid wsp:val=&quot;00C84682&quot;/&gt;&lt;wsp:rsid wsp:val=&quot;00C85B96&quot;/&gt;&lt;wsp:rsid wsp:val=&quot;00C85C23&quot;/&gt;&lt;wsp:rsid wsp:val=&quot;00C86559&quot;/&gt;&lt;wsp:rsid wsp:val=&quot;00C87650&quot;/&gt;&lt;wsp:rsid wsp:val=&quot;00C879AA&quot;/&gt;&lt;wsp:rsid wsp:val=&quot;00C87C34&quot;/&gt;&lt;wsp:rsid wsp:val=&quot;00C87E71&quot;/&gt;&lt;wsp:rsid wsp:val=&quot;00C907FF&quot;/&gt;&lt;wsp:rsid wsp:val=&quot;00C909FC&quot;/&gt;&lt;wsp:rsid wsp:val=&quot;00C90DEF&quot;/&gt;&lt;wsp:rsid wsp:val=&quot;00C910F1&quot;/&gt;&lt;wsp:rsid wsp:val=&quot;00C916A3&quot;/&gt;&lt;wsp:rsid wsp:val=&quot;00C9199D&quot;/&gt;&lt;wsp:rsid wsp:val=&quot;00C91C3A&quot;/&gt;&lt;wsp:rsid wsp:val=&quot;00C92757&quot;/&gt;&lt;wsp:rsid wsp:val=&quot;00C93FE8&quot;/&gt;&lt;wsp:rsid wsp:val=&quot;00C94AF0&quot;/&gt;&lt;wsp:rsid wsp:val=&quot;00C94C17&quot;/&gt;&lt;wsp:rsid wsp:val=&quot;00C969B7&quot;/&gt;&lt;wsp:rsid wsp:val=&quot;00C96AD1&quot;/&gt;&lt;wsp:rsid wsp:val=&quot;00C97927&quot;/&gt;&lt;wsp:rsid wsp:val=&quot;00C979B7&quot;/&gt;&lt;wsp:rsid wsp:val=&quot;00C97EE9&quot;/&gt;&lt;wsp:rsid wsp:val=&quot;00CA0948&quot;/&gt;&lt;wsp:rsid wsp:val=&quot;00CA1032&quot;/&gt;&lt;wsp:rsid wsp:val=&quot;00CA108C&quot;/&gt;&lt;wsp:rsid wsp:val=&quot;00CA12CA&quot;/&gt;&lt;wsp:rsid wsp:val=&quot;00CA1570&quot;/&gt;&lt;wsp:rsid wsp:val=&quot;00CA189C&quot;/&gt;&lt;wsp:rsid wsp:val=&quot;00CA2193&quot;/&gt;&lt;wsp:rsid wsp:val=&quot;00CA2E6A&quot;/&gt;&lt;wsp:rsid wsp:val=&quot;00CA3109&quot;/&gt;&lt;wsp:rsid wsp:val=&quot;00CA3B0B&quot;/&gt;&lt;wsp:rsid wsp:val=&quot;00CA3D82&quot;/&gt;&lt;wsp:rsid wsp:val=&quot;00CA415A&quot;/&gt;&lt;wsp:rsid wsp:val=&quot;00CA4397&quot;/&gt;&lt;wsp:rsid wsp:val=&quot;00CA52A2&quot;/&gt;&lt;wsp:rsid wsp:val=&quot;00CA5815&quot;/&gt;&lt;wsp:rsid wsp:val=&quot;00CA5AE1&quot;/&gt;&lt;wsp:rsid wsp:val=&quot;00CA75C9&quot;/&gt;&lt;wsp:rsid wsp:val=&quot;00CA7F1C&quot;/&gt;&lt;wsp:rsid wsp:val=&quot;00CB0723&quot;/&gt;&lt;wsp:rsid wsp:val=&quot;00CB07B6&quot;/&gt;&lt;wsp:rsid wsp:val=&quot;00CB0D44&quot;/&gt;&lt;wsp:rsid wsp:val=&quot;00CB2928&quot;/&gt;&lt;wsp:rsid wsp:val=&quot;00CB32F7&quot;/&gt;&lt;wsp:rsid wsp:val=&quot;00CB3A32&quot;/&gt;&lt;wsp:rsid wsp:val=&quot;00CB44B0&quot;/&gt;&lt;wsp:rsid wsp:val=&quot;00CB4DF2&quot;/&gt;&lt;wsp:rsid wsp:val=&quot;00CB6064&quot;/&gt;&lt;wsp:rsid wsp:val=&quot;00CB614F&quot;/&gt;&lt;wsp:rsid wsp:val=&quot;00CB6C90&quot;/&gt;&lt;wsp:rsid wsp:val=&quot;00CB6DC9&quot;/&gt;&lt;wsp:rsid wsp:val=&quot;00CC1069&quot;/&gt;&lt;wsp:rsid wsp:val=&quot;00CC160E&quot;/&gt;&lt;wsp:rsid wsp:val=&quot;00CC17B9&quot;/&gt;&lt;wsp:rsid wsp:val=&quot;00CC239D&quot;/&gt;&lt;wsp:rsid wsp:val=&quot;00CC369B&quot;/&gt;&lt;wsp:rsid wsp:val=&quot;00CC39BF&quot;/&gt;&lt;wsp:rsid wsp:val=&quot;00CC5E61&quot;/&gt;&lt;wsp:rsid wsp:val=&quot;00CC65BF&quot;/&gt;&lt;wsp:rsid wsp:val=&quot;00CC6F0A&quot;/&gt;&lt;wsp:rsid wsp:val=&quot;00CC7756&quot;/&gt;&lt;wsp:rsid wsp:val=&quot;00CC7AA2&quot;/&gt;&lt;wsp:rsid wsp:val=&quot;00CD03A3&quot;/&gt;&lt;wsp:rsid wsp:val=&quot;00CD06BF&quot;/&gt;&lt;wsp:rsid wsp:val=&quot;00CD0F07&quot;/&gt;&lt;wsp:rsid wsp:val=&quot;00CD1090&quot;/&gt;&lt;wsp:rsid wsp:val=&quot;00CD141C&quot;/&gt;&lt;wsp:rsid wsp:val=&quot;00CD2482&quot;/&gt;&lt;wsp:rsid wsp:val=&quot;00CD2A19&quot;/&gt;&lt;wsp:rsid wsp:val=&quot;00CD3A5B&quot;/&gt;&lt;wsp:rsid wsp:val=&quot;00CD3A9C&quot;/&gt;&lt;wsp:rsid wsp:val=&quot;00CD3D0A&quot;/&gt;&lt;wsp:rsid wsp:val=&quot;00CD420A&quot;/&gt;&lt;wsp:rsid wsp:val=&quot;00CD6A32&quot;/&gt;&lt;wsp:rsid wsp:val=&quot;00CD72A4&quot;/&gt;&lt;wsp:rsid wsp:val=&quot;00CD7FCB&quot;/&gt;&lt;wsp:rsid wsp:val=&quot;00CE03C4&quot;/&gt;&lt;wsp:rsid wsp:val=&quot;00CE0BD1&quot;/&gt;&lt;wsp:rsid wsp:val=&quot;00CE1A06&quot;/&gt;&lt;wsp:rsid wsp:val=&quot;00CE220F&quot;/&gt;&lt;wsp:rsid wsp:val=&quot;00CE25BD&quot;/&gt;&lt;wsp:rsid wsp:val=&quot;00CE26C8&quot;/&gt;&lt;wsp:rsid wsp:val=&quot;00CE3980&quot;/&gt;&lt;wsp:rsid wsp:val=&quot;00CE4886&quot;/&gt;&lt;wsp:rsid wsp:val=&quot;00CE523B&quot;/&gt;&lt;wsp:rsid wsp:val=&quot;00CE54EA&quot;/&gt;&lt;wsp:rsid wsp:val=&quot;00CE6799&quot;/&gt;&lt;wsp:rsid wsp:val=&quot;00CE6C1F&quot;/&gt;&lt;wsp:rsid wsp:val=&quot;00CE6C43&quot;/&gt;&lt;wsp:rsid wsp:val=&quot;00CE7056&quot;/&gt;&lt;wsp:rsid wsp:val=&quot;00CE7367&quot;/&gt;&lt;wsp:rsid wsp:val=&quot;00CE778B&quot;/&gt;&lt;wsp:rsid wsp:val=&quot;00CE7BE3&quot;/&gt;&lt;wsp:rsid wsp:val=&quot;00CF0829&quot;/&gt;&lt;wsp:rsid wsp:val=&quot;00CF0E6A&quot;/&gt;&lt;wsp:rsid wsp:val=&quot;00CF0FD3&quot;/&gt;&lt;wsp:rsid wsp:val=&quot;00CF11AC&quot;/&gt;&lt;wsp:rsid wsp:val=&quot;00CF153C&quot;/&gt;&lt;wsp:rsid wsp:val=&quot;00CF15FE&quot;/&gt;&lt;wsp:rsid wsp:val=&quot;00CF19A9&quot;/&gt;&lt;wsp:rsid wsp:val=&quot;00CF2245&quot;/&gt;&lt;wsp:rsid wsp:val=&quot;00CF2285&quot;/&gt;&lt;wsp:rsid wsp:val=&quot;00CF25B8&quot;/&gt;&lt;wsp:rsid wsp:val=&quot;00CF2CFD&quot;/&gt;&lt;wsp:rsid wsp:val=&quot;00CF3027&quot;/&gt;&lt;wsp:rsid wsp:val=&quot;00CF357A&quot;/&gt;&lt;wsp:rsid wsp:val=&quot;00CF4543&quot;/&gt;&lt;wsp:rsid wsp:val=&quot;00CF470B&quot;/&gt;&lt;wsp:rsid wsp:val=&quot;00CF549C&quot;/&gt;&lt;wsp:rsid wsp:val=&quot;00CF6322&quot;/&gt;&lt;wsp:rsid wsp:val=&quot;00CF6383&quot;/&gt;&lt;wsp:rsid wsp:val=&quot;00CF63F6&quot;/&gt;&lt;wsp:rsid wsp:val=&quot;00CF6B41&quot;/&gt;&lt;wsp:rsid wsp:val=&quot;00CF7317&quot;/&gt;&lt;wsp:rsid wsp:val=&quot;00CF77D6&quot;/&gt;&lt;wsp:rsid wsp:val=&quot;00CF795E&quot;/&gt;&lt;wsp:rsid wsp:val=&quot;00CF7BC0&quot;/&gt;&lt;wsp:rsid wsp:val=&quot;00CF7F8E&quot;/&gt;&lt;wsp:rsid wsp:val=&quot;00D02006&quot;/&gt;&lt;wsp:rsid wsp:val=&quot;00D02BB6&quot;/&gt;&lt;wsp:rsid wsp:val=&quot;00D033DA&quot;/&gt;&lt;wsp:rsid wsp:val=&quot;00D03885&quot;/&gt;&lt;wsp:rsid wsp:val=&quot;00D050A7&quot;/&gt;&lt;wsp:rsid wsp:val=&quot;00D05371&quot;/&gt;&lt;wsp:rsid wsp:val=&quot;00D05CB7&quot;/&gt;&lt;wsp:rsid wsp:val=&quot;00D05FA1&quot;/&gt;&lt;wsp:rsid wsp:val=&quot;00D0697C&quot;/&gt;&lt;wsp:rsid wsp:val=&quot;00D07FDB&quot;/&gt;&lt;wsp:rsid wsp:val=&quot;00D107B7&quot;/&gt;&lt;wsp:rsid wsp:val=&quot;00D107C0&quot;/&gt;&lt;wsp:rsid wsp:val=&quot;00D10FAA&quot;/&gt;&lt;wsp:rsid wsp:val=&quot;00D11014&quot;/&gt;&lt;wsp:rsid wsp:val=&quot;00D11B52&quot;/&gt;&lt;wsp:rsid wsp:val=&quot;00D11B56&quot;/&gt;&lt;wsp:rsid wsp:val=&quot;00D12373&quot;/&gt;&lt;wsp:rsid wsp:val=&quot;00D1281E&quot;/&gt;&lt;wsp:rsid wsp:val=&quot;00D12A35&quot;/&gt;&lt;wsp:rsid wsp:val=&quot;00D12BC0&quot;/&gt;&lt;wsp:rsid wsp:val=&quot;00D12D8C&quot;/&gt;&lt;wsp:rsid wsp:val=&quot;00D13FCD&quot;/&gt;&lt;wsp:rsid wsp:val=&quot;00D14C1E&quot;/&gt;&lt;wsp:rsid wsp:val=&quot;00D1510F&quot;/&gt;&lt;wsp:rsid wsp:val=&quot;00D15392&quot;/&gt;&lt;wsp:rsid wsp:val=&quot;00D15CCD&quot;/&gt;&lt;wsp:rsid wsp:val=&quot;00D1678B&quot;/&gt;&lt;wsp:rsid wsp:val=&quot;00D17D86&quot;/&gt;&lt;wsp:rsid wsp:val=&quot;00D2016B&quot;/&gt;&lt;wsp:rsid wsp:val=&quot;00D204F6&quot;/&gt;&lt;wsp:rsid wsp:val=&quot;00D205E3&quot;/&gt;&lt;wsp:rsid wsp:val=&quot;00D21BA4&quot;/&gt;&lt;wsp:rsid wsp:val=&quot;00D222C4&quot;/&gt;&lt;wsp:rsid wsp:val=&quot;00D235EC&quot;/&gt;&lt;wsp:rsid wsp:val=&quot;00D25493&quot;/&gt;&lt;wsp:rsid wsp:val=&quot;00D25F41&quot;/&gt;&lt;wsp:rsid wsp:val=&quot;00D2694E&quot;/&gt;&lt;wsp:rsid wsp:val=&quot;00D27152&quot;/&gt;&lt;wsp:rsid wsp:val=&quot;00D277AA&quot;/&gt;&lt;wsp:rsid wsp:val=&quot;00D277BF&quot;/&gt;&lt;wsp:rsid wsp:val=&quot;00D27BFF&quot;/&gt;&lt;wsp:rsid wsp:val=&quot;00D30BDA&quot;/&gt;&lt;wsp:rsid wsp:val=&quot;00D318FE&quot;/&gt;&lt;wsp:rsid wsp:val=&quot;00D32678&quot;/&gt;&lt;wsp:rsid wsp:val=&quot;00D32871&quot;/&gt;&lt;wsp:rsid wsp:val=&quot;00D32986&quot;/&gt;&lt;wsp:rsid wsp:val=&quot;00D32ACE&quot;/&gt;&lt;wsp:rsid wsp:val=&quot;00D3366A&quot;/&gt;&lt;wsp:rsid wsp:val=&quot;00D33884&quot;/&gt;&lt;wsp:rsid wsp:val=&quot;00D33E6A&quot;/&gt;&lt;wsp:rsid wsp:val=&quot;00D3419E&quot;/&gt;&lt;wsp:rsid wsp:val=&quot;00D34938&quot;/&gt;&lt;wsp:rsid wsp:val=&quot;00D34A48&quot;/&gt;&lt;wsp:rsid wsp:val=&quot;00D35BE6&quot;/&gt;&lt;wsp:rsid wsp:val=&quot;00D36E74&quot;/&gt;&lt;wsp:rsid wsp:val=&quot;00D37ED2&quot;/&gt;&lt;wsp:rsid wsp:val=&quot;00D409AC&quot;/&gt;&lt;wsp:rsid wsp:val=&quot;00D421DF&quot;/&gt;&lt;wsp:rsid wsp:val=&quot;00D425BE&quot;/&gt;&lt;wsp:rsid wsp:val=&quot;00D42B75&quot;/&gt;&lt;wsp:rsid wsp:val=&quot;00D42EA9&quot;/&gt;&lt;wsp:rsid wsp:val=&quot;00D4302B&quot;/&gt;&lt;wsp:rsid wsp:val=&quot;00D440E0&quot;/&gt;&lt;wsp:rsid wsp:val=&quot;00D44B83&quot;/&gt;&lt;wsp:rsid wsp:val=&quot;00D45697&quot;/&gt;&lt;wsp:rsid wsp:val=&quot;00D459A3&quot;/&gt;&lt;wsp:rsid wsp:val=&quot;00D4689B&quot;/&gt;&lt;wsp:rsid wsp:val=&quot;00D46DD8&quot;/&gt;&lt;wsp:rsid wsp:val=&quot;00D46EB2&quot;/&gt;&lt;wsp:rsid wsp:val=&quot;00D4796C&quot;/&gt;&lt;wsp:rsid wsp:val=&quot;00D50198&quot;/&gt;&lt;wsp:rsid wsp:val=&quot;00D501F2&quot;/&gt;&lt;wsp:rsid wsp:val=&quot;00D50910&quot;/&gt;&lt;wsp:rsid wsp:val=&quot;00D51010&quot;/&gt;&lt;wsp:rsid wsp:val=&quot;00D5120D&quot;/&gt;&lt;wsp:rsid wsp:val=&quot;00D514FE&quot;/&gt;&lt;wsp:rsid wsp:val=&quot;00D5273A&quot;/&gt;&lt;wsp:rsid wsp:val=&quot;00D531AE&quot;/&gt;&lt;wsp:rsid wsp:val=&quot;00D5342E&quot;/&gt;&lt;wsp:rsid wsp:val=&quot;00D53A4B&quot;/&gt;&lt;wsp:rsid wsp:val=&quot;00D54093&quot;/&gt;&lt;wsp:rsid wsp:val=&quot;00D54455&quot;/&gt;&lt;wsp:rsid wsp:val=&quot;00D55556&quot;/&gt;&lt;wsp:rsid wsp:val=&quot;00D5587A&quot;/&gt;&lt;wsp:rsid wsp:val=&quot;00D565F2&quot;/&gt;&lt;wsp:rsid wsp:val=&quot;00D56A48&quot;/&gt;&lt;wsp:rsid wsp:val=&quot;00D57F17&quot;/&gt;&lt;wsp:rsid wsp:val=&quot;00D605A0&quot;/&gt;&lt;wsp:rsid wsp:val=&quot;00D608F4&quot;/&gt;&lt;wsp:rsid wsp:val=&quot;00D61619&quot;/&gt;&lt;wsp:rsid wsp:val=&quot;00D62C87&quot;/&gt;&lt;wsp:rsid wsp:val=&quot;00D6314C&quot;/&gt;&lt;wsp:rsid wsp:val=&quot;00D63E6B&quot;/&gt;&lt;wsp:rsid wsp:val=&quot;00D64051&quot;/&gt;&lt;wsp:rsid wsp:val=&quot;00D644BD&quot;/&gt;&lt;wsp:rsid wsp:val=&quot;00D649C4&quot;/&gt;&lt;wsp:rsid wsp:val=&quot;00D64C61&quot;/&gt;&lt;wsp:rsid wsp:val=&quot;00D65E25&quot;/&gt;&lt;wsp:rsid wsp:val=&quot;00D66315&quot;/&gt;&lt;wsp:rsid wsp:val=&quot;00D67245&quot;/&gt;&lt;wsp:rsid wsp:val=&quot;00D67750&quot;/&gt;&lt;wsp:rsid wsp:val=&quot;00D67C0F&quot;/&gt;&lt;wsp:rsid wsp:val=&quot;00D70182&quot;/&gt;&lt;wsp:rsid wsp:val=&quot;00D7061D&quot;/&gt;&lt;wsp:rsid wsp:val=&quot;00D709AA&quot;/&gt;&lt;wsp:rsid wsp:val=&quot;00D72141&quot;/&gt;&lt;wsp:rsid wsp:val=&quot;00D722D4&quot;/&gt;&lt;wsp:rsid wsp:val=&quot;00D724E3&quot;/&gt;&lt;wsp:rsid wsp:val=&quot;00D7289E&quot;/&gt;&lt;wsp:rsid wsp:val=&quot;00D72B4D&quot;/&gt;&lt;wsp:rsid wsp:val=&quot;00D72CA3&quot;/&gt;&lt;wsp:rsid wsp:val=&quot;00D7348C&quot;/&gt;&lt;wsp:rsid wsp:val=&quot;00D73B80&quot;/&gt;&lt;wsp:rsid wsp:val=&quot;00D73E96&quot;/&gt;&lt;wsp:rsid wsp:val=&quot;00D742ED&quot;/&gt;&lt;wsp:rsid wsp:val=&quot;00D7435C&quot;/&gt;&lt;wsp:rsid wsp:val=&quot;00D74874&quot;/&gt;&lt;wsp:rsid wsp:val=&quot;00D7496E&quot;/&gt;&lt;wsp:rsid wsp:val=&quot;00D76D06&quot;/&gt;&lt;wsp:rsid wsp:val=&quot;00D772CA&quot;/&gt;&lt;wsp:rsid wsp:val=&quot;00D80A60&quot;/&gt;&lt;wsp:rsid wsp:val=&quot;00D81205&quot;/&gt;&lt;wsp:rsid wsp:val=&quot;00D822D0&quot;/&gt;&lt;wsp:rsid wsp:val=&quot;00D825E0&quot;/&gt;&lt;wsp:rsid wsp:val=&quot;00D82D1A&quot;/&gt;&lt;wsp:rsid wsp:val=&quot;00D82D26&quot;/&gt;&lt;wsp:rsid wsp:val=&quot;00D82F39&quot;/&gt;&lt;wsp:rsid wsp:val=&quot;00D84E4A&quot;/&gt;&lt;wsp:rsid wsp:val=&quot;00D853C7&quot;/&gt;&lt;wsp:rsid wsp:val=&quot;00D8643A&quot;/&gt;&lt;wsp:rsid wsp:val=&quot;00D86788&quot;/&gt;&lt;wsp:rsid wsp:val=&quot;00D86E37&quot;/&gt;&lt;wsp:rsid wsp:val=&quot;00D87D58&quot;/&gt;&lt;wsp:rsid wsp:val=&quot;00D87DD3&quot;/&gt;&lt;wsp:rsid wsp:val=&quot;00D87F78&quot;/&gt;&lt;wsp:rsid wsp:val=&quot;00D90DEA&quot;/&gt;&lt;wsp:rsid wsp:val=&quot;00D919A2&quot;/&gt;&lt;wsp:rsid wsp:val=&quot;00D91CB8&quot;/&gt;&lt;wsp:rsid wsp:val=&quot;00D91DDB&quot;/&gt;&lt;wsp:rsid wsp:val=&quot;00D932D1&quot;/&gt;&lt;wsp:rsid wsp:val=&quot;00D93AC0&quot;/&gt;&lt;wsp:rsid wsp:val=&quot;00D93F20&quot;/&gt;&lt;wsp:rsid wsp:val=&quot;00D9466B&quot;/&gt;&lt;wsp:rsid wsp:val=&quot;00D94C93&quot;/&gt;&lt;wsp:rsid wsp:val=&quot;00D94E64&quot;/&gt;&lt;wsp:rsid wsp:val=&quot;00D95124&quot;/&gt;&lt;wsp:rsid wsp:val=&quot;00D956D2&quot;/&gt;&lt;wsp:rsid wsp:val=&quot;00DA0DFF&quot;/&gt;&lt;wsp:rsid wsp:val=&quot;00DA115F&quot;/&gt;&lt;wsp:rsid wsp:val=&quot;00DA1269&quot;/&gt;&lt;wsp:rsid wsp:val=&quot;00DA231A&quot;/&gt;&lt;wsp:rsid wsp:val=&quot;00DA2B50&quot;/&gt;&lt;wsp:rsid wsp:val=&quot;00DA2CE5&quot;/&gt;&lt;wsp:rsid wsp:val=&quot;00DA3472&quot;/&gt;&lt;wsp:rsid wsp:val=&quot;00DA3548&quot;/&gt;&lt;wsp:rsid wsp:val=&quot;00DA3894&quot;/&gt;&lt;wsp:rsid wsp:val=&quot;00DA3B1B&quot;/&gt;&lt;wsp:rsid wsp:val=&quot;00DA436E&quot;/&gt;&lt;wsp:rsid wsp:val=&quot;00DA4CCF&quot;/&gt;&lt;wsp:rsid wsp:val=&quot;00DA5C13&quot;/&gt;&lt;wsp:rsid wsp:val=&quot;00DA5E14&quot;/&gt;&lt;wsp:rsid wsp:val=&quot;00DA6541&quot;/&gt;&lt;wsp:rsid wsp:val=&quot;00DA6F43&quot;/&gt;&lt;wsp:rsid wsp:val=&quot;00DA70F9&quot;/&gt;&lt;wsp:rsid wsp:val=&quot;00DA7D36&quot;/&gt;&lt;wsp:rsid wsp:val=&quot;00DB1B12&quot;/&gt;&lt;wsp:rsid wsp:val=&quot;00DB1CEC&quot;/&gt;&lt;wsp:rsid wsp:val=&quot;00DB26DB&quot;/&gt;&lt;wsp:rsid wsp:val=&quot;00DB3129&quot;/&gt;&lt;wsp:rsid wsp:val=&quot;00DB38E2&quot;/&gt;&lt;wsp:rsid wsp:val=&quot;00DB412C&quot;/&gt;&lt;wsp:rsid wsp:val=&quot;00DB4146&quot;/&gt;&lt;wsp:rsid wsp:val=&quot;00DB45C1&quot;/&gt;&lt;wsp:rsid wsp:val=&quot;00DB491F&quot;/&gt;&lt;wsp:rsid wsp:val=&quot;00DB5583&quot;/&gt;&lt;wsp:rsid wsp:val=&quot;00DB5619&quot;/&gt;&lt;wsp:rsid wsp:val=&quot;00DB65C0&quot;/&gt;&lt;wsp:rsid wsp:val=&quot;00DB7740&quot;/&gt;&lt;wsp:rsid wsp:val=&quot;00DB78BB&quot;/&gt;&lt;wsp:rsid wsp:val=&quot;00DC1325&quot;/&gt;&lt;wsp:rsid wsp:val=&quot;00DC155D&quot;/&gt;&lt;wsp:rsid wsp:val=&quot;00DC16FD&quot;/&gt;&lt;wsp:rsid wsp:val=&quot;00DC1B5F&quot;/&gt;&lt;wsp:rsid wsp:val=&quot;00DC241F&quot;/&gt;&lt;wsp:rsid wsp:val=&quot;00DC2577&quot;/&gt;&lt;wsp:rsid wsp:val=&quot;00DC30F0&quot;/&gt;&lt;wsp:rsid wsp:val=&quot;00DC35A8&quot;/&gt;&lt;wsp:rsid wsp:val=&quot;00DC368E&quot;/&gt;&lt;wsp:rsid wsp:val=&quot;00DC3C57&quot;/&gt;&lt;wsp:rsid wsp:val=&quot;00DC423F&quot;/&gt;&lt;wsp:rsid wsp:val=&quot;00DC4BF4&quot;/&gt;&lt;wsp:rsid wsp:val=&quot;00DC4CA8&quot;/&gt;&lt;wsp:rsid wsp:val=&quot;00DC4F32&quot;/&gt;&lt;wsp:rsid wsp:val=&quot;00DC4FCA&quot;/&gt;&lt;wsp:rsid wsp:val=&quot;00DC5675&quot;/&gt;&lt;wsp:rsid wsp:val=&quot;00DC6574&quot;/&gt;&lt;wsp:rsid wsp:val=&quot;00DC6984&quot;/&gt;&lt;wsp:rsid wsp:val=&quot;00DC7150&quot;/&gt;&lt;wsp:rsid wsp:val=&quot;00DC731F&quot;/&gt;&lt;wsp:rsid wsp:val=&quot;00DC7415&quot;/&gt;&lt;wsp:rsid wsp:val=&quot;00DC7DB0&quot;/&gt;&lt;wsp:rsid wsp:val=&quot;00DD02F0&quot;/&gt;&lt;wsp:rsid wsp:val=&quot;00DD126F&quot;/&gt;&lt;wsp:rsid wsp:val=&quot;00DD24A7&quot;/&gt;&lt;wsp:rsid wsp:val=&quot;00DD3707&quot;/&gt;&lt;wsp:rsid wsp:val=&quot;00DD3EDD&quot;/&gt;&lt;wsp:rsid wsp:val=&quot;00DD4010&quot;/&gt;&lt;wsp:rsid wsp:val=&quot;00DD496E&quot;/&gt;&lt;wsp:rsid wsp:val=&quot;00DD4D99&quot;/&gt;&lt;wsp:rsid wsp:val=&quot;00DD590E&quot;/&gt;&lt;wsp:rsid wsp:val=&quot;00DD67A0&quot;/&gt;&lt;wsp:rsid wsp:val=&quot;00DD6A96&quot;/&gt;&lt;wsp:rsid wsp:val=&quot;00DD6C0E&quot;/&gt;&lt;wsp:rsid wsp:val=&quot;00DD701E&quot;/&gt;&lt;wsp:rsid wsp:val=&quot;00DE05CA&quot;/&gt;&lt;wsp:rsid wsp:val=&quot;00DE0B87&quot;/&gt;&lt;wsp:rsid wsp:val=&quot;00DE124C&quot;/&gt;&lt;wsp:rsid wsp:val=&quot;00DE1F3C&quot;/&gt;&lt;wsp:rsid wsp:val=&quot;00DE2072&quot;/&gt;&lt;wsp:rsid wsp:val=&quot;00DE21AC&quot;/&gt;&lt;wsp:rsid wsp:val=&quot;00DE2D90&quot;/&gt;&lt;wsp:rsid wsp:val=&quot;00DE2FBE&quot;/&gt;&lt;wsp:rsid wsp:val=&quot;00DE3762&quot;/&gt;&lt;wsp:rsid wsp:val=&quot;00DE3842&quot;/&gt;&lt;wsp:rsid wsp:val=&quot;00DE4299&quot;/&gt;&lt;wsp:rsid wsp:val=&quot;00DE4E6C&quot;/&gt;&lt;wsp:rsid wsp:val=&quot;00DE647F&quot;/&gt;&lt;wsp:rsid wsp:val=&quot;00DE764C&quot;/&gt;&lt;wsp:rsid wsp:val=&quot;00DF0049&quot;/&gt;&lt;wsp:rsid wsp:val=&quot;00DF0087&quot;/&gt;&lt;wsp:rsid wsp:val=&quot;00DF0230&quot;/&gt;&lt;wsp:rsid wsp:val=&quot;00DF21FB&quot;/&gt;&lt;wsp:rsid wsp:val=&quot;00DF3241&quot;/&gt;&lt;wsp:rsid wsp:val=&quot;00DF336B&quot;/&gt;&lt;wsp:rsid wsp:val=&quot;00DF3738&quot;/&gt;&lt;wsp:rsid wsp:val=&quot;00DF4415&quot;/&gt;&lt;wsp:rsid wsp:val=&quot;00DF4AF8&quot;/&gt;&lt;wsp:rsid wsp:val=&quot;00DF69F6&quot;/&gt;&lt;wsp:rsid wsp:val=&quot;00DF780D&quot;/&gt;&lt;wsp:rsid wsp:val=&quot;00E005A3&quot;/&gt;&lt;wsp:rsid wsp:val=&quot;00E015A8&quot;/&gt;&lt;wsp:rsid wsp:val=&quot;00E015E9&quot;/&gt;&lt;wsp:rsid wsp:val=&quot;00E01ED1&quot;/&gt;&lt;wsp:rsid wsp:val=&quot;00E036DF&quot;/&gt;&lt;wsp:rsid wsp:val=&quot;00E03A3E&quot;/&gt;&lt;wsp:rsid wsp:val=&quot;00E03BEE&quot;/&gt;&lt;wsp:rsid wsp:val=&quot;00E04312&quot;/&gt;&lt;wsp:rsid wsp:val=&quot;00E054C6&quot;/&gt;&lt;wsp:rsid wsp:val=&quot;00E05DCB&quot;/&gt;&lt;wsp:rsid wsp:val=&quot;00E05FD6&quot;/&gt;&lt;wsp:rsid wsp:val=&quot;00E064E4&quot;/&gt;&lt;wsp:rsid wsp:val=&quot;00E06759&quot;/&gt;&lt;wsp:rsid wsp:val=&quot;00E06A95&quot;/&gt;&lt;wsp:rsid wsp:val=&quot;00E06B4D&quot;/&gt;&lt;wsp:rsid wsp:val=&quot;00E07C32&quot;/&gt;&lt;wsp:rsid wsp:val=&quot;00E1049F&quot;/&gt;&lt;wsp:rsid wsp:val=&quot;00E105AB&quot;/&gt;&lt;wsp:rsid wsp:val=&quot;00E10768&quot;/&gt;&lt;wsp:rsid wsp:val=&quot;00E10C99&quot;/&gt;&lt;wsp:rsid wsp:val=&quot;00E112E6&quot;/&gt;&lt;wsp:rsid wsp:val=&quot;00E11AA6&quot;/&gt;&lt;wsp:rsid wsp:val=&quot;00E11CC4&quot;/&gt;&lt;wsp:rsid wsp:val=&quot;00E12975&quot;/&gt;&lt;wsp:rsid wsp:val=&quot;00E12A38&quot;/&gt;&lt;wsp:rsid wsp:val=&quot;00E13C53&quot;/&gt;&lt;wsp:rsid wsp:val=&quot;00E14114&quot;/&gt;&lt;wsp:rsid wsp:val=&quot;00E148CB&quot;/&gt;&lt;wsp:rsid wsp:val=&quot;00E14E34&quot;/&gt;&lt;wsp:rsid wsp:val=&quot;00E15888&quot;/&gt;&lt;wsp:rsid wsp:val=&quot;00E15B7F&quot;/&gt;&lt;wsp:rsid wsp:val=&quot;00E16587&quot;/&gt;&lt;wsp:rsid wsp:val=&quot;00E17611&quot;/&gt;&lt;wsp:rsid wsp:val=&quot;00E201AD&quot;/&gt;&lt;wsp:rsid wsp:val=&quot;00E20D8D&quot;/&gt;&lt;wsp:rsid wsp:val=&quot;00E20F29&quot;/&gt;&lt;wsp:rsid wsp:val=&quot;00E20FD6&quot;/&gt;&lt;wsp:rsid wsp:val=&quot;00E2190E&quot;/&gt;&lt;wsp:rsid wsp:val=&quot;00E21C8F&quot;/&gt;&lt;wsp:rsid wsp:val=&quot;00E22A6D&quot;/&gt;&lt;wsp:rsid wsp:val=&quot;00E22AE0&quot;/&gt;&lt;wsp:rsid wsp:val=&quot;00E237A4&quot;/&gt;&lt;wsp:rsid wsp:val=&quot;00E2382E&quot;/&gt;&lt;wsp:rsid wsp:val=&quot;00E24C19&quot;/&gt;&lt;wsp:rsid wsp:val=&quot;00E250DF&quot;/&gt;&lt;wsp:rsid wsp:val=&quot;00E2751C&quot;/&gt;&lt;wsp:rsid wsp:val=&quot;00E30EE2&quot;/&gt;&lt;wsp:rsid wsp:val=&quot;00E32305&quot;/&gt;&lt;wsp:rsid wsp:val=&quot;00E32DD1&quot;/&gt;&lt;wsp:rsid wsp:val=&quot;00E346D1&quot;/&gt;&lt;wsp:rsid wsp:val=&quot;00E34971&quot;/&gt;&lt;wsp:rsid wsp:val=&quot;00E34EF9&quot;/&gt;&lt;wsp:rsid wsp:val=&quot;00E35ED3&quot;/&gt;&lt;wsp:rsid wsp:val=&quot;00E35F7A&quot;/&gt;&lt;wsp:rsid wsp:val=&quot;00E411BA&quot;/&gt;&lt;wsp:rsid wsp:val=&quot;00E41571&quot;/&gt;&lt;wsp:rsid wsp:val=&quot;00E416AC&quot;/&gt;&lt;wsp:rsid wsp:val=&quot;00E41DA1&quot;/&gt;&lt;wsp:rsid wsp:val=&quot;00E41F16&quot;/&gt;&lt;wsp:rsid wsp:val=&quot;00E43345&quot;/&gt;&lt;wsp:rsid wsp:val=&quot;00E445BC&quot;/&gt;&lt;wsp:rsid wsp:val=&quot;00E44ADD&quot;/&gt;&lt;wsp:rsid wsp:val=&quot;00E45345&quot;/&gt;&lt;wsp:rsid wsp:val=&quot;00E4578E&quot;/&gt;&lt;wsp:rsid wsp:val=&quot;00E457C3&quot;/&gt;&lt;wsp:rsid wsp:val=&quot;00E45A17&quot;/&gt;&lt;wsp:rsid wsp:val=&quot;00E45B60&quot;/&gt;&lt;wsp:rsid wsp:val=&quot;00E45CB2&quot;/&gt;&lt;wsp:rsid wsp:val=&quot;00E45CBD&quot;/&gt;&lt;wsp:rsid wsp:val=&quot;00E45DA8&quot;/&gt;&lt;wsp:rsid wsp:val=&quot;00E46229&quot;/&gt;&lt;wsp:rsid wsp:val=&quot;00E46498&quot;/&gt;&lt;wsp:rsid wsp:val=&quot;00E47267&quot;/&gt;&lt;wsp:rsid wsp:val=&quot;00E47664&quot;/&gt;&lt;wsp:rsid wsp:val=&quot;00E477AA&quot;/&gt;&lt;wsp:rsid wsp:val=&quot;00E47D84&quot;/&gt;&lt;wsp:rsid wsp:val=&quot;00E5000B&quot;/&gt;&lt;wsp:rsid wsp:val=&quot;00E50429&quot;/&gt;&lt;wsp:rsid wsp:val=&quot;00E5056C&quot;/&gt;&lt;wsp:rsid wsp:val=&quot;00E50A7D&quot;/&gt;&lt;wsp:rsid wsp:val=&quot;00E511A0&quot;/&gt;&lt;wsp:rsid wsp:val=&quot;00E513D6&quot;/&gt;&lt;wsp:rsid wsp:val=&quot;00E518FC&quot;/&gt;&lt;wsp:rsid wsp:val=&quot;00E51A40&quot;/&gt;&lt;wsp:rsid wsp:val=&quot;00E524C5&quot;/&gt;&lt;wsp:rsid wsp:val=&quot;00E5291D&quot;/&gt;&lt;wsp:rsid wsp:val=&quot;00E52B80&quot;/&gt;&lt;wsp:rsid wsp:val=&quot;00E54CCC&quot;/&gt;&lt;wsp:rsid wsp:val=&quot;00E54DCC&quot;/&gt;&lt;wsp:rsid wsp:val=&quot;00E54F18&quot;/&gt;&lt;wsp:rsid wsp:val=&quot;00E54F83&quot;/&gt;&lt;wsp:rsid wsp:val=&quot;00E5504D&quot;/&gt;&lt;wsp:rsid wsp:val=&quot;00E5522B&quot;/&gt;&lt;wsp:rsid wsp:val=&quot;00E55778&quot;/&gt;&lt;wsp:rsid wsp:val=&quot;00E559D6&quot;/&gt;&lt;wsp:rsid wsp:val=&quot;00E55A13&quot;/&gt;&lt;wsp:rsid wsp:val=&quot;00E568F9&quot;/&gt;&lt;wsp:rsid wsp:val=&quot;00E56C66&quot;/&gt;&lt;wsp:rsid wsp:val=&quot;00E60CAC&quot;/&gt;&lt;wsp:rsid wsp:val=&quot;00E6148E&quot;/&gt;&lt;wsp:rsid wsp:val=&quot;00E61685&quot;/&gt;&lt;wsp:rsid wsp:val=&quot;00E61935&quot;/&gt;&lt;wsp:rsid wsp:val=&quot;00E628D0&quot;/&gt;&lt;wsp:rsid wsp:val=&quot;00E628EE&quot;/&gt;&lt;wsp:rsid wsp:val=&quot;00E63875&quot;/&gt;&lt;wsp:rsid wsp:val=&quot;00E63B81&quot;/&gt;&lt;wsp:rsid wsp:val=&quot;00E63C75&quot;/&gt;&lt;wsp:rsid wsp:val=&quot;00E64671&quot;/&gt;&lt;wsp:rsid wsp:val=&quot;00E65D35&quot;/&gt;&lt;wsp:rsid wsp:val=&quot;00E66052&quot;/&gt;&lt;wsp:rsid wsp:val=&quot;00E666EE&quot;/&gt;&lt;wsp:rsid wsp:val=&quot;00E67295&quot;/&gt;&lt;wsp:rsid wsp:val=&quot;00E6777C&quot;/&gt;&lt;wsp:rsid wsp:val=&quot;00E67838&quot;/&gt;&lt;wsp:rsid wsp:val=&quot;00E70A99&quot;/&gt;&lt;wsp:rsid wsp:val=&quot;00E71A1A&quot;/&gt;&lt;wsp:rsid wsp:val=&quot;00E71CC9&quot;/&gt;&lt;wsp:rsid wsp:val=&quot;00E72B53&quot;/&gt;&lt;wsp:rsid wsp:val=&quot;00E72E3D&quot;/&gt;&lt;wsp:rsid wsp:val=&quot;00E73992&quot;/&gt;&lt;wsp:rsid wsp:val=&quot;00E739FA&quot;/&gt;&lt;wsp:rsid wsp:val=&quot;00E73F7F&quot;/&gt;&lt;wsp:rsid wsp:val=&quot;00E74343&quot;/&gt;&lt;wsp:rsid wsp:val=&quot;00E757EF&quot;/&gt;&lt;wsp:rsid wsp:val=&quot;00E75866&quot;/&gt;&lt;wsp:rsid wsp:val=&quot;00E75BDF&quot;/&gt;&lt;wsp:rsid wsp:val=&quot;00E76AD7&quot;/&gt;&lt;wsp:rsid wsp:val=&quot;00E77A4C&quot;/&gt;&lt;wsp:rsid wsp:val=&quot;00E77AD6&quot;/&gt;&lt;wsp:rsid wsp:val=&quot;00E802C8&quot;/&gt;&lt;wsp:rsid wsp:val=&quot;00E814F7&quot;/&gt;&lt;wsp:rsid wsp:val=&quot;00E816F0&quot;/&gt;&lt;wsp:rsid wsp:val=&quot;00E8268C&quot;/&gt;&lt;wsp:rsid wsp:val=&quot;00E82691&quot;/&gt;&lt;wsp:rsid wsp:val=&quot;00E82B59&quot;/&gt;&lt;wsp:rsid wsp:val=&quot;00E831D8&quot;/&gt;&lt;wsp:rsid wsp:val=&quot;00E83BA1&quot;/&gt;&lt;wsp:rsid wsp:val=&quot;00E840B6&quot;/&gt;&lt;wsp:rsid wsp:val=&quot;00E841BB&quot;/&gt;&lt;wsp:rsid wsp:val=&quot;00E84395&quot;/&gt;&lt;wsp:rsid wsp:val=&quot;00E843FA&quot;/&gt;&lt;wsp:rsid wsp:val=&quot;00E8499F&quot;/&gt;&lt;wsp:rsid wsp:val=&quot;00E86198&quot;/&gt;&lt;wsp:rsid wsp:val=&quot;00E8628F&quot;/&gt;&lt;wsp:rsid wsp:val=&quot;00E866ED&quot;/&gt;&lt;wsp:rsid wsp:val=&quot;00E8698F&quot;/&gt;&lt;wsp:rsid wsp:val=&quot;00E86F7E&quot;/&gt;&lt;wsp:rsid wsp:val=&quot;00E876CE&quot;/&gt;&lt;wsp:rsid wsp:val=&quot;00E87ADD&quot;/&gt;&lt;wsp:rsid wsp:val=&quot;00E9051B&quot;/&gt;&lt;wsp:rsid wsp:val=&quot;00E90B8B&quot;/&gt;&lt;wsp:rsid wsp:val=&quot;00E90BAD&quot;/&gt;&lt;wsp:rsid wsp:val=&quot;00E9210B&quot;/&gt;&lt;wsp:rsid wsp:val=&quot;00E92EE5&quot;/&gt;&lt;wsp:rsid wsp:val=&quot;00E944AC&quot;/&gt;&lt;wsp:rsid wsp:val=&quot;00E94781&quot;/&gt;&lt;wsp:rsid wsp:val=&quot;00E94CF6&quot;/&gt;&lt;wsp:rsid wsp:val=&quot;00E94E2C&quot;/&gt;&lt;wsp:rsid wsp:val=&quot;00E94FAA&quot;/&gt;&lt;wsp:rsid wsp:val=&quot;00E95A2A&quot;/&gt;&lt;wsp:rsid wsp:val=&quot;00E96552&quot;/&gt;&lt;wsp:rsid wsp:val=&quot;00E96D1A&quot;/&gt;&lt;wsp:rsid wsp:val=&quot;00E97CA2&quot;/&gt;&lt;wsp:rsid wsp:val=&quot;00EA06DF&quot;/&gt;&lt;wsp:rsid wsp:val=&quot;00EA07CE&quot;/&gt;&lt;wsp:rsid wsp:val=&quot;00EA0AE9&quot;/&gt;&lt;wsp:rsid wsp:val=&quot;00EA1283&quot;/&gt;&lt;wsp:rsid wsp:val=&quot;00EA1558&quot;/&gt;&lt;wsp:rsid wsp:val=&quot;00EA16AC&quot;/&gt;&lt;wsp:rsid wsp:val=&quot;00EA2010&quot;/&gt;&lt;wsp:rsid wsp:val=&quot;00EA26C9&quot;/&gt;&lt;wsp:rsid wsp:val=&quot;00EA2E99&quot;/&gt;&lt;wsp:rsid wsp:val=&quot;00EA485F&quot;/&gt;&lt;wsp:rsid wsp:val=&quot;00EA5298&quot;/&gt;&lt;wsp:rsid wsp:val=&quot;00EA6010&quot;/&gt;&lt;wsp:rsid wsp:val=&quot;00EA6D97&quot;/&gt;&lt;wsp:rsid wsp:val=&quot;00EA7DA8&quot;/&gt;&lt;wsp:rsid wsp:val=&quot;00EB03E0&quot;/&gt;&lt;wsp:rsid wsp:val=&quot;00EB0864&quot;/&gt;&lt;wsp:rsid wsp:val=&quot;00EB171A&quot;/&gt;&lt;wsp:rsid wsp:val=&quot;00EB1BB5&quot;/&gt;&lt;wsp:rsid wsp:val=&quot;00EB333E&quot;/&gt;&lt;wsp:rsid wsp:val=&quot;00EB3623&quot;/&gt;&lt;wsp:rsid wsp:val=&quot;00EB3A80&quot;/&gt;&lt;wsp:rsid wsp:val=&quot;00EB4F7B&quot;/&gt;&lt;wsp:rsid wsp:val=&quot;00EB57BC&quot;/&gt;&lt;wsp:rsid wsp:val=&quot;00EB60A1&quot;/&gt;&lt;wsp:rsid wsp:val=&quot;00EB6557&quot;/&gt;&lt;wsp:rsid wsp:val=&quot;00EB7BDA&quot;/&gt;&lt;wsp:rsid wsp:val=&quot;00EC017F&quot;/&gt;&lt;wsp:rsid wsp:val=&quot;00EC0C8A&quot;/&gt;&lt;wsp:rsid wsp:val=&quot;00EC1300&quot;/&gt;&lt;wsp:rsid wsp:val=&quot;00EC1EFB&quot;/&gt;&lt;wsp:rsid wsp:val=&quot;00EC279C&quot;/&gt;&lt;wsp:rsid wsp:val=&quot;00EC36F7&quot;/&gt;&lt;wsp:rsid wsp:val=&quot;00EC433A&quot;/&gt;&lt;wsp:rsid wsp:val=&quot;00EC4661&quot;/&gt;&lt;wsp:rsid wsp:val=&quot;00EC5768&quot;/&gt;&lt;wsp:rsid wsp:val=&quot;00EC58E8&quot;/&gt;&lt;wsp:rsid wsp:val=&quot;00EC5C95&quot;/&gt;&lt;wsp:rsid wsp:val=&quot;00EC60C2&quot;/&gt;&lt;wsp:rsid wsp:val=&quot;00EC674A&quot;/&gt;&lt;wsp:rsid wsp:val=&quot;00EC6BAC&quot;/&gt;&lt;wsp:rsid wsp:val=&quot;00EC7E1E&quot;/&gt;&lt;wsp:rsid wsp:val=&quot;00ED0218&quot;/&gt;&lt;wsp:rsid wsp:val=&quot;00ED0769&quot;/&gt;&lt;wsp:rsid wsp:val=&quot;00ED1087&quot;/&gt;&lt;wsp:rsid wsp:val=&quot;00ED1418&quot;/&gt;&lt;wsp:rsid wsp:val=&quot;00ED2180&quot;/&gt;&lt;wsp:rsid wsp:val=&quot;00ED2246&quot;/&gt;&lt;wsp:rsid wsp:val=&quot;00ED3066&quot;/&gt;&lt;wsp:rsid wsp:val=&quot;00ED3F73&quot;/&gt;&lt;wsp:rsid wsp:val=&quot;00ED4587&quot;/&gt;&lt;wsp:rsid wsp:val=&quot;00ED4600&quot;/&gt;&lt;wsp:rsid wsp:val=&quot;00ED49FF&quot;/&gt;&lt;wsp:rsid wsp:val=&quot;00ED5121&quot;/&gt;&lt;wsp:rsid wsp:val=&quot;00ED5A4B&quot;/&gt;&lt;wsp:rsid wsp:val=&quot;00ED6634&quot;/&gt;&lt;wsp:rsid wsp:val=&quot;00ED6D41&quot;/&gt;&lt;wsp:rsid wsp:val=&quot;00ED7495&quot;/&gt;&lt;wsp:rsid wsp:val=&quot;00ED7500&quot;/&gt;&lt;wsp:rsid wsp:val=&quot;00ED7642&quot;/&gt;&lt;wsp:rsid wsp:val=&quot;00ED7F0E&quot;/&gt;&lt;wsp:rsid wsp:val=&quot;00EE0B24&quot;/&gt;&lt;wsp:rsid wsp:val=&quot;00EE1778&quot;/&gt;&lt;wsp:rsid wsp:val=&quot;00EE1BFC&quot;/&gt;&lt;wsp:rsid wsp:val=&quot;00EE2D5A&quot;/&gt;&lt;wsp:rsid wsp:val=&quot;00EE3096&quot;/&gt;&lt;wsp:rsid wsp:val=&quot;00EE3C36&quot;/&gt;&lt;wsp:rsid wsp:val=&quot;00EE3F6B&quot;/&gt;&lt;wsp:rsid wsp:val=&quot;00EE3FA6&quot;/&gt;&lt;wsp:rsid wsp:val=&quot;00EE4443&quot;/&gt;&lt;wsp:rsid wsp:val=&quot;00EE5139&quot;/&gt;&lt;wsp:rsid wsp:val=&quot;00EE526E&quot;/&gt;&lt;wsp:rsid wsp:val=&quot;00EE54D8&quot;/&gt;&lt;wsp:rsid wsp:val=&quot;00EE7218&quot;/&gt;&lt;wsp:rsid wsp:val=&quot;00EF0502&quot;/&gt;&lt;wsp:rsid wsp:val=&quot;00EF0C5B&quot;/&gt;&lt;wsp:rsid wsp:val=&quot;00EF0DEC&quot;/&gt;&lt;wsp:rsid wsp:val=&quot;00EF0E07&quot;/&gt;&lt;wsp:rsid wsp:val=&quot;00EF284E&quot;/&gt;&lt;wsp:rsid wsp:val=&quot;00EF4942&quot;/&gt;&lt;wsp:rsid wsp:val=&quot;00EF4D51&quot;/&gt;&lt;wsp:rsid wsp:val=&quot;00EF51B4&quot;/&gt;&lt;wsp:rsid wsp:val=&quot;00EF6969&quot;/&gt;&lt;wsp:rsid wsp:val=&quot;00EF73F3&quot;/&gt;&lt;wsp:rsid wsp:val=&quot;00EF74D9&quot;/&gt;&lt;wsp:rsid wsp:val=&quot;00F00818&quot;/&gt;&lt;wsp:rsid wsp:val=&quot;00F00B47&quot;/&gt;&lt;wsp:rsid wsp:val=&quot;00F02EA8&quot;/&gt;&lt;wsp:rsid wsp:val=&quot;00F030B6&quot;/&gt;&lt;wsp:rsid wsp:val=&quot;00F05F07&quot;/&gt;&lt;wsp:rsid wsp:val=&quot;00F0615D&quot;/&gt;&lt;wsp:rsid wsp:val=&quot;00F07D52&quot;/&gt;&lt;wsp:rsid wsp:val=&quot;00F1052F&quot;/&gt;&lt;wsp:rsid wsp:val=&quot;00F11E7D&quot;/&gt;&lt;wsp:rsid wsp:val=&quot;00F12488&quot;/&gt;&lt;wsp:rsid wsp:val=&quot;00F128E9&quot;/&gt;&lt;wsp:rsid wsp:val=&quot;00F12B72&quot;/&gt;&lt;wsp:rsid wsp:val=&quot;00F12D50&quot;/&gt;&lt;wsp:rsid wsp:val=&quot;00F1356E&quot;/&gt;&lt;wsp:rsid wsp:val=&quot;00F144FE&quot;/&gt;&lt;wsp:rsid wsp:val=&quot;00F147E3&quot;/&gt;&lt;wsp:rsid wsp:val=&quot;00F163B1&quot;/&gt;&lt;wsp:rsid wsp:val=&quot;00F165D2&quot;/&gt;&lt;wsp:rsid wsp:val=&quot;00F16667&quot;/&gt;&lt;wsp:rsid wsp:val=&quot;00F17B1A&quot;/&gt;&lt;wsp:rsid wsp:val=&quot;00F17E8A&quot;/&gt;&lt;wsp:rsid wsp:val=&quot;00F200E5&quot;/&gt;&lt;wsp:rsid wsp:val=&quot;00F205E8&quot;/&gt;&lt;wsp:rsid wsp:val=&quot;00F22646&quot;/&gt;&lt;wsp:rsid wsp:val=&quot;00F22FD3&quot;/&gt;&lt;wsp:rsid wsp:val=&quot;00F2338D&quot;/&gt;&lt;wsp:rsid wsp:val=&quot;00F23433&quot;/&gt;&lt;wsp:rsid wsp:val=&quot;00F23458&quot;/&gt;&lt;wsp:rsid wsp:val=&quot;00F24346&quot;/&gt;&lt;wsp:rsid wsp:val=&quot;00F243E5&quot;/&gt;&lt;wsp:rsid wsp:val=&quot;00F243EC&quot;/&gt;&lt;wsp:rsid wsp:val=&quot;00F24982&quot;/&gt;&lt;wsp:rsid wsp:val=&quot;00F260D0&quot;/&gt;&lt;wsp:rsid wsp:val=&quot;00F26842&quot;/&gt;&lt;wsp:rsid wsp:val=&quot;00F30193&quot;/&gt;&lt;wsp:rsid wsp:val=&quot;00F303C1&quot;/&gt;&lt;wsp:rsid wsp:val=&quot;00F305D4&quot;/&gt;&lt;wsp:rsid wsp:val=&quot;00F31D58&quot;/&gt;&lt;wsp:rsid wsp:val=&quot;00F320BD&quot;/&gt;&lt;wsp:rsid wsp:val=&quot;00F323F4&quot;/&gt;&lt;wsp:rsid wsp:val=&quot;00F32833&quot;/&gt;&lt;wsp:rsid wsp:val=&quot;00F33417&quot;/&gt;&lt;wsp:rsid wsp:val=&quot;00F337A1&quot;/&gt;&lt;wsp:rsid wsp:val=&quot;00F33834&quot;/&gt;&lt;wsp:rsid wsp:val=&quot;00F33CC4&quot;/&gt;&lt;wsp:rsid wsp:val=&quot;00F340CD&quot;/&gt;&lt;wsp:rsid wsp:val=&quot;00F34EFF&quot;/&gt;&lt;wsp:rsid wsp:val=&quot;00F34FEA&quot;/&gt;&lt;wsp:rsid wsp:val=&quot;00F354B7&quot;/&gt;&lt;wsp:rsid wsp:val=&quot;00F35537&quot;/&gt;&lt;wsp:rsid wsp:val=&quot;00F3579F&quot;/&gt;&lt;wsp:rsid wsp:val=&quot;00F364FF&quot;/&gt;&lt;wsp:rsid wsp:val=&quot;00F376F3&quot;/&gt;&lt;wsp:rsid wsp:val=&quot;00F40561&quot;/&gt;&lt;wsp:rsid wsp:val=&quot;00F417DA&quot;/&gt;&lt;wsp:rsid wsp:val=&quot;00F41AAC&quot;/&gt;&lt;wsp:rsid wsp:val=&quot;00F4291D&quot;/&gt;&lt;wsp:rsid wsp:val=&quot;00F42A0A&quot;/&gt;&lt;wsp:rsid wsp:val=&quot;00F43117&quot;/&gt;&lt;wsp:rsid wsp:val=&quot;00F4357F&quot;/&gt;&lt;wsp:rsid wsp:val=&quot;00F44320&quot;/&gt;&lt;wsp:rsid wsp:val=&quot;00F464DF&quot;/&gt;&lt;wsp:rsid wsp:val=&quot;00F468B0&quot;/&gt;&lt;wsp:rsid wsp:val=&quot;00F46DAA&quot;/&gt;&lt;wsp:rsid wsp:val=&quot;00F4781C&quot;/&gt;&lt;wsp:rsid wsp:val=&quot;00F5011B&quot;/&gt;&lt;wsp:rsid wsp:val=&quot;00F50227&quot;/&gt;&lt;wsp:rsid wsp:val=&quot;00F50C6B&quot;/&gt;&lt;wsp:rsid wsp:val=&quot;00F5271F&quot;/&gt;&lt;wsp:rsid wsp:val=&quot;00F52F33&quot;/&gt;&lt;wsp:rsid wsp:val=&quot;00F53A01&quot;/&gt;&lt;wsp:rsid wsp:val=&quot;00F542E0&quot;/&gt;&lt;wsp:rsid wsp:val=&quot;00F5445F&quot;/&gt;&lt;wsp:rsid wsp:val=&quot;00F546A1&quot;/&gt;&lt;wsp:rsid wsp:val=&quot;00F54D4F&quot;/&gt;&lt;wsp:rsid wsp:val=&quot;00F552F3&quot;/&gt;&lt;wsp:rsid wsp:val=&quot;00F5585D&quot;/&gt;&lt;wsp:rsid wsp:val=&quot;00F559EC&quot;/&gt;&lt;wsp:rsid wsp:val=&quot;00F55DC2&quot;/&gt;&lt;wsp:rsid wsp:val=&quot;00F56924&quot;/&gt;&lt;wsp:rsid wsp:val=&quot;00F57515&quot;/&gt;&lt;wsp:rsid wsp:val=&quot;00F608F8&quot;/&gt;&lt;wsp:rsid wsp:val=&quot;00F61DBE&quot;/&gt;&lt;wsp:rsid wsp:val=&quot;00F62262&quot;/&gt;&lt;wsp:rsid wsp:val=&quot;00F6254B&quot;/&gt;&lt;wsp:rsid wsp:val=&quot;00F63270&quot;/&gt;&lt;wsp:rsid wsp:val=&quot;00F636E6&quot;/&gt;&lt;wsp:rsid wsp:val=&quot;00F6389B&quot;/&gt;&lt;wsp:rsid wsp:val=&quot;00F63B8B&quot;/&gt;&lt;wsp:rsid wsp:val=&quot;00F63E48&quot;/&gt;&lt;wsp:rsid wsp:val=&quot;00F63F91&quot;/&gt;&lt;wsp:rsid wsp:val=&quot;00F6409F&quot;/&gt;&lt;wsp:rsid wsp:val=&quot;00F652E1&quot;/&gt;&lt;wsp:rsid wsp:val=&quot;00F659F7&quot;/&gt;&lt;wsp:rsid wsp:val=&quot;00F67803&quot;/&gt;&lt;wsp:rsid wsp:val=&quot;00F67C5E&quot;/&gt;&lt;wsp:rsid wsp:val=&quot;00F67C93&quot;/&gt;&lt;wsp:rsid wsp:val=&quot;00F67DA6&quot;/&gt;&lt;wsp:rsid wsp:val=&quot;00F67EAE&quot;/&gt;&lt;wsp:rsid wsp:val=&quot;00F70E04&quot;/&gt;&lt;wsp:rsid wsp:val=&quot;00F71418&quot;/&gt;&lt;wsp:rsid wsp:val=&quot;00F71472&quot;/&gt;&lt;wsp:rsid wsp:val=&quot;00F71612&quot;/&gt;&lt;wsp:rsid wsp:val=&quot;00F71A6B&quot;/&gt;&lt;wsp:rsid wsp:val=&quot;00F71C74&quot;/&gt;&lt;wsp:rsid wsp:val=&quot;00F71F5C&quot;/&gt;&lt;wsp:rsid wsp:val=&quot;00F73BDB&quot;/&gt;&lt;wsp:rsid wsp:val=&quot;00F73FEA&quot;/&gt;&lt;wsp:rsid wsp:val=&quot;00F74190&quot;/&gt;&lt;wsp:rsid wsp:val=&quot;00F74349&quot;/&gt;&lt;wsp:rsid wsp:val=&quot;00F74910&quot;/&gt;&lt;wsp:rsid wsp:val=&quot;00F74A8D&quot;/&gt;&lt;wsp:rsid wsp:val=&quot;00F75662&quot;/&gt;&lt;wsp:rsid wsp:val=&quot;00F76361&quot;/&gt;&lt;wsp:rsid wsp:val=&quot;00F767BF&quot;/&gt;&lt;wsp:rsid wsp:val=&quot;00F76C58&quot;/&gt;&lt;wsp:rsid wsp:val=&quot;00F76F66&quot;/&gt;&lt;wsp:rsid wsp:val=&quot;00F77204&quot;/&gt;&lt;wsp:rsid wsp:val=&quot;00F773F9&quot;/&gt;&lt;wsp:rsid wsp:val=&quot;00F775B1&quot;/&gt;&lt;wsp:rsid wsp:val=&quot;00F81BDA&quot;/&gt;&lt;wsp:rsid wsp:val=&quot;00F81F2B&quot;/&gt;&lt;wsp:rsid wsp:val=&quot;00F82031&quot;/&gt;&lt;wsp:rsid wsp:val=&quot;00F82060&quot;/&gt;&lt;wsp:rsid wsp:val=&quot;00F822AE&quot;/&gt;&lt;wsp:rsid wsp:val=&quot;00F82693&quot;/&gt;&lt;wsp:rsid wsp:val=&quot;00F82834&quot;/&gt;&lt;wsp:rsid wsp:val=&quot;00F82B4B&quot;/&gt;&lt;wsp:rsid wsp:val=&quot;00F83CE2&quot;/&gt;&lt;wsp:rsid wsp:val=&quot;00F83D47&quot;/&gt;&lt;wsp:rsid wsp:val=&quot;00F83D74&quot;/&gt;&lt;wsp:rsid wsp:val=&quot;00F8444A&quot;/&gt;&lt;wsp:rsid wsp:val=&quot;00F84BE9&quot;/&gt;&lt;wsp:rsid wsp:val=&quot;00F8553F&quot;/&gt;&lt;wsp:rsid wsp:val=&quot;00F87EBF&quot;/&gt;&lt;wsp:rsid wsp:val=&quot;00F90498&quot;/&gt;&lt;wsp:rsid wsp:val=&quot;00F9077A&quot;/&gt;&lt;wsp:rsid wsp:val=&quot;00F90C4B&quot;/&gt;&lt;wsp:rsid wsp:val=&quot;00F90FF5&quot;/&gt;&lt;wsp:rsid wsp:val=&quot;00F912D9&quot;/&gt;&lt;wsp:rsid wsp:val=&quot;00F91B3B&quot;/&gt;&lt;wsp:rsid wsp:val=&quot;00F91F7C&quot;/&gt;&lt;wsp:rsid wsp:val=&quot;00F92288&quot;/&gt;&lt;wsp:rsid wsp:val=&quot;00F923D4&quot;/&gt;&lt;wsp:rsid wsp:val=&quot;00F93D4C&quot;/&gt;&lt;wsp:rsid wsp:val=&quot;00F94CE8&quot;/&gt;&lt;wsp:rsid wsp:val=&quot;00F94D39&quot;/&gt;&lt;wsp:rsid wsp:val=&quot;00F95230&quot;/&gt;&lt;wsp:rsid wsp:val=&quot;00F95509&quot;/&gt;&lt;wsp:rsid wsp:val=&quot;00F9588B&quot;/&gt;&lt;wsp:rsid wsp:val=&quot;00F95E04&quot;/&gt;&lt;wsp:rsid wsp:val=&quot;00F95E41&quot;/&gt;&lt;wsp:rsid wsp:val=&quot;00F961E1&quot;/&gt;&lt;wsp:rsid wsp:val=&quot;00F9639A&quot;/&gt;&lt;wsp:rsid wsp:val=&quot;00F963CF&quot;/&gt;&lt;wsp:rsid wsp:val=&quot;00F96489&quot;/&gt;&lt;wsp:rsid wsp:val=&quot;00F96585&quot;/&gt;&lt;wsp:rsid wsp:val=&quot;00F967E6&quot;/&gt;&lt;wsp:rsid wsp:val=&quot;00F971B3&quot;/&gt;&lt;wsp:rsid wsp:val=&quot;00F974E6&quot;/&gt;&lt;wsp:rsid wsp:val=&quot;00F9778F&quot;/&gt;&lt;wsp:rsid wsp:val=&quot;00FA0895&quot;/&gt;&lt;wsp:rsid wsp:val=&quot;00FA0A66&quot;/&gt;&lt;wsp:rsid wsp:val=&quot;00FA1A88&quot;/&gt;&lt;wsp:rsid wsp:val=&quot;00FA2191&quot;/&gt;&lt;wsp:rsid wsp:val=&quot;00FA31F5&quot;/&gt;&lt;wsp:rsid wsp:val=&quot;00FA3B1B&quot;/&gt;&lt;wsp:rsid wsp:val=&quot;00FA3F62&quot;/&gt;&lt;wsp:rsid wsp:val=&quot;00FA4203&quot;/&gt;&lt;wsp:rsid wsp:val=&quot;00FA53D7&quot;/&gt;&lt;wsp:rsid wsp:val=&quot;00FA58DB&quot;/&gt;&lt;wsp:rsid wsp:val=&quot;00FA5A32&quot;/&gt;&lt;wsp:rsid wsp:val=&quot;00FA732E&quot;/&gt;&lt;wsp:rsid wsp:val=&quot;00FB0BF0&quot;/&gt;&lt;wsp:rsid wsp:val=&quot;00FB182F&quot;/&gt;&lt;wsp:rsid wsp:val=&quot;00FB1A97&quot;/&gt;&lt;wsp:rsid wsp:val=&quot;00FB1BEE&quot;/&gt;&lt;wsp:rsid wsp:val=&quot;00FB2087&quot;/&gt;&lt;wsp:rsid wsp:val=&quot;00FB2175&quot;/&gt;&lt;wsp:rsid wsp:val=&quot;00FB2F72&quot;/&gt;&lt;wsp:rsid wsp:val=&quot;00FB306D&quot;/&gt;&lt;wsp:rsid wsp:val=&quot;00FB46B2&quot;/&gt;&lt;wsp:rsid wsp:val=&quot;00FB4760&quot;/&gt;&lt;wsp:rsid wsp:val=&quot;00FB4B5C&quot;/&gt;&lt;wsp:rsid wsp:val=&quot;00FB4C5A&quot;/&gt;&lt;wsp:rsid wsp:val=&quot;00FB4F17&quot;/&gt;&lt;wsp:rsid wsp:val=&quot;00FB5122&quot;/&gt;&lt;wsp:rsid wsp:val=&quot;00FB5C5E&quot;/&gt;&lt;wsp:rsid wsp:val=&quot;00FB5EEE&quot;/&gt;&lt;wsp:rsid wsp:val=&quot;00FB6576&quot;/&gt;&lt;wsp:rsid wsp:val=&quot;00FB6C0F&quot;/&gt;&lt;wsp:rsid wsp:val=&quot;00FB6EF6&quot;/&gt;&lt;wsp:rsid wsp:val=&quot;00FB7036&quot;/&gt;&lt;wsp:rsid wsp:val=&quot;00FB754D&quot;/&gt;&lt;wsp:rsid wsp:val=&quot;00FB7DD0&quot;/&gt;&lt;wsp:rsid wsp:val=&quot;00FC0CF0&quot;/&gt;&lt;wsp:rsid wsp:val=&quot;00FC0D35&quot;/&gt;&lt;wsp:rsid wsp:val=&quot;00FC10A9&quot;/&gt;&lt;wsp:rsid wsp:val=&quot;00FC1B4B&quot;/&gt;&lt;wsp:rsid wsp:val=&quot;00FC1B99&quot;/&gt;&lt;wsp:rsid wsp:val=&quot;00FC225F&quot;/&gt;&lt;wsp:rsid wsp:val=&quot;00FC3221&quot;/&gt;&lt;wsp:rsid wsp:val=&quot;00FC3933&quot;/&gt;&lt;wsp:rsid wsp:val=&quot;00FC47CC&quot;/&gt;&lt;wsp:rsid wsp:val=&quot;00FC4E63&quot;/&gt;&lt;wsp:rsid wsp:val=&quot;00FC6124&quot;/&gt;&lt;wsp:rsid wsp:val=&quot;00FC64AE&quot;/&gt;&lt;wsp:rsid wsp:val=&quot;00FC7E60&quot;/&gt;&lt;wsp:rsid wsp:val=&quot;00FD028A&quot;/&gt;&lt;wsp:rsid wsp:val=&quot;00FD04F7&quot;/&gt;&lt;wsp:rsid wsp:val=&quot;00FD0AF5&quot;/&gt;&lt;wsp:rsid wsp:val=&quot;00FD121A&quot;/&gt;&lt;wsp:rsid wsp:val=&quot;00FD1582&quot;/&gt;&lt;wsp:rsid wsp:val=&quot;00FD38BA&quot;/&gt;&lt;wsp:rsid wsp:val=&quot;00FD406A&quot;/&gt;&lt;wsp:rsid wsp:val=&quot;00FD440C&quot;/&gt;&lt;wsp:rsid wsp:val=&quot;00FD5ECF&quot;/&gt;&lt;wsp:rsid wsp:val=&quot;00FD6A0E&quot;/&gt;&lt;wsp:rsid wsp:val=&quot;00FD6A93&quot;/&gt;&lt;wsp:rsid wsp:val=&quot;00FD6D6C&quot;/&gt;&lt;wsp:rsid wsp:val=&quot;00FD71F3&quot;/&gt;&lt;wsp:rsid wsp:val=&quot;00FD7B12&quot;/&gt;&lt;wsp:rsid wsp:val=&quot;00FE157D&quot;/&gt;&lt;wsp:rsid wsp:val=&quot;00FE162D&quot;/&gt;&lt;wsp:rsid wsp:val=&quot;00FE1E3E&quot;/&gt;&lt;wsp:rsid wsp:val=&quot;00FE2DEE&quot;/&gt;&lt;wsp:rsid wsp:val=&quot;00FE34FE&quot;/&gt;&lt;wsp:rsid wsp:val=&quot;00FE379D&quot;/&gt;&lt;wsp:rsid wsp:val=&quot;00FE38CD&quot;/&gt;&lt;wsp:rsid wsp:val=&quot;00FE3912&quot;/&gt;&lt;wsp:rsid wsp:val=&quot;00FE47C4&quot;/&gt;&lt;wsp:rsid wsp:val=&quot;00FE4B49&quot;/&gt;&lt;wsp:rsid wsp:val=&quot;00FE51E9&quot;/&gt;&lt;wsp:rsid wsp:val=&quot;00FE5532&quot;/&gt;&lt;wsp:rsid wsp:val=&quot;00FE561F&quot;/&gt;&lt;wsp:rsid wsp:val=&quot;00FE5E39&quot;/&gt;&lt;wsp:rsid wsp:val=&quot;00FE6587&quot;/&gt;&lt;wsp:rsid wsp:val=&quot;00FE6808&quot;/&gt;&lt;wsp:rsid wsp:val=&quot;00FE683C&quot;/&gt;&lt;wsp:rsid wsp:val=&quot;00FE6FD1&quot;/&gt;&lt;wsp:rsid wsp:val=&quot;00FE73DF&quot;/&gt;&lt;wsp:rsid wsp:val=&quot;00FF040D&quot;/&gt;&lt;wsp:rsid wsp:val=&quot;00FF0550&quot;/&gt;&lt;wsp:rsid wsp:val=&quot;00FF0DD6&quot;/&gt;&lt;wsp:rsid wsp:val=&quot;00FF18D7&quot;/&gt;&lt;wsp:rsid wsp:val=&quot;00FF1BFE&quot;/&gt;&lt;wsp:rsid wsp:val=&quot;00FF2671&quot;/&gt;&lt;wsp:rsid wsp:val=&quot;00FF2C36&quot;/&gt;&lt;wsp:rsid wsp:val=&quot;00FF2EAC&quot;/&gt;&lt;wsp:rsid wsp:val=&quot;00FF2F17&quot;/&gt;&lt;wsp:rsid wsp:val=&quot;00FF37EF&quot;/&gt;&lt;wsp:rsid wsp:val=&quot;00FF40AE&quot;/&gt;&lt;wsp:rsid wsp:val=&quot;00FF447B&quot;/&gt;&lt;wsp:rsid wsp:val=&quot;00FF47B6&quot;/&gt;&lt;wsp:rsid wsp:val=&quot;00FF4B44&quot;/&gt;&lt;wsp:rsid wsp:val=&quot;00FF4E5F&quot;/&gt;&lt;wsp:rsid wsp:val=&quot;00FF56FC&quot;/&gt;&lt;wsp:rsid wsp:val=&quot;00FF5FBE&quot;/&gt;&lt;wsp:rsid wsp:val=&quot;00FF7279&quot;/&gt;&lt;wsp:rsid wsp:val=&quot;00FF730C&quot;/&gt;&lt;wsp:rsid wsp:val=&quot;00FF7C58&quot;/&gt;&lt;wsp:rsid wsp:val=&quot;02480F96&quot;/&gt;&lt;wsp:rsid wsp:val=&quot;027421AE&quot;/&gt;&lt;wsp:rsid wsp:val=&quot;02A17E88&quot;/&gt;&lt;wsp:rsid wsp:val=&quot;050E27F8&quot;/&gt;&lt;wsp:rsid wsp:val=&quot;06526154&quot;/&gt;&lt;wsp:rsid wsp:val=&quot;065829F1&quot;/&gt;&lt;wsp:rsid wsp:val=&quot;096746B3&quot;/&gt;&lt;wsp:rsid wsp:val=&quot;10E221A8&quot;/&gt;&lt;wsp:rsid wsp:val=&quot;116E00EE&quot;/&gt;&lt;wsp:rsid wsp:val=&quot;13C5141D&quot;/&gt;&lt;wsp:rsid wsp:val=&quot;147B25CC&quot;/&gt;&lt;wsp:rsid wsp:val=&quot;150A3850&quot;/&gt;&lt;wsp:rsid wsp:val=&quot;18946E8F&quot;/&gt;&lt;wsp:rsid wsp:val=&quot;1A087ADB&quot;/&gt;&lt;wsp:rsid wsp:val=&quot;1A1B52FA&quot;/&gt;&lt;wsp:rsid wsp:val=&quot;1A7864A1&quot;/&gt;&lt;wsp:rsid wsp:val=&quot;1DCE34CE&quot;/&gt;&lt;wsp:rsid wsp:val=&quot;206075CD&quot;/&gt;&lt;wsp:rsid wsp:val=&quot;226C7190&quot;/&gt;&lt;wsp:rsid wsp:val=&quot;22F6565C&quot;/&gt;&lt;wsp:rsid wsp:val=&quot;24A002A7&quot;/&gt;&lt;wsp:rsid wsp:val=&quot;26521C0C&quot;/&gt;&lt;wsp:rsid wsp:val=&quot;2A0A4AE0&quot;/&gt;&lt;wsp:rsid wsp:val=&quot;2BFD2CE5&quot;/&gt;&lt;wsp:rsid wsp:val=&quot;2FFA13B6&quot;/&gt;&lt;wsp:rsid wsp:val=&quot;3027241B&quot;/&gt;&lt;wsp:rsid wsp:val=&quot;30CD5F3D&quot;/&gt;&lt;wsp:rsid wsp:val=&quot;356C7AF9&quot;/&gt;&lt;wsp:rsid wsp:val=&quot;36BA23F0&quot;/&gt;&lt;wsp:rsid wsp:val=&quot;38BB0370&quot;/&gt;&lt;wsp:rsid wsp:val=&quot;3A7F44D8&quot;/&gt;&lt;wsp:rsid wsp:val=&quot;3AB3657D&quot;/&gt;&lt;wsp:rsid wsp:val=&quot;3B944D22&quot;/&gt;&lt;wsp:rsid wsp:val=&quot;3BC60721&quot;/&gt;&lt;wsp:rsid wsp:val=&quot;3D1A395A&quot;/&gt;&lt;wsp:rsid wsp:val=&quot;3D1E23EE&quot;/&gt;&lt;wsp:rsid wsp:val=&quot;44E47AFA&quot;/&gt;&lt;wsp:rsid wsp:val=&quot;455373A1&quot;/&gt;&lt;wsp:rsid wsp:val=&quot;45A20272&quot;/&gt;&lt;wsp:rsid wsp:val=&quot;494A0752&quot;/&gt;&lt;wsp:rsid wsp:val=&quot;4A6E57FE&quot;/&gt;&lt;wsp:rsid wsp:val=&quot;4C2D0915&quot;/&gt;&lt;wsp:rsid wsp:val=&quot;4DFC0976&quot;/&gt;&lt;wsp:rsid wsp:val=&quot;4E964F55&quot;/&gt;&lt;wsp:rsid wsp:val=&quot;5307148A&quot;/&gt;&lt;wsp:rsid wsp:val=&quot;55171927&quot;/&gt;&lt;wsp:rsid wsp:val=&quot;56F549A1&quot;/&gt;&lt;wsp:rsid wsp:val=&quot;57D303F2&quot;/&gt;&lt;wsp:rsid wsp:val=&quot;5B873B34&quot;/&gt;&lt;wsp:rsid wsp:val=&quot;5D033B22&quot;/&gt;&lt;wsp:rsid wsp:val=&quot;5E585B4E&quot;/&gt;&lt;wsp:rsid wsp:val=&quot;5F3E2E1E&quot;/&gt;&lt;wsp:rsid wsp:val=&quot;609C1717&quot;/&gt;&lt;wsp:rsid wsp:val=&quot;635F5024&quot;/&gt;&lt;wsp:rsid wsp:val=&quot;670130CA&quot;/&gt;&lt;wsp:rsid wsp:val=&quot;677D6958&quot;/&gt;&lt;wsp:rsid wsp:val=&quot;684B2A97&quot;/&gt;&lt;wsp:rsid wsp:val=&quot;687133E0&quot;/&gt;&lt;wsp:rsid wsp:val=&quot;689D5FF7&quot;/&gt;&lt;wsp:rsid wsp:val=&quot;6A6C05BF&quot;/&gt;&lt;wsp:rsid wsp:val=&quot;6C815020&quot;/&gt;&lt;wsp:rsid wsp:val=&quot;6ECB1F8F&quot;/&gt;&lt;wsp:rsid wsp:val=&quot;6EFF2BFA&quot;/&gt;&lt;wsp:rsid wsp:val=&quot;70704D87&quot;/&gt;&lt;wsp:rsid wsp:val=&quot;70B31A0B&quot;/&gt;&lt;wsp:rsid wsp:val=&quot;7144171B&quot;/&gt;&lt;wsp:rsid wsp:val=&quot;71B65686&quot;/&gt;&lt;wsp:rsid wsp:val=&quot;71F05146&quot;/&gt;&lt;wsp:rsid wsp:val=&quot;72A6345A&quot;/&gt;&lt;wsp:rsid wsp:val=&quot;72C34660&quot;/&gt;&lt;wsp:rsid wsp:val=&quot;74380D09&quot;/&gt;&lt;wsp:rsid wsp:val=&quot;75D6300E&quot;/&gt;&lt;wsp:rsid wsp:val=&quot;76B56222&quot;/&gt;&lt;wsp:rsid wsp:val=&quot;78374E93&quot;/&gt;&lt;wsp:rsid wsp:val=&quot;795A7EB6&quot;/&gt;&lt;wsp:rsid wsp:val=&quot;796A2C43&quot;/&gt;&lt;wsp:rsid wsp:val=&quot;7CCD5657&quot;/&gt;&lt;wsp:rsid wsp:val=&quot;7D214335&quot;/&gt;&lt;wsp:rsid wsp:val=&quot;7F24135E&quot;/&gt;&lt;/wsp:rsids&gt;&lt;/w:docPr&gt;&lt;w:body&gt;&lt;w:p wsp:rsidR=&quot;00000000&quot; wsp:rsidRDefault=&quot;00CE7056&quot;&gt;&lt;m:oMathPara&gt;&lt;m:oMath&gt;&lt;m:sSub&gt;&lt;m:sSubPr&gt;&lt;m:ctrlPr&gt;&lt;w:rPr&gt;&lt;w:rFonts w:ascii=&quot;Cambria Math&quot; w:h-ansi=&quot;Cambria Math&quot;/&gt;&lt;wx:font wx:val=&quot;Cambria Math&quot;/&gt;&lt;w:i/&gt;&lt;w:sz-cs w:val=&quot;24&quot;/&gt;&lt;/w:rPr&gt;&lt;/m:ctrlPr&gt;&lt;/m:sSubPr&gt;&lt;m:e&gt;&lt;m:r&gt;&lt;w:rPr&gt;&lt;w:rFonts w:ascii=&quot;Cambria Math&quot; w:h-ansi=&quot;Cambria Math&quot;/&gt;&lt;wx:font wx:val=&quot;Cambria Math&quot;/&gt;&lt;w:i/&gt;&lt;w:sz-cs w:val=&quot;24&quot;/&gt;&lt;/w:rPr&gt;&lt;m:t&gt;C&lt;/m:t&gt;&lt;/m:r&gt;&lt;/m:e&gt;&lt;m:sub&gt;&lt;m:r&gt;&lt;w:rPr&gt;&lt;w:rFonts w:ascii=&quot;Cambria Math&quot; w:h-ansi=&quot;Cambria Math&quot;/&gt;&lt;wx:font wx:val=&quot;Cambria Math&quot;/&gt;&lt;w:i/&gt;&lt;w:sz-cs w:val=&quot;24&quot;/&gt;&lt;/w:rPr&gt;&lt;m:t&gt;i&lt;/m:t&gt;&lt;/m:r&gt;&lt;/m:sub&gt;&lt;/m:sSub&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body&gt;&lt;/w:wordDocument&gt;">
            <v:path/>
            <v:fill on="f" focussize="0,0"/>
            <v:stroke on="f"/>
            <v:imagedata r:id="rId11" chromakey="#FFFFFF" o:title=""/>
            <o:lock v:ext="edit" aspectratio="t"/>
            <w10:wrap type="none"/>
            <w10:anchorlock/>
          </v:shape>
        </w:pict>
      </w:r>
      <w:r>
        <w:rPr>
          <w:rFonts w:hint="default" w:ascii="Times New Roman" w:hAnsi="Times New Roman" w:cs="Times New Roman"/>
          <w:color w:val="auto"/>
          <w:highlight w:val="none"/>
          <w:u w:val="none" w:color="auto"/>
          <w:lang w:val="en-US" w:eastAsia="zh-CN"/>
        </w:rPr>
        <w:instrText xml:space="preserve"> </w:instrText>
      </w:r>
      <w:r>
        <w:rPr>
          <w:rFonts w:hint="default" w:ascii="Times New Roman" w:hAnsi="Times New Roman" w:cs="Times New Roman"/>
          <w:color w:val="auto"/>
          <w:highlight w:val="none"/>
          <w:u w:val="none" w:color="auto"/>
          <w:lang w:val="en-US" w:eastAsia="zh-CN"/>
        </w:rPr>
        <w:fldChar w:fldCharType="separate"/>
      </w:r>
      <w:r>
        <w:rPr>
          <w:rFonts w:hint="default" w:ascii="Times New Roman" w:hAnsi="Times New Roman" w:cs="Times New Roman"/>
          <w:color w:val="auto"/>
          <w:highlight w:val="none"/>
          <w:u w:val="none" w:color="auto"/>
          <w:lang w:val="en-US" w:eastAsia="zh-CN"/>
        </w:rPr>
        <w:fldChar w:fldCharType="end"/>
      </w:r>
      <w:r>
        <w:rPr>
          <w:rFonts w:hint="default" w:ascii="Times New Roman" w:hAnsi="Times New Roman" w:cs="Times New Roman"/>
          <w:color w:val="auto"/>
          <w:highlight w:val="none"/>
          <w:u w:val="none" w:color="auto"/>
          <w:lang w:val="en-US" w:eastAsia="zh-CN"/>
        </w:rPr>
        <w:t>——采用估算模型计算出的第i个污染物的最大1h地面空气质量浓度，μg/m</w:t>
      </w:r>
      <w:r>
        <w:rPr>
          <w:rFonts w:hint="default" w:ascii="Times New Roman" w:hAnsi="Times New Roman" w:cs="Times New Roman"/>
          <w:color w:val="auto"/>
          <w:highlight w:val="none"/>
          <w:u w:val="none" w:color="auto"/>
          <w:vertAlign w:val="superscript"/>
          <w:lang w:val="en-US" w:eastAsia="zh-CN"/>
        </w:rPr>
        <w:t>3</w:t>
      </w:r>
      <w:r>
        <w:rPr>
          <w:rFonts w:hint="default" w:ascii="Times New Roman" w:hAnsi="Times New Roman" w:cs="Times New Roman"/>
          <w:color w:val="auto"/>
          <w:highlight w:val="none"/>
          <w:u w:val="none" w:color="auto"/>
          <w:lang w:val="en-US" w:eastAsia="zh-CN"/>
        </w:rPr>
        <w:t>；</w:t>
      </w:r>
    </w:p>
    <w:p w14:paraId="5E7209A7">
      <w:pPr>
        <w:bidi w:val="0"/>
        <w:rPr>
          <w:rFonts w:hint="default" w:ascii="Times New Roman" w:hAnsi="Times New Roman" w:cs="Times New Roman"/>
          <w:color w:val="auto"/>
          <w:highlight w:val="none"/>
          <w:u w:val="none" w:color="auto"/>
          <w:lang w:val="en-US" w:eastAsia="zh-CN"/>
        </w:rPr>
      </w:pPr>
      <w:r>
        <w:rPr>
          <w:rFonts w:hint="default" w:ascii="Times New Roman" w:hAnsi="Times New Roman" w:cs="Times New Roman"/>
          <w:color w:val="auto"/>
          <w:highlight w:val="none"/>
          <w:u w:val="none" w:color="auto"/>
          <w:lang w:val="en-US" w:eastAsia="zh-CN"/>
        </w:rPr>
        <w:fldChar w:fldCharType="begin"/>
      </w:r>
      <w:r>
        <w:rPr>
          <w:rFonts w:hint="default" w:ascii="Times New Roman" w:hAnsi="Times New Roman" w:cs="Times New Roman"/>
          <w:color w:val="auto"/>
          <w:highlight w:val="none"/>
          <w:u w:val="none" w:color="auto"/>
          <w:lang w:val="en-US" w:eastAsia="zh-CN"/>
        </w:rPr>
        <w:instrText xml:space="preserve"> QUOTE </w:instrText>
      </w:r>
      <w:r>
        <w:rPr>
          <w:rFonts w:hint="default" w:ascii="Times New Roman" w:hAnsi="Times New Roman" w:cs="Times New Roman"/>
          <w:color w:val="auto"/>
          <w:highlight w:val="none"/>
          <w:u w:val="none" w:color="auto"/>
          <w:lang w:val="en-US" w:eastAsia="zh-CN"/>
        </w:rPr>
        <w:pict>
          <v:shape id="_x0000_i1027" o:spt="75" type="#_x0000_t75" style="height:21pt;width:15pt;" filled="f" stroked="f" coordsize="21600,21600" equationxml="&lt;?xml version=&quot;1.0&quot; encoding=&quot;UTF-8&quot; standalone=&quot;yes&quot;?&gt;&#13;&#10;&lt;?mso-application progid=&quot;Word.Document&quot;?&gt;&#13;&#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stylePaneFormatFilter w:val=&quot;3F01&quot;/&gt;&lt;w:documentProtection w:edit=&quot;read-only&quot; w:enforcement=&quot;off&quot;/&gt;&lt;w:defaultTabStop w:val=&quot;420&quot;/&gt;&lt;w:drawingGridVerticalSpacing w:val=&quot;156&quot;/&gt;&lt;w:characterSpacingControl w:val=&quot;CompressPunctuation&quot;/&gt;&lt;w:webPageEncoding w:val=&quot;x-cp20936&quot;/&gt;&lt;w:optimizeForBrowser/&gt;&lt;w:validateAgainstSchema w:val=&quot;off&quot;/&gt;&lt;w:saveInvalidXML w:val=&quot;off&quot;/&gt;&lt;w:ignoreMixedContent w:val=&quot;off&quot;/&gt;&lt;w:alwaysShowPlaceholderText w:val=&quot;off&quot;/&gt;&lt;w:doNotUnderlineInvalidXML/&gt;&lt;w:endnotePr&gt;&lt;w:numFmt w:val=&quot;decimal&quot;/&gt;&lt;/w:endnotePr&gt;&lt;w:compat&gt;&lt;w:spaceForUL/&gt;&lt;w:balanceSingleByteDoubleByteWidth/&gt;&lt;w:doNotLeaveBackslashAlone/&gt;&lt;w:ulTrailSpace/&gt;&lt;w:doNotExpandShiftReturn/&gt;&lt;w:adjustLineHeightInTable/&gt;&lt;w:breakWrappedTables/&gt;&lt;w:snapToGridInCell/&gt;&lt;w:dontGrowAutofit/&gt;&lt;w:useFELayout/&gt;&lt;/w:compat&gt;&lt;wsp:rsids&gt;&lt;wsp:rsidRoot wsp:val=&quot;00172A27&quot;/&gt;&lt;wsp:rsid wsp:val=&quot;00000BDC&quot;/&gt;&lt;wsp:rsid wsp:val=&quot;00000C48&quot;/&gt;&lt;wsp:rsid wsp:val=&quot;00000DE8&quot;/&gt;&lt;wsp:rsid wsp:val=&quot;00002044&quot;/&gt;&lt;wsp:rsid wsp:val=&quot;00002384&quot;/&gt;&lt;wsp:rsid wsp:val=&quot;000023BB&quot;/&gt;&lt;wsp:rsid wsp:val=&quot;000026DF&quot;/&gt;&lt;wsp:rsid wsp:val=&quot;00003D43&quot;/&gt;&lt;wsp:rsid wsp:val=&quot;000049D5&quot;/&gt;&lt;wsp:rsid wsp:val=&quot;00007E76&quot;/&gt;&lt;wsp:rsid wsp:val=&quot;00010A97&quot;/&gt;&lt;wsp:rsid wsp:val=&quot;00011442&quot;/&gt;&lt;wsp:rsid wsp:val=&quot;00011611&quot;/&gt;&lt;wsp:rsid wsp:val=&quot;00012003&quot;/&gt;&lt;wsp:rsid wsp:val=&quot;00012680&quot;/&gt;&lt;wsp:rsid wsp:val=&quot;00013608&quot;/&gt;&lt;wsp:rsid wsp:val=&quot;000137FB&quot;/&gt;&lt;wsp:rsid wsp:val=&quot;00014054&quot;/&gt;&lt;wsp:rsid wsp:val=&quot;00014774&quot;/&gt;&lt;wsp:rsid wsp:val=&quot;00014FE9&quot;/&gt;&lt;wsp:rsid wsp:val=&quot;0001510B&quot;/&gt;&lt;wsp:rsid wsp:val=&quot;00015189&quot;/&gt;&lt;wsp:rsid wsp:val=&quot;000153F1&quot;/&gt;&lt;wsp:rsid wsp:val=&quot;00015940&quot;/&gt;&lt;wsp:rsid wsp:val=&quot;00015F77&quot;/&gt;&lt;wsp:rsid wsp:val=&quot;000161D2&quot;/&gt;&lt;wsp:rsid wsp:val=&quot;00016A2F&quot;/&gt;&lt;wsp:rsid wsp:val=&quot;00016CF4&quot;/&gt;&lt;wsp:rsid wsp:val=&quot;000176C2&quot;/&gt;&lt;wsp:rsid wsp:val=&quot;00017960&quot;/&gt;&lt;wsp:rsid wsp:val=&quot;00020069&quot;/&gt;&lt;wsp:rsid wsp:val=&quot;00020890&quot;/&gt;&lt;wsp:rsid wsp:val=&quot;00020902&quot;/&gt;&lt;wsp:rsid wsp:val=&quot;00021F5B&quot;/&gt;&lt;wsp:rsid wsp:val=&quot;000243DA&quot;/&gt;&lt;wsp:rsid wsp:val=&quot;00024599&quot;/&gt;&lt;wsp:rsid wsp:val=&quot;00024C46&quot;/&gt;&lt;wsp:rsid wsp:val=&quot;00024C57&quot;/&gt;&lt;wsp:rsid wsp:val=&quot;00024F85&quot;/&gt;&lt;wsp:rsid wsp:val=&quot;00025DA8&quot;/&gt;&lt;wsp:rsid wsp:val=&quot;00025E7D&quot;/&gt;&lt;wsp:rsid wsp:val=&quot;00026A23&quot;/&gt;&lt;wsp:rsid wsp:val=&quot;000315D7&quot;/&gt;&lt;wsp:rsid wsp:val=&quot;0003201D&quot;/&gt;&lt;wsp:rsid wsp:val=&quot;000321EF&quot;/&gt;&lt;wsp:rsid wsp:val=&quot;0003242F&quot;/&gt;&lt;wsp:rsid wsp:val=&quot;00032539&quot;/&gt;&lt;wsp:rsid wsp:val=&quot;00033BC3&quot;/&gt;&lt;wsp:rsid wsp:val=&quot;000340D2&quot;/&gt;&lt;wsp:rsid wsp:val=&quot;0003438A&quot;/&gt;&lt;wsp:rsid wsp:val=&quot;00035764&quot;/&gt;&lt;wsp:rsid wsp:val=&quot;00035B09&quot;/&gt;&lt;wsp:rsid wsp:val=&quot;00035BBA&quot;/&gt;&lt;wsp:rsid wsp:val=&quot;000366BB&quot;/&gt;&lt;wsp:rsid wsp:val=&quot;0003728E&quot;/&gt;&lt;wsp:rsid wsp:val=&quot;000373AF&quot;/&gt;&lt;wsp:rsid wsp:val=&quot;0003798F&quot;/&gt;&lt;wsp:rsid wsp:val=&quot;00040362&quot;/&gt;&lt;wsp:rsid wsp:val=&quot;00040AF5&quot;/&gt;&lt;wsp:rsid wsp:val=&quot;00040B38&quot;/&gt;&lt;wsp:rsid wsp:val=&quot;00042045&quot;/&gt;&lt;wsp:rsid wsp:val=&quot;00042400&quot;/&gt;&lt;wsp:rsid wsp:val=&quot;00042FDC&quot;/&gt;&lt;wsp:rsid wsp:val=&quot;000430C2&quot;/&gt;&lt;wsp:rsid wsp:val=&quot;00043C8A&quot;/&gt;&lt;wsp:rsid wsp:val=&quot;00043EE4&quot;/&gt;&lt;wsp:rsid wsp:val=&quot;000445D2&quot;/&gt;&lt;wsp:rsid wsp:val=&quot;000449FA&quot;/&gt;&lt;wsp:rsid wsp:val=&quot;0004570E&quot;/&gt;&lt;wsp:rsid wsp:val=&quot;000460E8&quot;/&gt;&lt;wsp:rsid wsp:val=&quot;00046207&quot;/&gt;&lt;wsp:rsid wsp:val=&quot;00046D04&quot;/&gt;&lt;wsp:rsid wsp:val=&quot;00047758&quot;/&gt;&lt;wsp:rsid wsp:val=&quot;00047BE0&quot;/&gt;&lt;wsp:rsid wsp:val=&quot;000501BB&quot;/&gt;&lt;wsp:rsid wsp:val=&quot;0005056C&quot;/&gt;&lt;wsp:rsid wsp:val=&quot;00050B2B&quot;/&gt;&lt;wsp:rsid wsp:val=&quot;00050E30&quot;/&gt;&lt;wsp:rsid wsp:val=&quot;0005160B&quot;/&gt;&lt;wsp:rsid wsp:val=&quot;000519A3&quot;/&gt;&lt;wsp:rsid wsp:val=&quot;000522EB&quot;/&gt;&lt;wsp:rsid wsp:val=&quot;00052E38&quot;/&gt;&lt;wsp:rsid wsp:val=&quot;00052FAE&quot;/&gt;&lt;wsp:rsid wsp:val=&quot;00053F67&quot;/&gt;&lt;wsp:rsid wsp:val=&quot;00054294&quot;/&gt;&lt;wsp:rsid wsp:val=&quot;00054425&quot;/&gt;&lt;wsp:rsid wsp:val=&quot;000556D0&quot;/&gt;&lt;wsp:rsid wsp:val=&quot;000563AC&quot;/&gt;&lt;wsp:rsid wsp:val=&quot;00057F74&quot;/&gt;&lt;wsp:rsid wsp:val=&quot;00061344&quot;/&gt;&lt;wsp:rsid wsp:val=&quot;000625FF&quot;/&gt;&lt;wsp:rsid wsp:val=&quot;00062DE9&quot;/&gt;&lt;wsp:rsid wsp:val=&quot;00063AF0&quot;/&gt;&lt;wsp:rsid wsp:val=&quot;00063B5F&quot;/&gt;&lt;wsp:rsid wsp:val=&quot;000653F8&quot;/&gt;&lt;wsp:rsid wsp:val=&quot;0006563D&quot;/&gt;&lt;wsp:rsid wsp:val=&quot;000663B8&quot;/&gt;&lt;wsp:rsid wsp:val=&quot;00066BDF&quot;/&gt;&lt;wsp:rsid wsp:val=&quot;000670D7&quot;/&gt;&lt;wsp:rsid wsp:val=&quot;000675AB&quot;/&gt;&lt;wsp:rsid wsp:val=&quot;0007061A&quot;/&gt;&lt;wsp:rsid wsp:val=&quot;000708C3&quot;/&gt;&lt;wsp:rsid wsp:val=&quot;0007123E&quot;/&gt;&lt;wsp:rsid wsp:val=&quot;000715C0&quot;/&gt;&lt;wsp:rsid wsp:val=&quot;00071EA9&quot;/&gt;&lt;wsp:rsid wsp:val=&quot;00073DEA&quot;/&gt;&lt;wsp:rsid wsp:val=&quot;000743F6&quot;/&gt;&lt;wsp:rsid wsp:val=&quot;00074C92&quot;/&gt;&lt;wsp:rsid wsp:val=&quot;00075FDD&quot;/&gt;&lt;wsp:rsid wsp:val=&quot;0007632E&quot;/&gt;&lt;wsp:rsid wsp:val=&quot;00077287&quot;/&gt;&lt;wsp:rsid wsp:val=&quot;00077CB5&quot;/&gt;&lt;wsp:rsid wsp:val=&quot;00080216&quot;/&gt;&lt;wsp:rsid wsp:val=&quot;00080318&quot;/&gt;&lt;wsp:rsid wsp:val=&quot;00080818&quot;/&gt;&lt;wsp:rsid wsp:val=&quot;00080F17&quot;/&gt;&lt;wsp:rsid wsp:val=&quot;00081044&quot;/&gt;&lt;wsp:rsid wsp:val=&quot;0008154D&quot;/&gt;&lt;wsp:rsid wsp:val=&quot;00081C5E&quot;/&gt;&lt;wsp:rsid wsp:val=&quot;000820BD&quot;/&gt;&lt;wsp:rsid wsp:val=&quot;00082130&quot;/&gt;&lt;wsp:rsid wsp:val=&quot;000836FC&quot;/&gt;&lt;wsp:rsid wsp:val=&quot;00083AA9&quot;/&gt;&lt;wsp:rsid wsp:val=&quot;00083E8D&quot;/&gt;&lt;wsp:rsid wsp:val=&quot;00084258&quot;/&gt;&lt;wsp:rsid wsp:val=&quot;00085453&quot;/&gt;&lt;wsp:rsid wsp:val=&quot;000856EF&quot;/&gt;&lt;wsp:rsid wsp:val=&quot;00085892&quot;/&gt;&lt;wsp:rsid wsp:val=&quot;00085E4B&quot;/&gt;&lt;wsp:rsid wsp:val=&quot;00085EFF&quot;/&gt;&lt;wsp:rsid wsp:val=&quot;00086BC7&quot;/&gt;&lt;wsp:rsid wsp:val=&quot;00087086&quot;/&gt;&lt;wsp:rsid wsp:val=&quot;00087706&quot;/&gt;&lt;wsp:rsid wsp:val=&quot;0008793B&quot;/&gt;&lt;wsp:rsid wsp:val=&quot;00087D44&quot;/&gt;&lt;wsp:rsid wsp:val=&quot;00087DC0&quot;/&gt;&lt;wsp:rsid wsp:val=&quot;00090618&quot;/&gt;&lt;wsp:rsid wsp:val=&quot;000919FF&quot;/&gt;&lt;wsp:rsid wsp:val=&quot;000920FA&quot;/&gt;&lt;wsp:rsid wsp:val=&quot;00092311&quot;/&gt;&lt;wsp:rsid wsp:val=&quot;00092E1E&quot;/&gt;&lt;wsp:rsid wsp:val=&quot;000934E2&quot;/&gt;&lt;wsp:rsid wsp:val=&quot;00094315&quot;/&gt;&lt;wsp:rsid wsp:val=&quot;00094567&quot;/&gt;&lt;wsp:rsid wsp:val=&quot;00095CF4&quot;/&gt;&lt;wsp:rsid wsp:val=&quot;0009625B&quot;/&gt;&lt;wsp:rsid wsp:val=&quot;0009678D&quot;/&gt;&lt;wsp:rsid wsp:val=&quot;00096D8F&quot;/&gt;&lt;wsp:rsid wsp:val=&quot;000972DA&quot;/&gt;&lt;wsp:rsid wsp:val=&quot;00097305&quot;/&gt;&lt;wsp:rsid wsp:val=&quot;00097492&quot;/&gt;&lt;wsp:rsid wsp:val=&quot;00097A72&quot;/&gt;&lt;wsp:rsid wsp:val=&quot;00097EC9&quot;/&gt;&lt;wsp:rsid wsp:val=&quot;000A0B04&quot;/&gt;&lt;wsp:rsid wsp:val=&quot;000A12BE&quot;/&gt;&lt;wsp:rsid wsp:val=&quot;000A12F7&quot;/&gt;&lt;wsp:rsid wsp:val=&quot;000A2BD3&quot;/&gt;&lt;wsp:rsid wsp:val=&quot;000A2C20&quot;/&gt;&lt;wsp:rsid wsp:val=&quot;000A2F35&quot;/&gt;&lt;wsp:rsid wsp:val=&quot;000A31B2&quot;/&gt;&lt;wsp:rsid wsp:val=&quot;000A445C&quot;/&gt;&lt;wsp:rsid wsp:val=&quot;000A4D0B&quot;/&gt;&lt;wsp:rsid wsp:val=&quot;000A558C&quot;/&gt;&lt;wsp:rsid wsp:val=&quot;000A6A0F&quot;/&gt;&lt;wsp:rsid wsp:val=&quot;000A70F8&quot;/&gt;&lt;wsp:rsid wsp:val=&quot;000A751C&quot;/&gt;&lt;wsp:rsid wsp:val=&quot;000B01C7&quot;/&gt;&lt;wsp:rsid wsp:val=&quot;000B0841&quot;/&gt;&lt;wsp:rsid wsp:val=&quot;000B08EA&quot;/&gt;&lt;wsp:rsid wsp:val=&quot;000B1EFD&quot;/&gt;&lt;wsp:rsid wsp:val=&quot;000B2611&quot;/&gt;&lt;wsp:rsid wsp:val=&quot;000B2C3A&quot;/&gt;&lt;wsp:rsid wsp:val=&quot;000B314D&quot;/&gt;&lt;wsp:rsid wsp:val=&quot;000B4954&quot;/&gt;&lt;wsp:rsid wsp:val=&quot;000B4F30&quot;/&gt;&lt;wsp:rsid wsp:val=&quot;000B5077&quot;/&gt;&lt;wsp:rsid wsp:val=&quot;000B516E&quot;/&gt;&lt;wsp:rsid wsp:val=&quot;000B54F7&quot;/&gt;&lt;wsp:rsid wsp:val=&quot;000B62A1&quot;/&gt;&lt;wsp:rsid wsp:val=&quot;000C06AC&quot;/&gt;&lt;wsp:rsid wsp:val=&quot;000C0F8F&quot;/&gt;&lt;wsp:rsid wsp:val=&quot;000C135F&quot;/&gt;&lt;wsp:rsid wsp:val=&quot;000C4014&quot;/&gt;&lt;wsp:rsid wsp:val=&quot;000C41B6&quot;/&gt;&lt;wsp:rsid wsp:val=&quot;000C6114&quot;/&gt;&lt;wsp:rsid wsp:val=&quot;000C680E&quot;/&gt;&lt;wsp:rsid wsp:val=&quot;000C68E3&quot;/&gt;&lt;wsp:rsid wsp:val=&quot;000C6942&quot;/&gt;&lt;wsp:rsid wsp:val=&quot;000C6A5A&quot;/&gt;&lt;wsp:rsid wsp:val=&quot;000C70C4&quot;/&gt;&lt;wsp:rsid wsp:val=&quot;000C7B7A&quot;/&gt;&lt;wsp:rsid wsp:val=&quot;000C7DD1&quot;/&gt;&lt;wsp:rsid wsp:val=&quot;000C7E88&quot;/&gt;&lt;wsp:rsid wsp:val=&quot;000D060C&quot;/&gt;&lt;wsp:rsid wsp:val=&quot;000D0DE8&quot;/&gt;&lt;wsp:rsid wsp:val=&quot;000D1A2E&quot;/&gt;&lt;wsp:rsid wsp:val=&quot;000D1CA5&quot;/&gt;&lt;wsp:rsid wsp:val=&quot;000D1DDE&quot;/&gt;&lt;wsp:rsid wsp:val=&quot;000D2DBE&quot;/&gt;&lt;wsp:rsid wsp:val=&quot;000D3269&quot;/&gt;&lt;wsp:rsid wsp:val=&quot;000D3939&quot;/&gt;&lt;wsp:rsid wsp:val=&quot;000D40BB&quot;/&gt;&lt;wsp:rsid wsp:val=&quot;000D415E&quot;/&gt;&lt;wsp:rsid wsp:val=&quot;000D48F5&quot;/&gt;&lt;wsp:rsid wsp:val=&quot;000D5ED7&quot;/&gt;&lt;wsp:rsid wsp:val=&quot;000D5F4B&quot;/&gt;&lt;wsp:rsid wsp:val=&quot;000D610E&quot;/&gt;&lt;wsp:rsid wsp:val=&quot;000D695F&quot;/&gt;&lt;wsp:rsid wsp:val=&quot;000D6C57&quot;/&gt;&lt;wsp:rsid wsp:val=&quot;000E12AF&quot;/&gt;&lt;wsp:rsid wsp:val=&quot;000E1DDE&quot;/&gt;&lt;wsp:rsid wsp:val=&quot;000E27F1&quot;/&gt;&lt;wsp:rsid wsp:val=&quot;000E2E27&quot;/&gt;&lt;wsp:rsid wsp:val=&quot;000E480F&quot;/&gt;&lt;wsp:rsid wsp:val=&quot;000E5025&quot;/&gt;&lt;wsp:rsid wsp:val=&quot;000E5095&quot;/&gt;&lt;wsp:rsid wsp:val=&quot;000E5104&quot;/&gt;&lt;wsp:rsid wsp:val=&quot;000E5ED6&quot;/&gt;&lt;wsp:rsid wsp:val=&quot;000E6528&quot;/&gt;&lt;wsp:rsid wsp:val=&quot;000E72F9&quot;/&gt;&lt;wsp:rsid wsp:val=&quot;000E7FA7&quot;/&gt;&lt;wsp:rsid wsp:val=&quot;000F0147&quot;/&gt;&lt;wsp:rsid wsp:val=&quot;000F02F8&quot;/&gt;&lt;wsp:rsid wsp:val=&quot;000F0DBC&quot;/&gt;&lt;wsp:rsid wsp:val=&quot;000F0EAB&quot;/&gt;&lt;wsp:rsid wsp:val=&quot;000F12C0&quot;/&gt;&lt;wsp:rsid wsp:val=&quot;000F12D5&quot;/&gt;&lt;wsp:rsid wsp:val=&quot;000F13E7&quot;/&gt;&lt;wsp:rsid wsp:val=&quot;000F2482&quot;/&gt;&lt;wsp:rsid wsp:val=&quot;000F25C7&quot;/&gt;&lt;wsp:rsid wsp:val=&quot;000F299A&quot;/&gt;&lt;wsp:rsid wsp:val=&quot;000F2B35&quot;/&gt;&lt;wsp:rsid wsp:val=&quot;000F49B0&quot;/&gt;&lt;wsp:rsid wsp:val=&quot;000F535C&quot;/&gt;&lt;wsp:rsid wsp:val=&quot;000F5492&quot;/&gt;&lt;wsp:rsid wsp:val=&quot;000F5983&quot;/&gt;&lt;wsp:rsid wsp:val=&quot;000F64F0&quot;/&gt;&lt;wsp:rsid wsp:val=&quot;000F654E&quot;/&gt;&lt;wsp:rsid wsp:val=&quot;000F6579&quot;/&gt;&lt;wsp:rsid wsp:val=&quot;000F66D8&quot;/&gt;&lt;wsp:rsid wsp:val=&quot;000F6C0D&quot;/&gt;&lt;wsp:rsid wsp:val=&quot;000F7F88&quot;/&gt;&lt;wsp:rsid wsp:val=&quot;00100318&quot;/&gt;&lt;wsp:rsid wsp:val=&quot;001005D6&quot;/&gt;&lt;wsp:rsid wsp:val=&quot;00100D32&quot;/&gt;&lt;wsp:rsid wsp:val=&quot;0010104B&quot;/&gt;&lt;wsp:rsid wsp:val=&quot;001014C7&quot;/&gt;&lt;wsp:rsid wsp:val=&quot;00101C86&quot;/&gt;&lt;wsp:rsid wsp:val=&quot;00101E4F&quot;/&gt;&lt;wsp:rsid wsp:val=&quot;001033A5&quot;/&gt;&lt;wsp:rsid wsp:val=&quot;001033D0&quot;/&gt;&lt;wsp:rsid wsp:val=&quot;001038C3&quot;/&gt;&lt;wsp:rsid wsp:val=&quot;00103FC4&quot;/&gt;&lt;wsp:rsid wsp:val=&quot;0010500B&quot;/&gt;&lt;wsp:rsid wsp:val=&quot;00105D39&quot;/&gt;&lt;wsp:rsid wsp:val=&quot;00106045&quot;/&gt;&lt;wsp:rsid wsp:val=&quot;00106AD8&quot;/&gt;&lt;wsp:rsid wsp:val=&quot;00106E5C&quot;/&gt;&lt;wsp:rsid wsp:val=&quot;0010701B&quot;/&gt;&lt;wsp:rsid wsp:val=&quot;0010726D&quot;/&gt;&lt;wsp:rsid wsp:val=&quot;00107754&quot;/&gt;&lt;wsp:rsid wsp:val=&quot;00110262&quot;/&gt;&lt;wsp:rsid wsp:val=&quot;001110DC&quot;/&gt;&lt;wsp:rsid wsp:val=&quot;00112597&quot;/&gt;&lt;wsp:rsid wsp:val=&quot;00112B09&quot;/&gt;&lt;wsp:rsid wsp:val=&quot;00112D18&quot;/&gt;&lt;wsp:rsid wsp:val=&quot;00112E1E&quot;/&gt;&lt;wsp:rsid wsp:val=&quot;001137BA&quot;/&gt;&lt;wsp:rsid wsp:val=&quot;00114583&quot;/&gt;&lt;wsp:rsid wsp:val=&quot;0011467F&quot;/&gt;&lt;wsp:rsid wsp:val=&quot;00114C11&quot;/&gt;&lt;wsp:rsid wsp:val=&quot;0011535C&quot;/&gt;&lt;wsp:rsid wsp:val=&quot;00115812&quot;/&gt;&lt;wsp:rsid wsp:val=&quot;001167F9&quot;/&gt;&lt;wsp:rsid wsp:val=&quot;00116830&quot;/&gt;&lt;wsp:rsid wsp:val=&quot;00116CFE&quot;/&gt;&lt;wsp:rsid wsp:val=&quot;00116DDC&quot;/&gt;&lt;wsp:rsid wsp:val=&quot;001176D5&quot;/&gt;&lt;wsp:rsid wsp:val=&quot;00117BD1&quot;/&gt;&lt;wsp:rsid wsp:val=&quot;00120537&quot;/&gt;&lt;wsp:rsid wsp:val=&quot;00122000&quot;/&gt;&lt;wsp:rsid wsp:val=&quot;0012263E&quot;/&gt;&lt;wsp:rsid wsp:val=&quot;001226D2&quot;/&gt;&lt;wsp:rsid wsp:val=&quot;00122B05&quot;/&gt;&lt;wsp:rsid wsp:val=&quot;00123A40&quot;/&gt;&lt;wsp:rsid wsp:val=&quot;00123FE2&quot;/&gt;&lt;wsp:rsid wsp:val=&quot;001242B7&quot;/&gt;&lt;wsp:rsid wsp:val=&quot;001242EE&quot;/&gt;&lt;wsp:rsid wsp:val=&quot;00126B87&quot;/&gt;&lt;wsp:rsid wsp:val=&quot;00126C50&quot;/&gt;&lt;wsp:rsid wsp:val=&quot;001270B6&quot;/&gt;&lt;wsp:rsid wsp:val=&quot;00130846&quot;/&gt;&lt;wsp:rsid wsp:val=&quot;00130C03&quot;/&gt;&lt;wsp:rsid wsp:val=&quot;0013105B&quot;/&gt;&lt;wsp:rsid wsp:val=&quot;001312EE&quot;/&gt;&lt;wsp:rsid wsp:val=&quot;00131A2F&quot;/&gt;&lt;wsp:rsid wsp:val=&quot;00132AA6&quot;/&gt;&lt;wsp:rsid wsp:val=&quot;00132CA3&quot;/&gt;&lt;wsp:rsid wsp:val=&quot;00132FA0&quot;/&gt;&lt;wsp:rsid wsp:val=&quot;0013320B&quot;/&gt;&lt;wsp:rsid wsp:val=&quot;0013394E&quot;/&gt;&lt;wsp:rsid wsp:val=&quot;001339D2&quot;/&gt;&lt;wsp:rsid wsp:val=&quot;001347E1&quot;/&gt;&lt;wsp:rsid wsp:val=&quot;0013564E&quot;/&gt;&lt;wsp:rsid wsp:val=&quot;00135E2E&quot;/&gt;&lt;wsp:rsid wsp:val=&quot;00136878&quot;/&gt;&lt;wsp:rsid wsp:val=&quot;001370C5&quot;/&gt;&lt;wsp:rsid wsp:val=&quot;001406D2&quot;/&gt;&lt;wsp:rsid wsp:val=&quot;00140F48&quot;/&gt;&lt;wsp:rsid wsp:val=&quot;00141C61&quot;/&gt;&lt;wsp:rsid wsp:val=&quot;00143A76&quot;/&gt;&lt;wsp:rsid wsp:val=&quot;00143AE7&quot;/&gt;&lt;wsp:rsid wsp:val=&quot;00144061&quot;/&gt;&lt;wsp:rsid wsp:val=&quot;0014422B&quot;/&gt;&lt;wsp:rsid wsp:val=&quot;00144D52&quot;/&gt;&lt;wsp:rsid wsp:val=&quot;001459A6&quot;/&gt;&lt;wsp:rsid wsp:val=&quot;00145E51&quot;/&gt;&lt;wsp:rsid wsp:val=&quot;001462BA&quot;/&gt;&lt;wsp:rsid wsp:val=&quot;00146693&quot;/&gt;&lt;wsp:rsid wsp:val=&quot;00147421&quot;/&gt;&lt;wsp:rsid wsp:val=&quot;001475EC&quot;/&gt;&lt;wsp:rsid wsp:val=&quot;00147BF3&quot;/&gt;&lt;wsp:rsid wsp:val=&quot;001502C9&quot;/&gt;&lt;wsp:rsid wsp:val=&quot;0015034E&quot;/&gt;&lt;wsp:rsid wsp:val=&quot;001505A0&quot;/&gt;&lt;wsp:rsid wsp:val=&quot;00150A9A&quot;/&gt;&lt;wsp:rsid wsp:val=&quot;00150E1A&quot;/&gt;&lt;wsp:rsid wsp:val=&quot;001518E7&quot;/&gt;&lt;wsp:rsid wsp:val=&quot;0015191B&quot;/&gt;&lt;wsp:rsid wsp:val=&quot;00151A17&quot;/&gt;&lt;wsp:rsid wsp:val=&quot;00151CE7&quot;/&gt;&lt;wsp:rsid wsp:val=&quot;00151F0C&quot;/&gt;&lt;wsp:rsid wsp:val=&quot;001528DA&quot;/&gt;&lt;wsp:rsid wsp:val=&quot;00152FFC&quot;/&gt;&lt;wsp:rsid wsp:val=&quot;0015397E&quot;/&gt;&lt;wsp:rsid wsp:val=&quot;00153A75&quot;/&gt;&lt;wsp:rsid wsp:val=&quot;00153C79&quot;/&gt;&lt;wsp:rsid wsp:val=&quot;00153EDD&quot;/&gt;&lt;wsp:rsid wsp:val=&quot;00154938&quot;/&gt;&lt;wsp:rsid wsp:val=&quot;00154F81&quot;/&gt;&lt;wsp:rsid wsp:val=&quot;0015572D&quot;/&gt;&lt;wsp:rsid wsp:val=&quot;00155CF6&quot;/&gt;&lt;wsp:rsid wsp:val=&quot;0015658A&quot;/&gt;&lt;wsp:rsid wsp:val=&quot;00157403&quot;/&gt;&lt;wsp:rsid wsp:val=&quot;00157630&quot;/&gt;&lt;wsp:rsid wsp:val=&quot;001609F5&quot;/&gt;&lt;wsp:rsid wsp:val=&quot;00160AAA&quot;/&gt;&lt;wsp:rsid wsp:val=&quot;00162A33&quot;/&gt;&lt;wsp:rsid wsp:val=&quot;00162DBE&quot;/&gt;&lt;wsp:rsid wsp:val=&quot;00163E1C&quot;/&gt;&lt;wsp:rsid wsp:val=&quot;00164CB5&quot;/&gt;&lt;wsp:rsid wsp:val=&quot;00165185&quot;/&gt;&lt;wsp:rsid wsp:val=&quot;001653E1&quot;/&gt;&lt;wsp:rsid wsp:val=&quot;00166A71&quot;/&gt;&lt;wsp:rsid wsp:val=&quot;00166C48&quot;/&gt;&lt;wsp:rsid wsp:val=&quot;00166E14&quot;/&gt;&lt;wsp:rsid wsp:val=&quot;001676BC&quot;/&gt;&lt;wsp:rsid wsp:val=&quot;0016784A&quot;/&gt;&lt;wsp:rsid wsp:val=&quot;00167E75&quot;/&gt;&lt;wsp:rsid wsp:val=&quot;00167F50&quot;/&gt;&lt;wsp:rsid wsp:val=&quot;00167FAA&quot;/&gt;&lt;wsp:rsid wsp:val=&quot;00170335&quot;/&gt;&lt;wsp:rsid wsp:val=&quot;00170FCD&quot;/&gt;&lt;wsp:rsid wsp:val=&quot;00171123&quot;/&gt;&lt;wsp:rsid wsp:val=&quot;00172108&quot;/&gt;&lt;wsp:rsid wsp:val=&quot;001726E4&quot;/&gt;&lt;wsp:rsid wsp:val=&quot;0017271D&quot;/&gt;&lt;wsp:rsid wsp:val=&quot;00172B95&quot;/&gt;&lt;wsp:rsid wsp:val=&quot;001733B2&quot;/&gt;&lt;wsp:rsid wsp:val=&quot;00173484&quot;/&gt;&lt;wsp:rsid wsp:val=&quot;0017455D&quot;/&gt;&lt;wsp:rsid wsp:val=&quot;0017512C&quot;/&gt;&lt;wsp:rsid wsp:val=&quot;001754A5&quot;/&gt;&lt;wsp:rsid wsp:val=&quot;001760B7&quot;/&gt;&lt;wsp:rsid wsp:val=&quot;00176788&quot;/&gt;&lt;wsp:rsid wsp:val=&quot;0017681E&quot;/&gt;&lt;wsp:rsid wsp:val=&quot;001770A3&quot;/&gt;&lt;wsp:rsid wsp:val=&quot;001775D8&quot;/&gt;&lt;wsp:rsid wsp:val=&quot;0018074B&quot;/&gt;&lt;wsp:rsid wsp:val=&quot;00180A08&quot;/&gt;&lt;wsp:rsid wsp:val=&quot;00180FA9&quot;/&gt;&lt;wsp:rsid wsp:val=&quot;00181FCC&quot;/&gt;&lt;wsp:rsid wsp:val=&quot;00182124&quot;/&gt;&lt;wsp:rsid wsp:val=&quot;00182E17&quot;/&gt;&lt;wsp:rsid wsp:val=&quot;0018372A&quot;/&gt;&lt;wsp:rsid wsp:val=&quot;00183913&quot;/&gt;&lt;wsp:rsid wsp:val=&quot;00183A8E&quot;/&gt;&lt;wsp:rsid wsp:val=&quot;00183BE1&quot;/&gt;&lt;wsp:rsid wsp:val=&quot;001845A0&quot;/&gt;&lt;wsp:rsid wsp:val=&quot;001848B4&quot;/&gt;&lt;wsp:rsid wsp:val=&quot;00185090&quot;/&gt;&lt;wsp:rsid wsp:val=&quot;0018566E&quot;/&gt;&lt;wsp:rsid wsp:val=&quot;0018575C&quot;/&gt;&lt;wsp:rsid wsp:val=&quot;00185D14&quot;/&gt;&lt;wsp:rsid wsp:val=&quot;00185EC8&quot;/&gt;&lt;wsp:rsid wsp:val=&quot;001862BD&quot;/&gt;&lt;wsp:rsid wsp:val=&quot;0018633D&quot;/&gt;&lt;wsp:rsid wsp:val=&quot;001864C6&quot;/&gt;&lt;wsp:rsid wsp:val=&quot;00187963&quot;/&gt;&lt;wsp:rsid wsp:val=&quot;00190AA6&quot;/&gt;&lt;wsp:rsid wsp:val=&quot;00190F18&quot;/&gt;&lt;wsp:rsid wsp:val=&quot;001911A2&quot;/&gt;&lt;wsp:rsid wsp:val=&quot;0019201D&quot;/&gt;&lt;wsp:rsid wsp:val=&quot;001920B8&quot;/&gt;&lt;wsp:rsid wsp:val=&quot;00192272&quot;/&gt;&lt;wsp:rsid wsp:val=&quot;0019229E&quot;/&gt;&lt;wsp:rsid wsp:val=&quot;001926B9&quot;/&gt;&lt;wsp:rsid wsp:val=&quot;0019349C&quot;/&gt;&lt;wsp:rsid wsp:val=&quot;00193994&quot;/&gt;&lt;wsp:rsid wsp:val=&quot;00193AC6&quot;/&gt;&lt;wsp:rsid wsp:val=&quot;00193C19&quot;/&gt;&lt;wsp:rsid wsp:val=&quot;00194A7E&quot;/&gt;&lt;wsp:rsid wsp:val=&quot;00194B48&quot;/&gt;&lt;wsp:rsid wsp:val=&quot;001952AD&quot;/&gt;&lt;wsp:rsid wsp:val=&quot;00195CE2&quot;/&gt;&lt;wsp:rsid wsp:val=&quot;00196430&quot;/&gt;&lt;wsp:rsid wsp:val=&quot;00196E81&quot;/&gt;&lt;wsp:rsid wsp:val=&quot;00196F49&quot;/&gt;&lt;wsp:rsid wsp:val=&quot;0019762C&quot;/&gt;&lt;wsp:rsid wsp:val=&quot;001A046E&quot;/&gt;&lt;wsp:rsid wsp:val=&quot;001A0F96&quot;/&gt;&lt;wsp:rsid wsp:val=&quot;001A1264&quot;/&gt;&lt;wsp:rsid wsp:val=&quot;001A1494&quot;/&gt;&lt;wsp:rsid wsp:val=&quot;001A151C&quot;/&gt;&lt;wsp:rsid wsp:val=&quot;001A1E18&quot;/&gt;&lt;wsp:rsid wsp:val=&quot;001A22BE&quot;/&gt;&lt;wsp:rsid wsp:val=&quot;001A2A3C&quot;/&gt;&lt;wsp:rsid wsp:val=&quot;001A341C&quot;/&gt;&lt;wsp:rsid wsp:val=&quot;001A3B1D&quot;/&gt;&lt;wsp:rsid wsp:val=&quot;001A3E98&quot;/&gt;&lt;wsp:rsid wsp:val=&quot;001A3F79&quot;/&gt;&lt;wsp:rsid wsp:val=&quot;001A411A&quot;/&gt;&lt;wsp:rsid wsp:val=&quot;001A5E39&quot;/&gt;&lt;wsp:rsid wsp:val=&quot;001A6230&quot;/&gt;&lt;wsp:rsid wsp:val=&quot;001A6480&quot;/&gt;&lt;wsp:rsid wsp:val=&quot;001A65AF&quot;/&gt;&lt;wsp:rsid wsp:val=&quot;001A6877&quot;/&gt;&lt;wsp:rsid wsp:val=&quot;001A75C4&quot;/&gt;&lt;wsp:rsid wsp:val=&quot;001B1DBE&quot;/&gt;&lt;wsp:rsid wsp:val=&quot;001B2341&quot;/&gt;&lt;wsp:rsid wsp:val=&quot;001B23FF&quot;/&gt;&lt;wsp:rsid wsp:val=&quot;001B2551&quot;/&gt;&lt;wsp:rsid wsp:val=&quot;001B49DF&quot;/&gt;&lt;wsp:rsid wsp:val=&quot;001B59C0&quot;/&gt;&lt;wsp:rsid wsp:val=&quot;001B651F&quot;/&gt;&lt;wsp:rsid wsp:val=&quot;001B7591&quot;/&gt;&lt;wsp:rsid wsp:val=&quot;001B7AE8&quot;/&gt;&lt;wsp:rsid wsp:val=&quot;001B7E43&quot;/&gt;&lt;wsp:rsid wsp:val=&quot;001C0668&quot;/&gt;&lt;wsp:rsid wsp:val=&quot;001C092E&quot;/&gt;&lt;wsp:rsid wsp:val=&quot;001C1316&quot;/&gt;&lt;wsp:rsid wsp:val=&quot;001C14E6&quot;/&gt;&lt;wsp:rsid wsp:val=&quot;001C16F9&quot;/&gt;&lt;wsp:rsid wsp:val=&quot;001C19BF&quot;/&gt;&lt;wsp:rsid wsp:val=&quot;001C29A8&quot;/&gt;&lt;wsp:rsid wsp:val=&quot;001C2D28&quot;/&gt;&lt;wsp:rsid wsp:val=&quot;001C2F10&quot;/&gt;&lt;wsp:rsid wsp:val=&quot;001C3194&quot;/&gt;&lt;wsp:rsid wsp:val=&quot;001C4A9D&quot;/&gt;&lt;wsp:rsid wsp:val=&quot;001C4D18&quot;/&gt;&lt;wsp:rsid wsp:val=&quot;001C5237&quot;/&gt;&lt;wsp:rsid wsp:val=&quot;001C5415&quot;/&gt;&lt;wsp:rsid wsp:val=&quot;001C6DB5&quot;/&gt;&lt;wsp:rsid wsp:val=&quot;001C717D&quot;/&gt;&lt;wsp:rsid wsp:val=&quot;001C75D9&quot;/&gt;&lt;wsp:rsid wsp:val=&quot;001D0A15&quot;/&gt;&lt;wsp:rsid wsp:val=&quot;001D0B6B&quot;/&gt;&lt;wsp:rsid wsp:val=&quot;001D10D5&quot;/&gt;&lt;wsp:rsid wsp:val=&quot;001D1B62&quot;/&gt;&lt;wsp:rsid wsp:val=&quot;001D1F53&quot;/&gt;&lt;wsp:rsid wsp:val=&quot;001D20E5&quot;/&gt;&lt;wsp:rsid wsp:val=&quot;001D24D4&quot;/&gt;&lt;wsp:rsid wsp:val=&quot;001D31EB&quot;/&gt;&lt;wsp:rsid wsp:val=&quot;001D34C0&quot;/&gt;&lt;wsp:rsid wsp:val=&quot;001D3B05&quot;/&gt;&lt;wsp:rsid wsp:val=&quot;001D4984&quot;/&gt;&lt;wsp:rsid wsp:val=&quot;001D4BF8&quot;/&gt;&lt;wsp:rsid wsp:val=&quot;001D5F88&quot;/&gt;&lt;wsp:rsid wsp:val=&quot;001D75BF&quot;/&gt;&lt;wsp:rsid wsp:val=&quot;001D7A47&quot;/&gt;&lt;wsp:rsid wsp:val=&quot;001E003E&quot;/&gt;&lt;wsp:rsid wsp:val=&quot;001E051F&quot;/&gt;&lt;wsp:rsid wsp:val=&quot;001E0571&quot;/&gt;&lt;wsp:rsid wsp:val=&quot;001E150A&quot;/&gt;&lt;wsp:rsid wsp:val=&quot;001E17FF&quot;/&gt;&lt;wsp:rsid wsp:val=&quot;001E1DB5&quot;/&gt;&lt;wsp:rsid wsp:val=&quot;001E1E29&quot;/&gt;&lt;wsp:rsid wsp:val=&quot;001E1E47&quot;/&gt;&lt;wsp:rsid wsp:val=&quot;001E25EA&quot;/&gt;&lt;wsp:rsid wsp:val=&quot;001E283A&quot;/&gt;&lt;wsp:rsid wsp:val=&quot;001E3146&quot;/&gt;&lt;wsp:rsid wsp:val=&quot;001E3555&quot;/&gt;&lt;wsp:rsid wsp:val=&quot;001E51BD&quot;/&gt;&lt;wsp:rsid wsp:val=&quot;001E53A1&quot;/&gt;&lt;wsp:rsid wsp:val=&quot;001E5BDC&quot;/&gt;&lt;wsp:rsid wsp:val=&quot;001E5F87&quot;/&gt;&lt;wsp:rsid wsp:val=&quot;001E710C&quot;/&gt;&lt;wsp:rsid wsp:val=&quot;001E72ED&quot;/&gt;&lt;wsp:rsid wsp:val=&quot;001E78E4&quot;/&gt;&lt;wsp:rsid wsp:val=&quot;001E7C95&quot;/&gt;&lt;wsp:rsid wsp:val=&quot;001F0EE3&quot;/&gt;&lt;wsp:rsid wsp:val=&quot;001F126E&quot;/&gt;&lt;wsp:rsid wsp:val=&quot;001F1675&quot;/&gt;&lt;wsp:rsid wsp:val=&quot;001F1A50&quot;/&gt;&lt;wsp:rsid wsp:val=&quot;001F1E92&quot;/&gt;&lt;wsp:rsid wsp:val=&quot;001F2834&quot;/&gt;&lt;wsp:rsid wsp:val=&quot;001F2CE8&quot;/&gt;&lt;wsp:rsid wsp:val=&quot;001F3626&quot;/&gt;&lt;wsp:rsid wsp:val=&quot;001F38FC&quot;/&gt;&lt;wsp:rsid wsp:val=&quot;001F39A0&quot;/&gt;&lt;wsp:rsid wsp:val=&quot;001F3A72&quot;/&gt;&lt;wsp:rsid wsp:val=&quot;001F641E&quot;/&gt;&lt;wsp:rsid wsp:val=&quot;001F7240&quot;/&gt;&lt;wsp:rsid wsp:val=&quot;002007D1&quot;/&gt;&lt;wsp:rsid wsp:val=&quot;0020096E&quot;/&gt;&lt;wsp:rsid wsp:val=&quot;00200BEF&quot;/&gt;&lt;wsp:rsid wsp:val=&quot;00201470&quot;/&gt;&lt;wsp:rsid wsp:val=&quot;0020149F&quot;/&gt;&lt;wsp:rsid wsp:val=&quot;00201C0C&quot;/&gt;&lt;wsp:rsid wsp:val=&quot;00201CF8&quot;/&gt;&lt;wsp:rsid wsp:val=&quot;00201D7F&quot;/&gt;&lt;wsp:rsid wsp:val=&quot;00201DAD&quot;/&gt;&lt;wsp:rsid wsp:val=&quot;00201F76&quot;/&gt;&lt;wsp:rsid wsp:val=&quot;00202BBA&quot;/&gt;&lt;wsp:rsid wsp:val=&quot;0020302C&quot;/&gt;&lt;wsp:rsid wsp:val=&quot;0020344A&quot;/&gt;&lt;wsp:rsid wsp:val=&quot;002059A1&quot;/&gt;&lt;wsp:rsid wsp:val=&quot;002063A1&quot;/&gt;&lt;wsp:rsid wsp:val=&quot;00206CA1&quot;/&gt;&lt;wsp:rsid wsp:val=&quot;00206CC9&quot;/&gt;&lt;wsp:rsid wsp:val=&quot;00206D5B&quot;/&gt;&lt;wsp:rsid wsp:val=&quot;0020712A&quot;/&gt;&lt;wsp:rsid wsp:val=&quot;002077A5&quot;/&gt;&lt;wsp:rsid wsp:val=&quot;00207AF6&quot;/&gt;&lt;wsp:rsid wsp:val=&quot;00210FA2&quot;/&gt;&lt;wsp:rsid wsp:val=&quot;00211610&quot;/&gt;&lt;wsp:rsid wsp:val=&quot;0021183B&quot;/&gt;&lt;wsp:rsid wsp:val=&quot;002119D5&quot;/&gt;&lt;wsp:rsid wsp:val=&quot;00211B02&quot;/&gt;&lt;wsp:rsid wsp:val=&quot;00211BA7&quot;/&gt;&lt;wsp:rsid wsp:val=&quot;00211C3A&quot;/&gt;&lt;wsp:rsid wsp:val=&quot;00212244&quot;/&gt;&lt;wsp:rsid wsp:val=&quot;002125D5&quot;/&gt;&lt;wsp:rsid wsp:val=&quot;00212817&quot;/&gt;&lt;wsp:rsid wsp:val=&quot;00212B68&quot;/&gt;&lt;wsp:rsid wsp:val=&quot;002133C7&quot;/&gt;&lt;wsp:rsid wsp:val=&quot;00213495&quot;/&gt;&lt;wsp:rsid wsp:val=&quot;00214C98&quot;/&gt;&lt;wsp:rsid wsp:val=&quot;00214ED3&quot;/&gt;&lt;wsp:rsid wsp:val=&quot;0021598C&quot;/&gt;&lt;wsp:rsid wsp:val=&quot;00215A45&quot;/&gt;&lt;wsp:rsid wsp:val=&quot;0021695E&quot;/&gt;&lt;wsp:rsid wsp:val=&quot;002178E9&quot;/&gt;&lt;wsp:rsid wsp:val=&quot;00217A0A&quot;/&gt;&lt;wsp:rsid wsp:val=&quot;00217D27&quot;/&gt;&lt;wsp:rsid wsp:val=&quot;00217F02&quot;/&gt;&lt;wsp:rsid wsp:val=&quot;00220245&quot;/&gt;&lt;wsp:rsid wsp:val=&quot;0022031B&quot;/&gt;&lt;wsp:rsid wsp:val=&quot;0022041E&quot;/&gt;&lt;wsp:rsid wsp:val=&quot;00221234&quot;/&gt;&lt;wsp:rsid wsp:val=&quot;002215D8&quot;/&gt;&lt;wsp:rsid wsp:val=&quot;00222B24&quot;/&gt;&lt;wsp:rsid wsp:val=&quot;002231EC&quot;/&gt;&lt;wsp:rsid wsp:val=&quot;00223291&quot;/&gt;&lt;wsp:rsid wsp:val=&quot;002247B9&quot;/&gt;&lt;wsp:rsid wsp:val=&quot;0022522A&quot;/&gt;&lt;wsp:rsid wsp:val=&quot;0022531B&quot;/&gt;&lt;wsp:rsid wsp:val=&quot;002262E3&quot;/&gt;&lt;wsp:rsid wsp:val=&quot;0022728A&quot;/&gt;&lt;wsp:rsid wsp:val=&quot;0023004F&quot;/&gt;&lt;wsp:rsid wsp:val=&quot;00230233&quot;/&gt;&lt;wsp:rsid wsp:val=&quot;002307D4&quot;/&gt;&lt;wsp:rsid wsp:val=&quot;002310AC&quot;/&gt;&lt;wsp:rsid wsp:val=&quot;002311DF&quot;/&gt;&lt;wsp:rsid wsp:val=&quot;00231FA7&quot;/&gt;&lt;wsp:rsid wsp:val=&quot;00232F8F&quot;/&gt;&lt;wsp:rsid wsp:val=&quot;00233097&quot;/&gt;&lt;wsp:rsid wsp:val=&quot;00233F17&quot;/&gt;&lt;wsp:rsid wsp:val=&quot;00233F9E&quot;/&gt;&lt;wsp:rsid wsp:val=&quot;00234470&quot;/&gt;&lt;wsp:rsid wsp:val=&quot;0023461E&quot;/&gt;&lt;wsp:rsid wsp:val=&quot;00234986&quot;/&gt;&lt;wsp:rsid wsp:val=&quot;00234F87&quot;/&gt;&lt;wsp:rsid wsp:val=&quot;00235039&quot;/&gt;&lt;wsp:rsid wsp:val=&quot;002358D4&quot;/&gt;&lt;wsp:rsid wsp:val=&quot;0023622A&quot;/&gt;&lt;wsp:rsid wsp:val=&quot;0023710E&quot;/&gt;&lt;wsp:rsid wsp:val=&quot;00237895&quot;/&gt;&lt;wsp:rsid wsp:val=&quot;00240C1A&quot;/&gt;&lt;wsp:rsid wsp:val=&quot;002414F5&quot;/&gt;&lt;wsp:rsid wsp:val=&quot;00241D0C&quot;/&gt;&lt;wsp:rsid wsp:val=&quot;002423C6&quot;/&gt;&lt;wsp:rsid wsp:val=&quot;00242A5A&quot;/&gt;&lt;wsp:rsid wsp:val=&quot;00242FA9&quot;/&gt;&lt;wsp:rsid wsp:val=&quot;0024355A&quot;/&gt;&lt;wsp:rsid wsp:val=&quot;00243598&quot;/&gt;&lt;wsp:rsid wsp:val=&quot;00243FFF&quot;/&gt;&lt;wsp:rsid wsp:val=&quot;00244420&quot;/&gt;&lt;wsp:rsid wsp:val=&quot;00245076&quot;/&gt;&lt;wsp:rsid wsp:val=&quot;00245CC7&quot;/&gt;&lt;wsp:rsid wsp:val=&quot;002464A5&quot;/&gt;&lt;wsp:rsid wsp:val=&quot;00246523&quot;/&gt;&lt;wsp:rsid wsp:val=&quot;0024785C&quot;/&gt;&lt;wsp:rsid wsp:val=&quot;002479A2&quot;/&gt;&lt;wsp:rsid wsp:val=&quot;002500C2&quot;/&gt;&lt;wsp:rsid wsp:val=&quot;002504DC&quot;/&gt;&lt;wsp:rsid wsp:val=&quot;002506CB&quot;/&gt;&lt;wsp:rsid wsp:val=&quot;002507B8&quot;/&gt;&lt;wsp:rsid wsp:val=&quot;002520E7&quot;/&gt;&lt;wsp:rsid wsp:val=&quot;00252214&quot;/&gt;&lt;wsp:rsid wsp:val=&quot;00252949&quot;/&gt;&lt;wsp:rsid wsp:val=&quot;00252A64&quot;/&gt;&lt;wsp:rsid wsp:val=&quot;00252F0D&quot;/&gt;&lt;wsp:rsid wsp:val=&quot;00253493&quot;/&gt;&lt;wsp:rsid wsp:val=&quot;002558C6&quot;/&gt;&lt;wsp:rsid wsp:val=&quot;002558DD&quot;/&gt;&lt;wsp:rsid wsp:val=&quot;00255CA5&quot;/&gt;&lt;wsp:rsid wsp:val=&quot;00256561&quot;/&gt;&lt;wsp:rsid wsp:val=&quot;00260622&quot;/&gt;&lt;wsp:rsid wsp:val=&quot;00260C90&quot;/&gt;&lt;wsp:rsid wsp:val=&quot;00261B7A&quot;/&gt;&lt;wsp:rsid wsp:val=&quot;00261EF1&quot;/&gt;&lt;wsp:rsid wsp:val=&quot;002627C4&quot;/&gt;&lt;wsp:rsid wsp:val=&quot;00262A42&quot;/&gt;&lt;wsp:rsid wsp:val=&quot;00262B5A&quot;/&gt;&lt;wsp:rsid wsp:val=&quot;00262CA3&quot;/&gt;&lt;wsp:rsid wsp:val=&quot;002634D5&quot;/&gt;&lt;wsp:rsid wsp:val=&quot;00263FED&quot;/&gt;&lt;wsp:rsid wsp:val=&quot;002640EE&quot;/&gt;&lt;wsp:rsid wsp:val=&quot;002654E0&quot;/&gt;&lt;wsp:rsid wsp:val=&quot;00265E0B&quot;/&gt;&lt;wsp:rsid wsp:val=&quot;0026663A&quot;/&gt;&lt;wsp:rsid wsp:val=&quot;00266838&quot;/&gt;&lt;wsp:rsid wsp:val=&quot;00267A46&quot;/&gt;&lt;wsp:rsid wsp:val=&quot;00267B7E&quot;/&gt;&lt;wsp:rsid wsp:val=&quot;00267DAE&quot;/&gt;&lt;wsp:rsid wsp:val=&quot;002701D3&quot;/&gt;&lt;wsp:rsid wsp:val=&quot;00270252&quot;/&gt;&lt;wsp:rsid wsp:val=&quot;0027176B&quot;/&gt;&lt;wsp:rsid wsp:val=&quot;0027190D&quot;/&gt;&lt;wsp:rsid wsp:val=&quot;00271A11&quot;/&gt;&lt;wsp:rsid wsp:val=&quot;00272450&quot;/&gt;&lt;wsp:rsid wsp:val=&quot;00272B27&quot;/&gt;&lt;wsp:rsid wsp:val=&quot;00274103&quot;/&gt;&lt;wsp:rsid wsp:val=&quot;002746F4&quot;/&gt;&lt;wsp:rsid wsp:val=&quot;00274899&quot;/&gt;&lt;wsp:rsid wsp:val=&quot;002756E5&quot;/&gt;&lt;wsp:rsid wsp:val=&quot;00275F5B&quot;/&gt;&lt;wsp:rsid wsp:val=&quot;0027661C&quot;/&gt;&lt;wsp:rsid wsp:val=&quot;00277430&quot;/&gt;&lt;wsp:rsid wsp:val=&quot;002779F3&quot;/&gt;&lt;wsp:rsid wsp:val=&quot;00277A35&quot;/&gt;&lt;wsp:rsid wsp:val=&quot;00277B4A&quot;/&gt;&lt;wsp:rsid wsp:val=&quot;00277B79&quot;/&gt;&lt;wsp:rsid wsp:val=&quot;00280794&quot;/&gt;&lt;wsp:rsid wsp:val=&quot;00280B49&quot;/&gt;&lt;wsp:rsid wsp:val=&quot;00281439&quot;/&gt;&lt;wsp:rsid wsp:val=&quot;00281482&quot;/&gt;&lt;wsp:rsid wsp:val=&quot;002824A6&quot;/&gt;&lt;wsp:rsid wsp:val=&quot;00282834&quot;/&gt;&lt;wsp:rsid wsp:val=&quot;00282BF9&quot;/&gt;&lt;wsp:rsid wsp:val=&quot;0028320F&quot;/&gt;&lt;wsp:rsid wsp:val=&quot;002835C1&quot;/&gt;&lt;wsp:rsid wsp:val=&quot;00283AC8&quot;/&gt;&lt;wsp:rsid wsp:val=&quot;00283D25&quot;/&gt;&lt;wsp:rsid wsp:val=&quot;002840F5&quot;/&gt;&lt;wsp:rsid wsp:val=&quot;0028418B&quot;/&gt;&lt;wsp:rsid wsp:val=&quot;0028506F&quot;/&gt;&lt;wsp:rsid wsp:val=&quot;00285B40&quot;/&gt;&lt;wsp:rsid wsp:val=&quot;00285E18&quot;/&gt;&lt;wsp:rsid wsp:val=&quot;00286A5B&quot;/&gt;&lt;wsp:rsid wsp:val=&quot;00287C62&quot;/&gt;&lt;wsp:rsid wsp:val=&quot;00290A07&quot;/&gt;&lt;wsp:rsid wsp:val=&quot;00290EB0&quot;/&gt;&lt;wsp:rsid wsp:val=&quot;002914DF&quot;/&gt;&lt;wsp:rsid wsp:val=&quot;00292248&quot;/&gt;&lt;wsp:rsid wsp:val=&quot;00292991&quot;/&gt;&lt;wsp:rsid wsp:val=&quot;00292FA3&quot;/&gt;&lt;wsp:rsid wsp:val=&quot;00293443&quot;/&gt;&lt;wsp:rsid wsp:val=&quot;002934FB&quot;/&gt;&lt;wsp:rsid wsp:val=&quot;00293B8D&quot;/&gt;&lt;wsp:rsid wsp:val=&quot;00294A24&quot;/&gt;&lt;wsp:rsid wsp:val=&quot;00294C89&quot;/&gt;&lt;wsp:rsid wsp:val=&quot;00295C07&quot;/&gt;&lt;wsp:rsid wsp:val=&quot;00295F35&quot;/&gt;&lt;wsp:rsid wsp:val=&quot;00296BAA&quot;/&gt;&lt;wsp:rsid wsp:val=&quot;00297E08&quot;/&gt;&lt;wsp:rsid wsp:val=&quot;002A02A8&quot;/&gt;&lt;wsp:rsid wsp:val=&quot;002A035B&quot;/&gt;&lt;wsp:rsid wsp:val=&quot;002A0469&quot;/&gt;&lt;wsp:rsid wsp:val=&quot;002A0EBD&quot;/&gt;&lt;wsp:rsid wsp:val=&quot;002A1400&quot;/&gt;&lt;wsp:rsid wsp:val=&quot;002A19FA&quot;/&gt;&lt;wsp:rsid wsp:val=&quot;002A2558&quot;/&gt;&lt;wsp:rsid wsp:val=&quot;002A29E0&quot;/&gt;&lt;wsp:rsid wsp:val=&quot;002A2A40&quot;/&gt;&lt;wsp:rsid wsp:val=&quot;002A31E7&quot;/&gt;&lt;wsp:rsid wsp:val=&quot;002A31E9&quot;/&gt;&lt;wsp:rsid wsp:val=&quot;002A3638&quot;/&gt;&lt;wsp:rsid wsp:val=&quot;002A3909&quot;/&gt;&lt;wsp:rsid wsp:val=&quot;002A3DB2&quot;/&gt;&lt;wsp:rsid wsp:val=&quot;002A406F&quot;/&gt;&lt;wsp:rsid wsp:val=&quot;002A666A&quot;/&gt;&lt;wsp:rsid wsp:val=&quot;002A66EA&quot;/&gt;&lt;wsp:rsid wsp:val=&quot;002A6C5F&quot;/&gt;&lt;wsp:rsid wsp:val=&quot;002A799A&quot;/&gt;&lt;wsp:rsid wsp:val=&quot;002A7FAF&quot;/&gt;&lt;wsp:rsid wsp:val=&quot;002B04AC&quot;/&gt;&lt;wsp:rsid wsp:val=&quot;002B06EA&quot;/&gt;&lt;wsp:rsid wsp:val=&quot;002B0CB1&quot;/&gt;&lt;wsp:rsid wsp:val=&quot;002B0F6E&quot;/&gt;&lt;wsp:rsid wsp:val=&quot;002B1981&quot;/&gt;&lt;wsp:rsid wsp:val=&quot;002B20F1&quot;/&gt;&lt;wsp:rsid wsp:val=&quot;002B2A76&quot;/&gt;&lt;wsp:rsid wsp:val=&quot;002B3651&quot;/&gt;&lt;wsp:rsid wsp:val=&quot;002B3F5B&quot;/&gt;&lt;wsp:rsid wsp:val=&quot;002B44DC&quot;/&gt;&lt;wsp:rsid wsp:val=&quot;002B476A&quot;/&gt;&lt;wsp:rsid wsp:val=&quot;002B5279&quot;/&gt;&lt;wsp:rsid wsp:val=&quot;002B586F&quot;/&gt;&lt;wsp:rsid wsp:val=&quot;002B7C9F&quot;/&gt;&lt;wsp:rsid wsp:val=&quot;002C047C&quot;/&gt;&lt;wsp:rsid wsp:val=&quot;002C0560&quot;/&gt;&lt;wsp:rsid wsp:val=&quot;002C11F7&quot;/&gt;&lt;wsp:rsid wsp:val=&quot;002C1BB4&quot;/&gt;&lt;wsp:rsid wsp:val=&quot;002C1F20&quot;/&gt;&lt;wsp:rsid wsp:val=&quot;002C2783&quot;/&gt;&lt;wsp:rsid wsp:val=&quot;002C2D0D&quot;/&gt;&lt;wsp:rsid wsp:val=&quot;002C2E80&quot;/&gt;&lt;wsp:rsid wsp:val=&quot;002C2F03&quot;/&gt;&lt;wsp:rsid wsp:val=&quot;002C37E4&quot;/&gt;&lt;wsp:rsid wsp:val=&quot;002C42F9&quot;/&gt;&lt;wsp:rsid wsp:val=&quot;002C4C10&quot;/&gt;&lt;wsp:rsid wsp:val=&quot;002C58F8&quot;/&gt;&lt;wsp:rsid wsp:val=&quot;002C66F0&quot;/&gt;&lt;wsp:rsid wsp:val=&quot;002C6ACF&quot;/&gt;&lt;wsp:rsid wsp:val=&quot;002C7A8D&quot;/&gt;&lt;wsp:rsid wsp:val=&quot;002C7BCE&quot;/&gt;&lt;wsp:rsid wsp:val=&quot;002D0323&quot;/&gt;&lt;wsp:rsid wsp:val=&quot;002D061E&quot;/&gt;&lt;wsp:rsid wsp:val=&quot;002D0907&quot;/&gt;&lt;wsp:rsid wsp:val=&quot;002D0951&quot;/&gt;&lt;wsp:rsid wsp:val=&quot;002D0AA1&quot;/&gt;&lt;wsp:rsid wsp:val=&quot;002D227C&quot;/&gt;&lt;wsp:rsid wsp:val=&quot;002D228F&quot;/&gt;&lt;wsp:rsid wsp:val=&quot;002D37AF&quot;/&gt;&lt;wsp:rsid wsp:val=&quot;002D40AC&quot;/&gt;&lt;wsp:rsid wsp:val=&quot;002D44EB&quot;/&gt;&lt;wsp:rsid wsp:val=&quot;002D4887&quot;/&gt;&lt;wsp:rsid wsp:val=&quot;002D5AA7&quot;/&gt;&lt;wsp:rsid wsp:val=&quot;002D5D64&quot;/&gt;&lt;wsp:rsid wsp:val=&quot;002D673A&quot;/&gt;&lt;wsp:rsid wsp:val=&quot;002D6FA7&quot;/&gt;&lt;wsp:rsid wsp:val=&quot;002D709D&quot;/&gt;&lt;wsp:rsid wsp:val=&quot;002D7EBB&quot;/&gt;&lt;wsp:rsid wsp:val=&quot;002E013F&quot;/&gt;&lt;wsp:rsid wsp:val=&quot;002E06FF&quot;/&gt;&lt;wsp:rsid wsp:val=&quot;002E0B06&quot;/&gt;&lt;wsp:rsid wsp:val=&quot;002E2062&quot;/&gt;&lt;wsp:rsid wsp:val=&quot;002E287F&quot;/&gt;&lt;wsp:rsid wsp:val=&quot;002E301D&quot;/&gt;&lt;wsp:rsid wsp:val=&quot;002E3519&quot;/&gt;&lt;wsp:rsid wsp:val=&quot;002E371C&quot;/&gt;&lt;wsp:rsid wsp:val=&quot;002E4430&quot;/&gt;&lt;wsp:rsid wsp:val=&quot;002E4A7A&quot;/&gt;&lt;wsp:rsid wsp:val=&quot;002E4A7D&quot;/&gt;&lt;wsp:rsid wsp:val=&quot;002E4CA1&quot;/&gt;&lt;wsp:rsid wsp:val=&quot;002E6C75&quot;/&gt;&lt;wsp:rsid wsp:val=&quot;002F004A&quot;/&gt;&lt;wsp:rsid wsp:val=&quot;002F061D&quot;/&gt;&lt;wsp:rsid wsp:val=&quot;002F090C&quot;/&gt;&lt;wsp:rsid wsp:val=&quot;002F09B4&quot;/&gt;&lt;wsp:rsid wsp:val=&quot;002F0D21&quot;/&gt;&lt;wsp:rsid wsp:val=&quot;002F1894&quot;/&gt;&lt;wsp:rsid wsp:val=&quot;002F224E&quot;/&gt;&lt;wsp:rsid wsp:val=&quot;002F2598&quot;/&gt;&lt;wsp:rsid wsp:val=&quot;002F2CD4&quot;/&gt;&lt;wsp:rsid wsp:val=&quot;002F3E61&quot;/&gt;&lt;wsp:rsid wsp:val=&quot;002F4210&quot;/&gt;&lt;wsp:rsid wsp:val=&quot;002F4600&quot;/&gt;&lt;wsp:rsid wsp:val=&quot;002F498E&quot;/&gt;&lt;wsp:rsid wsp:val=&quot;002F4AF8&quot;/&gt;&lt;wsp:rsid wsp:val=&quot;002F64DA&quot;/&gt;&lt;wsp:rsid wsp:val=&quot;002F6E27&quot;/&gt;&lt;wsp:rsid wsp:val=&quot;002F6E5D&quot;/&gt;&lt;wsp:rsid wsp:val=&quot;002F754D&quot;/&gt;&lt;wsp:rsid wsp:val=&quot;002F75FA&quot;/&gt;&lt;wsp:rsid wsp:val=&quot;002F78EC&quot;/&gt;&lt;wsp:rsid wsp:val=&quot;002F7BF6&quot;/&gt;&lt;wsp:rsid wsp:val=&quot;00300454&quot;/&gt;&lt;wsp:rsid wsp:val=&quot;00300530&quot;/&gt;&lt;wsp:rsid wsp:val=&quot;003005C6&quot;/&gt;&lt;wsp:rsid wsp:val=&quot;00300653&quot;/&gt;&lt;wsp:rsid wsp:val=&quot;00300ACA&quot;/&gt;&lt;wsp:rsid wsp:val=&quot;0030101C&quot;/&gt;&lt;wsp:rsid wsp:val=&quot;003021A3&quot;/&gt;&lt;wsp:rsid wsp:val=&quot;00302513&quot;/&gt;&lt;wsp:rsid wsp:val=&quot;003030B5&quot;/&gt;&lt;wsp:rsid wsp:val=&quot;0030377A&quot;/&gt;&lt;wsp:rsid wsp:val=&quot;00303FFF&quot;/&gt;&lt;wsp:rsid wsp:val=&quot;00305AF8&quot;/&gt;&lt;wsp:rsid wsp:val=&quot;0030614D&quot;/&gt;&lt;wsp:rsid wsp:val=&quot;00306458&quot;/&gt;&lt;wsp:rsid wsp:val=&quot;003073A0&quot;/&gt;&lt;wsp:rsid wsp:val=&quot;00307A5C&quot;/&gt;&lt;wsp:rsid wsp:val=&quot;00307FDC&quot;/&gt;&lt;wsp:rsid wsp:val=&quot;00310280&quot;/&gt;&lt;wsp:rsid wsp:val=&quot;0031049B&quot;/&gt;&lt;wsp:rsid wsp:val=&quot;00310A45&quot;/&gt;&lt;wsp:rsid wsp:val=&quot;00311245&quot;/&gt;&lt;wsp:rsid wsp:val=&quot;003114D6&quot;/&gt;&lt;wsp:rsid wsp:val=&quot;003129D8&quot;/&gt;&lt;wsp:rsid wsp:val=&quot;00312B8D&quot;/&gt;&lt;wsp:rsid wsp:val=&quot;003145FF&quot;/&gt;&lt;wsp:rsid wsp:val=&quot;0031495A&quot;/&gt;&lt;wsp:rsid wsp:val=&quot;00314B33&quot;/&gt;&lt;wsp:rsid wsp:val=&quot;003157C9&quot;/&gt;&lt;wsp:rsid wsp:val=&quot;00315A02&quot;/&gt;&lt;wsp:rsid wsp:val=&quot;003168E4&quot;/&gt;&lt;wsp:rsid wsp:val=&quot;00316D11&quot;/&gt;&lt;wsp:rsid wsp:val=&quot;003171B9&quot;/&gt;&lt;wsp:rsid wsp:val=&quot;003209C8&quot;/&gt;&lt;wsp:rsid wsp:val=&quot;00321E70&quot;/&gt;&lt;wsp:rsid wsp:val=&quot;00322B66&quot;/&gt;&lt;wsp:rsid wsp:val=&quot;003230A1&quot;/&gt;&lt;wsp:rsid wsp:val=&quot;003239B8&quot;/&gt;&lt;wsp:rsid wsp:val=&quot;00324A45&quot;/&gt;&lt;wsp:rsid wsp:val=&quot;00325784&quot;/&gt;&lt;wsp:rsid wsp:val=&quot;00325BD3&quot;/&gt;&lt;wsp:rsid wsp:val=&quot;00325D11&quot;/&gt;&lt;wsp:rsid wsp:val=&quot;00325FBA&quot;/&gt;&lt;wsp:rsid wsp:val=&quot;00327404&quot;/&gt;&lt;wsp:rsid wsp:val=&quot;0032740F&quot;/&gt;&lt;wsp:rsid wsp:val=&quot;00327593&quot;/&gt;&lt;wsp:rsid wsp:val=&quot;003275C0&quot;/&gt;&lt;wsp:rsid wsp:val=&quot;00327AC7&quot;/&gt;&lt;wsp:rsid wsp:val=&quot;00331491&quot;/&gt;&lt;wsp:rsid wsp:val=&quot;00331C64&quot;/&gt;&lt;wsp:rsid wsp:val=&quot;00333C07&quot;/&gt;&lt;wsp:rsid wsp:val=&quot;0033402B&quot;/&gt;&lt;wsp:rsid wsp:val=&quot;00334BD8&quot;/&gt;&lt;wsp:rsid wsp:val=&quot;00335FB6&quot;/&gt;&lt;wsp:rsid wsp:val=&quot;0033617C&quot;/&gt;&lt;wsp:rsid wsp:val=&quot;00336BCB&quot;/&gt;&lt;wsp:rsid wsp:val=&quot;003372E4&quot;/&gt;&lt;wsp:rsid wsp:val=&quot;0034077D&quot;/&gt;&lt;wsp:rsid wsp:val=&quot;00341ACF&quot;/&gt;&lt;wsp:rsid wsp:val=&quot;00341F18&quot;/&gt;&lt;wsp:rsid wsp:val=&quot;00342FFC&quot;/&gt;&lt;wsp:rsid wsp:val=&quot;0034328F&quot;/&gt;&lt;wsp:rsid wsp:val=&quot;003434A4&quot;/&gt;&lt;wsp:rsid wsp:val=&quot;00343BDC&quot;/&gt;&lt;wsp:rsid wsp:val=&quot;0034466C&quot;/&gt;&lt;wsp:rsid wsp:val=&quot;00344FB0&quot;/&gt;&lt;wsp:rsid wsp:val=&quot;00344FE6&quot;/&gt;&lt;wsp:rsid wsp:val=&quot;0034540E&quot;/&gt;&lt;wsp:rsid wsp:val=&quot;0034545E&quot;/&gt;&lt;wsp:rsid wsp:val=&quot;00346C6A&quot;/&gt;&lt;wsp:rsid wsp:val=&quot;00347166&quot;/&gt;&lt;wsp:rsid wsp:val=&quot;003475FD&quot;/&gt;&lt;wsp:rsid wsp:val=&quot;00351A6E&quot;/&gt;&lt;wsp:rsid wsp:val=&quot;00351FA7&quot;/&gt;&lt;wsp:rsid wsp:val=&quot;00352459&quot;/&gt;&lt;wsp:rsid wsp:val=&quot;00353191&quot;/&gt;&lt;wsp:rsid wsp:val=&quot;0035346E&quot;/&gt;&lt;wsp:rsid wsp:val=&quot;0035410F&quot;/&gt;&lt;wsp:rsid wsp:val=&quot;003552D5&quot;/&gt;&lt;wsp:rsid wsp:val=&quot;00355581&quot;/&gt;&lt;wsp:rsid wsp:val=&quot;00355C2D&quot;/&gt;&lt;wsp:rsid wsp:val=&quot;00356795&quot;/&gt;&lt;wsp:rsid wsp:val=&quot;00356E54&quot;/&gt;&lt;wsp:rsid wsp:val=&quot;00360397&quot;/&gt;&lt;wsp:rsid wsp:val=&quot;00360CD6&quot;/&gt;&lt;wsp:rsid wsp:val=&quot;00360FE3&quot;/&gt;&lt;wsp:rsid wsp:val=&quot;003611EE&quot;/&gt;&lt;wsp:rsid wsp:val=&quot;003618CE&quot;/&gt;&lt;wsp:rsid wsp:val=&quot;0036199C&quot;/&gt;&lt;wsp:rsid wsp:val=&quot;00361F06&quot;/&gt;&lt;wsp:rsid wsp:val=&quot;00361FAE&quot;/&gt;&lt;wsp:rsid wsp:val=&quot;00361FB6&quot;/&gt;&lt;wsp:rsid wsp:val=&quot;00362532&quot;/&gt;&lt;wsp:rsid wsp:val=&quot;00362837&quot;/&gt;&lt;wsp:rsid wsp:val=&quot;00363354&quot;/&gt;&lt;wsp:rsid wsp:val=&quot;00363C65&quot;/&gt;&lt;wsp:rsid wsp:val=&quot;003640D4&quot;/&gt;&lt;wsp:rsid wsp:val=&quot;00364465&quot;/&gt;&lt;wsp:rsid wsp:val=&quot;003648AB&quot;/&gt;&lt;wsp:rsid wsp:val=&quot;003662A1&quot;/&gt;&lt;wsp:rsid wsp:val=&quot;00367278&quot;/&gt;&lt;wsp:rsid wsp:val=&quot;003679F5&quot;/&gt;&lt;wsp:rsid wsp:val=&quot;00367DD9&quot;/&gt;&lt;wsp:rsid wsp:val=&quot;00370942&quot;/&gt;&lt;wsp:rsid wsp:val=&quot;00371718&quot;/&gt;&lt;wsp:rsid wsp:val=&quot;0037203F&quot;/&gt;&lt;wsp:rsid wsp:val=&quot;0037216A&quot;/&gt;&lt;wsp:rsid wsp:val=&quot;00372E2F&quot;/&gt;&lt;wsp:rsid wsp:val=&quot;00372FE7&quot;/&gt;&lt;wsp:rsid wsp:val=&quot;00373043&quot;/&gt;&lt;wsp:rsid wsp:val=&quot;00373046&quot;/&gt;&lt;wsp:rsid wsp:val=&quot;00373190&quot;/&gt;&lt;wsp:rsid wsp:val=&quot;00374169&quot;/&gt;&lt;wsp:rsid wsp:val=&quot;0037422F&quot;/&gt;&lt;wsp:rsid wsp:val=&quot;003747F4&quot;/&gt;&lt;wsp:rsid wsp:val=&quot;00374B32&quot;/&gt;&lt;wsp:rsid wsp:val=&quot;00374C11&quot;/&gt;&lt;wsp:rsid wsp:val=&quot;0037514A&quot;/&gt;&lt;wsp:rsid wsp:val=&quot;003757A9&quot;/&gt;&lt;wsp:rsid wsp:val=&quot;003762BD&quot;/&gt;&lt;wsp:rsid wsp:val=&quot;00376421&quot;/&gt;&lt;wsp:rsid wsp:val=&quot;00376D85&quot;/&gt;&lt;wsp:rsid wsp:val=&quot;00377FFB&quot;/&gt;&lt;wsp:rsid wsp:val=&quot;00380A23&quot;/&gt;&lt;wsp:rsid wsp:val=&quot;0038117D&quot;/&gt;&lt;wsp:rsid wsp:val=&quot;00381BAE&quot;/&gt;&lt;wsp:rsid wsp:val=&quot;00381ECF&quot;/&gt;&lt;wsp:rsid wsp:val=&quot;0038212C&quot;/&gt;&lt;wsp:rsid wsp:val=&quot;0038231F&quot;/&gt;&lt;wsp:rsid wsp:val=&quot;00382EC9&quot;/&gt;&lt;wsp:rsid wsp:val=&quot;0038318D&quot;/&gt;&lt;wsp:rsid wsp:val=&quot;003833B5&quot;/&gt;&lt;wsp:rsid wsp:val=&quot;00383B92&quot;/&gt;&lt;wsp:rsid wsp:val=&quot;00384965&quot;/&gt;&lt;wsp:rsid wsp:val=&quot;00385222&quot;/&gt;&lt;wsp:rsid wsp:val=&quot;00385366&quot;/&gt;&lt;wsp:rsid wsp:val=&quot;003855F9&quot;/&gt;&lt;wsp:rsid wsp:val=&quot;00385965&quot;/&gt;&lt;wsp:rsid wsp:val=&quot;00386253&quot;/&gt;&lt;wsp:rsid wsp:val=&quot;003862C2&quot;/&gt;&lt;wsp:rsid wsp:val=&quot;00386585&quot;/&gt;&lt;wsp:rsid wsp:val=&quot;00387ADD&quot;/&gt;&lt;wsp:rsid wsp:val=&quot;00387F10&quot;/&gt;&lt;wsp:rsid wsp:val=&quot;0039057E&quot;/&gt;&lt;wsp:rsid wsp:val=&quot;00390A9C&quot;/&gt;&lt;wsp:rsid wsp:val=&quot;003911C7&quot;/&gt;&lt;wsp:rsid wsp:val=&quot;00392594&quot;/&gt;&lt;wsp:rsid wsp:val=&quot;00392B88&quot;/&gt;&lt;wsp:rsid wsp:val=&quot;003938AF&quot;/&gt;&lt;wsp:rsid wsp:val=&quot;00393E36&quot;/&gt;&lt;wsp:rsid wsp:val=&quot;003940C9&quot;/&gt;&lt;wsp:rsid wsp:val=&quot;0039492B&quot;/&gt;&lt;wsp:rsid wsp:val=&quot;0039633E&quot;/&gt;&lt;wsp:rsid wsp:val=&quot;003965F2&quot;/&gt;&lt;wsp:rsid wsp:val=&quot;003969C7&quot;/&gt;&lt;wsp:rsid wsp:val=&quot;003972EE&quot;/&gt;&lt;wsp:rsid wsp:val=&quot;003A02A0&quot;/&gt;&lt;wsp:rsid wsp:val=&quot;003A18EC&quot;/&gt;&lt;wsp:rsid wsp:val=&quot;003A1E71&quot;/&gt;&lt;wsp:rsid wsp:val=&quot;003A1F5D&quot;/&gt;&lt;wsp:rsid wsp:val=&quot;003A2BE9&quot;/&gt;&lt;wsp:rsid wsp:val=&quot;003A400C&quot;/&gt;&lt;wsp:rsid wsp:val=&quot;003A44C4&quot;/&gt;&lt;wsp:rsid wsp:val=&quot;003A4FDA&quot;/&gt;&lt;wsp:rsid wsp:val=&quot;003A5029&quot;/&gt;&lt;wsp:rsid wsp:val=&quot;003A56AA&quot;/&gt;&lt;wsp:rsid wsp:val=&quot;003A5F22&quot;/&gt;&lt;wsp:rsid wsp:val=&quot;003A6B49&quot;/&gt;&lt;wsp:rsid wsp:val=&quot;003A6BE1&quot;/&gt;&lt;wsp:rsid wsp:val=&quot;003A7150&quot;/&gt;&lt;wsp:rsid wsp:val=&quot;003A75D3&quot;/&gt;&lt;wsp:rsid wsp:val=&quot;003A76CF&quot;/&gt;&lt;wsp:rsid wsp:val=&quot;003B119F&quot;/&gt;&lt;wsp:rsid wsp:val=&quot;003B1ACC&quot;/&gt;&lt;wsp:rsid wsp:val=&quot;003B2CA6&quot;/&gt;&lt;wsp:rsid wsp:val=&quot;003B3BA7&quot;/&gt;&lt;wsp:rsid wsp:val=&quot;003B402D&quot;/&gt;&lt;wsp:rsid wsp:val=&quot;003B40A5&quot;/&gt;&lt;wsp:rsid wsp:val=&quot;003B43F4&quot;/&gt;&lt;wsp:rsid wsp:val=&quot;003B4442&quot;/&gt;&lt;wsp:rsid wsp:val=&quot;003B4CEA&quot;/&gt;&lt;wsp:rsid wsp:val=&quot;003B5789&quot;/&gt;&lt;wsp:rsid wsp:val=&quot;003B6B66&quot;/&gt;&lt;wsp:rsid wsp:val=&quot;003B6FF6&quot;/&gt;&lt;wsp:rsid wsp:val=&quot;003C249F&quot;/&gt;&lt;wsp:rsid wsp:val=&quot;003C262A&quot;/&gt;&lt;wsp:rsid wsp:val=&quot;003C336C&quot;/&gt;&lt;wsp:rsid wsp:val=&quot;003C39AC&quot;/&gt;&lt;wsp:rsid wsp:val=&quot;003C43C4&quot;/&gt;&lt;wsp:rsid wsp:val=&quot;003C44A6&quot;/&gt;&lt;wsp:rsid wsp:val=&quot;003C486F&quot;/&gt;&lt;wsp:rsid wsp:val=&quot;003C4915&quot;/&gt;&lt;wsp:rsid wsp:val=&quot;003C4E2F&quot;/&gt;&lt;wsp:rsid wsp:val=&quot;003C6F4D&quot;/&gt;&lt;wsp:rsid wsp:val=&quot;003C705A&quot;/&gt;&lt;wsp:rsid wsp:val=&quot;003C71B7&quot;/&gt;&lt;wsp:rsid wsp:val=&quot;003C76FE&quot;/&gt;&lt;wsp:rsid wsp:val=&quot;003D064E&quot;/&gt;&lt;wsp:rsid wsp:val=&quot;003D09A3&quot;/&gt;&lt;wsp:rsid wsp:val=&quot;003D0B38&quot;/&gt;&lt;wsp:rsid wsp:val=&quot;003D0CE1&quot;/&gt;&lt;wsp:rsid wsp:val=&quot;003D16EA&quot;/&gt;&lt;wsp:rsid wsp:val=&quot;003D18F9&quot;/&gt;&lt;wsp:rsid wsp:val=&quot;003D25DE&quot;/&gt;&lt;wsp:rsid wsp:val=&quot;003D2600&quot;/&gt;&lt;wsp:rsid wsp:val=&quot;003D31E0&quot;/&gt;&lt;wsp:rsid wsp:val=&quot;003D368D&quot;/&gt;&lt;wsp:rsid wsp:val=&quot;003D407B&quot;/&gt;&lt;wsp:rsid wsp:val=&quot;003D4619&quot;/&gt;&lt;wsp:rsid wsp:val=&quot;003D52F4&quot;/&gt;&lt;wsp:rsid wsp:val=&quot;003D5384&quot;/&gt;&lt;wsp:rsid wsp:val=&quot;003D5622&quot;/&gt;&lt;wsp:rsid wsp:val=&quot;003D5864&quot;/&gt;&lt;wsp:rsid wsp:val=&quot;003D5B0E&quot;/&gt;&lt;wsp:rsid wsp:val=&quot;003D5B8B&quot;/&gt;&lt;wsp:rsid wsp:val=&quot;003D61C2&quot;/&gt;&lt;wsp:rsid wsp:val=&quot;003D6312&quot;/&gt;&lt;wsp:rsid wsp:val=&quot;003D6D69&quot;/&gt;&lt;wsp:rsid wsp:val=&quot;003D6E0D&quot;/&gt;&lt;wsp:rsid wsp:val=&quot;003D7590&quot;/&gt;&lt;wsp:rsid wsp:val=&quot;003E0B80&quot;/&gt;&lt;wsp:rsid wsp:val=&quot;003E1476&quot;/&gt;&lt;wsp:rsid wsp:val=&quot;003E2717&quot;/&gt;&lt;wsp:rsid wsp:val=&quot;003E2959&quot;/&gt;&lt;wsp:rsid wsp:val=&quot;003E2F49&quot;/&gt;&lt;wsp:rsid wsp:val=&quot;003E36D6&quot;/&gt;&lt;wsp:rsid wsp:val=&quot;003E3756&quot;/&gt;&lt;wsp:rsid wsp:val=&quot;003E3861&quot;/&gt;&lt;wsp:rsid wsp:val=&quot;003E3C0B&quot;/&gt;&lt;wsp:rsid wsp:val=&quot;003E4316&quot;/&gt;&lt;wsp:rsid wsp:val=&quot;003E56CA&quot;/&gt;&lt;wsp:rsid wsp:val=&quot;003E5888&quot;/&gt;&lt;wsp:rsid wsp:val=&quot;003E5C3F&quot;/&gt;&lt;wsp:rsid wsp:val=&quot;003E5C65&quot;/&gt;&lt;wsp:rsid wsp:val=&quot;003E5D61&quot;/&gt;&lt;wsp:rsid wsp:val=&quot;003E7F9D&quot;/&gt;&lt;wsp:rsid wsp:val=&quot;003F194A&quot;/&gt;&lt;wsp:rsid wsp:val=&quot;003F19C5&quot;/&gt;&lt;wsp:rsid wsp:val=&quot;003F1FA3&quot;/&gt;&lt;wsp:rsid wsp:val=&quot;003F2A74&quot;/&gt;&lt;wsp:rsid wsp:val=&quot;003F2BCA&quot;/&gt;&lt;wsp:rsid wsp:val=&quot;003F2E98&quot;/&gt;&lt;wsp:rsid wsp:val=&quot;003F3A11&quot;/&gt;&lt;wsp:rsid wsp:val=&quot;003F5962&quot;/&gt;&lt;wsp:rsid wsp:val=&quot;003F5AD9&quot;/&gt;&lt;wsp:rsid wsp:val=&quot;00400206&quot;/&gt;&lt;wsp:rsid wsp:val=&quot;004006A6&quot;/&gt;&lt;wsp:rsid wsp:val=&quot;00400710&quot;/&gt;&lt;wsp:rsid wsp:val=&quot;00400A54&quot;/&gt;&lt;wsp:rsid wsp:val=&quot;00401852&quot;/&gt;&lt;wsp:rsid wsp:val=&quot;004023FA&quot;/&gt;&lt;wsp:rsid wsp:val=&quot;004025FD&quot;/&gt;&lt;wsp:rsid wsp:val=&quot;00402649&quot;/&gt;&lt;wsp:rsid wsp:val=&quot;00402AF8&quot;/&gt;&lt;wsp:rsid wsp:val=&quot;00402B1B&quot;/&gt;&lt;wsp:rsid wsp:val=&quot;00402DC3&quot;/&gt;&lt;wsp:rsid wsp:val=&quot;00403CAE&quot;/&gt;&lt;wsp:rsid wsp:val=&quot;00404575&quot;/&gt;&lt;wsp:rsid wsp:val=&quot;004045E9&quot;/&gt;&lt;wsp:rsid wsp:val=&quot;00405C3B&quot;/&gt;&lt;wsp:rsid wsp:val=&quot;00406126&quot;/&gt;&lt;wsp:rsid wsp:val=&quot;00406803&quot;/&gt;&lt;wsp:rsid wsp:val=&quot;00406D52&quot;/&gt;&lt;wsp:rsid wsp:val=&quot;0040757F&quot;/&gt;&lt;wsp:rsid wsp:val=&quot;004077A1&quot;/&gt;&lt;wsp:rsid wsp:val=&quot;004078B6&quot;/&gt;&lt;wsp:rsid wsp:val=&quot;00407F0D&quot;/&gt;&lt;wsp:rsid wsp:val=&quot;00410507&quot;/&gt;&lt;wsp:rsid wsp:val=&quot;004109AD&quot;/&gt;&lt;wsp:rsid wsp:val=&quot;004114F6&quot;/&gt;&lt;wsp:rsid wsp:val=&quot;00411C20&quot;/&gt;&lt;wsp:rsid wsp:val=&quot;0041214F&quot;/&gt;&lt;wsp:rsid wsp:val=&quot;004125A8&quot;/&gt;&lt;wsp:rsid wsp:val=&quot;0041278F&quot;/&gt;&lt;wsp:rsid wsp:val=&quot;00413416&quot;/&gt;&lt;wsp:rsid wsp:val=&quot;00413AD7&quot;/&gt;&lt;wsp:rsid wsp:val=&quot;00413D76&quot;/&gt;&lt;wsp:rsid wsp:val=&quot;00414A73&quot;/&gt;&lt;wsp:rsid wsp:val=&quot;00414B7E&quot;/&gt;&lt;wsp:rsid wsp:val=&quot;004163E1&quot;/&gt;&lt;wsp:rsid wsp:val=&quot;004164B7&quot;/&gt;&lt;wsp:rsid wsp:val=&quot;00416A6A&quot;/&gt;&lt;wsp:rsid wsp:val=&quot;00417627&quot;/&gt;&lt;wsp:rsid wsp:val=&quot;0041771D&quot;/&gt;&lt;wsp:rsid wsp:val=&quot;00417ECE&quot;/&gt;&lt;wsp:rsid wsp:val=&quot;00417FD0&quot;/&gt;&lt;wsp:rsid wsp:val=&quot;004200EC&quot;/&gt;&lt;wsp:rsid wsp:val=&quot;0042031C&quot;/&gt;&lt;wsp:rsid wsp:val=&quot;00420E8E&quot;/&gt;&lt;wsp:rsid wsp:val=&quot;00422216&quot;/&gt;&lt;wsp:rsid wsp:val=&quot;0042244E&quot;/&gt;&lt;wsp:rsid wsp:val=&quot;00422FFA&quot;/&gt;&lt;wsp:rsid wsp:val=&quot;0042314C&quot;/&gt;&lt;wsp:rsid wsp:val=&quot;00423612&quot;/&gt;&lt;wsp:rsid wsp:val=&quot;00423AA5&quot;/&gt;&lt;wsp:rsid wsp:val=&quot;00423AB5&quot;/&gt;&lt;wsp:rsid wsp:val=&quot;004245E3&quot;/&gt;&lt;wsp:rsid wsp:val=&quot;004246DB&quot;/&gt;&lt;wsp:rsid wsp:val=&quot;004256EC&quot;/&gt;&lt;wsp:rsid wsp:val=&quot;00425C57&quot;/&gt;&lt;wsp:rsid wsp:val=&quot;00426CF8&quot;/&gt;&lt;wsp:rsid wsp:val=&quot;00426F49&quot;/&gt;&lt;wsp:rsid wsp:val=&quot;0042702E&quot;/&gt;&lt;wsp:rsid wsp:val=&quot;00427201&quot;/&gt;&lt;wsp:rsid wsp:val=&quot;004277C0&quot;/&gt;&lt;wsp:rsid wsp:val=&quot;004278DC&quot;/&gt;&lt;wsp:rsid wsp:val=&quot;00427C5B&quot;/&gt;&lt;wsp:rsid wsp:val=&quot;00427D22&quot;/&gt;&lt;wsp:rsid wsp:val=&quot;00427DC8&quot;/&gt;&lt;wsp:rsid wsp:val=&quot;004304D7&quot;/&gt;&lt;wsp:rsid wsp:val=&quot;00431598&quot;/&gt;&lt;wsp:rsid wsp:val=&quot;00431E10&quot;/&gt;&lt;wsp:rsid wsp:val=&quot;00431F66&quot;/&gt;&lt;wsp:rsid wsp:val=&quot;004320FD&quot;/&gt;&lt;wsp:rsid wsp:val=&quot;004321BF&quot;/&gt;&lt;wsp:rsid wsp:val=&quot;0043235F&quot;/&gt;&lt;wsp:rsid wsp:val=&quot;00433199&quot;/&gt;&lt;wsp:rsid wsp:val=&quot;00433A46&quot;/&gt;&lt;wsp:rsid wsp:val=&quot;00434598&quot;/&gt;&lt;wsp:rsid wsp:val=&quot;0043484F&quot;/&gt;&lt;wsp:rsid wsp:val=&quot;0043516D&quot;/&gt;&lt;wsp:rsid wsp:val=&quot;004353DE&quot;/&gt;&lt;wsp:rsid wsp:val=&quot;00435857&quot;/&gt;&lt;wsp:rsid wsp:val=&quot;00436025&quot;/&gt;&lt;wsp:rsid wsp:val=&quot;004362C1&quot;/&gt;&lt;wsp:rsid wsp:val=&quot;00436467&quot;/&gt;&lt;wsp:rsid wsp:val=&quot;004365B9&quot;/&gt;&lt;wsp:rsid wsp:val=&quot;0043687F&quot;/&gt;&lt;wsp:rsid wsp:val=&quot;00436BE2&quot;/&gt;&lt;wsp:rsid wsp:val=&quot;00436E31&quot;/&gt;&lt;wsp:rsid wsp:val=&quot;00437FB8&quot;/&gt;&lt;wsp:rsid wsp:val=&quot;0044004C&quot;/&gt;&lt;wsp:rsid wsp:val=&quot;004400D4&quot;/&gt;&lt;wsp:rsid wsp:val=&quot;004401F7&quot;/&gt;&lt;wsp:rsid wsp:val=&quot;0044121B&quot;/&gt;&lt;wsp:rsid wsp:val=&quot;00441332&quot;/&gt;&lt;wsp:rsid wsp:val=&quot;004413A3&quot;/&gt;&lt;wsp:rsid wsp:val=&quot;00441659&quot;/&gt;&lt;wsp:rsid wsp:val=&quot;00441C38&quot;/&gt;&lt;wsp:rsid wsp:val=&quot;00441C4F&quot;/&gt;&lt;wsp:rsid wsp:val=&quot;00442CAF&quot;/&gt;&lt;wsp:rsid wsp:val=&quot;004435AD&quot;/&gt;&lt;wsp:rsid wsp:val=&quot;0044396F&quot;/&gt;&lt;wsp:rsid wsp:val=&quot;00443E86&quot;/&gt;&lt;wsp:rsid wsp:val=&quot;004445E6&quot;/&gt;&lt;wsp:rsid wsp:val=&quot;004449B4&quot;/&gt;&lt;wsp:rsid wsp:val=&quot;004452A9&quot;/&gt;&lt;wsp:rsid wsp:val=&quot;00446AD9&quot;/&gt;&lt;wsp:rsid wsp:val=&quot;004473F4&quot;/&gt;&lt;wsp:rsid wsp:val=&quot;004478D4&quot;/&gt;&lt;wsp:rsid wsp:val=&quot;00447A1F&quot;/&gt;&lt;wsp:rsid wsp:val=&quot;00447A63&quot;/&gt;&lt;wsp:rsid wsp:val=&quot;00447E7C&quot;/&gt;&lt;wsp:rsid wsp:val=&quot;0045033E&quot;/&gt;&lt;wsp:rsid wsp:val=&quot;004503B7&quot;/&gt;&lt;wsp:rsid wsp:val=&quot;004507FB&quot;/&gt;&lt;wsp:rsid wsp:val=&quot;00450D2D&quot;/&gt;&lt;wsp:rsid wsp:val=&quot;004516D6&quot;/&gt;&lt;wsp:rsid wsp:val=&quot;00452282&quot;/&gt;&lt;wsp:rsid wsp:val=&quot;004527AD&quot;/&gt;&lt;wsp:rsid wsp:val=&quot;00453A26&quot;/&gt;&lt;wsp:rsid wsp:val=&quot;00453C43&quot;/&gt;&lt;wsp:rsid wsp:val=&quot;00453C71&quot;/&gt;&lt;wsp:rsid wsp:val=&quot;0045548F&quot;/&gt;&lt;wsp:rsid wsp:val=&quot;00455B4B&quot;/&gt;&lt;wsp:rsid wsp:val=&quot;00455BF1&quot;/&gt;&lt;wsp:rsid wsp:val=&quot;0045651C&quot;/&gt;&lt;wsp:rsid wsp:val=&quot;004572D1&quot;/&gt;&lt;wsp:rsid wsp:val=&quot;00457765&quot;/&gt;&lt;wsp:rsid wsp:val=&quot;00457A05&quot;/&gt;&lt;wsp:rsid wsp:val=&quot;00460203&quot;/&gt;&lt;wsp:rsid wsp:val=&quot;0046046B&quot;/&gt;&lt;wsp:rsid wsp:val=&quot;004610EB&quot;/&gt;&lt;wsp:rsid wsp:val=&quot;004621C0&quot;/&gt;&lt;wsp:rsid wsp:val=&quot;00463AA0&quot;/&gt;&lt;wsp:rsid wsp:val=&quot;004640A8&quot;/&gt;&lt;wsp:rsid wsp:val=&quot;004643BF&quot;/&gt;&lt;wsp:rsid wsp:val=&quot;00464886&quot;/&gt;&lt;wsp:rsid wsp:val=&quot;00464E37&quot;/&gt;&lt;wsp:rsid wsp:val=&quot;004654DA&quot;/&gt;&lt;wsp:rsid wsp:val=&quot;00465E2A&quot;/&gt;&lt;wsp:rsid wsp:val=&quot;00465EAC&quot;/&gt;&lt;wsp:rsid wsp:val=&quot;0046688C&quot;/&gt;&lt;wsp:rsid wsp:val=&quot;00467F9B&quot;/&gt;&lt;wsp:rsid wsp:val=&quot;00470001&quot;/&gt;&lt;wsp:rsid wsp:val=&quot;0047000A&quot;/&gt;&lt;wsp:rsid wsp:val=&quot;00470D82&quot;/&gt;&lt;wsp:rsid wsp:val=&quot;00471D15&quot;/&gt;&lt;wsp:rsid wsp:val=&quot;004730AE&quot;/&gt;&lt;wsp:rsid wsp:val=&quot;00473869&quot;/&gt;&lt;wsp:rsid wsp:val=&quot;00474823&quot;/&gt;&lt;wsp:rsid wsp:val=&quot;004753F8&quot;/&gt;&lt;wsp:rsid wsp:val=&quot;004757BA&quot;/&gt;&lt;wsp:rsid wsp:val=&quot;00476977&quot;/&gt;&lt;wsp:rsid wsp:val=&quot;00476C1F&quot;/&gt;&lt;wsp:rsid wsp:val=&quot;00476D4A&quot;/&gt;&lt;wsp:rsid wsp:val=&quot;00480255&quot;/&gt;&lt;wsp:rsid wsp:val=&quot;00481074&quot;/&gt;&lt;wsp:rsid wsp:val=&quot;00481A3A&quot;/&gt;&lt;wsp:rsid wsp:val=&quot;00481ED9&quot;/&gt;&lt;wsp:rsid wsp:val=&quot;004826A5&quot;/&gt;&lt;wsp:rsid wsp:val=&quot;00482DE6&quot;/&gt;&lt;wsp:rsid wsp:val=&quot;0048352E&quot;/&gt;&lt;wsp:rsid wsp:val=&quot;004838CF&quot;/&gt;&lt;wsp:rsid wsp:val=&quot;0048511C&quot;/&gt;&lt;wsp:rsid wsp:val=&quot;00485275&quot;/&gt;&lt;wsp:rsid wsp:val=&quot;00485381&quot;/&gt;&lt;wsp:rsid wsp:val=&quot;0048555D&quot;/&gt;&lt;wsp:rsid wsp:val=&quot;00485744&quot;/&gt;&lt;wsp:rsid wsp:val=&quot;00486A23&quot;/&gt;&lt;wsp:rsid wsp:val=&quot;00487118&quot;/&gt;&lt;wsp:rsid wsp:val=&quot;0048749B&quot;/&gt;&lt;wsp:rsid wsp:val=&quot;004879CC&quot;/&gt;&lt;wsp:rsid wsp:val=&quot;00487CE4&quot;/&gt;&lt;wsp:rsid wsp:val=&quot;00487ED8&quot;/&gt;&lt;wsp:rsid wsp:val=&quot;00490D9A&quot;/&gt;&lt;wsp:rsid wsp:val=&quot;00491389&quot;/&gt;&lt;wsp:rsid wsp:val=&quot;00492032&quot;/&gt;&lt;wsp:rsid wsp:val=&quot;004928EC&quot;/&gt;&lt;wsp:rsid wsp:val=&quot;00492C4B&quot;/&gt;&lt;wsp:rsid wsp:val=&quot;004934EC&quot;/&gt;&lt;wsp:rsid wsp:val=&quot;00493F49&quot;/&gt;&lt;wsp:rsid wsp:val=&quot;00494993&quot;/&gt;&lt;wsp:rsid wsp:val=&quot;00494A88&quot;/&gt;&lt;wsp:rsid wsp:val=&quot;00494BA2&quot;/&gt;&lt;wsp:rsid wsp:val=&quot;004952E4&quot;/&gt;&lt;wsp:rsid wsp:val=&quot;004953DA&quot;/&gt;&lt;wsp:rsid wsp:val=&quot;00495921&quot;/&gt;&lt;wsp:rsid wsp:val=&quot;0049620F&quot;/&gt;&lt;wsp:rsid wsp:val=&quot;004962B5&quot;/&gt;&lt;wsp:rsid wsp:val=&quot;00497F5E&quot;/&gt;&lt;wsp:rsid wsp:val=&quot;004A02B6&quot;/&gt;&lt;wsp:rsid wsp:val=&quot;004A0809&quot;/&gt;&lt;wsp:rsid wsp:val=&quot;004A0CB0&quot;/&gt;&lt;wsp:rsid wsp:val=&quot;004A0FD0&quot;/&gt;&lt;wsp:rsid wsp:val=&quot;004A1A8D&quot;/&gt;&lt;wsp:rsid wsp:val=&quot;004A1DDF&quot;/&gt;&lt;wsp:rsid wsp:val=&quot;004A1E3D&quot;/&gt;&lt;wsp:rsid wsp:val=&quot;004A21CE&quot;/&gt;&lt;wsp:rsid wsp:val=&quot;004A2C56&quot;/&gt;&lt;wsp:rsid wsp:val=&quot;004A30C0&quot;/&gt;&lt;wsp:rsid wsp:val=&quot;004A3805&quot;/&gt;&lt;wsp:rsid wsp:val=&quot;004A4423&quot;/&gt;&lt;wsp:rsid wsp:val=&quot;004A4751&quot;/&gt;&lt;wsp:rsid wsp:val=&quot;004A4FFE&quot;/&gt;&lt;wsp:rsid wsp:val=&quot;004A6382&quot;/&gt;&lt;wsp:rsid wsp:val=&quot;004A7E9A&quot;/&gt;&lt;wsp:rsid wsp:val=&quot;004B0014&quot;/&gt;&lt;wsp:rsid wsp:val=&quot;004B132C&quot;/&gt;&lt;wsp:rsid wsp:val=&quot;004B14AC&quot;/&gt;&lt;wsp:rsid wsp:val=&quot;004B2240&quot;/&gt;&lt;wsp:rsid wsp:val=&quot;004B2291&quot;/&gt;&lt;wsp:rsid wsp:val=&quot;004B34B0&quot;/&gt;&lt;wsp:rsid wsp:val=&quot;004B3B5A&quot;/&gt;&lt;wsp:rsid wsp:val=&quot;004B3D21&quot;/&gt;&lt;wsp:rsid wsp:val=&quot;004B41F4&quot;/&gt;&lt;wsp:rsid wsp:val=&quot;004B4FC7&quot;/&gt;&lt;wsp:rsid wsp:val=&quot;004B53C9&quot;/&gt;&lt;wsp:rsid wsp:val=&quot;004B54A6&quot;/&gt;&lt;wsp:rsid wsp:val=&quot;004B598E&quot;/&gt;&lt;wsp:rsid wsp:val=&quot;004B65ED&quot;/&gt;&lt;wsp:rsid wsp:val=&quot;004B6A51&quot;/&gt;&lt;wsp:rsid wsp:val=&quot;004C0B08&quot;/&gt;&lt;wsp:rsid wsp:val=&quot;004C1385&quot;/&gt;&lt;wsp:rsid wsp:val=&quot;004C1686&quot;/&gt;&lt;wsp:rsid wsp:val=&quot;004C1AF7&quot;/&gt;&lt;wsp:rsid wsp:val=&quot;004C2252&quot;/&gt;&lt;wsp:rsid wsp:val=&quot;004C3CED&quot;/&gt;&lt;wsp:rsid wsp:val=&quot;004C4061&quot;/&gt;&lt;wsp:rsid wsp:val=&quot;004C52D4&quot;/&gt;&lt;wsp:rsid wsp:val=&quot;004C55B6&quot;/&gt;&lt;wsp:rsid wsp:val=&quot;004C59FB&quot;/&gt;&lt;wsp:rsid wsp:val=&quot;004C5B09&quot;/&gt;&lt;wsp:rsid wsp:val=&quot;004C5C1F&quot;/&gt;&lt;wsp:rsid wsp:val=&quot;004C6644&quot;/&gt;&lt;wsp:rsid wsp:val=&quot;004C690E&quot;/&gt;&lt;wsp:rsid wsp:val=&quot;004C6CC6&quot;/&gt;&lt;wsp:rsid wsp:val=&quot;004C747D&quot;/&gt;&lt;wsp:rsid wsp:val=&quot;004C7792&quot;/&gt;&lt;wsp:rsid wsp:val=&quot;004C7CAB&quot;/&gt;&lt;wsp:rsid wsp:val=&quot;004D03D3&quot;/&gt;&lt;wsp:rsid wsp:val=&quot;004D0509&quot;/&gt;&lt;wsp:rsid wsp:val=&quot;004D1305&quot;/&gt;&lt;wsp:rsid wsp:val=&quot;004D1E68&quot;/&gt;&lt;wsp:rsid wsp:val=&quot;004D2966&quot;/&gt;&lt;wsp:rsid wsp:val=&quot;004D2B2B&quot;/&gt;&lt;wsp:rsid wsp:val=&quot;004D3489&quot;/&gt;&lt;wsp:rsid wsp:val=&quot;004D39F9&quot;/&gt;&lt;wsp:rsid wsp:val=&quot;004D455C&quot;/&gt;&lt;wsp:rsid wsp:val=&quot;004D479D&quot;/&gt;&lt;wsp:rsid wsp:val=&quot;004D4FE4&quot;/&gt;&lt;wsp:rsid wsp:val=&quot;004D52C1&quot;/&gt;&lt;wsp:rsid wsp:val=&quot;004D577A&quot;/&gt;&lt;wsp:rsid wsp:val=&quot;004D6282&quot;/&gt;&lt;wsp:rsid wsp:val=&quot;004D7101&quot;/&gt;&lt;wsp:rsid wsp:val=&quot;004D7304&quot;/&gt;&lt;wsp:rsid wsp:val=&quot;004D7473&quot;/&gt;&lt;wsp:rsid wsp:val=&quot;004E0A51&quot;/&gt;&lt;wsp:rsid wsp:val=&quot;004E0F2F&quot;/&gt;&lt;wsp:rsid wsp:val=&quot;004E126A&quot;/&gt;&lt;wsp:rsid wsp:val=&quot;004E1E95&quot;/&gt;&lt;wsp:rsid wsp:val=&quot;004E21B1&quot;/&gt;&lt;wsp:rsid wsp:val=&quot;004E28CF&quot;/&gt;&lt;wsp:rsid wsp:val=&quot;004E3644&quot;/&gt;&lt;wsp:rsid wsp:val=&quot;004E3679&quot;/&gt;&lt;wsp:rsid wsp:val=&quot;004E3920&quot;/&gt;&lt;wsp:rsid wsp:val=&quot;004E3E8A&quot;/&gt;&lt;wsp:rsid wsp:val=&quot;004E45D7&quot;/&gt;&lt;wsp:rsid wsp:val=&quot;004E589F&quot;/&gt;&lt;wsp:rsid wsp:val=&quot;004E5B3C&quot;/&gt;&lt;wsp:rsid wsp:val=&quot;004E6360&quot;/&gt;&lt;wsp:rsid wsp:val=&quot;004E6BA9&quot;/&gt;&lt;wsp:rsid wsp:val=&quot;004E6BCD&quot;/&gt;&lt;wsp:rsid wsp:val=&quot;004E720E&quot;/&gt;&lt;wsp:rsid wsp:val=&quot;004E72FC&quot;/&gt;&lt;wsp:rsid wsp:val=&quot;004E7337&quot;/&gt;&lt;wsp:rsid wsp:val=&quot;004E793E&quot;/&gt;&lt;wsp:rsid wsp:val=&quot;004F0556&quot;/&gt;&lt;wsp:rsid wsp:val=&quot;004F0D2B&quot;/&gt;&lt;wsp:rsid wsp:val=&quot;004F27F1&quot;/&gt;&lt;wsp:rsid wsp:val=&quot;004F2BCA&quot;/&gt;&lt;wsp:rsid wsp:val=&quot;004F2D93&quot;/&gt;&lt;wsp:rsid wsp:val=&quot;004F37CE&quot;/&gt;&lt;wsp:rsid wsp:val=&quot;004F3981&quot;/&gt;&lt;wsp:rsid wsp:val=&quot;004F3F8D&quot;/&gt;&lt;wsp:rsid wsp:val=&quot;004F3FCB&quot;/&gt;&lt;wsp:rsid wsp:val=&quot;004F45F2&quot;/&gt;&lt;wsp:rsid wsp:val=&quot;004F4849&quot;/&gt;&lt;wsp:rsid wsp:val=&quot;004F4DB3&quot;/&gt;&lt;wsp:rsid wsp:val=&quot;004F530E&quot;/&gt;&lt;wsp:rsid wsp:val=&quot;004F571A&quot;/&gt;&lt;wsp:rsid wsp:val=&quot;004F5829&quot;/&gt;&lt;wsp:rsid wsp:val=&quot;004F6710&quot;/&gt;&lt;wsp:rsid wsp:val=&quot;004F6D93&quot;/&gt;&lt;wsp:rsid wsp:val=&quot;004F700D&quot;/&gt;&lt;wsp:rsid wsp:val=&quot;004F71FE&quot;/&gt;&lt;wsp:rsid wsp:val=&quot;00500213&quot;/&gt;&lt;wsp:rsid wsp:val=&quot;00500F66&quot;/&gt;&lt;wsp:rsid wsp:val=&quot;005012D5&quot;/&gt;&lt;wsp:rsid wsp:val=&quot;00501736&quot;/&gt;&lt;wsp:rsid wsp:val=&quot;005025E8&quot;/&gt;&lt;wsp:rsid wsp:val=&quot;005027AA&quot;/&gt;&lt;wsp:rsid wsp:val=&quot;00502FBF&quot;/&gt;&lt;wsp:rsid wsp:val=&quot;005037B2&quot;/&gt;&lt;wsp:rsid wsp:val=&quot;005037B6&quot;/&gt;&lt;wsp:rsid wsp:val=&quot;00503901&quot;/&gt;&lt;wsp:rsid wsp:val=&quot;00504A0B&quot;/&gt;&lt;wsp:rsid wsp:val=&quot;005050B6&quot;/&gt;&lt;wsp:rsid wsp:val=&quot;00505303&quot;/&gt;&lt;wsp:rsid wsp:val=&quot;0050542A&quot;/&gt;&lt;wsp:rsid wsp:val=&quot;00505801&quot;/&gt;&lt;wsp:rsid wsp:val=&quot;00505E90&quot;/&gt;&lt;wsp:rsid wsp:val=&quot;00505EC9&quot;/&gt;&lt;wsp:rsid wsp:val=&quot;00506030&quot;/&gt;&lt;wsp:rsid wsp:val=&quot;0050609E&quot;/&gt;&lt;wsp:rsid wsp:val=&quot;0050678F&quot;/&gt;&lt;wsp:rsid wsp:val=&quot;00506F08&quot;/&gt;&lt;wsp:rsid wsp:val=&quot;00507990&quot;/&gt;&lt;wsp:rsid wsp:val=&quot;00507CC7&quot;/&gt;&lt;wsp:rsid wsp:val=&quot;00510395&quot;/&gt;&lt;wsp:rsid wsp:val=&quot;00510912&quot;/&gt;&lt;wsp:rsid wsp:val=&quot;00510C21&quot;/&gt;&lt;wsp:rsid wsp:val=&quot;00510EC7&quot;/&gt;&lt;wsp:rsid wsp:val=&quot;005110BF&quot;/&gt;&lt;wsp:rsid wsp:val=&quot;005119A8&quot;/&gt;&lt;wsp:rsid wsp:val=&quot;005119CF&quot;/&gt;&lt;wsp:rsid wsp:val=&quot;00511A7F&quot;/&gt;&lt;wsp:rsid wsp:val=&quot;00512956&quot;/&gt;&lt;wsp:rsid wsp:val=&quot;00512A86&quot;/&gt;&lt;wsp:rsid wsp:val=&quot;00512D26&quot;/&gt;&lt;wsp:rsid wsp:val=&quot;0051318A&quot;/&gt;&lt;wsp:rsid wsp:val=&quot;00513CDB&quot;/&gt;&lt;wsp:rsid wsp:val=&quot;00513D30&quot;/&gt;&lt;wsp:rsid wsp:val=&quot;00513DE7&quot;/&gt;&lt;wsp:rsid wsp:val=&quot;0051408F&quot;/&gt;&lt;wsp:rsid wsp:val=&quot;00514354&quot;/&gt;&lt;wsp:rsid wsp:val=&quot;0051437C&quot;/&gt;&lt;wsp:rsid wsp:val=&quot;005148B6&quot;/&gt;&lt;wsp:rsid wsp:val=&quot;00514C01&quot;/&gt;&lt;wsp:rsid wsp:val=&quot;00515548&quot;/&gt;&lt;wsp:rsid wsp:val=&quot;00515E44&quot;/&gt;&lt;wsp:rsid wsp:val=&quot;005175D4&quot;/&gt;&lt;wsp:rsid wsp:val=&quot;005208C0&quot;/&gt;&lt;wsp:rsid wsp:val=&quot;00520BAE&quot;/&gt;&lt;wsp:rsid wsp:val=&quot;00520DC1&quot;/&gt;&lt;wsp:rsid wsp:val=&quot;00520EF8&quot;/&gt;&lt;wsp:rsid wsp:val=&quot;00521662&quot;/&gt;&lt;wsp:rsid wsp:val=&quot;00523728&quot;/&gt;&lt;wsp:rsid wsp:val=&quot;00523BA8&quot;/&gt;&lt;wsp:rsid wsp:val=&quot;005247A6&quot;/&gt;&lt;wsp:rsid wsp:val=&quot;00524E3F&quot;/&gt;&lt;wsp:rsid wsp:val=&quot;00525421&quot;/&gt;&lt;wsp:rsid wsp:val=&quot;005257B5&quot;/&gt;&lt;wsp:rsid wsp:val=&quot;005257C6&quot;/&gt;&lt;wsp:rsid wsp:val=&quot;005264A7&quot;/&gt;&lt;wsp:rsid wsp:val=&quot;00526978&quot;/&gt;&lt;wsp:rsid wsp:val=&quot;00526C25&quot;/&gt;&lt;wsp:rsid wsp:val=&quot;0052723C&quot;/&gt;&lt;wsp:rsid wsp:val=&quot;0052742D&quot;/&gt;&lt;wsp:rsid wsp:val=&quot;005279E0&quot;/&gt;&lt;wsp:rsid wsp:val=&quot;00527F46&quot;/&gt;&lt;wsp:rsid wsp:val=&quot;00530344&quot;/&gt;&lt;wsp:rsid wsp:val=&quot;00530A20&quot;/&gt;&lt;wsp:rsid wsp:val=&quot;00531126&quot;/&gt;&lt;wsp:rsid wsp:val=&quot;00531C82&quot;/&gt;&lt;wsp:rsid wsp:val=&quot;00531F82&quot;/&gt;&lt;wsp:rsid wsp:val=&quot;00532408&quot;/&gt;&lt;wsp:rsid wsp:val=&quot;00533520&quot;/&gt;&lt;wsp:rsid wsp:val=&quot;00533876&quot;/&gt;&lt;wsp:rsid wsp:val=&quot;00533F81&quot;/&gt;&lt;wsp:rsid wsp:val=&quot;0053435B&quot;/&gt;&lt;wsp:rsid wsp:val=&quot;005360AC&quot;/&gt;&lt;wsp:rsid wsp:val=&quot;005377DD&quot;/&gt;&lt;wsp:rsid wsp:val=&quot;00540505&quot;/&gt;&lt;wsp:rsid wsp:val=&quot;00540886&quot;/&gt;&lt;wsp:rsid wsp:val=&quot;00540A08&quot;/&gt;&lt;wsp:rsid wsp:val=&quot;00540B65&quot;/&gt;&lt;wsp:rsid wsp:val=&quot;0054127D&quot;/&gt;&lt;wsp:rsid wsp:val=&quot;00541857&quot;/&gt;&lt;wsp:rsid wsp:val=&quot;005419E9&quot;/&gt;&lt;wsp:rsid wsp:val=&quot;0054252B&quot;/&gt;&lt;wsp:rsid wsp:val=&quot;005441A7&quot;/&gt;&lt;wsp:rsid wsp:val=&quot;005441C6&quot;/&gt;&lt;wsp:rsid wsp:val=&quot;0054452E&quot;/&gt;&lt;wsp:rsid wsp:val=&quot;00544CF4&quot;/&gt;&lt;wsp:rsid wsp:val=&quot;005468A3&quot;/&gt;&lt;wsp:rsid wsp:val=&quot;00547640&quot;/&gt;&lt;wsp:rsid wsp:val=&quot;00547881&quot;/&gt;&lt;wsp:rsid wsp:val=&quot;00547A87&quot;/&gt;&lt;wsp:rsid wsp:val=&quot;00547D94&quot;/&gt;&lt;wsp:rsid wsp:val=&quot;00551D27&quot;/&gt;&lt;wsp:rsid wsp:val=&quot;00551DA1&quot;/&gt;&lt;wsp:rsid wsp:val=&quot;005529F4&quot;/&gt;&lt;wsp:rsid wsp:val=&quot;005542C7&quot;/&gt;&lt;wsp:rsid wsp:val=&quot;00554301&quot;/&gt;&lt;wsp:rsid wsp:val=&quot;005549B1&quot;/&gt;&lt;wsp:rsid wsp:val=&quot;0055535C&quot;/&gt;&lt;wsp:rsid wsp:val=&quot;005563B9&quot;/&gt;&lt;wsp:rsid wsp:val=&quot;00556B8B&quot;/&gt;&lt;wsp:rsid wsp:val=&quot;00557BE6&quot;/&gt;&lt;wsp:rsid wsp:val=&quot;005601FD&quot;/&gt;&lt;wsp:rsid wsp:val=&quot;00560335&quot;/&gt;&lt;wsp:rsid wsp:val=&quot;00560685&quot;/&gt;&lt;wsp:rsid wsp:val=&quot;00561226&quot;/&gt;&lt;wsp:rsid wsp:val=&quot;00561BD0&quot;/&gt;&lt;wsp:rsid wsp:val=&quot;005622E8&quot;/&gt;&lt;wsp:rsid wsp:val=&quot;0056246F&quot;/&gt;&lt;wsp:rsid wsp:val=&quot;00562989&quot;/&gt;&lt;wsp:rsid wsp:val=&quot;00563349&quot;/&gt;&lt;wsp:rsid wsp:val=&quot;00563AC1&quot;/&gt;&lt;wsp:rsid wsp:val=&quot;00563B38&quot;/&gt;&lt;wsp:rsid wsp:val=&quot;00564649&quot;/&gt;&lt;wsp:rsid wsp:val=&quot;005651A5&quot;/&gt;&lt;wsp:rsid wsp:val=&quot;00565E04&quot;/&gt;&lt;wsp:rsid wsp:val=&quot;00565FDE&quot;/&gt;&lt;wsp:rsid wsp:val=&quot;005669D8&quot;/&gt;&lt;wsp:rsid wsp:val=&quot;00566C51&quot;/&gt;&lt;wsp:rsid wsp:val=&quot;00567619&quot;/&gt;&lt;wsp:rsid wsp:val=&quot;00570A40&quot;/&gt;&lt;wsp:rsid wsp:val=&quot;00570F51&quot;/&gt;&lt;wsp:rsid wsp:val=&quot;005710DE&quot;/&gt;&lt;wsp:rsid wsp:val=&quot;00571695&quot;/&gt;&lt;wsp:rsid wsp:val=&quot;00571F6A&quot;/&gt;&lt;wsp:rsid wsp:val=&quot;005724E0&quot;/&gt;&lt;wsp:rsid wsp:val=&quot;00573D4A&quot;/&gt;&lt;wsp:rsid wsp:val=&quot;00574BAC&quot;/&gt;&lt;wsp:rsid wsp:val=&quot;00575305&quot;/&gt;&lt;wsp:rsid wsp:val=&quot;00575511&quot;/&gt;&lt;wsp:rsid wsp:val=&quot;005768CB&quot;/&gt;&lt;wsp:rsid wsp:val=&quot;00576D81&quot;/&gt;&lt;wsp:rsid wsp:val=&quot;005773FB&quot;/&gt;&lt;wsp:rsid wsp:val=&quot;00580BF3&quot;/&gt;&lt;wsp:rsid wsp:val=&quot;00581571&quot;/&gt;&lt;wsp:rsid wsp:val=&quot;00581913&quot;/&gt;&lt;wsp:rsid wsp:val=&quot;005829C2&quot;/&gt;&lt;wsp:rsid wsp:val=&quot;00582ABF&quot;/&gt;&lt;wsp:rsid wsp:val=&quot;00582DF8&quot;/&gt;&lt;wsp:rsid wsp:val=&quot;00582EBB&quot;/&gt;&lt;wsp:rsid wsp:val=&quot;00582EFE&quot;/&gt;&lt;wsp:rsid wsp:val=&quot;00583332&quot;/&gt;&lt;wsp:rsid wsp:val=&quot;00584167&quot;/&gt;&lt;wsp:rsid wsp:val=&quot;00584471&quot;/&gt;&lt;wsp:rsid wsp:val=&quot;005844FD&quot;/&gt;&lt;wsp:rsid wsp:val=&quot;00584598&quot;/&gt;&lt;wsp:rsid wsp:val=&quot;00585225&quot;/&gt;&lt;wsp:rsid wsp:val=&quot;005854A3&quot;/&gt;&lt;wsp:rsid wsp:val=&quot;00585BAC&quot;/&gt;&lt;wsp:rsid wsp:val=&quot;00585C7C&quot;/&gt;&lt;wsp:rsid wsp:val=&quot;00585F2D&quot;/&gt;&lt;wsp:rsid wsp:val=&quot;0058689C&quot;/&gt;&lt;wsp:rsid wsp:val=&quot;00586D0D&quot;/&gt;&lt;wsp:rsid wsp:val=&quot;005876E1&quot;/&gt;&lt;wsp:rsid wsp:val=&quot;00587945&quot;/&gt;&lt;wsp:rsid wsp:val=&quot;00590AB1&quot;/&gt;&lt;wsp:rsid wsp:val=&quot;00590D3C&quot;/&gt;&lt;wsp:rsid wsp:val=&quot;00591373&quot;/&gt;&lt;wsp:rsid wsp:val=&quot;0059187F&quot;/&gt;&lt;wsp:rsid wsp:val=&quot;005924A9&quot;/&gt;&lt;wsp:rsid wsp:val=&quot;0059252B&quot;/&gt;&lt;wsp:rsid wsp:val=&quot;00592582&quot;/&gt;&lt;wsp:rsid wsp:val=&quot;00593D06&quot;/&gt;&lt;wsp:rsid wsp:val=&quot;00593D3F&quot;/&gt;&lt;wsp:rsid wsp:val=&quot;00594021&quot;/&gt;&lt;wsp:rsid wsp:val=&quot;00594081&quot;/&gt;&lt;wsp:rsid wsp:val=&quot;005946C4&quot;/&gt;&lt;wsp:rsid wsp:val=&quot;00594D49&quot;/&gt;&lt;wsp:rsid wsp:val=&quot;00595150&quot;/&gt;&lt;wsp:rsid wsp:val=&quot;0059523F&quot;/&gt;&lt;wsp:rsid wsp:val=&quot;005956F3&quot;/&gt;&lt;wsp:rsid wsp:val=&quot;00596FFC&quot;/&gt;&lt;wsp:rsid wsp:val=&quot;005A0413&quot;/&gt;&lt;wsp:rsid wsp:val=&quot;005A0B44&quot;/&gt;&lt;wsp:rsid wsp:val=&quot;005A1783&quot;/&gt;&lt;wsp:rsid wsp:val=&quot;005A1936&quot;/&gt;&lt;wsp:rsid wsp:val=&quot;005A1E12&quot;/&gt;&lt;wsp:rsid wsp:val=&quot;005A26CB&quot;/&gt;&lt;wsp:rsid wsp:val=&quot;005A3FA4&quot;/&gt;&lt;wsp:rsid wsp:val=&quot;005A4A47&quot;/&gt;&lt;wsp:rsid wsp:val=&quot;005A4F42&quot;/&gt;&lt;wsp:rsid wsp:val=&quot;005A544A&quot;/&gt;&lt;wsp:rsid wsp:val=&quot;005A62E2&quot;/&gt;&lt;wsp:rsid wsp:val=&quot;005A6320&quot;/&gt;&lt;wsp:rsid wsp:val=&quot;005A646E&quot;/&gt;&lt;wsp:rsid wsp:val=&quot;005A64E8&quot;/&gt;&lt;wsp:rsid wsp:val=&quot;005A67B8&quot;/&gt;&lt;wsp:rsid wsp:val=&quot;005A6BE7&quot;/&gt;&lt;wsp:rsid wsp:val=&quot;005A78E1&quot;/&gt;&lt;wsp:rsid wsp:val=&quot;005B00C1&quot;/&gt;&lt;wsp:rsid wsp:val=&quot;005B015C&quot;/&gt;&lt;wsp:rsid wsp:val=&quot;005B0D3D&quot;/&gt;&lt;wsp:rsid wsp:val=&quot;005B0FEB&quot;/&gt;&lt;wsp:rsid wsp:val=&quot;005B11CC&quot;/&gt;&lt;wsp:rsid wsp:val=&quot;005B1217&quot;/&gt;&lt;wsp:rsid wsp:val=&quot;005B1497&quot;/&gt;&lt;wsp:rsid wsp:val=&quot;005B191D&quot;/&gt;&lt;wsp:rsid wsp:val=&quot;005B1D86&quot;/&gt;&lt;wsp:rsid wsp:val=&quot;005B3F57&quot;/&gt;&lt;wsp:rsid wsp:val=&quot;005B4370&quot;/&gt;&lt;wsp:rsid wsp:val=&quot;005B43B0&quot;/&gt;&lt;wsp:rsid wsp:val=&quot;005B4ECC&quot;/&gt;&lt;wsp:rsid wsp:val=&quot;005B537E&quot;/&gt;&lt;wsp:rsid wsp:val=&quot;005B59D0&quot;/&gt;&lt;wsp:rsid wsp:val=&quot;005B6E59&quot;/&gt;&lt;wsp:rsid wsp:val=&quot;005C0AE0&quot;/&gt;&lt;wsp:rsid wsp:val=&quot;005C2202&quot;/&gt;&lt;wsp:rsid wsp:val=&quot;005C26B6&quot;/&gt;&lt;wsp:rsid wsp:val=&quot;005C2BA1&quot;/&gt;&lt;wsp:rsid wsp:val=&quot;005C2FC6&quot;/&gt;&lt;wsp:rsid wsp:val=&quot;005C3AF6&quot;/&gt;&lt;wsp:rsid wsp:val=&quot;005C45E7&quot;/&gt;&lt;wsp:rsid wsp:val=&quot;005C4671&quot;/&gt;&lt;wsp:rsid wsp:val=&quot;005C58EB&quot;/&gt;&lt;wsp:rsid wsp:val=&quot;005C5F21&quot;/&gt;&lt;wsp:rsid wsp:val=&quot;005C62D4&quot;/&gt;&lt;wsp:rsid wsp:val=&quot;005C6B6F&quot;/&gt;&lt;wsp:rsid wsp:val=&quot;005C6F01&quot;/&gt;&lt;wsp:rsid wsp:val=&quot;005C7239&quot;/&gt;&lt;wsp:rsid wsp:val=&quot;005C75B2&quot;/&gt;&lt;wsp:rsid wsp:val=&quot;005C784A&quot;/&gt;&lt;wsp:rsid wsp:val=&quot;005D00C1&quot;/&gt;&lt;wsp:rsid wsp:val=&quot;005D19DF&quot;/&gt;&lt;wsp:rsid wsp:val=&quot;005D1F57&quot;/&gt;&lt;wsp:rsid wsp:val=&quot;005D2C03&quot;/&gt;&lt;wsp:rsid wsp:val=&quot;005D3562&quot;/&gt;&lt;wsp:rsid wsp:val=&quot;005D38C7&quot;/&gt;&lt;wsp:rsid wsp:val=&quot;005D3B89&quot;/&gt;&lt;wsp:rsid wsp:val=&quot;005D3C8A&quot;/&gt;&lt;wsp:rsid wsp:val=&quot;005D661F&quot;/&gt;&lt;wsp:rsid wsp:val=&quot;005D6943&quot;/&gt;&lt;wsp:rsid wsp:val=&quot;005E024F&quot;/&gt;&lt;wsp:rsid wsp:val=&quot;005E04A3&quot;/&gt;&lt;wsp:rsid wsp:val=&quot;005E0F8D&quot;/&gt;&lt;wsp:rsid wsp:val=&quot;005E18B1&quot;/&gt;&lt;wsp:rsid wsp:val=&quot;005E1E85&quot;/&gt;&lt;wsp:rsid wsp:val=&quot;005E2560&quot;/&gt;&lt;wsp:rsid wsp:val=&quot;005E2D39&quot;/&gt;&lt;wsp:rsid wsp:val=&quot;005E3012&quot;/&gt;&lt;wsp:rsid wsp:val=&quot;005E3CFE&quot;/&gt;&lt;wsp:rsid wsp:val=&quot;005E45DE&quot;/&gt;&lt;wsp:rsid wsp:val=&quot;005E4966&quot;/&gt;&lt;wsp:rsid wsp:val=&quot;005E516D&quot;/&gt;&lt;wsp:rsid wsp:val=&quot;005E559F&quot;/&gt;&lt;wsp:rsid wsp:val=&quot;005E593B&quot;/&gt;&lt;wsp:rsid wsp:val=&quot;005E6153&quot;/&gt;&lt;wsp:rsid wsp:val=&quot;005E61CF&quot;/&gt;&lt;wsp:rsid wsp:val=&quot;005E6AEC&quot;/&gt;&lt;wsp:rsid wsp:val=&quot;005E6C7A&quot;/&gt;&lt;wsp:rsid wsp:val=&quot;005F0474&quot;/&gt;&lt;wsp:rsid wsp:val=&quot;005F1795&quot;/&gt;&lt;wsp:rsid wsp:val=&quot;005F1C13&quot;/&gt;&lt;wsp:rsid wsp:val=&quot;005F1F5A&quot;/&gt;&lt;wsp:rsid wsp:val=&quot;005F2824&quot;/&gt;&lt;wsp:rsid wsp:val=&quot;005F384F&quot;/&gt;&lt;wsp:rsid wsp:val=&quot;005F49C1&quot;/&gt;&lt;wsp:rsid wsp:val=&quot;005F4B16&quot;/&gt;&lt;wsp:rsid wsp:val=&quot;005F4EF7&quot;/&gt;&lt;wsp:rsid wsp:val=&quot;005F559F&quot;/&gt;&lt;wsp:rsid wsp:val=&quot;005F564D&quot;/&gt;&lt;wsp:rsid wsp:val=&quot;005F5AD5&quot;/&gt;&lt;wsp:rsid wsp:val=&quot;005F61F3&quot;/&gt;&lt;wsp:rsid wsp:val=&quot;005F7C89&quot;/&gt;&lt;wsp:rsid wsp:val=&quot;0060018C&quot;/&gt;&lt;wsp:rsid wsp:val=&quot;006004A9&quot;/&gt;&lt;wsp:rsid wsp:val=&quot;006009C1&quot;/&gt;&lt;wsp:rsid wsp:val=&quot;00600EE8&quot;/&gt;&lt;wsp:rsid wsp:val=&quot;00601655&quot;/&gt;&lt;wsp:rsid wsp:val=&quot;006021B0&quot;/&gt;&lt;wsp:rsid wsp:val=&quot;00602205&quot;/&gt;&lt;wsp:rsid wsp:val=&quot;006052CC&quot;/&gt;&lt;wsp:rsid wsp:val=&quot;006055F5&quot;/&gt;&lt;wsp:rsid wsp:val=&quot;0060605D&quot;/&gt;&lt;wsp:rsid wsp:val=&quot;00606128&quot;/&gt;&lt;wsp:rsid wsp:val=&quot;006065CF&quot;/&gt;&lt;wsp:rsid wsp:val=&quot;00606750&quot;/&gt;&lt;wsp:rsid wsp:val=&quot;0060759B&quot;/&gt;&lt;wsp:rsid wsp:val=&quot;006078D1&quot;/&gt;&lt;wsp:rsid wsp:val=&quot;00607DB3&quot;/&gt;&lt;wsp:rsid wsp:val=&quot;00610288&quot;/&gt;&lt;wsp:rsid wsp:val=&quot;006114B5&quot;/&gt;&lt;wsp:rsid wsp:val=&quot;00611A35&quot;/&gt;&lt;wsp:rsid wsp:val=&quot;00611B99&quot;/&gt;&lt;wsp:rsid wsp:val=&quot;00611C24&quot;/&gt;&lt;wsp:rsid wsp:val=&quot;00611E74&quot;/&gt;&lt;wsp:rsid wsp:val=&quot;00613E49&quot;/&gt;&lt;wsp:rsid wsp:val=&quot;00613EE3&quot;/&gt;&lt;wsp:rsid wsp:val=&quot;006155F5&quot;/&gt;&lt;wsp:rsid wsp:val=&quot;00615607&quot;/&gt;&lt;wsp:rsid wsp:val=&quot;00615A14&quot;/&gt;&lt;wsp:rsid wsp:val=&quot;006160B1&quot;/&gt;&lt;wsp:rsid wsp:val=&quot;006160B3&quot;/&gt;&lt;wsp:rsid wsp:val=&quot;00616E66&quot;/&gt;&lt;wsp:rsid wsp:val=&quot;00617735&quot;/&gt;&lt;wsp:rsid wsp:val=&quot;0061788E&quot;/&gt;&lt;wsp:rsid wsp:val=&quot;00621515&quot;/&gt;&lt;wsp:rsid wsp:val=&quot;006219E6&quot;/&gt;&lt;wsp:rsid wsp:val=&quot;0062217D&quot;/&gt;&lt;wsp:rsid wsp:val=&quot;00622304&quot;/&gt;&lt;wsp:rsid wsp:val=&quot;006225FC&quot;/&gt;&lt;wsp:rsid wsp:val=&quot;00623469&quot;/&gt;&lt;wsp:rsid wsp:val=&quot;006238A2&quot;/&gt;&lt;wsp:rsid wsp:val=&quot;00623BDD&quot;/&gt;&lt;wsp:rsid wsp:val=&quot;00624591&quot;/&gt;&lt;wsp:rsid wsp:val=&quot;00624D36&quot;/&gt;&lt;wsp:rsid wsp:val=&quot;00624EEC&quot;/&gt;&lt;wsp:rsid wsp:val=&quot;00625DE4&quot;/&gt;&lt;wsp:rsid wsp:val=&quot;00626E7A&quot;/&gt;&lt;wsp:rsid wsp:val=&quot;00627333&quot;/&gt;&lt;wsp:rsid wsp:val=&quot;006274FF&quot;/&gt;&lt;wsp:rsid wsp:val=&quot;00627AD0&quot;/&gt;&lt;wsp:rsid wsp:val=&quot;00627D0C&quot;/&gt;&lt;wsp:rsid wsp:val=&quot;00630353&quot;/&gt;&lt;wsp:rsid wsp:val=&quot;0063074C&quot;/&gt;&lt;wsp:rsid wsp:val=&quot;0063080C&quot;/&gt;&lt;wsp:rsid wsp:val=&quot;00630AB7&quot;/&gt;&lt;wsp:rsid wsp:val=&quot;00631B0E&quot;/&gt;&lt;wsp:rsid wsp:val=&quot;0063224B&quot;/&gt;&lt;wsp:rsid wsp:val=&quot;00632881&quot;/&gt;&lt;wsp:rsid wsp:val=&quot;006328B5&quot;/&gt;&lt;wsp:rsid wsp:val=&quot;00633247&quot;/&gt;&lt;wsp:rsid wsp:val=&quot;00633423&quot;/&gt;&lt;wsp:rsid wsp:val=&quot;0063360A&quot;/&gt;&lt;wsp:rsid wsp:val=&quot;006339F5&quot;/&gt;&lt;wsp:rsid wsp:val=&quot;00633F98&quot;/&gt;&lt;wsp:rsid wsp:val=&quot;00634488&quot;/&gt;&lt;wsp:rsid wsp:val=&quot;00634F95&quot;/&gt;&lt;wsp:rsid wsp:val=&quot;0063588B&quot;/&gt;&lt;wsp:rsid wsp:val=&quot;00637BD4&quot;/&gt;&lt;wsp:rsid wsp:val=&quot;00640055&quot;/&gt;&lt;wsp:rsid wsp:val=&quot;006401BB&quot;/&gt;&lt;wsp:rsid wsp:val=&quot;006414FB&quot;/&gt;&lt;wsp:rsid wsp:val=&quot;00641965&quot;/&gt;&lt;wsp:rsid wsp:val=&quot;00641DE7&quot;/&gt;&lt;wsp:rsid wsp:val=&quot;006429C6&quot;/&gt;&lt;wsp:rsid wsp:val=&quot;00642C2A&quot;/&gt;&lt;wsp:rsid wsp:val=&quot;00642E4F&quot;/&gt;&lt;wsp:rsid wsp:val=&quot;00642FF9&quot;/&gt;&lt;wsp:rsid wsp:val=&quot;0064331E&quot;/&gt;&lt;wsp:rsid wsp:val=&quot;00643A0D&quot;/&gt;&lt;wsp:rsid wsp:val=&quot;00643A25&quot;/&gt;&lt;wsp:rsid wsp:val=&quot;00643DEC&quot;/&gt;&lt;wsp:rsid wsp:val=&quot;006445BE&quot;/&gt;&lt;wsp:rsid wsp:val=&quot;0064494B&quot;/&gt;&lt;wsp:rsid wsp:val=&quot;00644F50&quot;/&gt;&lt;wsp:rsid wsp:val=&quot;0064510F&quot;/&gt;&lt;wsp:rsid wsp:val=&quot;00645ADC&quot;/&gt;&lt;wsp:rsid wsp:val=&quot;00645E56&quot;/&gt;&lt;wsp:rsid wsp:val=&quot;0064642C&quot;/&gt;&lt;wsp:rsid wsp:val=&quot;00646840&quot;/&gt;&lt;wsp:rsid wsp:val=&quot;00646874&quot;/&gt;&lt;wsp:rsid wsp:val=&quot;00646CC0&quot;/&gt;&lt;wsp:rsid wsp:val=&quot;00647292&quot;/&gt;&lt;wsp:rsid wsp:val=&quot;006479E3&quot;/&gt;&lt;wsp:rsid wsp:val=&quot;00647D5B&quot;/&gt;&lt;wsp:rsid wsp:val=&quot;006500C3&quot;/&gt;&lt;wsp:rsid wsp:val=&quot;00650247&quot;/&gt;&lt;wsp:rsid wsp:val=&quot;00650688&quot;/&gt;&lt;wsp:rsid wsp:val=&quot;00650EDD&quot;/&gt;&lt;wsp:rsid wsp:val=&quot;00651D3F&quot;/&gt;&lt;wsp:rsid wsp:val=&quot;006523FC&quot;/&gt;&lt;wsp:rsid wsp:val=&quot;00652A55&quot;/&gt;&lt;wsp:rsid wsp:val=&quot;00652FF6&quot;/&gt;&lt;wsp:rsid wsp:val=&quot;00653012&quot;/&gt;&lt;wsp:rsid wsp:val=&quot;00653E10&quot;/&gt;&lt;wsp:rsid wsp:val=&quot;006543B1&quot;/&gt;&lt;wsp:rsid wsp:val=&quot;00654DA3&quot;/&gt;&lt;wsp:rsid wsp:val=&quot;00655260&quot;/&gt;&lt;wsp:rsid wsp:val=&quot;00656205&quot;/&gt;&lt;wsp:rsid wsp:val=&quot;00660341&quot;/&gt;&lt;wsp:rsid wsp:val=&quot;00660B0B&quot;/&gt;&lt;wsp:rsid wsp:val=&quot;00660CB9&quot;/&gt;&lt;wsp:rsid wsp:val=&quot;0066153A&quot;/&gt;&lt;wsp:rsid wsp:val=&quot;00661B67&quot;/&gt;&lt;wsp:rsid wsp:val=&quot;00661DC9&quot;/&gt;&lt;wsp:rsid wsp:val=&quot;006622A3&quot;/&gt;&lt;wsp:rsid wsp:val=&quot;006628CF&quot;/&gt;&lt;wsp:rsid wsp:val=&quot;00662AF8&quot;/&gt;&lt;wsp:rsid wsp:val=&quot;006639B6&quot;/&gt;&lt;wsp:rsid wsp:val=&quot;00663B90&quot;/&gt;&lt;wsp:rsid wsp:val=&quot;00663BE5&quot;/&gt;&lt;wsp:rsid wsp:val=&quot;00663C99&quot;/&gt;&lt;wsp:rsid wsp:val=&quot;006643BE&quot;/&gt;&lt;wsp:rsid wsp:val=&quot;00665201&quot;/&gt;&lt;wsp:rsid wsp:val=&quot;006652B1&quot;/&gt;&lt;wsp:rsid wsp:val=&quot;00665AEC&quot;/&gt;&lt;wsp:rsid wsp:val=&quot;00666320&quot;/&gt;&lt;wsp:rsid wsp:val=&quot;0066638E&quot;/&gt;&lt;wsp:rsid wsp:val=&quot;00666ED1&quot;/&gt;&lt;wsp:rsid wsp:val=&quot;0066726F&quot;/&gt;&lt;wsp:rsid wsp:val=&quot;006678F6&quot;/&gt;&lt;wsp:rsid wsp:val=&quot;006701FA&quot;/&gt;&lt;wsp:rsid wsp:val=&quot;00670A85&quot;/&gt;&lt;wsp:rsid wsp:val=&quot;00671BFA&quot;/&gt;&lt;wsp:rsid wsp:val=&quot;006720CE&quot;/&gt;&lt;wsp:rsid wsp:val=&quot;0067247E&quot;/&gt;&lt;wsp:rsid wsp:val=&quot;00672521&quot;/&gt;&lt;wsp:rsid wsp:val=&quot;00672600&quot;/&gt;&lt;wsp:rsid wsp:val=&quot;00672805&quot;/&gt;&lt;wsp:rsid wsp:val=&quot;006730E3&quot;/&gt;&lt;wsp:rsid wsp:val=&quot;00674802&quot;/&gt;&lt;wsp:rsid wsp:val=&quot;00674FA2&quot;/&gt;&lt;wsp:rsid wsp:val=&quot;00675DBF&quot;/&gt;&lt;wsp:rsid wsp:val=&quot;006760B5&quot;/&gt;&lt;wsp:rsid wsp:val=&quot;0067623B&quot;/&gt;&lt;wsp:rsid wsp:val=&quot;0067667A&quot;/&gt;&lt;wsp:rsid wsp:val=&quot;006769D6&quot;/&gt;&lt;wsp:rsid wsp:val=&quot;006770A8&quot;/&gt;&lt;wsp:rsid wsp:val=&quot;00677AC6&quot;/&gt;&lt;wsp:rsid wsp:val=&quot;00680D82&quot;/&gt;&lt;wsp:rsid wsp:val=&quot;00680FB9&quot;/&gt;&lt;wsp:rsid wsp:val=&quot;00682414&quot;/&gt;&lt;wsp:rsid wsp:val=&quot;0068296F&quot;/&gt;&lt;wsp:rsid wsp:val=&quot;00683044&quot;/&gt;&lt;wsp:rsid wsp:val=&quot;00684189&quot;/&gt;&lt;wsp:rsid wsp:val=&quot;00684272&quot;/&gt;&lt;wsp:rsid wsp:val=&quot;0068480A&quot;/&gt;&lt;wsp:rsid wsp:val=&quot;00685C22&quot;/&gt;&lt;wsp:rsid wsp:val=&quot;006860D8&quot;/&gt;&lt;wsp:rsid wsp:val=&quot;006869D0&quot;/&gt;&lt;wsp:rsid wsp:val=&quot;00686B81&quot;/&gt;&lt;wsp:rsid wsp:val=&quot;00686BF7&quot;/&gt;&lt;wsp:rsid wsp:val=&quot;00687EF9&quot;/&gt;&lt;wsp:rsid wsp:val=&quot;006905DE&quot;/&gt;&lt;wsp:rsid wsp:val=&quot;0069086B&quot;/&gt;&lt;wsp:rsid wsp:val=&quot;00690DBA&quot;/&gt;&lt;wsp:rsid wsp:val=&quot;00690F86&quot;/&gt;&lt;wsp:rsid wsp:val=&quot;006916C4&quot;/&gt;&lt;wsp:rsid wsp:val=&quot;006920B5&quot;/&gt;&lt;wsp:rsid wsp:val=&quot;00692316&quot;/&gt;&lt;wsp:rsid wsp:val=&quot;006923C1&quot;/&gt;&lt;wsp:rsid wsp:val=&quot;00692E00&quot;/&gt;&lt;wsp:rsid wsp:val=&quot;006934D2&quot;/&gt;&lt;wsp:rsid wsp:val=&quot;0069420E&quot;/&gt;&lt;wsp:rsid wsp:val=&quot;00694B86&quot;/&gt;&lt;wsp:rsid wsp:val=&quot;00694D58&quot;/&gt;&lt;wsp:rsid wsp:val=&quot;00694EFD&quot;/&gt;&lt;wsp:rsid wsp:val=&quot;006950D1&quot;/&gt;&lt;wsp:rsid wsp:val=&quot;00697A3A&quot;/&gt;&lt;wsp:rsid wsp:val=&quot;006A0540&quot;/&gt;&lt;wsp:rsid wsp:val=&quot;006A0CD8&quot;/&gt;&lt;wsp:rsid wsp:val=&quot;006A0E8C&quot;/&gt;&lt;wsp:rsid wsp:val=&quot;006A143D&quot;/&gt;&lt;wsp:rsid wsp:val=&quot;006A1580&quot;/&gt;&lt;wsp:rsid wsp:val=&quot;006A29F4&quot;/&gt;&lt;wsp:rsid wsp:val=&quot;006A2A2C&quot;/&gt;&lt;wsp:rsid wsp:val=&quot;006A2A66&quot;/&gt;&lt;wsp:rsid wsp:val=&quot;006A38D6&quot;/&gt;&lt;wsp:rsid wsp:val=&quot;006A3EAD&quot;/&gt;&lt;wsp:rsid wsp:val=&quot;006A507A&quot;/&gt;&lt;wsp:rsid wsp:val=&quot;006A5141&quot;/&gt;&lt;wsp:rsid wsp:val=&quot;006A5841&quot;/&gt;&lt;wsp:rsid wsp:val=&quot;006A5B5F&quot;/&gt;&lt;wsp:rsid wsp:val=&quot;006A6521&quot;/&gt;&lt;wsp:rsid wsp:val=&quot;006B05E6&quot;/&gt;&lt;wsp:rsid wsp:val=&quot;006B0966&quot;/&gt;&lt;wsp:rsid wsp:val=&quot;006B0FA2&quot;/&gt;&lt;wsp:rsid wsp:val=&quot;006B15E7&quot;/&gt;&lt;wsp:rsid wsp:val=&quot;006B165C&quot;/&gt;&lt;wsp:rsid wsp:val=&quot;006B25F7&quot;/&gt;&lt;wsp:rsid wsp:val=&quot;006B27A9&quot;/&gt;&lt;wsp:rsid wsp:val=&quot;006B2807&quot;/&gt;&lt;wsp:rsid wsp:val=&quot;006B28AF&quot;/&gt;&lt;wsp:rsid wsp:val=&quot;006B3242&quot;/&gt;&lt;wsp:rsid wsp:val=&quot;006B3B0A&quot;/&gt;&lt;wsp:rsid wsp:val=&quot;006B40E8&quot;/&gt;&lt;wsp:rsid wsp:val=&quot;006B5069&quot;/&gt;&lt;wsp:rsid wsp:val=&quot;006B5B5D&quot;/&gt;&lt;wsp:rsid wsp:val=&quot;006B6FAC&quot;/&gt;&lt;wsp:rsid wsp:val=&quot;006B771C&quot;/&gt;&lt;wsp:rsid wsp:val=&quot;006B7E27&quot;/&gt;&lt;wsp:rsid wsp:val=&quot;006B7F39&quot;/&gt;&lt;wsp:rsid wsp:val=&quot;006C0283&quot;/&gt;&lt;wsp:rsid wsp:val=&quot;006C058F&quot;/&gt;&lt;wsp:rsid wsp:val=&quot;006C1D74&quot;/&gt;&lt;wsp:rsid wsp:val=&quot;006C2400&quot;/&gt;&lt;wsp:rsid wsp:val=&quot;006C2E09&quot;/&gt;&lt;wsp:rsid wsp:val=&quot;006C5E5C&quot;/&gt;&lt;wsp:rsid wsp:val=&quot;006C726E&quot;/&gt;&lt;wsp:rsid wsp:val=&quot;006C75EE&quot;/&gt;&lt;wsp:rsid wsp:val=&quot;006C7D7C&quot;/&gt;&lt;wsp:rsid wsp:val=&quot;006D0255&quot;/&gt;&lt;wsp:rsid wsp:val=&quot;006D0B91&quot;/&gt;&lt;wsp:rsid wsp:val=&quot;006D2B4D&quot;/&gt;&lt;wsp:rsid wsp:val=&quot;006D34D8&quot;/&gt;&lt;wsp:rsid wsp:val=&quot;006D3988&quot;/&gt;&lt;wsp:rsid wsp:val=&quot;006D3ADF&quot;/&gt;&lt;wsp:rsid wsp:val=&quot;006D3CFE&quot;/&gt;&lt;wsp:rsid wsp:val=&quot;006D5481&quot;/&gt;&lt;wsp:rsid wsp:val=&quot;006D5A5D&quot;/&gt;&lt;wsp:rsid wsp:val=&quot;006D5B9C&quot;/&gt;&lt;wsp:rsid wsp:val=&quot;006D62A8&quot;/&gt;&lt;wsp:rsid wsp:val=&quot;006D64DD&quot;/&gt;&lt;wsp:rsid wsp:val=&quot;006D7451&quot;/&gt;&lt;wsp:rsid wsp:val=&quot;006D7548&quot;/&gt;&lt;wsp:rsid wsp:val=&quot;006D7D9D&quot;/&gt;&lt;wsp:rsid wsp:val=&quot;006E023D&quot;/&gt;&lt;wsp:rsid wsp:val=&quot;006E0927&quot;/&gt;&lt;wsp:rsid wsp:val=&quot;006E128B&quot;/&gt;&lt;wsp:rsid wsp:val=&quot;006E13BD&quot;/&gt;&lt;wsp:rsid wsp:val=&quot;006E186A&quot;/&gt;&lt;wsp:rsid wsp:val=&quot;006E2634&quot;/&gt;&lt;wsp:rsid wsp:val=&quot;006E29F5&quot;/&gt;&lt;wsp:rsid wsp:val=&quot;006E2C72&quot;/&gt;&lt;wsp:rsid wsp:val=&quot;006E3728&quot;/&gt;&lt;wsp:rsid wsp:val=&quot;006E416E&quot;/&gt;&lt;wsp:rsid wsp:val=&quot;006E43CE&quot;/&gt;&lt;wsp:rsid wsp:val=&quot;006E5AE1&quot;/&gt;&lt;wsp:rsid wsp:val=&quot;006E5DB7&quot;/&gt;&lt;wsp:rsid wsp:val=&quot;006E6A1B&quot;/&gt;&lt;wsp:rsid wsp:val=&quot;006E7DDF&quot;/&gt;&lt;wsp:rsid wsp:val=&quot;006F0550&quot;/&gt;&lt;wsp:rsid wsp:val=&quot;006F073C&quot;/&gt;&lt;wsp:rsid wsp:val=&quot;006F0D88&quot;/&gt;&lt;wsp:rsid wsp:val=&quot;006F1162&quot;/&gt;&lt;wsp:rsid wsp:val=&quot;006F1BD2&quot;/&gt;&lt;wsp:rsid wsp:val=&quot;006F225E&quot;/&gt;&lt;wsp:rsid wsp:val=&quot;006F3607&quot;/&gt;&lt;wsp:rsid wsp:val=&quot;006F3B01&quot;/&gt;&lt;wsp:rsid wsp:val=&quot;006F4C3F&quot;/&gt;&lt;wsp:rsid wsp:val=&quot;006F5233&quot;/&gt;&lt;wsp:rsid wsp:val=&quot;006F54EC&quot;/&gt;&lt;wsp:rsid wsp:val=&quot;006F5AB0&quot;/&gt;&lt;wsp:rsid wsp:val=&quot;006F7898&quot;/&gt;&lt;wsp:rsid wsp:val=&quot;00701159&quot;/&gt;&lt;wsp:rsid wsp:val=&quot;00701BC7&quot;/&gt;&lt;wsp:rsid wsp:val=&quot;00702676&quot;/&gt;&lt;wsp:rsid wsp:val=&quot;00702794&quot;/&gt;&lt;wsp:rsid wsp:val=&quot;007027E1&quot;/&gt;&lt;wsp:rsid wsp:val=&quot;00703130&quot;/&gt;&lt;wsp:rsid wsp:val=&quot;0070361A&quot;/&gt;&lt;wsp:rsid wsp:val=&quot;007042BC&quot;/&gt;&lt;wsp:rsid wsp:val=&quot;007046F9&quot;/&gt;&lt;wsp:rsid wsp:val=&quot;00704AB6&quot;/&gt;&lt;wsp:rsid wsp:val=&quot;00704BD6&quot;/&gt;&lt;wsp:rsid wsp:val=&quot;00706220&quot;/&gt;&lt;wsp:rsid wsp:val=&quot;00706A2F&quot;/&gt;&lt;wsp:rsid wsp:val=&quot;00707D83&quot;/&gt;&lt;wsp:rsid wsp:val=&quot;00707F03&quot;/&gt;&lt;wsp:rsid wsp:val=&quot;0071051C&quot;/&gt;&lt;wsp:rsid wsp:val=&quot;00711D24&quot;/&gt;&lt;wsp:rsid wsp:val=&quot;007146FA&quot;/&gt;&lt;wsp:rsid wsp:val=&quot;007147BA&quot;/&gt;&lt;wsp:rsid wsp:val=&quot;00714E16&quot;/&gt;&lt;wsp:rsid wsp:val=&quot;00714E70&quot;/&gt;&lt;wsp:rsid wsp:val=&quot;00714FE2&quot;/&gt;&lt;wsp:rsid wsp:val=&quot;00715BE0&quot;/&gt;&lt;wsp:rsid wsp:val=&quot;00715CB2&quot;/&gt;&lt;wsp:rsid wsp:val=&quot;00716272&quot;/&gt;&lt;wsp:rsid wsp:val=&quot;007168EA&quot;/&gt;&lt;wsp:rsid wsp:val=&quot;00717437&quot;/&gt;&lt;wsp:rsid wsp:val=&quot;007176E7&quot;/&gt;&lt;wsp:rsid wsp:val=&quot;00717915&quot;/&gt;&lt;wsp:rsid wsp:val=&quot;00717C9F&quot;/&gt;&lt;wsp:rsid wsp:val=&quot;0072030E&quot;/&gt;&lt;wsp:rsid wsp:val=&quot;00720606&quot;/&gt;&lt;wsp:rsid wsp:val=&quot;00720B9A&quot;/&gt;&lt;wsp:rsid wsp:val=&quot;007218F9&quot;/&gt;&lt;wsp:rsid wsp:val=&quot;00721AC5&quot;/&gt;&lt;wsp:rsid wsp:val=&quot;00721E15&quot;/&gt;&lt;wsp:rsid wsp:val=&quot;007224D5&quot;/&gt;&lt;wsp:rsid wsp:val=&quot;0072280A&quot;/&gt;&lt;wsp:rsid wsp:val=&quot;00722960&quot;/&gt;&lt;wsp:rsid wsp:val=&quot;00723CCD&quot;/&gt;&lt;wsp:rsid wsp:val=&quot;00723F06&quot;/&gt;&lt;wsp:rsid wsp:val=&quot;007240BB&quot;/&gt;&lt;wsp:rsid wsp:val=&quot;0072515C&quot;/&gt;&lt;wsp:rsid wsp:val=&quot;00725D48&quot;/&gt;&lt;wsp:rsid wsp:val=&quot;00727B14&quot;/&gt;&lt;wsp:rsid wsp:val=&quot;00727F7A&quot;/&gt;&lt;wsp:rsid wsp:val=&quot;00730252&quot;/&gt;&lt;wsp:rsid wsp:val=&quot;00730E60&quot;/&gt;&lt;wsp:rsid wsp:val=&quot;007313E6&quot;/&gt;&lt;wsp:rsid wsp:val=&quot;007316C1&quot;/&gt;&lt;wsp:rsid wsp:val=&quot;00731733&quot;/&gt;&lt;wsp:rsid wsp:val=&quot;007324C3&quot;/&gt;&lt;wsp:rsid wsp:val=&quot;007324D4&quot;/&gt;&lt;wsp:rsid wsp:val=&quot;007324F2&quot;/&gt;&lt;wsp:rsid wsp:val=&quot;00733572&quot;/&gt;&lt;wsp:rsid wsp:val=&quot;007335AC&quot;/&gt;&lt;wsp:rsid wsp:val=&quot;0073393A&quot;/&gt;&lt;wsp:rsid wsp:val=&quot;0073519F&quot;/&gt;&lt;wsp:rsid wsp:val=&quot;007375B1&quot;/&gt;&lt;wsp:rsid wsp:val=&quot;00737C79&quot;/&gt;&lt;wsp:rsid wsp:val=&quot;0074036C&quot;/&gt;&lt;wsp:rsid wsp:val=&quot;007403D0&quot;/&gt;&lt;wsp:rsid wsp:val=&quot;00740E53&quot;/&gt;&lt;wsp:rsid wsp:val=&quot;00741895&quot;/&gt;&lt;wsp:rsid wsp:val=&quot;00741A9C&quot;/&gt;&lt;wsp:rsid wsp:val=&quot;0074280C&quot;/&gt;&lt;wsp:rsid wsp:val=&quot;00742C3E&quot;/&gt;&lt;wsp:rsid wsp:val=&quot;00743549&quot;/&gt;&lt;wsp:rsid wsp:val=&quot;00743615&quot;/&gt;&lt;wsp:rsid wsp:val=&quot;00743AFA&quot;/&gt;&lt;wsp:rsid wsp:val=&quot;00743C81&quot;/&gt;&lt;wsp:rsid wsp:val=&quot;0074490F&quot;/&gt;&lt;wsp:rsid wsp:val=&quot;007461CC&quot;/&gt;&lt;wsp:rsid wsp:val=&quot;00746675&quot;/&gt;&lt;wsp:rsid wsp:val=&quot;00746747&quot;/&gt;&lt;wsp:rsid wsp:val=&quot;00746EC2&quot;/&gt;&lt;wsp:rsid wsp:val=&quot;00750792&quot;/&gt;&lt;wsp:rsid wsp:val=&quot;00750BC7&quot;/&gt;&lt;wsp:rsid wsp:val=&quot;00751F4E&quot;/&gt;&lt;wsp:rsid wsp:val=&quot;0075214E&quot;/&gt;&lt;wsp:rsid wsp:val=&quot;00752EFE&quot;/&gt;&lt;wsp:rsid wsp:val=&quot;00753C9D&quot;/&gt;&lt;wsp:rsid wsp:val=&quot;00753E12&quot;/&gt;&lt;wsp:rsid wsp:val=&quot;0075426F&quot;/&gt;&lt;wsp:rsid wsp:val=&quot;00754BB7&quot;/&gt;&lt;wsp:rsid wsp:val=&quot;00755120&quot;/&gt;&lt;wsp:rsid wsp:val=&quot;007555DC&quot;/&gt;&lt;wsp:rsid wsp:val=&quot;0075691F&quot;/&gt;&lt;wsp:rsid wsp:val=&quot;00756C60&quot;/&gt;&lt;wsp:rsid wsp:val=&quot;00757B19&quot;/&gt;&lt;wsp:rsid wsp:val=&quot;00757C33&quot;/&gt;&lt;wsp:rsid wsp:val=&quot;00757F1B&quot;/&gt;&lt;wsp:rsid wsp:val=&quot;0076037C&quot;/&gt;&lt;wsp:rsid wsp:val=&quot;00760C55&quot;/&gt;&lt;wsp:rsid wsp:val=&quot;00761C59&quot;/&gt;&lt;wsp:rsid wsp:val=&quot;00761D24&quot;/&gt;&lt;wsp:rsid wsp:val=&quot;0076214A&quot;/&gt;&lt;wsp:rsid wsp:val=&quot;0076222E&quot;/&gt;&lt;wsp:rsid wsp:val=&quot;007622DA&quot;/&gt;&lt;wsp:rsid wsp:val=&quot;00762334&quot;/&gt;&lt;wsp:rsid wsp:val=&quot;00763666&quot;/&gt;&lt;wsp:rsid wsp:val=&quot;00763ABD&quot;/&gt;&lt;wsp:rsid wsp:val=&quot;00763F7B&quot;/&gt;&lt;wsp:rsid wsp:val=&quot;00764089&quot;/&gt;&lt;wsp:rsid wsp:val=&quot;0076562F&quot;/&gt;&lt;wsp:rsid wsp:val=&quot;00765ABF&quot;/&gt;&lt;wsp:rsid wsp:val=&quot;00765C99&quot;/&gt;&lt;wsp:rsid wsp:val=&quot;00765FD9&quot;/&gt;&lt;wsp:rsid wsp:val=&quot;00766349&quot;/&gt;&lt;wsp:rsid wsp:val=&quot;0076686E&quot;/&gt;&lt;wsp:rsid wsp:val=&quot;00766B12&quot;/&gt;&lt;wsp:rsid wsp:val=&quot;00767B7B&quot;/&gt;&lt;wsp:rsid wsp:val=&quot;00767F9A&quot;/&gt;&lt;wsp:rsid wsp:val=&quot;00770241&quot;/&gt;&lt;wsp:rsid wsp:val=&quot;007708EC&quot;/&gt;&lt;wsp:rsid wsp:val=&quot;00771039&quot;/&gt;&lt;wsp:rsid wsp:val=&quot;007712E5&quot;/&gt;&lt;wsp:rsid wsp:val=&quot;00771314&quot;/&gt;&lt;wsp:rsid wsp:val=&quot;00771822&quot;/&gt;&lt;wsp:rsid wsp:val=&quot;00771EF5&quot;/&gt;&lt;wsp:rsid wsp:val=&quot;00772124&quot;/&gt;&lt;wsp:rsid wsp:val=&quot;007723E4&quot;/&gt;&lt;wsp:rsid wsp:val=&quot;007724F8&quot;/&gt;&lt;wsp:rsid wsp:val=&quot;007731A2&quot;/&gt;&lt;wsp:rsid wsp:val=&quot;0077370D&quot;/&gt;&lt;wsp:rsid wsp:val=&quot;00773F8C&quot;/&gt;&lt;wsp:rsid wsp:val=&quot;00773FCC&quot;/&gt;&lt;wsp:rsid wsp:val=&quot;0077401D&quot;/&gt;&lt;wsp:rsid wsp:val=&quot;0077403A&quot;/&gt;&lt;wsp:rsid wsp:val=&quot;00774092&quot;/&gt;&lt;wsp:rsid wsp:val=&quot;007741AC&quot;/&gt;&lt;wsp:rsid wsp:val=&quot;00776A45&quot;/&gt;&lt;wsp:rsid wsp:val=&quot;00776F2D&quot;/&gt;&lt;wsp:rsid wsp:val=&quot;00777304&quot;/&gt;&lt;wsp:rsid wsp:val=&quot;00777F48&quot;/&gt;&lt;wsp:rsid wsp:val=&quot;00780EFE&quot;/&gt;&lt;wsp:rsid wsp:val=&quot;00781A84&quot;/&gt;&lt;wsp:rsid wsp:val=&quot;00781F7D&quot;/&gt;&lt;wsp:rsid wsp:val=&quot;007826C5&quot;/&gt;&lt;wsp:rsid wsp:val=&quot;0078326B&quot;/&gt;&lt;wsp:rsid wsp:val=&quot;00783CF9&quot;/&gt;&lt;wsp:rsid wsp:val=&quot;007841CC&quot;/&gt;&lt;wsp:rsid wsp:val=&quot;0078551A&quot;/&gt;&lt;wsp:rsid wsp:val=&quot;00785B1F&quot;/&gt;&lt;wsp:rsid wsp:val=&quot;0078607C&quot;/&gt;&lt;wsp:rsid wsp:val=&quot;00786526&quot;/&gt;&lt;wsp:rsid wsp:val=&quot;00786D22&quot;/&gt;&lt;wsp:rsid wsp:val=&quot;00787419&quot;/&gt;&lt;wsp:rsid wsp:val=&quot;00787453&quot;/&gt;&lt;wsp:rsid wsp:val=&quot;0078760D&quot;/&gt;&lt;wsp:rsid wsp:val=&quot;00787A05&quot;/&gt;&lt;wsp:rsid wsp:val=&quot;00787A4F&quot;/&gt;&lt;wsp:rsid wsp:val=&quot;00790FB4&quot;/&gt;&lt;wsp:rsid wsp:val=&quot;007921D3&quot;/&gt;&lt;wsp:rsid wsp:val=&quot;007921F7&quot;/&gt;&lt;wsp:rsid wsp:val=&quot;00792335&quot;/&gt;&lt;wsp:rsid wsp:val=&quot;007924C1&quot;/&gt;&lt;wsp:rsid wsp:val=&quot;00792EB6&quot;/&gt;&lt;wsp:rsid wsp:val=&quot;00793579&quot;/&gt;&lt;wsp:rsid wsp:val=&quot;00794149&quot;/&gt;&lt;wsp:rsid wsp:val=&quot;0079455E&quot;/&gt;&lt;wsp:rsid wsp:val=&quot;0079472E&quot;/&gt;&lt;wsp:rsid wsp:val=&quot;00794FBE&quot;/&gt;&lt;wsp:rsid wsp:val=&quot;007952C7&quot;/&gt;&lt;wsp:rsid wsp:val=&quot;0079547B&quot;/&gt;&lt;wsp:rsid wsp:val=&quot;007968B9&quot;/&gt;&lt;wsp:rsid wsp:val=&quot;007A023E&quot;/&gt;&lt;wsp:rsid wsp:val=&quot;007A0E78&quot;/&gt;&lt;wsp:rsid wsp:val=&quot;007A1BB6&quot;/&gt;&lt;wsp:rsid wsp:val=&quot;007A2F99&quot;/&gt;&lt;wsp:rsid wsp:val=&quot;007A3750&quot;/&gt;&lt;wsp:rsid wsp:val=&quot;007A3BCA&quot;/&gt;&lt;wsp:rsid wsp:val=&quot;007A44C5&quot;/&gt;&lt;wsp:rsid wsp:val=&quot;007A5603&quot;/&gt;&lt;wsp:rsid wsp:val=&quot;007A5C48&quot;/&gt;&lt;wsp:rsid wsp:val=&quot;007A60BC&quot;/&gt;&lt;wsp:rsid wsp:val=&quot;007A6AA0&quot;/&gt;&lt;wsp:rsid wsp:val=&quot;007A6B39&quot;/&gt;&lt;wsp:rsid wsp:val=&quot;007A7688&quot;/&gt;&lt;wsp:rsid wsp:val=&quot;007A7705&quot;/&gt;&lt;wsp:rsid wsp:val=&quot;007A77CB&quot;/&gt;&lt;wsp:rsid wsp:val=&quot;007B1B17&quot;/&gt;&lt;wsp:rsid wsp:val=&quot;007B29B6&quot;/&gt;&lt;wsp:rsid wsp:val=&quot;007B2AD0&quot;/&gt;&lt;wsp:rsid wsp:val=&quot;007B33D0&quot;/&gt;&lt;wsp:rsid wsp:val=&quot;007B48D7&quot;/&gt;&lt;wsp:rsid wsp:val=&quot;007B4C2F&quot;/&gt;&lt;wsp:rsid wsp:val=&quot;007B4DAD&quot;/&gt;&lt;wsp:rsid wsp:val=&quot;007B526B&quot;/&gt;&lt;wsp:rsid wsp:val=&quot;007B58FD&quot;/&gt;&lt;wsp:rsid wsp:val=&quot;007B5CD9&quot;/&gt;&lt;wsp:rsid wsp:val=&quot;007B6B61&quot;/&gt;&lt;wsp:rsid wsp:val=&quot;007B787F&quot;/&gt;&lt;wsp:rsid wsp:val=&quot;007B7985&quot;/&gt;&lt;wsp:rsid wsp:val=&quot;007C015B&quot;/&gt;&lt;wsp:rsid wsp:val=&quot;007C0467&quot;/&gt;&lt;wsp:rsid wsp:val=&quot;007C10BA&quot;/&gt;&lt;wsp:rsid wsp:val=&quot;007C1425&quot;/&gt;&lt;wsp:rsid wsp:val=&quot;007C1464&quot;/&gt;&lt;wsp:rsid wsp:val=&quot;007C172C&quot;/&gt;&lt;wsp:rsid wsp:val=&quot;007C1C6C&quot;/&gt;&lt;wsp:rsid wsp:val=&quot;007C1D40&quot;/&gt;&lt;wsp:rsid wsp:val=&quot;007C1DC5&quot;/&gt;&lt;wsp:rsid wsp:val=&quot;007C25BA&quot;/&gt;&lt;wsp:rsid wsp:val=&quot;007C2F5C&quot;/&gt;&lt;wsp:rsid wsp:val=&quot;007C323F&quot;/&gt;&lt;wsp:rsid wsp:val=&quot;007C364E&quot;/&gt;&lt;wsp:rsid wsp:val=&quot;007C38A1&quot;/&gt;&lt;wsp:rsid wsp:val=&quot;007C41D6&quot;/&gt;&lt;wsp:rsid wsp:val=&quot;007C47CC&quot;/&gt;&lt;wsp:rsid wsp:val=&quot;007C4F69&quot;/&gt;&lt;wsp:rsid wsp:val=&quot;007C4FF3&quot;/&gt;&lt;wsp:rsid wsp:val=&quot;007C5F85&quot;/&gt;&lt;wsp:rsid wsp:val=&quot;007C62C5&quot;/&gt;&lt;wsp:rsid wsp:val=&quot;007C6FFD&quot;/&gt;&lt;wsp:rsid wsp:val=&quot;007C7B7F&quot;/&gt;&lt;wsp:rsid wsp:val=&quot;007C7E98&quot;/&gt;&lt;wsp:rsid wsp:val=&quot;007D0084&quot;/&gt;&lt;wsp:rsid wsp:val=&quot;007D009E&quot;/&gt;&lt;wsp:rsid wsp:val=&quot;007D0D89&quot;/&gt;&lt;wsp:rsid wsp:val=&quot;007D209F&quot;/&gt;&lt;wsp:rsid wsp:val=&quot;007D2610&quot;/&gt;&lt;wsp:rsid wsp:val=&quot;007D2760&quot;/&gt;&lt;wsp:rsid wsp:val=&quot;007D33BB&quot;/&gt;&lt;wsp:rsid wsp:val=&quot;007D3E2B&quot;/&gt;&lt;wsp:rsid wsp:val=&quot;007D42E3&quot;/&gt;&lt;wsp:rsid wsp:val=&quot;007D4F7E&quot;/&gt;&lt;wsp:rsid wsp:val=&quot;007D69F0&quot;/&gt;&lt;wsp:rsid wsp:val=&quot;007D6CCC&quot;/&gt;&lt;wsp:rsid wsp:val=&quot;007E04E9&quot;/&gt;&lt;wsp:rsid wsp:val=&quot;007E06FA&quot;/&gt;&lt;wsp:rsid wsp:val=&quot;007E0785&quot;/&gt;&lt;wsp:rsid wsp:val=&quot;007E1454&quot;/&gt;&lt;wsp:rsid wsp:val=&quot;007E1BA5&quot;/&gt;&lt;wsp:rsid wsp:val=&quot;007E1F34&quot;/&gt;&lt;wsp:rsid wsp:val=&quot;007E2C0C&quot;/&gt;&lt;wsp:rsid wsp:val=&quot;007E3FD9&quot;/&gt;&lt;wsp:rsid wsp:val=&quot;007E4C4F&quot;/&gt;&lt;wsp:rsid wsp:val=&quot;007E5BA9&quot;/&gt;&lt;wsp:rsid wsp:val=&quot;007E5E7D&quot;/&gt;&lt;wsp:rsid wsp:val=&quot;007E6068&quot;/&gt;&lt;wsp:rsid wsp:val=&quot;007E7606&quot;/&gt;&lt;wsp:rsid wsp:val=&quot;007F004B&quot;/&gt;&lt;wsp:rsid wsp:val=&quot;007F0436&quot;/&gt;&lt;wsp:rsid wsp:val=&quot;007F0530&quot;/&gt;&lt;wsp:rsid wsp:val=&quot;007F057B&quot;/&gt;&lt;wsp:rsid wsp:val=&quot;007F1970&quot;/&gt;&lt;wsp:rsid wsp:val=&quot;007F1AC6&quot;/&gt;&lt;wsp:rsid wsp:val=&quot;007F1DE7&quot;/&gt;&lt;wsp:rsid wsp:val=&quot;007F20CD&quot;/&gt;&lt;wsp:rsid wsp:val=&quot;007F214F&quot;/&gt;&lt;wsp:rsid wsp:val=&quot;007F2636&quot;/&gt;&lt;wsp:rsid wsp:val=&quot;007F30C2&quot;/&gt;&lt;wsp:rsid wsp:val=&quot;007F3CE0&quot;/&gt;&lt;wsp:rsid wsp:val=&quot;007F42B1&quot;/&gt;&lt;wsp:rsid wsp:val=&quot;007F4379&quot;/&gt;&lt;wsp:rsid wsp:val=&quot;007F45E5&quot;/&gt;&lt;wsp:rsid wsp:val=&quot;007F4A36&quot;/&gt;&lt;wsp:rsid wsp:val=&quot;007F57FB&quot;/&gt;&lt;wsp:rsid wsp:val=&quot;007F60D4&quot;/&gt;&lt;wsp:rsid wsp:val=&quot;007F7624&quot;/&gt;&lt;wsp:rsid wsp:val=&quot;007F7917&quot;/&gt;&lt;wsp:rsid wsp:val=&quot;007F7A30&quot;/&gt;&lt;wsp:rsid wsp:val=&quot;007F7FE2&quot;/&gt;&lt;wsp:rsid wsp:val=&quot;0080002B&quot;/&gt;&lt;wsp:rsid wsp:val=&quot;008001CE&quot;/&gt;&lt;wsp:rsid wsp:val=&quot;00800B7A&quot;/&gt;&lt;wsp:rsid wsp:val=&quot;00800D24&quot;/&gt;&lt;wsp:rsid wsp:val=&quot;00801941&quot;/&gt;&lt;wsp:rsid wsp:val=&quot;00801F86&quot;/&gt;&lt;wsp:rsid wsp:val=&quot;008029CB&quot;/&gt;&lt;wsp:rsid wsp:val=&quot;00802E45&quot;/&gt;&lt;wsp:rsid wsp:val=&quot;00802FFB&quot;/&gt;&lt;wsp:rsid wsp:val=&quot;008034EA&quot;/&gt;&lt;wsp:rsid wsp:val=&quot;00803544&quot;/&gt;&lt;wsp:rsid wsp:val=&quot;0080387D&quot;/&gt;&lt;wsp:rsid wsp:val=&quot;00803A5C&quot;/&gt;&lt;wsp:rsid wsp:val=&quot;00804052&quot;/&gt;&lt;wsp:rsid wsp:val=&quot;00804077&quot;/&gt;&lt;wsp:rsid wsp:val=&quot;008041EE&quot;/&gt;&lt;wsp:rsid wsp:val=&quot;0080431A&quot;/&gt;&lt;wsp:rsid wsp:val=&quot;00804C49&quot;/&gt;&lt;wsp:rsid wsp:val=&quot;0080547F&quot;/&gt;&lt;wsp:rsid wsp:val=&quot;00805490&quot;/&gt;&lt;wsp:rsid wsp:val=&quot;0080569B&quot;/&gt;&lt;wsp:rsid wsp:val=&quot;008061DD&quot;/&gt;&lt;wsp:rsid wsp:val=&quot;00807A0D&quot;/&gt;&lt;wsp:rsid wsp:val=&quot;00807CBF&quot;/&gt;&lt;wsp:rsid wsp:val=&quot;00807D14&quot;/&gt;&lt;wsp:rsid wsp:val=&quot;008106DB&quot;/&gt;&lt;wsp:rsid wsp:val=&quot;00810DBE&quot;/&gt;&lt;wsp:rsid wsp:val=&quot;00812183&quot;/&gt;&lt;wsp:rsid wsp:val=&quot;00812FA3&quot;/&gt;&lt;wsp:rsid wsp:val=&quot;008131DC&quot;/&gt;&lt;wsp:rsid wsp:val=&quot;00814369&quot;/&gt;&lt;wsp:rsid wsp:val=&quot;0081543B&quot;/&gt;&lt;wsp:rsid wsp:val=&quot;008155B3&quot;/&gt;&lt;wsp:rsid wsp:val=&quot;00815C5B&quot;/&gt;&lt;wsp:rsid wsp:val=&quot;0081608A&quot;/&gt;&lt;wsp:rsid wsp:val=&quot;00816479&quot;/&gt;&lt;wsp:rsid wsp:val=&quot;00816BEA&quot;/&gt;&lt;wsp:rsid wsp:val=&quot;0081734F&quot;/&gt;&lt;wsp:rsid wsp:val=&quot;00820FAF&quot;/&gt;&lt;wsp:rsid wsp:val=&quot;00820FD8&quot;/&gt;&lt;wsp:rsid wsp:val=&quot;00821C9E&quot;/&gt;&lt;wsp:rsid wsp:val=&quot;00821D76&quot;/&gt;&lt;wsp:rsid wsp:val=&quot;00822CB8&quot;/&gt;&lt;wsp:rsid wsp:val=&quot;00822D53&quot;/&gt;&lt;wsp:rsid wsp:val=&quot;008230C2&quot;/&gt;&lt;wsp:rsid wsp:val=&quot;0082321E&quot;/&gt;&lt;wsp:rsid wsp:val=&quot;00823363&quot;/&gt;&lt;wsp:rsid wsp:val=&quot;008237EF&quot;/&gt;&lt;wsp:rsid wsp:val=&quot;00823F89&quot;/&gt;&lt;wsp:rsid wsp:val=&quot;0082404D&quot;/&gt;&lt;wsp:rsid wsp:val=&quot;00824198&quot;/&gt;&lt;wsp:rsid wsp:val=&quot;008241EC&quot;/&gt;&lt;wsp:rsid wsp:val=&quot;008243AF&quot;/&gt;&lt;wsp:rsid wsp:val=&quot;00824852&quot;/&gt;&lt;wsp:rsid wsp:val=&quot;00825B69&quot;/&gt;&lt;wsp:rsid wsp:val=&quot;00826AEF&quot;/&gt;&lt;wsp:rsid wsp:val=&quot;00826E4A&quot;/&gt;&lt;wsp:rsid wsp:val=&quot;00826F43&quot;/&gt;&lt;wsp:rsid wsp:val=&quot;00827EB3&quot;/&gt;&lt;wsp:rsid wsp:val=&quot;00830769&quot;/&gt;&lt;wsp:rsid wsp:val=&quot;00830D73&quot;/&gt;&lt;wsp:rsid wsp:val=&quot;00831F60&quot;/&gt;&lt;wsp:rsid wsp:val=&quot;0083218A&quot;/&gt;&lt;wsp:rsid wsp:val=&quot;008325DA&quot;/&gt;&lt;wsp:rsid wsp:val=&quot;00832679&quot;/&gt;&lt;wsp:rsid wsp:val=&quot;00832718&quot;/&gt;&lt;wsp:rsid wsp:val=&quot;00832FCF&quot;/&gt;&lt;wsp:rsid wsp:val=&quot;0083334D&quot;/&gt;&lt;wsp:rsid wsp:val=&quot;00834663&quot;/&gt;&lt;wsp:rsid wsp:val=&quot;00834E38&quot;/&gt;&lt;wsp:rsid wsp:val=&quot;00835E86&quot;/&gt;&lt;wsp:rsid wsp:val=&quot;00836A00&quot;/&gt;&lt;wsp:rsid wsp:val=&quot;00836DAB&quot;/&gt;&lt;wsp:rsid wsp:val=&quot;00837AB1&quot;/&gt;&lt;wsp:rsid wsp:val=&quot;00840354&quot;/&gt;&lt;wsp:rsid wsp:val=&quot;00841264&quot;/&gt;&lt;wsp:rsid wsp:val=&quot;008420A2&quot;/&gt;&lt;wsp:rsid wsp:val=&quot;0084434D&quot;/&gt;&lt;wsp:rsid wsp:val=&quot;00844C2C&quot;/&gt;&lt;wsp:rsid wsp:val=&quot;00844C3A&quot;/&gt;&lt;wsp:rsid wsp:val=&quot;00845ABA&quot;/&gt;&lt;wsp:rsid wsp:val=&quot;00845D87&quot;/&gt;&lt;wsp:rsid wsp:val=&quot;00846248&quot;/&gt;&lt;wsp:rsid wsp:val=&quot;0084638C&quot;/&gt;&lt;wsp:rsid wsp:val=&quot;00846487&quot;/&gt;&lt;wsp:rsid wsp:val=&quot;008470C6&quot;/&gt;&lt;wsp:rsid wsp:val=&quot;0084744D&quot;/&gt;&lt;wsp:rsid wsp:val=&quot;00847CBA&quot;/&gt;&lt;wsp:rsid wsp:val=&quot;00847D3E&quot;/&gt;&lt;wsp:rsid wsp:val=&quot;0085067A&quot;/&gt;&lt;wsp:rsid wsp:val=&quot;00850EB1&quot;/&gt;&lt;wsp:rsid wsp:val=&quot;00851530&quot;/&gt;&lt;wsp:rsid wsp:val=&quot;00851630&quot;/&gt;&lt;wsp:rsid wsp:val=&quot;00851736&quot;/&gt;&lt;wsp:rsid wsp:val=&quot;00851BC5&quot;/&gt;&lt;wsp:rsid wsp:val=&quot;00851D41&quot;/&gt;&lt;wsp:rsid wsp:val=&quot;008525A4&quot;/&gt;&lt;wsp:rsid wsp:val=&quot;008542E9&quot;/&gt;&lt;wsp:rsid wsp:val=&quot;008545C5&quot;/&gt;&lt;wsp:rsid wsp:val=&quot;0085499E&quot;/&gt;&lt;wsp:rsid wsp:val=&quot;00854A60&quot;/&gt;&lt;wsp:rsid wsp:val=&quot;00854F0F&quot;/&gt;&lt;wsp:rsid wsp:val=&quot;0085518D&quot;/&gt;&lt;wsp:rsid wsp:val=&quot;0085525B&quot;/&gt;&lt;wsp:rsid wsp:val=&quot;00855466&quot;/&gt;&lt;wsp:rsid wsp:val=&quot;0085563E&quot;/&gt;&lt;wsp:rsid wsp:val=&quot;00855C14&quot;/&gt;&lt;wsp:rsid wsp:val=&quot;00855FA9&quot;/&gt;&lt;wsp:rsid wsp:val=&quot;008566E6&quot;/&gt;&lt;wsp:rsid wsp:val=&quot;00856999&quot;/&gt;&lt;wsp:rsid wsp:val=&quot;00856D5A&quot;/&gt;&lt;wsp:rsid wsp:val=&quot;0085706E&quot;/&gt;&lt;wsp:rsid wsp:val=&quot;00860714&quot;/&gt;&lt;wsp:rsid wsp:val=&quot;0086134D&quot;/&gt;&lt;wsp:rsid wsp:val=&quot;008619B5&quot;/&gt;&lt;wsp:rsid wsp:val=&quot;00861DF4&quot;/&gt;&lt;wsp:rsid wsp:val=&quot;00861E68&quot;/&gt;&lt;wsp:rsid wsp:val=&quot;008624ED&quot;/&gt;&lt;wsp:rsid wsp:val=&quot;00862ECD&quot;/&gt;&lt;wsp:rsid wsp:val=&quot;00863088&quot;/&gt;&lt;wsp:rsid wsp:val=&quot;00863698&quot;/&gt;&lt;wsp:rsid wsp:val=&quot;00863EBD&quot;/&gt;&lt;wsp:rsid wsp:val=&quot;0086410D&quot;/&gt;&lt;wsp:rsid wsp:val=&quot;008661FA&quot;/&gt;&lt;wsp:rsid wsp:val=&quot;0086732A&quot;/&gt;&lt;wsp:rsid wsp:val=&quot;008678B5&quot;/&gt;&lt;wsp:rsid wsp:val=&quot;008678C6&quot;/&gt;&lt;wsp:rsid wsp:val=&quot;008679C1&quot;/&gt;&lt;wsp:rsid wsp:val=&quot;00867EED&quot;/&gt;&lt;wsp:rsid wsp:val=&quot;0087036E&quot;/&gt;&lt;wsp:rsid wsp:val=&quot;00870BB4&quot;/&gt;&lt;wsp:rsid wsp:val=&quot;0087162C&quot;/&gt;&lt;wsp:rsid wsp:val=&quot;008717C3&quot;/&gt;&lt;wsp:rsid wsp:val=&quot;00872986&quot;/&gt;&lt;wsp:rsid wsp:val=&quot;00872F85&quot;/&gt;&lt;wsp:rsid wsp:val=&quot;008732F4&quot;/&gt;&lt;wsp:rsid wsp:val=&quot;00873D5F&quot;/&gt;&lt;wsp:rsid wsp:val=&quot;00874092&quot;/&gt;&lt;wsp:rsid wsp:val=&quot;00874552&quot;/&gt;&lt;wsp:rsid wsp:val=&quot;00874AFE&quot;/&gt;&lt;wsp:rsid wsp:val=&quot;00875A95&quot;/&gt;&lt;wsp:rsid wsp:val=&quot;00875C86&quot;/&gt;&lt;wsp:rsid wsp:val=&quot;00875F79&quot;/&gt;&lt;wsp:rsid wsp:val=&quot;00875FEE&quot;/&gt;&lt;wsp:rsid wsp:val=&quot;008772A9&quot;/&gt;&lt;wsp:rsid wsp:val=&quot;0087738A&quot;/&gt;&lt;wsp:rsid wsp:val=&quot;0087754F&quot;/&gt;&lt;wsp:rsid wsp:val=&quot;00877594&quot;/&gt;&lt;wsp:rsid wsp:val=&quot;0088014A&quot;/&gt;&lt;wsp:rsid wsp:val=&quot;008803AC&quot;/&gt;&lt;wsp:rsid wsp:val=&quot;0088076E&quot;/&gt;&lt;wsp:rsid wsp:val=&quot;00880FA8&quot;/&gt;&lt;wsp:rsid wsp:val=&quot;008811DD&quot;/&gt;&lt;wsp:rsid wsp:val=&quot;0088352A&quot;/&gt;&lt;wsp:rsid wsp:val=&quot;0088363C&quot;/&gt;&lt;wsp:rsid wsp:val=&quot;00884218&quot;/&gt;&lt;wsp:rsid wsp:val=&quot;00884BA7&quot;/&gt;&lt;wsp:rsid wsp:val=&quot;008851DB&quot;/&gt;&lt;wsp:rsid wsp:val=&quot;0088628C&quot;/&gt;&lt;wsp:rsid wsp:val=&quot;0088681A&quot;/&gt;&lt;wsp:rsid wsp:val=&quot;00886856&quot;/&gt;&lt;wsp:rsid wsp:val=&quot;00886E08&quot;/&gt;&lt;wsp:rsid wsp:val=&quot;00886F6C&quot;/&gt;&lt;wsp:rsid wsp:val=&quot;008872C0&quot;/&gt;&lt;wsp:rsid wsp:val=&quot;0088756C&quot;/&gt;&lt;wsp:rsid wsp:val=&quot;00887867&quot;/&gt;&lt;wsp:rsid wsp:val=&quot;00887881&quot;/&gt;&lt;wsp:rsid wsp:val=&quot;00887C24&quot;/&gt;&lt;wsp:rsid wsp:val=&quot;008907C6&quot;/&gt;&lt;wsp:rsid wsp:val=&quot;008908E4&quot;/&gt;&lt;wsp:rsid wsp:val=&quot;00891009&quot;/&gt;&lt;wsp:rsid wsp:val=&quot;008918F8&quot;/&gt;&lt;wsp:rsid wsp:val=&quot;00892156&quot;/&gt;&lt;wsp:rsid wsp:val=&quot;0089265D&quot;/&gt;&lt;wsp:rsid wsp:val=&quot;00892945&quot;/&gt;&lt;wsp:rsid wsp:val=&quot;0089317C&quot;/&gt;&lt;wsp:rsid wsp:val=&quot;00893C95&quot;/&gt;&lt;wsp:rsid wsp:val=&quot;00893E34&quot;/&gt;&lt;wsp:rsid wsp:val=&quot;00894917&quot;/&gt;&lt;wsp:rsid wsp:val=&quot;00896783&quot;/&gt;&lt;wsp:rsid wsp:val=&quot;008973C8&quot;/&gt;&lt;wsp:rsid wsp:val=&quot;00897D70&quot;/&gt;&lt;wsp:rsid wsp:val=&quot;00897FE5&quot;/&gt;&lt;wsp:rsid wsp:val=&quot;008A063C&quot;/&gt;&lt;wsp:rsid wsp:val=&quot;008A090B&quot;/&gt;&lt;wsp:rsid wsp:val=&quot;008A11BE&quot;/&gt;&lt;wsp:rsid wsp:val=&quot;008A1289&quot;/&gt;&lt;wsp:rsid wsp:val=&quot;008A16D2&quot;/&gt;&lt;wsp:rsid wsp:val=&quot;008A1A17&quot;/&gt;&lt;wsp:rsid wsp:val=&quot;008A21F2&quot;/&gt;&lt;wsp:rsid wsp:val=&quot;008A2B0C&quot;/&gt;&lt;wsp:rsid wsp:val=&quot;008A2CF8&quot;/&gt;&lt;wsp:rsid wsp:val=&quot;008A3D8F&quot;/&gt;&lt;wsp:rsid wsp:val=&quot;008A3E1D&quot;/&gt;&lt;wsp:rsid wsp:val=&quot;008A4B52&quot;/&gt;&lt;wsp:rsid wsp:val=&quot;008A4BB4&quot;/&gt;&lt;wsp:rsid wsp:val=&quot;008A50E6&quot;/&gt;&lt;wsp:rsid wsp:val=&quot;008A5C1F&quot;/&gt;&lt;wsp:rsid wsp:val=&quot;008A680D&quot;/&gt;&lt;wsp:rsid wsp:val=&quot;008A6ECC&quot;/&gt;&lt;wsp:rsid wsp:val=&quot;008B09C9&quot;/&gt;&lt;wsp:rsid wsp:val=&quot;008B0B92&quot;/&gt;&lt;wsp:rsid wsp:val=&quot;008B0CC5&quot;/&gt;&lt;wsp:rsid wsp:val=&quot;008B1274&quot;/&gt;&lt;wsp:rsid wsp:val=&quot;008B1668&quot;/&gt;&lt;wsp:rsid wsp:val=&quot;008B1BE7&quot;/&gt;&lt;wsp:rsid wsp:val=&quot;008B36D9&quot;/&gt;&lt;wsp:rsid wsp:val=&quot;008B3707&quot;/&gt;&lt;wsp:rsid wsp:val=&quot;008B3828&quot;/&gt;&lt;wsp:rsid wsp:val=&quot;008B45A2&quot;/&gt;&lt;wsp:rsid wsp:val=&quot;008B4AFD&quot;/&gt;&lt;wsp:rsid wsp:val=&quot;008B4B59&quot;/&gt;&lt;wsp:rsid wsp:val=&quot;008B5AA5&quot;/&gt;&lt;wsp:rsid wsp:val=&quot;008B5CED&quot;/&gt;&lt;wsp:rsid wsp:val=&quot;008B5E08&quot;/&gt;&lt;wsp:rsid wsp:val=&quot;008B6095&quot;/&gt;&lt;wsp:rsid wsp:val=&quot;008B65BA&quot;/&gt;&lt;wsp:rsid wsp:val=&quot;008B679C&quot;/&gt;&lt;wsp:rsid wsp:val=&quot;008B67A8&quot;/&gt;&lt;wsp:rsid wsp:val=&quot;008B6ACF&quot;/&gt;&lt;wsp:rsid wsp:val=&quot;008B6D9F&quot;/&gt;&lt;wsp:rsid wsp:val=&quot;008B6FFB&quot;/&gt;&lt;wsp:rsid wsp:val=&quot;008B7373&quot;/&gt;&lt;wsp:rsid wsp:val=&quot;008B7B58&quot;/&gt;&lt;wsp:rsid wsp:val=&quot;008C0169&quot;/&gt;&lt;wsp:rsid wsp:val=&quot;008C0E35&quot;/&gt;&lt;wsp:rsid wsp:val=&quot;008C2B54&quot;/&gt;&lt;wsp:rsid wsp:val=&quot;008C33A7&quot;/&gt;&lt;wsp:rsid wsp:val=&quot;008C3563&quot;/&gt;&lt;wsp:rsid wsp:val=&quot;008C386B&quot;/&gt;&lt;wsp:rsid wsp:val=&quot;008C3A86&quot;/&gt;&lt;wsp:rsid wsp:val=&quot;008C489C&quot;/&gt;&lt;wsp:rsid wsp:val=&quot;008C54E0&quot;/&gt;&lt;wsp:rsid wsp:val=&quot;008C5593&quot;/&gt;&lt;wsp:rsid wsp:val=&quot;008C61B2&quot;/&gt;&lt;wsp:rsid wsp:val=&quot;008C62F4&quot;/&gt;&lt;wsp:rsid wsp:val=&quot;008C6474&quot;/&gt;&lt;wsp:rsid wsp:val=&quot;008C6949&quot;/&gt;&lt;wsp:rsid wsp:val=&quot;008C773A&quot;/&gt;&lt;wsp:rsid wsp:val=&quot;008D0B25&quot;/&gt;&lt;wsp:rsid wsp:val=&quot;008D116F&quot;/&gt;&lt;wsp:rsid wsp:val=&quot;008D1229&quot;/&gt;&lt;wsp:rsid wsp:val=&quot;008D1863&quot;/&gt;&lt;wsp:rsid wsp:val=&quot;008D18CD&quot;/&gt;&lt;wsp:rsid wsp:val=&quot;008D1DB7&quot;/&gt;&lt;wsp:rsid wsp:val=&quot;008D26B4&quot;/&gt;&lt;wsp:rsid wsp:val=&quot;008D2DE8&quot;/&gt;&lt;wsp:rsid wsp:val=&quot;008D3457&quot;/&gt;&lt;wsp:rsid wsp:val=&quot;008D43AA&quot;/&gt;&lt;wsp:rsid wsp:val=&quot;008D4CBF&quot;/&gt;&lt;wsp:rsid wsp:val=&quot;008D6DA1&quot;/&gt;&lt;wsp:rsid wsp:val=&quot;008D737E&quot;/&gt;&lt;wsp:rsid wsp:val=&quot;008D7D66&quot;/&gt;&lt;wsp:rsid wsp:val=&quot;008E01EE&quot;/&gt;&lt;wsp:rsid wsp:val=&quot;008E0552&quot;/&gt;&lt;wsp:rsid wsp:val=&quot;008E1BD0&quot;/&gt;&lt;wsp:rsid wsp:val=&quot;008E2434&quot;/&gt;&lt;wsp:rsid wsp:val=&quot;008E2446&quot;/&gt;&lt;wsp:rsid wsp:val=&quot;008E417F&quot;/&gt;&lt;wsp:rsid wsp:val=&quot;008E47C2&quot;/&gt;&lt;wsp:rsid wsp:val=&quot;008E554D&quot;/&gt;&lt;wsp:rsid wsp:val=&quot;008E5B3B&quot;/&gt;&lt;wsp:rsid wsp:val=&quot;008E5F7A&quot;/&gt;&lt;wsp:rsid wsp:val=&quot;008E6F73&quot;/&gt;&lt;wsp:rsid wsp:val=&quot;008F0866&quot;/&gt;&lt;wsp:rsid wsp:val=&quot;008F0D98&quot;/&gt;&lt;wsp:rsid wsp:val=&quot;008F0F1F&quot;/&gt;&lt;wsp:rsid wsp:val=&quot;008F1555&quot;/&gt;&lt;wsp:rsid wsp:val=&quot;008F29C0&quot;/&gt;&lt;wsp:rsid wsp:val=&quot;008F3302&quot;/&gt;&lt;wsp:rsid wsp:val=&quot;008F604B&quot;/&gt;&lt;wsp:rsid wsp:val=&quot;008F66F1&quot;/&gt;&lt;wsp:rsid wsp:val=&quot;008F6B48&quot;/&gt;&lt;wsp:rsid wsp:val=&quot;008F70B6&quot;/&gt;&lt;wsp:rsid wsp:val=&quot;008F71BB&quot;/&gt;&lt;wsp:rsid wsp:val=&quot;008F7707&quot;/&gt;&lt;wsp:rsid wsp:val=&quot;009011D5&quot;/&gt;&lt;wsp:rsid wsp:val=&quot;00901802&quot;/&gt;&lt;wsp:rsid wsp:val=&quot;00901EAC&quot;/&gt;&lt;wsp:rsid wsp:val=&quot;00902E1A&quot;/&gt;&lt;wsp:rsid wsp:val=&quot;009044F4&quot;/&gt;&lt;wsp:rsid wsp:val=&quot;00904731&quot;/&gt;&lt;wsp:rsid wsp:val=&quot;00904884&quot;/&gt;&lt;wsp:rsid wsp:val=&quot;009051BC&quot;/&gt;&lt;wsp:rsid wsp:val=&quot;009056A5&quot;/&gt;&lt;wsp:rsid wsp:val=&quot;0090590F&quot;/&gt;&lt;wsp:rsid wsp:val=&quot;00907272&quot;/&gt;&lt;wsp:rsid wsp:val=&quot;009076A2&quot;/&gt;&lt;wsp:rsid wsp:val=&quot;00907DEE&quot;/&gt;&lt;wsp:rsid wsp:val=&quot;00910B25&quot;/&gt;&lt;wsp:rsid wsp:val=&quot;009113DD&quot;/&gt;&lt;wsp:rsid wsp:val=&quot;009113F1&quot;/&gt;&lt;wsp:rsid wsp:val=&quot;00911456&quot;/&gt;&lt;wsp:rsid wsp:val=&quot;00911DB0&quot;/&gt;&lt;wsp:rsid wsp:val=&quot;0091262F&quot;/&gt;&lt;wsp:rsid wsp:val=&quot;00912A5C&quot;/&gt;&lt;wsp:rsid wsp:val=&quot;00912CD2&quot;/&gt;&lt;wsp:rsid wsp:val=&quot;009135F6&quot;/&gt;&lt;wsp:rsid wsp:val=&quot;00913851&quot;/&gt;&lt;wsp:rsid wsp:val=&quot;009141D0&quot;/&gt;&lt;wsp:rsid wsp:val=&quot;00914BA4&quot;/&gt;&lt;wsp:rsid wsp:val=&quot;00916A06&quot;/&gt;&lt;wsp:rsid wsp:val=&quot;00916D5D&quot;/&gt;&lt;wsp:rsid wsp:val=&quot;00916E15&quot;/&gt;&lt;wsp:rsid wsp:val=&quot;00917276&quot;/&gt;&lt;wsp:rsid wsp:val=&quot;009174B0&quot;/&gt;&lt;wsp:rsid wsp:val=&quot;00917B80&quot;/&gt;&lt;wsp:rsid wsp:val=&quot;00917E44&quot;/&gt;&lt;wsp:rsid wsp:val=&quot;00917EA3&quot;/&gt;&lt;wsp:rsid wsp:val=&quot;00920D3D&quot;/&gt;&lt;wsp:rsid wsp:val=&quot;0092112B&quot;/&gt;&lt;wsp:rsid wsp:val=&quot;00921EE0&quot;/&gt;&lt;wsp:rsid wsp:val=&quot;00921F82&quot;/&gt;&lt;wsp:rsid wsp:val=&quot;009224B1&quot;/&gt;&lt;wsp:rsid wsp:val=&quot;00922C9A&quot;/&gt;&lt;wsp:rsid wsp:val=&quot;0092362B&quot;/&gt;&lt;wsp:rsid wsp:val=&quot;00923A3C&quot;/&gt;&lt;wsp:rsid wsp:val=&quot;00923D83&quot;/&gt;&lt;wsp:rsid wsp:val=&quot;009259D4&quot;/&gt;&lt;wsp:rsid wsp:val=&quot;00925A9A&quot;/&gt;&lt;wsp:rsid wsp:val=&quot;0092627D&quot;/&gt;&lt;wsp:rsid wsp:val=&quot;009272DD&quot;/&gt;&lt;wsp:rsid wsp:val=&quot;0092749F&quot;/&gt;&lt;wsp:rsid wsp:val=&quot;00927595&quot;/&gt;&lt;wsp:rsid wsp:val=&quot;009279E8&quot;/&gt;&lt;wsp:rsid wsp:val=&quot;00927AA8&quot;/&gt;&lt;wsp:rsid wsp:val=&quot;00927C4D&quot;/&gt;&lt;wsp:rsid wsp:val=&quot;00927E35&quot;/&gt;&lt;wsp:rsid wsp:val=&quot;009308F0&quot;/&gt;&lt;wsp:rsid wsp:val=&quot;009310BE&quot;/&gt;&lt;wsp:rsid wsp:val=&quot;009310CE&quot;/&gt;&lt;wsp:rsid wsp:val=&quot;009313A4&quot;/&gt;&lt;wsp:rsid wsp:val=&quot;00931EE6&quot;/&gt;&lt;wsp:rsid wsp:val=&quot;00932275&quot;/&gt;&lt;wsp:rsid wsp:val=&quot;00933AB5&quot;/&gt;&lt;wsp:rsid wsp:val=&quot;00934403&quot;/&gt;&lt;wsp:rsid wsp:val=&quot;00934AA3&quot;/&gt;&lt;wsp:rsid wsp:val=&quot;00934E4F&quot;/&gt;&lt;wsp:rsid wsp:val=&quot;00937A9D&quot;/&gt;&lt;wsp:rsid wsp:val=&quot;00937C13&quot;/&gt;&lt;wsp:rsid wsp:val=&quot;00940758&quot;/&gt;&lt;wsp:rsid wsp:val=&quot;00940E2C&quot;/&gt;&lt;wsp:rsid wsp:val=&quot;00941999&quot;/&gt;&lt;wsp:rsid wsp:val=&quot;00942484&quot;/&gt;&lt;wsp:rsid wsp:val=&quot;00942A77&quot;/&gt;&lt;wsp:rsid wsp:val=&quot;00942E3B&quot;/&gt;&lt;wsp:rsid wsp:val=&quot;00943140&quot;/&gt;&lt;wsp:rsid wsp:val=&quot;00943B7F&quot;/&gt;&lt;wsp:rsid wsp:val=&quot;00943D8E&quot;/&gt;&lt;wsp:rsid wsp:val=&quot;009447BD&quot;/&gt;&lt;wsp:rsid wsp:val=&quot;009449A7&quot;/&gt;&lt;wsp:rsid wsp:val=&quot;00944EC3&quot;/&gt;&lt;wsp:rsid wsp:val=&quot;00945847&quot;/&gt;&lt;wsp:rsid wsp:val=&quot;00945C52&quot;/&gt;&lt;wsp:rsid wsp:val=&quot;0094689F&quot;/&gt;&lt;wsp:rsid wsp:val=&quot;0094698B&quot;/&gt;&lt;wsp:rsid wsp:val=&quot;009475CF&quot;/&gt;&lt;wsp:rsid wsp:val=&quot;00947DF0&quot;/&gt;&lt;wsp:rsid wsp:val=&quot;00950517&quot;/&gt;&lt;wsp:rsid wsp:val=&quot;009506C8&quot;/&gt;&lt;wsp:rsid wsp:val=&quot;00950C74&quot;/&gt;&lt;wsp:rsid wsp:val=&quot;00951371&quot;/&gt;&lt;wsp:rsid wsp:val=&quot;00951562&quot;/&gt;&lt;wsp:rsid wsp:val=&quot;00951F90&quot;/&gt;&lt;wsp:rsid wsp:val=&quot;009528D7&quot;/&gt;&lt;wsp:rsid wsp:val=&quot;009544D2&quot;/&gt;&lt;wsp:rsid wsp:val=&quot;00954EB8&quot;/&gt;&lt;wsp:rsid wsp:val=&quot;009552B8&quot;/&gt;&lt;wsp:rsid wsp:val=&quot;00955388&quot;/&gt;&lt;wsp:rsid wsp:val=&quot;009554C8&quot;/&gt;&lt;wsp:rsid wsp:val=&quot;009600F4&quot;/&gt;&lt;wsp:rsid wsp:val=&quot;009605DF&quot;/&gt;&lt;wsp:rsid wsp:val=&quot;00960820&quot;/&gt;&lt;wsp:rsid wsp:val=&quot;009615C9&quot;/&gt;&lt;wsp:rsid wsp:val=&quot;00961742&quot;/&gt;&lt;wsp:rsid wsp:val=&quot;00961B14&quot;/&gt;&lt;wsp:rsid wsp:val=&quot;0096246C&quot;/&gt;&lt;wsp:rsid wsp:val=&quot;009626C3&quot;/&gt;&lt;wsp:rsid wsp:val=&quot;009640CB&quot;/&gt;&lt;wsp:rsid wsp:val=&quot;009645B6&quot;/&gt;&lt;wsp:rsid wsp:val=&quot;0096577A&quot;/&gt;&lt;wsp:rsid wsp:val=&quot;00965C43&quot;/&gt;&lt;wsp:rsid wsp:val=&quot;00966283&quot;/&gt;&lt;wsp:rsid wsp:val=&quot;00967666&quot;/&gt;&lt;wsp:rsid wsp:val=&quot;0096778E&quot;/&gt;&lt;wsp:rsid wsp:val=&quot;0097002C&quot;/&gt;&lt;wsp:rsid wsp:val=&quot;009709EF&quot;/&gt;&lt;wsp:rsid wsp:val=&quot;00970ECB&quot;/&gt;&lt;wsp:rsid wsp:val=&quot;0097152F&quot;/&gt;&lt;wsp:rsid wsp:val=&quot;00971B52&quot;/&gt;&lt;wsp:rsid wsp:val=&quot;0097264F&quot;/&gt;&lt;wsp:rsid wsp:val=&quot;009732BD&quot;/&gt;&lt;wsp:rsid wsp:val=&quot;0097395F&quot;/&gt;&lt;wsp:rsid wsp:val=&quot;00973F66&quot;/&gt;&lt;wsp:rsid wsp:val=&quot;00973FEA&quot;/&gt;&lt;wsp:rsid wsp:val=&quot;009741DA&quot;/&gt;&lt;wsp:rsid wsp:val=&quot;0097491E&quot;/&gt;&lt;wsp:rsid wsp:val=&quot;00975345&quot;/&gt;&lt;wsp:rsid wsp:val=&quot;009754A7&quot;/&gt;&lt;wsp:rsid wsp:val=&quot;00975876&quot;/&gt;&lt;wsp:rsid wsp:val=&quot;00975FDA&quot;/&gt;&lt;wsp:rsid wsp:val=&quot;009768F9&quot;/&gt;&lt;wsp:rsid wsp:val=&quot;00976E50&quot;/&gt;&lt;wsp:rsid wsp:val=&quot;00977036&quot;/&gt;&lt;wsp:rsid wsp:val=&quot;009777E9&quot;/&gt;&lt;wsp:rsid wsp:val=&quot;00977F3D&quot;/&gt;&lt;wsp:rsid wsp:val=&quot;00981606&quot;/&gt;&lt;wsp:rsid wsp:val=&quot;0098195C&quot;/&gt;&lt;wsp:rsid wsp:val=&quot;0098235E&quot;/&gt;&lt;wsp:rsid wsp:val=&quot;00982DC1&quot;/&gt;&lt;wsp:rsid wsp:val=&quot;00982DEC&quot;/&gt;&lt;wsp:rsid wsp:val=&quot;0098329C&quot;/&gt;&lt;wsp:rsid wsp:val=&quot;00983C7A&quot;/&gt;&lt;wsp:rsid wsp:val=&quot;00984810&quot;/&gt;&lt;wsp:rsid wsp:val=&quot;00984923&quot;/&gt;&lt;wsp:rsid wsp:val=&quot;00984B5E&quot;/&gt;&lt;wsp:rsid wsp:val=&quot;00985CCA&quot;/&gt;&lt;wsp:rsid wsp:val=&quot;0098604D&quot;/&gt;&lt;wsp:rsid wsp:val=&quot;009871CF&quot;/&gt;&lt;wsp:rsid wsp:val=&quot;00987C3D&quot;/&gt;&lt;wsp:rsid wsp:val=&quot;0099077C&quot;/&gt;&lt;wsp:rsid wsp:val=&quot;00990A6A&quot;/&gt;&lt;wsp:rsid wsp:val=&quot;00990E52&quot;/&gt;&lt;wsp:rsid wsp:val=&quot;0099274C&quot;/&gt;&lt;wsp:rsid wsp:val=&quot;00992DB0&quot;/&gt;&lt;wsp:rsid wsp:val=&quot;00993273&quot;/&gt;&lt;wsp:rsid wsp:val=&quot;00993307&quot;/&gt;&lt;wsp:rsid wsp:val=&quot;0099360B&quot;/&gt;&lt;wsp:rsid wsp:val=&quot;009937DB&quot;/&gt;&lt;wsp:rsid wsp:val=&quot;00994292&quot;/&gt;&lt;wsp:rsid wsp:val=&quot;00994CA1&quot;/&gt;&lt;wsp:rsid wsp:val=&quot;00995362&quot;/&gt;&lt;wsp:rsid wsp:val=&quot;00995800&quot;/&gt;&lt;wsp:rsid wsp:val=&quot;009959C1&quot;/&gt;&lt;wsp:rsid wsp:val=&quot;00995A07&quot;/&gt;&lt;wsp:rsid wsp:val=&quot;00995EA5&quot;/&gt;&lt;wsp:rsid wsp:val=&quot;00995EC4&quot;/&gt;&lt;wsp:rsid wsp:val=&quot;009A04F3&quot;/&gt;&lt;wsp:rsid wsp:val=&quot;009A15D8&quot;/&gt;&lt;wsp:rsid wsp:val=&quot;009A2CEA&quot;/&gt;&lt;wsp:rsid wsp:val=&quot;009A36A2&quot;/&gt;&lt;wsp:rsid wsp:val=&quot;009A37DA&quot;/&gt;&lt;wsp:rsid wsp:val=&quot;009A3CE7&quot;/&gt;&lt;wsp:rsid wsp:val=&quot;009A408E&quot;/&gt;&lt;wsp:rsid wsp:val=&quot;009A50B5&quot;/&gt;&lt;wsp:rsid wsp:val=&quot;009A53D2&quot;/&gt;&lt;wsp:rsid wsp:val=&quot;009A5AB4&quot;/&gt;&lt;wsp:rsid wsp:val=&quot;009A7623&quot;/&gt;&lt;wsp:rsid wsp:val=&quot;009A7790&quot;/&gt;&lt;wsp:rsid wsp:val=&quot;009B0EB0&quot;/&gt;&lt;wsp:rsid wsp:val=&quot;009B10FD&quot;/&gt;&lt;wsp:rsid wsp:val=&quot;009B128B&quot;/&gt;&lt;wsp:rsid wsp:val=&quot;009B14C0&quot;/&gt;&lt;wsp:rsid wsp:val=&quot;009B1790&quot;/&gt;&lt;wsp:rsid wsp:val=&quot;009B1DFD&quot;/&gt;&lt;wsp:rsid wsp:val=&quot;009B2B5B&quot;/&gt;&lt;wsp:rsid wsp:val=&quot;009B3884&quot;/&gt;&lt;wsp:rsid wsp:val=&quot;009B4B92&quot;/&gt;&lt;wsp:rsid wsp:val=&quot;009B4CB6&quot;/&gt;&lt;wsp:rsid wsp:val=&quot;009B5344&quot;/&gt;&lt;wsp:rsid wsp:val=&quot;009B53DE&quot;/&gt;&lt;wsp:rsid wsp:val=&quot;009B56E7&quot;/&gt;&lt;wsp:rsid wsp:val=&quot;009B6E3B&quot;/&gt;&lt;wsp:rsid wsp:val=&quot;009B6F59&quot;/&gt;&lt;wsp:rsid wsp:val=&quot;009B73B8&quot;/&gt;&lt;wsp:rsid wsp:val=&quot;009B7AED&quot;/&gt;&lt;wsp:rsid wsp:val=&quot;009B7CFD&quot;/&gt;&lt;wsp:rsid wsp:val=&quot;009B7F80&quot;/&gt;&lt;wsp:rsid wsp:val=&quot;009C0BD6&quot;/&gt;&lt;wsp:rsid wsp:val=&quot;009C1269&quot;/&gt;&lt;wsp:rsid wsp:val=&quot;009C22F1&quot;/&gt;&lt;wsp:rsid wsp:val=&quot;009C2A2D&quot;/&gt;&lt;wsp:rsid wsp:val=&quot;009C3431&quot;/&gt;&lt;wsp:rsid wsp:val=&quot;009C4006&quot;/&gt;&lt;wsp:rsid wsp:val=&quot;009C41E0&quot;/&gt;&lt;wsp:rsid wsp:val=&quot;009C583D&quot;/&gt;&lt;wsp:rsid wsp:val=&quot;009C5EA3&quot;/&gt;&lt;wsp:rsid wsp:val=&quot;009C714F&quot;/&gt;&lt;wsp:rsid wsp:val=&quot;009C78F9&quot;/&gt;&lt;wsp:rsid wsp:val=&quot;009C7D55&quot;/&gt;&lt;wsp:rsid wsp:val=&quot;009C7E03&quot;/&gt;&lt;wsp:rsid wsp:val=&quot;009D0624&quot;/&gt;&lt;wsp:rsid wsp:val=&quot;009D17C8&quot;/&gt;&lt;wsp:rsid wsp:val=&quot;009D2A02&quot;/&gt;&lt;wsp:rsid wsp:val=&quot;009D4165&quot;/&gt;&lt;wsp:rsid wsp:val=&quot;009D4756&quot;/&gt;&lt;wsp:rsid wsp:val=&quot;009D4E60&quot;/&gt;&lt;wsp:rsid wsp:val=&quot;009D5A37&quot;/&gt;&lt;wsp:rsid wsp:val=&quot;009D5DA0&quot;/&gt;&lt;wsp:rsid wsp:val=&quot;009D62EE&quot;/&gt;&lt;wsp:rsid wsp:val=&quot;009D6503&quot;/&gt;&lt;wsp:rsid wsp:val=&quot;009D685A&quot;/&gt;&lt;wsp:rsid wsp:val=&quot;009D6B83&quot;/&gt;&lt;wsp:rsid wsp:val=&quot;009D6BD0&quot;/&gt;&lt;wsp:rsid wsp:val=&quot;009D6FC0&quot;/&gt;&lt;wsp:rsid wsp:val=&quot;009D7B2C&quot;/&gt;&lt;wsp:rsid wsp:val=&quot;009D7C8F&quot;/&gt;&lt;wsp:rsid wsp:val=&quot;009E029F&quot;/&gt;&lt;wsp:rsid wsp:val=&quot;009E02D7&quot;/&gt;&lt;wsp:rsid wsp:val=&quot;009E0BEA&quot;/&gt;&lt;wsp:rsid wsp:val=&quot;009E0F4A&quot;/&gt;&lt;wsp:rsid wsp:val=&quot;009E1225&quot;/&gt;&lt;wsp:rsid wsp:val=&quot;009E1528&quot;/&gt;&lt;wsp:rsid wsp:val=&quot;009E2244&quot;/&gt;&lt;wsp:rsid wsp:val=&quot;009E3C76&quot;/&gt;&lt;wsp:rsid wsp:val=&quot;009E4473&quot;/&gt;&lt;wsp:rsid wsp:val=&quot;009E4F0F&quot;/&gt;&lt;wsp:rsid wsp:val=&quot;009E51C0&quot;/&gt;&lt;wsp:rsid wsp:val=&quot;009E57CA&quot;/&gt;&lt;wsp:rsid wsp:val=&quot;009E655D&quot;/&gt;&lt;wsp:rsid wsp:val=&quot;009E7090&quot;/&gt;&lt;wsp:rsid wsp:val=&quot;009E7BF0&quot;/&gt;&lt;wsp:rsid wsp:val=&quot;009F0C4D&quot;/&gt;&lt;wsp:rsid wsp:val=&quot;009F12A8&quot;/&gt;&lt;wsp:rsid wsp:val=&quot;009F17E6&quot;/&gt;&lt;wsp:rsid wsp:val=&quot;009F21DB&quot;/&gt;&lt;wsp:rsid wsp:val=&quot;009F2CFF&quot;/&gt;&lt;wsp:rsid wsp:val=&quot;009F3A92&quot;/&gt;&lt;wsp:rsid wsp:val=&quot;009F3AB2&quot;/&gt;&lt;wsp:rsid wsp:val=&quot;009F4196&quot;/&gt;&lt;wsp:rsid wsp:val=&quot;009F634B&quot;/&gt;&lt;wsp:rsid wsp:val=&quot;009F7103&quot;/&gt;&lt;wsp:rsid wsp:val=&quot;00A000F4&quot;/&gt;&lt;wsp:rsid wsp:val=&quot;00A00634&quot;/&gt;&lt;wsp:rsid wsp:val=&quot;00A008DC&quot;/&gt;&lt;wsp:rsid wsp:val=&quot;00A008EA&quot;/&gt;&lt;wsp:rsid wsp:val=&quot;00A00D6D&quot;/&gt;&lt;wsp:rsid wsp:val=&quot;00A014DA&quot;/&gt;&lt;wsp:rsid wsp:val=&quot;00A014FB&quot;/&gt;&lt;wsp:rsid wsp:val=&quot;00A01AFA&quot;/&gt;&lt;wsp:rsid wsp:val=&quot;00A024D6&quot;/&gt;&lt;wsp:rsid wsp:val=&quot;00A0286E&quot;/&gt;&lt;wsp:rsid wsp:val=&quot;00A0290C&quot;/&gt;&lt;wsp:rsid wsp:val=&quot;00A035AB&quot;/&gt;&lt;wsp:rsid wsp:val=&quot;00A0379C&quot;/&gt;&lt;wsp:rsid wsp:val=&quot;00A03CCB&quot;/&gt;&lt;wsp:rsid wsp:val=&quot;00A060C3&quot;/&gt;&lt;wsp:rsid wsp:val=&quot;00A0684E&quot;/&gt;&lt;wsp:rsid wsp:val=&quot;00A0693C&quot;/&gt;&lt;wsp:rsid wsp:val=&quot;00A07E81&quot;/&gt;&lt;wsp:rsid wsp:val=&quot;00A1047C&quot;/&gt;&lt;wsp:rsid wsp:val=&quot;00A10B3C&quot;/&gt;&lt;wsp:rsid wsp:val=&quot;00A10F8E&quot;/&gt;&lt;wsp:rsid wsp:val=&quot;00A117A6&quot;/&gt;&lt;wsp:rsid wsp:val=&quot;00A129D7&quot;/&gt;&lt;wsp:rsid wsp:val=&quot;00A12F9E&quot;/&gt;&lt;wsp:rsid wsp:val=&quot;00A13A5C&quot;/&gt;&lt;wsp:rsid wsp:val=&quot;00A14CB9&quot;/&gt;&lt;wsp:rsid wsp:val=&quot;00A155C3&quot;/&gt;&lt;wsp:rsid wsp:val=&quot;00A15BCF&quot;/&gt;&lt;wsp:rsid wsp:val=&quot;00A16D36&quot;/&gt;&lt;wsp:rsid wsp:val=&quot;00A177F8&quot;/&gt;&lt;wsp:rsid wsp:val=&quot;00A17AF4&quot;/&gt;&lt;wsp:rsid wsp:val=&quot;00A17BA5&quot;/&gt;&lt;wsp:rsid wsp:val=&quot;00A20F3C&quot;/&gt;&lt;wsp:rsid wsp:val=&quot;00A21FE5&quot;/&gt;&lt;wsp:rsid wsp:val=&quot;00A22224&quot;/&gt;&lt;wsp:rsid wsp:val=&quot;00A22D0F&quot;/&gt;&lt;wsp:rsid wsp:val=&quot;00A230C7&quot;/&gt;&lt;wsp:rsid wsp:val=&quot;00A2366E&quot;/&gt;&lt;wsp:rsid wsp:val=&quot;00A239E4&quot;/&gt;&lt;wsp:rsid wsp:val=&quot;00A23B66&quot;/&gt;&lt;wsp:rsid wsp:val=&quot;00A23FD6&quot;/&gt;&lt;wsp:rsid wsp:val=&quot;00A23FF2&quot;/&gt;&lt;wsp:rsid wsp:val=&quot;00A2437C&quot;/&gt;&lt;wsp:rsid wsp:val=&quot;00A24F34&quot;/&gt;&lt;wsp:rsid wsp:val=&quot;00A25ADF&quot;/&gt;&lt;wsp:rsid wsp:val=&quot;00A25B2D&quot;/&gt;&lt;wsp:rsid wsp:val=&quot;00A25B3C&quot;/&gt;&lt;wsp:rsid wsp:val=&quot;00A26420&quot;/&gt;&lt;wsp:rsid wsp:val=&quot;00A26B23&quot;/&gt;&lt;wsp:rsid wsp:val=&quot;00A26D37&quot;/&gt;&lt;wsp:rsid wsp:val=&quot;00A27070&quot;/&gt;&lt;wsp:rsid wsp:val=&quot;00A2751C&quot;/&gt;&lt;wsp:rsid wsp:val=&quot;00A30410&quot;/&gt;&lt;wsp:rsid wsp:val=&quot;00A30751&quot;/&gt;&lt;wsp:rsid wsp:val=&quot;00A312FA&quot;/&gt;&lt;wsp:rsid wsp:val=&quot;00A31EF2&quot;/&gt;&lt;wsp:rsid wsp:val=&quot;00A32164&quot;/&gt;&lt;wsp:rsid wsp:val=&quot;00A322FB&quot;/&gt;&lt;wsp:rsid wsp:val=&quot;00A323DB&quot;/&gt;&lt;wsp:rsid wsp:val=&quot;00A325B2&quot;/&gt;&lt;wsp:rsid wsp:val=&quot;00A32CD9&quot;/&gt;&lt;wsp:rsid wsp:val=&quot;00A33690&quot;/&gt;&lt;wsp:rsid wsp:val=&quot;00A336D1&quot;/&gt;&lt;wsp:rsid wsp:val=&quot;00A33EDC&quot;/&gt;&lt;wsp:rsid wsp:val=&quot;00A35CE6&quot;/&gt;&lt;wsp:rsid wsp:val=&quot;00A36385&quot;/&gt;&lt;wsp:rsid wsp:val=&quot;00A367FA&quot;/&gt;&lt;wsp:rsid wsp:val=&quot;00A369FB&quot;/&gt;&lt;wsp:rsid wsp:val=&quot;00A36BC7&quot;/&gt;&lt;wsp:rsid wsp:val=&quot;00A36E8F&quot;/&gt;&lt;wsp:rsid wsp:val=&quot;00A372BF&quot;/&gt;&lt;wsp:rsid wsp:val=&quot;00A40254&quot;/&gt;&lt;wsp:rsid wsp:val=&quot;00A42C03&quot;/&gt;&lt;wsp:rsid wsp:val=&quot;00A42D6A&quot;/&gt;&lt;wsp:rsid wsp:val=&quot;00A430C9&quot;/&gt;&lt;wsp:rsid wsp:val=&quot;00A4316C&quot;/&gt;&lt;wsp:rsid wsp:val=&quot;00A433CD&quot;/&gt;&lt;wsp:rsid wsp:val=&quot;00A44288&quot;/&gt;&lt;wsp:rsid wsp:val=&quot;00A45495&quot;/&gt;&lt;wsp:rsid wsp:val=&quot;00A47557&quot;/&gt;&lt;wsp:rsid wsp:val=&quot;00A4775F&quot;/&gt;&lt;wsp:rsid wsp:val=&quot;00A47954&quot;/&gt;&lt;wsp:rsid wsp:val=&quot;00A500C2&quot;/&gt;&lt;wsp:rsid wsp:val=&quot;00A50422&quot;/&gt;&lt;wsp:rsid wsp:val=&quot;00A50D42&quot;/&gt;&lt;wsp:rsid wsp:val=&quot;00A50D64&quot;/&gt;&lt;wsp:rsid wsp:val=&quot;00A5163D&quot;/&gt;&lt;wsp:rsid wsp:val=&quot;00A51721&quot;/&gt;&lt;wsp:rsid wsp:val=&quot;00A52B77&quot;/&gt;&lt;wsp:rsid wsp:val=&quot;00A52EE1&quot;/&gt;&lt;wsp:rsid wsp:val=&quot;00A53851&quot;/&gt;&lt;wsp:rsid wsp:val=&quot;00A54352&quot;/&gt;&lt;wsp:rsid wsp:val=&quot;00A543F9&quot;/&gt;&lt;wsp:rsid wsp:val=&quot;00A5449C&quot;/&gt;&lt;wsp:rsid wsp:val=&quot;00A55625&quot;/&gt;&lt;wsp:rsid wsp:val=&quot;00A56461&quot;/&gt;&lt;wsp:rsid wsp:val=&quot;00A564E1&quot;/&gt;&lt;wsp:rsid wsp:val=&quot;00A56A6F&quot;/&gt;&lt;wsp:rsid wsp:val=&quot;00A60259&quot;/&gt;&lt;wsp:rsid wsp:val=&quot;00A604D4&quot;/&gt;&lt;wsp:rsid wsp:val=&quot;00A60626&quot;/&gt;&lt;wsp:rsid wsp:val=&quot;00A60BF8&quot;/&gt;&lt;wsp:rsid wsp:val=&quot;00A6119E&quot;/&gt;&lt;wsp:rsid wsp:val=&quot;00A617A2&quot;/&gt;&lt;wsp:rsid wsp:val=&quot;00A61C3B&quot;/&gt;&lt;wsp:rsid wsp:val=&quot;00A623E6&quot;/&gt;&lt;wsp:rsid wsp:val=&quot;00A62B53&quot;/&gt;&lt;wsp:rsid wsp:val=&quot;00A62F70&quot;/&gt;&lt;wsp:rsid wsp:val=&quot;00A6333B&quot;/&gt;&lt;wsp:rsid wsp:val=&quot;00A634D0&quot;/&gt;&lt;wsp:rsid wsp:val=&quot;00A63B9A&quot;/&gt;&lt;wsp:rsid wsp:val=&quot;00A64D17&quot;/&gt;&lt;wsp:rsid wsp:val=&quot;00A64EC6&quot;/&gt;&lt;wsp:rsid wsp:val=&quot;00A66006&quot;/&gt;&lt;wsp:rsid wsp:val=&quot;00A66265&quot;/&gt;&lt;wsp:rsid wsp:val=&quot;00A66287&quot;/&gt;&lt;wsp:rsid wsp:val=&quot;00A6708D&quot;/&gt;&lt;wsp:rsid wsp:val=&quot;00A6782A&quot;/&gt;&lt;wsp:rsid wsp:val=&quot;00A705AC&quot;/&gt;&lt;wsp:rsid wsp:val=&quot;00A7161F&quot;/&gt;&lt;wsp:rsid wsp:val=&quot;00A71744&quot;/&gt;&lt;wsp:rsid wsp:val=&quot;00A71DAB&quot;/&gt;&lt;wsp:rsid wsp:val=&quot;00A720C8&quot;/&gt;&lt;wsp:rsid wsp:val=&quot;00A7423A&quot;/&gt;&lt;wsp:rsid wsp:val=&quot;00A7472C&quot;/&gt;&lt;wsp:rsid wsp:val=&quot;00A75686&quot;/&gt;&lt;wsp:rsid wsp:val=&quot;00A75E2D&quot;/&gt;&lt;wsp:rsid wsp:val=&quot;00A7611B&quot;/&gt;&lt;wsp:rsid wsp:val=&quot;00A765B0&quot;/&gt;&lt;wsp:rsid wsp:val=&quot;00A76E46&quot;/&gt;&lt;wsp:rsid wsp:val=&quot;00A76FE9&quot;/&gt;&lt;wsp:rsid wsp:val=&quot;00A77718&quot;/&gt;&lt;wsp:rsid wsp:val=&quot;00A77B97&quot;/&gt;&lt;wsp:rsid wsp:val=&quot;00A828E2&quot;/&gt;&lt;wsp:rsid wsp:val=&quot;00A82F68&quot;/&gt;&lt;wsp:rsid wsp:val=&quot;00A82F6D&quot;/&gt;&lt;wsp:rsid wsp:val=&quot;00A831DB&quot;/&gt;&lt;wsp:rsid wsp:val=&quot;00A8374F&quot;/&gt;&lt;wsp:rsid wsp:val=&quot;00A839A8&quot;/&gt;&lt;wsp:rsid wsp:val=&quot;00A83D95&quot;/&gt;&lt;wsp:rsid wsp:val=&quot;00A83FD5&quot;/&gt;&lt;wsp:rsid wsp:val=&quot;00A846BA&quot;/&gt;&lt;wsp:rsid wsp:val=&quot;00A84A61&quot;/&gt;&lt;wsp:rsid wsp:val=&quot;00A855FF&quot;/&gt;&lt;wsp:rsid wsp:val=&quot;00A85D93&quot;/&gt;&lt;wsp:rsid wsp:val=&quot;00A85E33&quot;/&gt;&lt;wsp:rsid wsp:val=&quot;00A86271&quot;/&gt;&lt;wsp:rsid wsp:val=&quot;00A87317&quot;/&gt;&lt;wsp:rsid wsp:val=&quot;00A8738C&quot;/&gt;&lt;wsp:rsid wsp:val=&quot;00A87E4B&quot;/&gt;&lt;wsp:rsid wsp:val=&quot;00A9013A&quot;/&gt;&lt;wsp:rsid wsp:val=&quot;00A922C4&quot;/&gt;&lt;wsp:rsid wsp:val=&quot;00A92B22&quot;/&gt;&lt;wsp:rsid wsp:val=&quot;00A931B8&quot;/&gt;&lt;wsp:rsid wsp:val=&quot;00A9324F&quot;/&gt;&lt;wsp:rsid wsp:val=&quot;00A9328D&quot;/&gt;&lt;wsp:rsid wsp:val=&quot;00A9489B&quot;/&gt;&lt;wsp:rsid wsp:val=&quot;00A94BB4&quot;/&gt;&lt;wsp:rsid wsp:val=&quot;00A94DC4&quot;/&gt;&lt;wsp:rsid wsp:val=&quot;00A95004&quot;/&gt;&lt;wsp:rsid wsp:val=&quot;00A950F5&quot;/&gt;&lt;wsp:rsid wsp:val=&quot;00A952A6&quot;/&gt;&lt;wsp:rsid wsp:val=&quot;00A96E6F&quot;/&gt;&lt;wsp:rsid wsp:val=&quot;00A97227&quot;/&gt;&lt;wsp:rsid wsp:val=&quot;00A972E4&quot;/&gt;&lt;wsp:rsid wsp:val=&quot;00AA0625&quot;/&gt;&lt;wsp:rsid wsp:val=&quot;00AA0811&quot;/&gt;&lt;wsp:rsid wsp:val=&quot;00AA17EA&quot;/&gt;&lt;wsp:rsid wsp:val=&quot;00AA2825&quot;/&gt;&lt;wsp:rsid wsp:val=&quot;00AA2A50&quot;/&gt;&lt;wsp:rsid wsp:val=&quot;00AA2E9A&quot;/&gt;&lt;wsp:rsid wsp:val=&quot;00AA4044&quot;/&gt;&lt;wsp:rsid wsp:val=&quot;00AA4327&quot;/&gt;&lt;wsp:rsid wsp:val=&quot;00AA484D&quot;/&gt;&lt;wsp:rsid wsp:val=&quot;00AA4B58&quot;/&gt;&lt;wsp:rsid wsp:val=&quot;00AA53CB&quot;/&gt;&lt;wsp:rsid wsp:val=&quot;00AA6489&quot;/&gt;&lt;wsp:rsid wsp:val=&quot;00AA6BDD&quot;/&gt;&lt;wsp:rsid wsp:val=&quot;00AA72B4&quot;/&gt;&lt;wsp:rsid wsp:val=&quot;00AB04C7&quot;/&gt;&lt;wsp:rsid wsp:val=&quot;00AB1809&quot;/&gt;&lt;wsp:rsid wsp:val=&quot;00AB1DF4&quot;/&gt;&lt;wsp:rsid wsp:val=&quot;00AB2854&quot;/&gt;&lt;wsp:rsid wsp:val=&quot;00AB2D59&quot;/&gt;&lt;wsp:rsid wsp:val=&quot;00AB2E24&quot;/&gt;&lt;wsp:rsid wsp:val=&quot;00AB491E&quot;/&gt;&lt;wsp:rsid wsp:val=&quot;00AB4EB1&quot;/&gt;&lt;wsp:rsid wsp:val=&quot;00AB5E03&quot;/&gt;&lt;wsp:rsid wsp:val=&quot;00AC030D&quot;/&gt;&lt;wsp:rsid wsp:val=&quot;00AC0C02&quot;/&gt;&lt;wsp:rsid wsp:val=&quot;00AC11A6&quot;/&gt;&lt;wsp:rsid wsp:val=&quot;00AC1FD7&quot;/&gt;&lt;wsp:rsid wsp:val=&quot;00AC24F7&quot;/&gt;&lt;wsp:rsid wsp:val=&quot;00AC273F&quot;/&gt;&lt;wsp:rsid wsp:val=&quot;00AC2FB2&quot;/&gt;&lt;wsp:rsid wsp:val=&quot;00AC38C0&quot;/&gt;&lt;wsp:rsid wsp:val=&quot;00AC3E59&quot;/&gt;&lt;wsp:rsid wsp:val=&quot;00AC4050&quot;/&gt;&lt;wsp:rsid wsp:val=&quot;00AC4166&quot;/&gt;&lt;wsp:rsid wsp:val=&quot;00AC44BD&quot;/&gt;&lt;wsp:rsid wsp:val=&quot;00AC45B0&quot;/&gt;&lt;wsp:rsid wsp:val=&quot;00AC6BB4&quot;/&gt;&lt;wsp:rsid wsp:val=&quot;00AC6BC0&quot;/&gt;&lt;wsp:rsid wsp:val=&quot;00AC7342&quot;/&gt;&lt;wsp:rsid wsp:val=&quot;00AC78E7&quot;/&gt;&lt;wsp:rsid wsp:val=&quot;00AD22A4&quot;/&gt;&lt;wsp:rsid wsp:val=&quot;00AD30BB&quot;/&gt;&lt;wsp:rsid wsp:val=&quot;00AD40C8&quot;/&gt;&lt;wsp:rsid wsp:val=&quot;00AD43F8&quot;/&gt;&lt;wsp:rsid wsp:val=&quot;00AD54E1&quot;/&gt;&lt;wsp:rsid wsp:val=&quot;00AD5959&quot;/&gt;&lt;wsp:rsid wsp:val=&quot;00AD6EB2&quot;/&gt;&lt;wsp:rsid wsp:val=&quot;00AE1F79&quot;/&gt;&lt;wsp:rsid wsp:val=&quot;00AE2575&quot;/&gt;&lt;wsp:rsid wsp:val=&quot;00AE2896&quot;/&gt;&lt;wsp:rsid wsp:val=&quot;00AE2B83&quot;/&gt;&lt;wsp:rsid wsp:val=&quot;00AE32DD&quot;/&gt;&lt;wsp:rsid wsp:val=&quot;00AE6222&quot;/&gt;&lt;wsp:rsid wsp:val=&quot;00AE781C&quot;/&gt;&lt;wsp:rsid wsp:val=&quot;00AF0115&quot;/&gt;&lt;wsp:rsid wsp:val=&quot;00AF016D&quot;/&gt;&lt;wsp:rsid wsp:val=&quot;00AF06E9&quot;/&gt;&lt;wsp:rsid wsp:val=&quot;00AF11DE&quot;/&gt;&lt;wsp:rsid wsp:val=&quot;00AF12EA&quot;/&gt;&lt;wsp:rsid wsp:val=&quot;00AF16B5&quot;/&gt;&lt;wsp:rsid wsp:val=&quot;00AF203B&quot;/&gt;&lt;wsp:rsid wsp:val=&quot;00AF20C4&quot;/&gt;&lt;wsp:rsid wsp:val=&quot;00AF2408&quot;/&gt;&lt;wsp:rsid wsp:val=&quot;00AF27FF&quot;/&gt;&lt;wsp:rsid wsp:val=&quot;00AF2A32&quot;/&gt;&lt;wsp:rsid wsp:val=&quot;00AF2D50&quot;/&gt;&lt;wsp:rsid wsp:val=&quot;00AF32DE&quot;/&gt;&lt;wsp:rsid wsp:val=&quot;00AF3BD2&quot;/&gt;&lt;wsp:rsid wsp:val=&quot;00AF4C48&quot;/&gt;&lt;wsp:rsid wsp:val=&quot;00AF4CD6&quot;/&gt;&lt;wsp:rsid wsp:val=&quot;00AF4F44&quot;/&gt;&lt;wsp:rsid wsp:val=&quot;00AF5868&quot;/&gt;&lt;wsp:rsid wsp:val=&quot;00AF5A20&quot;/&gt;&lt;wsp:rsid wsp:val=&quot;00AF5ACE&quot;/&gt;&lt;wsp:rsid wsp:val=&quot;00AF5AD3&quot;/&gt;&lt;wsp:rsid wsp:val=&quot;00AF5F16&quot;/&gt;&lt;wsp:rsid wsp:val=&quot;00B00860&quot;/&gt;&lt;wsp:rsid wsp:val=&quot;00B00E5D&quot;/&gt;&lt;wsp:rsid wsp:val=&quot;00B010D2&quot;/&gt;&lt;wsp:rsid wsp:val=&quot;00B0156A&quot;/&gt;&lt;wsp:rsid wsp:val=&quot;00B017BA&quot;/&gt;&lt;wsp:rsid wsp:val=&quot;00B019D3&quot;/&gt;&lt;wsp:rsid wsp:val=&quot;00B01AB7&quot;/&gt;&lt;wsp:rsid wsp:val=&quot;00B02F02&quot;/&gt;&lt;wsp:rsid wsp:val=&quot;00B031F7&quot;/&gt;&lt;wsp:rsid wsp:val=&quot;00B0370E&quot;/&gt;&lt;wsp:rsid wsp:val=&quot;00B03DE1&quot;/&gt;&lt;wsp:rsid wsp:val=&quot;00B03E68&quot;/&gt;&lt;wsp:rsid wsp:val=&quot;00B04D31&quot;/&gt;&lt;wsp:rsid wsp:val=&quot;00B05204&quot;/&gt;&lt;wsp:rsid wsp:val=&quot;00B05DAB&quot;/&gt;&lt;wsp:rsid wsp:val=&quot;00B0648F&quot;/&gt;&lt;wsp:rsid wsp:val=&quot;00B067CF&quot;/&gt;&lt;wsp:rsid wsp:val=&quot;00B06CED&quot;/&gt;&lt;wsp:rsid wsp:val=&quot;00B0755C&quot;/&gt;&lt;wsp:rsid wsp:val=&quot;00B07C17&quot;/&gt;&lt;wsp:rsid wsp:val=&quot;00B10380&quot;/&gt;&lt;wsp:rsid wsp:val=&quot;00B10421&quot;/&gt;&lt;wsp:rsid wsp:val=&quot;00B10A6B&quot;/&gt;&lt;wsp:rsid wsp:val=&quot;00B11951&quot;/&gt;&lt;wsp:rsid wsp:val=&quot;00B1264A&quot;/&gt;&lt;wsp:rsid wsp:val=&quot;00B1355A&quot;/&gt;&lt;wsp:rsid wsp:val=&quot;00B14F6E&quot;/&gt;&lt;wsp:rsid wsp:val=&quot;00B15767&quot;/&gt;&lt;wsp:rsid wsp:val=&quot;00B1614E&quot;/&gt;&lt;wsp:rsid wsp:val=&quot;00B164C5&quot;/&gt;&lt;wsp:rsid wsp:val=&quot;00B204A7&quot;/&gt;&lt;wsp:rsid wsp:val=&quot;00B21229&quot;/&gt;&lt;wsp:rsid wsp:val=&quot;00B215F0&quot;/&gt;&lt;wsp:rsid wsp:val=&quot;00B2181B&quot;/&gt;&lt;wsp:rsid wsp:val=&quot;00B2190A&quot;/&gt;&lt;wsp:rsid wsp:val=&quot;00B22824&quot;/&gt;&lt;wsp:rsid wsp:val=&quot;00B235BF&quot;/&gt;&lt;wsp:rsid wsp:val=&quot;00B24695&quot;/&gt;&lt;wsp:rsid wsp:val=&quot;00B246FE&quot;/&gt;&lt;wsp:rsid wsp:val=&quot;00B24E7C&quot;/&gt;&lt;wsp:rsid wsp:val=&quot;00B258C5&quot;/&gt;&lt;wsp:rsid wsp:val=&quot;00B25F03&quot;/&gt;&lt;wsp:rsid wsp:val=&quot;00B27053&quot;/&gt;&lt;wsp:rsid wsp:val=&quot;00B27158&quot;/&gt;&lt;wsp:rsid wsp:val=&quot;00B27218&quot;/&gt;&lt;wsp:rsid wsp:val=&quot;00B272CA&quot;/&gt;&lt;wsp:rsid wsp:val=&quot;00B272E3&quot;/&gt;&lt;wsp:rsid wsp:val=&quot;00B30893&quot;/&gt;&lt;wsp:rsid wsp:val=&quot;00B310F6&quot;/&gt;&lt;wsp:rsid wsp:val=&quot;00B31293&quot;/&gt;&lt;wsp:rsid wsp:val=&quot;00B319F2&quot;/&gt;&lt;wsp:rsid wsp:val=&quot;00B31AE3&quot;/&gt;&lt;wsp:rsid wsp:val=&quot;00B32202&quot;/&gt;&lt;wsp:rsid wsp:val=&quot;00B32EC4&quot;/&gt;&lt;wsp:rsid wsp:val=&quot;00B332EA&quot;/&gt;&lt;wsp:rsid wsp:val=&quot;00B34303&quot;/&gt;&lt;wsp:rsid wsp:val=&quot;00B344ED&quot;/&gt;&lt;wsp:rsid wsp:val=&quot;00B345F3&quot;/&gt;&lt;wsp:rsid wsp:val=&quot;00B35492&quot;/&gt;&lt;wsp:rsid wsp:val=&quot;00B358E9&quot;/&gt;&lt;wsp:rsid wsp:val=&quot;00B359B0&quot;/&gt;&lt;wsp:rsid wsp:val=&quot;00B35F7C&quot;/&gt;&lt;wsp:rsid wsp:val=&quot;00B365E0&quot;/&gt;&lt;wsp:rsid wsp:val=&quot;00B36F84&quot;/&gt;&lt;wsp:rsid wsp:val=&quot;00B36FC4&quot;/&gt;&lt;wsp:rsid wsp:val=&quot;00B37142&quot;/&gt;&lt;wsp:rsid wsp:val=&quot;00B40652&quot;/&gt;&lt;wsp:rsid wsp:val=&quot;00B40A8F&quot;/&gt;&lt;wsp:rsid wsp:val=&quot;00B40D08&quot;/&gt;&lt;wsp:rsid wsp:val=&quot;00B40E7B&quot;/&gt;&lt;wsp:rsid wsp:val=&quot;00B410A5&quot;/&gt;&lt;wsp:rsid wsp:val=&quot;00B4225E&quot;/&gt;&lt;wsp:rsid wsp:val=&quot;00B428D1&quot;/&gt;&lt;wsp:rsid wsp:val=&quot;00B429AF&quot;/&gt;&lt;wsp:rsid wsp:val=&quot;00B42CF0&quot;/&gt;&lt;wsp:rsid wsp:val=&quot;00B43170&quot;/&gt;&lt;wsp:rsid wsp:val=&quot;00B43236&quot;/&gt;&lt;wsp:rsid wsp:val=&quot;00B43D60&quot;/&gt;&lt;wsp:rsid wsp:val=&quot;00B44DFB&quot;/&gt;&lt;wsp:rsid wsp:val=&quot;00B4510F&quot;/&gt;&lt;wsp:rsid wsp:val=&quot;00B451C0&quot;/&gt;&lt;wsp:rsid wsp:val=&quot;00B46A50&quot;/&gt;&lt;wsp:rsid wsp:val=&quot;00B46BF1&quot;/&gt;&lt;wsp:rsid wsp:val=&quot;00B46BF3&quot;/&gt;&lt;wsp:rsid wsp:val=&quot;00B46C08&quot;/&gt;&lt;wsp:rsid wsp:val=&quot;00B46E9B&quot;/&gt;&lt;wsp:rsid wsp:val=&quot;00B473CA&quot;/&gt;&lt;wsp:rsid wsp:val=&quot;00B50560&quot;/&gt;&lt;wsp:rsid wsp:val=&quot;00B50586&quot;/&gt;&lt;wsp:rsid wsp:val=&quot;00B50957&quot;/&gt;&lt;wsp:rsid wsp:val=&quot;00B516FB&quot;/&gt;&lt;wsp:rsid wsp:val=&quot;00B51B30&quot;/&gt;&lt;wsp:rsid wsp:val=&quot;00B51FED&quot;/&gt;&lt;wsp:rsid wsp:val=&quot;00B521F6&quot;/&gt;&lt;wsp:rsid wsp:val=&quot;00B528BD&quot;/&gt;&lt;wsp:rsid wsp:val=&quot;00B5362D&quot;/&gt;&lt;wsp:rsid wsp:val=&quot;00B53AB4&quot;/&gt;&lt;wsp:rsid wsp:val=&quot;00B53FCA&quot;/&gt;&lt;wsp:rsid wsp:val=&quot;00B55BAB&quot;/&gt;&lt;wsp:rsid wsp:val=&quot;00B55F7F&quot;/&gt;&lt;wsp:rsid wsp:val=&quot;00B5626A&quot;/&gt;&lt;wsp:rsid wsp:val=&quot;00B5638B&quot;/&gt;&lt;wsp:rsid wsp:val=&quot;00B56652&quot;/&gt;&lt;wsp:rsid wsp:val=&quot;00B569E4&quot;/&gt;&lt;wsp:rsid wsp:val=&quot;00B56F4C&quot;/&gt;&lt;wsp:rsid wsp:val=&quot;00B6055E&quot;/&gt;&lt;wsp:rsid wsp:val=&quot;00B605A6&quot;/&gt;&lt;wsp:rsid wsp:val=&quot;00B60A16&quot;/&gt;&lt;wsp:rsid wsp:val=&quot;00B60C71&quot;/&gt;&lt;wsp:rsid wsp:val=&quot;00B60CAF&quot;/&gt;&lt;wsp:rsid wsp:val=&quot;00B6130A&quot;/&gt;&lt;wsp:rsid wsp:val=&quot;00B61D42&quot;/&gt;&lt;wsp:rsid wsp:val=&quot;00B61F49&quot;/&gt;&lt;wsp:rsid wsp:val=&quot;00B62346&quot;/&gt;&lt;wsp:rsid wsp:val=&quot;00B624E3&quot;/&gt;&lt;wsp:rsid wsp:val=&quot;00B62DD4&quot;/&gt;&lt;wsp:rsid wsp:val=&quot;00B635EA&quot;/&gt;&lt;wsp:rsid wsp:val=&quot;00B639E4&quot;/&gt;&lt;wsp:rsid wsp:val=&quot;00B63D87&quot;/&gt;&lt;wsp:rsid wsp:val=&quot;00B63E5E&quot;/&gt;&lt;wsp:rsid wsp:val=&quot;00B65103&quot;/&gt;&lt;wsp:rsid wsp:val=&quot;00B66089&quot;/&gt;&lt;wsp:rsid wsp:val=&quot;00B660E8&quot;/&gt;&lt;wsp:rsid wsp:val=&quot;00B664A0&quot;/&gt;&lt;wsp:rsid wsp:val=&quot;00B6664A&quot;/&gt;&lt;wsp:rsid wsp:val=&quot;00B668C8&quot;/&gt;&lt;wsp:rsid wsp:val=&quot;00B6715C&quot;/&gt;&lt;wsp:rsid wsp:val=&quot;00B67939&quot;/&gt;&lt;wsp:rsid wsp:val=&quot;00B67BDB&quot;/&gt;&lt;wsp:rsid wsp:val=&quot;00B70432&quot;/&gt;&lt;wsp:rsid wsp:val=&quot;00B7126F&quot;/&gt;&lt;wsp:rsid wsp:val=&quot;00B713E3&quot;/&gt;&lt;wsp:rsid wsp:val=&quot;00B715FC&quot;/&gt;&lt;wsp:rsid wsp:val=&quot;00B7161A&quot;/&gt;&lt;wsp:rsid wsp:val=&quot;00B719A9&quot;/&gt;&lt;wsp:rsid wsp:val=&quot;00B71FC8&quot;/&gt;&lt;wsp:rsid wsp:val=&quot;00B722C4&quot;/&gt;&lt;wsp:rsid wsp:val=&quot;00B724AA&quot;/&gt;&lt;wsp:rsid wsp:val=&quot;00B7349C&quot;/&gt;&lt;wsp:rsid wsp:val=&quot;00B7360A&quot;/&gt;&lt;wsp:rsid wsp:val=&quot;00B73DA5&quot;/&gt;&lt;wsp:rsid wsp:val=&quot;00B7403B&quot;/&gt;&lt;wsp:rsid wsp:val=&quot;00B7489E&quot;/&gt;&lt;wsp:rsid wsp:val=&quot;00B74D56&quot;/&gt;&lt;wsp:rsid wsp:val=&quot;00B75202&quot;/&gt;&lt;wsp:rsid wsp:val=&quot;00B75262&quot;/&gt;&lt;wsp:rsid wsp:val=&quot;00B75301&quot;/&gt;&lt;wsp:rsid wsp:val=&quot;00B756E9&quot;/&gt;&lt;wsp:rsid wsp:val=&quot;00B75F7C&quot;/&gt;&lt;wsp:rsid wsp:val=&quot;00B766C8&quot;/&gt;&lt;wsp:rsid wsp:val=&quot;00B77CD7&quot;/&gt;&lt;wsp:rsid wsp:val=&quot;00B77F1C&quot;/&gt;&lt;wsp:rsid wsp:val=&quot;00B800E6&quot;/&gt;&lt;wsp:rsid wsp:val=&quot;00B80134&quot;/&gt;&lt;wsp:rsid wsp:val=&quot;00B80A1B&quot;/&gt;&lt;wsp:rsid wsp:val=&quot;00B815EB&quot;/&gt;&lt;wsp:rsid wsp:val=&quot;00B824F9&quot;/&gt;&lt;wsp:rsid wsp:val=&quot;00B8463E&quot;/&gt;&lt;wsp:rsid wsp:val=&quot;00B84930&quot;/&gt;&lt;wsp:rsid wsp:val=&quot;00B85075&quot;/&gt;&lt;wsp:rsid wsp:val=&quot;00B865F3&quot;/&gt;&lt;wsp:rsid wsp:val=&quot;00B8667B&quot;/&gt;&lt;wsp:rsid wsp:val=&quot;00B868E5&quot;/&gt;&lt;wsp:rsid wsp:val=&quot;00B87196&quot;/&gt;&lt;wsp:rsid wsp:val=&quot;00B8723C&quot;/&gt;&lt;wsp:rsid wsp:val=&quot;00B90166&quot;/&gt;&lt;wsp:rsid wsp:val=&quot;00B90597&quot;/&gt;&lt;wsp:rsid wsp:val=&quot;00B9086D&quot;/&gt;&lt;wsp:rsid wsp:val=&quot;00B90A32&quot;/&gt;&lt;wsp:rsid wsp:val=&quot;00B9101C&quot;/&gt;&lt;wsp:rsid wsp:val=&quot;00B9172D&quot;/&gt;&lt;wsp:rsid wsp:val=&quot;00B918E6&quot;/&gt;&lt;wsp:rsid wsp:val=&quot;00B92573&quot;/&gt;&lt;wsp:rsid wsp:val=&quot;00B93142&quot;/&gt;&lt;wsp:rsid wsp:val=&quot;00B936CB&quot;/&gt;&lt;wsp:rsid wsp:val=&quot;00B93B6E&quot;/&gt;&lt;wsp:rsid wsp:val=&quot;00B94754&quot;/&gt;&lt;wsp:rsid wsp:val=&quot;00B95747&quot;/&gt;&lt;wsp:rsid wsp:val=&quot;00B97CE0&quot;/&gt;&lt;wsp:rsid wsp:val=&quot;00B97DDF&quot;/&gt;&lt;wsp:rsid wsp:val=&quot;00BA0398&quot;/&gt;&lt;wsp:rsid wsp:val=&quot;00BA0432&quot;/&gt;&lt;wsp:rsid wsp:val=&quot;00BA06A0&quot;/&gt;&lt;wsp:rsid wsp:val=&quot;00BA1074&quot;/&gt;&lt;wsp:rsid wsp:val=&quot;00BA1328&quot;/&gt;&lt;wsp:rsid wsp:val=&quot;00BA142E&quot;/&gt;&lt;wsp:rsid wsp:val=&quot;00BA2028&quot;/&gt;&lt;wsp:rsid wsp:val=&quot;00BA3231&quot;/&gt;&lt;wsp:rsid wsp:val=&quot;00BA4182&quot;/&gt;&lt;wsp:rsid wsp:val=&quot;00BA424A&quot;/&gt;&lt;wsp:rsid wsp:val=&quot;00BA56B3&quot;/&gt;&lt;wsp:rsid wsp:val=&quot;00BA578E&quot;/&gt;&lt;wsp:rsid wsp:val=&quot;00BA58CA&quot;/&gt;&lt;wsp:rsid wsp:val=&quot;00BA78DA&quot;/&gt;&lt;wsp:rsid wsp:val=&quot;00BA7994&quot;/&gt;&lt;wsp:rsid wsp:val=&quot;00BB0C00&quot;/&gt;&lt;wsp:rsid wsp:val=&quot;00BB132E&quot;/&gt;&lt;wsp:rsid wsp:val=&quot;00BB1437&quot;/&gt;&lt;wsp:rsid wsp:val=&quot;00BB233A&quot;/&gt;&lt;wsp:rsid wsp:val=&quot;00BB3B57&quot;/&gt;&lt;wsp:rsid wsp:val=&quot;00BB3EA5&quot;/&gt;&lt;wsp:rsid wsp:val=&quot;00BB444E&quot;/&gt;&lt;wsp:rsid wsp:val=&quot;00BB49D8&quot;/&gt;&lt;wsp:rsid wsp:val=&quot;00BB5257&quot;/&gt;&lt;wsp:rsid wsp:val=&quot;00BB5D38&quot;/&gt;&lt;wsp:rsid wsp:val=&quot;00BB6199&quot;/&gt;&lt;wsp:rsid wsp:val=&quot;00BB6924&quot;/&gt;&lt;wsp:rsid wsp:val=&quot;00BB69DA&quot;/&gt;&lt;wsp:rsid wsp:val=&quot;00BB6E7F&quot;/&gt;&lt;wsp:rsid wsp:val=&quot;00BB7BC7&quot;/&gt;&lt;wsp:rsid wsp:val=&quot;00BC02E8&quot;/&gt;&lt;wsp:rsid wsp:val=&quot;00BC3646&quot;/&gt;&lt;wsp:rsid wsp:val=&quot;00BC4019&quot;/&gt;&lt;wsp:rsid wsp:val=&quot;00BC4FB4&quot;/&gt;&lt;wsp:rsid wsp:val=&quot;00BC51D0&quot;/&gt;&lt;wsp:rsid wsp:val=&quot;00BC53F1&quot;/&gt;&lt;wsp:rsid wsp:val=&quot;00BC5C25&quot;/&gt;&lt;wsp:rsid wsp:val=&quot;00BC5D52&quot;/&gt;&lt;wsp:rsid wsp:val=&quot;00BC60C7&quot;/&gt;&lt;wsp:rsid wsp:val=&quot;00BC690E&quot;/&gt;&lt;wsp:rsid wsp:val=&quot;00BC71C8&quot;/&gt;&lt;wsp:rsid wsp:val=&quot;00BC7AB1&quot;/&gt;&lt;wsp:rsid wsp:val=&quot;00BD0085&quot;/&gt;&lt;wsp:rsid wsp:val=&quot;00BD19C5&quot;/&gt;&lt;wsp:rsid wsp:val=&quot;00BD1DBC&quot;/&gt;&lt;wsp:rsid wsp:val=&quot;00BD21B4&quot;/&gt;&lt;wsp:rsid wsp:val=&quot;00BD2393&quot;/&gt;&lt;wsp:rsid wsp:val=&quot;00BD32F2&quot;/&gt;&lt;wsp:rsid wsp:val=&quot;00BD4E88&quot;/&gt;&lt;wsp:rsid wsp:val=&quot;00BD5688&quot;/&gt;&lt;wsp:rsid wsp:val=&quot;00BD58E3&quot;/&gt;&lt;wsp:rsid wsp:val=&quot;00BD59BF&quot;/&gt;&lt;wsp:rsid wsp:val=&quot;00BD60DE&quot;/&gt;&lt;wsp:rsid wsp:val=&quot;00BD62CA&quot;/&gt;&lt;wsp:rsid wsp:val=&quot;00BD67CA&quot;/&gt;&lt;wsp:rsid wsp:val=&quot;00BD68C4&quot;/&gt;&lt;wsp:rsid wsp:val=&quot;00BD7019&quot;/&gt;&lt;wsp:rsid wsp:val=&quot;00BD7211&quot;/&gt;&lt;wsp:rsid wsp:val=&quot;00BD773D&quot;/&gt;&lt;wsp:rsid wsp:val=&quot;00BD7C62&quot;/&gt;&lt;wsp:rsid wsp:val=&quot;00BD7F8A&quot;/&gt;&lt;wsp:rsid wsp:val=&quot;00BE00DA&quot;/&gt;&lt;wsp:rsid wsp:val=&quot;00BE030C&quot;/&gt;&lt;wsp:rsid wsp:val=&quot;00BE0424&quot;/&gt;&lt;wsp:rsid wsp:val=&quot;00BE05D7&quot;/&gt;&lt;wsp:rsid wsp:val=&quot;00BE079B&quot;/&gt;&lt;wsp:rsid wsp:val=&quot;00BE08C9&quot;/&gt;&lt;wsp:rsid wsp:val=&quot;00BE0DBC&quot;/&gt;&lt;wsp:rsid wsp:val=&quot;00BE101C&quot;/&gt;&lt;wsp:rsid wsp:val=&quot;00BE1DF2&quot;/&gt;&lt;wsp:rsid wsp:val=&quot;00BE1E71&quot;/&gt;&lt;wsp:rsid wsp:val=&quot;00BE3926&quot;/&gt;&lt;wsp:rsid wsp:val=&quot;00BE3DDF&quot;/&gt;&lt;wsp:rsid wsp:val=&quot;00BE4B38&quot;/&gt;&lt;wsp:rsid wsp:val=&quot;00BE644B&quot;/&gt;&lt;wsp:rsid wsp:val=&quot;00BE6877&quot;/&gt;&lt;wsp:rsid wsp:val=&quot;00BE6CDD&quot;/&gt;&lt;wsp:rsid wsp:val=&quot;00BE737F&quot;/&gt;&lt;wsp:rsid wsp:val=&quot;00BE7702&quot;/&gt;&lt;wsp:rsid wsp:val=&quot;00BE7C3D&quot;/&gt;&lt;wsp:rsid wsp:val=&quot;00BF0539&quot;/&gt;&lt;wsp:rsid wsp:val=&quot;00BF0FA7&quot;/&gt;&lt;wsp:rsid wsp:val=&quot;00BF2151&quot;/&gt;&lt;wsp:rsid wsp:val=&quot;00BF2B6C&quot;/&gt;&lt;wsp:rsid wsp:val=&quot;00BF2ECD&quot;/&gt;&lt;wsp:rsid wsp:val=&quot;00BF37E4&quot;/&gt;&lt;wsp:rsid wsp:val=&quot;00BF3957&quot;/&gt;&lt;wsp:rsid wsp:val=&quot;00BF3B11&quot;/&gt;&lt;wsp:rsid wsp:val=&quot;00BF47B4&quot;/&gt;&lt;wsp:rsid wsp:val=&quot;00BF4A8F&quot;/&gt;&lt;wsp:rsid wsp:val=&quot;00BF4BDF&quot;/&gt;&lt;wsp:rsid wsp:val=&quot;00BF55C6&quot;/&gt;&lt;wsp:rsid wsp:val=&quot;00BF6606&quot;/&gt;&lt;wsp:rsid wsp:val=&quot;00BF6869&quot;/&gt;&lt;wsp:rsid wsp:val=&quot;00BF6CC4&quot;/&gt;&lt;wsp:rsid wsp:val=&quot;00BF75BE&quot;/&gt;&lt;wsp:rsid wsp:val=&quot;00BF761B&quot;/&gt;&lt;wsp:rsid wsp:val=&quot;00C001FF&quot;/&gt;&lt;wsp:rsid wsp:val=&quot;00C006B5&quot;/&gt;&lt;wsp:rsid wsp:val=&quot;00C006F6&quot;/&gt;&lt;wsp:rsid wsp:val=&quot;00C00BD4&quot;/&gt;&lt;wsp:rsid wsp:val=&quot;00C02166&quot;/&gt;&lt;wsp:rsid wsp:val=&quot;00C02777&quot;/&gt;&lt;wsp:rsid wsp:val=&quot;00C02FF6&quot;/&gt;&lt;wsp:rsid wsp:val=&quot;00C03091&quot;/&gt;&lt;wsp:rsid wsp:val=&quot;00C0347A&quot;/&gt;&lt;wsp:rsid wsp:val=&quot;00C0376E&quot;/&gt;&lt;wsp:rsid wsp:val=&quot;00C0436C&quot;/&gt;&lt;wsp:rsid wsp:val=&quot;00C04E08&quot;/&gt;&lt;wsp:rsid wsp:val=&quot;00C05D95&quot;/&gt;&lt;wsp:rsid wsp:val=&quot;00C0602B&quot;/&gt;&lt;wsp:rsid wsp:val=&quot;00C07376&quot;/&gt;&lt;wsp:rsid wsp:val=&quot;00C0778C&quot;/&gt;&lt;wsp:rsid wsp:val=&quot;00C07AB3&quot;/&gt;&lt;wsp:rsid wsp:val=&quot;00C1044C&quot;/&gt;&lt;wsp:rsid wsp:val=&quot;00C104C0&quot;/&gt;&lt;wsp:rsid wsp:val=&quot;00C10660&quot;/&gt;&lt;wsp:rsid wsp:val=&quot;00C10D6D&quot;/&gt;&lt;wsp:rsid wsp:val=&quot;00C111A2&quot;/&gt;&lt;wsp:rsid wsp:val=&quot;00C11342&quot;/&gt;&lt;wsp:rsid wsp:val=&quot;00C1214B&quot;/&gt;&lt;wsp:rsid wsp:val=&quot;00C12BC3&quot;/&gt;&lt;wsp:rsid wsp:val=&quot;00C13538&quot;/&gt;&lt;wsp:rsid wsp:val=&quot;00C13777&quot;/&gt;&lt;wsp:rsid wsp:val=&quot;00C1595B&quot;/&gt;&lt;wsp:rsid wsp:val=&quot;00C16810&quot;/&gt;&lt;wsp:rsid wsp:val=&quot;00C17D9B&quot;/&gt;&lt;wsp:rsid wsp:val=&quot;00C20877&quot;/&gt;&lt;wsp:rsid wsp:val=&quot;00C2127F&quot;/&gt;&lt;wsp:rsid wsp:val=&quot;00C213C0&quot;/&gt;&lt;wsp:rsid wsp:val=&quot;00C2289A&quot;/&gt;&lt;wsp:rsid wsp:val=&quot;00C2371F&quot;/&gt;&lt;wsp:rsid wsp:val=&quot;00C24720&quot;/&gt;&lt;wsp:rsid wsp:val=&quot;00C24939&quot;/&gt;&lt;wsp:rsid wsp:val=&quot;00C24BEC&quot;/&gt;&lt;wsp:rsid wsp:val=&quot;00C25148&quot;/&gt;&lt;wsp:rsid wsp:val=&quot;00C25B4F&quot;/&gt;&lt;wsp:rsid wsp:val=&quot;00C25C52&quot;/&gt;&lt;wsp:rsid wsp:val=&quot;00C26985&quot;/&gt;&lt;wsp:rsid wsp:val=&quot;00C27C16&quot;/&gt;&lt;wsp:rsid wsp:val=&quot;00C27EF3&quot;/&gt;&lt;wsp:rsid wsp:val=&quot;00C3145B&quot;/&gt;&lt;wsp:rsid wsp:val=&quot;00C31549&quot;/&gt;&lt;wsp:rsid wsp:val=&quot;00C315DD&quot;/&gt;&lt;wsp:rsid wsp:val=&quot;00C31B4A&quot;/&gt;&lt;wsp:rsid wsp:val=&quot;00C31F2F&quot;/&gt;&lt;wsp:rsid wsp:val=&quot;00C32B56&quot;/&gt;&lt;wsp:rsid wsp:val=&quot;00C33AFE&quot;/&gt;&lt;wsp:rsid wsp:val=&quot;00C340FF&quot;/&gt;&lt;wsp:rsid wsp:val=&quot;00C34223&quot;/&gt;&lt;wsp:rsid wsp:val=&quot;00C34A61&quot;/&gt;&lt;wsp:rsid wsp:val=&quot;00C34F9A&quot;/&gt;&lt;wsp:rsid wsp:val=&quot;00C35697&quot;/&gt;&lt;wsp:rsid wsp:val=&quot;00C36450&quot;/&gt;&lt;wsp:rsid wsp:val=&quot;00C3688A&quot;/&gt;&lt;wsp:rsid wsp:val=&quot;00C37E5F&quot;/&gt;&lt;wsp:rsid wsp:val=&quot;00C40043&quot;/&gt;&lt;wsp:rsid wsp:val=&quot;00C40D14&quot;/&gt;&lt;wsp:rsid wsp:val=&quot;00C41EB3&quot;/&gt;&lt;wsp:rsid wsp:val=&quot;00C42559&quot;/&gt;&lt;wsp:rsid wsp:val=&quot;00C42A20&quot;/&gt;&lt;wsp:rsid wsp:val=&quot;00C442FC&quot;/&gt;&lt;wsp:rsid wsp:val=&quot;00C447F7&quot;/&gt;&lt;wsp:rsid wsp:val=&quot;00C44C86&quot;/&gt;&lt;wsp:rsid wsp:val=&quot;00C45055&quot;/&gt;&lt;wsp:rsid wsp:val=&quot;00C45080&quot;/&gt;&lt;wsp:rsid wsp:val=&quot;00C45ACA&quot;/&gt;&lt;wsp:rsid wsp:val=&quot;00C45CB3&quot;/&gt;&lt;wsp:rsid wsp:val=&quot;00C46EF4&quot;/&gt;&lt;wsp:rsid wsp:val=&quot;00C476C1&quot;/&gt;&lt;wsp:rsid wsp:val=&quot;00C502C3&quot;/&gt;&lt;wsp:rsid wsp:val=&quot;00C503D2&quot;/&gt;&lt;wsp:rsid wsp:val=&quot;00C50E03&quot;/&gt;&lt;wsp:rsid wsp:val=&quot;00C51322&quot;/&gt;&lt;wsp:rsid wsp:val=&quot;00C515B6&quot;/&gt;&lt;wsp:rsid wsp:val=&quot;00C518E0&quot;/&gt;&lt;wsp:rsid wsp:val=&quot;00C5304C&quot;/&gt;&lt;wsp:rsid wsp:val=&quot;00C55074&quot;/&gt;&lt;wsp:rsid wsp:val=&quot;00C56058&quot;/&gt;&lt;wsp:rsid wsp:val=&quot;00C5633A&quot;/&gt;&lt;wsp:rsid wsp:val=&quot;00C56F0C&quot;/&gt;&lt;wsp:rsid wsp:val=&quot;00C56F9C&quot;/&gt;&lt;wsp:rsid wsp:val=&quot;00C5744C&quot;/&gt;&lt;wsp:rsid wsp:val=&quot;00C57550&quot;/&gt;&lt;wsp:rsid wsp:val=&quot;00C57744&quot;/&gt;&lt;wsp:rsid wsp:val=&quot;00C57D3F&quot;/&gt;&lt;wsp:rsid wsp:val=&quot;00C57E20&quot;/&gt;&lt;wsp:rsid wsp:val=&quot;00C57EB7&quot;/&gt;&lt;wsp:rsid wsp:val=&quot;00C60C22&quot;/&gt;&lt;wsp:rsid wsp:val=&quot;00C60E89&quot;/&gt;&lt;wsp:rsid wsp:val=&quot;00C61094&quot;/&gt;&lt;wsp:rsid wsp:val=&quot;00C6168C&quot;/&gt;&lt;wsp:rsid wsp:val=&quot;00C62A99&quot;/&gt;&lt;wsp:rsid wsp:val=&quot;00C6342C&quot;/&gt;&lt;wsp:rsid wsp:val=&quot;00C6441D&quot;/&gt;&lt;wsp:rsid wsp:val=&quot;00C649D1&quot;/&gt;&lt;wsp:rsid wsp:val=&quot;00C6521C&quot;/&gt;&lt;wsp:rsid wsp:val=&quot;00C65244&quot;/&gt;&lt;wsp:rsid wsp:val=&quot;00C65796&quot;/&gt;&lt;wsp:rsid wsp:val=&quot;00C66A34&quot;/&gt;&lt;wsp:rsid wsp:val=&quot;00C670F8&quot;/&gt;&lt;wsp:rsid wsp:val=&quot;00C67B90&quot;/&gt;&lt;wsp:rsid wsp:val=&quot;00C70DC1&quot;/&gt;&lt;wsp:rsid wsp:val=&quot;00C70EB4&quot;/&gt;&lt;wsp:rsid wsp:val=&quot;00C72378&quot;/&gt;&lt;wsp:rsid wsp:val=&quot;00C72498&quot;/&gt;&lt;wsp:rsid wsp:val=&quot;00C7263A&quot;/&gt;&lt;wsp:rsid wsp:val=&quot;00C7284A&quot;/&gt;&lt;wsp:rsid wsp:val=&quot;00C72E29&quot;/&gt;&lt;wsp:rsid wsp:val=&quot;00C7308D&quot;/&gt;&lt;wsp:rsid wsp:val=&quot;00C73D63&quot;/&gt;&lt;wsp:rsid wsp:val=&quot;00C73FE1&quot;/&gt;&lt;wsp:rsid wsp:val=&quot;00C748F2&quot;/&gt;&lt;wsp:rsid wsp:val=&quot;00C74DEE&quot;/&gt;&lt;wsp:rsid wsp:val=&quot;00C7526A&quot;/&gt;&lt;wsp:rsid wsp:val=&quot;00C752A0&quot;/&gt;&lt;wsp:rsid wsp:val=&quot;00C7551F&quot;/&gt;&lt;wsp:rsid wsp:val=&quot;00C756BB&quot;/&gt;&lt;wsp:rsid wsp:val=&quot;00C756C5&quot;/&gt;&lt;wsp:rsid wsp:val=&quot;00C76A09&quot;/&gt;&lt;wsp:rsid wsp:val=&quot;00C77B0A&quot;/&gt;&lt;wsp:rsid wsp:val=&quot;00C80744&quot;/&gt;&lt;wsp:rsid wsp:val=&quot;00C808C7&quot;/&gt;&lt;wsp:rsid wsp:val=&quot;00C829D6&quot;/&gt;&lt;wsp:rsid wsp:val=&quot;00C83A9C&quot;/&gt;&lt;wsp:rsid wsp:val=&quot;00C83D87&quot;/&gt;&lt;wsp:rsid wsp:val=&quot;00C84682&quot;/&gt;&lt;wsp:rsid wsp:val=&quot;00C85B96&quot;/&gt;&lt;wsp:rsid wsp:val=&quot;00C85C23&quot;/&gt;&lt;wsp:rsid wsp:val=&quot;00C86559&quot;/&gt;&lt;wsp:rsid wsp:val=&quot;00C87650&quot;/&gt;&lt;wsp:rsid wsp:val=&quot;00C879AA&quot;/&gt;&lt;wsp:rsid wsp:val=&quot;00C87C34&quot;/&gt;&lt;wsp:rsid wsp:val=&quot;00C87E71&quot;/&gt;&lt;wsp:rsid wsp:val=&quot;00C907FF&quot;/&gt;&lt;wsp:rsid wsp:val=&quot;00C909FC&quot;/&gt;&lt;wsp:rsid wsp:val=&quot;00C90DEF&quot;/&gt;&lt;wsp:rsid wsp:val=&quot;00C910F1&quot;/&gt;&lt;wsp:rsid wsp:val=&quot;00C916A3&quot;/&gt;&lt;wsp:rsid wsp:val=&quot;00C9199D&quot;/&gt;&lt;wsp:rsid wsp:val=&quot;00C91C3A&quot;/&gt;&lt;wsp:rsid wsp:val=&quot;00C92757&quot;/&gt;&lt;wsp:rsid wsp:val=&quot;00C93FE8&quot;/&gt;&lt;wsp:rsid wsp:val=&quot;00C94AF0&quot;/&gt;&lt;wsp:rsid wsp:val=&quot;00C94C17&quot;/&gt;&lt;wsp:rsid wsp:val=&quot;00C969B7&quot;/&gt;&lt;wsp:rsid wsp:val=&quot;00C96AD1&quot;/&gt;&lt;wsp:rsid wsp:val=&quot;00C97927&quot;/&gt;&lt;wsp:rsid wsp:val=&quot;00C979B7&quot;/&gt;&lt;wsp:rsid wsp:val=&quot;00C97EE9&quot;/&gt;&lt;wsp:rsid wsp:val=&quot;00CA0948&quot;/&gt;&lt;wsp:rsid wsp:val=&quot;00CA1032&quot;/&gt;&lt;wsp:rsid wsp:val=&quot;00CA108C&quot;/&gt;&lt;wsp:rsid wsp:val=&quot;00CA12CA&quot;/&gt;&lt;wsp:rsid wsp:val=&quot;00CA1570&quot;/&gt;&lt;wsp:rsid wsp:val=&quot;00CA189C&quot;/&gt;&lt;wsp:rsid wsp:val=&quot;00CA2193&quot;/&gt;&lt;wsp:rsid wsp:val=&quot;00CA2E6A&quot;/&gt;&lt;wsp:rsid wsp:val=&quot;00CA3109&quot;/&gt;&lt;wsp:rsid wsp:val=&quot;00CA3B0B&quot;/&gt;&lt;wsp:rsid wsp:val=&quot;00CA3D82&quot;/&gt;&lt;wsp:rsid wsp:val=&quot;00CA415A&quot;/&gt;&lt;wsp:rsid wsp:val=&quot;00CA4397&quot;/&gt;&lt;wsp:rsid wsp:val=&quot;00CA52A2&quot;/&gt;&lt;wsp:rsid wsp:val=&quot;00CA5815&quot;/&gt;&lt;wsp:rsid wsp:val=&quot;00CA5AE1&quot;/&gt;&lt;wsp:rsid wsp:val=&quot;00CA75C9&quot;/&gt;&lt;wsp:rsid wsp:val=&quot;00CA7F1C&quot;/&gt;&lt;wsp:rsid wsp:val=&quot;00CB0723&quot;/&gt;&lt;wsp:rsid wsp:val=&quot;00CB07B6&quot;/&gt;&lt;wsp:rsid wsp:val=&quot;00CB0D44&quot;/&gt;&lt;wsp:rsid wsp:val=&quot;00CB2928&quot;/&gt;&lt;wsp:rsid wsp:val=&quot;00CB32F7&quot;/&gt;&lt;wsp:rsid wsp:val=&quot;00CB3A32&quot;/&gt;&lt;wsp:rsid wsp:val=&quot;00CB44B0&quot;/&gt;&lt;wsp:rsid wsp:val=&quot;00CB4DF2&quot;/&gt;&lt;wsp:rsid wsp:val=&quot;00CB6064&quot;/&gt;&lt;wsp:rsid wsp:val=&quot;00CB614F&quot;/&gt;&lt;wsp:rsid wsp:val=&quot;00CB6C90&quot;/&gt;&lt;wsp:rsid wsp:val=&quot;00CB6DC9&quot;/&gt;&lt;wsp:rsid wsp:val=&quot;00CC1069&quot;/&gt;&lt;wsp:rsid wsp:val=&quot;00CC160E&quot;/&gt;&lt;wsp:rsid wsp:val=&quot;00CC17B9&quot;/&gt;&lt;wsp:rsid wsp:val=&quot;00CC239D&quot;/&gt;&lt;wsp:rsid wsp:val=&quot;00CC369B&quot;/&gt;&lt;wsp:rsid wsp:val=&quot;00CC39BF&quot;/&gt;&lt;wsp:rsid wsp:val=&quot;00CC5E61&quot;/&gt;&lt;wsp:rsid wsp:val=&quot;00CC65BF&quot;/&gt;&lt;wsp:rsid wsp:val=&quot;00CC6F0A&quot;/&gt;&lt;wsp:rsid wsp:val=&quot;00CC7756&quot;/&gt;&lt;wsp:rsid wsp:val=&quot;00CC7AA2&quot;/&gt;&lt;wsp:rsid wsp:val=&quot;00CD03A3&quot;/&gt;&lt;wsp:rsid wsp:val=&quot;00CD06BF&quot;/&gt;&lt;wsp:rsid wsp:val=&quot;00CD0F07&quot;/&gt;&lt;wsp:rsid wsp:val=&quot;00CD1090&quot;/&gt;&lt;wsp:rsid wsp:val=&quot;00CD141C&quot;/&gt;&lt;wsp:rsid wsp:val=&quot;00CD2482&quot;/&gt;&lt;wsp:rsid wsp:val=&quot;00CD2A19&quot;/&gt;&lt;wsp:rsid wsp:val=&quot;00CD3A5B&quot;/&gt;&lt;wsp:rsid wsp:val=&quot;00CD3A9C&quot;/&gt;&lt;wsp:rsid wsp:val=&quot;00CD3D0A&quot;/&gt;&lt;wsp:rsid wsp:val=&quot;00CD420A&quot;/&gt;&lt;wsp:rsid wsp:val=&quot;00CD6A32&quot;/&gt;&lt;wsp:rsid wsp:val=&quot;00CD72A4&quot;/&gt;&lt;wsp:rsid wsp:val=&quot;00CD7FCB&quot;/&gt;&lt;wsp:rsid wsp:val=&quot;00CE03C4&quot;/&gt;&lt;wsp:rsid wsp:val=&quot;00CE0BD1&quot;/&gt;&lt;wsp:rsid wsp:val=&quot;00CE1A06&quot;/&gt;&lt;wsp:rsid wsp:val=&quot;00CE220F&quot;/&gt;&lt;wsp:rsid wsp:val=&quot;00CE25BD&quot;/&gt;&lt;wsp:rsid wsp:val=&quot;00CE26C8&quot;/&gt;&lt;wsp:rsid wsp:val=&quot;00CE3980&quot;/&gt;&lt;wsp:rsid wsp:val=&quot;00CE4886&quot;/&gt;&lt;wsp:rsid wsp:val=&quot;00CE523B&quot;/&gt;&lt;wsp:rsid wsp:val=&quot;00CE54EA&quot;/&gt;&lt;wsp:rsid wsp:val=&quot;00CE6799&quot;/&gt;&lt;wsp:rsid wsp:val=&quot;00CE6C1F&quot;/&gt;&lt;wsp:rsid wsp:val=&quot;00CE6C43&quot;/&gt;&lt;wsp:rsid wsp:val=&quot;00CE7367&quot;/&gt;&lt;wsp:rsid wsp:val=&quot;00CE778B&quot;/&gt;&lt;wsp:rsid wsp:val=&quot;00CE7BE3&quot;/&gt;&lt;wsp:rsid wsp:val=&quot;00CF0829&quot;/&gt;&lt;wsp:rsid wsp:val=&quot;00CF0E6A&quot;/&gt;&lt;wsp:rsid wsp:val=&quot;00CF0FD3&quot;/&gt;&lt;wsp:rsid wsp:val=&quot;00CF11AC&quot;/&gt;&lt;wsp:rsid wsp:val=&quot;00CF153C&quot;/&gt;&lt;wsp:rsid wsp:val=&quot;00CF15FE&quot;/&gt;&lt;wsp:rsid wsp:val=&quot;00CF19A9&quot;/&gt;&lt;wsp:rsid wsp:val=&quot;00CF2245&quot;/&gt;&lt;wsp:rsid wsp:val=&quot;00CF2285&quot;/&gt;&lt;wsp:rsid wsp:val=&quot;00CF25B8&quot;/&gt;&lt;wsp:rsid wsp:val=&quot;00CF2CFD&quot;/&gt;&lt;wsp:rsid wsp:val=&quot;00CF3027&quot;/&gt;&lt;wsp:rsid wsp:val=&quot;00CF357A&quot;/&gt;&lt;wsp:rsid wsp:val=&quot;00CF4543&quot;/&gt;&lt;wsp:rsid wsp:val=&quot;00CF470B&quot;/&gt;&lt;wsp:rsid wsp:val=&quot;00CF549C&quot;/&gt;&lt;wsp:rsid wsp:val=&quot;00CF6322&quot;/&gt;&lt;wsp:rsid wsp:val=&quot;00CF6383&quot;/&gt;&lt;wsp:rsid wsp:val=&quot;00CF63F6&quot;/&gt;&lt;wsp:rsid wsp:val=&quot;00CF6B41&quot;/&gt;&lt;wsp:rsid wsp:val=&quot;00CF7317&quot;/&gt;&lt;wsp:rsid wsp:val=&quot;00CF77D6&quot;/&gt;&lt;wsp:rsid wsp:val=&quot;00CF795E&quot;/&gt;&lt;wsp:rsid wsp:val=&quot;00CF7BC0&quot;/&gt;&lt;wsp:rsid wsp:val=&quot;00CF7F8E&quot;/&gt;&lt;wsp:rsid wsp:val=&quot;00D02006&quot;/&gt;&lt;wsp:rsid wsp:val=&quot;00D02BB6&quot;/&gt;&lt;wsp:rsid wsp:val=&quot;00D033DA&quot;/&gt;&lt;wsp:rsid wsp:val=&quot;00D03885&quot;/&gt;&lt;wsp:rsid wsp:val=&quot;00D050A7&quot;/&gt;&lt;wsp:rsid wsp:val=&quot;00D05371&quot;/&gt;&lt;wsp:rsid wsp:val=&quot;00D05CB7&quot;/&gt;&lt;wsp:rsid wsp:val=&quot;00D05FA1&quot;/&gt;&lt;wsp:rsid wsp:val=&quot;00D0697C&quot;/&gt;&lt;wsp:rsid wsp:val=&quot;00D07FDB&quot;/&gt;&lt;wsp:rsid wsp:val=&quot;00D107B7&quot;/&gt;&lt;wsp:rsid wsp:val=&quot;00D107C0&quot;/&gt;&lt;wsp:rsid wsp:val=&quot;00D10FAA&quot;/&gt;&lt;wsp:rsid wsp:val=&quot;00D11014&quot;/&gt;&lt;wsp:rsid wsp:val=&quot;00D11B52&quot;/&gt;&lt;wsp:rsid wsp:val=&quot;00D11B56&quot;/&gt;&lt;wsp:rsid wsp:val=&quot;00D12373&quot;/&gt;&lt;wsp:rsid wsp:val=&quot;00D1281E&quot;/&gt;&lt;wsp:rsid wsp:val=&quot;00D12A35&quot;/&gt;&lt;wsp:rsid wsp:val=&quot;00D12BC0&quot;/&gt;&lt;wsp:rsid wsp:val=&quot;00D12D8C&quot;/&gt;&lt;wsp:rsid wsp:val=&quot;00D13FCD&quot;/&gt;&lt;wsp:rsid wsp:val=&quot;00D14C1E&quot;/&gt;&lt;wsp:rsid wsp:val=&quot;00D1510F&quot;/&gt;&lt;wsp:rsid wsp:val=&quot;00D15392&quot;/&gt;&lt;wsp:rsid wsp:val=&quot;00D15CCD&quot;/&gt;&lt;wsp:rsid wsp:val=&quot;00D1678B&quot;/&gt;&lt;wsp:rsid wsp:val=&quot;00D17D86&quot;/&gt;&lt;wsp:rsid wsp:val=&quot;00D2016B&quot;/&gt;&lt;wsp:rsid wsp:val=&quot;00D204F6&quot;/&gt;&lt;wsp:rsid wsp:val=&quot;00D205E3&quot;/&gt;&lt;wsp:rsid wsp:val=&quot;00D21BA4&quot;/&gt;&lt;wsp:rsid wsp:val=&quot;00D222C4&quot;/&gt;&lt;wsp:rsid wsp:val=&quot;00D235EC&quot;/&gt;&lt;wsp:rsid wsp:val=&quot;00D25493&quot;/&gt;&lt;wsp:rsid wsp:val=&quot;00D25F41&quot;/&gt;&lt;wsp:rsid wsp:val=&quot;00D2694E&quot;/&gt;&lt;wsp:rsid wsp:val=&quot;00D27152&quot;/&gt;&lt;wsp:rsid wsp:val=&quot;00D277AA&quot;/&gt;&lt;wsp:rsid wsp:val=&quot;00D277BF&quot;/&gt;&lt;wsp:rsid wsp:val=&quot;00D27BFF&quot;/&gt;&lt;wsp:rsid wsp:val=&quot;00D30BDA&quot;/&gt;&lt;wsp:rsid wsp:val=&quot;00D318FE&quot;/&gt;&lt;wsp:rsid wsp:val=&quot;00D32678&quot;/&gt;&lt;wsp:rsid wsp:val=&quot;00D32871&quot;/&gt;&lt;wsp:rsid wsp:val=&quot;00D32986&quot;/&gt;&lt;wsp:rsid wsp:val=&quot;00D32ACE&quot;/&gt;&lt;wsp:rsid wsp:val=&quot;00D3366A&quot;/&gt;&lt;wsp:rsid wsp:val=&quot;00D33884&quot;/&gt;&lt;wsp:rsid wsp:val=&quot;00D33E6A&quot;/&gt;&lt;wsp:rsid wsp:val=&quot;00D3419E&quot;/&gt;&lt;wsp:rsid wsp:val=&quot;00D34938&quot;/&gt;&lt;wsp:rsid wsp:val=&quot;00D34A48&quot;/&gt;&lt;wsp:rsid wsp:val=&quot;00D35BE6&quot;/&gt;&lt;wsp:rsid wsp:val=&quot;00D36E74&quot;/&gt;&lt;wsp:rsid wsp:val=&quot;00D37ED2&quot;/&gt;&lt;wsp:rsid wsp:val=&quot;00D409AC&quot;/&gt;&lt;wsp:rsid wsp:val=&quot;00D421DF&quot;/&gt;&lt;wsp:rsid wsp:val=&quot;00D425BE&quot;/&gt;&lt;wsp:rsid wsp:val=&quot;00D42B75&quot;/&gt;&lt;wsp:rsid wsp:val=&quot;00D42EA9&quot;/&gt;&lt;wsp:rsid wsp:val=&quot;00D4302B&quot;/&gt;&lt;wsp:rsid wsp:val=&quot;00D440E0&quot;/&gt;&lt;wsp:rsid wsp:val=&quot;00D44B83&quot;/&gt;&lt;wsp:rsid wsp:val=&quot;00D45697&quot;/&gt;&lt;wsp:rsid wsp:val=&quot;00D459A3&quot;/&gt;&lt;wsp:rsid wsp:val=&quot;00D4689B&quot;/&gt;&lt;wsp:rsid wsp:val=&quot;00D46DD8&quot;/&gt;&lt;wsp:rsid wsp:val=&quot;00D46EB2&quot;/&gt;&lt;wsp:rsid wsp:val=&quot;00D4796C&quot;/&gt;&lt;wsp:rsid wsp:val=&quot;00D50198&quot;/&gt;&lt;wsp:rsid wsp:val=&quot;00D501F2&quot;/&gt;&lt;wsp:rsid wsp:val=&quot;00D50910&quot;/&gt;&lt;wsp:rsid wsp:val=&quot;00D51010&quot;/&gt;&lt;wsp:rsid wsp:val=&quot;00D5120D&quot;/&gt;&lt;wsp:rsid wsp:val=&quot;00D514FE&quot;/&gt;&lt;wsp:rsid wsp:val=&quot;00D5273A&quot;/&gt;&lt;wsp:rsid wsp:val=&quot;00D531AE&quot;/&gt;&lt;wsp:rsid wsp:val=&quot;00D5342E&quot;/&gt;&lt;wsp:rsid wsp:val=&quot;00D53A4B&quot;/&gt;&lt;wsp:rsid wsp:val=&quot;00D54093&quot;/&gt;&lt;wsp:rsid wsp:val=&quot;00D54455&quot;/&gt;&lt;wsp:rsid wsp:val=&quot;00D55556&quot;/&gt;&lt;wsp:rsid wsp:val=&quot;00D5587A&quot;/&gt;&lt;wsp:rsid wsp:val=&quot;00D565F2&quot;/&gt;&lt;wsp:rsid wsp:val=&quot;00D56A48&quot;/&gt;&lt;wsp:rsid wsp:val=&quot;00D57F17&quot;/&gt;&lt;wsp:rsid wsp:val=&quot;00D605A0&quot;/&gt;&lt;wsp:rsid wsp:val=&quot;00D608F4&quot;/&gt;&lt;wsp:rsid wsp:val=&quot;00D61619&quot;/&gt;&lt;wsp:rsid wsp:val=&quot;00D62C87&quot;/&gt;&lt;wsp:rsid wsp:val=&quot;00D6314C&quot;/&gt;&lt;wsp:rsid wsp:val=&quot;00D63E6B&quot;/&gt;&lt;wsp:rsid wsp:val=&quot;00D64051&quot;/&gt;&lt;wsp:rsid wsp:val=&quot;00D644BD&quot;/&gt;&lt;wsp:rsid wsp:val=&quot;00D649C4&quot;/&gt;&lt;wsp:rsid wsp:val=&quot;00D64C61&quot;/&gt;&lt;wsp:rsid wsp:val=&quot;00D65E25&quot;/&gt;&lt;wsp:rsid wsp:val=&quot;00D66315&quot;/&gt;&lt;wsp:rsid wsp:val=&quot;00D67245&quot;/&gt;&lt;wsp:rsid wsp:val=&quot;00D67750&quot;/&gt;&lt;wsp:rsid wsp:val=&quot;00D67C0F&quot;/&gt;&lt;wsp:rsid wsp:val=&quot;00D70182&quot;/&gt;&lt;wsp:rsid wsp:val=&quot;00D7061D&quot;/&gt;&lt;wsp:rsid wsp:val=&quot;00D709AA&quot;/&gt;&lt;wsp:rsid wsp:val=&quot;00D72141&quot;/&gt;&lt;wsp:rsid wsp:val=&quot;00D722D4&quot;/&gt;&lt;wsp:rsid wsp:val=&quot;00D724E3&quot;/&gt;&lt;wsp:rsid wsp:val=&quot;00D7289E&quot;/&gt;&lt;wsp:rsid wsp:val=&quot;00D72B4D&quot;/&gt;&lt;wsp:rsid wsp:val=&quot;00D72CA3&quot;/&gt;&lt;wsp:rsid wsp:val=&quot;00D7348C&quot;/&gt;&lt;wsp:rsid wsp:val=&quot;00D73B80&quot;/&gt;&lt;wsp:rsid wsp:val=&quot;00D73E96&quot;/&gt;&lt;wsp:rsid wsp:val=&quot;00D742ED&quot;/&gt;&lt;wsp:rsid wsp:val=&quot;00D7435C&quot;/&gt;&lt;wsp:rsid wsp:val=&quot;00D74874&quot;/&gt;&lt;wsp:rsid wsp:val=&quot;00D7496E&quot;/&gt;&lt;wsp:rsid wsp:val=&quot;00D76D06&quot;/&gt;&lt;wsp:rsid wsp:val=&quot;00D772CA&quot;/&gt;&lt;wsp:rsid wsp:val=&quot;00D80A60&quot;/&gt;&lt;wsp:rsid wsp:val=&quot;00D81205&quot;/&gt;&lt;wsp:rsid wsp:val=&quot;00D822D0&quot;/&gt;&lt;wsp:rsid wsp:val=&quot;00D825E0&quot;/&gt;&lt;wsp:rsid wsp:val=&quot;00D82D1A&quot;/&gt;&lt;wsp:rsid wsp:val=&quot;00D82D26&quot;/&gt;&lt;wsp:rsid wsp:val=&quot;00D82F39&quot;/&gt;&lt;wsp:rsid wsp:val=&quot;00D84E4A&quot;/&gt;&lt;wsp:rsid wsp:val=&quot;00D853C7&quot;/&gt;&lt;wsp:rsid wsp:val=&quot;00D8643A&quot;/&gt;&lt;wsp:rsid wsp:val=&quot;00D86788&quot;/&gt;&lt;wsp:rsid wsp:val=&quot;00D86E37&quot;/&gt;&lt;wsp:rsid wsp:val=&quot;00D87D58&quot;/&gt;&lt;wsp:rsid wsp:val=&quot;00D87DD3&quot;/&gt;&lt;wsp:rsid wsp:val=&quot;00D87F78&quot;/&gt;&lt;wsp:rsid wsp:val=&quot;00D90DEA&quot;/&gt;&lt;wsp:rsid wsp:val=&quot;00D919A2&quot;/&gt;&lt;wsp:rsid wsp:val=&quot;00D91CB8&quot;/&gt;&lt;wsp:rsid wsp:val=&quot;00D91DDB&quot;/&gt;&lt;wsp:rsid wsp:val=&quot;00D932D1&quot;/&gt;&lt;wsp:rsid wsp:val=&quot;00D93AC0&quot;/&gt;&lt;wsp:rsid wsp:val=&quot;00D93F20&quot;/&gt;&lt;wsp:rsid wsp:val=&quot;00D9466B&quot;/&gt;&lt;wsp:rsid wsp:val=&quot;00D94C93&quot;/&gt;&lt;wsp:rsid wsp:val=&quot;00D94E64&quot;/&gt;&lt;wsp:rsid wsp:val=&quot;00D95124&quot;/&gt;&lt;wsp:rsid wsp:val=&quot;00D956D2&quot;/&gt;&lt;wsp:rsid wsp:val=&quot;00DA0DFF&quot;/&gt;&lt;wsp:rsid wsp:val=&quot;00DA115F&quot;/&gt;&lt;wsp:rsid wsp:val=&quot;00DA1269&quot;/&gt;&lt;wsp:rsid wsp:val=&quot;00DA231A&quot;/&gt;&lt;wsp:rsid wsp:val=&quot;00DA2B50&quot;/&gt;&lt;wsp:rsid wsp:val=&quot;00DA2CE5&quot;/&gt;&lt;wsp:rsid wsp:val=&quot;00DA3472&quot;/&gt;&lt;wsp:rsid wsp:val=&quot;00DA3548&quot;/&gt;&lt;wsp:rsid wsp:val=&quot;00DA3894&quot;/&gt;&lt;wsp:rsid wsp:val=&quot;00DA3B1B&quot;/&gt;&lt;wsp:rsid wsp:val=&quot;00DA436E&quot;/&gt;&lt;wsp:rsid wsp:val=&quot;00DA4CCF&quot;/&gt;&lt;wsp:rsid wsp:val=&quot;00DA5C13&quot;/&gt;&lt;wsp:rsid wsp:val=&quot;00DA5E14&quot;/&gt;&lt;wsp:rsid wsp:val=&quot;00DA6541&quot;/&gt;&lt;wsp:rsid wsp:val=&quot;00DA6F43&quot;/&gt;&lt;wsp:rsid wsp:val=&quot;00DA70F9&quot;/&gt;&lt;wsp:rsid wsp:val=&quot;00DA7D36&quot;/&gt;&lt;wsp:rsid wsp:val=&quot;00DB1B12&quot;/&gt;&lt;wsp:rsid wsp:val=&quot;00DB1CEC&quot;/&gt;&lt;wsp:rsid wsp:val=&quot;00DB26DB&quot;/&gt;&lt;wsp:rsid wsp:val=&quot;00DB3129&quot;/&gt;&lt;wsp:rsid wsp:val=&quot;00DB38E2&quot;/&gt;&lt;wsp:rsid wsp:val=&quot;00DB412C&quot;/&gt;&lt;wsp:rsid wsp:val=&quot;00DB4146&quot;/&gt;&lt;wsp:rsid wsp:val=&quot;00DB45C1&quot;/&gt;&lt;wsp:rsid wsp:val=&quot;00DB491F&quot;/&gt;&lt;wsp:rsid wsp:val=&quot;00DB5583&quot;/&gt;&lt;wsp:rsid wsp:val=&quot;00DB5619&quot;/&gt;&lt;wsp:rsid wsp:val=&quot;00DB65C0&quot;/&gt;&lt;wsp:rsid wsp:val=&quot;00DB7740&quot;/&gt;&lt;wsp:rsid wsp:val=&quot;00DB78BB&quot;/&gt;&lt;wsp:rsid wsp:val=&quot;00DC1325&quot;/&gt;&lt;wsp:rsid wsp:val=&quot;00DC155D&quot;/&gt;&lt;wsp:rsid wsp:val=&quot;00DC16FD&quot;/&gt;&lt;wsp:rsid wsp:val=&quot;00DC1B5F&quot;/&gt;&lt;wsp:rsid wsp:val=&quot;00DC241F&quot;/&gt;&lt;wsp:rsid wsp:val=&quot;00DC2577&quot;/&gt;&lt;wsp:rsid wsp:val=&quot;00DC30F0&quot;/&gt;&lt;wsp:rsid wsp:val=&quot;00DC35A8&quot;/&gt;&lt;wsp:rsid wsp:val=&quot;00DC368E&quot;/&gt;&lt;wsp:rsid wsp:val=&quot;00DC3C57&quot;/&gt;&lt;wsp:rsid wsp:val=&quot;00DC423F&quot;/&gt;&lt;wsp:rsid wsp:val=&quot;00DC4BF4&quot;/&gt;&lt;wsp:rsid wsp:val=&quot;00DC4CA8&quot;/&gt;&lt;wsp:rsid wsp:val=&quot;00DC4F32&quot;/&gt;&lt;wsp:rsid wsp:val=&quot;00DC4FCA&quot;/&gt;&lt;wsp:rsid wsp:val=&quot;00DC5675&quot;/&gt;&lt;wsp:rsid wsp:val=&quot;00DC6574&quot;/&gt;&lt;wsp:rsid wsp:val=&quot;00DC6984&quot;/&gt;&lt;wsp:rsid wsp:val=&quot;00DC7150&quot;/&gt;&lt;wsp:rsid wsp:val=&quot;00DC731F&quot;/&gt;&lt;wsp:rsid wsp:val=&quot;00DC7415&quot;/&gt;&lt;wsp:rsid wsp:val=&quot;00DC7DB0&quot;/&gt;&lt;wsp:rsid wsp:val=&quot;00DD02F0&quot;/&gt;&lt;wsp:rsid wsp:val=&quot;00DD126F&quot;/&gt;&lt;wsp:rsid wsp:val=&quot;00DD24A7&quot;/&gt;&lt;wsp:rsid wsp:val=&quot;00DD3707&quot;/&gt;&lt;wsp:rsid wsp:val=&quot;00DD3EDD&quot;/&gt;&lt;wsp:rsid wsp:val=&quot;00DD4010&quot;/&gt;&lt;wsp:rsid wsp:val=&quot;00DD496E&quot;/&gt;&lt;wsp:rsid wsp:val=&quot;00DD4D99&quot;/&gt;&lt;wsp:rsid wsp:val=&quot;00DD590E&quot;/&gt;&lt;wsp:rsid wsp:val=&quot;00DD67A0&quot;/&gt;&lt;wsp:rsid wsp:val=&quot;00DD6A96&quot;/&gt;&lt;wsp:rsid wsp:val=&quot;00DD6C0E&quot;/&gt;&lt;wsp:rsid wsp:val=&quot;00DD701E&quot;/&gt;&lt;wsp:rsid wsp:val=&quot;00DE05CA&quot;/&gt;&lt;wsp:rsid wsp:val=&quot;00DE0B87&quot;/&gt;&lt;wsp:rsid wsp:val=&quot;00DE124C&quot;/&gt;&lt;wsp:rsid wsp:val=&quot;00DE1F3C&quot;/&gt;&lt;wsp:rsid wsp:val=&quot;00DE2072&quot;/&gt;&lt;wsp:rsid wsp:val=&quot;00DE21AC&quot;/&gt;&lt;wsp:rsid wsp:val=&quot;00DE2D90&quot;/&gt;&lt;wsp:rsid wsp:val=&quot;00DE2FBE&quot;/&gt;&lt;wsp:rsid wsp:val=&quot;00DE3762&quot;/&gt;&lt;wsp:rsid wsp:val=&quot;00DE3842&quot;/&gt;&lt;wsp:rsid wsp:val=&quot;00DE4299&quot;/&gt;&lt;wsp:rsid wsp:val=&quot;00DE4E6C&quot;/&gt;&lt;wsp:rsid wsp:val=&quot;00DE647F&quot;/&gt;&lt;wsp:rsid wsp:val=&quot;00DE764C&quot;/&gt;&lt;wsp:rsid wsp:val=&quot;00DF0049&quot;/&gt;&lt;wsp:rsid wsp:val=&quot;00DF0087&quot;/&gt;&lt;wsp:rsid wsp:val=&quot;00DF0230&quot;/&gt;&lt;wsp:rsid wsp:val=&quot;00DF21FB&quot;/&gt;&lt;wsp:rsid wsp:val=&quot;00DF3241&quot;/&gt;&lt;wsp:rsid wsp:val=&quot;00DF336B&quot;/&gt;&lt;wsp:rsid wsp:val=&quot;00DF3738&quot;/&gt;&lt;wsp:rsid wsp:val=&quot;00DF4415&quot;/&gt;&lt;wsp:rsid wsp:val=&quot;00DF4AF8&quot;/&gt;&lt;wsp:rsid wsp:val=&quot;00DF69F6&quot;/&gt;&lt;wsp:rsid wsp:val=&quot;00DF780D&quot;/&gt;&lt;wsp:rsid wsp:val=&quot;00E005A3&quot;/&gt;&lt;wsp:rsid wsp:val=&quot;00E015A8&quot;/&gt;&lt;wsp:rsid wsp:val=&quot;00E015E9&quot;/&gt;&lt;wsp:rsid wsp:val=&quot;00E01ED1&quot;/&gt;&lt;wsp:rsid wsp:val=&quot;00E036DF&quot;/&gt;&lt;wsp:rsid wsp:val=&quot;00E03A3E&quot;/&gt;&lt;wsp:rsid wsp:val=&quot;00E03BEE&quot;/&gt;&lt;wsp:rsid wsp:val=&quot;00E04312&quot;/&gt;&lt;wsp:rsid wsp:val=&quot;00E054C6&quot;/&gt;&lt;wsp:rsid wsp:val=&quot;00E05DCB&quot;/&gt;&lt;wsp:rsid wsp:val=&quot;00E05FD6&quot;/&gt;&lt;wsp:rsid wsp:val=&quot;00E064E4&quot;/&gt;&lt;wsp:rsid wsp:val=&quot;00E06759&quot;/&gt;&lt;wsp:rsid wsp:val=&quot;00E06A95&quot;/&gt;&lt;wsp:rsid wsp:val=&quot;00E06B4D&quot;/&gt;&lt;wsp:rsid wsp:val=&quot;00E07C32&quot;/&gt;&lt;wsp:rsid wsp:val=&quot;00E1049F&quot;/&gt;&lt;wsp:rsid wsp:val=&quot;00E105AB&quot;/&gt;&lt;wsp:rsid wsp:val=&quot;00E10768&quot;/&gt;&lt;wsp:rsid wsp:val=&quot;00E10C99&quot;/&gt;&lt;wsp:rsid wsp:val=&quot;00E112E6&quot;/&gt;&lt;wsp:rsid wsp:val=&quot;00E11AA6&quot;/&gt;&lt;wsp:rsid wsp:val=&quot;00E11CC4&quot;/&gt;&lt;wsp:rsid wsp:val=&quot;00E12975&quot;/&gt;&lt;wsp:rsid wsp:val=&quot;00E12A38&quot;/&gt;&lt;wsp:rsid wsp:val=&quot;00E13C53&quot;/&gt;&lt;wsp:rsid wsp:val=&quot;00E14114&quot;/&gt;&lt;wsp:rsid wsp:val=&quot;00E148CB&quot;/&gt;&lt;wsp:rsid wsp:val=&quot;00E14E34&quot;/&gt;&lt;wsp:rsid wsp:val=&quot;00E15888&quot;/&gt;&lt;wsp:rsid wsp:val=&quot;00E15B7F&quot;/&gt;&lt;wsp:rsid wsp:val=&quot;00E16587&quot;/&gt;&lt;wsp:rsid wsp:val=&quot;00E17611&quot;/&gt;&lt;wsp:rsid wsp:val=&quot;00E201AD&quot;/&gt;&lt;wsp:rsid wsp:val=&quot;00E20D8D&quot;/&gt;&lt;wsp:rsid wsp:val=&quot;00E20F29&quot;/&gt;&lt;wsp:rsid wsp:val=&quot;00E20FD6&quot;/&gt;&lt;wsp:rsid wsp:val=&quot;00E2190E&quot;/&gt;&lt;wsp:rsid wsp:val=&quot;00E21C8F&quot;/&gt;&lt;wsp:rsid wsp:val=&quot;00E22A6D&quot;/&gt;&lt;wsp:rsid wsp:val=&quot;00E22AE0&quot;/&gt;&lt;wsp:rsid wsp:val=&quot;00E237A4&quot;/&gt;&lt;wsp:rsid wsp:val=&quot;00E2382E&quot;/&gt;&lt;wsp:rsid wsp:val=&quot;00E24C19&quot;/&gt;&lt;wsp:rsid wsp:val=&quot;00E250DF&quot;/&gt;&lt;wsp:rsid wsp:val=&quot;00E2751C&quot;/&gt;&lt;wsp:rsid wsp:val=&quot;00E30EE2&quot;/&gt;&lt;wsp:rsid wsp:val=&quot;00E32305&quot;/&gt;&lt;wsp:rsid wsp:val=&quot;00E32DD1&quot;/&gt;&lt;wsp:rsid wsp:val=&quot;00E346D1&quot;/&gt;&lt;wsp:rsid wsp:val=&quot;00E34971&quot;/&gt;&lt;wsp:rsid wsp:val=&quot;00E34EF9&quot;/&gt;&lt;wsp:rsid wsp:val=&quot;00E35ED3&quot;/&gt;&lt;wsp:rsid wsp:val=&quot;00E35F7A&quot;/&gt;&lt;wsp:rsid wsp:val=&quot;00E411BA&quot;/&gt;&lt;wsp:rsid wsp:val=&quot;00E41571&quot;/&gt;&lt;wsp:rsid wsp:val=&quot;00E416AC&quot;/&gt;&lt;wsp:rsid wsp:val=&quot;00E41DA1&quot;/&gt;&lt;wsp:rsid wsp:val=&quot;00E41F16&quot;/&gt;&lt;wsp:rsid wsp:val=&quot;00E43345&quot;/&gt;&lt;wsp:rsid wsp:val=&quot;00E445BC&quot;/&gt;&lt;wsp:rsid wsp:val=&quot;00E44ADD&quot;/&gt;&lt;wsp:rsid wsp:val=&quot;00E45345&quot;/&gt;&lt;wsp:rsid wsp:val=&quot;00E4578E&quot;/&gt;&lt;wsp:rsid wsp:val=&quot;00E457C3&quot;/&gt;&lt;wsp:rsid wsp:val=&quot;00E45A17&quot;/&gt;&lt;wsp:rsid wsp:val=&quot;00E45B60&quot;/&gt;&lt;wsp:rsid wsp:val=&quot;00E45CB2&quot;/&gt;&lt;wsp:rsid wsp:val=&quot;00E45CBD&quot;/&gt;&lt;wsp:rsid wsp:val=&quot;00E45DA8&quot;/&gt;&lt;wsp:rsid wsp:val=&quot;00E46229&quot;/&gt;&lt;wsp:rsid wsp:val=&quot;00E46498&quot;/&gt;&lt;wsp:rsid wsp:val=&quot;00E47267&quot;/&gt;&lt;wsp:rsid wsp:val=&quot;00E47664&quot;/&gt;&lt;wsp:rsid wsp:val=&quot;00E477AA&quot;/&gt;&lt;wsp:rsid wsp:val=&quot;00E47D84&quot;/&gt;&lt;wsp:rsid wsp:val=&quot;00E5000B&quot;/&gt;&lt;wsp:rsid wsp:val=&quot;00E50429&quot;/&gt;&lt;wsp:rsid wsp:val=&quot;00E5056C&quot;/&gt;&lt;wsp:rsid wsp:val=&quot;00E50A7D&quot;/&gt;&lt;wsp:rsid wsp:val=&quot;00E511A0&quot;/&gt;&lt;wsp:rsid wsp:val=&quot;00E513D6&quot;/&gt;&lt;wsp:rsid wsp:val=&quot;00E518FC&quot;/&gt;&lt;wsp:rsid wsp:val=&quot;00E51A40&quot;/&gt;&lt;wsp:rsid wsp:val=&quot;00E524C5&quot;/&gt;&lt;wsp:rsid wsp:val=&quot;00E5291D&quot;/&gt;&lt;wsp:rsid wsp:val=&quot;00E52B80&quot;/&gt;&lt;wsp:rsid wsp:val=&quot;00E54CCC&quot;/&gt;&lt;wsp:rsid wsp:val=&quot;00E54DCC&quot;/&gt;&lt;wsp:rsid wsp:val=&quot;00E54F18&quot;/&gt;&lt;wsp:rsid wsp:val=&quot;00E54F83&quot;/&gt;&lt;wsp:rsid wsp:val=&quot;00E5504D&quot;/&gt;&lt;wsp:rsid wsp:val=&quot;00E5522B&quot;/&gt;&lt;wsp:rsid wsp:val=&quot;00E55778&quot;/&gt;&lt;wsp:rsid wsp:val=&quot;00E559D6&quot;/&gt;&lt;wsp:rsid wsp:val=&quot;00E55A13&quot;/&gt;&lt;wsp:rsid wsp:val=&quot;00E568F9&quot;/&gt;&lt;wsp:rsid wsp:val=&quot;00E56C66&quot;/&gt;&lt;wsp:rsid wsp:val=&quot;00E60CAC&quot;/&gt;&lt;wsp:rsid wsp:val=&quot;00E6148E&quot;/&gt;&lt;wsp:rsid wsp:val=&quot;00E61685&quot;/&gt;&lt;wsp:rsid wsp:val=&quot;00E61935&quot;/&gt;&lt;wsp:rsid wsp:val=&quot;00E628D0&quot;/&gt;&lt;wsp:rsid wsp:val=&quot;00E628EE&quot;/&gt;&lt;wsp:rsid wsp:val=&quot;00E63875&quot;/&gt;&lt;wsp:rsid wsp:val=&quot;00E63B81&quot;/&gt;&lt;wsp:rsid wsp:val=&quot;00E63C75&quot;/&gt;&lt;wsp:rsid wsp:val=&quot;00E64671&quot;/&gt;&lt;wsp:rsid wsp:val=&quot;00E65D35&quot;/&gt;&lt;wsp:rsid wsp:val=&quot;00E66052&quot;/&gt;&lt;wsp:rsid wsp:val=&quot;00E666EE&quot;/&gt;&lt;wsp:rsid wsp:val=&quot;00E67295&quot;/&gt;&lt;wsp:rsid wsp:val=&quot;00E6777C&quot;/&gt;&lt;wsp:rsid wsp:val=&quot;00E67838&quot;/&gt;&lt;wsp:rsid wsp:val=&quot;00E70A99&quot;/&gt;&lt;wsp:rsid wsp:val=&quot;00E71A1A&quot;/&gt;&lt;wsp:rsid wsp:val=&quot;00E71CC9&quot;/&gt;&lt;wsp:rsid wsp:val=&quot;00E72B53&quot;/&gt;&lt;wsp:rsid wsp:val=&quot;00E72E3D&quot;/&gt;&lt;wsp:rsid wsp:val=&quot;00E73992&quot;/&gt;&lt;wsp:rsid wsp:val=&quot;00E739FA&quot;/&gt;&lt;wsp:rsid wsp:val=&quot;00E73F7F&quot;/&gt;&lt;wsp:rsid wsp:val=&quot;00E74343&quot;/&gt;&lt;wsp:rsid wsp:val=&quot;00E757EF&quot;/&gt;&lt;wsp:rsid wsp:val=&quot;00E75866&quot;/&gt;&lt;wsp:rsid wsp:val=&quot;00E75BDF&quot;/&gt;&lt;wsp:rsid wsp:val=&quot;00E76AD7&quot;/&gt;&lt;wsp:rsid wsp:val=&quot;00E77A4C&quot;/&gt;&lt;wsp:rsid wsp:val=&quot;00E77AD6&quot;/&gt;&lt;wsp:rsid wsp:val=&quot;00E802C8&quot;/&gt;&lt;wsp:rsid wsp:val=&quot;00E814F7&quot;/&gt;&lt;wsp:rsid wsp:val=&quot;00E816F0&quot;/&gt;&lt;wsp:rsid wsp:val=&quot;00E8268C&quot;/&gt;&lt;wsp:rsid wsp:val=&quot;00E82691&quot;/&gt;&lt;wsp:rsid wsp:val=&quot;00E82B59&quot;/&gt;&lt;wsp:rsid wsp:val=&quot;00E831D8&quot;/&gt;&lt;wsp:rsid wsp:val=&quot;00E83BA1&quot;/&gt;&lt;wsp:rsid wsp:val=&quot;00E840B6&quot;/&gt;&lt;wsp:rsid wsp:val=&quot;00E841BB&quot;/&gt;&lt;wsp:rsid wsp:val=&quot;00E84395&quot;/&gt;&lt;wsp:rsid wsp:val=&quot;00E843FA&quot;/&gt;&lt;wsp:rsid wsp:val=&quot;00E8499F&quot;/&gt;&lt;wsp:rsid wsp:val=&quot;00E86198&quot;/&gt;&lt;wsp:rsid wsp:val=&quot;00E8628F&quot;/&gt;&lt;wsp:rsid wsp:val=&quot;00E866ED&quot;/&gt;&lt;wsp:rsid wsp:val=&quot;00E8698F&quot;/&gt;&lt;wsp:rsid wsp:val=&quot;00E86F7E&quot;/&gt;&lt;wsp:rsid wsp:val=&quot;00E876CE&quot;/&gt;&lt;wsp:rsid wsp:val=&quot;00E87ADD&quot;/&gt;&lt;wsp:rsid wsp:val=&quot;00E9051B&quot;/&gt;&lt;wsp:rsid wsp:val=&quot;00E90B8B&quot;/&gt;&lt;wsp:rsid wsp:val=&quot;00E90BAD&quot;/&gt;&lt;wsp:rsid wsp:val=&quot;00E9210B&quot;/&gt;&lt;wsp:rsid wsp:val=&quot;00E92EE5&quot;/&gt;&lt;wsp:rsid wsp:val=&quot;00E944AC&quot;/&gt;&lt;wsp:rsid wsp:val=&quot;00E94781&quot;/&gt;&lt;wsp:rsid wsp:val=&quot;00E94CF6&quot;/&gt;&lt;wsp:rsid wsp:val=&quot;00E94E2C&quot;/&gt;&lt;wsp:rsid wsp:val=&quot;00E94FAA&quot;/&gt;&lt;wsp:rsid wsp:val=&quot;00E95A2A&quot;/&gt;&lt;wsp:rsid wsp:val=&quot;00E96552&quot;/&gt;&lt;wsp:rsid wsp:val=&quot;00E96D1A&quot;/&gt;&lt;wsp:rsid wsp:val=&quot;00E97CA2&quot;/&gt;&lt;wsp:rsid wsp:val=&quot;00EA06DF&quot;/&gt;&lt;wsp:rsid wsp:val=&quot;00EA07CE&quot;/&gt;&lt;wsp:rsid wsp:val=&quot;00EA0AE9&quot;/&gt;&lt;wsp:rsid wsp:val=&quot;00EA1283&quot;/&gt;&lt;wsp:rsid wsp:val=&quot;00EA1558&quot;/&gt;&lt;wsp:rsid wsp:val=&quot;00EA16AC&quot;/&gt;&lt;wsp:rsid wsp:val=&quot;00EA2010&quot;/&gt;&lt;wsp:rsid wsp:val=&quot;00EA26C9&quot;/&gt;&lt;wsp:rsid wsp:val=&quot;00EA2E99&quot;/&gt;&lt;wsp:rsid wsp:val=&quot;00EA485F&quot;/&gt;&lt;wsp:rsid wsp:val=&quot;00EA5298&quot;/&gt;&lt;wsp:rsid wsp:val=&quot;00EA6010&quot;/&gt;&lt;wsp:rsid wsp:val=&quot;00EA6D97&quot;/&gt;&lt;wsp:rsid wsp:val=&quot;00EA7DA8&quot;/&gt;&lt;wsp:rsid wsp:val=&quot;00EB03E0&quot;/&gt;&lt;wsp:rsid wsp:val=&quot;00EB0864&quot;/&gt;&lt;wsp:rsid wsp:val=&quot;00EB171A&quot;/&gt;&lt;wsp:rsid wsp:val=&quot;00EB1BB5&quot;/&gt;&lt;wsp:rsid wsp:val=&quot;00EB333E&quot;/&gt;&lt;wsp:rsid wsp:val=&quot;00EB3623&quot;/&gt;&lt;wsp:rsid wsp:val=&quot;00EB3A80&quot;/&gt;&lt;wsp:rsid wsp:val=&quot;00EB4F7B&quot;/&gt;&lt;wsp:rsid wsp:val=&quot;00EB57BC&quot;/&gt;&lt;wsp:rsid wsp:val=&quot;00EB60A1&quot;/&gt;&lt;wsp:rsid wsp:val=&quot;00EB6557&quot;/&gt;&lt;wsp:rsid wsp:val=&quot;00EB7BDA&quot;/&gt;&lt;wsp:rsid wsp:val=&quot;00EC017F&quot;/&gt;&lt;wsp:rsid wsp:val=&quot;00EC0C8A&quot;/&gt;&lt;wsp:rsid wsp:val=&quot;00EC1300&quot;/&gt;&lt;wsp:rsid wsp:val=&quot;00EC1EFB&quot;/&gt;&lt;wsp:rsid wsp:val=&quot;00EC279C&quot;/&gt;&lt;wsp:rsid wsp:val=&quot;00EC36F7&quot;/&gt;&lt;wsp:rsid wsp:val=&quot;00EC433A&quot;/&gt;&lt;wsp:rsid wsp:val=&quot;00EC4661&quot;/&gt;&lt;wsp:rsid wsp:val=&quot;00EC5768&quot;/&gt;&lt;wsp:rsid wsp:val=&quot;00EC58E8&quot;/&gt;&lt;wsp:rsid wsp:val=&quot;00EC5C95&quot;/&gt;&lt;wsp:rsid wsp:val=&quot;00EC60C2&quot;/&gt;&lt;wsp:rsid wsp:val=&quot;00EC674A&quot;/&gt;&lt;wsp:rsid wsp:val=&quot;00EC6BAC&quot;/&gt;&lt;wsp:rsid wsp:val=&quot;00EC7E1E&quot;/&gt;&lt;wsp:rsid wsp:val=&quot;00ED0218&quot;/&gt;&lt;wsp:rsid wsp:val=&quot;00ED0769&quot;/&gt;&lt;wsp:rsid wsp:val=&quot;00ED1087&quot;/&gt;&lt;wsp:rsid wsp:val=&quot;00ED1418&quot;/&gt;&lt;wsp:rsid wsp:val=&quot;00ED2180&quot;/&gt;&lt;wsp:rsid wsp:val=&quot;00ED2246&quot;/&gt;&lt;wsp:rsid wsp:val=&quot;00ED3066&quot;/&gt;&lt;wsp:rsid wsp:val=&quot;00ED3F73&quot;/&gt;&lt;wsp:rsid wsp:val=&quot;00ED4587&quot;/&gt;&lt;wsp:rsid wsp:val=&quot;00ED4600&quot;/&gt;&lt;wsp:rsid wsp:val=&quot;00ED49FF&quot;/&gt;&lt;wsp:rsid wsp:val=&quot;00ED5121&quot;/&gt;&lt;wsp:rsid wsp:val=&quot;00ED5A4B&quot;/&gt;&lt;wsp:rsid wsp:val=&quot;00ED6634&quot;/&gt;&lt;wsp:rsid wsp:val=&quot;00ED6D41&quot;/&gt;&lt;wsp:rsid wsp:val=&quot;00ED7495&quot;/&gt;&lt;wsp:rsid wsp:val=&quot;00ED7500&quot;/&gt;&lt;wsp:rsid wsp:val=&quot;00ED7642&quot;/&gt;&lt;wsp:rsid wsp:val=&quot;00ED7F0E&quot;/&gt;&lt;wsp:rsid wsp:val=&quot;00EE0B24&quot;/&gt;&lt;wsp:rsid wsp:val=&quot;00EE1778&quot;/&gt;&lt;wsp:rsid wsp:val=&quot;00EE1BFC&quot;/&gt;&lt;wsp:rsid wsp:val=&quot;00EE2D5A&quot;/&gt;&lt;wsp:rsid wsp:val=&quot;00EE3096&quot;/&gt;&lt;wsp:rsid wsp:val=&quot;00EE3C36&quot;/&gt;&lt;wsp:rsid wsp:val=&quot;00EE3F6B&quot;/&gt;&lt;wsp:rsid wsp:val=&quot;00EE3FA6&quot;/&gt;&lt;wsp:rsid wsp:val=&quot;00EE4443&quot;/&gt;&lt;wsp:rsid wsp:val=&quot;00EE5139&quot;/&gt;&lt;wsp:rsid wsp:val=&quot;00EE526E&quot;/&gt;&lt;wsp:rsid wsp:val=&quot;00EE54D8&quot;/&gt;&lt;wsp:rsid wsp:val=&quot;00EE7218&quot;/&gt;&lt;wsp:rsid wsp:val=&quot;00EF0502&quot;/&gt;&lt;wsp:rsid wsp:val=&quot;00EF0C5B&quot;/&gt;&lt;wsp:rsid wsp:val=&quot;00EF0DEC&quot;/&gt;&lt;wsp:rsid wsp:val=&quot;00EF0E07&quot;/&gt;&lt;wsp:rsid wsp:val=&quot;00EF284E&quot;/&gt;&lt;wsp:rsid wsp:val=&quot;00EF4942&quot;/&gt;&lt;wsp:rsid wsp:val=&quot;00EF4D51&quot;/&gt;&lt;wsp:rsid wsp:val=&quot;00EF51B4&quot;/&gt;&lt;wsp:rsid wsp:val=&quot;00EF6969&quot;/&gt;&lt;wsp:rsid wsp:val=&quot;00EF73F3&quot;/&gt;&lt;wsp:rsid wsp:val=&quot;00EF74D9&quot;/&gt;&lt;wsp:rsid wsp:val=&quot;00F00818&quot;/&gt;&lt;wsp:rsid wsp:val=&quot;00F00B47&quot;/&gt;&lt;wsp:rsid wsp:val=&quot;00F02EA8&quot;/&gt;&lt;wsp:rsid wsp:val=&quot;00F030B6&quot;/&gt;&lt;wsp:rsid wsp:val=&quot;00F05F07&quot;/&gt;&lt;wsp:rsid wsp:val=&quot;00F0615D&quot;/&gt;&lt;wsp:rsid wsp:val=&quot;00F07D52&quot;/&gt;&lt;wsp:rsid wsp:val=&quot;00F1052F&quot;/&gt;&lt;wsp:rsid wsp:val=&quot;00F11E7D&quot;/&gt;&lt;wsp:rsid wsp:val=&quot;00F12488&quot;/&gt;&lt;wsp:rsid wsp:val=&quot;00F128E9&quot;/&gt;&lt;wsp:rsid wsp:val=&quot;00F12B72&quot;/&gt;&lt;wsp:rsid wsp:val=&quot;00F12D50&quot;/&gt;&lt;wsp:rsid wsp:val=&quot;00F1356E&quot;/&gt;&lt;wsp:rsid wsp:val=&quot;00F144FE&quot;/&gt;&lt;wsp:rsid wsp:val=&quot;00F147E3&quot;/&gt;&lt;wsp:rsid wsp:val=&quot;00F163B1&quot;/&gt;&lt;wsp:rsid wsp:val=&quot;00F165D2&quot;/&gt;&lt;wsp:rsid wsp:val=&quot;00F16667&quot;/&gt;&lt;wsp:rsid wsp:val=&quot;00F17B1A&quot;/&gt;&lt;wsp:rsid wsp:val=&quot;00F17E8A&quot;/&gt;&lt;wsp:rsid wsp:val=&quot;00F200E5&quot;/&gt;&lt;wsp:rsid wsp:val=&quot;00F205E8&quot;/&gt;&lt;wsp:rsid wsp:val=&quot;00F22646&quot;/&gt;&lt;wsp:rsid wsp:val=&quot;00F22FD3&quot;/&gt;&lt;wsp:rsid wsp:val=&quot;00F2338D&quot;/&gt;&lt;wsp:rsid wsp:val=&quot;00F23433&quot;/&gt;&lt;wsp:rsid wsp:val=&quot;00F23458&quot;/&gt;&lt;wsp:rsid wsp:val=&quot;00F24346&quot;/&gt;&lt;wsp:rsid wsp:val=&quot;00F243E5&quot;/&gt;&lt;wsp:rsid wsp:val=&quot;00F243EC&quot;/&gt;&lt;wsp:rsid wsp:val=&quot;00F24982&quot;/&gt;&lt;wsp:rsid wsp:val=&quot;00F260D0&quot;/&gt;&lt;wsp:rsid wsp:val=&quot;00F26842&quot;/&gt;&lt;wsp:rsid wsp:val=&quot;00F30193&quot;/&gt;&lt;wsp:rsid wsp:val=&quot;00F303C1&quot;/&gt;&lt;wsp:rsid wsp:val=&quot;00F305D4&quot;/&gt;&lt;wsp:rsid wsp:val=&quot;00F31D58&quot;/&gt;&lt;wsp:rsid wsp:val=&quot;00F320BD&quot;/&gt;&lt;wsp:rsid wsp:val=&quot;00F323F4&quot;/&gt;&lt;wsp:rsid wsp:val=&quot;00F32833&quot;/&gt;&lt;wsp:rsid wsp:val=&quot;00F33417&quot;/&gt;&lt;wsp:rsid wsp:val=&quot;00F337A1&quot;/&gt;&lt;wsp:rsid wsp:val=&quot;00F33834&quot;/&gt;&lt;wsp:rsid wsp:val=&quot;00F33CC4&quot;/&gt;&lt;wsp:rsid wsp:val=&quot;00F340CD&quot;/&gt;&lt;wsp:rsid wsp:val=&quot;00F34EFF&quot;/&gt;&lt;wsp:rsid wsp:val=&quot;00F34FEA&quot;/&gt;&lt;wsp:rsid wsp:val=&quot;00F354B7&quot;/&gt;&lt;wsp:rsid wsp:val=&quot;00F35537&quot;/&gt;&lt;wsp:rsid wsp:val=&quot;00F3579F&quot;/&gt;&lt;wsp:rsid wsp:val=&quot;00F364FF&quot;/&gt;&lt;wsp:rsid wsp:val=&quot;00F376F3&quot;/&gt;&lt;wsp:rsid wsp:val=&quot;00F40561&quot;/&gt;&lt;wsp:rsid wsp:val=&quot;00F417DA&quot;/&gt;&lt;wsp:rsid wsp:val=&quot;00F41AAC&quot;/&gt;&lt;wsp:rsid wsp:val=&quot;00F4291D&quot;/&gt;&lt;wsp:rsid wsp:val=&quot;00F42A0A&quot;/&gt;&lt;wsp:rsid wsp:val=&quot;00F43117&quot;/&gt;&lt;wsp:rsid wsp:val=&quot;00F4357F&quot;/&gt;&lt;wsp:rsid wsp:val=&quot;00F44320&quot;/&gt;&lt;wsp:rsid wsp:val=&quot;00F464DF&quot;/&gt;&lt;wsp:rsid wsp:val=&quot;00F468B0&quot;/&gt;&lt;wsp:rsid wsp:val=&quot;00F46DAA&quot;/&gt;&lt;wsp:rsid wsp:val=&quot;00F4781C&quot;/&gt;&lt;wsp:rsid wsp:val=&quot;00F5011B&quot;/&gt;&lt;wsp:rsid wsp:val=&quot;00F50227&quot;/&gt;&lt;wsp:rsid wsp:val=&quot;00F50C6B&quot;/&gt;&lt;wsp:rsid wsp:val=&quot;00F5271F&quot;/&gt;&lt;wsp:rsid wsp:val=&quot;00F52F33&quot;/&gt;&lt;wsp:rsid wsp:val=&quot;00F53A01&quot;/&gt;&lt;wsp:rsid wsp:val=&quot;00F542E0&quot;/&gt;&lt;wsp:rsid wsp:val=&quot;00F5445F&quot;/&gt;&lt;wsp:rsid wsp:val=&quot;00F546A1&quot;/&gt;&lt;wsp:rsid wsp:val=&quot;00F54D4F&quot;/&gt;&lt;wsp:rsid wsp:val=&quot;00F552F3&quot;/&gt;&lt;wsp:rsid wsp:val=&quot;00F5585D&quot;/&gt;&lt;wsp:rsid wsp:val=&quot;00F559EC&quot;/&gt;&lt;wsp:rsid wsp:val=&quot;00F55DC2&quot;/&gt;&lt;wsp:rsid wsp:val=&quot;00F56924&quot;/&gt;&lt;wsp:rsid wsp:val=&quot;00F57515&quot;/&gt;&lt;wsp:rsid wsp:val=&quot;00F608F8&quot;/&gt;&lt;wsp:rsid wsp:val=&quot;00F61DBE&quot;/&gt;&lt;wsp:rsid wsp:val=&quot;00F62262&quot;/&gt;&lt;wsp:rsid wsp:val=&quot;00F6254B&quot;/&gt;&lt;wsp:rsid wsp:val=&quot;00F63270&quot;/&gt;&lt;wsp:rsid wsp:val=&quot;00F636E6&quot;/&gt;&lt;wsp:rsid wsp:val=&quot;00F6389B&quot;/&gt;&lt;wsp:rsid wsp:val=&quot;00F63B8B&quot;/&gt;&lt;wsp:rsid wsp:val=&quot;00F63E48&quot;/&gt;&lt;wsp:rsid wsp:val=&quot;00F63F91&quot;/&gt;&lt;wsp:rsid wsp:val=&quot;00F6409F&quot;/&gt;&lt;wsp:rsid wsp:val=&quot;00F652E1&quot;/&gt;&lt;wsp:rsid wsp:val=&quot;00F659F7&quot;/&gt;&lt;wsp:rsid wsp:val=&quot;00F67803&quot;/&gt;&lt;wsp:rsid wsp:val=&quot;00F67C5E&quot;/&gt;&lt;wsp:rsid wsp:val=&quot;00F67C93&quot;/&gt;&lt;wsp:rsid wsp:val=&quot;00F67DA6&quot;/&gt;&lt;wsp:rsid wsp:val=&quot;00F67EAE&quot;/&gt;&lt;wsp:rsid wsp:val=&quot;00F70E04&quot;/&gt;&lt;wsp:rsid wsp:val=&quot;00F71418&quot;/&gt;&lt;wsp:rsid wsp:val=&quot;00F71472&quot;/&gt;&lt;wsp:rsid wsp:val=&quot;00F71612&quot;/&gt;&lt;wsp:rsid wsp:val=&quot;00F71A6B&quot;/&gt;&lt;wsp:rsid wsp:val=&quot;00F71C74&quot;/&gt;&lt;wsp:rsid wsp:val=&quot;00F71F5C&quot;/&gt;&lt;wsp:rsid wsp:val=&quot;00F73BDB&quot;/&gt;&lt;wsp:rsid wsp:val=&quot;00F73FEA&quot;/&gt;&lt;wsp:rsid wsp:val=&quot;00F74190&quot;/&gt;&lt;wsp:rsid wsp:val=&quot;00F74349&quot;/&gt;&lt;wsp:rsid wsp:val=&quot;00F74910&quot;/&gt;&lt;wsp:rsid wsp:val=&quot;00F74A8D&quot;/&gt;&lt;wsp:rsid wsp:val=&quot;00F75662&quot;/&gt;&lt;wsp:rsid wsp:val=&quot;00F76361&quot;/&gt;&lt;wsp:rsid wsp:val=&quot;00F767BF&quot;/&gt;&lt;wsp:rsid wsp:val=&quot;00F76C58&quot;/&gt;&lt;wsp:rsid wsp:val=&quot;00F76F66&quot;/&gt;&lt;wsp:rsid wsp:val=&quot;00F77204&quot;/&gt;&lt;wsp:rsid wsp:val=&quot;00F773F9&quot;/&gt;&lt;wsp:rsid wsp:val=&quot;00F775B1&quot;/&gt;&lt;wsp:rsid wsp:val=&quot;00F81BDA&quot;/&gt;&lt;wsp:rsid wsp:val=&quot;00F81F2B&quot;/&gt;&lt;wsp:rsid wsp:val=&quot;00F82031&quot;/&gt;&lt;wsp:rsid wsp:val=&quot;00F82060&quot;/&gt;&lt;wsp:rsid wsp:val=&quot;00F822AE&quot;/&gt;&lt;wsp:rsid wsp:val=&quot;00F82693&quot;/&gt;&lt;wsp:rsid wsp:val=&quot;00F82834&quot;/&gt;&lt;wsp:rsid wsp:val=&quot;00F82B4B&quot;/&gt;&lt;wsp:rsid wsp:val=&quot;00F83CE2&quot;/&gt;&lt;wsp:rsid wsp:val=&quot;00F83D47&quot;/&gt;&lt;wsp:rsid wsp:val=&quot;00F83D74&quot;/&gt;&lt;wsp:rsid wsp:val=&quot;00F8444A&quot;/&gt;&lt;wsp:rsid wsp:val=&quot;00F84BE9&quot;/&gt;&lt;wsp:rsid wsp:val=&quot;00F8553F&quot;/&gt;&lt;wsp:rsid wsp:val=&quot;00F87EBF&quot;/&gt;&lt;wsp:rsid wsp:val=&quot;00F90498&quot;/&gt;&lt;wsp:rsid wsp:val=&quot;00F9077A&quot;/&gt;&lt;wsp:rsid wsp:val=&quot;00F90C4B&quot;/&gt;&lt;wsp:rsid wsp:val=&quot;00F90FF5&quot;/&gt;&lt;wsp:rsid wsp:val=&quot;00F912D9&quot;/&gt;&lt;wsp:rsid wsp:val=&quot;00F91B3B&quot;/&gt;&lt;wsp:rsid wsp:val=&quot;00F91F7C&quot;/&gt;&lt;wsp:rsid wsp:val=&quot;00F92288&quot;/&gt;&lt;wsp:rsid wsp:val=&quot;00F923D4&quot;/&gt;&lt;wsp:rsid wsp:val=&quot;00F93D4C&quot;/&gt;&lt;wsp:rsid wsp:val=&quot;00F94CE8&quot;/&gt;&lt;wsp:rsid wsp:val=&quot;00F94D39&quot;/&gt;&lt;wsp:rsid wsp:val=&quot;00F95230&quot;/&gt;&lt;wsp:rsid wsp:val=&quot;00F95509&quot;/&gt;&lt;wsp:rsid wsp:val=&quot;00F9588B&quot;/&gt;&lt;wsp:rsid wsp:val=&quot;00F95E04&quot;/&gt;&lt;wsp:rsid wsp:val=&quot;00F95E41&quot;/&gt;&lt;wsp:rsid wsp:val=&quot;00F961E1&quot;/&gt;&lt;wsp:rsid wsp:val=&quot;00F9639A&quot;/&gt;&lt;wsp:rsid wsp:val=&quot;00F963CF&quot;/&gt;&lt;wsp:rsid wsp:val=&quot;00F96489&quot;/&gt;&lt;wsp:rsid wsp:val=&quot;00F96585&quot;/&gt;&lt;wsp:rsid wsp:val=&quot;00F967E6&quot;/&gt;&lt;wsp:rsid wsp:val=&quot;00F971B3&quot;/&gt;&lt;wsp:rsid wsp:val=&quot;00F974E6&quot;/&gt;&lt;wsp:rsid wsp:val=&quot;00F9778F&quot;/&gt;&lt;wsp:rsid wsp:val=&quot;00FA0895&quot;/&gt;&lt;wsp:rsid wsp:val=&quot;00FA0A66&quot;/&gt;&lt;wsp:rsid wsp:val=&quot;00FA1A88&quot;/&gt;&lt;wsp:rsid wsp:val=&quot;00FA2191&quot;/&gt;&lt;wsp:rsid wsp:val=&quot;00FA31F5&quot;/&gt;&lt;wsp:rsid wsp:val=&quot;00FA3B1B&quot;/&gt;&lt;wsp:rsid wsp:val=&quot;00FA3F62&quot;/&gt;&lt;wsp:rsid wsp:val=&quot;00FA4203&quot;/&gt;&lt;wsp:rsid wsp:val=&quot;00FA53D7&quot;/&gt;&lt;wsp:rsid wsp:val=&quot;00FA58DB&quot;/&gt;&lt;wsp:rsid wsp:val=&quot;00FA5A32&quot;/&gt;&lt;wsp:rsid wsp:val=&quot;00FA732E&quot;/&gt;&lt;wsp:rsid wsp:val=&quot;00FB0BF0&quot;/&gt;&lt;wsp:rsid wsp:val=&quot;00FB182F&quot;/&gt;&lt;wsp:rsid wsp:val=&quot;00FB1A97&quot;/&gt;&lt;wsp:rsid wsp:val=&quot;00FB1BEE&quot;/&gt;&lt;wsp:rsid wsp:val=&quot;00FB2087&quot;/&gt;&lt;wsp:rsid wsp:val=&quot;00FB2175&quot;/&gt;&lt;wsp:rsid wsp:val=&quot;00FB2F72&quot;/&gt;&lt;wsp:rsid wsp:val=&quot;00FB306D&quot;/&gt;&lt;wsp:rsid wsp:val=&quot;00FB46B2&quot;/&gt;&lt;wsp:rsid wsp:val=&quot;00FB4760&quot;/&gt;&lt;wsp:rsid wsp:val=&quot;00FB4B5C&quot;/&gt;&lt;wsp:rsid wsp:val=&quot;00FB4C5A&quot;/&gt;&lt;wsp:rsid wsp:val=&quot;00FB4F17&quot;/&gt;&lt;wsp:rsid wsp:val=&quot;00FB5122&quot;/&gt;&lt;wsp:rsid wsp:val=&quot;00FB5C5E&quot;/&gt;&lt;wsp:rsid wsp:val=&quot;00FB5EEE&quot;/&gt;&lt;wsp:rsid wsp:val=&quot;00FB6576&quot;/&gt;&lt;wsp:rsid wsp:val=&quot;00FB6C0F&quot;/&gt;&lt;wsp:rsid wsp:val=&quot;00FB6EF6&quot;/&gt;&lt;wsp:rsid wsp:val=&quot;00FB7036&quot;/&gt;&lt;wsp:rsid wsp:val=&quot;00FB754D&quot;/&gt;&lt;wsp:rsid wsp:val=&quot;00FB7DD0&quot;/&gt;&lt;wsp:rsid wsp:val=&quot;00FC0CF0&quot;/&gt;&lt;wsp:rsid wsp:val=&quot;00FC0D35&quot;/&gt;&lt;wsp:rsid wsp:val=&quot;00FC10A9&quot;/&gt;&lt;wsp:rsid wsp:val=&quot;00FC1B4B&quot;/&gt;&lt;wsp:rsid wsp:val=&quot;00FC1B99&quot;/&gt;&lt;wsp:rsid wsp:val=&quot;00FC225F&quot;/&gt;&lt;wsp:rsid wsp:val=&quot;00FC3221&quot;/&gt;&lt;wsp:rsid wsp:val=&quot;00FC3933&quot;/&gt;&lt;wsp:rsid wsp:val=&quot;00FC47CC&quot;/&gt;&lt;wsp:rsid wsp:val=&quot;00FC4E63&quot;/&gt;&lt;wsp:rsid wsp:val=&quot;00FC6124&quot;/&gt;&lt;wsp:rsid wsp:val=&quot;00FC64AE&quot;/&gt;&lt;wsp:rsid wsp:val=&quot;00FC7E60&quot;/&gt;&lt;wsp:rsid wsp:val=&quot;00FD028A&quot;/&gt;&lt;wsp:rsid wsp:val=&quot;00FD04F7&quot;/&gt;&lt;wsp:rsid wsp:val=&quot;00FD0AF5&quot;/&gt;&lt;wsp:rsid wsp:val=&quot;00FD121A&quot;/&gt;&lt;wsp:rsid wsp:val=&quot;00FD1582&quot;/&gt;&lt;wsp:rsid wsp:val=&quot;00FD38BA&quot;/&gt;&lt;wsp:rsid wsp:val=&quot;00FD406A&quot;/&gt;&lt;wsp:rsid wsp:val=&quot;00FD440C&quot;/&gt;&lt;wsp:rsid wsp:val=&quot;00FD5ECF&quot;/&gt;&lt;wsp:rsid wsp:val=&quot;00FD6A0E&quot;/&gt;&lt;wsp:rsid wsp:val=&quot;00FD6A93&quot;/&gt;&lt;wsp:rsid wsp:val=&quot;00FD6D6C&quot;/&gt;&lt;wsp:rsid wsp:val=&quot;00FD71F3&quot;/&gt;&lt;wsp:rsid wsp:val=&quot;00FD7B12&quot;/&gt;&lt;wsp:rsid wsp:val=&quot;00FE157D&quot;/&gt;&lt;wsp:rsid wsp:val=&quot;00FE162D&quot;/&gt;&lt;wsp:rsid wsp:val=&quot;00FE1E3E&quot;/&gt;&lt;wsp:rsid wsp:val=&quot;00FE2DEE&quot;/&gt;&lt;wsp:rsid wsp:val=&quot;00FE34FE&quot;/&gt;&lt;wsp:rsid wsp:val=&quot;00FE379D&quot;/&gt;&lt;wsp:rsid wsp:val=&quot;00FE38CD&quot;/&gt;&lt;wsp:rsid wsp:val=&quot;00FE3912&quot;/&gt;&lt;wsp:rsid wsp:val=&quot;00FE47C4&quot;/&gt;&lt;wsp:rsid wsp:val=&quot;00FE4B49&quot;/&gt;&lt;wsp:rsid wsp:val=&quot;00FE51E9&quot;/&gt;&lt;wsp:rsid wsp:val=&quot;00FE5532&quot;/&gt;&lt;wsp:rsid wsp:val=&quot;00FE561F&quot;/&gt;&lt;wsp:rsid wsp:val=&quot;00FE5E39&quot;/&gt;&lt;wsp:rsid wsp:val=&quot;00FE6587&quot;/&gt;&lt;wsp:rsid wsp:val=&quot;00FE6808&quot;/&gt;&lt;wsp:rsid wsp:val=&quot;00FE683C&quot;/&gt;&lt;wsp:rsid wsp:val=&quot;00FE6FD1&quot;/&gt;&lt;wsp:rsid wsp:val=&quot;00FE73DF&quot;/&gt;&lt;wsp:rsid wsp:val=&quot;00FF040D&quot;/&gt;&lt;wsp:rsid wsp:val=&quot;00FF0550&quot;/&gt;&lt;wsp:rsid wsp:val=&quot;00FF0DD6&quot;/&gt;&lt;wsp:rsid wsp:val=&quot;00FF18D7&quot;/&gt;&lt;wsp:rsid wsp:val=&quot;00FF1BFE&quot;/&gt;&lt;wsp:rsid wsp:val=&quot;00FF2671&quot;/&gt;&lt;wsp:rsid wsp:val=&quot;00FF2C36&quot;/&gt;&lt;wsp:rsid wsp:val=&quot;00FF2EAC&quot;/&gt;&lt;wsp:rsid wsp:val=&quot;00FF2F17&quot;/&gt;&lt;wsp:rsid wsp:val=&quot;00FF37EF&quot;/&gt;&lt;wsp:rsid wsp:val=&quot;00FF40AE&quot;/&gt;&lt;wsp:rsid wsp:val=&quot;00FF447B&quot;/&gt;&lt;wsp:rsid wsp:val=&quot;00FF47B6&quot;/&gt;&lt;wsp:rsid wsp:val=&quot;00FF4B44&quot;/&gt;&lt;wsp:rsid wsp:val=&quot;00FF4E5F&quot;/&gt;&lt;wsp:rsid wsp:val=&quot;00FF56FC&quot;/&gt;&lt;wsp:rsid wsp:val=&quot;00FF5FBE&quot;/&gt;&lt;wsp:rsid wsp:val=&quot;00FF7279&quot;/&gt;&lt;wsp:rsid wsp:val=&quot;00FF730C&quot;/&gt;&lt;wsp:rsid wsp:val=&quot;00FF7C58&quot;/&gt;&lt;wsp:rsid wsp:val=&quot;02480F96&quot;/&gt;&lt;wsp:rsid wsp:val=&quot;027421AE&quot;/&gt;&lt;wsp:rsid wsp:val=&quot;02A17E88&quot;/&gt;&lt;wsp:rsid wsp:val=&quot;050E27F8&quot;/&gt;&lt;wsp:rsid wsp:val=&quot;06526154&quot;/&gt;&lt;wsp:rsid wsp:val=&quot;065829F1&quot;/&gt;&lt;wsp:rsid wsp:val=&quot;096746B3&quot;/&gt;&lt;wsp:rsid wsp:val=&quot;10E221A8&quot;/&gt;&lt;wsp:rsid wsp:val=&quot;116E00EE&quot;/&gt;&lt;wsp:rsid wsp:val=&quot;13C5141D&quot;/&gt;&lt;wsp:rsid wsp:val=&quot;147B25CC&quot;/&gt;&lt;wsp:rsid wsp:val=&quot;150A3850&quot;/&gt;&lt;wsp:rsid wsp:val=&quot;18946E8F&quot;/&gt;&lt;wsp:rsid wsp:val=&quot;1A087ADB&quot;/&gt;&lt;wsp:rsid wsp:val=&quot;1A1B52FA&quot;/&gt;&lt;wsp:rsid wsp:val=&quot;1A7864A1&quot;/&gt;&lt;wsp:rsid wsp:val=&quot;1DCE34CE&quot;/&gt;&lt;wsp:rsid wsp:val=&quot;206075CD&quot;/&gt;&lt;wsp:rsid wsp:val=&quot;226C7190&quot;/&gt;&lt;wsp:rsid wsp:val=&quot;22F6565C&quot;/&gt;&lt;wsp:rsid wsp:val=&quot;24A002A7&quot;/&gt;&lt;wsp:rsid wsp:val=&quot;26521C0C&quot;/&gt;&lt;wsp:rsid wsp:val=&quot;2A0A4AE0&quot;/&gt;&lt;wsp:rsid wsp:val=&quot;2BFD2CE5&quot;/&gt;&lt;wsp:rsid wsp:val=&quot;2FFA13B6&quot;/&gt;&lt;wsp:rsid wsp:val=&quot;3027241B&quot;/&gt;&lt;wsp:rsid wsp:val=&quot;30CD5F3D&quot;/&gt;&lt;wsp:rsid wsp:val=&quot;356C7AF9&quot;/&gt;&lt;wsp:rsid wsp:val=&quot;36BA23F0&quot;/&gt;&lt;wsp:rsid wsp:val=&quot;38BB0370&quot;/&gt;&lt;wsp:rsid wsp:val=&quot;3A7F44D8&quot;/&gt;&lt;wsp:rsid wsp:val=&quot;3AB3657D&quot;/&gt;&lt;wsp:rsid wsp:val=&quot;3B944D22&quot;/&gt;&lt;wsp:rsid wsp:val=&quot;3BC60721&quot;/&gt;&lt;wsp:rsid wsp:val=&quot;3D1A395A&quot;/&gt;&lt;wsp:rsid wsp:val=&quot;3D1E23EE&quot;/&gt;&lt;wsp:rsid wsp:val=&quot;44E47AFA&quot;/&gt;&lt;wsp:rsid wsp:val=&quot;455373A1&quot;/&gt;&lt;wsp:rsid wsp:val=&quot;45A20272&quot;/&gt;&lt;wsp:rsid wsp:val=&quot;494A0752&quot;/&gt;&lt;wsp:rsid wsp:val=&quot;4A6E57FE&quot;/&gt;&lt;wsp:rsid wsp:val=&quot;4C2D0915&quot;/&gt;&lt;wsp:rsid wsp:val=&quot;4DFC0976&quot;/&gt;&lt;wsp:rsid wsp:val=&quot;4E964F55&quot;/&gt;&lt;wsp:rsid wsp:val=&quot;5307148A&quot;/&gt;&lt;wsp:rsid wsp:val=&quot;55171927&quot;/&gt;&lt;wsp:rsid wsp:val=&quot;56F549A1&quot;/&gt;&lt;wsp:rsid wsp:val=&quot;57D303F2&quot;/&gt;&lt;wsp:rsid wsp:val=&quot;5B873B34&quot;/&gt;&lt;wsp:rsid wsp:val=&quot;5D033B22&quot;/&gt;&lt;wsp:rsid wsp:val=&quot;5E585B4E&quot;/&gt;&lt;wsp:rsid wsp:val=&quot;5F3E2E1E&quot;/&gt;&lt;wsp:rsid wsp:val=&quot;609C1717&quot;/&gt;&lt;wsp:rsid wsp:val=&quot;635F5024&quot;/&gt;&lt;wsp:rsid wsp:val=&quot;670130CA&quot;/&gt;&lt;wsp:rsid wsp:val=&quot;677D6958&quot;/&gt;&lt;wsp:rsid wsp:val=&quot;684B2A97&quot;/&gt;&lt;wsp:rsid wsp:val=&quot;687133E0&quot;/&gt;&lt;wsp:rsid wsp:val=&quot;689D5FF7&quot;/&gt;&lt;wsp:rsid wsp:val=&quot;6A6C05BF&quot;/&gt;&lt;wsp:rsid wsp:val=&quot;6C815020&quot;/&gt;&lt;wsp:rsid wsp:val=&quot;6ECB1F8F&quot;/&gt;&lt;wsp:rsid wsp:val=&quot;6EFF2BFA&quot;/&gt;&lt;wsp:rsid wsp:val=&quot;70704D87&quot;/&gt;&lt;wsp:rsid wsp:val=&quot;70B31A0B&quot;/&gt;&lt;wsp:rsid wsp:val=&quot;7144171B&quot;/&gt;&lt;wsp:rsid wsp:val=&quot;71B65686&quot;/&gt;&lt;wsp:rsid wsp:val=&quot;71F05146&quot;/&gt;&lt;wsp:rsid wsp:val=&quot;72A6345A&quot;/&gt;&lt;wsp:rsid wsp:val=&quot;72C34660&quot;/&gt;&lt;wsp:rsid wsp:val=&quot;74380D09&quot;/&gt;&lt;wsp:rsid wsp:val=&quot;75D6300E&quot;/&gt;&lt;wsp:rsid wsp:val=&quot;76B56222&quot;/&gt;&lt;wsp:rsid wsp:val=&quot;78374E93&quot;/&gt;&lt;wsp:rsid wsp:val=&quot;795A7EB6&quot;/&gt;&lt;wsp:rsid wsp:val=&quot;796A2C43&quot;/&gt;&lt;wsp:rsid wsp:val=&quot;7CCD5657&quot;/&gt;&lt;wsp:rsid wsp:val=&quot;7D214335&quot;/&gt;&lt;wsp:rsid wsp:val=&quot;7F24135E&quot;/&gt;&lt;/wsp:rsids&gt;&lt;/w:docPr&gt;&lt;w:body&gt;&lt;w:p wsp:rsidR=&quot;00000000&quot; wsp:rsidRDefault=&quot;007E6068&quot;&gt;&lt;m:oMathPara&gt;&lt;m:oMath&gt;&lt;m:sSub&gt;&lt;m:sSubPr&gt;&lt;m:ctrlPr&gt;&lt;w:rPr&gt;&lt;w:rFonts w:ascii=&quot;Cambria Math&quot; w:h-ansi=&quot;Cambria Math&quot;/&gt;&lt;wx:font wx:val=&quot;Cambria Math&quot;/&gt;&lt;w:i/&gt;&lt;w:sz-cs w:val=&quot;24&quot;/&gt;&lt;/w:rPr&gt;&lt;/m:ctrlPr&gt;&lt;/m:sSubPr&gt;&lt;m:e&gt;&lt;m:r&gt;&lt;w:rPr&gt;&lt;w:rFonts w:ascii=&quot;Cambria Math&quot; w:h-ansi=&quot;Cambria Math&quot;/&gt;&lt;wx:font wx:val=&quot;Cambria Math&quot;/&gt;&lt;w:i/&gt;&lt;w:sz-cs w:val=&quot;24&quot;/&gt;&lt;/w:rPr&gt;&lt;m:t&gt;C&lt;/m:t&gt;&lt;/m:r&gt;&lt;/m:e&gt;&lt;m:sub&gt;&lt;m:r&gt;&lt;w:rPr&gt;&lt;w:rFonts w:ascii=&quot;Cambria Math&quot; w:h-ansi=&quot;Cambria Math&quot;/&gt;&lt;wx:font wx:val=&quot;Cambria Math&quot;/&gt;&lt;w:i/&gt;&lt;w:sz-cs w:val=&quot;24&quot;/&gt;&lt;/w:rPr&gt;&lt;m:t&gt;0i&lt;/m:t&gt;&lt;/m:r&gt;&lt;/m:sub&gt;&lt;/m:sSub&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body&gt;&lt;/w:wordDocument&gt;">
            <v:path/>
            <v:fill on="f" focussize="0,0"/>
            <v:stroke on="f"/>
            <v:imagedata r:id="rId12" chromakey="#FFFFFF" o:title=""/>
            <o:lock v:ext="edit" aspectratio="t"/>
            <w10:wrap type="none"/>
            <w10:anchorlock/>
          </v:shape>
        </w:pict>
      </w:r>
      <w:r>
        <w:rPr>
          <w:rFonts w:hint="default" w:ascii="Times New Roman" w:hAnsi="Times New Roman" w:cs="Times New Roman"/>
          <w:color w:val="auto"/>
          <w:highlight w:val="none"/>
          <w:u w:val="none" w:color="auto"/>
          <w:lang w:val="en-US" w:eastAsia="zh-CN"/>
        </w:rPr>
        <w:instrText xml:space="preserve"> </w:instrText>
      </w:r>
      <w:r>
        <w:rPr>
          <w:rFonts w:hint="default" w:ascii="Times New Roman" w:hAnsi="Times New Roman" w:cs="Times New Roman"/>
          <w:color w:val="auto"/>
          <w:highlight w:val="none"/>
          <w:u w:val="none" w:color="auto"/>
          <w:lang w:val="en-US" w:eastAsia="zh-CN"/>
        </w:rPr>
        <w:fldChar w:fldCharType="separate"/>
      </w:r>
      <w:r>
        <w:rPr>
          <w:rFonts w:hint="default" w:ascii="Times New Roman" w:hAnsi="Times New Roman" w:cs="Times New Roman"/>
          <w:color w:val="auto"/>
          <w:highlight w:val="none"/>
          <w:u w:val="none" w:color="auto"/>
          <w:lang w:val="en-US" w:eastAsia="zh-CN"/>
        </w:rPr>
        <w:fldChar w:fldCharType="end"/>
      </w:r>
      <w:r>
        <w:rPr>
          <w:rFonts w:hint="default" w:ascii="Times New Roman" w:hAnsi="Times New Roman" w:cs="Times New Roman"/>
          <w:color w:val="auto"/>
          <w:highlight w:val="none"/>
          <w:u w:val="none" w:color="auto"/>
          <w:lang w:val="en-US" w:eastAsia="zh-CN"/>
        </w:rPr>
        <w:t>C</w:t>
      </w:r>
      <w:r>
        <w:rPr>
          <w:rFonts w:hint="default" w:ascii="Times New Roman" w:hAnsi="Times New Roman" w:cs="Times New Roman"/>
          <w:color w:val="auto"/>
          <w:highlight w:val="none"/>
          <w:u w:val="none" w:color="auto"/>
          <w:vertAlign w:val="subscript"/>
          <w:lang w:val="en-US" w:eastAsia="zh-CN"/>
        </w:rPr>
        <w:t>0i</w:t>
      </w:r>
      <w:r>
        <w:rPr>
          <w:rFonts w:hint="default" w:ascii="Times New Roman" w:hAnsi="Times New Roman" w:cs="Times New Roman"/>
          <w:color w:val="auto"/>
          <w:highlight w:val="none"/>
          <w:u w:val="none" w:color="auto"/>
          <w:lang w:val="en-US" w:eastAsia="zh-CN"/>
        </w:rPr>
        <w:t>——第i个污染物的环境空气质量浓度标准，μg/m</w:t>
      </w:r>
      <w:r>
        <w:rPr>
          <w:rFonts w:hint="default" w:ascii="Times New Roman" w:hAnsi="Times New Roman" w:cs="Times New Roman"/>
          <w:color w:val="auto"/>
          <w:highlight w:val="none"/>
          <w:u w:val="none" w:color="auto"/>
          <w:vertAlign w:val="superscript"/>
          <w:lang w:val="en-US" w:eastAsia="zh-CN"/>
        </w:rPr>
        <w:t>3</w:t>
      </w:r>
      <w:r>
        <w:rPr>
          <w:rFonts w:hint="default" w:ascii="Times New Roman" w:hAnsi="Times New Roman" w:cs="Times New Roman"/>
          <w:color w:val="auto"/>
          <w:highlight w:val="none"/>
          <w:u w:val="none" w:color="auto"/>
          <w:lang w:val="en-US" w:eastAsia="zh-CN"/>
        </w:rPr>
        <w:t>。</w:t>
      </w:r>
    </w:p>
    <w:p w14:paraId="5F9026BA">
      <w:pPr>
        <w:bidi w:val="0"/>
        <w:rPr>
          <w:rFonts w:hint="default"/>
          <w:color w:val="auto"/>
          <w:highlight w:val="none"/>
          <w:u w:val="none" w:color="auto"/>
          <w:lang w:val="en-US" w:eastAsia="zh-CN"/>
        </w:rPr>
      </w:pPr>
      <w:r>
        <w:rPr>
          <w:rFonts w:hint="default" w:ascii="Times New Roman" w:hAnsi="Times New Roman" w:cs="Times New Roman"/>
          <w:color w:val="auto"/>
          <w:highlight w:val="none"/>
          <w:u w:val="none" w:color="auto"/>
          <w:lang w:val="en-US" w:eastAsia="zh-CN"/>
        </w:rPr>
        <w:fldChar w:fldCharType="begin"/>
      </w:r>
      <w:r>
        <w:rPr>
          <w:rFonts w:hint="default" w:ascii="Times New Roman" w:hAnsi="Times New Roman" w:cs="Times New Roman"/>
          <w:color w:val="auto"/>
          <w:highlight w:val="none"/>
          <w:u w:val="none" w:color="auto"/>
          <w:lang w:val="en-US" w:eastAsia="zh-CN"/>
        </w:rPr>
        <w:instrText xml:space="preserve"> QUOTE </w:instrText>
      </w:r>
      <w:r>
        <w:rPr>
          <w:rFonts w:hint="default" w:ascii="Times New Roman" w:hAnsi="Times New Roman" w:cs="Times New Roman"/>
          <w:color w:val="auto"/>
          <w:highlight w:val="none"/>
          <w:u w:val="none" w:color="auto"/>
          <w:lang w:val="en-US" w:eastAsia="zh-CN"/>
        </w:rPr>
        <w:pict>
          <v:shape id="_x0000_i1028" o:spt="75" type="#_x0000_t75" style="height:21pt;width:15pt;" filled="f" stroked="f" coordsize="21600,21600" equationxml="&lt;?xml version=&quot;1.0&quot; encoding=&quot;UTF-8&quot; standalone=&quot;yes&quot;?&gt;&#13;&#10;&lt;?mso-application progid=&quot;Word.Document&quot;?&gt;&#13;&#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stylePaneFormatFilter w:val=&quot;3F01&quot;/&gt;&lt;w:documentProtection w:edit=&quot;read-only&quot; w:enforcement=&quot;off&quot;/&gt;&lt;w:defaultTabStop w:val=&quot;420&quot;/&gt;&lt;w:drawingGridVerticalSpacing w:val=&quot;156&quot;/&gt;&lt;w:characterSpacingControl w:val=&quot;CompressPunctuation&quot;/&gt;&lt;w:webPageEncoding w:val=&quot;x-cp20936&quot;/&gt;&lt;w:optimizeForBrowser/&gt;&lt;w:validateAgainstSchema w:val=&quot;off&quot;/&gt;&lt;w:saveInvalidXML w:val=&quot;off&quot;/&gt;&lt;w:ignoreMixedContent w:val=&quot;off&quot;/&gt;&lt;w:alwaysShowPlaceholderText w:val=&quot;off&quot;/&gt;&lt;w:doNotUnderlineInvalidXML/&gt;&lt;w:endnotePr&gt;&lt;w:numFmt w:val=&quot;decimal&quot;/&gt;&lt;/w:endnotePr&gt;&lt;w:compat&gt;&lt;w:spaceForUL/&gt;&lt;w:balanceSingleByteDoubleByteWidth/&gt;&lt;w:doNotLeaveBackslashAlone/&gt;&lt;w:ulTrailSpace/&gt;&lt;w:doNotExpandShiftReturn/&gt;&lt;w:adjustLineHeightInTable/&gt;&lt;w:breakWrappedTables/&gt;&lt;w:snapToGridInCell/&gt;&lt;w:dontGrowAutofit/&gt;&lt;w:useFELayout/&gt;&lt;/w:compat&gt;&lt;wsp:rsids&gt;&lt;wsp:rsidRoot wsp:val=&quot;00172A27&quot;/&gt;&lt;wsp:rsid wsp:val=&quot;00000BDC&quot;/&gt;&lt;wsp:rsid wsp:val=&quot;00000C48&quot;/&gt;&lt;wsp:rsid wsp:val=&quot;00000DE8&quot;/&gt;&lt;wsp:rsid wsp:val=&quot;00002044&quot;/&gt;&lt;wsp:rsid wsp:val=&quot;00002384&quot;/&gt;&lt;wsp:rsid wsp:val=&quot;000023BB&quot;/&gt;&lt;wsp:rsid wsp:val=&quot;000026DF&quot;/&gt;&lt;wsp:rsid wsp:val=&quot;00003D43&quot;/&gt;&lt;wsp:rsid wsp:val=&quot;000049D5&quot;/&gt;&lt;wsp:rsid wsp:val=&quot;00007E76&quot;/&gt;&lt;wsp:rsid wsp:val=&quot;00010A97&quot;/&gt;&lt;wsp:rsid wsp:val=&quot;00011442&quot;/&gt;&lt;wsp:rsid wsp:val=&quot;00011611&quot;/&gt;&lt;wsp:rsid wsp:val=&quot;00012003&quot;/&gt;&lt;wsp:rsid wsp:val=&quot;00012680&quot;/&gt;&lt;wsp:rsid wsp:val=&quot;00013608&quot;/&gt;&lt;wsp:rsid wsp:val=&quot;000137FB&quot;/&gt;&lt;wsp:rsid wsp:val=&quot;00014054&quot;/&gt;&lt;wsp:rsid wsp:val=&quot;00014774&quot;/&gt;&lt;wsp:rsid wsp:val=&quot;00014FE9&quot;/&gt;&lt;wsp:rsid wsp:val=&quot;0001510B&quot;/&gt;&lt;wsp:rsid wsp:val=&quot;00015189&quot;/&gt;&lt;wsp:rsid wsp:val=&quot;000153F1&quot;/&gt;&lt;wsp:rsid wsp:val=&quot;00015940&quot;/&gt;&lt;wsp:rsid wsp:val=&quot;00015F77&quot;/&gt;&lt;wsp:rsid wsp:val=&quot;000161D2&quot;/&gt;&lt;wsp:rsid wsp:val=&quot;00016A2F&quot;/&gt;&lt;wsp:rsid wsp:val=&quot;00016CF4&quot;/&gt;&lt;wsp:rsid wsp:val=&quot;000176C2&quot;/&gt;&lt;wsp:rsid wsp:val=&quot;00017960&quot;/&gt;&lt;wsp:rsid wsp:val=&quot;00020069&quot;/&gt;&lt;wsp:rsid wsp:val=&quot;00020890&quot;/&gt;&lt;wsp:rsid wsp:val=&quot;00020902&quot;/&gt;&lt;wsp:rsid wsp:val=&quot;00021F5B&quot;/&gt;&lt;wsp:rsid wsp:val=&quot;000243DA&quot;/&gt;&lt;wsp:rsid wsp:val=&quot;00024599&quot;/&gt;&lt;wsp:rsid wsp:val=&quot;00024C46&quot;/&gt;&lt;wsp:rsid wsp:val=&quot;00024C57&quot;/&gt;&lt;wsp:rsid wsp:val=&quot;00024F85&quot;/&gt;&lt;wsp:rsid wsp:val=&quot;00025DA8&quot;/&gt;&lt;wsp:rsid wsp:val=&quot;00025E7D&quot;/&gt;&lt;wsp:rsid wsp:val=&quot;00026A23&quot;/&gt;&lt;wsp:rsid wsp:val=&quot;000315D7&quot;/&gt;&lt;wsp:rsid wsp:val=&quot;0003201D&quot;/&gt;&lt;wsp:rsid wsp:val=&quot;000321EF&quot;/&gt;&lt;wsp:rsid wsp:val=&quot;0003242F&quot;/&gt;&lt;wsp:rsid wsp:val=&quot;00032539&quot;/&gt;&lt;wsp:rsid wsp:val=&quot;00033BC3&quot;/&gt;&lt;wsp:rsid wsp:val=&quot;000340D2&quot;/&gt;&lt;wsp:rsid wsp:val=&quot;0003438A&quot;/&gt;&lt;wsp:rsid wsp:val=&quot;00035764&quot;/&gt;&lt;wsp:rsid wsp:val=&quot;00035B09&quot;/&gt;&lt;wsp:rsid wsp:val=&quot;00035BBA&quot;/&gt;&lt;wsp:rsid wsp:val=&quot;000366BB&quot;/&gt;&lt;wsp:rsid wsp:val=&quot;0003728E&quot;/&gt;&lt;wsp:rsid wsp:val=&quot;000373AF&quot;/&gt;&lt;wsp:rsid wsp:val=&quot;0003798F&quot;/&gt;&lt;wsp:rsid wsp:val=&quot;00040362&quot;/&gt;&lt;wsp:rsid wsp:val=&quot;00040AF5&quot;/&gt;&lt;wsp:rsid wsp:val=&quot;00040B38&quot;/&gt;&lt;wsp:rsid wsp:val=&quot;00042045&quot;/&gt;&lt;wsp:rsid wsp:val=&quot;00042400&quot;/&gt;&lt;wsp:rsid wsp:val=&quot;00042FDC&quot;/&gt;&lt;wsp:rsid wsp:val=&quot;000430C2&quot;/&gt;&lt;wsp:rsid wsp:val=&quot;00043C8A&quot;/&gt;&lt;wsp:rsid wsp:val=&quot;00043EE4&quot;/&gt;&lt;wsp:rsid wsp:val=&quot;000445D2&quot;/&gt;&lt;wsp:rsid wsp:val=&quot;000449FA&quot;/&gt;&lt;wsp:rsid wsp:val=&quot;0004570E&quot;/&gt;&lt;wsp:rsid wsp:val=&quot;000460E8&quot;/&gt;&lt;wsp:rsid wsp:val=&quot;00046207&quot;/&gt;&lt;wsp:rsid wsp:val=&quot;00046D04&quot;/&gt;&lt;wsp:rsid wsp:val=&quot;00047758&quot;/&gt;&lt;wsp:rsid wsp:val=&quot;00047BE0&quot;/&gt;&lt;wsp:rsid wsp:val=&quot;000501BB&quot;/&gt;&lt;wsp:rsid wsp:val=&quot;0005056C&quot;/&gt;&lt;wsp:rsid wsp:val=&quot;00050B2B&quot;/&gt;&lt;wsp:rsid wsp:val=&quot;00050E30&quot;/&gt;&lt;wsp:rsid wsp:val=&quot;0005160B&quot;/&gt;&lt;wsp:rsid wsp:val=&quot;000519A3&quot;/&gt;&lt;wsp:rsid wsp:val=&quot;000522EB&quot;/&gt;&lt;wsp:rsid wsp:val=&quot;00052E38&quot;/&gt;&lt;wsp:rsid wsp:val=&quot;00052FAE&quot;/&gt;&lt;wsp:rsid wsp:val=&quot;00053F67&quot;/&gt;&lt;wsp:rsid wsp:val=&quot;00054294&quot;/&gt;&lt;wsp:rsid wsp:val=&quot;00054425&quot;/&gt;&lt;wsp:rsid wsp:val=&quot;000556D0&quot;/&gt;&lt;wsp:rsid wsp:val=&quot;000563AC&quot;/&gt;&lt;wsp:rsid wsp:val=&quot;00057F74&quot;/&gt;&lt;wsp:rsid wsp:val=&quot;00061344&quot;/&gt;&lt;wsp:rsid wsp:val=&quot;000625FF&quot;/&gt;&lt;wsp:rsid wsp:val=&quot;00062DE9&quot;/&gt;&lt;wsp:rsid wsp:val=&quot;00063AF0&quot;/&gt;&lt;wsp:rsid wsp:val=&quot;00063B5F&quot;/&gt;&lt;wsp:rsid wsp:val=&quot;000653F8&quot;/&gt;&lt;wsp:rsid wsp:val=&quot;0006563D&quot;/&gt;&lt;wsp:rsid wsp:val=&quot;000663B8&quot;/&gt;&lt;wsp:rsid wsp:val=&quot;00066BDF&quot;/&gt;&lt;wsp:rsid wsp:val=&quot;000670D7&quot;/&gt;&lt;wsp:rsid wsp:val=&quot;000675AB&quot;/&gt;&lt;wsp:rsid wsp:val=&quot;0007061A&quot;/&gt;&lt;wsp:rsid wsp:val=&quot;000708C3&quot;/&gt;&lt;wsp:rsid wsp:val=&quot;0007123E&quot;/&gt;&lt;wsp:rsid wsp:val=&quot;000715C0&quot;/&gt;&lt;wsp:rsid wsp:val=&quot;00071EA9&quot;/&gt;&lt;wsp:rsid wsp:val=&quot;00073DEA&quot;/&gt;&lt;wsp:rsid wsp:val=&quot;000743F6&quot;/&gt;&lt;wsp:rsid wsp:val=&quot;00074C92&quot;/&gt;&lt;wsp:rsid wsp:val=&quot;00075FDD&quot;/&gt;&lt;wsp:rsid wsp:val=&quot;0007632E&quot;/&gt;&lt;wsp:rsid wsp:val=&quot;00077287&quot;/&gt;&lt;wsp:rsid wsp:val=&quot;00077CB5&quot;/&gt;&lt;wsp:rsid wsp:val=&quot;00080216&quot;/&gt;&lt;wsp:rsid wsp:val=&quot;00080318&quot;/&gt;&lt;wsp:rsid wsp:val=&quot;00080818&quot;/&gt;&lt;wsp:rsid wsp:val=&quot;00080F17&quot;/&gt;&lt;wsp:rsid wsp:val=&quot;00081044&quot;/&gt;&lt;wsp:rsid wsp:val=&quot;0008154D&quot;/&gt;&lt;wsp:rsid wsp:val=&quot;00081C5E&quot;/&gt;&lt;wsp:rsid wsp:val=&quot;000820BD&quot;/&gt;&lt;wsp:rsid wsp:val=&quot;00082130&quot;/&gt;&lt;wsp:rsid wsp:val=&quot;000836FC&quot;/&gt;&lt;wsp:rsid wsp:val=&quot;00083AA9&quot;/&gt;&lt;wsp:rsid wsp:val=&quot;00083E8D&quot;/&gt;&lt;wsp:rsid wsp:val=&quot;00084258&quot;/&gt;&lt;wsp:rsid wsp:val=&quot;00085453&quot;/&gt;&lt;wsp:rsid wsp:val=&quot;000856EF&quot;/&gt;&lt;wsp:rsid wsp:val=&quot;00085892&quot;/&gt;&lt;wsp:rsid wsp:val=&quot;00085E4B&quot;/&gt;&lt;wsp:rsid wsp:val=&quot;00085EFF&quot;/&gt;&lt;wsp:rsid wsp:val=&quot;00086BC7&quot;/&gt;&lt;wsp:rsid wsp:val=&quot;00087086&quot;/&gt;&lt;wsp:rsid wsp:val=&quot;00087706&quot;/&gt;&lt;wsp:rsid wsp:val=&quot;0008793B&quot;/&gt;&lt;wsp:rsid wsp:val=&quot;00087D44&quot;/&gt;&lt;wsp:rsid wsp:val=&quot;00087DC0&quot;/&gt;&lt;wsp:rsid wsp:val=&quot;00090618&quot;/&gt;&lt;wsp:rsid wsp:val=&quot;000919FF&quot;/&gt;&lt;wsp:rsid wsp:val=&quot;000920FA&quot;/&gt;&lt;wsp:rsid wsp:val=&quot;00092311&quot;/&gt;&lt;wsp:rsid wsp:val=&quot;00092E1E&quot;/&gt;&lt;wsp:rsid wsp:val=&quot;000934E2&quot;/&gt;&lt;wsp:rsid wsp:val=&quot;00094315&quot;/&gt;&lt;wsp:rsid wsp:val=&quot;00094567&quot;/&gt;&lt;wsp:rsid wsp:val=&quot;00095CF4&quot;/&gt;&lt;wsp:rsid wsp:val=&quot;0009625B&quot;/&gt;&lt;wsp:rsid wsp:val=&quot;0009678D&quot;/&gt;&lt;wsp:rsid wsp:val=&quot;00096D8F&quot;/&gt;&lt;wsp:rsid wsp:val=&quot;000972DA&quot;/&gt;&lt;wsp:rsid wsp:val=&quot;00097305&quot;/&gt;&lt;wsp:rsid wsp:val=&quot;00097492&quot;/&gt;&lt;wsp:rsid wsp:val=&quot;00097A72&quot;/&gt;&lt;wsp:rsid wsp:val=&quot;00097EC9&quot;/&gt;&lt;wsp:rsid wsp:val=&quot;000A0B04&quot;/&gt;&lt;wsp:rsid wsp:val=&quot;000A12BE&quot;/&gt;&lt;wsp:rsid wsp:val=&quot;000A12F7&quot;/&gt;&lt;wsp:rsid wsp:val=&quot;000A2BD3&quot;/&gt;&lt;wsp:rsid wsp:val=&quot;000A2C20&quot;/&gt;&lt;wsp:rsid wsp:val=&quot;000A2F35&quot;/&gt;&lt;wsp:rsid wsp:val=&quot;000A31B2&quot;/&gt;&lt;wsp:rsid wsp:val=&quot;000A445C&quot;/&gt;&lt;wsp:rsid wsp:val=&quot;000A4D0B&quot;/&gt;&lt;wsp:rsid wsp:val=&quot;000A558C&quot;/&gt;&lt;wsp:rsid wsp:val=&quot;000A6A0F&quot;/&gt;&lt;wsp:rsid wsp:val=&quot;000A70F8&quot;/&gt;&lt;wsp:rsid wsp:val=&quot;000A751C&quot;/&gt;&lt;wsp:rsid wsp:val=&quot;000B01C7&quot;/&gt;&lt;wsp:rsid wsp:val=&quot;000B0841&quot;/&gt;&lt;wsp:rsid wsp:val=&quot;000B08EA&quot;/&gt;&lt;wsp:rsid wsp:val=&quot;000B1EFD&quot;/&gt;&lt;wsp:rsid wsp:val=&quot;000B2611&quot;/&gt;&lt;wsp:rsid wsp:val=&quot;000B2C3A&quot;/&gt;&lt;wsp:rsid wsp:val=&quot;000B314D&quot;/&gt;&lt;wsp:rsid wsp:val=&quot;000B4954&quot;/&gt;&lt;wsp:rsid wsp:val=&quot;000B4F30&quot;/&gt;&lt;wsp:rsid wsp:val=&quot;000B5077&quot;/&gt;&lt;wsp:rsid wsp:val=&quot;000B516E&quot;/&gt;&lt;wsp:rsid wsp:val=&quot;000B54F7&quot;/&gt;&lt;wsp:rsid wsp:val=&quot;000B62A1&quot;/&gt;&lt;wsp:rsid wsp:val=&quot;000C06AC&quot;/&gt;&lt;wsp:rsid wsp:val=&quot;000C0F8F&quot;/&gt;&lt;wsp:rsid wsp:val=&quot;000C135F&quot;/&gt;&lt;wsp:rsid wsp:val=&quot;000C4014&quot;/&gt;&lt;wsp:rsid wsp:val=&quot;000C41B6&quot;/&gt;&lt;wsp:rsid wsp:val=&quot;000C6114&quot;/&gt;&lt;wsp:rsid wsp:val=&quot;000C680E&quot;/&gt;&lt;wsp:rsid wsp:val=&quot;000C68E3&quot;/&gt;&lt;wsp:rsid wsp:val=&quot;000C6942&quot;/&gt;&lt;wsp:rsid wsp:val=&quot;000C6A5A&quot;/&gt;&lt;wsp:rsid wsp:val=&quot;000C70C4&quot;/&gt;&lt;wsp:rsid wsp:val=&quot;000C7B7A&quot;/&gt;&lt;wsp:rsid wsp:val=&quot;000C7DD1&quot;/&gt;&lt;wsp:rsid wsp:val=&quot;000C7E88&quot;/&gt;&lt;wsp:rsid wsp:val=&quot;000D060C&quot;/&gt;&lt;wsp:rsid wsp:val=&quot;000D0DE8&quot;/&gt;&lt;wsp:rsid wsp:val=&quot;000D1A2E&quot;/&gt;&lt;wsp:rsid wsp:val=&quot;000D1CA5&quot;/&gt;&lt;wsp:rsid wsp:val=&quot;000D1DDE&quot;/&gt;&lt;wsp:rsid wsp:val=&quot;000D2DBE&quot;/&gt;&lt;wsp:rsid wsp:val=&quot;000D3269&quot;/&gt;&lt;wsp:rsid wsp:val=&quot;000D3939&quot;/&gt;&lt;wsp:rsid wsp:val=&quot;000D40BB&quot;/&gt;&lt;wsp:rsid wsp:val=&quot;000D415E&quot;/&gt;&lt;wsp:rsid wsp:val=&quot;000D48F5&quot;/&gt;&lt;wsp:rsid wsp:val=&quot;000D5ED7&quot;/&gt;&lt;wsp:rsid wsp:val=&quot;000D5F4B&quot;/&gt;&lt;wsp:rsid wsp:val=&quot;000D610E&quot;/&gt;&lt;wsp:rsid wsp:val=&quot;000D695F&quot;/&gt;&lt;wsp:rsid wsp:val=&quot;000D6C57&quot;/&gt;&lt;wsp:rsid wsp:val=&quot;000E12AF&quot;/&gt;&lt;wsp:rsid wsp:val=&quot;000E1DDE&quot;/&gt;&lt;wsp:rsid wsp:val=&quot;000E27F1&quot;/&gt;&lt;wsp:rsid wsp:val=&quot;000E2E27&quot;/&gt;&lt;wsp:rsid wsp:val=&quot;000E480F&quot;/&gt;&lt;wsp:rsid wsp:val=&quot;000E5025&quot;/&gt;&lt;wsp:rsid wsp:val=&quot;000E5095&quot;/&gt;&lt;wsp:rsid wsp:val=&quot;000E5104&quot;/&gt;&lt;wsp:rsid wsp:val=&quot;000E5ED6&quot;/&gt;&lt;wsp:rsid wsp:val=&quot;000E6528&quot;/&gt;&lt;wsp:rsid wsp:val=&quot;000E72F9&quot;/&gt;&lt;wsp:rsid wsp:val=&quot;000E7FA7&quot;/&gt;&lt;wsp:rsid wsp:val=&quot;000F0147&quot;/&gt;&lt;wsp:rsid wsp:val=&quot;000F02F8&quot;/&gt;&lt;wsp:rsid wsp:val=&quot;000F0DBC&quot;/&gt;&lt;wsp:rsid wsp:val=&quot;000F0EAB&quot;/&gt;&lt;wsp:rsid wsp:val=&quot;000F12C0&quot;/&gt;&lt;wsp:rsid wsp:val=&quot;000F12D5&quot;/&gt;&lt;wsp:rsid wsp:val=&quot;000F13E7&quot;/&gt;&lt;wsp:rsid wsp:val=&quot;000F2482&quot;/&gt;&lt;wsp:rsid wsp:val=&quot;000F25C7&quot;/&gt;&lt;wsp:rsid wsp:val=&quot;000F299A&quot;/&gt;&lt;wsp:rsid wsp:val=&quot;000F2B35&quot;/&gt;&lt;wsp:rsid wsp:val=&quot;000F49B0&quot;/&gt;&lt;wsp:rsid wsp:val=&quot;000F535C&quot;/&gt;&lt;wsp:rsid wsp:val=&quot;000F5492&quot;/&gt;&lt;wsp:rsid wsp:val=&quot;000F5983&quot;/&gt;&lt;wsp:rsid wsp:val=&quot;000F64F0&quot;/&gt;&lt;wsp:rsid wsp:val=&quot;000F654E&quot;/&gt;&lt;wsp:rsid wsp:val=&quot;000F6579&quot;/&gt;&lt;wsp:rsid wsp:val=&quot;000F66D8&quot;/&gt;&lt;wsp:rsid wsp:val=&quot;000F6C0D&quot;/&gt;&lt;wsp:rsid wsp:val=&quot;000F7F88&quot;/&gt;&lt;wsp:rsid wsp:val=&quot;00100318&quot;/&gt;&lt;wsp:rsid wsp:val=&quot;001005D6&quot;/&gt;&lt;wsp:rsid wsp:val=&quot;00100D32&quot;/&gt;&lt;wsp:rsid wsp:val=&quot;0010104B&quot;/&gt;&lt;wsp:rsid wsp:val=&quot;001014C7&quot;/&gt;&lt;wsp:rsid wsp:val=&quot;00101C86&quot;/&gt;&lt;wsp:rsid wsp:val=&quot;00101E4F&quot;/&gt;&lt;wsp:rsid wsp:val=&quot;001033A5&quot;/&gt;&lt;wsp:rsid wsp:val=&quot;001033D0&quot;/&gt;&lt;wsp:rsid wsp:val=&quot;001038C3&quot;/&gt;&lt;wsp:rsid wsp:val=&quot;00103FC4&quot;/&gt;&lt;wsp:rsid wsp:val=&quot;0010500B&quot;/&gt;&lt;wsp:rsid wsp:val=&quot;00105D39&quot;/&gt;&lt;wsp:rsid wsp:val=&quot;00106045&quot;/&gt;&lt;wsp:rsid wsp:val=&quot;00106AD8&quot;/&gt;&lt;wsp:rsid wsp:val=&quot;00106E5C&quot;/&gt;&lt;wsp:rsid wsp:val=&quot;0010701B&quot;/&gt;&lt;wsp:rsid wsp:val=&quot;0010726D&quot;/&gt;&lt;wsp:rsid wsp:val=&quot;00107754&quot;/&gt;&lt;wsp:rsid wsp:val=&quot;00110262&quot;/&gt;&lt;wsp:rsid wsp:val=&quot;001110DC&quot;/&gt;&lt;wsp:rsid wsp:val=&quot;00112597&quot;/&gt;&lt;wsp:rsid wsp:val=&quot;00112B09&quot;/&gt;&lt;wsp:rsid wsp:val=&quot;00112D18&quot;/&gt;&lt;wsp:rsid wsp:val=&quot;00112E1E&quot;/&gt;&lt;wsp:rsid wsp:val=&quot;001137BA&quot;/&gt;&lt;wsp:rsid wsp:val=&quot;00114583&quot;/&gt;&lt;wsp:rsid wsp:val=&quot;0011467F&quot;/&gt;&lt;wsp:rsid wsp:val=&quot;00114C11&quot;/&gt;&lt;wsp:rsid wsp:val=&quot;0011535C&quot;/&gt;&lt;wsp:rsid wsp:val=&quot;00115812&quot;/&gt;&lt;wsp:rsid wsp:val=&quot;001167F9&quot;/&gt;&lt;wsp:rsid wsp:val=&quot;00116830&quot;/&gt;&lt;wsp:rsid wsp:val=&quot;00116CFE&quot;/&gt;&lt;wsp:rsid wsp:val=&quot;00116DDC&quot;/&gt;&lt;wsp:rsid wsp:val=&quot;001176D5&quot;/&gt;&lt;wsp:rsid wsp:val=&quot;00117BD1&quot;/&gt;&lt;wsp:rsid wsp:val=&quot;00120537&quot;/&gt;&lt;wsp:rsid wsp:val=&quot;00122000&quot;/&gt;&lt;wsp:rsid wsp:val=&quot;0012263E&quot;/&gt;&lt;wsp:rsid wsp:val=&quot;001226D2&quot;/&gt;&lt;wsp:rsid wsp:val=&quot;00122B05&quot;/&gt;&lt;wsp:rsid wsp:val=&quot;00123A40&quot;/&gt;&lt;wsp:rsid wsp:val=&quot;00123FE2&quot;/&gt;&lt;wsp:rsid wsp:val=&quot;001242B7&quot;/&gt;&lt;wsp:rsid wsp:val=&quot;001242EE&quot;/&gt;&lt;wsp:rsid wsp:val=&quot;00126B87&quot;/&gt;&lt;wsp:rsid wsp:val=&quot;00126C50&quot;/&gt;&lt;wsp:rsid wsp:val=&quot;001270B6&quot;/&gt;&lt;wsp:rsid wsp:val=&quot;00130846&quot;/&gt;&lt;wsp:rsid wsp:val=&quot;00130C03&quot;/&gt;&lt;wsp:rsid wsp:val=&quot;0013105B&quot;/&gt;&lt;wsp:rsid wsp:val=&quot;001312EE&quot;/&gt;&lt;wsp:rsid wsp:val=&quot;00131A2F&quot;/&gt;&lt;wsp:rsid wsp:val=&quot;00132AA6&quot;/&gt;&lt;wsp:rsid wsp:val=&quot;00132CA3&quot;/&gt;&lt;wsp:rsid wsp:val=&quot;00132FA0&quot;/&gt;&lt;wsp:rsid wsp:val=&quot;0013320B&quot;/&gt;&lt;wsp:rsid wsp:val=&quot;0013394E&quot;/&gt;&lt;wsp:rsid wsp:val=&quot;001339D2&quot;/&gt;&lt;wsp:rsid wsp:val=&quot;001347E1&quot;/&gt;&lt;wsp:rsid wsp:val=&quot;0013564E&quot;/&gt;&lt;wsp:rsid wsp:val=&quot;00135E2E&quot;/&gt;&lt;wsp:rsid wsp:val=&quot;00136878&quot;/&gt;&lt;wsp:rsid wsp:val=&quot;001370C5&quot;/&gt;&lt;wsp:rsid wsp:val=&quot;001406D2&quot;/&gt;&lt;wsp:rsid wsp:val=&quot;00140F48&quot;/&gt;&lt;wsp:rsid wsp:val=&quot;00141C61&quot;/&gt;&lt;wsp:rsid wsp:val=&quot;00143A76&quot;/&gt;&lt;wsp:rsid wsp:val=&quot;00143AE7&quot;/&gt;&lt;wsp:rsid wsp:val=&quot;00144061&quot;/&gt;&lt;wsp:rsid wsp:val=&quot;0014422B&quot;/&gt;&lt;wsp:rsid wsp:val=&quot;00144D52&quot;/&gt;&lt;wsp:rsid wsp:val=&quot;001459A6&quot;/&gt;&lt;wsp:rsid wsp:val=&quot;00145E51&quot;/&gt;&lt;wsp:rsid wsp:val=&quot;001462BA&quot;/&gt;&lt;wsp:rsid wsp:val=&quot;00146693&quot;/&gt;&lt;wsp:rsid wsp:val=&quot;00147421&quot;/&gt;&lt;wsp:rsid wsp:val=&quot;001475EC&quot;/&gt;&lt;wsp:rsid wsp:val=&quot;00147BF3&quot;/&gt;&lt;wsp:rsid wsp:val=&quot;001502C9&quot;/&gt;&lt;wsp:rsid wsp:val=&quot;0015034E&quot;/&gt;&lt;wsp:rsid wsp:val=&quot;001505A0&quot;/&gt;&lt;wsp:rsid wsp:val=&quot;00150A9A&quot;/&gt;&lt;wsp:rsid wsp:val=&quot;00150E1A&quot;/&gt;&lt;wsp:rsid wsp:val=&quot;001518E7&quot;/&gt;&lt;wsp:rsid wsp:val=&quot;0015191B&quot;/&gt;&lt;wsp:rsid wsp:val=&quot;00151A17&quot;/&gt;&lt;wsp:rsid wsp:val=&quot;00151CE7&quot;/&gt;&lt;wsp:rsid wsp:val=&quot;00151F0C&quot;/&gt;&lt;wsp:rsid wsp:val=&quot;001528DA&quot;/&gt;&lt;wsp:rsid wsp:val=&quot;00152FFC&quot;/&gt;&lt;wsp:rsid wsp:val=&quot;0015397E&quot;/&gt;&lt;wsp:rsid wsp:val=&quot;00153A75&quot;/&gt;&lt;wsp:rsid wsp:val=&quot;00153C79&quot;/&gt;&lt;wsp:rsid wsp:val=&quot;00153EDD&quot;/&gt;&lt;wsp:rsid wsp:val=&quot;00154938&quot;/&gt;&lt;wsp:rsid wsp:val=&quot;00154F81&quot;/&gt;&lt;wsp:rsid wsp:val=&quot;0015572D&quot;/&gt;&lt;wsp:rsid wsp:val=&quot;00155CF6&quot;/&gt;&lt;wsp:rsid wsp:val=&quot;0015658A&quot;/&gt;&lt;wsp:rsid wsp:val=&quot;00157403&quot;/&gt;&lt;wsp:rsid wsp:val=&quot;00157630&quot;/&gt;&lt;wsp:rsid wsp:val=&quot;001609F5&quot;/&gt;&lt;wsp:rsid wsp:val=&quot;00160AAA&quot;/&gt;&lt;wsp:rsid wsp:val=&quot;00162A33&quot;/&gt;&lt;wsp:rsid wsp:val=&quot;00162DBE&quot;/&gt;&lt;wsp:rsid wsp:val=&quot;00163E1C&quot;/&gt;&lt;wsp:rsid wsp:val=&quot;00164CB5&quot;/&gt;&lt;wsp:rsid wsp:val=&quot;00165185&quot;/&gt;&lt;wsp:rsid wsp:val=&quot;001653E1&quot;/&gt;&lt;wsp:rsid wsp:val=&quot;00166A71&quot;/&gt;&lt;wsp:rsid wsp:val=&quot;00166C48&quot;/&gt;&lt;wsp:rsid wsp:val=&quot;00166E14&quot;/&gt;&lt;wsp:rsid wsp:val=&quot;001676BC&quot;/&gt;&lt;wsp:rsid wsp:val=&quot;0016784A&quot;/&gt;&lt;wsp:rsid wsp:val=&quot;00167E75&quot;/&gt;&lt;wsp:rsid wsp:val=&quot;00167F50&quot;/&gt;&lt;wsp:rsid wsp:val=&quot;00167FAA&quot;/&gt;&lt;wsp:rsid wsp:val=&quot;00170335&quot;/&gt;&lt;wsp:rsid wsp:val=&quot;00170FCD&quot;/&gt;&lt;wsp:rsid wsp:val=&quot;00171123&quot;/&gt;&lt;wsp:rsid wsp:val=&quot;00172108&quot;/&gt;&lt;wsp:rsid wsp:val=&quot;001726E4&quot;/&gt;&lt;wsp:rsid wsp:val=&quot;0017271D&quot;/&gt;&lt;wsp:rsid wsp:val=&quot;00172B95&quot;/&gt;&lt;wsp:rsid wsp:val=&quot;001733B2&quot;/&gt;&lt;wsp:rsid wsp:val=&quot;00173484&quot;/&gt;&lt;wsp:rsid wsp:val=&quot;0017455D&quot;/&gt;&lt;wsp:rsid wsp:val=&quot;0017512C&quot;/&gt;&lt;wsp:rsid wsp:val=&quot;001754A5&quot;/&gt;&lt;wsp:rsid wsp:val=&quot;001760B7&quot;/&gt;&lt;wsp:rsid wsp:val=&quot;00176788&quot;/&gt;&lt;wsp:rsid wsp:val=&quot;0017681E&quot;/&gt;&lt;wsp:rsid wsp:val=&quot;001770A3&quot;/&gt;&lt;wsp:rsid wsp:val=&quot;001775D8&quot;/&gt;&lt;wsp:rsid wsp:val=&quot;0018074B&quot;/&gt;&lt;wsp:rsid wsp:val=&quot;00180A08&quot;/&gt;&lt;wsp:rsid wsp:val=&quot;00180FA9&quot;/&gt;&lt;wsp:rsid wsp:val=&quot;00181FCC&quot;/&gt;&lt;wsp:rsid wsp:val=&quot;00182124&quot;/&gt;&lt;wsp:rsid wsp:val=&quot;00182E17&quot;/&gt;&lt;wsp:rsid wsp:val=&quot;0018372A&quot;/&gt;&lt;wsp:rsid wsp:val=&quot;00183913&quot;/&gt;&lt;wsp:rsid wsp:val=&quot;00183A8E&quot;/&gt;&lt;wsp:rsid wsp:val=&quot;00183BE1&quot;/&gt;&lt;wsp:rsid wsp:val=&quot;001845A0&quot;/&gt;&lt;wsp:rsid wsp:val=&quot;001848B4&quot;/&gt;&lt;wsp:rsid wsp:val=&quot;00185090&quot;/&gt;&lt;wsp:rsid wsp:val=&quot;0018566E&quot;/&gt;&lt;wsp:rsid wsp:val=&quot;0018575C&quot;/&gt;&lt;wsp:rsid wsp:val=&quot;00185D14&quot;/&gt;&lt;wsp:rsid wsp:val=&quot;00185EC8&quot;/&gt;&lt;wsp:rsid wsp:val=&quot;001862BD&quot;/&gt;&lt;wsp:rsid wsp:val=&quot;0018633D&quot;/&gt;&lt;wsp:rsid wsp:val=&quot;001864C6&quot;/&gt;&lt;wsp:rsid wsp:val=&quot;00187963&quot;/&gt;&lt;wsp:rsid wsp:val=&quot;00190AA6&quot;/&gt;&lt;wsp:rsid wsp:val=&quot;00190F18&quot;/&gt;&lt;wsp:rsid wsp:val=&quot;001911A2&quot;/&gt;&lt;wsp:rsid wsp:val=&quot;0019201D&quot;/&gt;&lt;wsp:rsid wsp:val=&quot;001920B8&quot;/&gt;&lt;wsp:rsid wsp:val=&quot;00192272&quot;/&gt;&lt;wsp:rsid wsp:val=&quot;0019229E&quot;/&gt;&lt;wsp:rsid wsp:val=&quot;001926B9&quot;/&gt;&lt;wsp:rsid wsp:val=&quot;0019349C&quot;/&gt;&lt;wsp:rsid wsp:val=&quot;00193994&quot;/&gt;&lt;wsp:rsid wsp:val=&quot;00193AC6&quot;/&gt;&lt;wsp:rsid wsp:val=&quot;00193C19&quot;/&gt;&lt;wsp:rsid wsp:val=&quot;00194A7E&quot;/&gt;&lt;wsp:rsid wsp:val=&quot;00194B48&quot;/&gt;&lt;wsp:rsid wsp:val=&quot;001952AD&quot;/&gt;&lt;wsp:rsid wsp:val=&quot;00195CE2&quot;/&gt;&lt;wsp:rsid wsp:val=&quot;00196430&quot;/&gt;&lt;wsp:rsid wsp:val=&quot;00196E81&quot;/&gt;&lt;wsp:rsid wsp:val=&quot;00196F49&quot;/&gt;&lt;wsp:rsid wsp:val=&quot;0019762C&quot;/&gt;&lt;wsp:rsid wsp:val=&quot;001A046E&quot;/&gt;&lt;wsp:rsid wsp:val=&quot;001A0F96&quot;/&gt;&lt;wsp:rsid wsp:val=&quot;001A1264&quot;/&gt;&lt;wsp:rsid wsp:val=&quot;001A1494&quot;/&gt;&lt;wsp:rsid wsp:val=&quot;001A151C&quot;/&gt;&lt;wsp:rsid wsp:val=&quot;001A1E18&quot;/&gt;&lt;wsp:rsid wsp:val=&quot;001A22BE&quot;/&gt;&lt;wsp:rsid wsp:val=&quot;001A2A3C&quot;/&gt;&lt;wsp:rsid wsp:val=&quot;001A341C&quot;/&gt;&lt;wsp:rsid wsp:val=&quot;001A3B1D&quot;/&gt;&lt;wsp:rsid wsp:val=&quot;001A3E98&quot;/&gt;&lt;wsp:rsid wsp:val=&quot;001A3F79&quot;/&gt;&lt;wsp:rsid wsp:val=&quot;001A411A&quot;/&gt;&lt;wsp:rsid wsp:val=&quot;001A5E39&quot;/&gt;&lt;wsp:rsid wsp:val=&quot;001A6230&quot;/&gt;&lt;wsp:rsid wsp:val=&quot;001A6480&quot;/&gt;&lt;wsp:rsid wsp:val=&quot;001A65AF&quot;/&gt;&lt;wsp:rsid wsp:val=&quot;001A6877&quot;/&gt;&lt;wsp:rsid wsp:val=&quot;001A75C4&quot;/&gt;&lt;wsp:rsid wsp:val=&quot;001B1DBE&quot;/&gt;&lt;wsp:rsid wsp:val=&quot;001B2341&quot;/&gt;&lt;wsp:rsid wsp:val=&quot;001B23FF&quot;/&gt;&lt;wsp:rsid wsp:val=&quot;001B2551&quot;/&gt;&lt;wsp:rsid wsp:val=&quot;001B49DF&quot;/&gt;&lt;wsp:rsid wsp:val=&quot;001B59C0&quot;/&gt;&lt;wsp:rsid wsp:val=&quot;001B651F&quot;/&gt;&lt;wsp:rsid wsp:val=&quot;001B7591&quot;/&gt;&lt;wsp:rsid wsp:val=&quot;001B7AE8&quot;/&gt;&lt;wsp:rsid wsp:val=&quot;001B7E43&quot;/&gt;&lt;wsp:rsid wsp:val=&quot;001C0668&quot;/&gt;&lt;wsp:rsid wsp:val=&quot;001C092E&quot;/&gt;&lt;wsp:rsid wsp:val=&quot;001C1316&quot;/&gt;&lt;wsp:rsid wsp:val=&quot;001C14E6&quot;/&gt;&lt;wsp:rsid wsp:val=&quot;001C16F9&quot;/&gt;&lt;wsp:rsid wsp:val=&quot;001C19BF&quot;/&gt;&lt;wsp:rsid wsp:val=&quot;001C29A8&quot;/&gt;&lt;wsp:rsid wsp:val=&quot;001C2D28&quot;/&gt;&lt;wsp:rsid wsp:val=&quot;001C2F10&quot;/&gt;&lt;wsp:rsid wsp:val=&quot;001C3194&quot;/&gt;&lt;wsp:rsid wsp:val=&quot;001C4A9D&quot;/&gt;&lt;wsp:rsid wsp:val=&quot;001C4D18&quot;/&gt;&lt;wsp:rsid wsp:val=&quot;001C5237&quot;/&gt;&lt;wsp:rsid wsp:val=&quot;001C5415&quot;/&gt;&lt;wsp:rsid wsp:val=&quot;001C6DB5&quot;/&gt;&lt;wsp:rsid wsp:val=&quot;001C717D&quot;/&gt;&lt;wsp:rsid wsp:val=&quot;001C75D9&quot;/&gt;&lt;wsp:rsid wsp:val=&quot;001D0A15&quot;/&gt;&lt;wsp:rsid wsp:val=&quot;001D0B6B&quot;/&gt;&lt;wsp:rsid wsp:val=&quot;001D10D5&quot;/&gt;&lt;wsp:rsid wsp:val=&quot;001D1B62&quot;/&gt;&lt;wsp:rsid wsp:val=&quot;001D1F53&quot;/&gt;&lt;wsp:rsid wsp:val=&quot;001D20E5&quot;/&gt;&lt;wsp:rsid wsp:val=&quot;001D24D4&quot;/&gt;&lt;wsp:rsid wsp:val=&quot;001D31EB&quot;/&gt;&lt;wsp:rsid wsp:val=&quot;001D34C0&quot;/&gt;&lt;wsp:rsid wsp:val=&quot;001D3B05&quot;/&gt;&lt;wsp:rsid wsp:val=&quot;001D4984&quot;/&gt;&lt;wsp:rsid wsp:val=&quot;001D4BF8&quot;/&gt;&lt;wsp:rsid wsp:val=&quot;001D5F88&quot;/&gt;&lt;wsp:rsid wsp:val=&quot;001D75BF&quot;/&gt;&lt;wsp:rsid wsp:val=&quot;001D7A47&quot;/&gt;&lt;wsp:rsid wsp:val=&quot;001E003E&quot;/&gt;&lt;wsp:rsid wsp:val=&quot;001E051F&quot;/&gt;&lt;wsp:rsid wsp:val=&quot;001E0571&quot;/&gt;&lt;wsp:rsid wsp:val=&quot;001E150A&quot;/&gt;&lt;wsp:rsid wsp:val=&quot;001E17FF&quot;/&gt;&lt;wsp:rsid wsp:val=&quot;001E1DB5&quot;/&gt;&lt;wsp:rsid wsp:val=&quot;001E1E29&quot;/&gt;&lt;wsp:rsid wsp:val=&quot;001E1E47&quot;/&gt;&lt;wsp:rsid wsp:val=&quot;001E25EA&quot;/&gt;&lt;wsp:rsid wsp:val=&quot;001E283A&quot;/&gt;&lt;wsp:rsid wsp:val=&quot;001E3146&quot;/&gt;&lt;wsp:rsid wsp:val=&quot;001E3555&quot;/&gt;&lt;wsp:rsid wsp:val=&quot;001E51BD&quot;/&gt;&lt;wsp:rsid wsp:val=&quot;001E53A1&quot;/&gt;&lt;wsp:rsid wsp:val=&quot;001E5BDC&quot;/&gt;&lt;wsp:rsid wsp:val=&quot;001E5F87&quot;/&gt;&lt;wsp:rsid wsp:val=&quot;001E710C&quot;/&gt;&lt;wsp:rsid wsp:val=&quot;001E72ED&quot;/&gt;&lt;wsp:rsid wsp:val=&quot;001E78E4&quot;/&gt;&lt;wsp:rsid wsp:val=&quot;001E7C95&quot;/&gt;&lt;wsp:rsid wsp:val=&quot;001F0EE3&quot;/&gt;&lt;wsp:rsid wsp:val=&quot;001F126E&quot;/&gt;&lt;wsp:rsid wsp:val=&quot;001F1675&quot;/&gt;&lt;wsp:rsid wsp:val=&quot;001F1A50&quot;/&gt;&lt;wsp:rsid wsp:val=&quot;001F1E92&quot;/&gt;&lt;wsp:rsid wsp:val=&quot;001F2834&quot;/&gt;&lt;wsp:rsid wsp:val=&quot;001F2CE8&quot;/&gt;&lt;wsp:rsid wsp:val=&quot;001F3626&quot;/&gt;&lt;wsp:rsid wsp:val=&quot;001F38FC&quot;/&gt;&lt;wsp:rsid wsp:val=&quot;001F39A0&quot;/&gt;&lt;wsp:rsid wsp:val=&quot;001F3A72&quot;/&gt;&lt;wsp:rsid wsp:val=&quot;001F641E&quot;/&gt;&lt;wsp:rsid wsp:val=&quot;001F7240&quot;/&gt;&lt;wsp:rsid wsp:val=&quot;002007D1&quot;/&gt;&lt;wsp:rsid wsp:val=&quot;0020096E&quot;/&gt;&lt;wsp:rsid wsp:val=&quot;00200BEF&quot;/&gt;&lt;wsp:rsid wsp:val=&quot;00201470&quot;/&gt;&lt;wsp:rsid wsp:val=&quot;0020149F&quot;/&gt;&lt;wsp:rsid wsp:val=&quot;00201C0C&quot;/&gt;&lt;wsp:rsid wsp:val=&quot;00201CF8&quot;/&gt;&lt;wsp:rsid wsp:val=&quot;00201D7F&quot;/&gt;&lt;wsp:rsid wsp:val=&quot;00201DAD&quot;/&gt;&lt;wsp:rsid wsp:val=&quot;00201F76&quot;/&gt;&lt;wsp:rsid wsp:val=&quot;00202BBA&quot;/&gt;&lt;wsp:rsid wsp:val=&quot;0020302C&quot;/&gt;&lt;wsp:rsid wsp:val=&quot;0020344A&quot;/&gt;&lt;wsp:rsid wsp:val=&quot;002059A1&quot;/&gt;&lt;wsp:rsid wsp:val=&quot;002063A1&quot;/&gt;&lt;wsp:rsid wsp:val=&quot;00206CA1&quot;/&gt;&lt;wsp:rsid wsp:val=&quot;00206CC9&quot;/&gt;&lt;wsp:rsid wsp:val=&quot;00206D5B&quot;/&gt;&lt;wsp:rsid wsp:val=&quot;0020712A&quot;/&gt;&lt;wsp:rsid wsp:val=&quot;002077A5&quot;/&gt;&lt;wsp:rsid wsp:val=&quot;00207AF6&quot;/&gt;&lt;wsp:rsid wsp:val=&quot;00210FA2&quot;/&gt;&lt;wsp:rsid wsp:val=&quot;00211610&quot;/&gt;&lt;wsp:rsid wsp:val=&quot;0021183B&quot;/&gt;&lt;wsp:rsid wsp:val=&quot;002119D5&quot;/&gt;&lt;wsp:rsid wsp:val=&quot;00211B02&quot;/&gt;&lt;wsp:rsid wsp:val=&quot;00211BA7&quot;/&gt;&lt;wsp:rsid wsp:val=&quot;00211C3A&quot;/&gt;&lt;wsp:rsid wsp:val=&quot;00212244&quot;/&gt;&lt;wsp:rsid wsp:val=&quot;002125D5&quot;/&gt;&lt;wsp:rsid wsp:val=&quot;00212817&quot;/&gt;&lt;wsp:rsid wsp:val=&quot;00212B68&quot;/&gt;&lt;wsp:rsid wsp:val=&quot;002133C7&quot;/&gt;&lt;wsp:rsid wsp:val=&quot;00213495&quot;/&gt;&lt;wsp:rsid wsp:val=&quot;00214C98&quot;/&gt;&lt;wsp:rsid wsp:val=&quot;00214ED3&quot;/&gt;&lt;wsp:rsid wsp:val=&quot;0021598C&quot;/&gt;&lt;wsp:rsid wsp:val=&quot;00215A45&quot;/&gt;&lt;wsp:rsid wsp:val=&quot;0021695E&quot;/&gt;&lt;wsp:rsid wsp:val=&quot;002178E9&quot;/&gt;&lt;wsp:rsid wsp:val=&quot;00217A0A&quot;/&gt;&lt;wsp:rsid wsp:val=&quot;00217D27&quot;/&gt;&lt;wsp:rsid wsp:val=&quot;00217F02&quot;/&gt;&lt;wsp:rsid wsp:val=&quot;00220245&quot;/&gt;&lt;wsp:rsid wsp:val=&quot;0022031B&quot;/&gt;&lt;wsp:rsid wsp:val=&quot;0022041E&quot;/&gt;&lt;wsp:rsid wsp:val=&quot;00221234&quot;/&gt;&lt;wsp:rsid wsp:val=&quot;002215D8&quot;/&gt;&lt;wsp:rsid wsp:val=&quot;00222B24&quot;/&gt;&lt;wsp:rsid wsp:val=&quot;002231EC&quot;/&gt;&lt;wsp:rsid wsp:val=&quot;00223291&quot;/&gt;&lt;wsp:rsid wsp:val=&quot;002247B9&quot;/&gt;&lt;wsp:rsid wsp:val=&quot;0022522A&quot;/&gt;&lt;wsp:rsid wsp:val=&quot;0022531B&quot;/&gt;&lt;wsp:rsid wsp:val=&quot;002262E3&quot;/&gt;&lt;wsp:rsid wsp:val=&quot;0022728A&quot;/&gt;&lt;wsp:rsid wsp:val=&quot;0023004F&quot;/&gt;&lt;wsp:rsid wsp:val=&quot;00230233&quot;/&gt;&lt;wsp:rsid wsp:val=&quot;002307D4&quot;/&gt;&lt;wsp:rsid wsp:val=&quot;002310AC&quot;/&gt;&lt;wsp:rsid wsp:val=&quot;002311DF&quot;/&gt;&lt;wsp:rsid wsp:val=&quot;00231FA7&quot;/&gt;&lt;wsp:rsid wsp:val=&quot;00232F8F&quot;/&gt;&lt;wsp:rsid wsp:val=&quot;00233097&quot;/&gt;&lt;wsp:rsid wsp:val=&quot;00233F17&quot;/&gt;&lt;wsp:rsid wsp:val=&quot;00233F9E&quot;/&gt;&lt;wsp:rsid wsp:val=&quot;00234470&quot;/&gt;&lt;wsp:rsid wsp:val=&quot;0023461E&quot;/&gt;&lt;wsp:rsid wsp:val=&quot;00234986&quot;/&gt;&lt;wsp:rsid wsp:val=&quot;00234F87&quot;/&gt;&lt;wsp:rsid wsp:val=&quot;00235039&quot;/&gt;&lt;wsp:rsid wsp:val=&quot;002358D4&quot;/&gt;&lt;wsp:rsid wsp:val=&quot;0023622A&quot;/&gt;&lt;wsp:rsid wsp:val=&quot;0023710E&quot;/&gt;&lt;wsp:rsid wsp:val=&quot;00237895&quot;/&gt;&lt;wsp:rsid wsp:val=&quot;00240C1A&quot;/&gt;&lt;wsp:rsid wsp:val=&quot;002414F5&quot;/&gt;&lt;wsp:rsid wsp:val=&quot;00241D0C&quot;/&gt;&lt;wsp:rsid wsp:val=&quot;002423C6&quot;/&gt;&lt;wsp:rsid wsp:val=&quot;00242A5A&quot;/&gt;&lt;wsp:rsid wsp:val=&quot;00242FA9&quot;/&gt;&lt;wsp:rsid wsp:val=&quot;0024355A&quot;/&gt;&lt;wsp:rsid wsp:val=&quot;00243598&quot;/&gt;&lt;wsp:rsid wsp:val=&quot;00243FFF&quot;/&gt;&lt;wsp:rsid wsp:val=&quot;00244420&quot;/&gt;&lt;wsp:rsid wsp:val=&quot;00245076&quot;/&gt;&lt;wsp:rsid wsp:val=&quot;00245CC7&quot;/&gt;&lt;wsp:rsid wsp:val=&quot;002464A5&quot;/&gt;&lt;wsp:rsid wsp:val=&quot;00246523&quot;/&gt;&lt;wsp:rsid wsp:val=&quot;0024785C&quot;/&gt;&lt;wsp:rsid wsp:val=&quot;002479A2&quot;/&gt;&lt;wsp:rsid wsp:val=&quot;002500C2&quot;/&gt;&lt;wsp:rsid wsp:val=&quot;002504DC&quot;/&gt;&lt;wsp:rsid wsp:val=&quot;002506CB&quot;/&gt;&lt;wsp:rsid wsp:val=&quot;002507B8&quot;/&gt;&lt;wsp:rsid wsp:val=&quot;002520E7&quot;/&gt;&lt;wsp:rsid wsp:val=&quot;00252214&quot;/&gt;&lt;wsp:rsid wsp:val=&quot;00252949&quot;/&gt;&lt;wsp:rsid wsp:val=&quot;00252A64&quot;/&gt;&lt;wsp:rsid wsp:val=&quot;00252F0D&quot;/&gt;&lt;wsp:rsid wsp:val=&quot;00253493&quot;/&gt;&lt;wsp:rsid wsp:val=&quot;002558C6&quot;/&gt;&lt;wsp:rsid wsp:val=&quot;002558DD&quot;/&gt;&lt;wsp:rsid wsp:val=&quot;00255CA5&quot;/&gt;&lt;wsp:rsid wsp:val=&quot;00256561&quot;/&gt;&lt;wsp:rsid wsp:val=&quot;00260622&quot;/&gt;&lt;wsp:rsid wsp:val=&quot;00260C90&quot;/&gt;&lt;wsp:rsid wsp:val=&quot;00261B7A&quot;/&gt;&lt;wsp:rsid wsp:val=&quot;00261EF1&quot;/&gt;&lt;wsp:rsid wsp:val=&quot;002627C4&quot;/&gt;&lt;wsp:rsid wsp:val=&quot;00262A42&quot;/&gt;&lt;wsp:rsid wsp:val=&quot;00262B5A&quot;/&gt;&lt;wsp:rsid wsp:val=&quot;00262CA3&quot;/&gt;&lt;wsp:rsid wsp:val=&quot;002634D5&quot;/&gt;&lt;wsp:rsid wsp:val=&quot;00263FED&quot;/&gt;&lt;wsp:rsid wsp:val=&quot;002640EE&quot;/&gt;&lt;wsp:rsid wsp:val=&quot;002654E0&quot;/&gt;&lt;wsp:rsid wsp:val=&quot;00265E0B&quot;/&gt;&lt;wsp:rsid wsp:val=&quot;0026663A&quot;/&gt;&lt;wsp:rsid wsp:val=&quot;00266838&quot;/&gt;&lt;wsp:rsid wsp:val=&quot;00267A46&quot;/&gt;&lt;wsp:rsid wsp:val=&quot;00267B7E&quot;/&gt;&lt;wsp:rsid wsp:val=&quot;00267DAE&quot;/&gt;&lt;wsp:rsid wsp:val=&quot;002701D3&quot;/&gt;&lt;wsp:rsid wsp:val=&quot;00270252&quot;/&gt;&lt;wsp:rsid wsp:val=&quot;0027176B&quot;/&gt;&lt;wsp:rsid wsp:val=&quot;0027190D&quot;/&gt;&lt;wsp:rsid wsp:val=&quot;00271A11&quot;/&gt;&lt;wsp:rsid wsp:val=&quot;00272450&quot;/&gt;&lt;wsp:rsid wsp:val=&quot;00272B27&quot;/&gt;&lt;wsp:rsid wsp:val=&quot;00274103&quot;/&gt;&lt;wsp:rsid wsp:val=&quot;002746F4&quot;/&gt;&lt;wsp:rsid wsp:val=&quot;00274899&quot;/&gt;&lt;wsp:rsid wsp:val=&quot;002756E5&quot;/&gt;&lt;wsp:rsid wsp:val=&quot;00275F5B&quot;/&gt;&lt;wsp:rsid wsp:val=&quot;0027661C&quot;/&gt;&lt;wsp:rsid wsp:val=&quot;00277430&quot;/&gt;&lt;wsp:rsid wsp:val=&quot;002779F3&quot;/&gt;&lt;wsp:rsid wsp:val=&quot;00277A35&quot;/&gt;&lt;wsp:rsid wsp:val=&quot;00277B4A&quot;/&gt;&lt;wsp:rsid wsp:val=&quot;00277B79&quot;/&gt;&lt;wsp:rsid wsp:val=&quot;00280794&quot;/&gt;&lt;wsp:rsid wsp:val=&quot;00280B49&quot;/&gt;&lt;wsp:rsid wsp:val=&quot;00281439&quot;/&gt;&lt;wsp:rsid wsp:val=&quot;00281482&quot;/&gt;&lt;wsp:rsid wsp:val=&quot;002824A6&quot;/&gt;&lt;wsp:rsid wsp:val=&quot;00282834&quot;/&gt;&lt;wsp:rsid wsp:val=&quot;00282BF9&quot;/&gt;&lt;wsp:rsid wsp:val=&quot;0028320F&quot;/&gt;&lt;wsp:rsid wsp:val=&quot;002835C1&quot;/&gt;&lt;wsp:rsid wsp:val=&quot;00283AC8&quot;/&gt;&lt;wsp:rsid wsp:val=&quot;00283D25&quot;/&gt;&lt;wsp:rsid wsp:val=&quot;002840F5&quot;/&gt;&lt;wsp:rsid wsp:val=&quot;0028418B&quot;/&gt;&lt;wsp:rsid wsp:val=&quot;0028506F&quot;/&gt;&lt;wsp:rsid wsp:val=&quot;00285B40&quot;/&gt;&lt;wsp:rsid wsp:val=&quot;00285E18&quot;/&gt;&lt;wsp:rsid wsp:val=&quot;00286A5B&quot;/&gt;&lt;wsp:rsid wsp:val=&quot;00287C62&quot;/&gt;&lt;wsp:rsid wsp:val=&quot;00290A07&quot;/&gt;&lt;wsp:rsid wsp:val=&quot;00290EB0&quot;/&gt;&lt;wsp:rsid wsp:val=&quot;002914DF&quot;/&gt;&lt;wsp:rsid wsp:val=&quot;00292248&quot;/&gt;&lt;wsp:rsid wsp:val=&quot;00292991&quot;/&gt;&lt;wsp:rsid wsp:val=&quot;00292FA3&quot;/&gt;&lt;wsp:rsid wsp:val=&quot;00293443&quot;/&gt;&lt;wsp:rsid wsp:val=&quot;002934FB&quot;/&gt;&lt;wsp:rsid wsp:val=&quot;00293B8D&quot;/&gt;&lt;wsp:rsid wsp:val=&quot;00294A24&quot;/&gt;&lt;wsp:rsid wsp:val=&quot;00294C89&quot;/&gt;&lt;wsp:rsid wsp:val=&quot;00295C07&quot;/&gt;&lt;wsp:rsid wsp:val=&quot;00295F35&quot;/&gt;&lt;wsp:rsid wsp:val=&quot;00296BAA&quot;/&gt;&lt;wsp:rsid wsp:val=&quot;00297E08&quot;/&gt;&lt;wsp:rsid wsp:val=&quot;002A02A8&quot;/&gt;&lt;wsp:rsid wsp:val=&quot;002A035B&quot;/&gt;&lt;wsp:rsid wsp:val=&quot;002A0469&quot;/&gt;&lt;wsp:rsid wsp:val=&quot;002A0EBD&quot;/&gt;&lt;wsp:rsid wsp:val=&quot;002A1400&quot;/&gt;&lt;wsp:rsid wsp:val=&quot;002A19FA&quot;/&gt;&lt;wsp:rsid wsp:val=&quot;002A2558&quot;/&gt;&lt;wsp:rsid wsp:val=&quot;002A29E0&quot;/&gt;&lt;wsp:rsid wsp:val=&quot;002A2A40&quot;/&gt;&lt;wsp:rsid wsp:val=&quot;002A31E7&quot;/&gt;&lt;wsp:rsid wsp:val=&quot;002A31E9&quot;/&gt;&lt;wsp:rsid wsp:val=&quot;002A3638&quot;/&gt;&lt;wsp:rsid wsp:val=&quot;002A3909&quot;/&gt;&lt;wsp:rsid wsp:val=&quot;002A3DB2&quot;/&gt;&lt;wsp:rsid wsp:val=&quot;002A406F&quot;/&gt;&lt;wsp:rsid wsp:val=&quot;002A666A&quot;/&gt;&lt;wsp:rsid wsp:val=&quot;002A66EA&quot;/&gt;&lt;wsp:rsid wsp:val=&quot;002A6C5F&quot;/&gt;&lt;wsp:rsid wsp:val=&quot;002A799A&quot;/&gt;&lt;wsp:rsid wsp:val=&quot;002A7FAF&quot;/&gt;&lt;wsp:rsid wsp:val=&quot;002B04AC&quot;/&gt;&lt;wsp:rsid wsp:val=&quot;002B06EA&quot;/&gt;&lt;wsp:rsid wsp:val=&quot;002B0CB1&quot;/&gt;&lt;wsp:rsid wsp:val=&quot;002B0F6E&quot;/&gt;&lt;wsp:rsid wsp:val=&quot;002B1981&quot;/&gt;&lt;wsp:rsid wsp:val=&quot;002B20F1&quot;/&gt;&lt;wsp:rsid wsp:val=&quot;002B2A76&quot;/&gt;&lt;wsp:rsid wsp:val=&quot;002B3651&quot;/&gt;&lt;wsp:rsid wsp:val=&quot;002B3F5B&quot;/&gt;&lt;wsp:rsid wsp:val=&quot;002B44DC&quot;/&gt;&lt;wsp:rsid wsp:val=&quot;002B476A&quot;/&gt;&lt;wsp:rsid wsp:val=&quot;002B5279&quot;/&gt;&lt;wsp:rsid wsp:val=&quot;002B586F&quot;/&gt;&lt;wsp:rsid wsp:val=&quot;002B7C9F&quot;/&gt;&lt;wsp:rsid wsp:val=&quot;002C047C&quot;/&gt;&lt;wsp:rsid wsp:val=&quot;002C0560&quot;/&gt;&lt;wsp:rsid wsp:val=&quot;002C11F7&quot;/&gt;&lt;wsp:rsid wsp:val=&quot;002C1BB4&quot;/&gt;&lt;wsp:rsid wsp:val=&quot;002C1F20&quot;/&gt;&lt;wsp:rsid wsp:val=&quot;002C2783&quot;/&gt;&lt;wsp:rsid wsp:val=&quot;002C2D0D&quot;/&gt;&lt;wsp:rsid wsp:val=&quot;002C2E80&quot;/&gt;&lt;wsp:rsid wsp:val=&quot;002C2F03&quot;/&gt;&lt;wsp:rsid wsp:val=&quot;002C37E4&quot;/&gt;&lt;wsp:rsid wsp:val=&quot;002C42F9&quot;/&gt;&lt;wsp:rsid wsp:val=&quot;002C4C10&quot;/&gt;&lt;wsp:rsid wsp:val=&quot;002C58F8&quot;/&gt;&lt;wsp:rsid wsp:val=&quot;002C66F0&quot;/&gt;&lt;wsp:rsid wsp:val=&quot;002C6ACF&quot;/&gt;&lt;wsp:rsid wsp:val=&quot;002C7A8D&quot;/&gt;&lt;wsp:rsid wsp:val=&quot;002C7BCE&quot;/&gt;&lt;wsp:rsid wsp:val=&quot;002D0323&quot;/&gt;&lt;wsp:rsid wsp:val=&quot;002D061E&quot;/&gt;&lt;wsp:rsid wsp:val=&quot;002D0907&quot;/&gt;&lt;wsp:rsid wsp:val=&quot;002D0951&quot;/&gt;&lt;wsp:rsid wsp:val=&quot;002D0AA1&quot;/&gt;&lt;wsp:rsid wsp:val=&quot;002D227C&quot;/&gt;&lt;wsp:rsid wsp:val=&quot;002D228F&quot;/&gt;&lt;wsp:rsid wsp:val=&quot;002D37AF&quot;/&gt;&lt;wsp:rsid wsp:val=&quot;002D40AC&quot;/&gt;&lt;wsp:rsid wsp:val=&quot;002D44EB&quot;/&gt;&lt;wsp:rsid wsp:val=&quot;002D4887&quot;/&gt;&lt;wsp:rsid wsp:val=&quot;002D5AA7&quot;/&gt;&lt;wsp:rsid wsp:val=&quot;002D5D64&quot;/&gt;&lt;wsp:rsid wsp:val=&quot;002D673A&quot;/&gt;&lt;wsp:rsid wsp:val=&quot;002D6FA7&quot;/&gt;&lt;wsp:rsid wsp:val=&quot;002D709D&quot;/&gt;&lt;wsp:rsid wsp:val=&quot;002D7EBB&quot;/&gt;&lt;wsp:rsid wsp:val=&quot;002E013F&quot;/&gt;&lt;wsp:rsid wsp:val=&quot;002E06FF&quot;/&gt;&lt;wsp:rsid wsp:val=&quot;002E0B06&quot;/&gt;&lt;wsp:rsid wsp:val=&quot;002E2062&quot;/&gt;&lt;wsp:rsid wsp:val=&quot;002E287F&quot;/&gt;&lt;wsp:rsid wsp:val=&quot;002E301D&quot;/&gt;&lt;wsp:rsid wsp:val=&quot;002E3519&quot;/&gt;&lt;wsp:rsid wsp:val=&quot;002E371C&quot;/&gt;&lt;wsp:rsid wsp:val=&quot;002E4430&quot;/&gt;&lt;wsp:rsid wsp:val=&quot;002E4A7A&quot;/&gt;&lt;wsp:rsid wsp:val=&quot;002E4A7D&quot;/&gt;&lt;wsp:rsid wsp:val=&quot;002E4CA1&quot;/&gt;&lt;wsp:rsid wsp:val=&quot;002E6C75&quot;/&gt;&lt;wsp:rsid wsp:val=&quot;002F004A&quot;/&gt;&lt;wsp:rsid wsp:val=&quot;002F061D&quot;/&gt;&lt;wsp:rsid wsp:val=&quot;002F090C&quot;/&gt;&lt;wsp:rsid wsp:val=&quot;002F09B4&quot;/&gt;&lt;wsp:rsid wsp:val=&quot;002F0D21&quot;/&gt;&lt;wsp:rsid wsp:val=&quot;002F1894&quot;/&gt;&lt;wsp:rsid wsp:val=&quot;002F224E&quot;/&gt;&lt;wsp:rsid wsp:val=&quot;002F2598&quot;/&gt;&lt;wsp:rsid wsp:val=&quot;002F2CD4&quot;/&gt;&lt;wsp:rsid wsp:val=&quot;002F3E61&quot;/&gt;&lt;wsp:rsid wsp:val=&quot;002F4210&quot;/&gt;&lt;wsp:rsid wsp:val=&quot;002F4600&quot;/&gt;&lt;wsp:rsid wsp:val=&quot;002F498E&quot;/&gt;&lt;wsp:rsid wsp:val=&quot;002F4AF8&quot;/&gt;&lt;wsp:rsid wsp:val=&quot;002F64DA&quot;/&gt;&lt;wsp:rsid wsp:val=&quot;002F6E27&quot;/&gt;&lt;wsp:rsid wsp:val=&quot;002F6E5D&quot;/&gt;&lt;wsp:rsid wsp:val=&quot;002F754D&quot;/&gt;&lt;wsp:rsid wsp:val=&quot;002F75FA&quot;/&gt;&lt;wsp:rsid wsp:val=&quot;002F78EC&quot;/&gt;&lt;wsp:rsid wsp:val=&quot;002F7BF6&quot;/&gt;&lt;wsp:rsid wsp:val=&quot;00300454&quot;/&gt;&lt;wsp:rsid wsp:val=&quot;00300530&quot;/&gt;&lt;wsp:rsid wsp:val=&quot;003005C6&quot;/&gt;&lt;wsp:rsid wsp:val=&quot;00300653&quot;/&gt;&lt;wsp:rsid wsp:val=&quot;00300ACA&quot;/&gt;&lt;wsp:rsid wsp:val=&quot;0030101C&quot;/&gt;&lt;wsp:rsid wsp:val=&quot;003021A3&quot;/&gt;&lt;wsp:rsid wsp:val=&quot;00302513&quot;/&gt;&lt;wsp:rsid wsp:val=&quot;003030B5&quot;/&gt;&lt;wsp:rsid wsp:val=&quot;0030377A&quot;/&gt;&lt;wsp:rsid wsp:val=&quot;00303FFF&quot;/&gt;&lt;wsp:rsid wsp:val=&quot;00305AF8&quot;/&gt;&lt;wsp:rsid wsp:val=&quot;0030614D&quot;/&gt;&lt;wsp:rsid wsp:val=&quot;00306458&quot;/&gt;&lt;wsp:rsid wsp:val=&quot;003073A0&quot;/&gt;&lt;wsp:rsid wsp:val=&quot;00307A5C&quot;/&gt;&lt;wsp:rsid wsp:val=&quot;00307FDC&quot;/&gt;&lt;wsp:rsid wsp:val=&quot;00310280&quot;/&gt;&lt;wsp:rsid wsp:val=&quot;0031049B&quot;/&gt;&lt;wsp:rsid wsp:val=&quot;00310A45&quot;/&gt;&lt;wsp:rsid wsp:val=&quot;00311245&quot;/&gt;&lt;wsp:rsid wsp:val=&quot;003114D6&quot;/&gt;&lt;wsp:rsid wsp:val=&quot;003129D8&quot;/&gt;&lt;wsp:rsid wsp:val=&quot;00312B8D&quot;/&gt;&lt;wsp:rsid wsp:val=&quot;003145FF&quot;/&gt;&lt;wsp:rsid wsp:val=&quot;0031495A&quot;/&gt;&lt;wsp:rsid wsp:val=&quot;00314B33&quot;/&gt;&lt;wsp:rsid wsp:val=&quot;003157C9&quot;/&gt;&lt;wsp:rsid wsp:val=&quot;00315A02&quot;/&gt;&lt;wsp:rsid wsp:val=&quot;003168E4&quot;/&gt;&lt;wsp:rsid wsp:val=&quot;00316D11&quot;/&gt;&lt;wsp:rsid wsp:val=&quot;003171B9&quot;/&gt;&lt;wsp:rsid wsp:val=&quot;003209C8&quot;/&gt;&lt;wsp:rsid wsp:val=&quot;00321E70&quot;/&gt;&lt;wsp:rsid wsp:val=&quot;00322B66&quot;/&gt;&lt;wsp:rsid wsp:val=&quot;003230A1&quot;/&gt;&lt;wsp:rsid wsp:val=&quot;003239B8&quot;/&gt;&lt;wsp:rsid wsp:val=&quot;00324A45&quot;/&gt;&lt;wsp:rsid wsp:val=&quot;00325784&quot;/&gt;&lt;wsp:rsid wsp:val=&quot;00325BD3&quot;/&gt;&lt;wsp:rsid wsp:val=&quot;00325D11&quot;/&gt;&lt;wsp:rsid wsp:val=&quot;00325FBA&quot;/&gt;&lt;wsp:rsid wsp:val=&quot;00327404&quot;/&gt;&lt;wsp:rsid wsp:val=&quot;0032740F&quot;/&gt;&lt;wsp:rsid wsp:val=&quot;00327593&quot;/&gt;&lt;wsp:rsid wsp:val=&quot;003275C0&quot;/&gt;&lt;wsp:rsid wsp:val=&quot;00327AC7&quot;/&gt;&lt;wsp:rsid wsp:val=&quot;00331491&quot;/&gt;&lt;wsp:rsid wsp:val=&quot;00331C64&quot;/&gt;&lt;wsp:rsid wsp:val=&quot;00333C07&quot;/&gt;&lt;wsp:rsid wsp:val=&quot;0033402B&quot;/&gt;&lt;wsp:rsid wsp:val=&quot;00334BD8&quot;/&gt;&lt;wsp:rsid wsp:val=&quot;00335FB6&quot;/&gt;&lt;wsp:rsid wsp:val=&quot;0033617C&quot;/&gt;&lt;wsp:rsid wsp:val=&quot;00336BCB&quot;/&gt;&lt;wsp:rsid wsp:val=&quot;003372E4&quot;/&gt;&lt;wsp:rsid wsp:val=&quot;0034077D&quot;/&gt;&lt;wsp:rsid wsp:val=&quot;00341ACF&quot;/&gt;&lt;wsp:rsid wsp:val=&quot;00341F18&quot;/&gt;&lt;wsp:rsid wsp:val=&quot;00342FFC&quot;/&gt;&lt;wsp:rsid wsp:val=&quot;0034328F&quot;/&gt;&lt;wsp:rsid wsp:val=&quot;003434A4&quot;/&gt;&lt;wsp:rsid wsp:val=&quot;00343BDC&quot;/&gt;&lt;wsp:rsid wsp:val=&quot;0034466C&quot;/&gt;&lt;wsp:rsid wsp:val=&quot;00344FB0&quot;/&gt;&lt;wsp:rsid wsp:val=&quot;00344FE6&quot;/&gt;&lt;wsp:rsid wsp:val=&quot;0034540E&quot;/&gt;&lt;wsp:rsid wsp:val=&quot;0034545E&quot;/&gt;&lt;wsp:rsid wsp:val=&quot;00346C6A&quot;/&gt;&lt;wsp:rsid wsp:val=&quot;00347166&quot;/&gt;&lt;wsp:rsid wsp:val=&quot;003475FD&quot;/&gt;&lt;wsp:rsid wsp:val=&quot;00351A6E&quot;/&gt;&lt;wsp:rsid wsp:val=&quot;00351FA7&quot;/&gt;&lt;wsp:rsid wsp:val=&quot;00352459&quot;/&gt;&lt;wsp:rsid wsp:val=&quot;00353191&quot;/&gt;&lt;wsp:rsid wsp:val=&quot;0035346E&quot;/&gt;&lt;wsp:rsid wsp:val=&quot;0035410F&quot;/&gt;&lt;wsp:rsid wsp:val=&quot;003552D5&quot;/&gt;&lt;wsp:rsid wsp:val=&quot;00355581&quot;/&gt;&lt;wsp:rsid wsp:val=&quot;00355C2D&quot;/&gt;&lt;wsp:rsid wsp:val=&quot;00356795&quot;/&gt;&lt;wsp:rsid wsp:val=&quot;00356E54&quot;/&gt;&lt;wsp:rsid wsp:val=&quot;00360397&quot;/&gt;&lt;wsp:rsid wsp:val=&quot;00360CD6&quot;/&gt;&lt;wsp:rsid wsp:val=&quot;00360FE3&quot;/&gt;&lt;wsp:rsid wsp:val=&quot;003611EE&quot;/&gt;&lt;wsp:rsid wsp:val=&quot;003618CE&quot;/&gt;&lt;wsp:rsid wsp:val=&quot;0036199C&quot;/&gt;&lt;wsp:rsid wsp:val=&quot;00361F06&quot;/&gt;&lt;wsp:rsid wsp:val=&quot;00361FAE&quot;/&gt;&lt;wsp:rsid wsp:val=&quot;00361FB6&quot;/&gt;&lt;wsp:rsid wsp:val=&quot;00362532&quot;/&gt;&lt;wsp:rsid wsp:val=&quot;00362837&quot;/&gt;&lt;wsp:rsid wsp:val=&quot;00363354&quot;/&gt;&lt;wsp:rsid wsp:val=&quot;00363C65&quot;/&gt;&lt;wsp:rsid wsp:val=&quot;003640D4&quot;/&gt;&lt;wsp:rsid wsp:val=&quot;00364465&quot;/&gt;&lt;wsp:rsid wsp:val=&quot;003648AB&quot;/&gt;&lt;wsp:rsid wsp:val=&quot;003662A1&quot;/&gt;&lt;wsp:rsid wsp:val=&quot;00367278&quot;/&gt;&lt;wsp:rsid wsp:val=&quot;003679F5&quot;/&gt;&lt;wsp:rsid wsp:val=&quot;00367DD9&quot;/&gt;&lt;wsp:rsid wsp:val=&quot;00370942&quot;/&gt;&lt;wsp:rsid wsp:val=&quot;00371718&quot;/&gt;&lt;wsp:rsid wsp:val=&quot;0037203F&quot;/&gt;&lt;wsp:rsid wsp:val=&quot;0037216A&quot;/&gt;&lt;wsp:rsid wsp:val=&quot;00372E2F&quot;/&gt;&lt;wsp:rsid wsp:val=&quot;00372FE7&quot;/&gt;&lt;wsp:rsid wsp:val=&quot;00373043&quot;/&gt;&lt;wsp:rsid wsp:val=&quot;00373046&quot;/&gt;&lt;wsp:rsid wsp:val=&quot;00373190&quot;/&gt;&lt;wsp:rsid wsp:val=&quot;00374169&quot;/&gt;&lt;wsp:rsid wsp:val=&quot;0037422F&quot;/&gt;&lt;wsp:rsid wsp:val=&quot;003747F4&quot;/&gt;&lt;wsp:rsid wsp:val=&quot;00374B32&quot;/&gt;&lt;wsp:rsid wsp:val=&quot;00374C11&quot;/&gt;&lt;wsp:rsid wsp:val=&quot;0037514A&quot;/&gt;&lt;wsp:rsid wsp:val=&quot;003757A9&quot;/&gt;&lt;wsp:rsid wsp:val=&quot;003762BD&quot;/&gt;&lt;wsp:rsid wsp:val=&quot;00376421&quot;/&gt;&lt;wsp:rsid wsp:val=&quot;00376D85&quot;/&gt;&lt;wsp:rsid wsp:val=&quot;00377FFB&quot;/&gt;&lt;wsp:rsid wsp:val=&quot;00380A23&quot;/&gt;&lt;wsp:rsid wsp:val=&quot;0038117D&quot;/&gt;&lt;wsp:rsid wsp:val=&quot;00381BAE&quot;/&gt;&lt;wsp:rsid wsp:val=&quot;00381ECF&quot;/&gt;&lt;wsp:rsid wsp:val=&quot;0038212C&quot;/&gt;&lt;wsp:rsid wsp:val=&quot;0038231F&quot;/&gt;&lt;wsp:rsid wsp:val=&quot;00382EC9&quot;/&gt;&lt;wsp:rsid wsp:val=&quot;0038318D&quot;/&gt;&lt;wsp:rsid wsp:val=&quot;003833B5&quot;/&gt;&lt;wsp:rsid wsp:val=&quot;00383B92&quot;/&gt;&lt;wsp:rsid wsp:val=&quot;00384965&quot;/&gt;&lt;wsp:rsid wsp:val=&quot;00385222&quot;/&gt;&lt;wsp:rsid wsp:val=&quot;00385366&quot;/&gt;&lt;wsp:rsid wsp:val=&quot;003855F9&quot;/&gt;&lt;wsp:rsid wsp:val=&quot;00385965&quot;/&gt;&lt;wsp:rsid wsp:val=&quot;00386253&quot;/&gt;&lt;wsp:rsid wsp:val=&quot;003862C2&quot;/&gt;&lt;wsp:rsid wsp:val=&quot;00386585&quot;/&gt;&lt;wsp:rsid wsp:val=&quot;00387ADD&quot;/&gt;&lt;wsp:rsid wsp:val=&quot;00387F10&quot;/&gt;&lt;wsp:rsid wsp:val=&quot;0039057E&quot;/&gt;&lt;wsp:rsid wsp:val=&quot;00390A9C&quot;/&gt;&lt;wsp:rsid wsp:val=&quot;003911C7&quot;/&gt;&lt;wsp:rsid wsp:val=&quot;00392594&quot;/&gt;&lt;wsp:rsid wsp:val=&quot;00392B88&quot;/&gt;&lt;wsp:rsid wsp:val=&quot;003938AF&quot;/&gt;&lt;wsp:rsid wsp:val=&quot;00393E36&quot;/&gt;&lt;wsp:rsid wsp:val=&quot;003940C9&quot;/&gt;&lt;wsp:rsid wsp:val=&quot;0039492B&quot;/&gt;&lt;wsp:rsid wsp:val=&quot;0039633E&quot;/&gt;&lt;wsp:rsid wsp:val=&quot;003965F2&quot;/&gt;&lt;wsp:rsid wsp:val=&quot;003969C7&quot;/&gt;&lt;wsp:rsid wsp:val=&quot;003972EE&quot;/&gt;&lt;wsp:rsid wsp:val=&quot;003A02A0&quot;/&gt;&lt;wsp:rsid wsp:val=&quot;003A18EC&quot;/&gt;&lt;wsp:rsid wsp:val=&quot;003A1E71&quot;/&gt;&lt;wsp:rsid wsp:val=&quot;003A1F5D&quot;/&gt;&lt;wsp:rsid wsp:val=&quot;003A2BE9&quot;/&gt;&lt;wsp:rsid wsp:val=&quot;003A400C&quot;/&gt;&lt;wsp:rsid wsp:val=&quot;003A44C4&quot;/&gt;&lt;wsp:rsid wsp:val=&quot;003A4FDA&quot;/&gt;&lt;wsp:rsid wsp:val=&quot;003A5029&quot;/&gt;&lt;wsp:rsid wsp:val=&quot;003A56AA&quot;/&gt;&lt;wsp:rsid wsp:val=&quot;003A5F22&quot;/&gt;&lt;wsp:rsid wsp:val=&quot;003A6B49&quot;/&gt;&lt;wsp:rsid wsp:val=&quot;003A6BE1&quot;/&gt;&lt;wsp:rsid wsp:val=&quot;003A7150&quot;/&gt;&lt;wsp:rsid wsp:val=&quot;003A75D3&quot;/&gt;&lt;wsp:rsid wsp:val=&quot;003A76CF&quot;/&gt;&lt;wsp:rsid wsp:val=&quot;003B119F&quot;/&gt;&lt;wsp:rsid wsp:val=&quot;003B1ACC&quot;/&gt;&lt;wsp:rsid wsp:val=&quot;003B2CA6&quot;/&gt;&lt;wsp:rsid wsp:val=&quot;003B3BA7&quot;/&gt;&lt;wsp:rsid wsp:val=&quot;003B402D&quot;/&gt;&lt;wsp:rsid wsp:val=&quot;003B40A5&quot;/&gt;&lt;wsp:rsid wsp:val=&quot;003B43F4&quot;/&gt;&lt;wsp:rsid wsp:val=&quot;003B4442&quot;/&gt;&lt;wsp:rsid wsp:val=&quot;003B4CEA&quot;/&gt;&lt;wsp:rsid wsp:val=&quot;003B5789&quot;/&gt;&lt;wsp:rsid wsp:val=&quot;003B6B66&quot;/&gt;&lt;wsp:rsid wsp:val=&quot;003B6FF6&quot;/&gt;&lt;wsp:rsid wsp:val=&quot;003C249F&quot;/&gt;&lt;wsp:rsid wsp:val=&quot;003C262A&quot;/&gt;&lt;wsp:rsid wsp:val=&quot;003C336C&quot;/&gt;&lt;wsp:rsid wsp:val=&quot;003C39AC&quot;/&gt;&lt;wsp:rsid wsp:val=&quot;003C43C4&quot;/&gt;&lt;wsp:rsid wsp:val=&quot;003C44A6&quot;/&gt;&lt;wsp:rsid wsp:val=&quot;003C486F&quot;/&gt;&lt;wsp:rsid wsp:val=&quot;003C4915&quot;/&gt;&lt;wsp:rsid wsp:val=&quot;003C4E2F&quot;/&gt;&lt;wsp:rsid wsp:val=&quot;003C6F4D&quot;/&gt;&lt;wsp:rsid wsp:val=&quot;003C705A&quot;/&gt;&lt;wsp:rsid wsp:val=&quot;003C71B7&quot;/&gt;&lt;wsp:rsid wsp:val=&quot;003C76FE&quot;/&gt;&lt;wsp:rsid wsp:val=&quot;003D064E&quot;/&gt;&lt;wsp:rsid wsp:val=&quot;003D09A3&quot;/&gt;&lt;wsp:rsid wsp:val=&quot;003D0B38&quot;/&gt;&lt;wsp:rsid wsp:val=&quot;003D0CE1&quot;/&gt;&lt;wsp:rsid wsp:val=&quot;003D16EA&quot;/&gt;&lt;wsp:rsid wsp:val=&quot;003D18F9&quot;/&gt;&lt;wsp:rsid wsp:val=&quot;003D25DE&quot;/&gt;&lt;wsp:rsid wsp:val=&quot;003D2600&quot;/&gt;&lt;wsp:rsid wsp:val=&quot;003D31E0&quot;/&gt;&lt;wsp:rsid wsp:val=&quot;003D368D&quot;/&gt;&lt;wsp:rsid wsp:val=&quot;003D407B&quot;/&gt;&lt;wsp:rsid wsp:val=&quot;003D4619&quot;/&gt;&lt;wsp:rsid wsp:val=&quot;003D52F4&quot;/&gt;&lt;wsp:rsid wsp:val=&quot;003D5384&quot;/&gt;&lt;wsp:rsid wsp:val=&quot;003D5622&quot;/&gt;&lt;wsp:rsid wsp:val=&quot;003D5864&quot;/&gt;&lt;wsp:rsid wsp:val=&quot;003D5B0E&quot;/&gt;&lt;wsp:rsid wsp:val=&quot;003D5B8B&quot;/&gt;&lt;wsp:rsid wsp:val=&quot;003D61C2&quot;/&gt;&lt;wsp:rsid wsp:val=&quot;003D6312&quot;/&gt;&lt;wsp:rsid wsp:val=&quot;003D6D69&quot;/&gt;&lt;wsp:rsid wsp:val=&quot;003D6E0D&quot;/&gt;&lt;wsp:rsid wsp:val=&quot;003D7590&quot;/&gt;&lt;wsp:rsid wsp:val=&quot;003E0B80&quot;/&gt;&lt;wsp:rsid wsp:val=&quot;003E1476&quot;/&gt;&lt;wsp:rsid wsp:val=&quot;003E2717&quot;/&gt;&lt;wsp:rsid wsp:val=&quot;003E2959&quot;/&gt;&lt;wsp:rsid wsp:val=&quot;003E2F49&quot;/&gt;&lt;wsp:rsid wsp:val=&quot;003E36D6&quot;/&gt;&lt;wsp:rsid wsp:val=&quot;003E3756&quot;/&gt;&lt;wsp:rsid wsp:val=&quot;003E3861&quot;/&gt;&lt;wsp:rsid wsp:val=&quot;003E3C0B&quot;/&gt;&lt;wsp:rsid wsp:val=&quot;003E4316&quot;/&gt;&lt;wsp:rsid wsp:val=&quot;003E56CA&quot;/&gt;&lt;wsp:rsid wsp:val=&quot;003E5888&quot;/&gt;&lt;wsp:rsid wsp:val=&quot;003E5C3F&quot;/&gt;&lt;wsp:rsid wsp:val=&quot;003E5C65&quot;/&gt;&lt;wsp:rsid wsp:val=&quot;003E5D61&quot;/&gt;&lt;wsp:rsid wsp:val=&quot;003E7F9D&quot;/&gt;&lt;wsp:rsid wsp:val=&quot;003F194A&quot;/&gt;&lt;wsp:rsid wsp:val=&quot;003F19C5&quot;/&gt;&lt;wsp:rsid wsp:val=&quot;003F1FA3&quot;/&gt;&lt;wsp:rsid wsp:val=&quot;003F2A74&quot;/&gt;&lt;wsp:rsid wsp:val=&quot;003F2BCA&quot;/&gt;&lt;wsp:rsid wsp:val=&quot;003F2E98&quot;/&gt;&lt;wsp:rsid wsp:val=&quot;003F3A11&quot;/&gt;&lt;wsp:rsid wsp:val=&quot;003F5962&quot;/&gt;&lt;wsp:rsid wsp:val=&quot;003F5AD9&quot;/&gt;&lt;wsp:rsid wsp:val=&quot;00400206&quot;/&gt;&lt;wsp:rsid wsp:val=&quot;004006A6&quot;/&gt;&lt;wsp:rsid wsp:val=&quot;00400710&quot;/&gt;&lt;wsp:rsid wsp:val=&quot;00400A54&quot;/&gt;&lt;wsp:rsid wsp:val=&quot;00401852&quot;/&gt;&lt;wsp:rsid wsp:val=&quot;004023FA&quot;/&gt;&lt;wsp:rsid wsp:val=&quot;004025FD&quot;/&gt;&lt;wsp:rsid wsp:val=&quot;00402649&quot;/&gt;&lt;wsp:rsid wsp:val=&quot;00402AF8&quot;/&gt;&lt;wsp:rsid wsp:val=&quot;00402B1B&quot;/&gt;&lt;wsp:rsid wsp:val=&quot;00402DC3&quot;/&gt;&lt;wsp:rsid wsp:val=&quot;00403CAE&quot;/&gt;&lt;wsp:rsid wsp:val=&quot;00404575&quot;/&gt;&lt;wsp:rsid wsp:val=&quot;004045E9&quot;/&gt;&lt;wsp:rsid wsp:val=&quot;00405C3B&quot;/&gt;&lt;wsp:rsid wsp:val=&quot;00406126&quot;/&gt;&lt;wsp:rsid wsp:val=&quot;00406803&quot;/&gt;&lt;wsp:rsid wsp:val=&quot;00406D52&quot;/&gt;&lt;wsp:rsid wsp:val=&quot;0040757F&quot;/&gt;&lt;wsp:rsid wsp:val=&quot;004077A1&quot;/&gt;&lt;wsp:rsid wsp:val=&quot;004078B6&quot;/&gt;&lt;wsp:rsid wsp:val=&quot;00407F0D&quot;/&gt;&lt;wsp:rsid wsp:val=&quot;00410507&quot;/&gt;&lt;wsp:rsid wsp:val=&quot;004109AD&quot;/&gt;&lt;wsp:rsid wsp:val=&quot;004114F6&quot;/&gt;&lt;wsp:rsid wsp:val=&quot;00411C20&quot;/&gt;&lt;wsp:rsid wsp:val=&quot;0041214F&quot;/&gt;&lt;wsp:rsid wsp:val=&quot;004125A8&quot;/&gt;&lt;wsp:rsid wsp:val=&quot;0041278F&quot;/&gt;&lt;wsp:rsid wsp:val=&quot;00413416&quot;/&gt;&lt;wsp:rsid wsp:val=&quot;00413AD7&quot;/&gt;&lt;wsp:rsid wsp:val=&quot;00413D76&quot;/&gt;&lt;wsp:rsid wsp:val=&quot;00414A73&quot;/&gt;&lt;wsp:rsid wsp:val=&quot;00414B7E&quot;/&gt;&lt;wsp:rsid wsp:val=&quot;004163E1&quot;/&gt;&lt;wsp:rsid wsp:val=&quot;004164B7&quot;/&gt;&lt;wsp:rsid wsp:val=&quot;00416A6A&quot;/&gt;&lt;wsp:rsid wsp:val=&quot;00417627&quot;/&gt;&lt;wsp:rsid wsp:val=&quot;0041771D&quot;/&gt;&lt;wsp:rsid wsp:val=&quot;00417ECE&quot;/&gt;&lt;wsp:rsid wsp:val=&quot;00417FD0&quot;/&gt;&lt;wsp:rsid wsp:val=&quot;004200EC&quot;/&gt;&lt;wsp:rsid wsp:val=&quot;0042031C&quot;/&gt;&lt;wsp:rsid wsp:val=&quot;00420E8E&quot;/&gt;&lt;wsp:rsid wsp:val=&quot;00422216&quot;/&gt;&lt;wsp:rsid wsp:val=&quot;0042244E&quot;/&gt;&lt;wsp:rsid wsp:val=&quot;00422FFA&quot;/&gt;&lt;wsp:rsid wsp:val=&quot;0042314C&quot;/&gt;&lt;wsp:rsid wsp:val=&quot;00423612&quot;/&gt;&lt;wsp:rsid wsp:val=&quot;00423AA5&quot;/&gt;&lt;wsp:rsid wsp:val=&quot;00423AB5&quot;/&gt;&lt;wsp:rsid wsp:val=&quot;004245E3&quot;/&gt;&lt;wsp:rsid wsp:val=&quot;004246DB&quot;/&gt;&lt;wsp:rsid wsp:val=&quot;004256EC&quot;/&gt;&lt;wsp:rsid wsp:val=&quot;00425C57&quot;/&gt;&lt;wsp:rsid wsp:val=&quot;00426CF8&quot;/&gt;&lt;wsp:rsid wsp:val=&quot;00426F49&quot;/&gt;&lt;wsp:rsid wsp:val=&quot;0042702E&quot;/&gt;&lt;wsp:rsid wsp:val=&quot;00427201&quot;/&gt;&lt;wsp:rsid wsp:val=&quot;004277C0&quot;/&gt;&lt;wsp:rsid wsp:val=&quot;004278DC&quot;/&gt;&lt;wsp:rsid wsp:val=&quot;00427C5B&quot;/&gt;&lt;wsp:rsid wsp:val=&quot;00427D22&quot;/&gt;&lt;wsp:rsid wsp:val=&quot;00427DC8&quot;/&gt;&lt;wsp:rsid wsp:val=&quot;004304D7&quot;/&gt;&lt;wsp:rsid wsp:val=&quot;00431598&quot;/&gt;&lt;wsp:rsid wsp:val=&quot;00431E10&quot;/&gt;&lt;wsp:rsid wsp:val=&quot;00431F66&quot;/&gt;&lt;wsp:rsid wsp:val=&quot;004320FD&quot;/&gt;&lt;wsp:rsid wsp:val=&quot;004321BF&quot;/&gt;&lt;wsp:rsid wsp:val=&quot;0043235F&quot;/&gt;&lt;wsp:rsid wsp:val=&quot;00433199&quot;/&gt;&lt;wsp:rsid wsp:val=&quot;00433A46&quot;/&gt;&lt;wsp:rsid wsp:val=&quot;00434598&quot;/&gt;&lt;wsp:rsid wsp:val=&quot;0043484F&quot;/&gt;&lt;wsp:rsid wsp:val=&quot;0043516D&quot;/&gt;&lt;wsp:rsid wsp:val=&quot;004353DE&quot;/&gt;&lt;wsp:rsid wsp:val=&quot;00435857&quot;/&gt;&lt;wsp:rsid wsp:val=&quot;00436025&quot;/&gt;&lt;wsp:rsid wsp:val=&quot;004362C1&quot;/&gt;&lt;wsp:rsid wsp:val=&quot;00436467&quot;/&gt;&lt;wsp:rsid wsp:val=&quot;004365B9&quot;/&gt;&lt;wsp:rsid wsp:val=&quot;0043687F&quot;/&gt;&lt;wsp:rsid wsp:val=&quot;00436BE2&quot;/&gt;&lt;wsp:rsid wsp:val=&quot;00436E31&quot;/&gt;&lt;wsp:rsid wsp:val=&quot;00437FB8&quot;/&gt;&lt;wsp:rsid wsp:val=&quot;0044004C&quot;/&gt;&lt;wsp:rsid wsp:val=&quot;004400D4&quot;/&gt;&lt;wsp:rsid wsp:val=&quot;004401F7&quot;/&gt;&lt;wsp:rsid wsp:val=&quot;0044121B&quot;/&gt;&lt;wsp:rsid wsp:val=&quot;00441332&quot;/&gt;&lt;wsp:rsid wsp:val=&quot;004413A3&quot;/&gt;&lt;wsp:rsid wsp:val=&quot;00441659&quot;/&gt;&lt;wsp:rsid wsp:val=&quot;00441C38&quot;/&gt;&lt;wsp:rsid wsp:val=&quot;00441C4F&quot;/&gt;&lt;wsp:rsid wsp:val=&quot;00442CAF&quot;/&gt;&lt;wsp:rsid wsp:val=&quot;004435AD&quot;/&gt;&lt;wsp:rsid wsp:val=&quot;0044396F&quot;/&gt;&lt;wsp:rsid wsp:val=&quot;00443E86&quot;/&gt;&lt;wsp:rsid wsp:val=&quot;004445E6&quot;/&gt;&lt;wsp:rsid wsp:val=&quot;004449B4&quot;/&gt;&lt;wsp:rsid wsp:val=&quot;004452A9&quot;/&gt;&lt;wsp:rsid wsp:val=&quot;00446AD9&quot;/&gt;&lt;wsp:rsid wsp:val=&quot;004473F4&quot;/&gt;&lt;wsp:rsid wsp:val=&quot;004478D4&quot;/&gt;&lt;wsp:rsid wsp:val=&quot;00447A1F&quot;/&gt;&lt;wsp:rsid wsp:val=&quot;00447A63&quot;/&gt;&lt;wsp:rsid wsp:val=&quot;00447E7C&quot;/&gt;&lt;wsp:rsid wsp:val=&quot;0045033E&quot;/&gt;&lt;wsp:rsid wsp:val=&quot;004503B7&quot;/&gt;&lt;wsp:rsid wsp:val=&quot;004507FB&quot;/&gt;&lt;wsp:rsid wsp:val=&quot;00450D2D&quot;/&gt;&lt;wsp:rsid wsp:val=&quot;004516D6&quot;/&gt;&lt;wsp:rsid wsp:val=&quot;00452282&quot;/&gt;&lt;wsp:rsid wsp:val=&quot;004527AD&quot;/&gt;&lt;wsp:rsid wsp:val=&quot;00453A26&quot;/&gt;&lt;wsp:rsid wsp:val=&quot;00453C43&quot;/&gt;&lt;wsp:rsid wsp:val=&quot;00453C71&quot;/&gt;&lt;wsp:rsid wsp:val=&quot;0045548F&quot;/&gt;&lt;wsp:rsid wsp:val=&quot;00455B4B&quot;/&gt;&lt;wsp:rsid wsp:val=&quot;00455BF1&quot;/&gt;&lt;wsp:rsid wsp:val=&quot;0045651C&quot;/&gt;&lt;wsp:rsid wsp:val=&quot;004572D1&quot;/&gt;&lt;wsp:rsid wsp:val=&quot;00457765&quot;/&gt;&lt;wsp:rsid wsp:val=&quot;00457A05&quot;/&gt;&lt;wsp:rsid wsp:val=&quot;00460203&quot;/&gt;&lt;wsp:rsid wsp:val=&quot;0046046B&quot;/&gt;&lt;wsp:rsid wsp:val=&quot;004610EB&quot;/&gt;&lt;wsp:rsid wsp:val=&quot;004621C0&quot;/&gt;&lt;wsp:rsid wsp:val=&quot;00463AA0&quot;/&gt;&lt;wsp:rsid wsp:val=&quot;004640A8&quot;/&gt;&lt;wsp:rsid wsp:val=&quot;004643BF&quot;/&gt;&lt;wsp:rsid wsp:val=&quot;00464886&quot;/&gt;&lt;wsp:rsid wsp:val=&quot;00464E37&quot;/&gt;&lt;wsp:rsid wsp:val=&quot;004654DA&quot;/&gt;&lt;wsp:rsid wsp:val=&quot;00465E2A&quot;/&gt;&lt;wsp:rsid wsp:val=&quot;00465EAC&quot;/&gt;&lt;wsp:rsid wsp:val=&quot;0046688C&quot;/&gt;&lt;wsp:rsid wsp:val=&quot;00467F9B&quot;/&gt;&lt;wsp:rsid wsp:val=&quot;00470001&quot;/&gt;&lt;wsp:rsid wsp:val=&quot;0047000A&quot;/&gt;&lt;wsp:rsid wsp:val=&quot;00470D82&quot;/&gt;&lt;wsp:rsid wsp:val=&quot;00471D15&quot;/&gt;&lt;wsp:rsid wsp:val=&quot;004730AE&quot;/&gt;&lt;wsp:rsid wsp:val=&quot;00473869&quot;/&gt;&lt;wsp:rsid wsp:val=&quot;00474823&quot;/&gt;&lt;wsp:rsid wsp:val=&quot;004753F8&quot;/&gt;&lt;wsp:rsid wsp:val=&quot;004757BA&quot;/&gt;&lt;wsp:rsid wsp:val=&quot;00476977&quot;/&gt;&lt;wsp:rsid wsp:val=&quot;00476C1F&quot;/&gt;&lt;wsp:rsid wsp:val=&quot;00476D4A&quot;/&gt;&lt;wsp:rsid wsp:val=&quot;00480255&quot;/&gt;&lt;wsp:rsid wsp:val=&quot;00481074&quot;/&gt;&lt;wsp:rsid wsp:val=&quot;00481A3A&quot;/&gt;&lt;wsp:rsid wsp:val=&quot;00481ED9&quot;/&gt;&lt;wsp:rsid wsp:val=&quot;004826A5&quot;/&gt;&lt;wsp:rsid wsp:val=&quot;00482DE6&quot;/&gt;&lt;wsp:rsid wsp:val=&quot;0048352E&quot;/&gt;&lt;wsp:rsid wsp:val=&quot;004838CF&quot;/&gt;&lt;wsp:rsid wsp:val=&quot;0048511C&quot;/&gt;&lt;wsp:rsid wsp:val=&quot;00485275&quot;/&gt;&lt;wsp:rsid wsp:val=&quot;00485381&quot;/&gt;&lt;wsp:rsid wsp:val=&quot;0048555D&quot;/&gt;&lt;wsp:rsid wsp:val=&quot;00485744&quot;/&gt;&lt;wsp:rsid wsp:val=&quot;00486A23&quot;/&gt;&lt;wsp:rsid wsp:val=&quot;00487118&quot;/&gt;&lt;wsp:rsid wsp:val=&quot;0048749B&quot;/&gt;&lt;wsp:rsid wsp:val=&quot;004879CC&quot;/&gt;&lt;wsp:rsid wsp:val=&quot;00487CE4&quot;/&gt;&lt;wsp:rsid wsp:val=&quot;00487ED8&quot;/&gt;&lt;wsp:rsid wsp:val=&quot;00490D9A&quot;/&gt;&lt;wsp:rsid wsp:val=&quot;00491389&quot;/&gt;&lt;wsp:rsid wsp:val=&quot;00492032&quot;/&gt;&lt;wsp:rsid wsp:val=&quot;004928EC&quot;/&gt;&lt;wsp:rsid wsp:val=&quot;00492C4B&quot;/&gt;&lt;wsp:rsid wsp:val=&quot;004934EC&quot;/&gt;&lt;wsp:rsid wsp:val=&quot;00493F49&quot;/&gt;&lt;wsp:rsid wsp:val=&quot;00494993&quot;/&gt;&lt;wsp:rsid wsp:val=&quot;00494A88&quot;/&gt;&lt;wsp:rsid wsp:val=&quot;00494BA2&quot;/&gt;&lt;wsp:rsid wsp:val=&quot;004952E4&quot;/&gt;&lt;wsp:rsid wsp:val=&quot;004953DA&quot;/&gt;&lt;wsp:rsid wsp:val=&quot;00495921&quot;/&gt;&lt;wsp:rsid wsp:val=&quot;0049620F&quot;/&gt;&lt;wsp:rsid wsp:val=&quot;004962B5&quot;/&gt;&lt;wsp:rsid wsp:val=&quot;00497F5E&quot;/&gt;&lt;wsp:rsid wsp:val=&quot;004A02B6&quot;/&gt;&lt;wsp:rsid wsp:val=&quot;004A0809&quot;/&gt;&lt;wsp:rsid wsp:val=&quot;004A0CB0&quot;/&gt;&lt;wsp:rsid wsp:val=&quot;004A0FD0&quot;/&gt;&lt;wsp:rsid wsp:val=&quot;004A1A8D&quot;/&gt;&lt;wsp:rsid wsp:val=&quot;004A1DDF&quot;/&gt;&lt;wsp:rsid wsp:val=&quot;004A1E3D&quot;/&gt;&lt;wsp:rsid wsp:val=&quot;004A21CE&quot;/&gt;&lt;wsp:rsid wsp:val=&quot;004A2C56&quot;/&gt;&lt;wsp:rsid wsp:val=&quot;004A30C0&quot;/&gt;&lt;wsp:rsid wsp:val=&quot;004A3805&quot;/&gt;&lt;wsp:rsid wsp:val=&quot;004A4423&quot;/&gt;&lt;wsp:rsid wsp:val=&quot;004A4751&quot;/&gt;&lt;wsp:rsid wsp:val=&quot;004A4FFE&quot;/&gt;&lt;wsp:rsid wsp:val=&quot;004A6382&quot;/&gt;&lt;wsp:rsid wsp:val=&quot;004A7E9A&quot;/&gt;&lt;wsp:rsid wsp:val=&quot;004B0014&quot;/&gt;&lt;wsp:rsid wsp:val=&quot;004B132C&quot;/&gt;&lt;wsp:rsid wsp:val=&quot;004B14AC&quot;/&gt;&lt;wsp:rsid wsp:val=&quot;004B2240&quot;/&gt;&lt;wsp:rsid wsp:val=&quot;004B2291&quot;/&gt;&lt;wsp:rsid wsp:val=&quot;004B34B0&quot;/&gt;&lt;wsp:rsid wsp:val=&quot;004B3B5A&quot;/&gt;&lt;wsp:rsid wsp:val=&quot;004B3D21&quot;/&gt;&lt;wsp:rsid wsp:val=&quot;004B41F4&quot;/&gt;&lt;wsp:rsid wsp:val=&quot;004B4FC7&quot;/&gt;&lt;wsp:rsid wsp:val=&quot;004B53C9&quot;/&gt;&lt;wsp:rsid wsp:val=&quot;004B54A6&quot;/&gt;&lt;wsp:rsid wsp:val=&quot;004B598E&quot;/&gt;&lt;wsp:rsid wsp:val=&quot;004B65ED&quot;/&gt;&lt;wsp:rsid wsp:val=&quot;004B6A51&quot;/&gt;&lt;wsp:rsid wsp:val=&quot;004C0B08&quot;/&gt;&lt;wsp:rsid wsp:val=&quot;004C1385&quot;/&gt;&lt;wsp:rsid wsp:val=&quot;004C1686&quot;/&gt;&lt;wsp:rsid wsp:val=&quot;004C1AF7&quot;/&gt;&lt;wsp:rsid wsp:val=&quot;004C2252&quot;/&gt;&lt;wsp:rsid wsp:val=&quot;004C3CED&quot;/&gt;&lt;wsp:rsid wsp:val=&quot;004C4061&quot;/&gt;&lt;wsp:rsid wsp:val=&quot;004C52D4&quot;/&gt;&lt;wsp:rsid wsp:val=&quot;004C55B6&quot;/&gt;&lt;wsp:rsid wsp:val=&quot;004C59FB&quot;/&gt;&lt;wsp:rsid wsp:val=&quot;004C5B09&quot;/&gt;&lt;wsp:rsid wsp:val=&quot;004C5C1F&quot;/&gt;&lt;wsp:rsid wsp:val=&quot;004C6644&quot;/&gt;&lt;wsp:rsid wsp:val=&quot;004C690E&quot;/&gt;&lt;wsp:rsid wsp:val=&quot;004C6CC6&quot;/&gt;&lt;wsp:rsid wsp:val=&quot;004C747D&quot;/&gt;&lt;wsp:rsid wsp:val=&quot;004C7792&quot;/&gt;&lt;wsp:rsid wsp:val=&quot;004C7CAB&quot;/&gt;&lt;wsp:rsid wsp:val=&quot;004D03D3&quot;/&gt;&lt;wsp:rsid wsp:val=&quot;004D0509&quot;/&gt;&lt;wsp:rsid wsp:val=&quot;004D1305&quot;/&gt;&lt;wsp:rsid wsp:val=&quot;004D1E68&quot;/&gt;&lt;wsp:rsid wsp:val=&quot;004D2966&quot;/&gt;&lt;wsp:rsid wsp:val=&quot;004D2B2B&quot;/&gt;&lt;wsp:rsid wsp:val=&quot;004D3489&quot;/&gt;&lt;wsp:rsid wsp:val=&quot;004D39F9&quot;/&gt;&lt;wsp:rsid wsp:val=&quot;004D455C&quot;/&gt;&lt;wsp:rsid wsp:val=&quot;004D479D&quot;/&gt;&lt;wsp:rsid wsp:val=&quot;004D4FE4&quot;/&gt;&lt;wsp:rsid wsp:val=&quot;004D52C1&quot;/&gt;&lt;wsp:rsid wsp:val=&quot;004D577A&quot;/&gt;&lt;wsp:rsid wsp:val=&quot;004D6282&quot;/&gt;&lt;wsp:rsid wsp:val=&quot;004D7101&quot;/&gt;&lt;wsp:rsid wsp:val=&quot;004D7304&quot;/&gt;&lt;wsp:rsid wsp:val=&quot;004D7473&quot;/&gt;&lt;wsp:rsid wsp:val=&quot;004E0A51&quot;/&gt;&lt;wsp:rsid wsp:val=&quot;004E0F2F&quot;/&gt;&lt;wsp:rsid wsp:val=&quot;004E126A&quot;/&gt;&lt;wsp:rsid wsp:val=&quot;004E1E95&quot;/&gt;&lt;wsp:rsid wsp:val=&quot;004E21B1&quot;/&gt;&lt;wsp:rsid wsp:val=&quot;004E28CF&quot;/&gt;&lt;wsp:rsid wsp:val=&quot;004E3644&quot;/&gt;&lt;wsp:rsid wsp:val=&quot;004E3679&quot;/&gt;&lt;wsp:rsid wsp:val=&quot;004E3920&quot;/&gt;&lt;wsp:rsid wsp:val=&quot;004E3E8A&quot;/&gt;&lt;wsp:rsid wsp:val=&quot;004E45D7&quot;/&gt;&lt;wsp:rsid wsp:val=&quot;004E589F&quot;/&gt;&lt;wsp:rsid wsp:val=&quot;004E5B3C&quot;/&gt;&lt;wsp:rsid wsp:val=&quot;004E6360&quot;/&gt;&lt;wsp:rsid wsp:val=&quot;004E6BA9&quot;/&gt;&lt;wsp:rsid wsp:val=&quot;004E6BCD&quot;/&gt;&lt;wsp:rsid wsp:val=&quot;004E720E&quot;/&gt;&lt;wsp:rsid wsp:val=&quot;004E72FC&quot;/&gt;&lt;wsp:rsid wsp:val=&quot;004E7337&quot;/&gt;&lt;wsp:rsid wsp:val=&quot;004E793E&quot;/&gt;&lt;wsp:rsid wsp:val=&quot;004F0556&quot;/&gt;&lt;wsp:rsid wsp:val=&quot;004F0D2B&quot;/&gt;&lt;wsp:rsid wsp:val=&quot;004F27F1&quot;/&gt;&lt;wsp:rsid wsp:val=&quot;004F2BCA&quot;/&gt;&lt;wsp:rsid wsp:val=&quot;004F2D93&quot;/&gt;&lt;wsp:rsid wsp:val=&quot;004F37CE&quot;/&gt;&lt;wsp:rsid wsp:val=&quot;004F3981&quot;/&gt;&lt;wsp:rsid wsp:val=&quot;004F3F8D&quot;/&gt;&lt;wsp:rsid wsp:val=&quot;004F3FCB&quot;/&gt;&lt;wsp:rsid wsp:val=&quot;004F45F2&quot;/&gt;&lt;wsp:rsid wsp:val=&quot;004F4849&quot;/&gt;&lt;wsp:rsid wsp:val=&quot;004F4DB3&quot;/&gt;&lt;wsp:rsid wsp:val=&quot;004F530E&quot;/&gt;&lt;wsp:rsid wsp:val=&quot;004F571A&quot;/&gt;&lt;wsp:rsid wsp:val=&quot;004F5829&quot;/&gt;&lt;wsp:rsid wsp:val=&quot;004F6710&quot;/&gt;&lt;wsp:rsid wsp:val=&quot;004F6D93&quot;/&gt;&lt;wsp:rsid wsp:val=&quot;004F700D&quot;/&gt;&lt;wsp:rsid wsp:val=&quot;004F71FE&quot;/&gt;&lt;wsp:rsid wsp:val=&quot;00500213&quot;/&gt;&lt;wsp:rsid wsp:val=&quot;00500F66&quot;/&gt;&lt;wsp:rsid wsp:val=&quot;005012D5&quot;/&gt;&lt;wsp:rsid wsp:val=&quot;00501736&quot;/&gt;&lt;wsp:rsid wsp:val=&quot;005025E8&quot;/&gt;&lt;wsp:rsid wsp:val=&quot;005027AA&quot;/&gt;&lt;wsp:rsid wsp:val=&quot;00502FBF&quot;/&gt;&lt;wsp:rsid wsp:val=&quot;005037B2&quot;/&gt;&lt;wsp:rsid wsp:val=&quot;005037B6&quot;/&gt;&lt;wsp:rsid wsp:val=&quot;00503901&quot;/&gt;&lt;wsp:rsid wsp:val=&quot;00504A0B&quot;/&gt;&lt;wsp:rsid wsp:val=&quot;005050B6&quot;/&gt;&lt;wsp:rsid wsp:val=&quot;00505303&quot;/&gt;&lt;wsp:rsid wsp:val=&quot;0050542A&quot;/&gt;&lt;wsp:rsid wsp:val=&quot;00505801&quot;/&gt;&lt;wsp:rsid wsp:val=&quot;00505E90&quot;/&gt;&lt;wsp:rsid wsp:val=&quot;00505EC9&quot;/&gt;&lt;wsp:rsid wsp:val=&quot;00506030&quot;/&gt;&lt;wsp:rsid wsp:val=&quot;0050609E&quot;/&gt;&lt;wsp:rsid wsp:val=&quot;0050678F&quot;/&gt;&lt;wsp:rsid wsp:val=&quot;00506F08&quot;/&gt;&lt;wsp:rsid wsp:val=&quot;00507990&quot;/&gt;&lt;wsp:rsid wsp:val=&quot;00507CC7&quot;/&gt;&lt;wsp:rsid wsp:val=&quot;00510395&quot;/&gt;&lt;wsp:rsid wsp:val=&quot;00510912&quot;/&gt;&lt;wsp:rsid wsp:val=&quot;00510C21&quot;/&gt;&lt;wsp:rsid wsp:val=&quot;00510EC7&quot;/&gt;&lt;wsp:rsid wsp:val=&quot;005110BF&quot;/&gt;&lt;wsp:rsid wsp:val=&quot;005119A8&quot;/&gt;&lt;wsp:rsid wsp:val=&quot;005119CF&quot;/&gt;&lt;wsp:rsid wsp:val=&quot;00511A7F&quot;/&gt;&lt;wsp:rsid wsp:val=&quot;00512956&quot;/&gt;&lt;wsp:rsid wsp:val=&quot;00512A86&quot;/&gt;&lt;wsp:rsid wsp:val=&quot;00512D26&quot;/&gt;&lt;wsp:rsid wsp:val=&quot;0051318A&quot;/&gt;&lt;wsp:rsid wsp:val=&quot;00513CDB&quot;/&gt;&lt;wsp:rsid wsp:val=&quot;00513D30&quot;/&gt;&lt;wsp:rsid wsp:val=&quot;00513DE7&quot;/&gt;&lt;wsp:rsid wsp:val=&quot;0051408F&quot;/&gt;&lt;wsp:rsid wsp:val=&quot;00514354&quot;/&gt;&lt;wsp:rsid wsp:val=&quot;0051437C&quot;/&gt;&lt;wsp:rsid wsp:val=&quot;005148B6&quot;/&gt;&lt;wsp:rsid wsp:val=&quot;00514C01&quot;/&gt;&lt;wsp:rsid wsp:val=&quot;00515548&quot;/&gt;&lt;wsp:rsid wsp:val=&quot;00515E44&quot;/&gt;&lt;wsp:rsid wsp:val=&quot;005175D4&quot;/&gt;&lt;wsp:rsid wsp:val=&quot;005208C0&quot;/&gt;&lt;wsp:rsid wsp:val=&quot;00520BAE&quot;/&gt;&lt;wsp:rsid wsp:val=&quot;00520DC1&quot;/&gt;&lt;wsp:rsid wsp:val=&quot;00520EF8&quot;/&gt;&lt;wsp:rsid wsp:val=&quot;00521662&quot;/&gt;&lt;wsp:rsid wsp:val=&quot;00523728&quot;/&gt;&lt;wsp:rsid wsp:val=&quot;00523BA8&quot;/&gt;&lt;wsp:rsid wsp:val=&quot;005247A6&quot;/&gt;&lt;wsp:rsid wsp:val=&quot;00524E3F&quot;/&gt;&lt;wsp:rsid wsp:val=&quot;00525421&quot;/&gt;&lt;wsp:rsid wsp:val=&quot;005257B5&quot;/&gt;&lt;wsp:rsid wsp:val=&quot;005257C6&quot;/&gt;&lt;wsp:rsid wsp:val=&quot;005264A7&quot;/&gt;&lt;wsp:rsid wsp:val=&quot;00526978&quot;/&gt;&lt;wsp:rsid wsp:val=&quot;00526C25&quot;/&gt;&lt;wsp:rsid wsp:val=&quot;0052723C&quot;/&gt;&lt;wsp:rsid wsp:val=&quot;0052742D&quot;/&gt;&lt;wsp:rsid wsp:val=&quot;005279E0&quot;/&gt;&lt;wsp:rsid wsp:val=&quot;00527F46&quot;/&gt;&lt;wsp:rsid wsp:val=&quot;00530344&quot;/&gt;&lt;wsp:rsid wsp:val=&quot;00530A20&quot;/&gt;&lt;wsp:rsid wsp:val=&quot;00531126&quot;/&gt;&lt;wsp:rsid wsp:val=&quot;00531C82&quot;/&gt;&lt;wsp:rsid wsp:val=&quot;00531F82&quot;/&gt;&lt;wsp:rsid wsp:val=&quot;00532408&quot;/&gt;&lt;wsp:rsid wsp:val=&quot;00533520&quot;/&gt;&lt;wsp:rsid wsp:val=&quot;00533876&quot;/&gt;&lt;wsp:rsid wsp:val=&quot;00533F81&quot;/&gt;&lt;wsp:rsid wsp:val=&quot;0053435B&quot;/&gt;&lt;wsp:rsid wsp:val=&quot;005360AC&quot;/&gt;&lt;wsp:rsid wsp:val=&quot;005377DD&quot;/&gt;&lt;wsp:rsid wsp:val=&quot;00540505&quot;/&gt;&lt;wsp:rsid wsp:val=&quot;00540886&quot;/&gt;&lt;wsp:rsid wsp:val=&quot;00540A08&quot;/&gt;&lt;wsp:rsid wsp:val=&quot;00540B65&quot;/&gt;&lt;wsp:rsid wsp:val=&quot;0054127D&quot;/&gt;&lt;wsp:rsid wsp:val=&quot;00541857&quot;/&gt;&lt;wsp:rsid wsp:val=&quot;005419E9&quot;/&gt;&lt;wsp:rsid wsp:val=&quot;0054252B&quot;/&gt;&lt;wsp:rsid wsp:val=&quot;005441A7&quot;/&gt;&lt;wsp:rsid wsp:val=&quot;005441C6&quot;/&gt;&lt;wsp:rsid wsp:val=&quot;0054452E&quot;/&gt;&lt;wsp:rsid wsp:val=&quot;00544CF4&quot;/&gt;&lt;wsp:rsid wsp:val=&quot;005468A3&quot;/&gt;&lt;wsp:rsid wsp:val=&quot;00547640&quot;/&gt;&lt;wsp:rsid wsp:val=&quot;00547881&quot;/&gt;&lt;wsp:rsid wsp:val=&quot;00547A87&quot;/&gt;&lt;wsp:rsid wsp:val=&quot;00547D94&quot;/&gt;&lt;wsp:rsid wsp:val=&quot;00551D27&quot;/&gt;&lt;wsp:rsid wsp:val=&quot;00551DA1&quot;/&gt;&lt;wsp:rsid wsp:val=&quot;005529F4&quot;/&gt;&lt;wsp:rsid wsp:val=&quot;005542C7&quot;/&gt;&lt;wsp:rsid wsp:val=&quot;00554301&quot;/&gt;&lt;wsp:rsid wsp:val=&quot;005549B1&quot;/&gt;&lt;wsp:rsid wsp:val=&quot;0055535C&quot;/&gt;&lt;wsp:rsid wsp:val=&quot;005563B9&quot;/&gt;&lt;wsp:rsid wsp:val=&quot;00556B8B&quot;/&gt;&lt;wsp:rsid wsp:val=&quot;00557BE6&quot;/&gt;&lt;wsp:rsid wsp:val=&quot;005601FD&quot;/&gt;&lt;wsp:rsid wsp:val=&quot;00560335&quot;/&gt;&lt;wsp:rsid wsp:val=&quot;00560685&quot;/&gt;&lt;wsp:rsid wsp:val=&quot;00561226&quot;/&gt;&lt;wsp:rsid wsp:val=&quot;00561BD0&quot;/&gt;&lt;wsp:rsid wsp:val=&quot;005622E8&quot;/&gt;&lt;wsp:rsid wsp:val=&quot;0056246F&quot;/&gt;&lt;wsp:rsid wsp:val=&quot;00562989&quot;/&gt;&lt;wsp:rsid wsp:val=&quot;00563349&quot;/&gt;&lt;wsp:rsid wsp:val=&quot;00563AC1&quot;/&gt;&lt;wsp:rsid wsp:val=&quot;00563B38&quot;/&gt;&lt;wsp:rsid wsp:val=&quot;00564649&quot;/&gt;&lt;wsp:rsid wsp:val=&quot;005651A5&quot;/&gt;&lt;wsp:rsid wsp:val=&quot;00565E04&quot;/&gt;&lt;wsp:rsid wsp:val=&quot;00565FDE&quot;/&gt;&lt;wsp:rsid wsp:val=&quot;005669D8&quot;/&gt;&lt;wsp:rsid wsp:val=&quot;00566C51&quot;/&gt;&lt;wsp:rsid wsp:val=&quot;00567619&quot;/&gt;&lt;wsp:rsid wsp:val=&quot;00570A40&quot;/&gt;&lt;wsp:rsid wsp:val=&quot;00570F51&quot;/&gt;&lt;wsp:rsid wsp:val=&quot;005710DE&quot;/&gt;&lt;wsp:rsid wsp:val=&quot;00571695&quot;/&gt;&lt;wsp:rsid wsp:val=&quot;00571F6A&quot;/&gt;&lt;wsp:rsid wsp:val=&quot;005724E0&quot;/&gt;&lt;wsp:rsid wsp:val=&quot;00573D4A&quot;/&gt;&lt;wsp:rsid wsp:val=&quot;00574BAC&quot;/&gt;&lt;wsp:rsid wsp:val=&quot;00575305&quot;/&gt;&lt;wsp:rsid wsp:val=&quot;00575511&quot;/&gt;&lt;wsp:rsid wsp:val=&quot;005768CB&quot;/&gt;&lt;wsp:rsid wsp:val=&quot;00576D81&quot;/&gt;&lt;wsp:rsid wsp:val=&quot;005773FB&quot;/&gt;&lt;wsp:rsid wsp:val=&quot;00580BF3&quot;/&gt;&lt;wsp:rsid wsp:val=&quot;00581571&quot;/&gt;&lt;wsp:rsid wsp:val=&quot;00581913&quot;/&gt;&lt;wsp:rsid wsp:val=&quot;005829C2&quot;/&gt;&lt;wsp:rsid wsp:val=&quot;00582ABF&quot;/&gt;&lt;wsp:rsid wsp:val=&quot;00582DF8&quot;/&gt;&lt;wsp:rsid wsp:val=&quot;00582EBB&quot;/&gt;&lt;wsp:rsid wsp:val=&quot;00582EFE&quot;/&gt;&lt;wsp:rsid wsp:val=&quot;00583332&quot;/&gt;&lt;wsp:rsid wsp:val=&quot;00584167&quot;/&gt;&lt;wsp:rsid wsp:val=&quot;00584471&quot;/&gt;&lt;wsp:rsid wsp:val=&quot;005844FD&quot;/&gt;&lt;wsp:rsid wsp:val=&quot;00584598&quot;/&gt;&lt;wsp:rsid wsp:val=&quot;00585225&quot;/&gt;&lt;wsp:rsid wsp:val=&quot;005854A3&quot;/&gt;&lt;wsp:rsid wsp:val=&quot;00585BAC&quot;/&gt;&lt;wsp:rsid wsp:val=&quot;00585C7C&quot;/&gt;&lt;wsp:rsid wsp:val=&quot;00585F2D&quot;/&gt;&lt;wsp:rsid wsp:val=&quot;0058689C&quot;/&gt;&lt;wsp:rsid wsp:val=&quot;00586D0D&quot;/&gt;&lt;wsp:rsid wsp:val=&quot;005876E1&quot;/&gt;&lt;wsp:rsid wsp:val=&quot;00587945&quot;/&gt;&lt;wsp:rsid wsp:val=&quot;00590AB1&quot;/&gt;&lt;wsp:rsid wsp:val=&quot;00590D3C&quot;/&gt;&lt;wsp:rsid wsp:val=&quot;00591373&quot;/&gt;&lt;wsp:rsid wsp:val=&quot;0059187F&quot;/&gt;&lt;wsp:rsid wsp:val=&quot;005924A9&quot;/&gt;&lt;wsp:rsid wsp:val=&quot;0059252B&quot;/&gt;&lt;wsp:rsid wsp:val=&quot;00592582&quot;/&gt;&lt;wsp:rsid wsp:val=&quot;00593D06&quot;/&gt;&lt;wsp:rsid wsp:val=&quot;00593D3F&quot;/&gt;&lt;wsp:rsid wsp:val=&quot;00594021&quot;/&gt;&lt;wsp:rsid wsp:val=&quot;00594081&quot;/&gt;&lt;wsp:rsid wsp:val=&quot;005946C4&quot;/&gt;&lt;wsp:rsid wsp:val=&quot;00594D49&quot;/&gt;&lt;wsp:rsid wsp:val=&quot;00595150&quot;/&gt;&lt;wsp:rsid wsp:val=&quot;0059523F&quot;/&gt;&lt;wsp:rsid wsp:val=&quot;005956F3&quot;/&gt;&lt;wsp:rsid wsp:val=&quot;00596FFC&quot;/&gt;&lt;wsp:rsid wsp:val=&quot;005A0413&quot;/&gt;&lt;wsp:rsid wsp:val=&quot;005A0B44&quot;/&gt;&lt;wsp:rsid wsp:val=&quot;005A1783&quot;/&gt;&lt;wsp:rsid wsp:val=&quot;005A1936&quot;/&gt;&lt;wsp:rsid wsp:val=&quot;005A1E12&quot;/&gt;&lt;wsp:rsid wsp:val=&quot;005A26CB&quot;/&gt;&lt;wsp:rsid wsp:val=&quot;005A3FA4&quot;/&gt;&lt;wsp:rsid wsp:val=&quot;005A4A47&quot;/&gt;&lt;wsp:rsid wsp:val=&quot;005A4F42&quot;/&gt;&lt;wsp:rsid wsp:val=&quot;005A544A&quot;/&gt;&lt;wsp:rsid wsp:val=&quot;005A62E2&quot;/&gt;&lt;wsp:rsid wsp:val=&quot;005A6320&quot;/&gt;&lt;wsp:rsid wsp:val=&quot;005A646E&quot;/&gt;&lt;wsp:rsid wsp:val=&quot;005A64E8&quot;/&gt;&lt;wsp:rsid wsp:val=&quot;005A67B8&quot;/&gt;&lt;wsp:rsid wsp:val=&quot;005A6BE7&quot;/&gt;&lt;wsp:rsid wsp:val=&quot;005A78E1&quot;/&gt;&lt;wsp:rsid wsp:val=&quot;005B00C1&quot;/&gt;&lt;wsp:rsid wsp:val=&quot;005B015C&quot;/&gt;&lt;wsp:rsid wsp:val=&quot;005B0D3D&quot;/&gt;&lt;wsp:rsid wsp:val=&quot;005B0FEB&quot;/&gt;&lt;wsp:rsid wsp:val=&quot;005B11CC&quot;/&gt;&lt;wsp:rsid wsp:val=&quot;005B1217&quot;/&gt;&lt;wsp:rsid wsp:val=&quot;005B1497&quot;/&gt;&lt;wsp:rsid wsp:val=&quot;005B191D&quot;/&gt;&lt;wsp:rsid wsp:val=&quot;005B1D86&quot;/&gt;&lt;wsp:rsid wsp:val=&quot;005B3F57&quot;/&gt;&lt;wsp:rsid wsp:val=&quot;005B4370&quot;/&gt;&lt;wsp:rsid wsp:val=&quot;005B43B0&quot;/&gt;&lt;wsp:rsid wsp:val=&quot;005B4ECC&quot;/&gt;&lt;wsp:rsid wsp:val=&quot;005B537E&quot;/&gt;&lt;wsp:rsid wsp:val=&quot;005B59D0&quot;/&gt;&lt;wsp:rsid wsp:val=&quot;005B6E59&quot;/&gt;&lt;wsp:rsid wsp:val=&quot;005C0AE0&quot;/&gt;&lt;wsp:rsid wsp:val=&quot;005C2202&quot;/&gt;&lt;wsp:rsid wsp:val=&quot;005C26B6&quot;/&gt;&lt;wsp:rsid wsp:val=&quot;005C2BA1&quot;/&gt;&lt;wsp:rsid wsp:val=&quot;005C2FC6&quot;/&gt;&lt;wsp:rsid wsp:val=&quot;005C3AF6&quot;/&gt;&lt;wsp:rsid wsp:val=&quot;005C45E7&quot;/&gt;&lt;wsp:rsid wsp:val=&quot;005C4671&quot;/&gt;&lt;wsp:rsid wsp:val=&quot;005C58EB&quot;/&gt;&lt;wsp:rsid wsp:val=&quot;005C5F21&quot;/&gt;&lt;wsp:rsid wsp:val=&quot;005C62D4&quot;/&gt;&lt;wsp:rsid wsp:val=&quot;005C6B6F&quot;/&gt;&lt;wsp:rsid wsp:val=&quot;005C6F01&quot;/&gt;&lt;wsp:rsid wsp:val=&quot;005C7239&quot;/&gt;&lt;wsp:rsid wsp:val=&quot;005C75B2&quot;/&gt;&lt;wsp:rsid wsp:val=&quot;005C784A&quot;/&gt;&lt;wsp:rsid wsp:val=&quot;005D00C1&quot;/&gt;&lt;wsp:rsid wsp:val=&quot;005D19DF&quot;/&gt;&lt;wsp:rsid wsp:val=&quot;005D1F57&quot;/&gt;&lt;wsp:rsid wsp:val=&quot;005D2C03&quot;/&gt;&lt;wsp:rsid wsp:val=&quot;005D3562&quot;/&gt;&lt;wsp:rsid wsp:val=&quot;005D38C7&quot;/&gt;&lt;wsp:rsid wsp:val=&quot;005D3B89&quot;/&gt;&lt;wsp:rsid wsp:val=&quot;005D3C8A&quot;/&gt;&lt;wsp:rsid wsp:val=&quot;005D661F&quot;/&gt;&lt;wsp:rsid wsp:val=&quot;005D6943&quot;/&gt;&lt;wsp:rsid wsp:val=&quot;005E024F&quot;/&gt;&lt;wsp:rsid wsp:val=&quot;005E04A3&quot;/&gt;&lt;wsp:rsid wsp:val=&quot;005E0F8D&quot;/&gt;&lt;wsp:rsid wsp:val=&quot;005E18B1&quot;/&gt;&lt;wsp:rsid wsp:val=&quot;005E1E85&quot;/&gt;&lt;wsp:rsid wsp:val=&quot;005E2560&quot;/&gt;&lt;wsp:rsid wsp:val=&quot;005E2D39&quot;/&gt;&lt;wsp:rsid wsp:val=&quot;005E3012&quot;/&gt;&lt;wsp:rsid wsp:val=&quot;005E3CFE&quot;/&gt;&lt;wsp:rsid wsp:val=&quot;005E45DE&quot;/&gt;&lt;wsp:rsid wsp:val=&quot;005E4966&quot;/&gt;&lt;wsp:rsid wsp:val=&quot;005E516D&quot;/&gt;&lt;wsp:rsid wsp:val=&quot;005E559F&quot;/&gt;&lt;wsp:rsid wsp:val=&quot;005E593B&quot;/&gt;&lt;wsp:rsid wsp:val=&quot;005E6153&quot;/&gt;&lt;wsp:rsid wsp:val=&quot;005E61CF&quot;/&gt;&lt;wsp:rsid wsp:val=&quot;005E6AEC&quot;/&gt;&lt;wsp:rsid wsp:val=&quot;005E6C7A&quot;/&gt;&lt;wsp:rsid wsp:val=&quot;005F0474&quot;/&gt;&lt;wsp:rsid wsp:val=&quot;005F1795&quot;/&gt;&lt;wsp:rsid wsp:val=&quot;005F1C13&quot;/&gt;&lt;wsp:rsid wsp:val=&quot;005F1F5A&quot;/&gt;&lt;wsp:rsid wsp:val=&quot;005F2824&quot;/&gt;&lt;wsp:rsid wsp:val=&quot;005F384F&quot;/&gt;&lt;wsp:rsid wsp:val=&quot;005F49C1&quot;/&gt;&lt;wsp:rsid wsp:val=&quot;005F4B16&quot;/&gt;&lt;wsp:rsid wsp:val=&quot;005F4EF7&quot;/&gt;&lt;wsp:rsid wsp:val=&quot;005F559F&quot;/&gt;&lt;wsp:rsid wsp:val=&quot;005F564D&quot;/&gt;&lt;wsp:rsid wsp:val=&quot;005F5AD5&quot;/&gt;&lt;wsp:rsid wsp:val=&quot;005F61F3&quot;/&gt;&lt;wsp:rsid wsp:val=&quot;005F7C89&quot;/&gt;&lt;wsp:rsid wsp:val=&quot;0060018C&quot;/&gt;&lt;wsp:rsid wsp:val=&quot;006004A9&quot;/&gt;&lt;wsp:rsid wsp:val=&quot;006009C1&quot;/&gt;&lt;wsp:rsid wsp:val=&quot;00600EE8&quot;/&gt;&lt;wsp:rsid wsp:val=&quot;00601655&quot;/&gt;&lt;wsp:rsid wsp:val=&quot;006021B0&quot;/&gt;&lt;wsp:rsid wsp:val=&quot;00602205&quot;/&gt;&lt;wsp:rsid wsp:val=&quot;006052CC&quot;/&gt;&lt;wsp:rsid wsp:val=&quot;006055F5&quot;/&gt;&lt;wsp:rsid wsp:val=&quot;0060605D&quot;/&gt;&lt;wsp:rsid wsp:val=&quot;00606128&quot;/&gt;&lt;wsp:rsid wsp:val=&quot;006065CF&quot;/&gt;&lt;wsp:rsid wsp:val=&quot;00606750&quot;/&gt;&lt;wsp:rsid wsp:val=&quot;0060759B&quot;/&gt;&lt;wsp:rsid wsp:val=&quot;006078D1&quot;/&gt;&lt;wsp:rsid wsp:val=&quot;00607DB3&quot;/&gt;&lt;wsp:rsid wsp:val=&quot;00610288&quot;/&gt;&lt;wsp:rsid wsp:val=&quot;006114B5&quot;/&gt;&lt;wsp:rsid wsp:val=&quot;00611A35&quot;/&gt;&lt;wsp:rsid wsp:val=&quot;00611B99&quot;/&gt;&lt;wsp:rsid wsp:val=&quot;00611C24&quot;/&gt;&lt;wsp:rsid wsp:val=&quot;00611E74&quot;/&gt;&lt;wsp:rsid wsp:val=&quot;00613E49&quot;/&gt;&lt;wsp:rsid wsp:val=&quot;00613EE3&quot;/&gt;&lt;wsp:rsid wsp:val=&quot;006155F5&quot;/&gt;&lt;wsp:rsid wsp:val=&quot;00615607&quot;/&gt;&lt;wsp:rsid wsp:val=&quot;00615A14&quot;/&gt;&lt;wsp:rsid wsp:val=&quot;006160B1&quot;/&gt;&lt;wsp:rsid wsp:val=&quot;006160B3&quot;/&gt;&lt;wsp:rsid wsp:val=&quot;00616E66&quot;/&gt;&lt;wsp:rsid wsp:val=&quot;00617735&quot;/&gt;&lt;wsp:rsid wsp:val=&quot;0061788E&quot;/&gt;&lt;wsp:rsid wsp:val=&quot;00621515&quot;/&gt;&lt;wsp:rsid wsp:val=&quot;006219E6&quot;/&gt;&lt;wsp:rsid wsp:val=&quot;0062217D&quot;/&gt;&lt;wsp:rsid wsp:val=&quot;00622304&quot;/&gt;&lt;wsp:rsid wsp:val=&quot;006225FC&quot;/&gt;&lt;wsp:rsid wsp:val=&quot;00623469&quot;/&gt;&lt;wsp:rsid wsp:val=&quot;006238A2&quot;/&gt;&lt;wsp:rsid wsp:val=&quot;00623BDD&quot;/&gt;&lt;wsp:rsid wsp:val=&quot;00624591&quot;/&gt;&lt;wsp:rsid wsp:val=&quot;00624D36&quot;/&gt;&lt;wsp:rsid wsp:val=&quot;00624EEC&quot;/&gt;&lt;wsp:rsid wsp:val=&quot;00625DE4&quot;/&gt;&lt;wsp:rsid wsp:val=&quot;00626E7A&quot;/&gt;&lt;wsp:rsid wsp:val=&quot;00627333&quot;/&gt;&lt;wsp:rsid wsp:val=&quot;006274FF&quot;/&gt;&lt;wsp:rsid wsp:val=&quot;00627AD0&quot;/&gt;&lt;wsp:rsid wsp:val=&quot;00627D0C&quot;/&gt;&lt;wsp:rsid wsp:val=&quot;00630353&quot;/&gt;&lt;wsp:rsid wsp:val=&quot;0063074C&quot;/&gt;&lt;wsp:rsid wsp:val=&quot;0063080C&quot;/&gt;&lt;wsp:rsid wsp:val=&quot;00630AB7&quot;/&gt;&lt;wsp:rsid wsp:val=&quot;00631B0E&quot;/&gt;&lt;wsp:rsid wsp:val=&quot;0063224B&quot;/&gt;&lt;wsp:rsid wsp:val=&quot;00632881&quot;/&gt;&lt;wsp:rsid wsp:val=&quot;006328B5&quot;/&gt;&lt;wsp:rsid wsp:val=&quot;00633247&quot;/&gt;&lt;wsp:rsid wsp:val=&quot;00633423&quot;/&gt;&lt;wsp:rsid wsp:val=&quot;0063360A&quot;/&gt;&lt;wsp:rsid wsp:val=&quot;006339F5&quot;/&gt;&lt;wsp:rsid wsp:val=&quot;00633F98&quot;/&gt;&lt;wsp:rsid wsp:val=&quot;00634488&quot;/&gt;&lt;wsp:rsid wsp:val=&quot;00634F95&quot;/&gt;&lt;wsp:rsid wsp:val=&quot;0063588B&quot;/&gt;&lt;wsp:rsid wsp:val=&quot;00637BD4&quot;/&gt;&lt;wsp:rsid wsp:val=&quot;00640055&quot;/&gt;&lt;wsp:rsid wsp:val=&quot;006401BB&quot;/&gt;&lt;wsp:rsid wsp:val=&quot;006414FB&quot;/&gt;&lt;wsp:rsid wsp:val=&quot;00641965&quot;/&gt;&lt;wsp:rsid wsp:val=&quot;00641DE7&quot;/&gt;&lt;wsp:rsid wsp:val=&quot;006429C6&quot;/&gt;&lt;wsp:rsid wsp:val=&quot;00642C2A&quot;/&gt;&lt;wsp:rsid wsp:val=&quot;00642E4F&quot;/&gt;&lt;wsp:rsid wsp:val=&quot;00642FF9&quot;/&gt;&lt;wsp:rsid wsp:val=&quot;0064331E&quot;/&gt;&lt;wsp:rsid wsp:val=&quot;00643A0D&quot;/&gt;&lt;wsp:rsid wsp:val=&quot;00643A25&quot;/&gt;&lt;wsp:rsid wsp:val=&quot;00643DEC&quot;/&gt;&lt;wsp:rsid wsp:val=&quot;006445BE&quot;/&gt;&lt;wsp:rsid wsp:val=&quot;0064494B&quot;/&gt;&lt;wsp:rsid wsp:val=&quot;00644F50&quot;/&gt;&lt;wsp:rsid wsp:val=&quot;0064510F&quot;/&gt;&lt;wsp:rsid wsp:val=&quot;00645ADC&quot;/&gt;&lt;wsp:rsid wsp:val=&quot;00645E56&quot;/&gt;&lt;wsp:rsid wsp:val=&quot;0064642C&quot;/&gt;&lt;wsp:rsid wsp:val=&quot;00646840&quot;/&gt;&lt;wsp:rsid wsp:val=&quot;00646874&quot;/&gt;&lt;wsp:rsid wsp:val=&quot;00646CC0&quot;/&gt;&lt;wsp:rsid wsp:val=&quot;00647292&quot;/&gt;&lt;wsp:rsid wsp:val=&quot;006479E3&quot;/&gt;&lt;wsp:rsid wsp:val=&quot;00647D5B&quot;/&gt;&lt;wsp:rsid wsp:val=&quot;006500C3&quot;/&gt;&lt;wsp:rsid wsp:val=&quot;00650247&quot;/&gt;&lt;wsp:rsid wsp:val=&quot;00650688&quot;/&gt;&lt;wsp:rsid wsp:val=&quot;00650EDD&quot;/&gt;&lt;wsp:rsid wsp:val=&quot;00651D3F&quot;/&gt;&lt;wsp:rsid wsp:val=&quot;006523FC&quot;/&gt;&lt;wsp:rsid wsp:val=&quot;00652A55&quot;/&gt;&lt;wsp:rsid wsp:val=&quot;00652FF6&quot;/&gt;&lt;wsp:rsid wsp:val=&quot;00653012&quot;/&gt;&lt;wsp:rsid wsp:val=&quot;00653E10&quot;/&gt;&lt;wsp:rsid wsp:val=&quot;006543B1&quot;/&gt;&lt;wsp:rsid wsp:val=&quot;00654DA3&quot;/&gt;&lt;wsp:rsid wsp:val=&quot;00655260&quot;/&gt;&lt;wsp:rsid wsp:val=&quot;00656205&quot;/&gt;&lt;wsp:rsid wsp:val=&quot;00660341&quot;/&gt;&lt;wsp:rsid wsp:val=&quot;00660B0B&quot;/&gt;&lt;wsp:rsid wsp:val=&quot;00660CB9&quot;/&gt;&lt;wsp:rsid wsp:val=&quot;0066153A&quot;/&gt;&lt;wsp:rsid wsp:val=&quot;00661B67&quot;/&gt;&lt;wsp:rsid wsp:val=&quot;00661DC9&quot;/&gt;&lt;wsp:rsid wsp:val=&quot;006622A3&quot;/&gt;&lt;wsp:rsid wsp:val=&quot;006628CF&quot;/&gt;&lt;wsp:rsid wsp:val=&quot;00662AF8&quot;/&gt;&lt;wsp:rsid wsp:val=&quot;006639B6&quot;/&gt;&lt;wsp:rsid wsp:val=&quot;00663B90&quot;/&gt;&lt;wsp:rsid wsp:val=&quot;00663BE5&quot;/&gt;&lt;wsp:rsid wsp:val=&quot;00663C99&quot;/&gt;&lt;wsp:rsid wsp:val=&quot;006643BE&quot;/&gt;&lt;wsp:rsid wsp:val=&quot;00665201&quot;/&gt;&lt;wsp:rsid wsp:val=&quot;006652B1&quot;/&gt;&lt;wsp:rsid wsp:val=&quot;00665AEC&quot;/&gt;&lt;wsp:rsid wsp:val=&quot;00666320&quot;/&gt;&lt;wsp:rsid wsp:val=&quot;0066638E&quot;/&gt;&lt;wsp:rsid wsp:val=&quot;00666ED1&quot;/&gt;&lt;wsp:rsid wsp:val=&quot;0066726F&quot;/&gt;&lt;wsp:rsid wsp:val=&quot;006678F6&quot;/&gt;&lt;wsp:rsid wsp:val=&quot;006701FA&quot;/&gt;&lt;wsp:rsid wsp:val=&quot;00670A85&quot;/&gt;&lt;wsp:rsid wsp:val=&quot;00671BFA&quot;/&gt;&lt;wsp:rsid wsp:val=&quot;006720CE&quot;/&gt;&lt;wsp:rsid wsp:val=&quot;0067247E&quot;/&gt;&lt;wsp:rsid wsp:val=&quot;00672521&quot;/&gt;&lt;wsp:rsid wsp:val=&quot;00672600&quot;/&gt;&lt;wsp:rsid wsp:val=&quot;00672805&quot;/&gt;&lt;wsp:rsid wsp:val=&quot;006730E3&quot;/&gt;&lt;wsp:rsid wsp:val=&quot;00674802&quot;/&gt;&lt;wsp:rsid wsp:val=&quot;00674FA2&quot;/&gt;&lt;wsp:rsid wsp:val=&quot;00675DBF&quot;/&gt;&lt;wsp:rsid wsp:val=&quot;006760B5&quot;/&gt;&lt;wsp:rsid wsp:val=&quot;0067623B&quot;/&gt;&lt;wsp:rsid wsp:val=&quot;0067667A&quot;/&gt;&lt;wsp:rsid wsp:val=&quot;006769D6&quot;/&gt;&lt;wsp:rsid wsp:val=&quot;006770A8&quot;/&gt;&lt;wsp:rsid wsp:val=&quot;00677AC6&quot;/&gt;&lt;wsp:rsid wsp:val=&quot;00680D82&quot;/&gt;&lt;wsp:rsid wsp:val=&quot;00680FB9&quot;/&gt;&lt;wsp:rsid wsp:val=&quot;00682414&quot;/&gt;&lt;wsp:rsid wsp:val=&quot;0068296F&quot;/&gt;&lt;wsp:rsid wsp:val=&quot;00683044&quot;/&gt;&lt;wsp:rsid wsp:val=&quot;00684189&quot;/&gt;&lt;wsp:rsid wsp:val=&quot;00684272&quot;/&gt;&lt;wsp:rsid wsp:val=&quot;0068480A&quot;/&gt;&lt;wsp:rsid wsp:val=&quot;00685C22&quot;/&gt;&lt;wsp:rsid wsp:val=&quot;006860D8&quot;/&gt;&lt;wsp:rsid wsp:val=&quot;006869D0&quot;/&gt;&lt;wsp:rsid wsp:val=&quot;00686B81&quot;/&gt;&lt;wsp:rsid wsp:val=&quot;00686BF7&quot;/&gt;&lt;wsp:rsid wsp:val=&quot;00687EF9&quot;/&gt;&lt;wsp:rsid wsp:val=&quot;006905DE&quot;/&gt;&lt;wsp:rsid wsp:val=&quot;0069086B&quot;/&gt;&lt;wsp:rsid wsp:val=&quot;00690DBA&quot;/&gt;&lt;wsp:rsid wsp:val=&quot;00690F86&quot;/&gt;&lt;wsp:rsid wsp:val=&quot;006916C4&quot;/&gt;&lt;wsp:rsid wsp:val=&quot;006920B5&quot;/&gt;&lt;wsp:rsid wsp:val=&quot;00692316&quot;/&gt;&lt;wsp:rsid wsp:val=&quot;006923C1&quot;/&gt;&lt;wsp:rsid wsp:val=&quot;00692E00&quot;/&gt;&lt;wsp:rsid wsp:val=&quot;006934D2&quot;/&gt;&lt;wsp:rsid wsp:val=&quot;0069420E&quot;/&gt;&lt;wsp:rsid wsp:val=&quot;00694B86&quot;/&gt;&lt;wsp:rsid wsp:val=&quot;00694D58&quot;/&gt;&lt;wsp:rsid wsp:val=&quot;00694EFD&quot;/&gt;&lt;wsp:rsid wsp:val=&quot;006950D1&quot;/&gt;&lt;wsp:rsid wsp:val=&quot;00697A3A&quot;/&gt;&lt;wsp:rsid wsp:val=&quot;006A0540&quot;/&gt;&lt;wsp:rsid wsp:val=&quot;006A0CD8&quot;/&gt;&lt;wsp:rsid wsp:val=&quot;006A0E8C&quot;/&gt;&lt;wsp:rsid wsp:val=&quot;006A143D&quot;/&gt;&lt;wsp:rsid wsp:val=&quot;006A1580&quot;/&gt;&lt;wsp:rsid wsp:val=&quot;006A29F4&quot;/&gt;&lt;wsp:rsid wsp:val=&quot;006A2A2C&quot;/&gt;&lt;wsp:rsid wsp:val=&quot;006A2A66&quot;/&gt;&lt;wsp:rsid wsp:val=&quot;006A38D6&quot;/&gt;&lt;wsp:rsid wsp:val=&quot;006A3EAD&quot;/&gt;&lt;wsp:rsid wsp:val=&quot;006A507A&quot;/&gt;&lt;wsp:rsid wsp:val=&quot;006A5141&quot;/&gt;&lt;wsp:rsid wsp:val=&quot;006A5841&quot;/&gt;&lt;wsp:rsid wsp:val=&quot;006A5B5F&quot;/&gt;&lt;wsp:rsid wsp:val=&quot;006A6521&quot;/&gt;&lt;wsp:rsid wsp:val=&quot;006B05E6&quot;/&gt;&lt;wsp:rsid wsp:val=&quot;006B0966&quot;/&gt;&lt;wsp:rsid wsp:val=&quot;006B0FA2&quot;/&gt;&lt;wsp:rsid wsp:val=&quot;006B15E7&quot;/&gt;&lt;wsp:rsid wsp:val=&quot;006B165C&quot;/&gt;&lt;wsp:rsid wsp:val=&quot;006B25F7&quot;/&gt;&lt;wsp:rsid wsp:val=&quot;006B27A9&quot;/&gt;&lt;wsp:rsid wsp:val=&quot;006B2807&quot;/&gt;&lt;wsp:rsid wsp:val=&quot;006B28AF&quot;/&gt;&lt;wsp:rsid wsp:val=&quot;006B3242&quot;/&gt;&lt;wsp:rsid wsp:val=&quot;006B3B0A&quot;/&gt;&lt;wsp:rsid wsp:val=&quot;006B40E8&quot;/&gt;&lt;wsp:rsid wsp:val=&quot;006B5069&quot;/&gt;&lt;wsp:rsid wsp:val=&quot;006B5B5D&quot;/&gt;&lt;wsp:rsid wsp:val=&quot;006B6FAC&quot;/&gt;&lt;wsp:rsid wsp:val=&quot;006B771C&quot;/&gt;&lt;wsp:rsid wsp:val=&quot;006B7E27&quot;/&gt;&lt;wsp:rsid wsp:val=&quot;006B7F39&quot;/&gt;&lt;wsp:rsid wsp:val=&quot;006C0283&quot;/&gt;&lt;wsp:rsid wsp:val=&quot;006C058F&quot;/&gt;&lt;wsp:rsid wsp:val=&quot;006C1D74&quot;/&gt;&lt;wsp:rsid wsp:val=&quot;006C2400&quot;/&gt;&lt;wsp:rsid wsp:val=&quot;006C2E09&quot;/&gt;&lt;wsp:rsid wsp:val=&quot;006C5E5C&quot;/&gt;&lt;wsp:rsid wsp:val=&quot;006C726E&quot;/&gt;&lt;wsp:rsid wsp:val=&quot;006C75EE&quot;/&gt;&lt;wsp:rsid wsp:val=&quot;006C7D7C&quot;/&gt;&lt;wsp:rsid wsp:val=&quot;006D0255&quot;/&gt;&lt;wsp:rsid wsp:val=&quot;006D0B91&quot;/&gt;&lt;wsp:rsid wsp:val=&quot;006D2B4D&quot;/&gt;&lt;wsp:rsid wsp:val=&quot;006D34D8&quot;/&gt;&lt;wsp:rsid wsp:val=&quot;006D3988&quot;/&gt;&lt;wsp:rsid wsp:val=&quot;006D3ADF&quot;/&gt;&lt;wsp:rsid wsp:val=&quot;006D3CFE&quot;/&gt;&lt;wsp:rsid wsp:val=&quot;006D5481&quot;/&gt;&lt;wsp:rsid wsp:val=&quot;006D5A5D&quot;/&gt;&lt;wsp:rsid wsp:val=&quot;006D5B9C&quot;/&gt;&lt;wsp:rsid wsp:val=&quot;006D62A8&quot;/&gt;&lt;wsp:rsid wsp:val=&quot;006D64DD&quot;/&gt;&lt;wsp:rsid wsp:val=&quot;006D7451&quot;/&gt;&lt;wsp:rsid wsp:val=&quot;006D7548&quot;/&gt;&lt;wsp:rsid wsp:val=&quot;006D7D9D&quot;/&gt;&lt;wsp:rsid wsp:val=&quot;006E023D&quot;/&gt;&lt;wsp:rsid wsp:val=&quot;006E0927&quot;/&gt;&lt;wsp:rsid wsp:val=&quot;006E128B&quot;/&gt;&lt;wsp:rsid wsp:val=&quot;006E13BD&quot;/&gt;&lt;wsp:rsid wsp:val=&quot;006E186A&quot;/&gt;&lt;wsp:rsid wsp:val=&quot;006E2634&quot;/&gt;&lt;wsp:rsid wsp:val=&quot;006E29F5&quot;/&gt;&lt;wsp:rsid wsp:val=&quot;006E2C72&quot;/&gt;&lt;wsp:rsid wsp:val=&quot;006E3728&quot;/&gt;&lt;wsp:rsid wsp:val=&quot;006E416E&quot;/&gt;&lt;wsp:rsid wsp:val=&quot;006E43CE&quot;/&gt;&lt;wsp:rsid wsp:val=&quot;006E5AE1&quot;/&gt;&lt;wsp:rsid wsp:val=&quot;006E5DB7&quot;/&gt;&lt;wsp:rsid wsp:val=&quot;006E6A1B&quot;/&gt;&lt;wsp:rsid wsp:val=&quot;006E7DDF&quot;/&gt;&lt;wsp:rsid wsp:val=&quot;006F0550&quot;/&gt;&lt;wsp:rsid wsp:val=&quot;006F073C&quot;/&gt;&lt;wsp:rsid wsp:val=&quot;006F0D88&quot;/&gt;&lt;wsp:rsid wsp:val=&quot;006F1162&quot;/&gt;&lt;wsp:rsid wsp:val=&quot;006F1BD2&quot;/&gt;&lt;wsp:rsid wsp:val=&quot;006F225E&quot;/&gt;&lt;wsp:rsid wsp:val=&quot;006F3607&quot;/&gt;&lt;wsp:rsid wsp:val=&quot;006F3B01&quot;/&gt;&lt;wsp:rsid wsp:val=&quot;006F4C3F&quot;/&gt;&lt;wsp:rsid wsp:val=&quot;006F5233&quot;/&gt;&lt;wsp:rsid wsp:val=&quot;006F54EC&quot;/&gt;&lt;wsp:rsid wsp:val=&quot;006F5AB0&quot;/&gt;&lt;wsp:rsid wsp:val=&quot;006F7898&quot;/&gt;&lt;wsp:rsid wsp:val=&quot;00701159&quot;/&gt;&lt;wsp:rsid wsp:val=&quot;00701BC7&quot;/&gt;&lt;wsp:rsid wsp:val=&quot;00702676&quot;/&gt;&lt;wsp:rsid wsp:val=&quot;00702794&quot;/&gt;&lt;wsp:rsid wsp:val=&quot;007027E1&quot;/&gt;&lt;wsp:rsid wsp:val=&quot;00703130&quot;/&gt;&lt;wsp:rsid wsp:val=&quot;0070361A&quot;/&gt;&lt;wsp:rsid wsp:val=&quot;007042BC&quot;/&gt;&lt;wsp:rsid wsp:val=&quot;007046F9&quot;/&gt;&lt;wsp:rsid wsp:val=&quot;00704AB6&quot;/&gt;&lt;wsp:rsid wsp:val=&quot;00704BD6&quot;/&gt;&lt;wsp:rsid wsp:val=&quot;00706220&quot;/&gt;&lt;wsp:rsid wsp:val=&quot;00706A2F&quot;/&gt;&lt;wsp:rsid wsp:val=&quot;00707D83&quot;/&gt;&lt;wsp:rsid wsp:val=&quot;00707F03&quot;/&gt;&lt;wsp:rsid wsp:val=&quot;0071051C&quot;/&gt;&lt;wsp:rsid wsp:val=&quot;00711D24&quot;/&gt;&lt;wsp:rsid wsp:val=&quot;007146FA&quot;/&gt;&lt;wsp:rsid wsp:val=&quot;007147BA&quot;/&gt;&lt;wsp:rsid wsp:val=&quot;00714E16&quot;/&gt;&lt;wsp:rsid wsp:val=&quot;00714E70&quot;/&gt;&lt;wsp:rsid wsp:val=&quot;00714FE2&quot;/&gt;&lt;wsp:rsid wsp:val=&quot;00715BE0&quot;/&gt;&lt;wsp:rsid wsp:val=&quot;00715CB2&quot;/&gt;&lt;wsp:rsid wsp:val=&quot;00716272&quot;/&gt;&lt;wsp:rsid wsp:val=&quot;007168EA&quot;/&gt;&lt;wsp:rsid wsp:val=&quot;00717437&quot;/&gt;&lt;wsp:rsid wsp:val=&quot;007176E7&quot;/&gt;&lt;wsp:rsid wsp:val=&quot;00717915&quot;/&gt;&lt;wsp:rsid wsp:val=&quot;00717C9F&quot;/&gt;&lt;wsp:rsid wsp:val=&quot;0072030E&quot;/&gt;&lt;wsp:rsid wsp:val=&quot;00720606&quot;/&gt;&lt;wsp:rsid wsp:val=&quot;00720B9A&quot;/&gt;&lt;wsp:rsid wsp:val=&quot;007218F9&quot;/&gt;&lt;wsp:rsid wsp:val=&quot;00721AC5&quot;/&gt;&lt;wsp:rsid wsp:val=&quot;00721E15&quot;/&gt;&lt;wsp:rsid wsp:val=&quot;007224D5&quot;/&gt;&lt;wsp:rsid wsp:val=&quot;0072280A&quot;/&gt;&lt;wsp:rsid wsp:val=&quot;00722960&quot;/&gt;&lt;wsp:rsid wsp:val=&quot;00723CCD&quot;/&gt;&lt;wsp:rsid wsp:val=&quot;00723F06&quot;/&gt;&lt;wsp:rsid wsp:val=&quot;007240BB&quot;/&gt;&lt;wsp:rsid wsp:val=&quot;0072515C&quot;/&gt;&lt;wsp:rsid wsp:val=&quot;00725D48&quot;/&gt;&lt;wsp:rsid wsp:val=&quot;00727B14&quot;/&gt;&lt;wsp:rsid wsp:val=&quot;00727F7A&quot;/&gt;&lt;wsp:rsid wsp:val=&quot;00730252&quot;/&gt;&lt;wsp:rsid wsp:val=&quot;00730E60&quot;/&gt;&lt;wsp:rsid wsp:val=&quot;007313E6&quot;/&gt;&lt;wsp:rsid wsp:val=&quot;007316C1&quot;/&gt;&lt;wsp:rsid wsp:val=&quot;00731733&quot;/&gt;&lt;wsp:rsid wsp:val=&quot;007324C3&quot;/&gt;&lt;wsp:rsid wsp:val=&quot;007324D4&quot;/&gt;&lt;wsp:rsid wsp:val=&quot;007324F2&quot;/&gt;&lt;wsp:rsid wsp:val=&quot;00733572&quot;/&gt;&lt;wsp:rsid wsp:val=&quot;007335AC&quot;/&gt;&lt;wsp:rsid wsp:val=&quot;0073393A&quot;/&gt;&lt;wsp:rsid wsp:val=&quot;0073519F&quot;/&gt;&lt;wsp:rsid wsp:val=&quot;007375B1&quot;/&gt;&lt;wsp:rsid wsp:val=&quot;00737C79&quot;/&gt;&lt;wsp:rsid wsp:val=&quot;0074036C&quot;/&gt;&lt;wsp:rsid wsp:val=&quot;007403D0&quot;/&gt;&lt;wsp:rsid wsp:val=&quot;00740E53&quot;/&gt;&lt;wsp:rsid wsp:val=&quot;00741895&quot;/&gt;&lt;wsp:rsid wsp:val=&quot;00741A9C&quot;/&gt;&lt;wsp:rsid wsp:val=&quot;0074280C&quot;/&gt;&lt;wsp:rsid wsp:val=&quot;00742C3E&quot;/&gt;&lt;wsp:rsid wsp:val=&quot;00743549&quot;/&gt;&lt;wsp:rsid wsp:val=&quot;00743615&quot;/&gt;&lt;wsp:rsid wsp:val=&quot;00743AFA&quot;/&gt;&lt;wsp:rsid wsp:val=&quot;00743C81&quot;/&gt;&lt;wsp:rsid wsp:val=&quot;0074490F&quot;/&gt;&lt;wsp:rsid wsp:val=&quot;007461CC&quot;/&gt;&lt;wsp:rsid wsp:val=&quot;00746675&quot;/&gt;&lt;wsp:rsid wsp:val=&quot;00746747&quot;/&gt;&lt;wsp:rsid wsp:val=&quot;00746EC2&quot;/&gt;&lt;wsp:rsid wsp:val=&quot;00750792&quot;/&gt;&lt;wsp:rsid wsp:val=&quot;00750BC7&quot;/&gt;&lt;wsp:rsid wsp:val=&quot;00751F4E&quot;/&gt;&lt;wsp:rsid wsp:val=&quot;0075214E&quot;/&gt;&lt;wsp:rsid wsp:val=&quot;00752EFE&quot;/&gt;&lt;wsp:rsid wsp:val=&quot;00753C9D&quot;/&gt;&lt;wsp:rsid wsp:val=&quot;00753E12&quot;/&gt;&lt;wsp:rsid wsp:val=&quot;0075426F&quot;/&gt;&lt;wsp:rsid wsp:val=&quot;00754BB7&quot;/&gt;&lt;wsp:rsid wsp:val=&quot;00755120&quot;/&gt;&lt;wsp:rsid wsp:val=&quot;007555DC&quot;/&gt;&lt;wsp:rsid wsp:val=&quot;0075691F&quot;/&gt;&lt;wsp:rsid wsp:val=&quot;00756C60&quot;/&gt;&lt;wsp:rsid wsp:val=&quot;00757B19&quot;/&gt;&lt;wsp:rsid wsp:val=&quot;00757C33&quot;/&gt;&lt;wsp:rsid wsp:val=&quot;00757F1B&quot;/&gt;&lt;wsp:rsid wsp:val=&quot;0076037C&quot;/&gt;&lt;wsp:rsid wsp:val=&quot;00760C55&quot;/&gt;&lt;wsp:rsid wsp:val=&quot;00761C59&quot;/&gt;&lt;wsp:rsid wsp:val=&quot;00761D24&quot;/&gt;&lt;wsp:rsid wsp:val=&quot;0076214A&quot;/&gt;&lt;wsp:rsid wsp:val=&quot;0076222E&quot;/&gt;&lt;wsp:rsid wsp:val=&quot;007622DA&quot;/&gt;&lt;wsp:rsid wsp:val=&quot;00762334&quot;/&gt;&lt;wsp:rsid wsp:val=&quot;00763666&quot;/&gt;&lt;wsp:rsid wsp:val=&quot;00763ABD&quot;/&gt;&lt;wsp:rsid wsp:val=&quot;00763F7B&quot;/&gt;&lt;wsp:rsid wsp:val=&quot;00764089&quot;/&gt;&lt;wsp:rsid wsp:val=&quot;0076562F&quot;/&gt;&lt;wsp:rsid wsp:val=&quot;00765ABF&quot;/&gt;&lt;wsp:rsid wsp:val=&quot;00765C99&quot;/&gt;&lt;wsp:rsid wsp:val=&quot;00765FD9&quot;/&gt;&lt;wsp:rsid wsp:val=&quot;00766349&quot;/&gt;&lt;wsp:rsid wsp:val=&quot;0076686E&quot;/&gt;&lt;wsp:rsid wsp:val=&quot;00766B12&quot;/&gt;&lt;wsp:rsid wsp:val=&quot;00767B7B&quot;/&gt;&lt;wsp:rsid wsp:val=&quot;00767F9A&quot;/&gt;&lt;wsp:rsid wsp:val=&quot;00770241&quot;/&gt;&lt;wsp:rsid wsp:val=&quot;007708EC&quot;/&gt;&lt;wsp:rsid wsp:val=&quot;00771039&quot;/&gt;&lt;wsp:rsid wsp:val=&quot;007712E5&quot;/&gt;&lt;wsp:rsid wsp:val=&quot;00771314&quot;/&gt;&lt;wsp:rsid wsp:val=&quot;00771822&quot;/&gt;&lt;wsp:rsid wsp:val=&quot;00771EF5&quot;/&gt;&lt;wsp:rsid wsp:val=&quot;00772124&quot;/&gt;&lt;wsp:rsid wsp:val=&quot;007723E4&quot;/&gt;&lt;wsp:rsid wsp:val=&quot;007724F8&quot;/&gt;&lt;wsp:rsid wsp:val=&quot;007731A2&quot;/&gt;&lt;wsp:rsid wsp:val=&quot;0077370D&quot;/&gt;&lt;wsp:rsid wsp:val=&quot;00773F8C&quot;/&gt;&lt;wsp:rsid wsp:val=&quot;00773FCC&quot;/&gt;&lt;wsp:rsid wsp:val=&quot;0077401D&quot;/&gt;&lt;wsp:rsid wsp:val=&quot;0077403A&quot;/&gt;&lt;wsp:rsid wsp:val=&quot;00774092&quot;/&gt;&lt;wsp:rsid wsp:val=&quot;007741AC&quot;/&gt;&lt;wsp:rsid wsp:val=&quot;00776A45&quot;/&gt;&lt;wsp:rsid wsp:val=&quot;00776F2D&quot;/&gt;&lt;wsp:rsid wsp:val=&quot;00777304&quot;/&gt;&lt;wsp:rsid wsp:val=&quot;00777F48&quot;/&gt;&lt;wsp:rsid wsp:val=&quot;00780EFE&quot;/&gt;&lt;wsp:rsid wsp:val=&quot;00781A84&quot;/&gt;&lt;wsp:rsid wsp:val=&quot;00781F7D&quot;/&gt;&lt;wsp:rsid wsp:val=&quot;007826C5&quot;/&gt;&lt;wsp:rsid wsp:val=&quot;0078326B&quot;/&gt;&lt;wsp:rsid wsp:val=&quot;00783CF9&quot;/&gt;&lt;wsp:rsid wsp:val=&quot;007841CC&quot;/&gt;&lt;wsp:rsid wsp:val=&quot;0078551A&quot;/&gt;&lt;wsp:rsid wsp:val=&quot;00785B1F&quot;/&gt;&lt;wsp:rsid wsp:val=&quot;0078607C&quot;/&gt;&lt;wsp:rsid wsp:val=&quot;00786526&quot;/&gt;&lt;wsp:rsid wsp:val=&quot;00786D22&quot;/&gt;&lt;wsp:rsid wsp:val=&quot;00787419&quot;/&gt;&lt;wsp:rsid wsp:val=&quot;00787453&quot;/&gt;&lt;wsp:rsid wsp:val=&quot;0078760D&quot;/&gt;&lt;wsp:rsid wsp:val=&quot;00787A05&quot;/&gt;&lt;wsp:rsid wsp:val=&quot;00787A4F&quot;/&gt;&lt;wsp:rsid wsp:val=&quot;00790FB4&quot;/&gt;&lt;wsp:rsid wsp:val=&quot;007921D3&quot;/&gt;&lt;wsp:rsid wsp:val=&quot;007921F7&quot;/&gt;&lt;wsp:rsid wsp:val=&quot;00792335&quot;/&gt;&lt;wsp:rsid wsp:val=&quot;007924C1&quot;/&gt;&lt;wsp:rsid wsp:val=&quot;00792EB6&quot;/&gt;&lt;wsp:rsid wsp:val=&quot;00793579&quot;/&gt;&lt;wsp:rsid wsp:val=&quot;00794149&quot;/&gt;&lt;wsp:rsid wsp:val=&quot;0079455E&quot;/&gt;&lt;wsp:rsid wsp:val=&quot;0079472E&quot;/&gt;&lt;wsp:rsid wsp:val=&quot;00794FBE&quot;/&gt;&lt;wsp:rsid wsp:val=&quot;007952C7&quot;/&gt;&lt;wsp:rsid wsp:val=&quot;0079547B&quot;/&gt;&lt;wsp:rsid wsp:val=&quot;007968B9&quot;/&gt;&lt;wsp:rsid wsp:val=&quot;007A023E&quot;/&gt;&lt;wsp:rsid wsp:val=&quot;007A0E78&quot;/&gt;&lt;wsp:rsid wsp:val=&quot;007A1BB6&quot;/&gt;&lt;wsp:rsid wsp:val=&quot;007A2F99&quot;/&gt;&lt;wsp:rsid wsp:val=&quot;007A3750&quot;/&gt;&lt;wsp:rsid wsp:val=&quot;007A3BCA&quot;/&gt;&lt;wsp:rsid wsp:val=&quot;007A44C5&quot;/&gt;&lt;wsp:rsid wsp:val=&quot;007A5603&quot;/&gt;&lt;wsp:rsid wsp:val=&quot;007A5C48&quot;/&gt;&lt;wsp:rsid wsp:val=&quot;007A60BC&quot;/&gt;&lt;wsp:rsid wsp:val=&quot;007A6AA0&quot;/&gt;&lt;wsp:rsid wsp:val=&quot;007A6B39&quot;/&gt;&lt;wsp:rsid wsp:val=&quot;007A7688&quot;/&gt;&lt;wsp:rsid wsp:val=&quot;007A7705&quot;/&gt;&lt;wsp:rsid wsp:val=&quot;007A77CB&quot;/&gt;&lt;wsp:rsid wsp:val=&quot;007B1B17&quot;/&gt;&lt;wsp:rsid wsp:val=&quot;007B29B6&quot;/&gt;&lt;wsp:rsid wsp:val=&quot;007B2AD0&quot;/&gt;&lt;wsp:rsid wsp:val=&quot;007B33D0&quot;/&gt;&lt;wsp:rsid wsp:val=&quot;007B48D7&quot;/&gt;&lt;wsp:rsid wsp:val=&quot;007B4C2F&quot;/&gt;&lt;wsp:rsid wsp:val=&quot;007B4DAD&quot;/&gt;&lt;wsp:rsid wsp:val=&quot;007B526B&quot;/&gt;&lt;wsp:rsid wsp:val=&quot;007B58FD&quot;/&gt;&lt;wsp:rsid wsp:val=&quot;007B5CD9&quot;/&gt;&lt;wsp:rsid wsp:val=&quot;007B6B61&quot;/&gt;&lt;wsp:rsid wsp:val=&quot;007B787F&quot;/&gt;&lt;wsp:rsid wsp:val=&quot;007B7985&quot;/&gt;&lt;wsp:rsid wsp:val=&quot;007C015B&quot;/&gt;&lt;wsp:rsid wsp:val=&quot;007C0467&quot;/&gt;&lt;wsp:rsid wsp:val=&quot;007C10BA&quot;/&gt;&lt;wsp:rsid wsp:val=&quot;007C1425&quot;/&gt;&lt;wsp:rsid wsp:val=&quot;007C1464&quot;/&gt;&lt;wsp:rsid wsp:val=&quot;007C172C&quot;/&gt;&lt;wsp:rsid wsp:val=&quot;007C1C6C&quot;/&gt;&lt;wsp:rsid wsp:val=&quot;007C1D40&quot;/&gt;&lt;wsp:rsid wsp:val=&quot;007C1DC5&quot;/&gt;&lt;wsp:rsid wsp:val=&quot;007C25BA&quot;/&gt;&lt;wsp:rsid wsp:val=&quot;007C2F5C&quot;/&gt;&lt;wsp:rsid wsp:val=&quot;007C323F&quot;/&gt;&lt;wsp:rsid wsp:val=&quot;007C364E&quot;/&gt;&lt;wsp:rsid wsp:val=&quot;007C38A1&quot;/&gt;&lt;wsp:rsid wsp:val=&quot;007C41D6&quot;/&gt;&lt;wsp:rsid wsp:val=&quot;007C47CC&quot;/&gt;&lt;wsp:rsid wsp:val=&quot;007C4F69&quot;/&gt;&lt;wsp:rsid wsp:val=&quot;007C4FF3&quot;/&gt;&lt;wsp:rsid wsp:val=&quot;007C5F85&quot;/&gt;&lt;wsp:rsid wsp:val=&quot;007C62C5&quot;/&gt;&lt;wsp:rsid wsp:val=&quot;007C6FFD&quot;/&gt;&lt;wsp:rsid wsp:val=&quot;007C7B7F&quot;/&gt;&lt;wsp:rsid wsp:val=&quot;007C7E98&quot;/&gt;&lt;wsp:rsid wsp:val=&quot;007D0084&quot;/&gt;&lt;wsp:rsid wsp:val=&quot;007D009E&quot;/&gt;&lt;wsp:rsid wsp:val=&quot;007D0D89&quot;/&gt;&lt;wsp:rsid wsp:val=&quot;007D209F&quot;/&gt;&lt;wsp:rsid wsp:val=&quot;007D2610&quot;/&gt;&lt;wsp:rsid wsp:val=&quot;007D2760&quot;/&gt;&lt;wsp:rsid wsp:val=&quot;007D33BB&quot;/&gt;&lt;wsp:rsid wsp:val=&quot;007D3E2B&quot;/&gt;&lt;wsp:rsid wsp:val=&quot;007D42E3&quot;/&gt;&lt;wsp:rsid wsp:val=&quot;007D4F7E&quot;/&gt;&lt;wsp:rsid wsp:val=&quot;007D69F0&quot;/&gt;&lt;wsp:rsid wsp:val=&quot;007D6CCC&quot;/&gt;&lt;wsp:rsid wsp:val=&quot;007E04E9&quot;/&gt;&lt;wsp:rsid wsp:val=&quot;007E06FA&quot;/&gt;&lt;wsp:rsid wsp:val=&quot;007E0785&quot;/&gt;&lt;wsp:rsid wsp:val=&quot;007E1454&quot;/&gt;&lt;wsp:rsid wsp:val=&quot;007E1BA5&quot;/&gt;&lt;wsp:rsid wsp:val=&quot;007E1F34&quot;/&gt;&lt;wsp:rsid wsp:val=&quot;007E2C0C&quot;/&gt;&lt;wsp:rsid wsp:val=&quot;007E3FD9&quot;/&gt;&lt;wsp:rsid wsp:val=&quot;007E4C4F&quot;/&gt;&lt;wsp:rsid wsp:val=&quot;007E5BA9&quot;/&gt;&lt;wsp:rsid wsp:val=&quot;007E5E7D&quot;/&gt;&lt;wsp:rsid wsp:val=&quot;007E6068&quot;/&gt;&lt;wsp:rsid wsp:val=&quot;007E7606&quot;/&gt;&lt;wsp:rsid wsp:val=&quot;007F004B&quot;/&gt;&lt;wsp:rsid wsp:val=&quot;007F0436&quot;/&gt;&lt;wsp:rsid wsp:val=&quot;007F0530&quot;/&gt;&lt;wsp:rsid wsp:val=&quot;007F057B&quot;/&gt;&lt;wsp:rsid wsp:val=&quot;007F1970&quot;/&gt;&lt;wsp:rsid wsp:val=&quot;007F1AC6&quot;/&gt;&lt;wsp:rsid wsp:val=&quot;007F1DE7&quot;/&gt;&lt;wsp:rsid wsp:val=&quot;007F20CD&quot;/&gt;&lt;wsp:rsid wsp:val=&quot;007F214F&quot;/&gt;&lt;wsp:rsid wsp:val=&quot;007F2636&quot;/&gt;&lt;wsp:rsid wsp:val=&quot;007F30C2&quot;/&gt;&lt;wsp:rsid wsp:val=&quot;007F3CE0&quot;/&gt;&lt;wsp:rsid wsp:val=&quot;007F42B1&quot;/&gt;&lt;wsp:rsid wsp:val=&quot;007F4379&quot;/&gt;&lt;wsp:rsid wsp:val=&quot;007F45E5&quot;/&gt;&lt;wsp:rsid wsp:val=&quot;007F4A36&quot;/&gt;&lt;wsp:rsid wsp:val=&quot;007F57FB&quot;/&gt;&lt;wsp:rsid wsp:val=&quot;007F60D4&quot;/&gt;&lt;wsp:rsid wsp:val=&quot;007F7624&quot;/&gt;&lt;wsp:rsid wsp:val=&quot;007F7917&quot;/&gt;&lt;wsp:rsid wsp:val=&quot;007F7A30&quot;/&gt;&lt;wsp:rsid wsp:val=&quot;007F7FE2&quot;/&gt;&lt;wsp:rsid wsp:val=&quot;0080002B&quot;/&gt;&lt;wsp:rsid wsp:val=&quot;008001CE&quot;/&gt;&lt;wsp:rsid wsp:val=&quot;00800B7A&quot;/&gt;&lt;wsp:rsid wsp:val=&quot;00800D24&quot;/&gt;&lt;wsp:rsid wsp:val=&quot;00801941&quot;/&gt;&lt;wsp:rsid wsp:val=&quot;00801F86&quot;/&gt;&lt;wsp:rsid wsp:val=&quot;008029CB&quot;/&gt;&lt;wsp:rsid wsp:val=&quot;00802E45&quot;/&gt;&lt;wsp:rsid wsp:val=&quot;00802FFB&quot;/&gt;&lt;wsp:rsid wsp:val=&quot;008034EA&quot;/&gt;&lt;wsp:rsid wsp:val=&quot;00803544&quot;/&gt;&lt;wsp:rsid wsp:val=&quot;0080387D&quot;/&gt;&lt;wsp:rsid wsp:val=&quot;00803A5C&quot;/&gt;&lt;wsp:rsid wsp:val=&quot;00804052&quot;/&gt;&lt;wsp:rsid wsp:val=&quot;00804077&quot;/&gt;&lt;wsp:rsid wsp:val=&quot;008041EE&quot;/&gt;&lt;wsp:rsid wsp:val=&quot;0080431A&quot;/&gt;&lt;wsp:rsid wsp:val=&quot;00804C49&quot;/&gt;&lt;wsp:rsid wsp:val=&quot;0080547F&quot;/&gt;&lt;wsp:rsid wsp:val=&quot;00805490&quot;/&gt;&lt;wsp:rsid wsp:val=&quot;0080569B&quot;/&gt;&lt;wsp:rsid wsp:val=&quot;008061DD&quot;/&gt;&lt;wsp:rsid wsp:val=&quot;00807A0D&quot;/&gt;&lt;wsp:rsid wsp:val=&quot;00807CBF&quot;/&gt;&lt;wsp:rsid wsp:val=&quot;00807D14&quot;/&gt;&lt;wsp:rsid wsp:val=&quot;008106DB&quot;/&gt;&lt;wsp:rsid wsp:val=&quot;00810DBE&quot;/&gt;&lt;wsp:rsid wsp:val=&quot;00812183&quot;/&gt;&lt;wsp:rsid wsp:val=&quot;00812FA3&quot;/&gt;&lt;wsp:rsid wsp:val=&quot;008131DC&quot;/&gt;&lt;wsp:rsid wsp:val=&quot;00814369&quot;/&gt;&lt;wsp:rsid wsp:val=&quot;0081543B&quot;/&gt;&lt;wsp:rsid wsp:val=&quot;008155B3&quot;/&gt;&lt;wsp:rsid wsp:val=&quot;00815C5B&quot;/&gt;&lt;wsp:rsid wsp:val=&quot;0081608A&quot;/&gt;&lt;wsp:rsid wsp:val=&quot;00816479&quot;/&gt;&lt;wsp:rsid wsp:val=&quot;00816BEA&quot;/&gt;&lt;wsp:rsid wsp:val=&quot;0081734F&quot;/&gt;&lt;wsp:rsid wsp:val=&quot;00820FAF&quot;/&gt;&lt;wsp:rsid wsp:val=&quot;00820FD8&quot;/&gt;&lt;wsp:rsid wsp:val=&quot;00821C9E&quot;/&gt;&lt;wsp:rsid wsp:val=&quot;00821D76&quot;/&gt;&lt;wsp:rsid wsp:val=&quot;00822CB8&quot;/&gt;&lt;wsp:rsid wsp:val=&quot;00822D53&quot;/&gt;&lt;wsp:rsid wsp:val=&quot;008230C2&quot;/&gt;&lt;wsp:rsid wsp:val=&quot;0082321E&quot;/&gt;&lt;wsp:rsid wsp:val=&quot;00823363&quot;/&gt;&lt;wsp:rsid wsp:val=&quot;008237EF&quot;/&gt;&lt;wsp:rsid wsp:val=&quot;00823F89&quot;/&gt;&lt;wsp:rsid wsp:val=&quot;0082404D&quot;/&gt;&lt;wsp:rsid wsp:val=&quot;00824198&quot;/&gt;&lt;wsp:rsid wsp:val=&quot;008241EC&quot;/&gt;&lt;wsp:rsid wsp:val=&quot;008243AF&quot;/&gt;&lt;wsp:rsid wsp:val=&quot;00824852&quot;/&gt;&lt;wsp:rsid wsp:val=&quot;00825B69&quot;/&gt;&lt;wsp:rsid wsp:val=&quot;00826AEF&quot;/&gt;&lt;wsp:rsid wsp:val=&quot;00826E4A&quot;/&gt;&lt;wsp:rsid wsp:val=&quot;00826F43&quot;/&gt;&lt;wsp:rsid wsp:val=&quot;00827EB3&quot;/&gt;&lt;wsp:rsid wsp:val=&quot;00830769&quot;/&gt;&lt;wsp:rsid wsp:val=&quot;00830D73&quot;/&gt;&lt;wsp:rsid wsp:val=&quot;00831F60&quot;/&gt;&lt;wsp:rsid wsp:val=&quot;0083218A&quot;/&gt;&lt;wsp:rsid wsp:val=&quot;008325DA&quot;/&gt;&lt;wsp:rsid wsp:val=&quot;00832679&quot;/&gt;&lt;wsp:rsid wsp:val=&quot;00832718&quot;/&gt;&lt;wsp:rsid wsp:val=&quot;00832FCF&quot;/&gt;&lt;wsp:rsid wsp:val=&quot;0083334D&quot;/&gt;&lt;wsp:rsid wsp:val=&quot;00834663&quot;/&gt;&lt;wsp:rsid wsp:val=&quot;00834E38&quot;/&gt;&lt;wsp:rsid wsp:val=&quot;00835E86&quot;/&gt;&lt;wsp:rsid wsp:val=&quot;00836A00&quot;/&gt;&lt;wsp:rsid wsp:val=&quot;00836DAB&quot;/&gt;&lt;wsp:rsid wsp:val=&quot;00837AB1&quot;/&gt;&lt;wsp:rsid wsp:val=&quot;00840354&quot;/&gt;&lt;wsp:rsid wsp:val=&quot;00841264&quot;/&gt;&lt;wsp:rsid wsp:val=&quot;008420A2&quot;/&gt;&lt;wsp:rsid wsp:val=&quot;0084434D&quot;/&gt;&lt;wsp:rsid wsp:val=&quot;00844C2C&quot;/&gt;&lt;wsp:rsid wsp:val=&quot;00844C3A&quot;/&gt;&lt;wsp:rsid wsp:val=&quot;00845ABA&quot;/&gt;&lt;wsp:rsid wsp:val=&quot;00845D87&quot;/&gt;&lt;wsp:rsid wsp:val=&quot;00846248&quot;/&gt;&lt;wsp:rsid wsp:val=&quot;0084638C&quot;/&gt;&lt;wsp:rsid wsp:val=&quot;00846487&quot;/&gt;&lt;wsp:rsid wsp:val=&quot;008470C6&quot;/&gt;&lt;wsp:rsid wsp:val=&quot;0084744D&quot;/&gt;&lt;wsp:rsid wsp:val=&quot;00847CBA&quot;/&gt;&lt;wsp:rsid wsp:val=&quot;00847D3E&quot;/&gt;&lt;wsp:rsid wsp:val=&quot;0085067A&quot;/&gt;&lt;wsp:rsid wsp:val=&quot;00850EB1&quot;/&gt;&lt;wsp:rsid wsp:val=&quot;00851530&quot;/&gt;&lt;wsp:rsid wsp:val=&quot;00851630&quot;/&gt;&lt;wsp:rsid wsp:val=&quot;00851736&quot;/&gt;&lt;wsp:rsid wsp:val=&quot;00851BC5&quot;/&gt;&lt;wsp:rsid wsp:val=&quot;00851D41&quot;/&gt;&lt;wsp:rsid wsp:val=&quot;008525A4&quot;/&gt;&lt;wsp:rsid wsp:val=&quot;008542E9&quot;/&gt;&lt;wsp:rsid wsp:val=&quot;008545C5&quot;/&gt;&lt;wsp:rsid wsp:val=&quot;0085499E&quot;/&gt;&lt;wsp:rsid wsp:val=&quot;00854A60&quot;/&gt;&lt;wsp:rsid wsp:val=&quot;00854F0F&quot;/&gt;&lt;wsp:rsid wsp:val=&quot;0085518D&quot;/&gt;&lt;wsp:rsid wsp:val=&quot;0085525B&quot;/&gt;&lt;wsp:rsid wsp:val=&quot;00855466&quot;/&gt;&lt;wsp:rsid wsp:val=&quot;0085563E&quot;/&gt;&lt;wsp:rsid wsp:val=&quot;00855C14&quot;/&gt;&lt;wsp:rsid wsp:val=&quot;00855FA9&quot;/&gt;&lt;wsp:rsid wsp:val=&quot;008566E6&quot;/&gt;&lt;wsp:rsid wsp:val=&quot;00856999&quot;/&gt;&lt;wsp:rsid wsp:val=&quot;00856D5A&quot;/&gt;&lt;wsp:rsid wsp:val=&quot;0085706E&quot;/&gt;&lt;wsp:rsid wsp:val=&quot;00860714&quot;/&gt;&lt;wsp:rsid wsp:val=&quot;0086134D&quot;/&gt;&lt;wsp:rsid wsp:val=&quot;008619B5&quot;/&gt;&lt;wsp:rsid wsp:val=&quot;00861DF4&quot;/&gt;&lt;wsp:rsid wsp:val=&quot;00861E68&quot;/&gt;&lt;wsp:rsid wsp:val=&quot;008624ED&quot;/&gt;&lt;wsp:rsid wsp:val=&quot;00862ECD&quot;/&gt;&lt;wsp:rsid wsp:val=&quot;00863088&quot;/&gt;&lt;wsp:rsid wsp:val=&quot;00863698&quot;/&gt;&lt;wsp:rsid wsp:val=&quot;00863EBD&quot;/&gt;&lt;wsp:rsid wsp:val=&quot;0086410D&quot;/&gt;&lt;wsp:rsid wsp:val=&quot;008661FA&quot;/&gt;&lt;wsp:rsid wsp:val=&quot;0086732A&quot;/&gt;&lt;wsp:rsid wsp:val=&quot;008678B5&quot;/&gt;&lt;wsp:rsid wsp:val=&quot;008678C6&quot;/&gt;&lt;wsp:rsid wsp:val=&quot;008679C1&quot;/&gt;&lt;wsp:rsid wsp:val=&quot;00867EED&quot;/&gt;&lt;wsp:rsid wsp:val=&quot;0087036E&quot;/&gt;&lt;wsp:rsid wsp:val=&quot;00870BB4&quot;/&gt;&lt;wsp:rsid wsp:val=&quot;0087162C&quot;/&gt;&lt;wsp:rsid wsp:val=&quot;008717C3&quot;/&gt;&lt;wsp:rsid wsp:val=&quot;00872986&quot;/&gt;&lt;wsp:rsid wsp:val=&quot;00872F85&quot;/&gt;&lt;wsp:rsid wsp:val=&quot;008732F4&quot;/&gt;&lt;wsp:rsid wsp:val=&quot;00873D5F&quot;/&gt;&lt;wsp:rsid wsp:val=&quot;00874092&quot;/&gt;&lt;wsp:rsid wsp:val=&quot;00874552&quot;/&gt;&lt;wsp:rsid wsp:val=&quot;00874AFE&quot;/&gt;&lt;wsp:rsid wsp:val=&quot;00875A95&quot;/&gt;&lt;wsp:rsid wsp:val=&quot;00875C86&quot;/&gt;&lt;wsp:rsid wsp:val=&quot;00875F79&quot;/&gt;&lt;wsp:rsid wsp:val=&quot;00875FEE&quot;/&gt;&lt;wsp:rsid wsp:val=&quot;008772A9&quot;/&gt;&lt;wsp:rsid wsp:val=&quot;0087738A&quot;/&gt;&lt;wsp:rsid wsp:val=&quot;0087754F&quot;/&gt;&lt;wsp:rsid wsp:val=&quot;00877594&quot;/&gt;&lt;wsp:rsid wsp:val=&quot;0088014A&quot;/&gt;&lt;wsp:rsid wsp:val=&quot;008803AC&quot;/&gt;&lt;wsp:rsid wsp:val=&quot;0088076E&quot;/&gt;&lt;wsp:rsid wsp:val=&quot;00880FA8&quot;/&gt;&lt;wsp:rsid wsp:val=&quot;008811DD&quot;/&gt;&lt;wsp:rsid wsp:val=&quot;0088352A&quot;/&gt;&lt;wsp:rsid wsp:val=&quot;0088363C&quot;/&gt;&lt;wsp:rsid wsp:val=&quot;00884218&quot;/&gt;&lt;wsp:rsid wsp:val=&quot;00884BA7&quot;/&gt;&lt;wsp:rsid wsp:val=&quot;008851DB&quot;/&gt;&lt;wsp:rsid wsp:val=&quot;0088628C&quot;/&gt;&lt;wsp:rsid wsp:val=&quot;0088681A&quot;/&gt;&lt;wsp:rsid wsp:val=&quot;00886856&quot;/&gt;&lt;wsp:rsid wsp:val=&quot;00886E08&quot;/&gt;&lt;wsp:rsid wsp:val=&quot;00886F6C&quot;/&gt;&lt;wsp:rsid wsp:val=&quot;008872C0&quot;/&gt;&lt;wsp:rsid wsp:val=&quot;0088756C&quot;/&gt;&lt;wsp:rsid wsp:val=&quot;00887867&quot;/&gt;&lt;wsp:rsid wsp:val=&quot;00887881&quot;/&gt;&lt;wsp:rsid wsp:val=&quot;00887C24&quot;/&gt;&lt;wsp:rsid wsp:val=&quot;008907C6&quot;/&gt;&lt;wsp:rsid wsp:val=&quot;008908E4&quot;/&gt;&lt;wsp:rsid wsp:val=&quot;00891009&quot;/&gt;&lt;wsp:rsid wsp:val=&quot;008918F8&quot;/&gt;&lt;wsp:rsid wsp:val=&quot;00892156&quot;/&gt;&lt;wsp:rsid wsp:val=&quot;0089265D&quot;/&gt;&lt;wsp:rsid wsp:val=&quot;00892945&quot;/&gt;&lt;wsp:rsid wsp:val=&quot;0089317C&quot;/&gt;&lt;wsp:rsid wsp:val=&quot;00893C95&quot;/&gt;&lt;wsp:rsid wsp:val=&quot;00893E34&quot;/&gt;&lt;wsp:rsid wsp:val=&quot;00894917&quot;/&gt;&lt;wsp:rsid wsp:val=&quot;00896783&quot;/&gt;&lt;wsp:rsid wsp:val=&quot;008973C8&quot;/&gt;&lt;wsp:rsid wsp:val=&quot;00897D70&quot;/&gt;&lt;wsp:rsid wsp:val=&quot;00897FE5&quot;/&gt;&lt;wsp:rsid wsp:val=&quot;008A063C&quot;/&gt;&lt;wsp:rsid wsp:val=&quot;008A090B&quot;/&gt;&lt;wsp:rsid wsp:val=&quot;008A11BE&quot;/&gt;&lt;wsp:rsid wsp:val=&quot;008A1289&quot;/&gt;&lt;wsp:rsid wsp:val=&quot;008A16D2&quot;/&gt;&lt;wsp:rsid wsp:val=&quot;008A1A17&quot;/&gt;&lt;wsp:rsid wsp:val=&quot;008A21F2&quot;/&gt;&lt;wsp:rsid wsp:val=&quot;008A2B0C&quot;/&gt;&lt;wsp:rsid wsp:val=&quot;008A2CF8&quot;/&gt;&lt;wsp:rsid wsp:val=&quot;008A3D8F&quot;/&gt;&lt;wsp:rsid wsp:val=&quot;008A3E1D&quot;/&gt;&lt;wsp:rsid wsp:val=&quot;008A4B52&quot;/&gt;&lt;wsp:rsid wsp:val=&quot;008A4BB4&quot;/&gt;&lt;wsp:rsid wsp:val=&quot;008A50E6&quot;/&gt;&lt;wsp:rsid wsp:val=&quot;008A5C1F&quot;/&gt;&lt;wsp:rsid wsp:val=&quot;008A680D&quot;/&gt;&lt;wsp:rsid wsp:val=&quot;008A6ECC&quot;/&gt;&lt;wsp:rsid wsp:val=&quot;008B09C9&quot;/&gt;&lt;wsp:rsid wsp:val=&quot;008B0B92&quot;/&gt;&lt;wsp:rsid wsp:val=&quot;008B0CC5&quot;/&gt;&lt;wsp:rsid wsp:val=&quot;008B1274&quot;/&gt;&lt;wsp:rsid wsp:val=&quot;008B1668&quot;/&gt;&lt;wsp:rsid wsp:val=&quot;008B1BE7&quot;/&gt;&lt;wsp:rsid wsp:val=&quot;008B36D9&quot;/&gt;&lt;wsp:rsid wsp:val=&quot;008B3707&quot;/&gt;&lt;wsp:rsid wsp:val=&quot;008B3828&quot;/&gt;&lt;wsp:rsid wsp:val=&quot;008B45A2&quot;/&gt;&lt;wsp:rsid wsp:val=&quot;008B4AFD&quot;/&gt;&lt;wsp:rsid wsp:val=&quot;008B4B59&quot;/&gt;&lt;wsp:rsid wsp:val=&quot;008B5AA5&quot;/&gt;&lt;wsp:rsid wsp:val=&quot;008B5CED&quot;/&gt;&lt;wsp:rsid wsp:val=&quot;008B5E08&quot;/&gt;&lt;wsp:rsid wsp:val=&quot;008B6095&quot;/&gt;&lt;wsp:rsid wsp:val=&quot;008B65BA&quot;/&gt;&lt;wsp:rsid wsp:val=&quot;008B679C&quot;/&gt;&lt;wsp:rsid wsp:val=&quot;008B67A8&quot;/&gt;&lt;wsp:rsid wsp:val=&quot;008B6ACF&quot;/&gt;&lt;wsp:rsid wsp:val=&quot;008B6D9F&quot;/&gt;&lt;wsp:rsid wsp:val=&quot;008B6FFB&quot;/&gt;&lt;wsp:rsid wsp:val=&quot;008B7373&quot;/&gt;&lt;wsp:rsid wsp:val=&quot;008B7B58&quot;/&gt;&lt;wsp:rsid wsp:val=&quot;008C0169&quot;/&gt;&lt;wsp:rsid wsp:val=&quot;008C0E35&quot;/&gt;&lt;wsp:rsid wsp:val=&quot;008C2B54&quot;/&gt;&lt;wsp:rsid wsp:val=&quot;008C33A7&quot;/&gt;&lt;wsp:rsid wsp:val=&quot;008C3563&quot;/&gt;&lt;wsp:rsid wsp:val=&quot;008C386B&quot;/&gt;&lt;wsp:rsid wsp:val=&quot;008C3A86&quot;/&gt;&lt;wsp:rsid wsp:val=&quot;008C489C&quot;/&gt;&lt;wsp:rsid wsp:val=&quot;008C54E0&quot;/&gt;&lt;wsp:rsid wsp:val=&quot;008C5593&quot;/&gt;&lt;wsp:rsid wsp:val=&quot;008C61B2&quot;/&gt;&lt;wsp:rsid wsp:val=&quot;008C62F4&quot;/&gt;&lt;wsp:rsid wsp:val=&quot;008C6474&quot;/&gt;&lt;wsp:rsid wsp:val=&quot;008C6949&quot;/&gt;&lt;wsp:rsid wsp:val=&quot;008C773A&quot;/&gt;&lt;wsp:rsid wsp:val=&quot;008D0B25&quot;/&gt;&lt;wsp:rsid wsp:val=&quot;008D116F&quot;/&gt;&lt;wsp:rsid wsp:val=&quot;008D1229&quot;/&gt;&lt;wsp:rsid wsp:val=&quot;008D1863&quot;/&gt;&lt;wsp:rsid wsp:val=&quot;008D18CD&quot;/&gt;&lt;wsp:rsid wsp:val=&quot;008D1DB7&quot;/&gt;&lt;wsp:rsid wsp:val=&quot;008D26B4&quot;/&gt;&lt;wsp:rsid wsp:val=&quot;008D2DE8&quot;/&gt;&lt;wsp:rsid wsp:val=&quot;008D3457&quot;/&gt;&lt;wsp:rsid wsp:val=&quot;008D43AA&quot;/&gt;&lt;wsp:rsid wsp:val=&quot;008D4CBF&quot;/&gt;&lt;wsp:rsid wsp:val=&quot;008D6DA1&quot;/&gt;&lt;wsp:rsid wsp:val=&quot;008D737E&quot;/&gt;&lt;wsp:rsid wsp:val=&quot;008D7D66&quot;/&gt;&lt;wsp:rsid wsp:val=&quot;008E01EE&quot;/&gt;&lt;wsp:rsid wsp:val=&quot;008E0552&quot;/&gt;&lt;wsp:rsid wsp:val=&quot;008E1BD0&quot;/&gt;&lt;wsp:rsid wsp:val=&quot;008E2434&quot;/&gt;&lt;wsp:rsid wsp:val=&quot;008E2446&quot;/&gt;&lt;wsp:rsid wsp:val=&quot;008E417F&quot;/&gt;&lt;wsp:rsid wsp:val=&quot;008E47C2&quot;/&gt;&lt;wsp:rsid wsp:val=&quot;008E554D&quot;/&gt;&lt;wsp:rsid wsp:val=&quot;008E5B3B&quot;/&gt;&lt;wsp:rsid wsp:val=&quot;008E5F7A&quot;/&gt;&lt;wsp:rsid wsp:val=&quot;008E6F73&quot;/&gt;&lt;wsp:rsid wsp:val=&quot;008F0866&quot;/&gt;&lt;wsp:rsid wsp:val=&quot;008F0D98&quot;/&gt;&lt;wsp:rsid wsp:val=&quot;008F0F1F&quot;/&gt;&lt;wsp:rsid wsp:val=&quot;008F1555&quot;/&gt;&lt;wsp:rsid wsp:val=&quot;008F29C0&quot;/&gt;&lt;wsp:rsid wsp:val=&quot;008F3302&quot;/&gt;&lt;wsp:rsid wsp:val=&quot;008F604B&quot;/&gt;&lt;wsp:rsid wsp:val=&quot;008F66F1&quot;/&gt;&lt;wsp:rsid wsp:val=&quot;008F6B48&quot;/&gt;&lt;wsp:rsid wsp:val=&quot;008F70B6&quot;/&gt;&lt;wsp:rsid wsp:val=&quot;008F71BB&quot;/&gt;&lt;wsp:rsid wsp:val=&quot;008F7707&quot;/&gt;&lt;wsp:rsid wsp:val=&quot;009011D5&quot;/&gt;&lt;wsp:rsid wsp:val=&quot;00901802&quot;/&gt;&lt;wsp:rsid wsp:val=&quot;00901EAC&quot;/&gt;&lt;wsp:rsid wsp:val=&quot;00902E1A&quot;/&gt;&lt;wsp:rsid wsp:val=&quot;009044F4&quot;/&gt;&lt;wsp:rsid wsp:val=&quot;00904731&quot;/&gt;&lt;wsp:rsid wsp:val=&quot;00904884&quot;/&gt;&lt;wsp:rsid wsp:val=&quot;009051BC&quot;/&gt;&lt;wsp:rsid wsp:val=&quot;009056A5&quot;/&gt;&lt;wsp:rsid wsp:val=&quot;0090590F&quot;/&gt;&lt;wsp:rsid wsp:val=&quot;00907272&quot;/&gt;&lt;wsp:rsid wsp:val=&quot;009076A2&quot;/&gt;&lt;wsp:rsid wsp:val=&quot;00907DEE&quot;/&gt;&lt;wsp:rsid wsp:val=&quot;00910B25&quot;/&gt;&lt;wsp:rsid wsp:val=&quot;009113DD&quot;/&gt;&lt;wsp:rsid wsp:val=&quot;009113F1&quot;/&gt;&lt;wsp:rsid wsp:val=&quot;00911456&quot;/&gt;&lt;wsp:rsid wsp:val=&quot;00911DB0&quot;/&gt;&lt;wsp:rsid wsp:val=&quot;0091262F&quot;/&gt;&lt;wsp:rsid wsp:val=&quot;00912A5C&quot;/&gt;&lt;wsp:rsid wsp:val=&quot;00912CD2&quot;/&gt;&lt;wsp:rsid wsp:val=&quot;009135F6&quot;/&gt;&lt;wsp:rsid wsp:val=&quot;00913851&quot;/&gt;&lt;wsp:rsid wsp:val=&quot;009141D0&quot;/&gt;&lt;wsp:rsid wsp:val=&quot;00914BA4&quot;/&gt;&lt;wsp:rsid wsp:val=&quot;00916A06&quot;/&gt;&lt;wsp:rsid wsp:val=&quot;00916D5D&quot;/&gt;&lt;wsp:rsid wsp:val=&quot;00916E15&quot;/&gt;&lt;wsp:rsid wsp:val=&quot;00917276&quot;/&gt;&lt;wsp:rsid wsp:val=&quot;009174B0&quot;/&gt;&lt;wsp:rsid wsp:val=&quot;00917B80&quot;/&gt;&lt;wsp:rsid wsp:val=&quot;00917E44&quot;/&gt;&lt;wsp:rsid wsp:val=&quot;00917EA3&quot;/&gt;&lt;wsp:rsid wsp:val=&quot;00920D3D&quot;/&gt;&lt;wsp:rsid wsp:val=&quot;0092112B&quot;/&gt;&lt;wsp:rsid wsp:val=&quot;00921EE0&quot;/&gt;&lt;wsp:rsid wsp:val=&quot;00921F82&quot;/&gt;&lt;wsp:rsid wsp:val=&quot;009224B1&quot;/&gt;&lt;wsp:rsid wsp:val=&quot;00922C9A&quot;/&gt;&lt;wsp:rsid wsp:val=&quot;0092362B&quot;/&gt;&lt;wsp:rsid wsp:val=&quot;00923A3C&quot;/&gt;&lt;wsp:rsid wsp:val=&quot;00923D83&quot;/&gt;&lt;wsp:rsid wsp:val=&quot;009259D4&quot;/&gt;&lt;wsp:rsid wsp:val=&quot;00925A9A&quot;/&gt;&lt;wsp:rsid wsp:val=&quot;0092627D&quot;/&gt;&lt;wsp:rsid wsp:val=&quot;009272DD&quot;/&gt;&lt;wsp:rsid wsp:val=&quot;0092749F&quot;/&gt;&lt;wsp:rsid wsp:val=&quot;00927595&quot;/&gt;&lt;wsp:rsid wsp:val=&quot;009279E8&quot;/&gt;&lt;wsp:rsid wsp:val=&quot;00927AA8&quot;/&gt;&lt;wsp:rsid wsp:val=&quot;00927C4D&quot;/&gt;&lt;wsp:rsid wsp:val=&quot;00927E35&quot;/&gt;&lt;wsp:rsid wsp:val=&quot;009308F0&quot;/&gt;&lt;wsp:rsid wsp:val=&quot;009310BE&quot;/&gt;&lt;wsp:rsid wsp:val=&quot;009310CE&quot;/&gt;&lt;wsp:rsid wsp:val=&quot;009313A4&quot;/&gt;&lt;wsp:rsid wsp:val=&quot;00931EE6&quot;/&gt;&lt;wsp:rsid wsp:val=&quot;00932275&quot;/&gt;&lt;wsp:rsid wsp:val=&quot;00933AB5&quot;/&gt;&lt;wsp:rsid wsp:val=&quot;00934403&quot;/&gt;&lt;wsp:rsid wsp:val=&quot;00934AA3&quot;/&gt;&lt;wsp:rsid wsp:val=&quot;00934E4F&quot;/&gt;&lt;wsp:rsid wsp:val=&quot;00937A9D&quot;/&gt;&lt;wsp:rsid wsp:val=&quot;00937C13&quot;/&gt;&lt;wsp:rsid wsp:val=&quot;00940758&quot;/&gt;&lt;wsp:rsid wsp:val=&quot;00940E2C&quot;/&gt;&lt;wsp:rsid wsp:val=&quot;00941999&quot;/&gt;&lt;wsp:rsid wsp:val=&quot;00942484&quot;/&gt;&lt;wsp:rsid wsp:val=&quot;00942A77&quot;/&gt;&lt;wsp:rsid wsp:val=&quot;00942E3B&quot;/&gt;&lt;wsp:rsid wsp:val=&quot;00943140&quot;/&gt;&lt;wsp:rsid wsp:val=&quot;00943B7F&quot;/&gt;&lt;wsp:rsid wsp:val=&quot;00943D8E&quot;/&gt;&lt;wsp:rsid wsp:val=&quot;009447BD&quot;/&gt;&lt;wsp:rsid wsp:val=&quot;009449A7&quot;/&gt;&lt;wsp:rsid wsp:val=&quot;00944EC3&quot;/&gt;&lt;wsp:rsid wsp:val=&quot;00945847&quot;/&gt;&lt;wsp:rsid wsp:val=&quot;00945C52&quot;/&gt;&lt;wsp:rsid wsp:val=&quot;0094689F&quot;/&gt;&lt;wsp:rsid wsp:val=&quot;0094698B&quot;/&gt;&lt;wsp:rsid wsp:val=&quot;009475CF&quot;/&gt;&lt;wsp:rsid wsp:val=&quot;00947DF0&quot;/&gt;&lt;wsp:rsid wsp:val=&quot;00950517&quot;/&gt;&lt;wsp:rsid wsp:val=&quot;009506C8&quot;/&gt;&lt;wsp:rsid wsp:val=&quot;00950C74&quot;/&gt;&lt;wsp:rsid wsp:val=&quot;00951371&quot;/&gt;&lt;wsp:rsid wsp:val=&quot;00951562&quot;/&gt;&lt;wsp:rsid wsp:val=&quot;00951F90&quot;/&gt;&lt;wsp:rsid wsp:val=&quot;009528D7&quot;/&gt;&lt;wsp:rsid wsp:val=&quot;009544D2&quot;/&gt;&lt;wsp:rsid wsp:val=&quot;00954EB8&quot;/&gt;&lt;wsp:rsid wsp:val=&quot;009552B8&quot;/&gt;&lt;wsp:rsid wsp:val=&quot;00955388&quot;/&gt;&lt;wsp:rsid wsp:val=&quot;009554C8&quot;/&gt;&lt;wsp:rsid wsp:val=&quot;009600F4&quot;/&gt;&lt;wsp:rsid wsp:val=&quot;009605DF&quot;/&gt;&lt;wsp:rsid wsp:val=&quot;00960820&quot;/&gt;&lt;wsp:rsid wsp:val=&quot;009615C9&quot;/&gt;&lt;wsp:rsid wsp:val=&quot;00961742&quot;/&gt;&lt;wsp:rsid wsp:val=&quot;00961B14&quot;/&gt;&lt;wsp:rsid wsp:val=&quot;0096246C&quot;/&gt;&lt;wsp:rsid wsp:val=&quot;009626C3&quot;/&gt;&lt;wsp:rsid wsp:val=&quot;009640CB&quot;/&gt;&lt;wsp:rsid wsp:val=&quot;009645B6&quot;/&gt;&lt;wsp:rsid wsp:val=&quot;0096577A&quot;/&gt;&lt;wsp:rsid wsp:val=&quot;00965C43&quot;/&gt;&lt;wsp:rsid wsp:val=&quot;00966283&quot;/&gt;&lt;wsp:rsid wsp:val=&quot;00967666&quot;/&gt;&lt;wsp:rsid wsp:val=&quot;0096778E&quot;/&gt;&lt;wsp:rsid wsp:val=&quot;0097002C&quot;/&gt;&lt;wsp:rsid wsp:val=&quot;009709EF&quot;/&gt;&lt;wsp:rsid wsp:val=&quot;00970ECB&quot;/&gt;&lt;wsp:rsid wsp:val=&quot;0097152F&quot;/&gt;&lt;wsp:rsid wsp:val=&quot;00971B52&quot;/&gt;&lt;wsp:rsid wsp:val=&quot;0097264F&quot;/&gt;&lt;wsp:rsid wsp:val=&quot;009732BD&quot;/&gt;&lt;wsp:rsid wsp:val=&quot;0097395F&quot;/&gt;&lt;wsp:rsid wsp:val=&quot;00973F66&quot;/&gt;&lt;wsp:rsid wsp:val=&quot;00973FEA&quot;/&gt;&lt;wsp:rsid wsp:val=&quot;009741DA&quot;/&gt;&lt;wsp:rsid wsp:val=&quot;0097491E&quot;/&gt;&lt;wsp:rsid wsp:val=&quot;00975345&quot;/&gt;&lt;wsp:rsid wsp:val=&quot;009754A7&quot;/&gt;&lt;wsp:rsid wsp:val=&quot;00975876&quot;/&gt;&lt;wsp:rsid wsp:val=&quot;00975FDA&quot;/&gt;&lt;wsp:rsid wsp:val=&quot;009768F9&quot;/&gt;&lt;wsp:rsid wsp:val=&quot;00976E50&quot;/&gt;&lt;wsp:rsid wsp:val=&quot;00977036&quot;/&gt;&lt;wsp:rsid wsp:val=&quot;009777E9&quot;/&gt;&lt;wsp:rsid wsp:val=&quot;00977F3D&quot;/&gt;&lt;wsp:rsid wsp:val=&quot;00981606&quot;/&gt;&lt;wsp:rsid wsp:val=&quot;0098195C&quot;/&gt;&lt;wsp:rsid wsp:val=&quot;0098235E&quot;/&gt;&lt;wsp:rsid wsp:val=&quot;00982DC1&quot;/&gt;&lt;wsp:rsid wsp:val=&quot;00982DEC&quot;/&gt;&lt;wsp:rsid wsp:val=&quot;0098329C&quot;/&gt;&lt;wsp:rsid wsp:val=&quot;00983C7A&quot;/&gt;&lt;wsp:rsid wsp:val=&quot;00984810&quot;/&gt;&lt;wsp:rsid wsp:val=&quot;00984923&quot;/&gt;&lt;wsp:rsid wsp:val=&quot;00984B5E&quot;/&gt;&lt;wsp:rsid wsp:val=&quot;00985CCA&quot;/&gt;&lt;wsp:rsid wsp:val=&quot;0098604D&quot;/&gt;&lt;wsp:rsid wsp:val=&quot;009871CF&quot;/&gt;&lt;wsp:rsid wsp:val=&quot;00987C3D&quot;/&gt;&lt;wsp:rsid wsp:val=&quot;0099077C&quot;/&gt;&lt;wsp:rsid wsp:val=&quot;00990A6A&quot;/&gt;&lt;wsp:rsid wsp:val=&quot;00990E52&quot;/&gt;&lt;wsp:rsid wsp:val=&quot;0099274C&quot;/&gt;&lt;wsp:rsid wsp:val=&quot;00992DB0&quot;/&gt;&lt;wsp:rsid wsp:val=&quot;00993273&quot;/&gt;&lt;wsp:rsid wsp:val=&quot;00993307&quot;/&gt;&lt;wsp:rsid wsp:val=&quot;0099360B&quot;/&gt;&lt;wsp:rsid wsp:val=&quot;009937DB&quot;/&gt;&lt;wsp:rsid wsp:val=&quot;00994292&quot;/&gt;&lt;wsp:rsid wsp:val=&quot;00994CA1&quot;/&gt;&lt;wsp:rsid wsp:val=&quot;00995362&quot;/&gt;&lt;wsp:rsid wsp:val=&quot;00995800&quot;/&gt;&lt;wsp:rsid wsp:val=&quot;009959C1&quot;/&gt;&lt;wsp:rsid wsp:val=&quot;00995A07&quot;/&gt;&lt;wsp:rsid wsp:val=&quot;00995EA5&quot;/&gt;&lt;wsp:rsid wsp:val=&quot;00995EC4&quot;/&gt;&lt;wsp:rsid wsp:val=&quot;009A04F3&quot;/&gt;&lt;wsp:rsid wsp:val=&quot;009A15D8&quot;/&gt;&lt;wsp:rsid wsp:val=&quot;009A2CEA&quot;/&gt;&lt;wsp:rsid wsp:val=&quot;009A36A2&quot;/&gt;&lt;wsp:rsid wsp:val=&quot;009A37DA&quot;/&gt;&lt;wsp:rsid wsp:val=&quot;009A3CE7&quot;/&gt;&lt;wsp:rsid wsp:val=&quot;009A408E&quot;/&gt;&lt;wsp:rsid wsp:val=&quot;009A50B5&quot;/&gt;&lt;wsp:rsid wsp:val=&quot;009A53D2&quot;/&gt;&lt;wsp:rsid wsp:val=&quot;009A5AB4&quot;/&gt;&lt;wsp:rsid wsp:val=&quot;009A7623&quot;/&gt;&lt;wsp:rsid wsp:val=&quot;009A7790&quot;/&gt;&lt;wsp:rsid wsp:val=&quot;009B0EB0&quot;/&gt;&lt;wsp:rsid wsp:val=&quot;009B10FD&quot;/&gt;&lt;wsp:rsid wsp:val=&quot;009B128B&quot;/&gt;&lt;wsp:rsid wsp:val=&quot;009B14C0&quot;/&gt;&lt;wsp:rsid wsp:val=&quot;009B1790&quot;/&gt;&lt;wsp:rsid wsp:val=&quot;009B1DFD&quot;/&gt;&lt;wsp:rsid wsp:val=&quot;009B2B5B&quot;/&gt;&lt;wsp:rsid wsp:val=&quot;009B3884&quot;/&gt;&lt;wsp:rsid wsp:val=&quot;009B4B92&quot;/&gt;&lt;wsp:rsid wsp:val=&quot;009B4CB6&quot;/&gt;&lt;wsp:rsid wsp:val=&quot;009B5344&quot;/&gt;&lt;wsp:rsid wsp:val=&quot;009B53DE&quot;/&gt;&lt;wsp:rsid wsp:val=&quot;009B56E7&quot;/&gt;&lt;wsp:rsid wsp:val=&quot;009B6E3B&quot;/&gt;&lt;wsp:rsid wsp:val=&quot;009B6F59&quot;/&gt;&lt;wsp:rsid wsp:val=&quot;009B73B8&quot;/&gt;&lt;wsp:rsid wsp:val=&quot;009B7AED&quot;/&gt;&lt;wsp:rsid wsp:val=&quot;009B7CFD&quot;/&gt;&lt;wsp:rsid wsp:val=&quot;009B7F80&quot;/&gt;&lt;wsp:rsid wsp:val=&quot;009C0BD6&quot;/&gt;&lt;wsp:rsid wsp:val=&quot;009C1269&quot;/&gt;&lt;wsp:rsid wsp:val=&quot;009C22F1&quot;/&gt;&lt;wsp:rsid wsp:val=&quot;009C2A2D&quot;/&gt;&lt;wsp:rsid wsp:val=&quot;009C3431&quot;/&gt;&lt;wsp:rsid wsp:val=&quot;009C4006&quot;/&gt;&lt;wsp:rsid wsp:val=&quot;009C41E0&quot;/&gt;&lt;wsp:rsid wsp:val=&quot;009C583D&quot;/&gt;&lt;wsp:rsid wsp:val=&quot;009C5EA3&quot;/&gt;&lt;wsp:rsid wsp:val=&quot;009C714F&quot;/&gt;&lt;wsp:rsid wsp:val=&quot;009C78F9&quot;/&gt;&lt;wsp:rsid wsp:val=&quot;009C7D55&quot;/&gt;&lt;wsp:rsid wsp:val=&quot;009C7E03&quot;/&gt;&lt;wsp:rsid wsp:val=&quot;009D0624&quot;/&gt;&lt;wsp:rsid wsp:val=&quot;009D17C8&quot;/&gt;&lt;wsp:rsid wsp:val=&quot;009D2A02&quot;/&gt;&lt;wsp:rsid wsp:val=&quot;009D4165&quot;/&gt;&lt;wsp:rsid wsp:val=&quot;009D4756&quot;/&gt;&lt;wsp:rsid wsp:val=&quot;009D4E60&quot;/&gt;&lt;wsp:rsid wsp:val=&quot;009D5A37&quot;/&gt;&lt;wsp:rsid wsp:val=&quot;009D5DA0&quot;/&gt;&lt;wsp:rsid wsp:val=&quot;009D62EE&quot;/&gt;&lt;wsp:rsid wsp:val=&quot;009D6503&quot;/&gt;&lt;wsp:rsid wsp:val=&quot;009D685A&quot;/&gt;&lt;wsp:rsid wsp:val=&quot;009D6B83&quot;/&gt;&lt;wsp:rsid wsp:val=&quot;009D6BD0&quot;/&gt;&lt;wsp:rsid wsp:val=&quot;009D6FC0&quot;/&gt;&lt;wsp:rsid wsp:val=&quot;009D7B2C&quot;/&gt;&lt;wsp:rsid wsp:val=&quot;009D7C8F&quot;/&gt;&lt;wsp:rsid wsp:val=&quot;009E029F&quot;/&gt;&lt;wsp:rsid wsp:val=&quot;009E02D7&quot;/&gt;&lt;wsp:rsid wsp:val=&quot;009E0BEA&quot;/&gt;&lt;wsp:rsid wsp:val=&quot;009E0F4A&quot;/&gt;&lt;wsp:rsid wsp:val=&quot;009E1225&quot;/&gt;&lt;wsp:rsid wsp:val=&quot;009E1528&quot;/&gt;&lt;wsp:rsid wsp:val=&quot;009E2244&quot;/&gt;&lt;wsp:rsid wsp:val=&quot;009E3C76&quot;/&gt;&lt;wsp:rsid wsp:val=&quot;009E4473&quot;/&gt;&lt;wsp:rsid wsp:val=&quot;009E4F0F&quot;/&gt;&lt;wsp:rsid wsp:val=&quot;009E51C0&quot;/&gt;&lt;wsp:rsid wsp:val=&quot;009E57CA&quot;/&gt;&lt;wsp:rsid wsp:val=&quot;009E655D&quot;/&gt;&lt;wsp:rsid wsp:val=&quot;009E7090&quot;/&gt;&lt;wsp:rsid wsp:val=&quot;009E7BF0&quot;/&gt;&lt;wsp:rsid wsp:val=&quot;009F0C4D&quot;/&gt;&lt;wsp:rsid wsp:val=&quot;009F12A8&quot;/&gt;&lt;wsp:rsid wsp:val=&quot;009F17E6&quot;/&gt;&lt;wsp:rsid wsp:val=&quot;009F21DB&quot;/&gt;&lt;wsp:rsid wsp:val=&quot;009F2CFF&quot;/&gt;&lt;wsp:rsid wsp:val=&quot;009F3A92&quot;/&gt;&lt;wsp:rsid wsp:val=&quot;009F3AB2&quot;/&gt;&lt;wsp:rsid wsp:val=&quot;009F4196&quot;/&gt;&lt;wsp:rsid wsp:val=&quot;009F634B&quot;/&gt;&lt;wsp:rsid wsp:val=&quot;009F7103&quot;/&gt;&lt;wsp:rsid wsp:val=&quot;00A000F4&quot;/&gt;&lt;wsp:rsid wsp:val=&quot;00A00634&quot;/&gt;&lt;wsp:rsid wsp:val=&quot;00A008DC&quot;/&gt;&lt;wsp:rsid wsp:val=&quot;00A008EA&quot;/&gt;&lt;wsp:rsid wsp:val=&quot;00A00D6D&quot;/&gt;&lt;wsp:rsid wsp:val=&quot;00A014DA&quot;/&gt;&lt;wsp:rsid wsp:val=&quot;00A014FB&quot;/&gt;&lt;wsp:rsid wsp:val=&quot;00A01AFA&quot;/&gt;&lt;wsp:rsid wsp:val=&quot;00A024D6&quot;/&gt;&lt;wsp:rsid wsp:val=&quot;00A0286E&quot;/&gt;&lt;wsp:rsid wsp:val=&quot;00A0290C&quot;/&gt;&lt;wsp:rsid wsp:val=&quot;00A035AB&quot;/&gt;&lt;wsp:rsid wsp:val=&quot;00A0379C&quot;/&gt;&lt;wsp:rsid wsp:val=&quot;00A03CCB&quot;/&gt;&lt;wsp:rsid wsp:val=&quot;00A060C3&quot;/&gt;&lt;wsp:rsid wsp:val=&quot;00A0684E&quot;/&gt;&lt;wsp:rsid wsp:val=&quot;00A0693C&quot;/&gt;&lt;wsp:rsid wsp:val=&quot;00A07E81&quot;/&gt;&lt;wsp:rsid wsp:val=&quot;00A1047C&quot;/&gt;&lt;wsp:rsid wsp:val=&quot;00A10B3C&quot;/&gt;&lt;wsp:rsid wsp:val=&quot;00A10F8E&quot;/&gt;&lt;wsp:rsid wsp:val=&quot;00A117A6&quot;/&gt;&lt;wsp:rsid wsp:val=&quot;00A129D7&quot;/&gt;&lt;wsp:rsid wsp:val=&quot;00A12F9E&quot;/&gt;&lt;wsp:rsid wsp:val=&quot;00A13A5C&quot;/&gt;&lt;wsp:rsid wsp:val=&quot;00A14CB9&quot;/&gt;&lt;wsp:rsid wsp:val=&quot;00A155C3&quot;/&gt;&lt;wsp:rsid wsp:val=&quot;00A15BCF&quot;/&gt;&lt;wsp:rsid wsp:val=&quot;00A16D36&quot;/&gt;&lt;wsp:rsid wsp:val=&quot;00A177F8&quot;/&gt;&lt;wsp:rsid wsp:val=&quot;00A17AF4&quot;/&gt;&lt;wsp:rsid wsp:val=&quot;00A17BA5&quot;/&gt;&lt;wsp:rsid wsp:val=&quot;00A20F3C&quot;/&gt;&lt;wsp:rsid wsp:val=&quot;00A21FE5&quot;/&gt;&lt;wsp:rsid wsp:val=&quot;00A22224&quot;/&gt;&lt;wsp:rsid wsp:val=&quot;00A22D0F&quot;/&gt;&lt;wsp:rsid wsp:val=&quot;00A230C7&quot;/&gt;&lt;wsp:rsid wsp:val=&quot;00A2366E&quot;/&gt;&lt;wsp:rsid wsp:val=&quot;00A239E4&quot;/&gt;&lt;wsp:rsid wsp:val=&quot;00A23B66&quot;/&gt;&lt;wsp:rsid wsp:val=&quot;00A23FD6&quot;/&gt;&lt;wsp:rsid wsp:val=&quot;00A23FF2&quot;/&gt;&lt;wsp:rsid wsp:val=&quot;00A2437C&quot;/&gt;&lt;wsp:rsid wsp:val=&quot;00A24F34&quot;/&gt;&lt;wsp:rsid wsp:val=&quot;00A25ADF&quot;/&gt;&lt;wsp:rsid wsp:val=&quot;00A25B2D&quot;/&gt;&lt;wsp:rsid wsp:val=&quot;00A25B3C&quot;/&gt;&lt;wsp:rsid wsp:val=&quot;00A26420&quot;/&gt;&lt;wsp:rsid wsp:val=&quot;00A26B23&quot;/&gt;&lt;wsp:rsid wsp:val=&quot;00A26D37&quot;/&gt;&lt;wsp:rsid wsp:val=&quot;00A27070&quot;/&gt;&lt;wsp:rsid wsp:val=&quot;00A2751C&quot;/&gt;&lt;wsp:rsid wsp:val=&quot;00A30410&quot;/&gt;&lt;wsp:rsid wsp:val=&quot;00A30751&quot;/&gt;&lt;wsp:rsid wsp:val=&quot;00A312FA&quot;/&gt;&lt;wsp:rsid wsp:val=&quot;00A31EF2&quot;/&gt;&lt;wsp:rsid wsp:val=&quot;00A32164&quot;/&gt;&lt;wsp:rsid wsp:val=&quot;00A322FB&quot;/&gt;&lt;wsp:rsid wsp:val=&quot;00A323DB&quot;/&gt;&lt;wsp:rsid wsp:val=&quot;00A325B2&quot;/&gt;&lt;wsp:rsid wsp:val=&quot;00A32CD9&quot;/&gt;&lt;wsp:rsid wsp:val=&quot;00A33690&quot;/&gt;&lt;wsp:rsid wsp:val=&quot;00A336D1&quot;/&gt;&lt;wsp:rsid wsp:val=&quot;00A33EDC&quot;/&gt;&lt;wsp:rsid wsp:val=&quot;00A35CE6&quot;/&gt;&lt;wsp:rsid wsp:val=&quot;00A36385&quot;/&gt;&lt;wsp:rsid wsp:val=&quot;00A367FA&quot;/&gt;&lt;wsp:rsid wsp:val=&quot;00A369FB&quot;/&gt;&lt;wsp:rsid wsp:val=&quot;00A36BC7&quot;/&gt;&lt;wsp:rsid wsp:val=&quot;00A36E8F&quot;/&gt;&lt;wsp:rsid wsp:val=&quot;00A372BF&quot;/&gt;&lt;wsp:rsid wsp:val=&quot;00A40254&quot;/&gt;&lt;wsp:rsid wsp:val=&quot;00A42C03&quot;/&gt;&lt;wsp:rsid wsp:val=&quot;00A42D6A&quot;/&gt;&lt;wsp:rsid wsp:val=&quot;00A430C9&quot;/&gt;&lt;wsp:rsid wsp:val=&quot;00A4316C&quot;/&gt;&lt;wsp:rsid wsp:val=&quot;00A433CD&quot;/&gt;&lt;wsp:rsid wsp:val=&quot;00A44288&quot;/&gt;&lt;wsp:rsid wsp:val=&quot;00A45495&quot;/&gt;&lt;wsp:rsid wsp:val=&quot;00A47557&quot;/&gt;&lt;wsp:rsid wsp:val=&quot;00A4775F&quot;/&gt;&lt;wsp:rsid wsp:val=&quot;00A47954&quot;/&gt;&lt;wsp:rsid wsp:val=&quot;00A500C2&quot;/&gt;&lt;wsp:rsid wsp:val=&quot;00A50422&quot;/&gt;&lt;wsp:rsid wsp:val=&quot;00A50D42&quot;/&gt;&lt;wsp:rsid wsp:val=&quot;00A50D64&quot;/&gt;&lt;wsp:rsid wsp:val=&quot;00A5163D&quot;/&gt;&lt;wsp:rsid wsp:val=&quot;00A51721&quot;/&gt;&lt;wsp:rsid wsp:val=&quot;00A52B77&quot;/&gt;&lt;wsp:rsid wsp:val=&quot;00A52EE1&quot;/&gt;&lt;wsp:rsid wsp:val=&quot;00A53851&quot;/&gt;&lt;wsp:rsid wsp:val=&quot;00A54352&quot;/&gt;&lt;wsp:rsid wsp:val=&quot;00A543F9&quot;/&gt;&lt;wsp:rsid wsp:val=&quot;00A5449C&quot;/&gt;&lt;wsp:rsid wsp:val=&quot;00A55625&quot;/&gt;&lt;wsp:rsid wsp:val=&quot;00A56461&quot;/&gt;&lt;wsp:rsid wsp:val=&quot;00A564E1&quot;/&gt;&lt;wsp:rsid wsp:val=&quot;00A56A6F&quot;/&gt;&lt;wsp:rsid wsp:val=&quot;00A60259&quot;/&gt;&lt;wsp:rsid wsp:val=&quot;00A604D4&quot;/&gt;&lt;wsp:rsid wsp:val=&quot;00A60626&quot;/&gt;&lt;wsp:rsid wsp:val=&quot;00A60BF8&quot;/&gt;&lt;wsp:rsid wsp:val=&quot;00A6119E&quot;/&gt;&lt;wsp:rsid wsp:val=&quot;00A617A2&quot;/&gt;&lt;wsp:rsid wsp:val=&quot;00A61C3B&quot;/&gt;&lt;wsp:rsid wsp:val=&quot;00A623E6&quot;/&gt;&lt;wsp:rsid wsp:val=&quot;00A62B53&quot;/&gt;&lt;wsp:rsid wsp:val=&quot;00A62F70&quot;/&gt;&lt;wsp:rsid wsp:val=&quot;00A6333B&quot;/&gt;&lt;wsp:rsid wsp:val=&quot;00A634D0&quot;/&gt;&lt;wsp:rsid wsp:val=&quot;00A63B9A&quot;/&gt;&lt;wsp:rsid wsp:val=&quot;00A64D17&quot;/&gt;&lt;wsp:rsid wsp:val=&quot;00A64EC6&quot;/&gt;&lt;wsp:rsid wsp:val=&quot;00A66006&quot;/&gt;&lt;wsp:rsid wsp:val=&quot;00A66265&quot;/&gt;&lt;wsp:rsid wsp:val=&quot;00A66287&quot;/&gt;&lt;wsp:rsid wsp:val=&quot;00A6708D&quot;/&gt;&lt;wsp:rsid wsp:val=&quot;00A6782A&quot;/&gt;&lt;wsp:rsid wsp:val=&quot;00A705AC&quot;/&gt;&lt;wsp:rsid wsp:val=&quot;00A7161F&quot;/&gt;&lt;wsp:rsid wsp:val=&quot;00A71744&quot;/&gt;&lt;wsp:rsid wsp:val=&quot;00A71DAB&quot;/&gt;&lt;wsp:rsid wsp:val=&quot;00A720C8&quot;/&gt;&lt;wsp:rsid wsp:val=&quot;00A7423A&quot;/&gt;&lt;wsp:rsid wsp:val=&quot;00A7472C&quot;/&gt;&lt;wsp:rsid wsp:val=&quot;00A75686&quot;/&gt;&lt;wsp:rsid wsp:val=&quot;00A75E2D&quot;/&gt;&lt;wsp:rsid wsp:val=&quot;00A7611B&quot;/&gt;&lt;wsp:rsid wsp:val=&quot;00A765B0&quot;/&gt;&lt;wsp:rsid wsp:val=&quot;00A76E46&quot;/&gt;&lt;wsp:rsid wsp:val=&quot;00A76FE9&quot;/&gt;&lt;wsp:rsid wsp:val=&quot;00A77718&quot;/&gt;&lt;wsp:rsid wsp:val=&quot;00A77B97&quot;/&gt;&lt;wsp:rsid wsp:val=&quot;00A828E2&quot;/&gt;&lt;wsp:rsid wsp:val=&quot;00A82F68&quot;/&gt;&lt;wsp:rsid wsp:val=&quot;00A82F6D&quot;/&gt;&lt;wsp:rsid wsp:val=&quot;00A831DB&quot;/&gt;&lt;wsp:rsid wsp:val=&quot;00A8374F&quot;/&gt;&lt;wsp:rsid wsp:val=&quot;00A839A8&quot;/&gt;&lt;wsp:rsid wsp:val=&quot;00A83D95&quot;/&gt;&lt;wsp:rsid wsp:val=&quot;00A83FD5&quot;/&gt;&lt;wsp:rsid wsp:val=&quot;00A846BA&quot;/&gt;&lt;wsp:rsid wsp:val=&quot;00A84A61&quot;/&gt;&lt;wsp:rsid wsp:val=&quot;00A855FF&quot;/&gt;&lt;wsp:rsid wsp:val=&quot;00A85D93&quot;/&gt;&lt;wsp:rsid wsp:val=&quot;00A85E33&quot;/&gt;&lt;wsp:rsid wsp:val=&quot;00A86271&quot;/&gt;&lt;wsp:rsid wsp:val=&quot;00A87317&quot;/&gt;&lt;wsp:rsid wsp:val=&quot;00A8738C&quot;/&gt;&lt;wsp:rsid wsp:val=&quot;00A87E4B&quot;/&gt;&lt;wsp:rsid wsp:val=&quot;00A9013A&quot;/&gt;&lt;wsp:rsid wsp:val=&quot;00A922C4&quot;/&gt;&lt;wsp:rsid wsp:val=&quot;00A92B22&quot;/&gt;&lt;wsp:rsid wsp:val=&quot;00A931B8&quot;/&gt;&lt;wsp:rsid wsp:val=&quot;00A9324F&quot;/&gt;&lt;wsp:rsid wsp:val=&quot;00A9328D&quot;/&gt;&lt;wsp:rsid wsp:val=&quot;00A9489B&quot;/&gt;&lt;wsp:rsid wsp:val=&quot;00A94BB4&quot;/&gt;&lt;wsp:rsid wsp:val=&quot;00A94DC4&quot;/&gt;&lt;wsp:rsid wsp:val=&quot;00A95004&quot;/&gt;&lt;wsp:rsid wsp:val=&quot;00A950F5&quot;/&gt;&lt;wsp:rsid wsp:val=&quot;00A952A6&quot;/&gt;&lt;wsp:rsid wsp:val=&quot;00A96E6F&quot;/&gt;&lt;wsp:rsid wsp:val=&quot;00A97227&quot;/&gt;&lt;wsp:rsid wsp:val=&quot;00A972E4&quot;/&gt;&lt;wsp:rsid wsp:val=&quot;00AA0625&quot;/&gt;&lt;wsp:rsid wsp:val=&quot;00AA0811&quot;/&gt;&lt;wsp:rsid wsp:val=&quot;00AA17EA&quot;/&gt;&lt;wsp:rsid wsp:val=&quot;00AA2825&quot;/&gt;&lt;wsp:rsid wsp:val=&quot;00AA2A50&quot;/&gt;&lt;wsp:rsid wsp:val=&quot;00AA2E9A&quot;/&gt;&lt;wsp:rsid wsp:val=&quot;00AA4044&quot;/&gt;&lt;wsp:rsid wsp:val=&quot;00AA4327&quot;/&gt;&lt;wsp:rsid wsp:val=&quot;00AA484D&quot;/&gt;&lt;wsp:rsid wsp:val=&quot;00AA4B58&quot;/&gt;&lt;wsp:rsid wsp:val=&quot;00AA53CB&quot;/&gt;&lt;wsp:rsid wsp:val=&quot;00AA6489&quot;/&gt;&lt;wsp:rsid wsp:val=&quot;00AA6BDD&quot;/&gt;&lt;wsp:rsid wsp:val=&quot;00AA72B4&quot;/&gt;&lt;wsp:rsid wsp:val=&quot;00AB04C7&quot;/&gt;&lt;wsp:rsid wsp:val=&quot;00AB1809&quot;/&gt;&lt;wsp:rsid wsp:val=&quot;00AB1DF4&quot;/&gt;&lt;wsp:rsid wsp:val=&quot;00AB2854&quot;/&gt;&lt;wsp:rsid wsp:val=&quot;00AB2D59&quot;/&gt;&lt;wsp:rsid wsp:val=&quot;00AB2E24&quot;/&gt;&lt;wsp:rsid wsp:val=&quot;00AB491E&quot;/&gt;&lt;wsp:rsid wsp:val=&quot;00AB4EB1&quot;/&gt;&lt;wsp:rsid wsp:val=&quot;00AB5E03&quot;/&gt;&lt;wsp:rsid wsp:val=&quot;00AC030D&quot;/&gt;&lt;wsp:rsid wsp:val=&quot;00AC0C02&quot;/&gt;&lt;wsp:rsid wsp:val=&quot;00AC11A6&quot;/&gt;&lt;wsp:rsid wsp:val=&quot;00AC1FD7&quot;/&gt;&lt;wsp:rsid wsp:val=&quot;00AC24F7&quot;/&gt;&lt;wsp:rsid wsp:val=&quot;00AC273F&quot;/&gt;&lt;wsp:rsid wsp:val=&quot;00AC2FB2&quot;/&gt;&lt;wsp:rsid wsp:val=&quot;00AC38C0&quot;/&gt;&lt;wsp:rsid wsp:val=&quot;00AC3E59&quot;/&gt;&lt;wsp:rsid wsp:val=&quot;00AC4050&quot;/&gt;&lt;wsp:rsid wsp:val=&quot;00AC4166&quot;/&gt;&lt;wsp:rsid wsp:val=&quot;00AC44BD&quot;/&gt;&lt;wsp:rsid wsp:val=&quot;00AC45B0&quot;/&gt;&lt;wsp:rsid wsp:val=&quot;00AC6BB4&quot;/&gt;&lt;wsp:rsid wsp:val=&quot;00AC6BC0&quot;/&gt;&lt;wsp:rsid wsp:val=&quot;00AC7342&quot;/&gt;&lt;wsp:rsid wsp:val=&quot;00AC78E7&quot;/&gt;&lt;wsp:rsid wsp:val=&quot;00AD22A4&quot;/&gt;&lt;wsp:rsid wsp:val=&quot;00AD30BB&quot;/&gt;&lt;wsp:rsid wsp:val=&quot;00AD40C8&quot;/&gt;&lt;wsp:rsid wsp:val=&quot;00AD43F8&quot;/&gt;&lt;wsp:rsid wsp:val=&quot;00AD54E1&quot;/&gt;&lt;wsp:rsid wsp:val=&quot;00AD5959&quot;/&gt;&lt;wsp:rsid wsp:val=&quot;00AD6EB2&quot;/&gt;&lt;wsp:rsid wsp:val=&quot;00AE1F79&quot;/&gt;&lt;wsp:rsid wsp:val=&quot;00AE2575&quot;/&gt;&lt;wsp:rsid wsp:val=&quot;00AE2896&quot;/&gt;&lt;wsp:rsid wsp:val=&quot;00AE2B83&quot;/&gt;&lt;wsp:rsid wsp:val=&quot;00AE32DD&quot;/&gt;&lt;wsp:rsid wsp:val=&quot;00AE6222&quot;/&gt;&lt;wsp:rsid wsp:val=&quot;00AE781C&quot;/&gt;&lt;wsp:rsid wsp:val=&quot;00AF0115&quot;/&gt;&lt;wsp:rsid wsp:val=&quot;00AF016D&quot;/&gt;&lt;wsp:rsid wsp:val=&quot;00AF06E9&quot;/&gt;&lt;wsp:rsid wsp:val=&quot;00AF11DE&quot;/&gt;&lt;wsp:rsid wsp:val=&quot;00AF12EA&quot;/&gt;&lt;wsp:rsid wsp:val=&quot;00AF16B5&quot;/&gt;&lt;wsp:rsid wsp:val=&quot;00AF203B&quot;/&gt;&lt;wsp:rsid wsp:val=&quot;00AF20C4&quot;/&gt;&lt;wsp:rsid wsp:val=&quot;00AF2408&quot;/&gt;&lt;wsp:rsid wsp:val=&quot;00AF27FF&quot;/&gt;&lt;wsp:rsid wsp:val=&quot;00AF2A32&quot;/&gt;&lt;wsp:rsid wsp:val=&quot;00AF2D50&quot;/&gt;&lt;wsp:rsid wsp:val=&quot;00AF32DE&quot;/&gt;&lt;wsp:rsid wsp:val=&quot;00AF3BD2&quot;/&gt;&lt;wsp:rsid wsp:val=&quot;00AF4C48&quot;/&gt;&lt;wsp:rsid wsp:val=&quot;00AF4CD6&quot;/&gt;&lt;wsp:rsid wsp:val=&quot;00AF4F44&quot;/&gt;&lt;wsp:rsid wsp:val=&quot;00AF5868&quot;/&gt;&lt;wsp:rsid wsp:val=&quot;00AF5A20&quot;/&gt;&lt;wsp:rsid wsp:val=&quot;00AF5ACE&quot;/&gt;&lt;wsp:rsid wsp:val=&quot;00AF5AD3&quot;/&gt;&lt;wsp:rsid wsp:val=&quot;00AF5F16&quot;/&gt;&lt;wsp:rsid wsp:val=&quot;00B00860&quot;/&gt;&lt;wsp:rsid wsp:val=&quot;00B00E5D&quot;/&gt;&lt;wsp:rsid wsp:val=&quot;00B010D2&quot;/&gt;&lt;wsp:rsid wsp:val=&quot;00B0156A&quot;/&gt;&lt;wsp:rsid wsp:val=&quot;00B017BA&quot;/&gt;&lt;wsp:rsid wsp:val=&quot;00B019D3&quot;/&gt;&lt;wsp:rsid wsp:val=&quot;00B01AB7&quot;/&gt;&lt;wsp:rsid wsp:val=&quot;00B02F02&quot;/&gt;&lt;wsp:rsid wsp:val=&quot;00B031F7&quot;/&gt;&lt;wsp:rsid wsp:val=&quot;00B0370E&quot;/&gt;&lt;wsp:rsid wsp:val=&quot;00B03DE1&quot;/&gt;&lt;wsp:rsid wsp:val=&quot;00B03E68&quot;/&gt;&lt;wsp:rsid wsp:val=&quot;00B04D31&quot;/&gt;&lt;wsp:rsid wsp:val=&quot;00B05204&quot;/&gt;&lt;wsp:rsid wsp:val=&quot;00B05DAB&quot;/&gt;&lt;wsp:rsid wsp:val=&quot;00B0648F&quot;/&gt;&lt;wsp:rsid wsp:val=&quot;00B067CF&quot;/&gt;&lt;wsp:rsid wsp:val=&quot;00B06CED&quot;/&gt;&lt;wsp:rsid wsp:val=&quot;00B0755C&quot;/&gt;&lt;wsp:rsid wsp:val=&quot;00B07C17&quot;/&gt;&lt;wsp:rsid wsp:val=&quot;00B10380&quot;/&gt;&lt;wsp:rsid wsp:val=&quot;00B10421&quot;/&gt;&lt;wsp:rsid wsp:val=&quot;00B10A6B&quot;/&gt;&lt;wsp:rsid wsp:val=&quot;00B11951&quot;/&gt;&lt;wsp:rsid wsp:val=&quot;00B1264A&quot;/&gt;&lt;wsp:rsid wsp:val=&quot;00B1355A&quot;/&gt;&lt;wsp:rsid wsp:val=&quot;00B14F6E&quot;/&gt;&lt;wsp:rsid wsp:val=&quot;00B15767&quot;/&gt;&lt;wsp:rsid wsp:val=&quot;00B1614E&quot;/&gt;&lt;wsp:rsid wsp:val=&quot;00B164C5&quot;/&gt;&lt;wsp:rsid wsp:val=&quot;00B204A7&quot;/&gt;&lt;wsp:rsid wsp:val=&quot;00B21229&quot;/&gt;&lt;wsp:rsid wsp:val=&quot;00B215F0&quot;/&gt;&lt;wsp:rsid wsp:val=&quot;00B2181B&quot;/&gt;&lt;wsp:rsid wsp:val=&quot;00B2190A&quot;/&gt;&lt;wsp:rsid wsp:val=&quot;00B22824&quot;/&gt;&lt;wsp:rsid wsp:val=&quot;00B235BF&quot;/&gt;&lt;wsp:rsid wsp:val=&quot;00B24695&quot;/&gt;&lt;wsp:rsid wsp:val=&quot;00B246FE&quot;/&gt;&lt;wsp:rsid wsp:val=&quot;00B24E7C&quot;/&gt;&lt;wsp:rsid wsp:val=&quot;00B258C5&quot;/&gt;&lt;wsp:rsid wsp:val=&quot;00B25F03&quot;/&gt;&lt;wsp:rsid wsp:val=&quot;00B27053&quot;/&gt;&lt;wsp:rsid wsp:val=&quot;00B27158&quot;/&gt;&lt;wsp:rsid wsp:val=&quot;00B27218&quot;/&gt;&lt;wsp:rsid wsp:val=&quot;00B272CA&quot;/&gt;&lt;wsp:rsid wsp:val=&quot;00B272E3&quot;/&gt;&lt;wsp:rsid wsp:val=&quot;00B30893&quot;/&gt;&lt;wsp:rsid wsp:val=&quot;00B310F6&quot;/&gt;&lt;wsp:rsid wsp:val=&quot;00B31293&quot;/&gt;&lt;wsp:rsid wsp:val=&quot;00B319F2&quot;/&gt;&lt;wsp:rsid wsp:val=&quot;00B31AE3&quot;/&gt;&lt;wsp:rsid wsp:val=&quot;00B32202&quot;/&gt;&lt;wsp:rsid wsp:val=&quot;00B32EC4&quot;/&gt;&lt;wsp:rsid wsp:val=&quot;00B332EA&quot;/&gt;&lt;wsp:rsid wsp:val=&quot;00B34303&quot;/&gt;&lt;wsp:rsid wsp:val=&quot;00B344ED&quot;/&gt;&lt;wsp:rsid wsp:val=&quot;00B345F3&quot;/&gt;&lt;wsp:rsid wsp:val=&quot;00B35492&quot;/&gt;&lt;wsp:rsid wsp:val=&quot;00B358E9&quot;/&gt;&lt;wsp:rsid wsp:val=&quot;00B359B0&quot;/&gt;&lt;wsp:rsid wsp:val=&quot;00B35F7C&quot;/&gt;&lt;wsp:rsid wsp:val=&quot;00B365E0&quot;/&gt;&lt;wsp:rsid wsp:val=&quot;00B36F84&quot;/&gt;&lt;wsp:rsid wsp:val=&quot;00B36FC4&quot;/&gt;&lt;wsp:rsid wsp:val=&quot;00B37142&quot;/&gt;&lt;wsp:rsid wsp:val=&quot;00B40652&quot;/&gt;&lt;wsp:rsid wsp:val=&quot;00B40A8F&quot;/&gt;&lt;wsp:rsid wsp:val=&quot;00B40D08&quot;/&gt;&lt;wsp:rsid wsp:val=&quot;00B40E7B&quot;/&gt;&lt;wsp:rsid wsp:val=&quot;00B410A5&quot;/&gt;&lt;wsp:rsid wsp:val=&quot;00B4225E&quot;/&gt;&lt;wsp:rsid wsp:val=&quot;00B428D1&quot;/&gt;&lt;wsp:rsid wsp:val=&quot;00B429AF&quot;/&gt;&lt;wsp:rsid wsp:val=&quot;00B42CF0&quot;/&gt;&lt;wsp:rsid wsp:val=&quot;00B43170&quot;/&gt;&lt;wsp:rsid wsp:val=&quot;00B43236&quot;/&gt;&lt;wsp:rsid wsp:val=&quot;00B43D60&quot;/&gt;&lt;wsp:rsid wsp:val=&quot;00B44DFB&quot;/&gt;&lt;wsp:rsid wsp:val=&quot;00B4510F&quot;/&gt;&lt;wsp:rsid wsp:val=&quot;00B451C0&quot;/&gt;&lt;wsp:rsid wsp:val=&quot;00B46A50&quot;/&gt;&lt;wsp:rsid wsp:val=&quot;00B46BF1&quot;/&gt;&lt;wsp:rsid wsp:val=&quot;00B46BF3&quot;/&gt;&lt;wsp:rsid wsp:val=&quot;00B46C08&quot;/&gt;&lt;wsp:rsid wsp:val=&quot;00B46E9B&quot;/&gt;&lt;wsp:rsid wsp:val=&quot;00B473CA&quot;/&gt;&lt;wsp:rsid wsp:val=&quot;00B50560&quot;/&gt;&lt;wsp:rsid wsp:val=&quot;00B50586&quot;/&gt;&lt;wsp:rsid wsp:val=&quot;00B50957&quot;/&gt;&lt;wsp:rsid wsp:val=&quot;00B516FB&quot;/&gt;&lt;wsp:rsid wsp:val=&quot;00B51B30&quot;/&gt;&lt;wsp:rsid wsp:val=&quot;00B51FED&quot;/&gt;&lt;wsp:rsid wsp:val=&quot;00B521F6&quot;/&gt;&lt;wsp:rsid wsp:val=&quot;00B528BD&quot;/&gt;&lt;wsp:rsid wsp:val=&quot;00B5362D&quot;/&gt;&lt;wsp:rsid wsp:val=&quot;00B53AB4&quot;/&gt;&lt;wsp:rsid wsp:val=&quot;00B53FCA&quot;/&gt;&lt;wsp:rsid wsp:val=&quot;00B55BAB&quot;/&gt;&lt;wsp:rsid wsp:val=&quot;00B55F7F&quot;/&gt;&lt;wsp:rsid wsp:val=&quot;00B5626A&quot;/&gt;&lt;wsp:rsid wsp:val=&quot;00B5638B&quot;/&gt;&lt;wsp:rsid wsp:val=&quot;00B56652&quot;/&gt;&lt;wsp:rsid wsp:val=&quot;00B569E4&quot;/&gt;&lt;wsp:rsid wsp:val=&quot;00B56F4C&quot;/&gt;&lt;wsp:rsid wsp:val=&quot;00B6055E&quot;/&gt;&lt;wsp:rsid wsp:val=&quot;00B605A6&quot;/&gt;&lt;wsp:rsid wsp:val=&quot;00B60A16&quot;/&gt;&lt;wsp:rsid wsp:val=&quot;00B60C71&quot;/&gt;&lt;wsp:rsid wsp:val=&quot;00B60CAF&quot;/&gt;&lt;wsp:rsid wsp:val=&quot;00B6130A&quot;/&gt;&lt;wsp:rsid wsp:val=&quot;00B61D42&quot;/&gt;&lt;wsp:rsid wsp:val=&quot;00B61F49&quot;/&gt;&lt;wsp:rsid wsp:val=&quot;00B62346&quot;/&gt;&lt;wsp:rsid wsp:val=&quot;00B624E3&quot;/&gt;&lt;wsp:rsid wsp:val=&quot;00B62DD4&quot;/&gt;&lt;wsp:rsid wsp:val=&quot;00B635EA&quot;/&gt;&lt;wsp:rsid wsp:val=&quot;00B639E4&quot;/&gt;&lt;wsp:rsid wsp:val=&quot;00B63D87&quot;/&gt;&lt;wsp:rsid wsp:val=&quot;00B63E5E&quot;/&gt;&lt;wsp:rsid wsp:val=&quot;00B65103&quot;/&gt;&lt;wsp:rsid wsp:val=&quot;00B66089&quot;/&gt;&lt;wsp:rsid wsp:val=&quot;00B660E8&quot;/&gt;&lt;wsp:rsid wsp:val=&quot;00B664A0&quot;/&gt;&lt;wsp:rsid wsp:val=&quot;00B6664A&quot;/&gt;&lt;wsp:rsid wsp:val=&quot;00B668C8&quot;/&gt;&lt;wsp:rsid wsp:val=&quot;00B6715C&quot;/&gt;&lt;wsp:rsid wsp:val=&quot;00B67939&quot;/&gt;&lt;wsp:rsid wsp:val=&quot;00B67BDB&quot;/&gt;&lt;wsp:rsid wsp:val=&quot;00B70432&quot;/&gt;&lt;wsp:rsid wsp:val=&quot;00B7126F&quot;/&gt;&lt;wsp:rsid wsp:val=&quot;00B713E3&quot;/&gt;&lt;wsp:rsid wsp:val=&quot;00B715FC&quot;/&gt;&lt;wsp:rsid wsp:val=&quot;00B7161A&quot;/&gt;&lt;wsp:rsid wsp:val=&quot;00B719A9&quot;/&gt;&lt;wsp:rsid wsp:val=&quot;00B71FC8&quot;/&gt;&lt;wsp:rsid wsp:val=&quot;00B722C4&quot;/&gt;&lt;wsp:rsid wsp:val=&quot;00B724AA&quot;/&gt;&lt;wsp:rsid wsp:val=&quot;00B7349C&quot;/&gt;&lt;wsp:rsid wsp:val=&quot;00B7360A&quot;/&gt;&lt;wsp:rsid wsp:val=&quot;00B73DA5&quot;/&gt;&lt;wsp:rsid wsp:val=&quot;00B7403B&quot;/&gt;&lt;wsp:rsid wsp:val=&quot;00B7489E&quot;/&gt;&lt;wsp:rsid wsp:val=&quot;00B74D56&quot;/&gt;&lt;wsp:rsid wsp:val=&quot;00B75202&quot;/&gt;&lt;wsp:rsid wsp:val=&quot;00B75262&quot;/&gt;&lt;wsp:rsid wsp:val=&quot;00B75301&quot;/&gt;&lt;wsp:rsid wsp:val=&quot;00B756E9&quot;/&gt;&lt;wsp:rsid wsp:val=&quot;00B75F7C&quot;/&gt;&lt;wsp:rsid wsp:val=&quot;00B766C8&quot;/&gt;&lt;wsp:rsid wsp:val=&quot;00B77CD7&quot;/&gt;&lt;wsp:rsid wsp:val=&quot;00B77F1C&quot;/&gt;&lt;wsp:rsid wsp:val=&quot;00B800E6&quot;/&gt;&lt;wsp:rsid wsp:val=&quot;00B80134&quot;/&gt;&lt;wsp:rsid wsp:val=&quot;00B80A1B&quot;/&gt;&lt;wsp:rsid wsp:val=&quot;00B815EB&quot;/&gt;&lt;wsp:rsid wsp:val=&quot;00B824F9&quot;/&gt;&lt;wsp:rsid wsp:val=&quot;00B8463E&quot;/&gt;&lt;wsp:rsid wsp:val=&quot;00B84930&quot;/&gt;&lt;wsp:rsid wsp:val=&quot;00B85075&quot;/&gt;&lt;wsp:rsid wsp:val=&quot;00B865F3&quot;/&gt;&lt;wsp:rsid wsp:val=&quot;00B8667B&quot;/&gt;&lt;wsp:rsid wsp:val=&quot;00B868E5&quot;/&gt;&lt;wsp:rsid wsp:val=&quot;00B87196&quot;/&gt;&lt;wsp:rsid wsp:val=&quot;00B8723C&quot;/&gt;&lt;wsp:rsid wsp:val=&quot;00B90166&quot;/&gt;&lt;wsp:rsid wsp:val=&quot;00B90597&quot;/&gt;&lt;wsp:rsid wsp:val=&quot;00B9086D&quot;/&gt;&lt;wsp:rsid wsp:val=&quot;00B90A32&quot;/&gt;&lt;wsp:rsid wsp:val=&quot;00B9101C&quot;/&gt;&lt;wsp:rsid wsp:val=&quot;00B9172D&quot;/&gt;&lt;wsp:rsid wsp:val=&quot;00B918E6&quot;/&gt;&lt;wsp:rsid wsp:val=&quot;00B92573&quot;/&gt;&lt;wsp:rsid wsp:val=&quot;00B93142&quot;/&gt;&lt;wsp:rsid wsp:val=&quot;00B936CB&quot;/&gt;&lt;wsp:rsid wsp:val=&quot;00B93B6E&quot;/&gt;&lt;wsp:rsid wsp:val=&quot;00B94754&quot;/&gt;&lt;wsp:rsid wsp:val=&quot;00B95747&quot;/&gt;&lt;wsp:rsid wsp:val=&quot;00B97CE0&quot;/&gt;&lt;wsp:rsid wsp:val=&quot;00B97DDF&quot;/&gt;&lt;wsp:rsid wsp:val=&quot;00BA0398&quot;/&gt;&lt;wsp:rsid wsp:val=&quot;00BA0432&quot;/&gt;&lt;wsp:rsid wsp:val=&quot;00BA06A0&quot;/&gt;&lt;wsp:rsid wsp:val=&quot;00BA1074&quot;/&gt;&lt;wsp:rsid wsp:val=&quot;00BA1328&quot;/&gt;&lt;wsp:rsid wsp:val=&quot;00BA142E&quot;/&gt;&lt;wsp:rsid wsp:val=&quot;00BA2028&quot;/&gt;&lt;wsp:rsid wsp:val=&quot;00BA3231&quot;/&gt;&lt;wsp:rsid wsp:val=&quot;00BA4182&quot;/&gt;&lt;wsp:rsid wsp:val=&quot;00BA424A&quot;/&gt;&lt;wsp:rsid wsp:val=&quot;00BA56B3&quot;/&gt;&lt;wsp:rsid wsp:val=&quot;00BA578E&quot;/&gt;&lt;wsp:rsid wsp:val=&quot;00BA58CA&quot;/&gt;&lt;wsp:rsid wsp:val=&quot;00BA78DA&quot;/&gt;&lt;wsp:rsid wsp:val=&quot;00BA7994&quot;/&gt;&lt;wsp:rsid wsp:val=&quot;00BB0C00&quot;/&gt;&lt;wsp:rsid wsp:val=&quot;00BB132E&quot;/&gt;&lt;wsp:rsid wsp:val=&quot;00BB1437&quot;/&gt;&lt;wsp:rsid wsp:val=&quot;00BB233A&quot;/&gt;&lt;wsp:rsid wsp:val=&quot;00BB3B57&quot;/&gt;&lt;wsp:rsid wsp:val=&quot;00BB3EA5&quot;/&gt;&lt;wsp:rsid wsp:val=&quot;00BB444E&quot;/&gt;&lt;wsp:rsid wsp:val=&quot;00BB49D8&quot;/&gt;&lt;wsp:rsid wsp:val=&quot;00BB5257&quot;/&gt;&lt;wsp:rsid wsp:val=&quot;00BB5D38&quot;/&gt;&lt;wsp:rsid wsp:val=&quot;00BB6199&quot;/&gt;&lt;wsp:rsid wsp:val=&quot;00BB6924&quot;/&gt;&lt;wsp:rsid wsp:val=&quot;00BB69DA&quot;/&gt;&lt;wsp:rsid wsp:val=&quot;00BB6E7F&quot;/&gt;&lt;wsp:rsid wsp:val=&quot;00BB7BC7&quot;/&gt;&lt;wsp:rsid wsp:val=&quot;00BC02E8&quot;/&gt;&lt;wsp:rsid wsp:val=&quot;00BC3646&quot;/&gt;&lt;wsp:rsid wsp:val=&quot;00BC4019&quot;/&gt;&lt;wsp:rsid wsp:val=&quot;00BC4FB4&quot;/&gt;&lt;wsp:rsid wsp:val=&quot;00BC51D0&quot;/&gt;&lt;wsp:rsid wsp:val=&quot;00BC53F1&quot;/&gt;&lt;wsp:rsid wsp:val=&quot;00BC5C25&quot;/&gt;&lt;wsp:rsid wsp:val=&quot;00BC5D52&quot;/&gt;&lt;wsp:rsid wsp:val=&quot;00BC60C7&quot;/&gt;&lt;wsp:rsid wsp:val=&quot;00BC690E&quot;/&gt;&lt;wsp:rsid wsp:val=&quot;00BC71C8&quot;/&gt;&lt;wsp:rsid wsp:val=&quot;00BC7AB1&quot;/&gt;&lt;wsp:rsid wsp:val=&quot;00BD0085&quot;/&gt;&lt;wsp:rsid wsp:val=&quot;00BD19C5&quot;/&gt;&lt;wsp:rsid wsp:val=&quot;00BD1DBC&quot;/&gt;&lt;wsp:rsid wsp:val=&quot;00BD21B4&quot;/&gt;&lt;wsp:rsid wsp:val=&quot;00BD2393&quot;/&gt;&lt;wsp:rsid wsp:val=&quot;00BD32F2&quot;/&gt;&lt;wsp:rsid wsp:val=&quot;00BD4E88&quot;/&gt;&lt;wsp:rsid wsp:val=&quot;00BD5688&quot;/&gt;&lt;wsp:rsid wsp:val=&quot;00BD58E3&quot;/&gt;&lt;wsp:rsid wsp:val=&quot;00BD59BF&quot;/&gt;&lt;wsp:rsid wsp:val=&quot;00BD60DE&quot;/&gt;&lt;wsp:rsid wsp:val=&quot;00BD62CA&quot;/&gt;&lt;wsp:rsid wsp:val=&quot;00BD67CA&quot;/&gt;&lt;wsp:rsid wsp:val=&quot;00BD68C4&quot;/&gt;&lt;wsp:rsid wsp:val=&quot;00BD7019&quot;/&gt;&lt;wsp:rsid wsp:val=&quot;00BD7211&quot;/&gt;&lt;wsp:rsid wsp:val=&quot;00BD773D&quot;/&gt;&lt;wsp:rsid wsp:val=&quot;00BD7C62&quot;/&gt;&lt;wsp:rsid wsp:val=&quot;00BD7F8A&quot;/&gt;&lt;wsp:rsid wsp:val=&quot;00BE00DA&quot;/&gt;&lt;wsp:rsid wsp:val=&quot;00BE030C&quot;/&gt;&lt;wsp:rsid wsp:val=&quot;00BE0424&quot;/&gt;&lt;wsp:rsid wsp:val=&quot;00BE05D7&quot;/&gt;&lt;wsp:rsid wsp:val=&quot;00BE079B&quot;/&gt;&lt;wsp:rsid wsp:val=&quot;00BE08C9&quot;/&gt;&lt;wsp:rsid wsp:val=&quot;00BE0DBC&quot;/&gt;&lt;wsp:rsid wsp:val=&quot;00BE101C&quot;/&gt;&lt;wsp:rsid wsp:val=&quot;00BE1DF2&quot;/&gt;&lt;wsp:rsid wsp:val=&quot;00BE1E71&quot;/&gt;&lt;wsp:rsid wsp:val=&quot;00BE3926&quot;/&gt;&lt;wsp:rsid wsp:val=&quot;00BE3DDF&quot;/&gt;&lt;wsp:rsid wsp:val=&quot;00BE4B38&quot;/&gt;&lt;wsp:rsid wsp:val=&quot;00BE644B&quot;/&gt;&lt;wsp:rsid wsp:val=&quot;00BE6877&quot;/&gt;&lt;wsp:rsid wsp:val=&quot;00BE6CDD&quot;/&gt;&lt;wsp:rsid wsp:val=&quot;00BE737F&quot;/&gt;&lt;wsp:rsid wsp:val=&quot;00BE7702&quot;/&gt;&lt;wsp:rsid wsp:val=&quot;00BE7C3D&quot;/&gt;&lt;wsp:rsid wsp:val=&quot;00BF0539&quot;/&gt;&lt;wsp:rsid wsp:val=&quot;00BF0FA7&quot;/&gt;&lt;wsp:rsid wsp:val=&quot;00BF2151&quot;/&gt;&lt;wsp:rsid wsp:val=&quot;00BF2B6C&quot;/&gt;&lt;wsp:rsid wsp:val=&quot;00BF2ECD&quot;/&gt;&lt;wsp:rsid wsp:val=&quot;00BF37E4&quot;/&gt;&lt;wsp:rsid wsp:val=&quot;00BF3957&quot;/&gt;&lt;wsp:rsid wsp:val=&quot;00BF3B11&quot;/&gt;&lt;wsp:rsid wsp:val=&quot;00BF47B4&quot;/&gt;&lt;wsp:rsid wsp:val=&quot;00BF4A8F&quot;/&gt;&lt;wsp:rsid wsp:val=&quot;00BF4BDF&quot;/&gt;&lt;wsp:rsid wsp:val=&quot;00BF55C6&quot;/&gt;&lt;wsp:rsid wsp:val=&quot;00BF6606&quot;/&gt;&lt;wsp:rsid wsp:val=&quot;00BF6869&quot;/&gt;&lt;wsp:rsid wsp:val=&quot;00BF6CC4&quot;/&gt;&lt;wsp:rsid wsp:val=&quot;00BF75BE&quot;/&gt;&lt;wsp:rsid wsp:val=&quot;00BF761B&quot;/&gt;&lt;wsp:rsid wsp:val=&quot;00C001FF&quot;/&gt;&lt;wsp:rsid wsp:val=&quot;00C006B5&quot;/&gt;&lt;wsp:rsid wsp:val=&quot;00C006F6&quot;/&gt;&lt;wsp:rsid wsp:val=&quot;00C00BD4&quot;/&gt;&lt;wsp:rsid wsp:val=&quot;00C02166&quot;/&gt;&lt;wsp:rsid wsp:val=&quot;00C02777&quot;/&gt;&lt;wsp:rsid wsp:val=&quot;00C02FF6&quot;/&gt;&lt;wsp:rsid wsp:val=&quot;00C03091&quot;/&gt;&lt;wsp:rsid wsp:val=&quot;00C0347A&quot;/&gt;&lt;wsp:rsid wsp:val=&quot;00C0376E&quot;/&gt;&lt;wsp:rsid wsp:val=&quot;00C0436C&quot;/&gt;&lt;wsp:rsid wsp:val=&quot;00C04E08&quot;/&gt;&lt;wsp:rsid wsp:val=&quot;00C05D95&quot;/&gt;&lt;wsp:rsid wsp:val=&quot;00C0602B&quot;/&gt;&lt;wsp:rsid wsp:val=&quot;00C07376&quot;/&gt;&lt;wsp:rsid wsp:val=&quot;00C0778C&quot;/&gt;&lt;wsp:rsid wsp:val=&quot;00C07AB3&quot;/&gt;&lt;wsp:rsid wsp:val=&quot;00C1044C&quot;/&gt;&lt;wsp:rsid wsp:val=&quot;00C104C0&quot;/&gt;&lt;wsp:rsid wsp:val=&quot;00C10660&quot;/&gt;&lt;wsp:rsid wsp:val=&quot;00C10D6D&quot;/&gt;&lt;wsp:rsid wsp:val=&quot;00C111A2&quot;/&gt;&lt;wsp:rsid wsp:val=&quot;00C11342&quot;/&gt;&lt;wsp:rsid wsp:val=&quot;00C1214B&quot;/&gt;&lt;wsp:rsid wsp:val=&quot;00C12BC3&quot;/&gt;&lt;wsp:rsid wsp:val=&quot;00C13538&quot;/&gt;&lt;wsp:rsid wsp:val=&quot;00C13777&quot;/&gt;&lt;wsp:rsid wsp:val=&quot;00C1595B&quot;/&gt;&lt;wsp:rsid wsp:val=&quot;00C16810&quot;/&gt;&lt;wsp:rsid wsp:val=&quot;00C17D9B&quot;/&gt;&lt;wsp:rsid wsp:val=&quot;00C20877&quot;/&gt;&lt;wsp:rsid wsp:val=&quot;00C2127F&quot;/&gt;&lt;wsp:rsid wsp:val=&quot;00C213C0&quot;/&gt;&lt;wsp:rsid wsp:val=&quot;00C2289A&quot;/&gt;&lt;wsp:rsid wsp:val=&quot;00C2371F&quot;/&gt;&lt;wsp:rsid wsp:val=&quot;00C24720&quot;/&gt;&lt;wsp:rsid wsp:val=&quot;00C24939&quot;/&gt;&lt;wsp:rsid wsp:val=&quot;00C24BEC&quot;/&gt;&lt;wsp:rsid wsp:val=&quot;00C25148&quot;/&gt;&lt;wsp:rsid wsp:val=&quot;00C25B4F&quot;/&gt;&lt;wsp:rsid wsp:val=&quot;00C25C52&quot;/&gt;&lt;wsp:rsid wsp:val=&quot;00C26985&quot;/&gt;&lt;wsp:rsid wsp:val=&quot;00C27C16&quot;/&gt;&lt;wsp:rsid wsp:val=&quot;00C27EF3&quot;/&gt;&lt;wsp:rsid wsp:val=&quot;00C3145B&quot;/&gt;&lt;wsp:rsid wsp:val=&quot;00C31549&quot;/&gt;&lt;wsp:rsid wsp:val=&quot;00C315DD&quot;/&gt;&lt;wsp:rsid wsp:val=&quot;00C31B4A&quot;/&gt;&lt;wsp:rsid wsp:val=&quot;00C31F2F&quot;/&gt;&lt;wsp:rsid wsp:val=&quot;00C32B56&quot;/&gt;&lt;wsp:rsid wsp:val=&quot;00C33AFE&quot;/&gt;&lt;wsp:rsid wsp:val=&quot;00C340FF&quot;/&gt;&lt;wsp:rsid wsp:val=&quot;00C34223&quot;/&gt;&lt;wsp:rsid wsp:val=&quot;00C34A61&quot;/&gt;&lt;wsp:rsid wsp:val=&quot;00C34F9A&quot;/&gt;&lt;wsp:rsid wsp:val=&quot;00C35697&quot;/&gt;&lt;wsp:rsid wsp:val=&quot;00C36450&quot;/&gt;&lt;wsp:rsid wsp:val=&quot;00C3688A&quot;/&gt;&lt;wsp:rsid wsp:val=&quot;00C37E5F&quot;/&gt;&lt;wsp:rsid wsp:val=&quot;00C40043&quot;/&gt;&lt;wsp:rsid wsp:val=&quot;00C40D14&quot;/&gt;&lt;wsp:rsid wsp:val=&quot;00C41EB3&quot;/&gt;&lt;wsp:rsid wsp:val=&quot;00C42559&quot;/&gt;&lt;wsp:rsid wsp:val=&quot;00C42A20&quot;/&gt;&lt;wsp:rsid wsp:val=&quot;00C442FC&quot;/&gt;&lt;wsp:rsid wsp:val=&quot;00C447F7&quot;/&gt;&lt;wsp:rsid wsp:val=&quot;00C44C86&quot;/&gt;&lt;wsp:rsid wsp:val=&quot;00C45055&quot;/&gt;&lt;wsp:rsid wsp:val=&quot;00C45080&quot;/&gt;&lt;wsp:rsid wsp:val=&quot;00C45ACA&quot;/&gt;&lt;wsp:rsid wsp:val=&quot;00C45CB3&quot;/&gt;&lt;wsp:rsid wsp:val=&quot;00C46EF4&quot;/&gt;&lt;wsp:rsid wsp:val=&quot;00C476C1&quot;/&gt;&lt;wsp:rsid wsp:val=&quot;00C502C3&quot;/&gt;&lt;wsp:rsid wsp:val=&quot;00C503D2&quot;/&gt;&lt;wsp:rsid wsp:val=&quot;00C50E03&quot;/&gt;&lt;wsp:rsid wsp:val=&quot;00C51322&quot;/&gt;&lt;wsp:rsid wsp:val=&quot;00C515B6&quot;/&gt;&lt;wsp:rsid wsp:val=&quot;00C518E0&quot;/&gt;&lt;wsp:rsid wsp:val=&quot;00C5304C&quot;/&gt;&lt;wsp:rsid wsp:val=&quot;00C55074&quot;/&gt;&lt;wsp:rsid wsp:val=&quot;00C56058&quot;/&gt;&lt;wsp:rsid wsp:val=&quot;00C5633A&quot;/&gt;&lt;wsp:rsid wsp:val=&quot;00C56F0C&quot;/&gt;&lt;wsp:rsid wsp:val=&quot;00C56F9C&quot;/&gt;&lt;wsp:rsid wsp:val=&quot;00C5744C&quot;/&gt;&lt;wsp:rsid wsp:val=&quot;00C57550&quot;/&gt;&lt;wsp:rsid wsp:val=&quot;00C57744&quot;/&gt;&lt;wsp:rsid wsp:val=&quot;00C57D3F&quot;/&gt;&lt;wsp:rsid wsp:val=&quot;00C57E20&quot;/&gt;&lt;wsp:rsid wsp:val=&quot;00C57EB7&quot;/&gt;&lt;wsp:rsid wsp:val=&quot;00C60C22&quot;/&gt;&lt;wsp:rsid wsp:val=&quot;00C60E89&quot;/&gt;&lt;wsp:rsid wsp:val=&quot;00C61094&quot;/&gt;&lt;wsp:rsid wsp:val=&quot;00C6168C&quot;/&gt;&lt;wsp:rsid wsp:val=&quot;00C62A99&quot;/&gt;&lt;wsp:rsid wsp:val=&quot;00C6342C&quot;/&gt;&lt;wsp:rsid wsp:val=&quot;00C6441D&quot;/&gt;&lt;wsp:rsid wsp:val=&quot;00C649D1&quot;/&gt;&lt;wsp:rsid wsp:val=&quot;00C6521C&quot;/&gt;&lt;wsp:rsid wsp:val=&quot;00C65244&quot;/&gt;&lt;wsp:rsid wsp:val=&quot;00C65796&quot;/&gt;&lt;wsp:rsid wsp:val=&quot;00C66A34&quot;/&gt;&lt;wsp:rsid wsp:val=&quot;00C670F8&quot;/&gt;&lt;wsp:rsid wsp:val=&quot;00C67B90&quot;/&gt;&lt;wsp:rsid wsp:val=&quot;00C70DC1&quot;/&gt;&lt;wsp:rsid wsp:val=&quot;00C70EB4&quot;/&gt;&lt;wsp:rsid wsp:val=&quot;00C72378&quot;/&gt;&lt;wsp:rsid wsp:val=&quot;00C72498&quot;/&gt;&lt;wsp:rsid wsp:val=&quot;00C7263A&quot;/&gt;&lt;wsp:rsid wsp:val=&quot;00C7284A&quot;/&gt;&lt;wsp:rsid wsp:val=&quot;00C72E29&quot;/&gt;&lt;wsp:rsid wsp:val=&quot;00C7308D&quot;/&gt;&lt;wsp:rsid wsp:val=&quot;00C73D63&quot;/&gt;&lt;wsp:rsid wsp:val=&quot;00C73FE1&quot;/&gt;&lt;wsp:rsid wsp:val=&quot;00C748F2&quot;/&gt;&lt;wsp:rsid wsp:val=&quot;00C74DEE&quot;/&gt;&lt;wsp:rsid wsp:val=&quot;00C7526A&quot;/&gt;&lt;wsp:rsid wsp:val=&quot;00C752A0&quot;/&gt;&lt;wsp:rsid wsp:val=&quot;00C7551F&quot;/&gt;&lt;wsp:rsid wsp:val=&quot;00C756BB&quot;/&gt;&lt;wsp:rsid wsp:val=&quot;00C756C5&quot;/&gt;&lt;wsp:rsid wsp:val=&quot;00C76A09&quot;/&gt;&lt;wsp:rsid wsp:val=&quot;00C77B0A&quot;/&gt;&lt;wsp:rsid wsp:val=&quot;00C80744&quot;/&gt;&lt;wsp:rsid wsp:val=&quot;00C808C7&quot;/&gt;&lt;wsp:rsid wsp:val=&quot;00C829D6&quot;/&gt;&lt;wsp:rsid wsp:val=&quot;00C83A9C&quot;/&gt;&lt;wsp:rsid wsp:val=&quot;00C83D87&quot;/&gt;&lt;wsp:rsid wsp:val=&quot;00C84682&quot;/&gt;&lt;wsp:rsid wsp:val=&quot;00C85B96&quot;/&gt;&lt;wsp:rsid wsp:val=&quot;00C85C23&quot;/&gt;&lt;wsp:rsid wsp:val=&quot;00C86559&quot;/&gt;&lt;wsp:rsid wsp:val=&quot;00C87650&quot;/&gt;&lt;wsp:rsid wsp:val=&quot;00C879AA&quot;/&gt;&lt;wsp:rsid wsp:val=&quot;00C87C34&quot;/&gt;&lt;wsp:rsid wsp:val=&quot;00C87E71&quot;/&gt;&lt;wsp:rsid wsp:val=&quot;00C907FF&quot;/&gt;&lt;wsp:rsid wsp:val=&quot;00C909FC&quot;/&gt;&lt;wsp:rsid wsp:val=&quot;00C90DEF&quot;/&gt;&lt;wsp:rsid wsp:val=&quot;00C910F1&quot;/&gt;&lt;wsp:rsid wsp:val=&quot;00C916A3&quot;/&gt;&lt;wsp:rsid wsp:val=&quot;00C9199D&quot;/&gt;&lt;wsp:rsid wsp:val=&quot;00C91C3A&quot;/&gt;&lt;wsp:rsid wsp:val=&quot;00C92757&quot;/&gt;&lt;wsp:rsid wsp:val=&quot;00C93FE8&quot;/&gt;&lt;wsp:rsid wsp:val=&quot;00C94AF0&quot;/&gt;&lt;wsp:rsid wsp:val=&quot;00C94C17&quot;/&gt;&lt;wsp:rsid wsp:val=&quot;00C969B7&quot;/&gt;&lt;wsp:rsid wsp:val=&quot;00C96AD1&quot;/&gt;&lt;wsp:rsid wsp:val=&quot;00C97927&quot;/&gt;&lt;wsp:rsid wsp:val=&quot;00C979B7&quot;/&gt;&lt;wsp:rsid wsp:val=&quot;00C97EE9&quot;/&gt;&lt;wsp:rsid wsp:val=&quot;00CA0948&quot;/&gt;&lt;wsp:rsid wsp:val=&quot;00CA1032&quot;/&gt;&lt;wsp:rsid wsp:val=&quot;00CA108C&quot;/&gt;&lt;wsp:rsid wsp:val=&quot;00CA12CA&quot;/&gt;&lt;wsp:rsid wsp:val=&quot;00CA1570&quot;/&gt;&lt;wsp:rsid wsp:val=&quot;00CA189C&quot;/&gt;&lt;wsp:rsid wsp:val=&quot;00CA2193&quot;/&gt;&lt;wsp:rsid wsp:val=&quot;00CA2E6A&quot;/&gt;&lt;wsp:rsid wsp:val=&quot;00CA3109&quot;/&gt;&lt;wsp:rsid wsp:val=&quot;00CA3B0B&quot;/&gt;&lt;wsp:rsid wsp:val=&quot;00CA3D82&quot;/&gt;&lt;wsp:rsid wsp:val=&quot;00CA415A&quot;/&gt;&lt;wsp:rsid wsp:val=&quot;00CA4397&quot;/&gt;&lt;wsp:rsid wsp:val=&quot;00CA52A2&quot;/&gt;&lt;wsp:rsid wsp:val=&quot;00CA5815&quot;/&gt;&lt;wsp:rsid wsp:val=&quot;00CA5AE1&quot;/&gt;&lt;wsp:rsid wsp:val=&quot;00CA75C9&quot;/&gt;&lt;wsp:rsid wsp:val=&quot;00CA7F1C&quot;/&gt;&lt;wsp:rsid wsp:val=&quot;00CB0723&quot;/&gt;&lt;wsp:rsid wsp:val=&quot;00CB07B6&quot;/&gt;&lt;wsp:rsid wsp:val=&quot;00CB0D44&quot;/&gt;&lt;wsp:rsid wsp:val=&quot;00CB2928&quot;/&gt;&lt;wsp:rsid wsp:val=&quot;00CB32F7&quot;/&gt;&lt;wsp:rsid wsp:val=&quot;00CB3A32&quot;/&gt;&lt;wsp:rsid wsp:val=&quot;00CB44B0&quot;/&gt;&lt;wsp:rsid wsp:val=&quot;00CB4DF2&quot;/&gt;&lt;wsp:rsid wsp:val=&quot;00CB6064&quot;/&gt;&lt;wsp:rsid wsp:val=&quot;00CB614F&quot;/&gt;&lt;wsp:rsid wsp:val=&quot;00CB6C90&quot;/&gt;&lt;wsp:rsid wsp:val=&quot;00CB6DC9&quot;/&gt;&lt;wsp:rsid wsp:val=&quot;00CC1069&quot;/&gt;&lt;wsp:rsid wsp:val=&quot;00CC160E&quot;/&gt;&lt;wsp:rsid wsp:val=&quot;00CC17B9&quot;/&gt;&lt;wsp:rsid wsp:val=&quot;00CC239D&quot;/&gt;&lt;wsp:rsid wsp:val=&quot;00CC369B&quot;/&gt;&lt;wsp:rsid wsp:val=&quot;00CC39BF&quot;/&gt;&lt;wsp:rsid wsp:val=&quot;00CC5E61&quot;/&gt;&lt;wsp:rsid wsp:val=&quot;00CC65BF&quot;/&gt;&lt;wsp:rsid wsp:val=&quot;00CC6F0A&quot;/&gt;&lt;wsp:rsid wsp:val=&quot;00CC7756&quot;/&gt;&lt;wsp:rsid wsp:val=&quot;00CC7AA2&quot;/&gt;&lt;wsp:rsid wsp:val=&quot;00CD03A3&quot;/&gt;&lt;wsp:rsid wsp:val=&quot;00CD06BF&quot;/&gt;&lt;wsp:rsid wsp:val=&quot;00CD0F07&quot;/&gt;&lt;wsp:rsid wsp:val=&quot;00CD1090&quot;/&gt;&lt;wsp:rsid wsp:val=&quot;00CD141C&quot;/&gt;&lt;wsp:rsid wsp:val=&quot;00CD2482&quot;/&gt;&lt;wsp:rsid wsp:val=&quot;00CD2A19&quot;/&gt;&lt;wsp:rsid wsp:val=&quot;00CD3A5B&quot;/&gt;&lt;wsp:rsid wsp:val=&quot;00CD3A9C&quot;/&gt;&lt;wsp:rsid wsp:val=&quot;00CD3D0A&quot;/&gt;&lt;wsp:rsid wsp:val=&quot;00CD420A&quot;/&gt;&lt;wsp:rsid wsp:val=&quot;00CD6A32&quot;/&gt;&lt;wsp:rsid wsp:val=&quot;00CD72A4&quot;/&gt;&lt;wsp:rsid wsp:val=&quot;00CD7FCB&quot;/&gt;&lt;wsp:rsid wsp:val=&quot;00CE03C4&quot;/&gt;&lt;wsp:rsid wsp:val=&quot;00CE0BD1&quot;/&gt;&lt;wsp:rsid wsp:val=&quot;00CE1A06&quot;/&gt;&lt;wsp:rsid wsp:val=&quot;00CE220F&quot;/&gt;&lt;wsp:rsid wsp:val=&quot;00CE25BD&quot;/&gt;&lt;wsp:rsid wsp:val=&quot;00CE26C8&quot;/&gt;&lt;wsp:rsid wsp:val=&quot;00CE3980&quot;/&gt;&lt;wsp:rsid wsp:val=&quot;00CE4886&quot;/&gt;&lt;wsp:rsid wsp:val=&quot;00CE523B&quot;/&gt;&lt;wsp:rsid wsp:val=&quot;00CE54EA&quot;/&gt;&lt;wsp:rsid wsp:val=&quot;00CE6799&quot;/&gt;&lt;wsp:rsid wsp:val=&quot;00CE6C1F&quot;/&gt;&lt;wsp:rsid wsp:val=&quot;00CE6C43&quot;/&gt;&lt;wsp:rsid wsp:val=&quot;00CE7367&quot;/&gt;&lt;wsp:rsid wsp:val=&quot;00CE778B&quot;/&gt;&lt;wsp:rsid wsp:val=&quot;00CE7BE3&quot;/&gt;&lt;wsp:rsid wsp:val=&quot;00CF0829&quot;/&gt;&lt;wsp:rsid wsp:val=&quot;00CF0E6A&quot;/&gt;&lt;wsp:rsid wsp:val=&quot;00CF0FD3&quot;/&gt;&lt;wsp:rsid wsp:val=&quot;00CF11AC&quot;/&gt;&lt;wsp:rsid wsp:val=&quot;00CF153C&quot;/&gt;&lt;wsp:rsid wsp:val=&quot;00CF15FE&quot;/&gt;&lt;wsp:rsid wsp:val=&quot;00CF19A9&quot;/&gt;&lt;wsp:rsid wsp:val=&quot;00CF2245&quot;/&gt;&lt;wsp:rsid wsp:val=&quot;00CF2285&quot;/&gt;&lt;wsp:rsid wsp:val=&quot;00CF25B8&quot;/&gt;&lt;wsp:rsid wsp:val=&quot;00CF2CFD&quot;/&gt;&lt;wsp:rsid wsp:val=&quot;00CF3027&quot;/&gt;&lt;wsp:rsid wsp:val=&quot;00CF357A&quot;/&gt;&lt;wsp:rsid wsp:val=&quot;00CF4543&quot;/&gt;&lt;wsp:rsid wsp:val=&quot;00CF470B&quot;/&gt;&lt;wsp:rsid wsp:val=&quot;00CF549C&quot;/&gt;&lt;wsp:rsid wsp:val=&quot;00CF6322&quot;/&gt;&lt;wsp:rsid wsp:val=&quot;00CF6383&quot;/&gt;&lt;wsp:rsid wsp:val=&quot;00CF63F6&quot;/&gt;&lt;wsp:rsid wsp:val=&quot;00CF6B41&quot;/&gt;&lt;wsp:rsid wsp:val=&quot;00CF7317&quot;/&gt;&lt;wsp:rsid wsp:val=&quot;00CF77D6&quot;/&gt;&lt;wsp:rsid wsp:val=&quot;00CF795E&quot;/&gt;&lt;wsp:rsid wsp:val=&quot;00CF7BC0&quot;/&gt;&lt;wsp:rsid wsp:val=&quot;00CF7F8E&quot;/&gt;&lt;wsp:rsid wsp:val=&quot;00D02006&quot;/&gt;&lt;wsp:rsid wsp:val=&quot;00D02BB6&quot;/&gt;&lt;wsp:rsid wsp:val=&quot;00D033DA&quot;/&gt;&lt;wsp:rsid wsp:val=&quot;00D03885&quot;/&gt;&lt;wsp:rsid wsp:val=&quot;00D050A7&quot;/&gt;&lt;wsp:rsid wsp:val=&quot;00D05371&quot;/&gt;&lt;wsp:rsid wsp:val=&quot;00D05CB7&quot;/&gt;&lt;wsp:rsid wsp:val=&quot;00D05FA1&quot;/&gt;&lt;wsp:rsid wsp:val=&quot;00D0697C&quot;/&gt;&lt;wsp:rsid wsp:val=&quot;00D07FDB&quot;/&gt;&lt;wsp:rsid wsp:val=&quot;00D107B7&quot;/&gt;&lt;wsp:rsid wsp:val=&quot;00D107C0&quot;/&gt;&lt;wsp:rsid wsp:val=&quot;00D10FAA&quot;/&gt;&lt;wsp:rsid wsp:val=&quot;00D11014&quot;/&gt;&lt;wsp:rsid wsp:val=&quot;00D11B52&quot;/&gt;&lt;wsp:rsid wsp:val=&quot;00D11B56&quot;/&gt;&lt;wsp:rsid wsp:val=&quot;00D12373&quot;/&gt;&lt;wsp:rsid wsp:val=&quot;00D1281E&quot;/&gt;&lt;wsp:rsid wsp:val=&quot;00D12A35&quot;/&gt;&lt;wsp:rsid wsp:val=&quot;00D12BC0&quot;/&gt;&lt;wsp:rsid wsp:val=&quot;00D12D8C&quot;/&gt;&lt;wsp:rsid wsp:val=&quot;00D13FCD&quot;/&gt;&lt;wsp:rsid wsp:val=&quot;00D14C1E&quot;/&gt;&lt;wsp:rsid wsp:val=&quot;00D1510F&quot;/&gt;&lt;wsp:rsid wsp:val=&quot;00D15392&quot;/&gt;&lt;wsp:rsid wsp:val=&quot;00D15CCD&quot;/&gt;&lt;wsp:rsid wsp:val=&quot;00D1678B&quot;/&gt;&lt;wsp:rsid wsp:val=&quot;00D17D86&quot;/&gt;&lt;wsp:rsid wsp:val=&quot;00D2016B&quot;/&gt;&lt;wsp:rsid wsp:val=&quot;00D204F6&quot;/&gt;&lt;wsp:rsid wsp:val=&quot;00D205E3&quot;/&gt;&lt;wsp:rsid wsp:val=&quot;00D21BA4&quot;/&gt;&lt;wsp:rsid wsp:val=&quot;00D222C4&quot;/&gt;&lt;wsp:rsid wsp:val=&quot;00D235EC&quot;/&gt;&lt;wsp:rsid wsp:val=&quot;00D25493&quot;/&gt;&lt;wsp:rsid wsp:val=&quot;00D25F41&quot;/&gt;&lt;wsp:rsid wsp:val=&quot;00D2694E&quot;/&gt;&lt;wsp:rsid wsp:val=&quot;00D27152&quot;/&gt;&lt;wsp:rsid wsp:val=&quot;00D277AA&quot;/&gt;&lt;wsp:rsid wsp:val=&quot;00D277BF&quot;/&gt;&lt;wsp:rsid wsp:val=&quot;00D27BFF&quot;/&gt;&lt;wsp:rsid wsp:val=&quot;00D30BDA&quot;/&gt;&lt;wsp:rsid wsp:val=&quot;00D318FE&quot;/&gt;&lt;wsp:rsid wsp:val=&quot;00D32678&quot;/&gt;&lt;wsp:rsid wsp:val=&quot;00D32871&quot;/&gt;&lt;wsp:rsid wsp:val=&quot;00D32986&quot;/&gt;&lt;wsp:rsid wsp:val=&quot;00D32ACE&quot;/&gt;&lt;wsp:rsid wsp:val=&quot;00D3366A&quot;/&gt;&lt;wsp:rsid wsp:val=&quot;00D33884&quot;/&gt;&lt;wsp:rsid wsp:val=&quot;00D33E6A&quot;/&gt;&lt;wsp:rsid wsp:val=&quot;00D3419E&quot;/&gt;&lt;wsp:rsid wsp:val=&quot;00D34938&quot;/&gt;&lt;wsp:rsid wsp:val=&quot;00D34A48&quot;/&gt;&lt;wsp:rsid wsp:val=&quot;00D35BE6&quot;/&gt;&lt;wsp:rsid wsp:val=&quot;00D36E74&quot;/&gt;&lt;wsp:rsid wsp:val=&quot;00D37ED2&quot;/&gt;&lt;wsp:rsid wsp:val=&quot;00D409AC&quot;/&gt;&lt;wsp:rsid wsp:val=&quot;00D421DF&quot;/&gt;&lt;wsp:rsid wsp:val=&quot;00D425BE&quot;/&gt;&lt;wsp:rsid wsp:val=&quot;00D42B75&quot;/&gt;&lt;wsp:rsid wsp:val=&quot;00D42EA9&quot;/&gt;&lt;wsp:rsid wsp:val=&quot;00D4302B&quot;/&gt;&lt;wsp:rsid wsp:val=&quot;00D440E0&quot;/&gt;&lt;wsp:rsid wsp:val=&quot;00D44B83&quot;/&gt;&lt;wsp:rsid wsp:val=&quot;00D45697&quot;/&gt;&lt;wsp:rsid wsp:val=&quot;00D459A3&quot;/&gt;&lt;wsp:rsid wsp:val=&quot;00D4689B&quot;/&gt;&lt;wsp:rsid wsp:val=&quot;00D46DD8&quot;/&gt;&lt;wsp:rsid wsp:val=&quot;00D46EB2&quot;/&gt;&lt;wsp:rsid wsp:val=&quot;00D4796C&quot;/&gt;&lt;wsp:rsid wsp:val=&quot;00D50198&quot;/&gt;&lt;wsp:rsid wsp:val=&quot;00D501F2&quot;/&gt;&lt;wsp:rsid wsp:val=&quot;00D50910&quot;/&gt;&lt;wsp:rsid wsp:val=&quot;00D51010&quot;/&gt;&lt;wsp:rsid wsp:val=&quot;00D5120D&quot;/&gt;&lt;wsp:rsid wsp:val=&quot;00D514FE&quot;/&gt;&lt;wsp:rsid wsp:val=&quot;00D5273A&quot;/&gt;&lt;wsp:rsid wsp:val=&quot;00D531AE&quot;/&gt;&lt;wsp:rsid wsp:val=&quot;00D5342E&quot;/&gt;&lt;wsp:rsid wsp:val=&quot;00D53A4B&quot;/&gt;&lt;wsp:rsid wsp:val=&quot;00D54093&quot;/&gt;&lt;wsp:rsid wsp:val=&quot;00D54455&quot;/&gt;&lt;wsp:rsid wsp:val=&quot;00D55556&quot;/&gt;&lt;wsp:rsid wsp:val=&quot;00D5587A&quot;/&gt;&lt;wsp:rsid wsp:val=&quot;00D565F2&quot;/&gt;&lt;wsp:rsid wsp:val=&quot;00D56A48&quot;/&gt;&lt;wsp:rsid wsp:val=&quot;00D57F17&quot;/&gt;&lt;wsp:rsid wsp:val=&quot;00D605A0&quot;/&gt;&lt;wsp:rsid wsp:val=&quot;00D608F4&quot;/&gt;&lt;wsp:rsid wsp:val=&quot;00D61619&quot;/&gt;&lt;wsp:rsid wsp:val=&quot;00D62C87&quot;/&gt;&lt;wsp:rsid wsp:val=&quot;00D6314C&quot;/&gt;&lt;wsp:rsid wsp:val=&quot;00D63E6B&quot;/&gt;&lt;wsp:rsid wsp:val=&quot;00D64051&quot;/&gt;&lt;wsp:rsid wsp:val=&quot;00D644BD&quot;/&gt;&lt;wsp:rsid wsp:val=&quot;00D649C4&quot;/&gt;&lt;wsp:rsid wsp:val=&quot;00D64C61&quot;/&gt;&lt;wsp:rsid wsp:val=&quot;00D65E25&quot;/&gt;&lt;wsp:rsid wsp:val=&quot;00D66315&quot;/&gt;&lt;wsp:rsid wsp:val=&quot;00D67245&quot;/&gt;&lt;wsp:rsid wsp:val=&quot;00D67750&quot;/&gt;&lt;wsp:rsid wsp:val=&quot;00D67C0F&quot;/&gt;&lt;wsp:rsid wsp:val=&quot;00D70182&quot;/&gt;&lt;wsp:rsid wsp:val=&quot;00D7061D&quot;/&gt;&lt;wsp:rsid wsp:val=&quot;00D709AA&quot;/&gt;&lt;wsp:rsid wsp:val=&quot;00D72141&quot;/&gt;&lt;wsp:rsid wsp:val=&quot;00D722D4&quot;/&gt;&lt;wsp:rsid wsp:val=&quot;00D724E3&quot;/&gt;&lt;wsp:rsid wsp:val=&quot;00D7289E&quot;/&gt;&lt;wsp:rsid wsp:val=&quot;00D72B4D&quot;/&gt;&lt;wsp:rsid wsp:val=&quot;00D72CA3&quot;/&gt;&lt;wsp:rsid wsp:val=&quot;00D7348C&quot;/&gt;&lt;wsp:rsid wsp:val=&quot;00D73B80&quot;/&gt;&lt;wsp:rsid wsp:val=&quot;00D73E96&quot;/&gt;&lt;wsp:rsid wsp:val=&quot;00D742ED&quot;/&gt;&lt;wsp:rsid wsp:val=&quot;00D7435C&quot;/&gt;&lt;wsp:rsid wsp:val=&quot;00D74874&quot;/&gt;&lt;wsp:rsid wsp:val=&quot;00D7496E&quot;/&gt;&lt;wsp:rsid wsp:val=&quot;00D76D06&quot;/&gt;&lt;wsp:rsid wsp:val=&quot;00D772CA&quot;/&gt;&lt;wsp:rsid wsp:val=&quot;00D80A60&quot;/&gt;&lt;wsp:rsid wsp:val=&quot;00D81205&quot;/&gt;&lt;wsp:rsid wsp:val=&quot;00D822D0&quot;/&gt;&lt;wsp:rsid wsp:val=&quot;00D825E0&quot;/&gt;&lt;wsp:rsid wsp:val=&quot;00D82D1A&quot;/&gt;&lt;wsp:rsid wsp:val=&quot;00D82D26&quot;/&gt;&lt;wsp:rsid wsp:val=&quot;00D82F39&quot;/&gt;&lt;wsp:rsid wsp:val=&quot;00D84E4A&quot;/&gt;&lt;wsp:rsid wsp:val=&quot;00D853C7&quot;/&gt;&lt;wsp:rsid wsp:val=&quot;00D8643A&quot;/&gt;&lt;wsp:rsid wsp:val=&quot;00D86788&quot;/&gt;&lt;wsp:rsid wsp:val=&quot;00D86E37&quot;/&gt;&lt;wsp:rsid wsp:val=&quot;00D87D58&quot;/&gt;&lt;wsp:rsid wsp:val=&quot;00D87DD3&quot;/&gt;&lt;wsp:rsid wsp:val=&quot;00D87F78&quot;/&gt;&lt;wsp:rsid wsp:val=&quot;00D90DEA&quot;/&gt;&lt;wsp:rsid wsp:val=&quot;00D919A2&quot;/&gt;&lt;wsp:rsid wsp:val=&quot;00D91CB8&quot;/&gt;&lt;wsp:rsid wsp:val=&quot;00D91DDB&quot;/&gt;&lt;wsp:rsid wsp:val=&quot;00D932D1&quot;/&gt;&lt;wsp:rsid wsp:val=&quot;00D93AC0&quot;/&gt;&lt;wsp:rsid wsp:val=&quot;00D93F20&quot;/&gt;&lt;wsp:rsid wsp:val=&quot;00D9466B&quot;/&gt;&lt;wsp:rsid wsp:val=&quot;00D94C93&quot;/&gt;&lt;wsp:rsid wsp:val=&quot;00D94E64&quot;/&gt;&lt;wsp:rsid wsp:val=&quot;00D95124&quot;/&gt;&lt;wsp:rsid wsp:val=&quot;00D956D2&quot;/&gt;&lt;wsp:rsid wsp:val=&quot;00DA0DFF&quot;/&gt;&lt;wsp:rsid wsp:val=&quot;00DA115F&quot;/&gt;&lt;wsp:rsid wsp:val=&quot;00DA1269&quot;/&gt;&lt;wsp:rsid wsp:val=&quot;00DA231A&quot;/&gt;&lt;wsp:rsid wsp:val=&quot;00DA2B50&quot;/&gt;&lt;wsp:rsid wsp:val=&quot;00DA2CE5&quot;/&gt;&lt;wsp:rsid wsp:val=&quot;00DA3472&quot;/&gt;&lt;wsp:rsid wsp:val=&quot;00DA3548&quot;/&gt;&lt;wsp:rsid wsp:val=&quot;00DA3894&quot;/&gt;&lt;wsp:rsid wsp:val=&quot;00DA3B1B&quot;/&gt;&lt;wsp:rsid wsp:val=&quot;00DA436E&quot;/&gt;&lt;wsp:rsid wsp:val=&quot;00DA4CCF&quot;/&gt;&lt;wsp:rsid wsp:val=&quot;00DA5C13&quot;/&gt;&lt;wsp:rsid wsp:val=&quot;00DA5E14&quot;/&gt;&lt;wsp:rsid wsp:val=&quot;00DA6541&quot;/&gt;&lt;wsp:rsid wsp:val=&quot;00DA6F43&quot;/&gt;&lt;wsp:rsid wsp:val=&quot;00DA70F9&quot;/&gt;&lt;wsp:rsid wsp:val=&quot;00DA7D36&quot;/&gt;&lt;wsp:rsid wsp:val=&quot;00DB1B12&quot;/&gt;&lt;wsp:rsid wsp:val=&quot;00DB1CEC&quot;/&gt;&lt;wsp:rsid wsp:val=&quot;00DB26DB&quot;/&gt;&lt;wsp:rsid wsp:val=&quot;00DB3129&quot;/&gt;&lt;wsp:rsid wsp:val=&quot;00DB38E2&quot;/&gt;&lt;wsp:rsid wsp:val=&quot;00DB412C&quot;/&gt;&lt;wsp:rsid wsp:val=&quot;00DB4146&quot;/&gt;&lt;wsp:rsid wsp:val=&quot;00DB45C1&quot;/&gt;&lt;wsp:rsid wsp:val=&quot;00DB491F&quot;/&gt;&lt;wsp:rsid wsp:val=&quot;00DB5583&quot;/&gt;&lt;wsp:rsid wsp:val=&quot;00DB5619&quot;/&gt;&lt;wsp:rsid wsp:val=&quot;00DB65C0&quot;/&gt;&lt;wsp:rsid wsp:val=&quot;00DB7740&quot;/&gt;&lt;wsp:rsid wsp:val=&quot;00DB78BB&quot;/&gt;&lt;wsp:rsid wsp:val=&quot;00DC1325&quot;/&gt;&lt;wsp:rsid wsp:val=&quot;00DC155D&quot;/&gt;&lt;wsp:rsid wsp:val=&quot;00DC16FD&quot;/&gt;&lt;wsp:rsid wsp:val=&quot;00DC1B5F&quot;/&gt;&lt;wsp:rsid wsp:val=&quot;00DC241F&quot;/&gt;&lt;wsp:rsid wsp:val=&quot;00DC2577&quot;/&gt;&lt;wsp:rsid wsp:val=&quot;00DC30F0&quot;/&gt;&lt;wsp:rsid wsp:val=&quot;00DC35A8&quot;/&gt;&lt;wsp:rsid wsp:val=&quot;00DC368E&quot;/&gt;&lt;wsp:rsid wsp:val=&quot;00DC3C57&quot;/&gt;&lt;wsp:rsid wsp:val=&quot;00DC423F&quot;/&gt;&lt;wsp:rsid wsp:val=&quot;00DC4BF4&quot;/&gt;&lt;wsp:rsid wsp:val=&quot;00DC4CA8&quot;/&gt;&lt;wsp:rsid wsp:val=&quot;00DC4F32&quot;/&gt;&lt;wsp:rsid wsp:val=&quot;00DC4FCA&quot;/&gt;&lt;wsp:rsid wsp:val=&quot;00DC5675&quot;/&gt;&lt;wsp:rsid wsp:val=&quot;00DC6574&quot;/&gt;&lt;wsp:rsid wsp:val=&quot;00DC6984&quot;/&gt;&lt;wsp:rsid wsp:val=&quot;00DC7150&quot;/&gt;&lt;wsp:rsid wsp:val=&quot;00DC731F&quot;/&gt;&lt;wsp:rsid wsp:val=&quot;00DC7415&quot;/&gt;&lt;wsp:rsid wsp:val=&quot;00DC7DB0&quot;/&gt;&lt;wsp:rsid wsp:val=&quot;00DD02F0&quot;/&gt;&lt;wsp:rsid wsp:val=&quot;00DD126F&quot;/&gt;&lt;wsp:rsid wsp:val=&quot;00DD24A7&quot;/&gt;&lt;wsp:rsid wsp:val=&quot;00DD3707&quot;/&gt;&lt;wsp:rsid wsp:val=&quot;00DD3EDD&quot;/&gt;&lt;wsp:rsid wsp:val=&quot;00DD4010&quot;/&gt;&lt;wsp:rsid wsp:val=&quot;00DD496E&quot;/&gt;&lt;wsp:rsid wsp:val=&quot;00DD4D99&quot;/&gt;&lt;wsp:rsid wsp:val=&quot;00DD590E&quot;/&gt;&lt;wsp:rsid wsp:val=&quot;00DD67A0&quot;/&gt;&lt;wsp:rsid wsp:val=&quot;00DD6A96&quot;/&gt;&lt;wsp:rsid wsp:val=&quot;00DD6C0E&quot;/&gt;&lt;wsp:rsid wsp:val=&quot;00DD701E&quot;/&gt;&lt;wsp:rsid wsp:val=&quot;00DE05CA&quot;/&gt;&lt;wsp:rsid wsp:val=&quot;00DE0B87&quot;/&gt;&lt;wsp:rsid wsp:val=&quot;00DE124C&quot;/&gt;&lt;wsp:rsid wsp:val=&quot;00DE1F3C&quot;/&gt;&lt;wsp:rsid wsp:val=&quot;00DE2072&quot;/&gt;&lt;wsp:rsid wsp:val=&quot;00DE21AC&quot;/&gt;&lt;wsp:rsid wsp:val=&quot;00DE2D90&quot;/&gt;&lt;wsp:rsid wsp:val=&quot;00DE2FBE&quot;/&gt;&lt;wsp:rsid wsp:val=&quot;00DE3762&quot;/&gt;&lt;wsp:rsid wsp:val=&quot;00DE3842&quot;/&gt;&lt;wsp:rsid wsp:val=&quot;00DE4299&quot;/&gt;&lt;wsp:rsid wsp:val=&quot;00DE4E6C&quot;/&gt;&lt;wsp:rsid wsp:val=&quot;00DE647F&quot;/&gt;&lt;wsp:rsid wsp:val=&quot;00DE764C&quot;/&gt;&lt;wsp:rsid wsp:val=&quot;00DF0049&quot;/&gt;&lt;wsp:rsid wsp:val=&quot;00DF0087&quot;/&gt;&lt;wsp:rsid wsp:val=&quot;00DF0230&quot;/&gt;&lt;wsp:rsid wsp:val=&quot;00DF21FB&quot;/&gt;&lt;wsp:rsid wsp:val=&quot;00DF3241&quot;/&gt;&lt;wsp:rsid wsp:val=&quot;00DF336B&quot;/&gt;&lt;wsp:rsid wsp:val=&quot;00DF3738&quot;/&gt;&lt;wsp:rsid wsp:val=&quot;00DF4415&quot;/&gt;&lt;wsp:rsid wsp:val=&quot;00DF4AF8&quot;/&gt;&lt;wsp:rsid wsp:val=&quot;00DF69F6&quot;/&gt;&lt;wsp:rsid wsp:val=&quot;00DF780D&quot;/&gt;&lt;wsp:rsid wsp:val=&quot;00E005A3&quot;/&gt;&lt;wsp:rsid wsp:val=&quot;00E015A8&quot;/&gt;&lt;wsp:rsid wsp:val=&quot;00E015E9&quot;/&gt;&lt;wsp:rsid wsp:val=&quot;00E01ED1&quot;/&gt;&lt;wsp:rsid wsp:val=&quot;00E036DF&quot;/&gt;&lt;wsp:rsid wsp:val=&quot;00E03A3E&quot;/&gt;&lt;wsp:rsid wsp:val=&quot;00E03BEE&quot;/&gt;&lt;wsp:rsid wsp:val=&quot;00E04312&quot;/&gt;&lt;wsp:rsid wsp:val=&quot;00E054C6&quot;/&gt;&lt;wsp:rsid wsp:val=&quot;00E05DCB&quot;/&gt;&lt;wsp:rsid wsp:val=&quot;00E05FD6&quot;/&gt;&lt;wsp:rsid wsp:val=&quot;00E064E4&quot;/&gt;&lt;wsp:rsid wsp:val=&quot;00E06759&quot;/&gt;&lt;wsp:rsid wsp:val=&quot;00E06A95&quot;/&gt;&lt;wsp:rsid wsp:val=&quot;00E06B4D&quot;/&gt;&lt;wsp:rsid wsp:val=&quot;00E07C32&quot;/&gt;&lt;wsp:rsid wsp:val=&quot;00E1049F&quot;/&gt;&lt;wsp:rsid wsp:val=&quot;00E105AB&quot;/&gt;&lt;wsp:rsid wsp:val=&quot;00E10768&quot;/&gt;&lt;wsp:rsid wsp:val=&quot;00E10C99&quot;/&gt;&lt;wsp:rsid wsp:val=&quot;00E112E6&quot;/&gt;&lt;wsp:rsid wsp:val=&quot;00E11AA6&quot;/&gt;&lt;wsp:rsid wsp:val=&quot;00E11CC4&quot;/&gt;&lt;wsp:rsid wsp:val=&quot;00E12975&quot;/&gt;&lt;wsp:rsid wsp:val=&quot;00E12A38&quot;/&gt;&lt;wsp:rsid wsp:val=&quot;00E13C53&quot;/&gt;&lt;wsp:rsid wsp:val=&quot;00E14114&quot;/&gt;&lt;wsp:rsid wsp:val=&quot;00E148CB&quot;/&gt;&lt;wsp:rsid wsp:val=&quot;00E14E34&quot;/&gt;&lt;wsp:rsid wsp:val=&quot;00E15888&quot;/&gt;&lt;wsp:rsid wsp:val=&quot;00E15B7F&quot;/&gt;&lt;wsp:rsid wsp:val=&quot;00E16587&quot;/&gt;&lt;wsp:rsid wsp:val=&quot;00E17611&quot;/&gt;&lt;wsp:rsid wsp:val=&quot;00E201AD&quot;/&gt;&lt;wsp:rsid wsp:val=&quot;00E20D8D&quot;/&gt;&lt;wsp:rsid wsp:val=&quot;00E20F29&quot;/&gt;&lt;wsp:rsid wsp:val=&quot;00E20FD6&quot;/&gt;&lt;wsp:rsid wsp:val=&quot;00E2190E&quot;/&gt;&lt;wsp:rsid wsp:val=&quot;00E21C8F&quot;/&gt;&lt;wsp:rsid wsp:val=&quot;00E22A6D&quot;/&gt;&lt;wsp:rsid wsp:val=&quot;00E22AE0&quot;/&gt;&lt;wsp:rsid wsp:val=&quot;00E237A4&quot;/&gt;&lt;wsp:rsid wsp:val=&quot;00E2382E&quot;/&gt;&lt;wsp:rsid wsp:val=&quot;00E24C19&quot;/&gt;&lt;wsp:rsid wsp:val=&quot;00E250DF&quot;/&gt;&lt;wsp:rsid wsp:val=&quot;00E2751C&quot;/&gt;&lt;wsp:rsid wsp:val=&quot;00E30EE2&quot;/&gt;&lt;wsp:rsid wsp:val=&quot;00E32305&quot;/&gt;&lt;wsp:rsid wsp:val=&quot;00E32DD1&quot;/&gt;&lt;wsp:rsid wsp:val=&quot;00E346D1&quot;/&gt;&lt;wsp:rsid wsp:val=&quot;00E34971&quot;/&gt;&lt;wsp:rsid wsp:val=&quot;00E34EF9&quot;/&gt;&lt;wsp:rsid wsp:val=&quot;00E35ED3&quot;/&gt;&lt;wsp:rsid wsp:val=&quot;00E35F7A&quot;/&gt;&lt;wsp:rsid wsp:val=&quot;00E411BA&quot;/&gt;&lt;wsp:rsid wsp:val=&quot;00E41571&quot;/&gt;&lt;wsp:rsid wsp:val=&quot;00E416AC&quot;/&gt;&lt;wsp:rsid wsp:val=&quot;00E41DA1&quot;/&gt;&lt;wsp:rsid wsp:val=&quot;00E41F16&quot;/&gt;&lt;wsp:rsid wsp:val=&quot;00E43345&quot;/&gt;&lt;wsp:rsid wsp:val=&quot;00E445BC&quot;/&gt;&lt;wsp:rsid wsp:val=&quot;00E44ADD&quot;/&gt;&lt;wsp:rsid wsp:val=&quot;00E45345&quot;/&gt;&lt;wsp:rsid wsp:val=&quot;00E4578E&quot;/&gt;&lt;wsp:rsid wsp:val=&quot;00E457C3&quot;/&gt;&lt;wsp:rsid wsp:val=&quot;00E45A17&quot;/&gt;&lt;wsp:rsid wsp:val=&quot;00E45B60&quot;/&gt;&lt;wsp:rsid wsp:val=&quot;00E45CB2&quot;/&gt;&lt;wsp:rsid wsp:val=&quot;00E45CBD&quot;/&gt;&lt;wsp:rsid wsp:val=&quot;00E45DA8&quot;/&gt;&lt;wsp:rsid wsp:val=&quot;00E46229&quot;/&gt;&lt;wsp:rsid wsp:val=&quot;00E46498&quot;/&gt;&lt;wsp:rsid wsp:val=&quot;00E47267&quot;/&gt;&lt;wsp:rsid wsp:val=&quot;00E47664&quot;/&gt;&lt;wsp:rsid wsp:val=&quot;00E477AA&quot;/&gt;&lt;wsp:rsid wsp:val=&quot;00E47D84&quot;/&gt;&lt;wsp:rsid wsp:val=&quot;00E5000B&quot;/&gt;&lt;wsp:rsid wsp:val=&quot;00E50429&quot;/&gt;&lt;wsp:rsid wsp:val=&quot;00E5056C&quot;/&gt;&lt;wsp:rsid wsp:val=&quot;00E50A7D&quot;/&gt;&lt;wsp:rsid wsp:val=&quot;00E511A0&quot;/&gt;&lt;wsp:rsid wsp:val=&quot;00E513D6&quot;/&gt;&lt;wsp:rsid wsp:val=&quot;00E518FC&quot;/&gt;&lt;wsp:rsid wsp:val=&quot;00E51A40&quot;/&gt;&lt;wsp:rsid wsp:val=&quot;00E524C5&quot;/&gt;&lt;wsp:rsid wsp:val=&quot;00E5291D&quot;/&gt;&lt;wsp:rsid wsp:val=&quot;00E52B80&quot;/&gt;&lt;wsp:rsid wsp:val=&quot;00E54CCC&quot;/&gt;&lt;wsp:rsid wsp:val=&quot;00E54DCC&quot;/&gt;&lt;wsp:rsid wsp:val=&quot;00E54F18&quot;/&gt;&lt;wsp:rsid wsp:val=&quot;00E54F83&quot;/&gt;&lt;wsp:rsid wsp:val=&quot;00E5504D&quot;/&gt;&lt;wsp:rsid wsp:val=&quot;00E5522B&quot;/&gt;&lt;wsp:rsid wsp:val=&quot;00E55778&quot;/&gt;&lt;wsp:rsid wsp:val=&quot;00E559D6&quot;/&gt;&lt;wsp:rsid wsp:val=&quot;00E55A13&quot;/&gt;&lt;wsp:rsid wsp:val=&quot;00E568F9&quot;/&gt;&lt;wsp:rsid wsp:val=&quot;00E56C66&quot;/&gt;&lt;wsp:rsid wsp:val=&quot;00E60CAC&quot;/&gt;&lt;wsp:rsid wsp:val=&quot;00E6148E&quot;/&gt;&lt;wsp:rsid wsp:val=&quot;00E61685&quot;/&gt;&lt;wsp:rsid wsp:val=&quot;00E61935&quot;/&gt;&lt;wsp:rsid wsp:val=&quot;00E628D0&quot;/&gt;&lt;wsp:rsid wsp:val=&quot;00E628EE&quot;/&gt;&lt;wsp:rsid wsp:val=&quot;00E63875&quot;/&gt;&lt;wsp:rsid wsp:val=&quot;00E63B81&quot;/&gt;&lt;wsp:rsid wsp:val=&quot;00E63C75&quot;/&gt;&lt;wsp:rsid wsp:val=&quot;00E64671&quot;/&gt;&lt;wsp:rsid wsp:val=&quot;00E65D35&quot;/&gt;&lt;wsp:rsid wsp:val=&quot;00E66052&quot;/&gt;&lt;wsp:rsid wsp:val=&quot;00E666EE&quot;/&gt;&lt;wsp:rsid wsp:val=&quot;00E67295&quot;/&gt;&lt;wsp:rsid wsp:val=&quot;00E6777C&quot;/&gt;&lt;wsp:rsid wsp:val=&quot;00E67838&quot;/&gt;&lt;wsp:rsid wsp:val=&quot;00E70A99&quot;/&gt;&lt;wsp:rsid wsp:val=&quot;00E71A1A&quot;/&gt;&lt;wsp:rsid wsp:val=&quot;00E71CC9&quot;/&gt;&lt;wsp:rsid wsp:val=&quot;00E72B53&quot;/&gt;&lt;wsp:rsid wsp:val=&quot;00E72E3D&quot;/&gt;&lt;wsp:rsid wsp:val=&quot;00E73992&quot;/&gt;&lt;wsp:rsid wsp:val=&quot;00E739FA&quot;/&gt;&lt;wsp:rsid wsp:val=&quot;00E73F7F&quot;/&gt;&lt;wsp:rsid wsp:val=&quot;00E74343&quot;/&gt;&lt;wsp:rsid wsp:val=&quot;00E757EF&quot;/&gt;&lt;wsp:rsid wsp:val=&quot;00E75866&quot;/&gt;&lt;wsp:rsid wsp:val=&quot;00E75BDF&quot;/&gt;&lt;wsp:rsid wsp:val=&quot;00E76AD7&quot;/&gt;&lt;wsp:rsid wsp:val=&quot;00E77A4C&quot;/&gt;&lt;wsp:rsid wsp:val=&quot;00E77AD6&quot;/&gt;&lt;wsp:rsid wsp:val=&quot;00E802C8&quot;/&gt;&lt;wsp:rsid wsp:val=&quot;00E814F7&quot;/&gt;&lt;wsp:rsid wsp:val=&quot;00E816F0&quot;/&gt;&lt;wsp:rsid wsp:val=&quot;00E8268C&quot;/&gt;&lt;wsp:rsid wsp:val=&quot;00E82691&quot;/&gt;&lt;wsp:rsid wsp:val=&quot;00E82B59&quot;/&gt;&lt;wsp:rsid wsp:val=&quot;00E831D8&quot;/&gt;&lt;wsp:rsid wsp:val=&quot;00E83BA1&quot;/&gt;&lt;wsp:rsid wsp:val=&quot;00E840B6&quot;/&gt;&lt;wsp:rsid wsp:val=&quot;00E841BB&quot;/&gt;&lt;wsp:rsid wsp:val=&quot;00E84395&quot;/&gt;&lt;wsp:rsid wsp:val=&quot;00E843FA&quot;/&gt;&lt;wsp:rsid wsp:val=&quot;00E8499F&quot;/&gt;&lt;wsp:rsid wsp:val=&quot;00E86198&quot;/&gt;&lt;wsp:rsid wsp:val=&quot;00E8628F&quot;/&gt;&lt;wsp:rsid wsp:val=&quot;00E866ED&quot;/&gt;&lt;wsp:rsid wsp:val=&quot;00E8698F&quot;/&gt;&lt;wsp:rsid wsp:val=&quot;00E86F7E&quot;/&gt;&lt;wsp:rsid wsp:val=&quot;00E876CE&quot;/&gt;&lt;wsp:rsid wsp:val=&quot;00E87ADD&quot;/&gt;&lt;wsp:rsid wsp:val=&quot;00E9051B&quot;/&gt;&lt;wsp:rsid wsp:val=&quot;00E90B8B&quot;/&gt;&lt;wsp:rsid wsp:val=&quot;00E90BAD&quot;/&gt;&lt;wsp:rsid wsp:val=&quot;00E9210B&quot;/&gt;&lt;wsp:rsid wsp:val=&quot;00E92EE5&quot;/&gt;&lt;wsp:rsid wsp:val=&quot;00E944AC&quot;/&gt;&lt;wsp:rsid wsp:val=&quot;00E94781&quot;/&gt;&lt;wsp:rsid wsp:val=&quot;00E94CF6&quot;/&gt;&lt;wsp:rsid wsp:val=&quot;00E94E2C&quot;/&gt;&lt;wsp:rsid wsp:val=&quot;00E94FAA&quot;/&gt;&lt;wsp:rsid wsp:val=&quot;00E95A2A&quot;/&gt;&lt;wsp:rsid wsp:val=&quot;00E96552&quot;/&gt;&lt;wsp:rsid wsp:val=&quot;00E96D1A&quot;/&gt;&lt;wsp:rsid wsp:val=&quot;00E97CA2&quot;/&gt;&lt;wsp:rsid wsp:val=&quot;00EA06DF&quot;/&gt;&lt;wsp:rsid wsp:val=&quot;00EA07CE&quot;/&gt;&lt;wsp:rsid wsp:val=&quot;00EA0AE9&quot;/&gt;&lt;wsp:rsid wsp:val=&quot;00EA1283&quot;/&gt;&lt;wsp:rsid wsp:val=&quot;00EA1558&quot;/&gt;&lt;wsp:rsid wsp:val=&quot;00EA16AC&quot;/&gt;&lt;wsp:rsid wsp:val=&quot;00EA2010&quot;/&gt;&lt;wsp:rsid wsp:val=&quot;00EA26C9&quot;/&gt;&lt;wsp:rsid wsp:val=&quot;00EA2E99&quot;/&gt;&lt;wsp:rsid wsp:val=&quot;00EA485F&quot;/&gt;&lt;wsp:rsid wsp:val=&quot;00EA5298&quot;/&gt;&lt;wsp:rsid wsp:val=&quot;00EA6010&quot;/&gt;&lt;wsp:rsid wsp:val=&quot;00EA6D97&quot;/&gt;&lt;wsp:rsid wsp:val=&quot;00EA7DA8&quot;/&gt;&lt;wsp:rsid wsp:val=&quot;00EB03E0&quot;/&gt;&lt;wsp:rsid wsp:val=&quot;00EB0864&quot;/&gt;&lt;wsp:rsid wsp:val=&quot;00EB171A&quot;/&gt;&lt;wsp:rsid wsp:val=&quot;00EB1BB5&quot;/&gt;&lt;wsp:rsid wsp:val=&quot;00EB333E&quot;/&gt;&lt;wsp:rsid wsp:val=&quot;00EB3623&quot;/&gt;&lt;wsp:rsid wsp:val=&quot;00EB3A80&quot;/&gt;&lt;wsp:rsid wsp:val=&quot;00EB4F7B&quot;/&gt;&lt;wsp:rsid wsp:val=&quot;00EB57BC&quot;/&gt;&lt;wsp:rsid wsp:val=&quot;00EB60A1&quot;/&gt;&lt;wsp:rsid wsp:val=&quot;00EB6557&quot;/&gt;&lt;wsp:rsid wsp:val=&quot;00EB7BDA&quot;/&gt;&lt;wsp:rsid wsp:val=&quot;00EC017F&quot;/&gt;&lt;wsp:rsid wsp:val=&quot;00EC0C8A&quot;/&gt;&lt;wsp:rsid wsp:val=&quot;00EC1300&quot;/&gt;&lt;wsp:rsid wsp:val=&quot;00EC1EFB&quot;/&gt;&lt;wsp:rsid wsp:val=&quot;00EC279C&quot;/&gt;&lt;wsp:rsid wsp:val=&quot;00EC36F7&quot;/&gt;&lt;wsp:rsid wsp:val=&quot;00EC433A&quot;/&gt;&lt;wsp:rsid wsp:val=&quot;00EC4661&quot;/&gt;&lt;wsp:rsid wsp:val=&quot;00EC5768&quot;/&gt;&lt;wsp:rsid wsp:val=&quot;00EC58E8&quot;/&gt;&lt;wsp:rsid wsp:val=&quot;00EC5C95&quot;/&gt;&lt;wsp:rsid wsp:val=&quot;00EC60C2&quot;/&gt;&lt;wsp:rsid wsp:val=&quot;00EC674A&quot;/&gt;&lt;wsp:rsid wsp:val=&quot;00EC6BAC&quot;/&gt;&lt;wsp:rsid wsp:val=&quot;00EC7E1E&quot;/&gt;&lt;wsp:rsid wsp:val=&quot;00ED0218&quot;/&gt;&lt;wsp:rsid wsp:val=&quot;00ED0769&quot;/&gt;&lt;wsp:rsid wsp:val=&quot;00ED1087&quot;/&gt;&lt;wsp:rsid wsp:val=&quot;00ED1418&quot;/&gt;&lt;wsp:rsid wsp:val=&quot;00ED2180&quot;/&gt;&lt;wsp:rsid wsp:val=&quot;00ED2246&quot;/&gt;&lt;wsp:rsid wsp:val=&quot;00ED3066&quot;/&gt;&lt;wsp:rsid wsp:val=&quot;00ED3F73&quot;/&gt;&lt;wsp:rsid wsp:val=&quot;00ED4587&quot;/&gt;&lt;wsp:rsid wsp:val=&quot;00ED4600&quot;/&gt;&lt;wsp:rsid wsp:val=&quot;00ED49FF&quot;/&gt;&lt;wsp:rsid wsp:val=&quot;00ED5121&quot;/&gt;&lt;wsp:rsid wsp:val=&quot;00ED5A4B&quot;/&gt;&lt;wsp:rsid wsp:val=&quot;00ED6634&quot;/&gt;&lt;wsp:rsid wsp:val=&quot;00ED6D41&quot;/&gt;&lt;wsp:rsid wsp:val=&quot;00ED7495&quot;/&gt;&lt;wsp:rsid wsp:val=&quot;00ED7500&quot;/&gt;&lt;wsp:rsid wsp:val=&quot;00ED7642&quot;/&gt;&lt;wsp:rsid wsp:val=&quot;00ED7F0E&quot;/&gt;&lt;wsp:rsid wsp:val=&quot;00EE0B24&quot;/&gt;&lt;wsp:rsid wsp:val=&quot;00EE1778&quot;/&gt;&lt;wsp:rsid wsp:val=&quot;00EE1BFC&quot;/&gt;&lt;wsp:rsid wsp:val=&quot;00EE2D5A&quot;/&gt;&lt;wsp:rsid wsp:val=&quot;00EE3096&quot;/&gt;&lt;wsp:rsid wsp:val=&quot;00EE3C36&quot;/&gt;&lt;wsp:rsid wsp:val=&quot;00EE3F6B&quot;/&gt;&lt;wsp:rsid wsp:val=&quot;00EE3FA6&quot;/&gt;&lt;wsp:rsid wsp:val=&quot;00EE4443&quot;/&gt;&lt;wsp:rsid wsp:val=&quot;00EE5139&quot;/&gt;&lt;wsp:rsid wsp:val=&quot;00EE526E&quot;/&gt;&lt;wsp:rsid wsp:val=&quot;00EE54D8&quot;/&gt;&lt;wsp:rsid wsp:val=&quot;00EE7218&quot;/&gt;&lt;wsp:rsid wsp:val=&quot;00EF0502&quot;/&gt;&lt;wsp:rsid wsp:val=&quot;00EF0C5B&quot;/&gt;&lt;wsp:rsid wsp:val=&quot;00EF0DEC&quot;/&gt;&lt;wsp:rsid wsp:val=&quot;00EF0E07&quot;/&gt;&lt;wsp:rsid wsp:val=&quot;00EF284E&quot;/&gt;&lt;wsp:rsid wsp:val=&quot;00EF4942&quot;/&gt;&lt;wsp:rsid wsp:val=&quot;00EF4D51&quot;/&gt;&lt;wsp:rsid wsp:val=&quot;00EF51B4&quot;/&gt;&lt;wsp:rsid wsp:val=&quot;00EF6969&quot;/&gt;&lt;wsp:rsid wsp:val=&quot;00EF73F3&quot;/&gt;&lt;wsp:rsid wsp:val=&quot;00EF74D9&quot;/&gt;&lt;wsp:rsid wsp:val=&quot;00F00818&quot;/&gt;&lt;wsp:rsid wsp:val=&quot;00F00B47&quot;/&gt;&lt;wsp:rsid wsp:val=&quot;00F02EA8&quot;/&gt;&lt;wsp:rsid wsp:val=&quot;00F030B6&quot;/&gt;&lt;wsp:rsid wsp:val=&quot;00F05F07&quot;/&gt;&lt;wsp:rsid wsp:val=&quot;00F0615D&quot;/&gt;&lt;wsp:rsid wsp:val=&quot;00F07D52&quot;/&gt;&lt;wsp:rsid wsp:val=&quot;00F1052F&quot;/&gt;&lt;wsp:rsid wsp:val=&quot;00F11E7D&quot;/&gt;&lt;wsp:rsid wsp:val=&quot;00F12488&quot;/&gt;&lt;wsp:rsid wsp:val=&quot;00F128E9&quot;/&gt;&lt;wsp:rsid wsp:val=&quot;00F12B72&quot;/&gt;&lt;wsp:rsid wsp:val=&quot;00F12D50&quot;/&gt;&lt;wsp:rsid wsp:val=&quot;00F1356E&quot;/&gt;&lt;wsp:rsid wsp:val=&quot;00F144FE&quot;/&gt;&lt;wsp:rsid wsp:val=&quot;00F147E3&quot;/&gt;&lt;wsp:rsid wsp:val=&quot;00F163B1&quot;/&gt;&lt;wsp:rsid wsp:val=&quot;00F165D2&quot;/&gt;&lt;wsp:rsid wsp:val=&quot;00F16667&quot;/&gt;&lt;wsp:rsid wsp:val=&quot;00F17B1A&quot;/&gt;&lt;wsp:rsid wsp:val=&quot;00F17E8A&quot;/&gt;&lt;wsp:rsid wsp:val=&quot;00F200E5&quot;/&gt;&lt;wsp:rsid wsp:val=&quot;00F205E8&quot;/&gt;&lt;wsp:rsid wsp:val=&quot;00F22646&quot;/&gt;&lt;wsp:rsid wsp:val=&quot;00F22FD3&quot;/&gt;&lt;wsp:rsid wsp:val=&quot;00F2338D&quot;/&gt;&lt;wsp:rsid wsp:val=&quot;00F23433&quot;/&gt;&lt;wsp:rsid wsp:val=&quot;00F23458&quot;/&gt;&lt;wsp:rsid wsp:val=&quot;00F24346&quot;/&gt;&lt;wsp:rsid wsp:val=&quot;00F243E5&quot;/&gt;&lt;wsp:rsid wsp:val=&quot;00F243EC&quot;/&gt;&lt;wsp:rsid wsp:val=&quot;00F24982&quot;/&gt;&lt;wsp:rsid wsp:val=&quot;00F260D0&quot;/&gt;&lt;wsp:rsid wsp:val=&quot;00F26842&quot;/&gt;&lt;wsp:rsid wsp:val=&quot;00F30193&quot;/&gt;&lt;wsp:rsid wsp:val=&quot;00F303C1&quot;/&gt;&lt;wsp:rsid wsp:val=&quot;00F305D4&quot;/&gt;&lt;wsp:rsid wsp:val=&quot;00F31D58&quot;/&gt;&lt;wsp:rsid wsp:val=&quot;00F320BD&quot;/&gt;&lt;wsp:rsid wsp:val=&quot;00F323F4&quot;/&gt;&lt;wsp:rsid wsp:val=&quot;00F32833&quot;/&gt;&lt;wsp:rsid wsp:val=&quot;00F33417&quot;/&gt;&lt;wsp:rsid wsp:val=&quot;00F337A1&quot;/&gt;&lt;wsp:rsid wsp:val=&quot;00F33834&quot;/&gt;&lt;wsp:rsid wsp:val=&quot;00F33CC4&quot;/&gt;&lt;wsp:rsid wsp:val=&quot;00F340CD&quot;/&gt;&lt;wsp:rsid wsp:val=&quot;00F34EFF&quot;/&gt;&lt;wsp:rsid wsp:val=&quot;00F34FEA&quot;/&gt;&lt;wsp:rsid wsp:val=&quot;00F354B7&quot;/&gt;&lt;wsp:rsid wsp:val=&quot;00F35537&quot;/&gt;&lt;wsp:rsid wsp:val=&quot;00F3579F&quot;/&gt;&lt;wsp:rsid wsp:val=&quot;00F364FF&quot;/&gt;&lt;wsp:rsid wsp:val=&quot;00F376F3&quot;/&gt;&lt;wsp:rsid wsp:val=&quot;00F40561&quot;/&gt;&lt;wsp:rsid wsp:val=&quot;00F417DA&quot;/&gt;&lt;wsp:rsid wsp:val=&quot;00F41AAC&quot;/&gt;&lt;wsp:rsid wsp:val=&quot;00F4291D&quot;/&gt;&lt;wsp:rsid wsp:val=&quot;00F42A0A&quot;/&gt;&lt;wsp:rsid wsp:val=&quot;00F43117&quot;/&gt;&lt;wsp:rsid wsp:val=&quot;00F4357F&quot;/&gt;&lt;wsp:rsid wsp:val=&quot;00F44320&quot;/&gt;&lt;wsp:rsid wsp:val=&quot;00F464DF&quot;/&gt;&lt;wsp:rsid wsp:val=&quot;00F468B0&quot;/&gt;&lt;wsp:rsid wsp:val=&quot;00F46DAA&quot;/&gt;&lt;wsp:rsid wsp:val=&quot;00F4781C&quot;/&gt;&lt;wsp:rsid wsp:val=&quot;00F5011B&quot;/&gt;&lt;wsp:rsid wsp:val=&quot;00F50227&quot;/&gt;&lt;wsp:rsid wsp:val=&quot;00F50C6B&quot;/&gt;&lt;wsp:rsid wsp:val=&quot;00F5271F&quot;/&gt;&lt;wsp:rsid wsp:val=&quot;00F52F33&quot;/&gt;&lt;wsp:rsid wsp:val=&quot;00F53A01&quot;/&gt;&lt;wsp:rsid wsp:val=&quot;00F542E0&quot;/&gt;&lt;wsp:rsid wsp:val=&quot;00F5445F&quot;/&gt;&lt;wsp:rsid wsp:val=&quot;00F546A1&quot;/&gt;&lt;wsp:rsid wsp:val=&quot;00F54D4F&quot;/&gt;&lt;wsp:rsid wsp:val=&quot;00F552F3&quot;/&gt;&lt;wsp:rsid wsp:val=&quot;00F5585D&quot;/&gt;&lt;wsp:rsid wsp:val=&quot;00F559EC&quot;/&gt;&lt;wsp:rsid wsp:val=&quot;00F55DC2&quot;/&gt;&lt;wsp:rsid wsp:val=&quot;00F56924&quot;/&gt;&lt;wsp:rsid wsp:val=&quot;00F57515&quot;/&gt;&lt;wsp:rsid wsp:val=&quot;00F608F8&quot;/&gt;&lt;wsp:rsid wsp:val=&quot;00F61DBE&quot;/&gt;&lt;wsp:rsid wsp:val=&quot;00F62262&quot;/&gt;&lt;wsp:rsid wsp:val=&quot;00F6254B&quot;/&gt;&lt;wsp:rsid wsp:val=&quot;00F63270&quot;/&gt;&lt;wsp:rsid wsp:val=&quot;00F636E6&quot;/&gt;&lt;wsp:rsid wsp:val=&quot;00F6389B&quot;/&gt;&lt;wsp:rsid wsp:val=&quot;00F63B8B&quot;/&gt;&lt;wsp:rsid wsp:val=&quot;00F63E48&quot;/&gt;&lt;wsp:rsid wsp:val=&quot;00F63F91&quot;/&gt;&lt;wsp:rsid wsp:val=&quot;00F6409F&quot;/&gt;&lt;wsp:rsid wsp:val=&quot;00F652E1&quot;/&gt;&lt;wsp:rsid wsp:val=&quot;00F659F7&quot;/&gt;&lt;wsp:rsid wsp:val=&quot;00F67803&quot;/&gt;&lt;wsp:rsid wsp:val=&quot;00F67C5E&quot;/&gt;&lt;wsp:rsid wsp:val=&quot;00F67C93&quot;/&gt;&lt;wsp:rsid wsp:val=&quot;00F67DA6&quot;/&gt;&lt;wsp:rsid wsp:val=&quot;00F67EAE&quot;/&gt;&lt;wsp:rsid wsp:val=&quot;00F70E04&quot;/&gt;&lt;wsp:rsid wsp:val=&quot;00F71418&quot;/&gt;&lt;wsp:rsid wsp:val=&quot;00F71472&quot;/&gt;&lt;wsp:rsid wsp:val=&quot;00F71612&quot;/&gt;&lt;wsp:rsid wsp:val=&quot;00F71A6B&quot;/&gt;&lt;wsp:rsid wsp:val=&quot;00F71C74&quot;/&gt;&lt;wsp:rsid wsp:val=&quot;00F71F5C&quot;/&gt;&lt;wsp:rsid wsp:val=&quot;00F73BDB&quot;/&gt;&lt;wsp:rsid wsp:val=&quot;00F73FEA&quot;/&gt;&lt;wsp:rsid wsp:val=&quot;00F74190&quot;/&gt;&lt;wsp:rsid wsp:val=&quot;00F74349&quot;/&gt;&lt;wsp:rsid wsp:val=&quot;00F74910&quot;/&gt;&lt;wsp:rsid wsp:val=&quot;00F74A8D&quot;/&gt;&lt;wsp:rsid wsp:val=&quot;00F75662&quot;/&gt;&lt;wsp:rsid wsp:val=&quot;00F76361&quot;/&gt;&lt;wsp:rsid wsp:val=&quot;00F767BF&quot;/&gt;&lt;wsp:rsid wsp:val=&quot;00F76C58&quot;/&gt;&lt;wsp:rsid wsp:val=&quot;00F76F66&quot;/&gt;&lt;wsp:rsid wsp:val=&quot;00F77204&quot;/&gt;&lt;wsp:rsid wsp:val=&quot;00F773F9&quot;/&gt;&lt;wsp:rsid wsp:val=&quot;00F775B1&quot;/&gt;&lt;wsp:rsid wsp:val=&quot;00F81BDA&quot;/&gt;&lt;wsp:rsid wsp:val=&quot;00F81F2B&quot;/&gt;&lt;wsp:rsid wsp:val=&quot;00F82031&quot;/&gt;&lt;wsp:rsid wsp:val=&quot;00F82060&quot;/&gt;&lt;wsp:rsid wsp:val=&quot;00F822AE&quot;/&gt;&lt;wsp:rsid wsp:val=&quot;00F82693&quot;/&gt;&lt;wsp:rsid wsp:val=&quot;00F82834&quot;/&gt;&lt;wsp:rsid wsp:val=&quot;00F82B4B&quot;/&gt;&lt;wsp:rsid wsp:val=&quot;00F83CE2&quot;/&gt;&lt;wsp:rsid wsp:val=&quot;00F83D47&quot;/&gt;&lt;wsp:rsid wsp:val=&quot;00F83D74&quot;/&gt;&lt;wsp:rsid wsp:val=&quot;00F8444A&quot;/&gt;&lt;wsp:rsid wsp:val=&quot;00F84BE9&quot;/&gt;&lt;wsp:rsid wsp:val=&quot;00F8553F&quot;/&gt;&lt;wsp:rsid wsp:val=&quot;00F87EBF&quot;/&gt;&lt;wsp:rsid wsp:val=&quot;00F90498&quot;/&gt;&lt;wsp:rsid wsp:val=&quot;00F9077A&quot;/&gt;&lt;wsp:rsid wsp:val=&quot;00F90C4B&quot;/&gt;&lt;wsp:rsid wsp:val=&quot;00F90FF5&quot;/&gt;&lt;wsp:rsid wsp:val=&quot;00F912D9&quot;/&gt;&lt;wsp:rsid wsp:val=&quot;00F91B3B&quot;/&gt;&lt;wsp:rsid wsp:val=&quot;00F91F7C&quot;/&gt;&lt;wsp:rsid wsp:val=&quot;00F92288&quot;/&gt;&lt;wsp:rsid wsp:val=&quot;00F923D4&quot;/&gt;&lt;wsp:rsid wsp:val=&quot;00F93D4C&quot;/&gt;&lt;wsp:rsid wsp:val=&quot;00F94CE8&quot;/&gt;&lt;wsp:rsid wsp:val=&quot;00F94D39&quot;/&gt;&lt;wsp:rsid wsp:val=&quot;00F95230&quot;/&gt;&lt;wsp:rsid wsp:val=&quot;00F95509&quot;/&gt;&lt;wsp:rsid wsp:val=&quot;00F9588B&quot;/&gt;&lt;wsp:rsid wsp:val=&quot;00F95E04&quot;/&gt;&lt;wsp:rsid wsp:val=&quot;00F95E41&quot;/&gt;&lt;wsp:rsid wsp:val=&quot;00F961E1&quot;/&gt;&lt;wsp:rsid wsp:val=&quot;00F9639A&quot;/&gt;&lt;wsp:rsid wsp:val=&quot;00F963CF&quot;/&gt;&lt;wsp:rsid wsp:val=&quot;00F96489&quot;/&gt;&lt;wsp:rsid wsp:val=&quot;00F96585&quot;/&gt;&lt;wsp:rsid wsp:val=&quot;00F967E6&quot;/&gt;&lt;wsp:rsid wsp:val=&quot;00F971B3&quot;/&gt;&lt;wsp:rsid wsp:val=&quot;00F974E6&quot;/&gt;&lt;wsp:rsid wsp:val=&quot;00F9778F&quot;/&gt;&lt;wsp:rsid wsp:val=&quot;00FA0895&quot;/&gt;&lt;wsp:rsid wsp:val=&quot;00FA0A66&quot;/&gt;&lt;wsp:rsid wsp:val=&quot;00FA1A88&quot;/&gt;&lt;wsp:rsid wsp:val=&quot;00FA2191&quot;/&gt;&lt;wsp:rsid wsp:val=&quot;00FA31F5&quot;/&gt;&lt;wsp:rsid wsp:val=&quot;00FA3B1B&quot;/&gt;&lt;wsp:rsid wsp:val=&quot;00FA3F62&quot;/&gt;&lt;wsp:rsid wsp:val=&quot;00FA4203&quot;/&gt;&lt;wsp:rsid wsp:val=&quot;00FA53D7&quot;/&gt;&lt;wsp:rsid wsp:val=&quot;00FA58DB&quot;/&gt;&lt;wsp:rsid wsp:val=&quot;00FA5A32&quot;/&gt;&lt;wsp:rsid wsp:val=&quot;00FA732E&quot;/&gt;&lt;wsp:rsid wsp:val=&quot;00FB0BF0&quot;/&gt;&lt;wsp:rsid wsp:val=&quot;00FB182F&quot;/&gt;&lt;wsp:rsid wsp:val=&quot;00FB1A97&quot;/&gt;&lt;wsp:rsid wsp:val=&quot;00FB1BEE&quot;/&gt;&lt;wsp:rsid wsp:val=&quot;00FB2087&quot;/&gt;&lt;wsp:rsid wsp:val=&quot;00FB2175&quot;/&gt;&lt;wsp:rsid wsp:val=&quot;00FB2F72&quot;/&gt;&lt;wsp:rsid wsp:val=&quot;00FB306D&quot;/&gt;&lt;wsp:rsid wsp:val=&quot;00FB46B2&quot;/&gt;&lt;wsp:rsid wsp:val=&quot;00FB4760&quot;/&gt;&lt;wsp:rsid wsp:val=&quot;00FB4B5C&quot;/&gt;&lt;wsp:rsid wsp:val=&quot;00FB4C5A&quot;/&gt;&lt;wsp:rsid wsp:val=&quot;00FB4F17&quot;/&gt;&lt;wsp:rsid wsp:val=&quot;00FB5122&quot;/&gt;&lt;wsp:rsid wsp:val=&quot;00FB5C5E&quot;/&gt;&lt;wsp:rsid wsp:val=&quot;00FB5EEE&quot;/&gt;&lt;wsp:rsid wsp:val=&quot;00FB6576&quot;/&gt;&lt;wsp:rsid wsp:val=&quot;00FB6C0F&quot;/&gt;&lt;wsp:rsid wsp:val=&quot;00FB6EF6&quot;/&gt;&lt;wsp:rsid wsp:val=&quot;00FB7036&quot;/&gt;&lt;wsp:rsid wsp:val=&quot;00FB754D&quot;/&gt;&lt;wsp:rsid wsp:val=&quot;00FB7DD0&quot;/&gt;&lt;wsp:rsid wsp:val=&quot;00FC0CF0&quot;/&gt;&lt;wsp:rsid wsp:val=&quot;00FC0D35&quot;/&gt;&lt;wsp:rsid wsp:val=&quot;00FC10A9&quot;/&gt;&lt;wsp:rsid wsp:val=&quot;00FC1B4B&quot;/&gt;&lt;wsp:rsid wsp:val=&quot;00FC1B99&quot;/&gt;&lt;wsp:rsid wsp:val=&quot;00FC225F&quot;/&gt;&lt;wsp:rsid wsp:val=&quot;00FC3221&quot;/&gt;&lt;wsp:rsid wsp:val=&quot;00FC3933&quot;/&gt;&lt;wsp:rsid wsp:val=&quot;00FC47CC&quot;/&gt;&lt;wsp:rsid wsp:val=&quot;00FC4E63&quot;/&gt;&lt;wsp:rsid wsp:val=&quot;00FC6124&quot;/&gt;&lt;wsp:rsid wsp:val=&quot;00FC64AE&quot;/&gt;&lt;wsp:rsid wsp:val=&quot;00FC7E60&quot;/&gt;&lt;wsp:rsid wsp:val=&quot;00FD028A&quot;/&gt;&lt;wsp:rsid wsp:val=&quot;00FD04F7&quot;/&gt;&lt;wsp:rsid wsp:val=&quot;00FD0AF5&quot;/&gt;&lt;wsp:rsid wsp:val=&quot;00FD121A&quot;/&gt;&lt;wsp:rsid wsp:val=&quot;00FD1582&quot;/&gt;&lt;wsp:rsid wsp:val=&quot;00FD38BA&quot;/&gt;&lt;wsp:rsid wsp:val=&quot;00FD406A&quot;/&gt;&lt;wsp:rsid wsp:val=&quot;00FD440C&quot;/&gt;&lt;wsp:rsid wsp:val=&quot;00FD5ECF&quot;/&gt;&lt;wsp:rsid wsp:val=&quot;00FD6A0E&quot;/&gt;&lt;wsp:rsid wsp:val=&quot;00FD6A93&quot;/&gt;&lt;wsp:rsid wsp:val=&quot;00FD6D6C&quot;/&gt;&lt;wsp:rsid wsp:val=&quot;00FD71F3&quot;/&gt;&lt;wsp:rsid wsp:val=&quot;00FD7B12&quot;/&gt;&lt;wsp:rsid wsp:val=&quot;00FE157D&quot;/&gt;&lt;wsp:rsid wsp:val=&quot;00FE162D&quot;/&gt;&lt;wsp:rsid wsp:val=&quot;00FE1E3E&quot;/&gt;&lt;wsp:rsid wsp:val=&quot;00FE2DEE&quot;/&gt;&lt;wsp:rsid wsp:val=&quot;00FE34FE&quot;/&gt;&lt;wsp:rsid wsp:val=&quot;00FE379D&quot;/&gt;&lt;wsp:rsid wsp:val=&quot;00FE38CD&quot;/&gt;&lt;wsp:rsid wsp:val=&quot;00FE3912&quot;/&gt;&lt;wsp:rsid wsp:val=&quot;00FE47C4&quot;/&gt;&lt;wsp:rsid wsp:val=&quot;00FE4B49&quot;/&gt;&lt;wsp:rsid wsp:val=&quot;00FE51E9&quot;/&gt;&lt;wsp:rsid wsp:val=&quot;00FE5532&quot;/&gt;&lt;wsp:rsid wsp:val=&quot;00FE561F&quot;/&gt;&lt;wsp:rsid wsp:val=&quot;00FE5E39&quot;/&gt;&lt;wsp:rsid wsp:val=&quot;00FE6587&quot;/&gt;&lt;wsp:rsid wsp:val=&quot;00FE6808&quot;/&gt;&lt;wsp:rsid wsp:val=&quot;00FE683C&quot;/&gt;&lt;wsp:rsid wsp:val=&quot;00FE6FD1&quot;/&gt;&lt;wsp:rsid wsp:val=&quot;00FE73DF&quot;/&gt;&lt;wsp:rsid wsp:val=&quot;00FF040D&quot;/&gt;&lt;wsp:rsid wsp:val=&quot;00FF0550&quot;/&gt;&lt;wsp:rsid wsp:val=&quot;00FF0DD6&quot;/&gt;&lt;wsp:rsid wsp:val=&quot;00FF18D7&quot;/&gt;&lt;wsp:rsid wsp:val=&quot;00FF1BFE&quot;/&gt;&lt;wsp:rsid wsp:val=&quot;00FF2671&quot;/&gt;&lt;wsp:rsid wsp:val=&quot;00FF2C36&quot;/&gt;&lt;wsp:rsid wsp:val=&quot;00FF2EAC&quot;/&gt;&lt;wsp:rsid wsp:val=&quot;00FF2F17&quot;/&gt;&lt;wsp:rsid wsp:val=&quot;00FF37EF&quot;/&gt;&lt;wsp:rsid wsp:val=&quot;00FF40AE&quot;/&gt;&lt;wsp:rsid wsp:val=&quot;00FF447B&quot;/&gt;&lt;wsp:rsid wsp:val=&quot;00FF47B6&quot;/&gt;&lt;wsp:rsid wsp:val=&quot;00FF4B44&quot;/&gt;&lt;wsp:rsid wsp:val=&quot;00FF4E5F&quot;/&gt;&lt;wsp:rsid wsp:val=&quot;00FF56FC&quot;/&gt;&lt;wsp:rsid wsp:val=&quot;00FF5FBE&quot;/&gt;&lt;wsp:rsid wsp:val=&quot;00FF7279&quot;/&gt;&lt;wsp:rsid wsp:val=&quot;00FF730C&quot;/&gt;&lt;wsp:rsid wsp:val=&quot;00FF7C58&quot;/&gt;&lt;wsp:rsid wsp:val=&quot;02480F96&quot;/&gt;&lt;wsp:rsid wsp:val=&quot;027421AE&quot;/&gt;&lt;wsp:rsid wsp:val=&quot;02A17E88&quot;/&gt;&lt;wsp:rsid wsp:val=&quot;050E27F8&quot;/&gt;&lt;wsp:rsid wsp:val=&quot;06526154&quot;/&gt;&lt;wsp:rsid wsp:val=&quot;065829F1&quot;/&gt;&lt;wsp:rsid wsp:val=&quot;096746B3&quot;/&gt;&lt;wsp:rsid wsp:val=&quot;10E221A8&quot;/&gt;&lt;wsp:rsid wsp:val=&quot;116E00EE&quot;/&gt;&lt;wsp:rsid wsp:val=&quot;13C5141D&quot;/&gt;&lt;wsp:rsid wsp:val=&quot;147B25CC&quot;/&gt;&lt;wsp:rsid wsp:val=&quot;150A3850&quot;/&gt;&lt;wsp:rsid wsp:val=&quot;18946E8F&quot;/&gt;&lt;wsp:rsid wsp:val=&quot;1A087ADB&quot;/&gt;&lt;wsp:rsid wsp:val=&quot;1A1B52FA&quot;/&gt;&lt;wsp:rsid wsp:val=&quot;1A7864A1&quot;/&gt;&lt;wsp:rsid wsp:val=&quot;1DCE34CE&quot;/&gt;&lt;wsp:rsid wsp:val=&quot;206075CD&quot;/&gt;&lt;wsp:rsid wsp:val=&quot;226C7190&quot;/&gt;&lt;wsp:rsid wsp:val=&quot;22F6565C&quot;/&gt;&lt;wsp:rsid wsp:val=&quot;24A002A7&quot;/&gt;&lt;wsp:rsid wsp:val=&quot;26521C0C&quot;/&gt;&lt;wsp:rsid wsp:val=&quot;2A0A4AE0&quot;/&gt;&lt;wsp:rsid wsp:val=&quot;2BFD2CE5&quot;/&gt;&lt;wsp:rsid wsp:val=&quot;2FFA13B6&quot;/&gt;&lt;wsp:rsid wsp:val=&quot;3027241B&quot;/&gt;&lt;wsp:rsid wsp:val=&quot;30CD5F3D&quot;/&gt;&lt;wsp:rsid wsp:val=&quot;356C7AF9&quot;/&gt;&lt;wsp:rsid wsp:val=&quot;36BA23F0&quot;/&gt;&lt;wsp:rsid wsp:val=&quot;38BB0370&quot;/&gt;&lt;wsp:rsid wsp:val=&quot;3A7F44D8&quot;/&gt;&lt;wsp:rsid wsp:val=&quot;3AB3657D&quot;/&gt;&lt;wsp:rsid wsp:val=&quot;3B944D22&quot;/&gt;&lt;wsp:rsid wsp:val=&quot;3BC60721&quot;/&gt;&lt;wsp:rsid wsp:val=&quot;3D1A395A&quot;/&gt;&lt;wsp:rsid wsp:val=&quot;3D1E23EE&quot;/&gt;&lt;wsp:rsid wsp:val=&quot;44E47AFA&quot;/&gt;&lt;wsp:rsid wsp:val=&quot;455373A1&quot;/&gt;&lt;wsp:rsid wsp:val=&quot;45A20272&quot;/&gt;&lt;wsp:rsid wsp:val=&quot;494A0752&quot;/&gt;&lt;wsp:rsid wsp:val=&quot;4A6E57FE&quot;/&gt;&lt;wsp:rsid wsp:val=&quot;4C2D0915&quot;/&gt;&lt;wsp:rsid wsp:val=&quot;4DFC0976&quot;/&gt;&lt;wsp:rsid wsp:val=&quot;4E964F55&quot;/&gt;&lt;wsp:rsid wsp:val=&quot;5307148A&quot;/&gt;&lt;wsp:rsid wsp:val=&quot;55171927&quot;/&gt;&lt;wsp:rsid wsp:val=&quot;56F549A1&quot;/&gt;&lt;wsp:rsid wsp:val=&quot;57D303F2&quot;/&gt;&lt;wsp:rsid wsp:val=&quot;5B873B34&quot;/&gt;&lt;wsp:rsid wsp:val=&quot;5D033B22&quot;/&gt;&lt;wsp:rsid wsp:val=&quot;5E585B4E&quot;/&gt;&lt;wsp:rsid wsp:val=&quot;5F3E2E1E&quot;/&gt;&lt;wsp:rsid wsp:val=&quot;609C1717&quot;/&gt;&lt;wsp:rsid wsp:val=&quot;635F5024&quot;/&gt;&lt;wsp:rsid wsp:val=&quot;670130CA&quot;/&gt;&lt;wsp:rsid wsp:val=&quot;677D6958&quot;/&gt;&lt;wsp:rsid wsp:val=&quot;684B2A97&quot;/&gt;&lt;wsp:rsid wsp:val=&quot;687133E0&quot;/&gt;&lt;wsp:rsid wsp:val=&quot;689D5FF7&quot;/&gt;&lt;wsp:rsid wsp:val=&quot;6A6C05BF&quot;/&gt;&lt;wsp:rsid wsp:val=&quot;6C815020&quot;/&gt;&lt;wsp:rsid wsp:val=&quot;6ECB1F8F&quot;/&gt;&lt;wsp:rsid wsp:val=&quot;6EFF2BFA&quot;/&gt;&lt;wsp:rsid wsp:val=&quot;70704D87&quot;/&gt;&lt;wsp:rsid wsp:val=&quot;70B31A0B&quot;/&gt;&lt;wsp:rsid wsp:val=&quot;7144171B&quot;/&gt;&lt;wsp:rsid wsp:val=&quot;71B65686&quot;/&gt;&lt;wsp:rsid wsp:val=&quot;71F05146&quot;/&gt;&lt;wsp:rsid wsp:val=&quot;72A6345A&quot;/&gt;&lt;wsp:rsid wsp:val=&quot;72C34660&quot;/&gt;&lt;wsp:rsid wsp:val=&quot;74380D09&quot;/&gt;&lt;wsp:rsid wsp:val=&quot;75D6300E&quot;/&gt;&lt;wsp:rsid wsp:val=&quot;76B56222&quot;/&gt;&lt;wsp:rsid wsp:val=&quot;78374E93&quot;/&gt;&lt;wsp:rsid wsp:val=&quot;795A7EB6&quot;/&gt;&lt;wsp:rsid wsp:val=&quot;796A2C43&quot;/&gt;&lt;wsp:rsid wsp:val=&quot;7CCD5657&quot;/&gt;&lt;wsp:rsid wsp:val=&quot;7D214335&quot;/&gt;&lt;wsp:rsid wsp:val=&quot;7F24135E&quot;/&gt;&lt;/wsp:rsids&gt;&lt;/w:docPr&gt;&lt;w:body&gt;&lt;w:p wsp:rsidR=&quot;00000000&quot; wsp:rsidRDefault=&quot;007E6068&quot;&gt;&lt;m:oMathPara&gt;&lt;m:oMath&gt;&lt;m:sSub&gt;&lt;m:sSubPr&gt;&lt;m:ctrlPr&gt;&lt;w:rPr&gt;&lt;w:rFonts w:ascii=&quot;Cambria Math&quot; w:h-ansi=&quot;Cambria Math&quot;/&gt;&lt;wx:font wx:val=&quot;Cambria Math&quot;/&gt;&lt;w:i/&gt;&lt;w:sz-cs w:val=&quot;24&quot;/&gt;&lt;/w:rPr&gt;&lt;/m:ctrlPr&gt;&lt;/m:sSubPr&gt;&lt;m:e&gt;&lt;m:r&gt;&lt;w:rPr&gt;&lt;w:rFonts w:ascii=&quot;Cambria Math&quot; w:h-ansi=&quot;Cambria Math&quot;/&gt;&lt;wx:font wx:val=&quot;Cambria Math&quot;/&gt;&lt;w:i/&gt;&lt;w:sz-cs w:val=&quot;24&quot;/&gt;&lt;/w:rPr&gt;&lt;m:t&gt;C&lt;/m:t&gt;&lt;/m:r&gt;&lt;/m:e&gt;&lt;m:sub&gt;&lt;m:r&gt;&lt;w:rPr&gt;&lt;w:rFonts w:ascii=&quot;Cambria Math&quot; w:h-ansi=&quot;Cambria Math&quot;/&gt;&lt;wx:font wx:val=&quot;Cambria Math&quot;/&gt;&lt;w:i/&gt;&lt;w:sz-cs w:val=&quot;24&quot;/&gt;&lt;/w:rPr&gt;&lt;m:t&gt;0i&lt;/m:t&gt;&lt;/m:r&gt;&lt;/m:sub&gt;&lt;/m:sSub&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body&gt;&lt;/w:wordDocument&gt;">
            <v:path/>
            <v:fill on="f" focussize="0,0"/>
            <v:stroke on="f"/>
            <v:imagedata r:id="rId12" chromakey="#FFFFFF" o:title=""/>
            <o:lock v:ext="edit" aspectratio="t"/>
            <w10:wrap type="none"/>
            <w10:anchorlock/>
          </v:shape>
        </w:pict>
      </w:r>
      <w:r>
        <w:rPr>
          <w:rFonts w:hint="default" w:ascii="Times New Roman" w:hAnsi="Times New Roman" w:cs="Times New Roman"/>
          <w:color w:val="auto"/>
          <w:highlight w:val="none"/>
          <w:u w:val="none" w:color="auto"/>
          <w:lang w:val="en-US" w:eastAsia="zh-CN"/>
        </w:rPr>
        <w:instrText xml:space="preserve"> </w:instrText>
      </w:r>
      <w:r>
        <w:rPr>
          <w:rFonts w:hint="default" w:ascii="Times New Roman" w:hAnsi="Times New Roman" w:cs="Times New Roman"/>
          <w:color w:val="auto"/>
          <w:highlight w:val="none"/>
          <w:u w:val="none" w:color="auto"/>
          <w:lang w:val="en-US" w:eastAsia="zh-CN"/>
        </w:rPr>
        <w:fldChar w:fldCharType="separate"/>
      </w:r>
      <w:r>
        <w:rPr>
          <w:rFonts w:hint="default" w:ascii="Times New Roman" w:hAnsi="Times New Roman" w:cs="Times New Roman"/>
          <w:color w:val="auto"/>
          <w:highlight w:val="none"/>
          <w:u w:val="none" w:color="auto"/>
          <w:lang w:val="en-US" w:eastAsia="zh-CN"/>
        </w:rPr>
        <w:fldChar w:fldCharType="end"/>
      </w:r>
      <w:r>
        <w:rPr>
          <w:rFonts w:hint="default" w:ascii="Times New Roman" w:hAnsi="Times New Roman" w:cs="Times New Roman"/>
          <w:color w:val="auto"/>
          <w:highlight w:val="none"/>
          <w:u w:val="none" w:color="auto"/>
          <w:lang w:val="en-US" w:eastAsia="zh-CN"/>
        </w:rPr>
        <w:t>C</w:t>
      </w:r>
      <w:r>
        <w:rPr>
          <w:rFonts w:hint="default" w:ascii="Times New Roman" w:hAnsi="Times New Roman" w:cs="Times New Roman"/>
          <w:color w:val="auto"/>
          <w:highlight w:val="none"/>
          <w:u w:val="none" w:color="auto"/>
          <w:vertAlign w:val="subscript"/>
          <w:lang w:val="en-US" w:eastAsia="zh-CN"/>
        </w:rPr>
        <w:t>0i</w:t>
      </w:r>
      <w:r>
        <w:rPr>
          <w:rFonts w:hint="eastAsia" w:cs="Times New Roman"/>
          <w:color w:val="auto"/>
          <w:highlight w:val="none"/>
          <w:u w:val="none" w:color="auto"/>
          <w:vertAlign w:val="baseline"/>
          <w:lang w:val="en-US" w:eastAsia="zh-CN"/>
        </w:rPr>
        <w:t>一般选用GB3095中一小时平均取样时间的二级标准浓度限值。如项目位于一类环境空气功能区，应选择相应的一级浓度限值；对该标准中未包含的污染物，使用5.2确定的各评价因子1h平均质量浓度限值。对仅有8h平均质量浓度限值、日平均质量浓度限值或年平均质量浓度限值的，可分别按2倍、3倍、6倍折算为1h平均质量浓度限值。</w:t>
      </w:r>
    </w:p>
    <w:p w14:paraId="2719BFAC">
      <w:pPr>
        <w:bidi w:val="0"/>
        <w:rPr>
          <w:rFonts w:hint="eastAsia"/>
          <w:color w:val="auto"/>
          <w:highlight w:val="none"/>
          <w:u w:val="none" w:color="auto"/>
          <w:lang w:val="en-US" w:eastAsia="zh-CN"/>
        </w:rPr>
      </w:pPr>
      <w:r>
        <w:rPr>
          <w:rFonts w:hint="eastAsia"/>
          <w:color w:val="auto"/>
          <w:highlight w:val="none"/>
          <w:u w:val="none" w:color="auto"/>
          <w:lang w:val="en-US" w:eastAsia="zh-CN"/>
        </w:rPr>
        <w:t>②评价等级判别表</w:t>
      </w:r>
    </w:p>
    <w:p w14:paraId="612EE938">
      <w:pPr>
        <w:bidi w:val="0"/>
        <w:rPr>
          <w:rFonts w:hint="eastAsia"/>
          <w:color w:val="auto"/>
          <w:highlight w:val="none"/>
          <w:u w:val="none" w:color="auto"/>
          <w:lang w:val="en-US" w:eastAsia="zh-CN"/>
        </w:rPr>
      </w:pPr>
      <w:r>
        <w:rPr>
          <w:rFonts w:hint="eastAsia"/>
          <w:color w:val="auto"/>
          <w:highlight w:val="none"/>
          <w:u w:val="none" w:color="auto"/>
          <w:lang w:val="en-US" w:eastAsia="zh-CN"/>
        </w:rPr>
        <w:t>评价等级按下表的分级判据进行划分。</w:t>
      </w:r>
    </w:p>
    <w:p w14:paraId="12227DB3">
      <w:pPr>
        <w:bidi w:val="0"/>
        <w:ind w:left="0" w:leftChars="0" w:firstLine="0" w:firstLineChars="0"/>
        <w:jc w:val="center"/>
        <w:rPr>
          <w:rFonts w:hint="eastAsia"/>
          <w:b/>
          <w:bCs/>
          <w:color w:val="auto"/>
          <w:sz w:val="21"/>
          <w:szCs w:val="21"/>
          <w:highlight w:val="none"/>
          <w:u w:val="none" w:color="auto"/>
          <w:lang w:val="en-US" w:eastAsia="zh-CN"/>
        </w:rPr>
      </w:pPr>
      <w:r>
        <w:rPr>
          <w:rFonts w:hint="eastAsia"/>
          <w:b/>
          <w:bCs/>
          <w:color w:val="auto"/>
          <w:sz w:val="21"/>
          <w:szCs w:val="21"/>
          <w:highlight w:val="none"/>
          <w:u w:val="none" w:color="auto"/>
          <w:lang w:val="en-US" w:eastAsia="zh-CN"/>
        </w:rPr>
        <w:t>表2.5-1  评价等级判别表</w:t>
      </w:r>
    </w:p>
    <w:tbl>
      <w:tblPr>
        <w:tblStyle w:val="35"/>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4616"/>
        <w:gridCol w:w="4616"/>
      </w:tblGrid>
      <w:tr w14:paraId="22DA736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500" w:type="pct"/>
            <w:noWrap/>
            <w:vAlign w:val="center"/>
          </w:tcPr>
          <w:p w14:paraId="2E3298EB">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b/>
                <w:bCs/>
                <w:color w:val="auto"/>
                <w:sz w:val="21"/>
                <w:szCs w:val="21"/>
                <w:highlight w:val="none"/>
                <w:u w:val="none" w:color="auto"/>
                <w:lang w:val="en-US" w:eastAsia="zh-CN"/>
              </w:rPr>
            </w:pPr>
            <w:r>
              <w:rPr>
                <w:rFonts w:hint="eastAsia"/>
                <w:b/>
                <w:bCs/>
                <w:color w:val="auto"/>
                <w:sz w:val="21"/>
                <w:szCs w:val="21"/>
                <w:highlight w:val="none"/>
                <w:u w:val="none" w:color="auto"/>
                <w:lang w:val="en-US" w:eastAsia="zh-CN"/>
              </w:rPr>
              <w:t>评价工作等级</w:t>
            </w:r>
          </w:p>
        </w:tc>
        <w:tc>
          <w:tcPr>
            <w:tcW w:w="2500" w:type="pct"/>
            <w:noWrap/>
            <w:vAlign w:val="center"/>
          </w:tcPr>
          <w:p w14:paraId="3262D870">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b/>
                <w:bCs/>
                <w:color w:val="auto"/>
                <w:sz w:val="21"/>
                <w:szCs w:val="21"/>
                <w:highlight w:val="none"/>
                <w:u w:val="none" w:color="auto"/>
                <w:lang w:val="en-US" w:eastAsia="zh-CN"/>
              </w:rPr>
            </w:pPr>
            <w:r>
              <w:rPr>
                <w:rFonts w:hint="eastAsia"/>
                <w:b/>
                <w:bCs/>
                <w:color w:val="auto"/>
                <w:sz w:val="21"/>
                <w:szCs w:val="21"/>
                <w:highlight w:val="none"/>
                <w:u w:val="none" w:color="auto"/>
                <w:lang w:val="en-US" w:eastAsia="zh-CN"/>
              </w:rPr>
              <w:t>评价工作分级判据</w:t>
            </w:r>
          </w:p>
        </w:tc>
      </w:tr>
      <w:tr w14:paraId="42478C7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500" w:type="pct"/>
            <w:noWrap/>
            <w:vAlign w:val="center"/>
          </w:tcPr>
          <w:p w14:paraId="639EA18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highlight w:val="none"/>
                <w:u w:val="none" w:color="auto"/>
                <w:lang w:val="en-US" w:eastAsia="zh-CN"/>
              </w:rPr>
            </w:pPr>
            <w:r>
              <w:rPr>
                <w:rFonts w:hint="eastAsia"/>
                <w:color w:val="auto"/>
                <w:sz w:val="21"/>
                <w:szCs w:val="21"/>
                <w:highlight w:val="none"/>
                <w:u w:val="none" w:color="auto"/>
                <w:lang w:val="en-US" w:eastAsia="zh-CN"/>
              </w:rPr>
              <w:t>一级评价</w:t>
            </w:r>
          </w:p>
        </w:tc>
        <w:tc>
          <w:tcPr>
            <w:tcW w:w="2500" w:type="pct"/>
            <w:noWrap/>
            <w:vAlign w:val="center"/>
          </w:tcPr>
          <w:p w14:paraId="4358194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u w:val="none" w:color="auto"/>
                <w:lang w:val="en-US" w:eastAsia="zh-CN"/>
              </w:rPr>
            </w:pPr>
            <w:r>
              <w:rPr>
                <w:rFonts w:hint="default" w:ascii="Times New Roman" w:hAnsi="Times New Roman" w:cs="Times New Roman"/>
                <w:color w:val="auto"/>
                <w:sz w:val="21"/>
                <w:szCs w:val="21"/>
                <w:highlight w:val="none"/>
                <w:u w:val="none" w:color="auto"/>
                <w:lang w:val="en-US" w:eastAsia="zh-CN"/>
              </w:rPr>
              <w:t>P</w:t>
            </w:r>
            <w:r>
              <w:rPr>
                <w:rFonts w:hint="default" w:ascii="Times New Roman" w:hAnsi="Times New Roman" w:cs="Times New Roman"/>
                <w:color w:val="auto"/>
                <w:sz w:val="21"/>
                <w:szCs w:val="21"/>
                <w:highlight w:val="none"/>
                <w:u w:val="none" w:color="auto"/>
                <w:vertAlign w:val="subscript"/>
                <w:lang w:val="en-US" w:eastAsia="zh-CN"/>
              </w:rPr>
              <w:t>max</w:t>
            </w:r>
            <w:r>
              <w:rPr>
                <w:rFonts w:hint="default" w:ascii="Times New Roman" w:hAnsi="Times New Roman" w:cs="Times New Roman"/>
                <w:color w:val="auto"/>
                <w:sz w:val="21"/>
                <w:szCs w:val="21"/>
                <w:highlight w:val="none"/>
                <w:u w:val="none" w:color="auto"/>
                <w:lang w:val="en-US" w:eastAsia="zh-CN"/>
              </w:rPr>
              <w:t>≥10%</w:t>
            </w:r>
          </w:p>
        </w:tc>
      </w:tr>
      <w:tr w14:paraId="662D382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500" w:type="pct"/>
            <w:noWrap/>
            <w:vAlign w:val="center"/>
          </w:tcPr>
          <w:p w14:paraId="0EB3594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highlight w:val="none"/>
                <w:u w:val="none" w:color="auto"/>
                <w:lang w:val="en-US" w:eastAsia="zh-CN"/>
              </w:rPr>
            </w:pPr>
            <w:r>
              <w:rPr>
                <w:rFonts w:hint="eastAsia"/>
                <w:color w:val="auto"/>
                <w:sz w:val="21"/>
                <w:szCs w:val="21"/>
                <w:highlight w:val="none"/>
                <w:u w:val="none" w:color="auto"/>
                <w:lang w:val="en-US" w:eastAsia="zh-CN"/>
              </w:rPr>
              <w:t>二级评价</w:t>
            </w:r>
          </w:p>
        </w:tc>
        <w:tc>
          <w:tcPr>
            <w:tcW w:w="2500" w:type="pct"/>
            <w:noWrap/>
            <w:vAlign w:val="center"/>
          </w:tcPr>
          <w:p w14:paraId="6E3E92B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u w:val="none" w:color="auto"/>
                <w:lang w:val="en-US" w:eastAsia="zh-CN"/>
              </w:rPr>
            </w:pPr>
            <w:r>
              <w:rPr>
                <w:rFonts w:hint="default" w:ascii="Times New Roman" w:hAnsi="Times New Roman" w:cs="Times New Roman"/>
                <w:color w:val="auto"/>
                <w:sz w:val="21"/>
                <w:szCs w:val="21"/>
                <w:highlight w:val="none"/>
                <w:u w:val="none" w:color="auto"/>
                <w:lang w:val="en-US" w:eastAsia="zh-CN"/>
              </w:rPr>
              <w:t>1%≤P</w:t>
            </w:r>
            <w:r>
              <w:rPr>
                <w:rFonts w:hint="default" w:ascii="Times New Roman" w:hAnsi="Times New Roman" w:cs="Times New Roman"/>
                <w:color w:val="auto"/>
                <w:sz w:val="21"/>
                <w:szCs w:val="21"/>
                <w:highlight w:val="none"/>
                <w:u w:val="none" w:color="auto"/>
                <w:vertAlign w:val="subscript"/>
                <w:lang w:val="en-US" w:eastAsia="zh-CN"/>
              </w:rPr>
              <w:t>max</w:t>
            </w:r>
            <w:r>
              <w:rPr>
                <w:rFonts w:hint="default" w:ascii="Times New Roman" w:hAnsi="Times New Roman" w:cs="Times New Roman"/>
                <w:color w:val="auto"/>
                <w:sz w:val="21"/>
                <w:szCs w:val="21"/>
                <w:highlight w:val="none"/>
                <w:u w:val="none" w:color="auto"/>
                <w:lang w:val="en-US" w:eastAsia="zh-CN"/>
              </w:rPr>
              <w:t>&lt;10%</w:t>
            </w:r>
          </w:p>
        </w:tc>
      </w:tr>
      <w:tr w14:paraId="4BE42A6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500" w:type="pct"/>
            <w:noWrap/>
            <w:vAlign w:val="center"/>
          </w:tcPr>
          <w:p w14:paraId="7B893D8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highlight w:val="none"/>
                <w:u w:val="none" w:color="auto"/>
                <w:lang w:val="en-US" w:eastAsia="zh-CN"/>
              </w:rPr>
            </w:pPr>
            <w:r>
              <w:rPr>
                <w:rFonts w:hint="eastAsia"/>
                <w:color w:val="auto"/>
                <w:sz w:val="21"/>
                <w:szCs w:val="21"/>
                <w:highlight w:val="none"/>
                <w:u w:val="none" w:color="auto"/>
                <w:lang w:val="en-US" w:eastAsia="zh-CN"/>
              </w:rPr>
              <w:t>三级评价</w:t>
            </w:r>
          </w:p>
        </w:tc>
        <w:tc>
          <w:tcPr>
            <w:tcW w:w="2500" w:type="pct"/>
            <w:noWrap/>
            <w:vAlign w:val="center"/>
          </w:tcPr>
          <w:p w14:paraId="3F74666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u w:val="none" w:color="auto"/>
                <w:lang w:val="en-US" w:eastAsia="zh-CN"/>
              </w:rPr>
            </w:pPr>
            <w:r>
              <w:rPr>
                <w:rFonts w:hint="default" w:ascii="Times New Roman" w:hAnsi="Times New Roman" w:cs="Times New Roman"/>
                <w:color w:val="auto"/>
                <w:sz w:val="21"/>
                <w:szCs w:val="21"/>
                <w:highlight w:val="none"/>
                <w:u w:val="none" w:color="auto"/>
                <w:lang w:val="en-US" w:eastAsia="zh-CN"/>
              </w:rPr>
              <w:t>P</w:t>
            </w:r>
            <w:r>
              <w:rPr>
                <w:rFonts w:hint="default" w:ascii="Times New Roman" w:hAnsi="Times New Roman" w:cs="Times New Roman"/>
                <w:color w:val="auto"/>
                <w:sz w:val="21"/>
                <w:szCs w:val="21"/>
                <w:highlight w:val="none"/>
                <w:u w:val="none" w:color="auto"/>
                <w:vertAlign w:val="subscript"/>
                <w:lang w:val="en-US" w:eastAsia="zh-CN"/>
              </w:rPr>
              <w:t>max</w:t>
            </w:r>
            <w:r>
              <w:rPr>
                <w:rFonts w:hint="default" w:ascii="Times New Roman" w:hAnsi="Times New Roman" w:cs="Times New Roman"/>
                <w:color w:val="auto"/>
                <w:sz w:val="21"/>
                <w:szCs w:val="21"/>
                <w:highlight w:val="none"/>
                <w:u w:val="none" w:color="auto"/>
                <w:lang w:val="en-US" w:eastAsia="zh-CN"/>
              </w:rPr>
              <w:t>&lt;1%</w:t>
            </w:r>
          </w:p>
        </w:tc>
      </w:tr>
    </w:tbl>
    <w:p w14:paraId="149CA3B5">
      <w:pPr>
        <w:bidi w:val="0"/>
        <w:rPr>
          <w:rFonts w:hint="eastAsia"/>
          <w:color w:val="auto"/>
          <w:highlight w:val="none"/>
          <w:u w:val="none" w:color="auto"/>
          <w:lang w:val="en-US" w:eastAsia="zh-CN"/>
        </w:rPr>
      </w:pPr>
      <w:r>
        <w:rPr>
          <w:rFonts w:hint="eastAsia"/>
          <w:color w:val="auto"/>
          <w:highlight w:val="none"/>
          <w:u w:val="none" w:color="auto"/>
          <w:lang w:val="en-US" w:eastAsia="zh-CN"/>
        </w:rPr>
        <w:t>本项目仅在施工期间产生废气，施工结束填埋场封场后无废气排放，P</w:t>
      </w:r>
      <w:r>
        <w:rPr>
          <w:rFonts w:hint="eastAsia"/>
          <w:color w:val="auto"/>
          <w:highlight w:val="none"/>
          <w:u w:val="none" w:color="auto"/>
          <w:vertAlign w:val="subscript"/>
          <w:lang w:val="en-US" w:eastAsia="zh-CN"/>
        </w:rPr>
        <w:t>max</w:t>
      </w:r>
      <w:r>
        <w:rPr>
          <w:rFonts w:hint="default" w:ascii="Times New Roman" w:hAnsi="Times New Roman" w:cs="Times New Roman"/>
          <w:color w:val="auto"/>
          <w:highlight w:val="none"/>
          <w:u w:val="none" w:color="auto"/>
          <w:lang w:val="en-US" w:eastAsia="zh-CN"/>
        </w:rPr>
        <w:t>˂</w:t>
      </w:r>
      <w:r>
        <w:rPr>
          <w:rFonts w:hint="eastAsia"/>
          <w:color w:val="auto"/>
          <w:highlight w:val="none"/>
          <w:u w:val="none" w:color="auto"/>
          <w:lang w:val="en-US" w:eastAsia="zh-CN"/>
        </w:rPr>
        <w:t>1%。根据《环境影响评价技术导则大气环境》（HJ2.2-2018）中的有关规定，本项目大气环境影响评价等级定为三级。</w:t>
      </w:r>
    </w:p>
    <w:p w14:paraId="1CFC5C66">
      <w:pPr>
        <w:pStyle w:val="10"/>
        <w:numPr>
          <w:ilvl w:val="3"/>
          <w:numId w:val="1"/>
        </w:numPr>
        <w:bidi w:val="0"/>
        <w:ind w:left="850" w:leftChars="0" w:hanging="850" w:firstLineChars="0"/>
        <w:rPr>
          <w:rFonts w:hint="eastAsia"/>
          <w:highlight w:val="none"/>
          <w:lang w:val="en-US" w:eastAsia="zh-CN"/>
        </w:rPr>
      </w:pPr>
      <w:bookmarkStart w:id="25" w:name="_Toc22418"/>
      <w:r>
        <w:rPr>
          <w:rFonts w:hint="eastAsia"/>
          <w:highlight w:val="none"/>
          <w:lang w:val="en-US" w:eastAsia="zh-CN"/>
        </w:rPr>
        <w:t>地表水环境</w:t>
      </w:r>
      <w:bookmarkEnd w:id="25"/>
      <w:r>
        <w:rPr>
          <w:rFonts w:hint="eastAsia"/>
          <w:highlight w:val="none"/>
          <w:lang w:val="en-US" w:eastAsia="zh-CN"/>
        </w:rPr>
        <w:t>影响评价等级</w:t>
      </w:r>
    </w:p>
    <w:p w14:paraId="33DDC0C2">
      <w:pPr>
        <w:bidi w:val="0"/>
        <w:rPr>
          <w:rFonts w:hint="eastAsia"/>
          <w:color w:val="auto"/>
          <w:highlight w:val="none"/>
          <w:u w:val="none" w:color="auto"/>
          <w:lang w:val="en-US" w:eastAsia="zh-CN"/>
        </w:rPr>
      </w:pPr>
      <w:r>
        <w:rPr>
          <w:kern w:val="0"/>
          <w:sz w:val="24"/>
          <w:szCs w:val="22"/>
          <w:highlight w:val="none"/>
          <w:u w:val="none" w:color="auto"/>
          <w:lang w:bidi="en-US"/>
        </w:rPr>
        <w:t xml:space="preserve">按《环境影响评价技术导则 </w:t>
      </w:r>
      <w:r>
        <w:rPr>
          <w:rFonts w:hint="eastAsia"/>
          <w:kern w:val="0"/>
          <w:sz w:val="24"/>
          <w:szCs w:val="22"/>
          <w:highlight w:val="none"/>
          <w:u w:val="none" w:color="auto"/>
          <w:lang w:val="en-US" w:eastAsia="zh-CN" w:bidi="en-US"/>
        </w:rPr>
        <w:t xml:space="preserve"> </w:t>
      </w:r>
      <w:r>
        <w:rPr>
          <w:kern w:val="0"/>
          <w:sz w:val="24"/>
          <w:szCs w:val="22"/>
          <w:highlight w:val="none"/>
          <w:u w:val="none" w:color="auto"/>
          <w:lang w:bidi="en-US"/>
        </w:rPr>
        <w:t>地表水环境》（HJ2.3-2018）的规定，根据</w:t>
      </w:r>
      <w:r>
        <w:rPr>
          <w:kern w:val="0"/>
          <w:sz w:val="24"/>
          <w:highlight w:val="none"/>
          <w:u w:val="none" w:color="auto"/>
          <w:lang w:bidi="en-US"/>
        </w:rPr>
        <w:t>项目废水排放情况</w:t>
      </w:r>
      <w:r>
        <w:rPr>
          <w:kern w:val="0"/>
          <w:sz w:val="24"/>
          <w:szCs w:val="22"/>
          <w:highlight w:val="none"/>
          <w:u w:val="none" w:color="auto"/>
          <w:lang w:bidi="en-US"/>
        </w:rPr>
        <w:t>确定地表水环境影响评价工作等级。</w:t>
      </w:r>
    </w:p>
    <w:p w14:paraId="32CDB674">
      <w:pPr>
        <w:bidi w:val="0"/>
        <w:ind w:left="0" w:leftChars="0" w:firstLine="0" w:firstLineChars="0"/>
        <w:jc w:val="center"/>
        <w:rPr>
          <w:rFonts w:hint="eastAsia"/>
          <w:b/>
          <w:bCs/>
          <w:color w:val="auto"/>
          <w:sz w:val="21"/>
          <w:szCs w:val="21"/>
          <w:highlight w:val="none"/>
          <w:u w:val="none" w:color="auto"/>
          <w:lang w:val="en-US" w:eastAsia="zh-CN"/>
        </w:rPr>
      </w:pPr>
      <w:r>
        <w:rPr>
          <w:rFonts w:hint="eastAsia"/>
          <w:b/>
          <w:bCs/>
          <w:color w:val="auto"/>
          <w:sz w:val="21"/>
          <w:szCs w:val="21"/>
          <w:highlight w:val="none"/>
          <w:u w:val="none" w:color="auto"/>
          <w:lang w:val="en-US" w:eastAsia="zh-CN"/>
        </w:rPr>
        <w:t>表2.5-2  水污染影响型建设项目评价等级判定表</w:t>
      </w:r>
    </w:p>
    <w:tbl>
      <w:tblPr>
        <w:tblStyle w:val="35"/>
        <w:tblW w:w="4999" w:type="pct"/>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0" w:type="dxa"/>
          <w:bottom w:w="0" w:type="dxa"/>
          <w:right w:w="0" w:type="dxa"/>
        </w:tblCellMar>
      </w:tblPr>
      <w:tblGrid>
        <w:gridCol w:w="1621"/>
        <w:gridCol w:w="1539"/>
        <w:gridCol w:w="5884"/>
      </w:tblGrid>
      <w:tr w14:paraId="56E0539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0" w:hRule="atLeast"/>
          <w:tblHeader/>
        </w:trPr>
        <w:tc>
          <w:tcPr>
            <w:tcW w:w="896" w:type="pct"/>
            <w:vMerge w:val="restart"/>
            <w:noWrap w:val="0"/>
            <w:tcMar>
              <w:top w:w="15" w:type="dxa"/>
              <w:left w:w="15" w:type="dxa"/>
              <w:right w:w="15" w:type="dxa"/>
            </w:tcMar>
            <w:vAlign w:val="center"/>
          </w:tcPr>
          <w:p w14:paraId="03FD905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bCs/>
                <w:color w:val="auto"/>
                <w:sz w:val="21"/>
                <w:szCs w:val="21"/>
                <w:highlight w:val="none"/>
                <w:u w:val="none" w:color="auto"/>
              </w:rPr>
            </w:pPr>
            <w:r>
              <w:rPr>
                <w:rFonts w:hint="default"/>
                <w:b/>
                <w:bCs/>
                <w:color w:val="auto"/>
                <w:sz w:val="21"/>
                <w:szCs w:val="21"/>
                <w:highlight w:val="none"/>
                <w:u w:val="none" w:color="auto"/>
              </w:rPr>
              <w:t>评价等级</w:t>
            </w:r>
          </w:p>
        </w:tc>
        <w:tc>
          <w:tcPr>
            <w:tcW w:w="4103" w:type="pct"/>
            <w:gridSpan w:val="2"/>
            <w:noWrap w:val="0"/>
            <w:tcMar>
              <w:top w:w="15" w:type="dxa"/>
              <w:left w:w="15" w:type="dxa"/>
              <w:right w:w="15" w:type="dxa"/>
            </w:tcMar>
            <w:vAlign w:val="center"/>
          </w:tcPr>
          <w:p w14:paraId="1758C31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bCs/>
                <w:color w:val="auto"/>
                <w:sz w:val="21"/>
                <w:szCs w:val="21"/>
                <w:highlight w:val="none"/>
                <w:u w:val="none" w:color="auto"/>
              </w:rPr>
            </w:pPr>
            <w:r>
              <w:rPr>
                <w:rFonts w:hint="default"/>
                <w:b/>
                <w:bCs/>
                <w:color w:val="auto"/>
                <w:sz w:val="21"/>
                <w:szCs w:val="21"/>
                <w:highlight w:val="none"/>
                <w:u w:val="none" w:color="auto"/>
              </w:rPr>
              <w:t>判定依据</w:t>
            </w:r>
          </w:p>
        </w:tc>
      </w:tr>
      <w:tr w14:paraId="08144B0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0" w:hRule="atLeast"/>
          <w:tblHeader/>
        </w:trPr>
        <w:tc>
          <w:tcPr>
            <w:tcW w:w="896" w:type="pct"/>
            <w:vMerge w:val="continue"/>
            <w:noWrap w:val="0"/>
            <w:tcMar>
              <w:top w:w="15" w:type="dxa"/>
              <w:left w:w="15" w:type="dxa"/>
              <w:right w:w="15" w:type="dxa"/>
            </w:tcMar>
            <w:vAlign w:val="center"/>
          </w:tcPr>
          <w:p w14:paraId="7B2C953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bCs/>
                <w:color w:val="auto"/>
                <w:sz w:val="21"/>
                <w:szCs w:val="21"/>
                <w:highlight w:val="none"/>
                <w:u w:val="none" w:color="auto"/>
              </w:rPr>
            </w:pPr>
          </w:p>
        </w:tc>
        <w:tc>
          <w:tcPr>
            <w:tcW w:w="851" w:type="pct"/>
            <w:noWrap w:val="0"/>
            <w:tcMar>
              <w:top w:w="15" w:type="dxa"/>
              <w:left w:w="15" w:type="dxa"/>
              <w:right w:w="15" w:type="dxa"/>
            </w:tcMar>
            <w:vAlign w:val="center"/>
          </w:tcPr>
          <w:p w14:paraId="3762DEB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bCs/>
                <w:color w:val="auto"/>
                <w:sz w:val="21"/>
                <w:szCs w:val="21"/>
                <w:highlight w:val="none"/>
                <w:u w:val="none" w:color="auto"/>
              </w:rPr>
            </w:pPr>
            <w:r>
              <w:rPr>
                <w:rFonts w:hint="default"/>
                <w:b/>
                <w:bCs/>
                <w:color w:val="auto"/>
                <w:sz w:val="21"/>
                <w:szCs w:val="21"/>
                <w:highlight w:val="none"/>
                <w:u w:val="none" w:color="auto"/>
              </w:rPr>
              <w:t>排放方式</w:t>
            </w:r>
          </w:p>
        </w:tc>
        <w:tc>
          <w:tcPr>
            <w:tcW w:w="3251" w:type="pct"/>
            <w:noWrap w:val="0"/>
            <w:tcMar>
              <w:top w:w="15" w:type="dxa"/>
              <w:left w:w="15" w:type="dxa"/>
              <w:right w:w="15" w:type="dxa"/>
            </w:tcMar>
            <w:vAlign w:val="center"/>
          </w:tcPr>
          <w:p w14:paraId="357A1C2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bCs/>
                <w:color w:val="auto"/>
                <w:sz w:val="21"/>
                <w:szCs w:val="21"/>
                <w:highlight w:val="none"/>
                <w:u w:val="none" w:color="auto"/>
              </w:rPr>
            </w:pPr>
            <w:r>
              <w:rPr>
                <w:rFonts w:hint="default"/>
                <w:b/>
                <w:bCs/>
                <w:color w:val="auto"/>
                <w:sz w:val="21"/>
                <w:szCs w:val="21"/>
                <w:highlight w:val="none"/>
                <w:u w:val="none" w:color="auto"/>
              </w:rPr>
              <w:t>废水排放量Q（m</w:t>
            </w:r>
            <w:r>
              <w:rPr>
                <w:rFonts w:hint="default"/>
                <w:b/>
                <w:bCs/>
                <w:color w:val="auto"/>
                <w:sz w:val="21"/>
                <w:szCs w:val="21"/>
                <w:highlight w:val="none"/>
                <w:u w:val="none" w:color="auto"/>
                <w:vertAlign w:val="superscript"/>
              </w:rPr>
              <w:t>3</w:t>
            </w:r>
            <w:r>
              <w:rPr>
                <w:rFonts w:hint="default"/>
                <w:b/>
                <w:bCs/>
                <w:color w:val="auto"/>
                <w:sz w:val="21"/>
                <w:szCs w:val="21"/>
                <w:highlight w:val="none"/>
                <w:u w:val="none" w:color="auto"/>
              </w:rPr>
              <w:t>/d）；水污染单量数W（</w:t>
            </w:r>
            <w:r>
              <w:rPr>
                <w:rFonts w:hint="eastAsia"/>
                <w:b/>
                <w:bCs/>
                <w:color w:val="auto"/>
                <w:sz w:val="21"/>
                <w:szCs w:val="21"/>
                <w:highlight w:val="none"/>
                <w:u w:val="none" w:color="auto"/>
                <w:lang w:val="en-US" w:eastAsia="zh-CN"/>
              </w:rPr>
              <w:t>无</w:t>
            </w:r>
            <w:r>
              <w:rPr>
                <w:rFonts w:hint="default"/>
                <w:b/>
                <w:bCs/>
                <w:color w:val="auto"/>
                <w:sz w:val="21"/>
                <w:szCs w:val="21"/>
                <w:highlight w:val="none"/>
                <w:u w:val="none" w:color="auto"/>
              </w:rPr>
              <w:t>量纲）</w:t>
            </w:r>
          </w:p>
        </w:tc>
      </w:tr>
      <w:tr w14:paraId="7BBD455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896" w:type="pct"/>
            <w:noWrap w:val="0"/>
            <w:tcMar>
              <w:top w:w="15" w:type="dxa"/>
              <w:left w:w="15" w:type="dxa"/>
              <w:right w:w="15" w:type="dxa"/>
            </w:tcMar>
            <w:vAlign w:val="center"/>
          </w:tcPr>
          <w:p w14:paraId="6F8CE55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sz w:val="21"/>
                <w:szCs w:val="21"/>
                <w:highlight w:val="none"/>
                <w:u w:val="none" w:color="auto"/>
              </w:rPr>
            </w:pPr>
            <w:r>
              <w:rPr>
                <w:rFonts w:hint="default"/>
                <w:color w:val="auto"/>
                <w:sz w:val="21"/>
                <w:szCs w:val="21"/>
                <w:highlight w:val="none"/>
                <w:u w:val="none" w:color="auto"/>
              </w:rPr>
              <w:t>一级</w:t>
            </w:r>
          </w:p>
        </w:tc>
        <w:tc>
          <w:tcPr>
            <w:tcW w:w="851" w:type="pct"/>
            <w:noWrap w:val="0"/>
            <w:tcMar>
              <w:top w:w="15" w:type="dxa"/>
              <w:left w:w="15" w:type="dxa"/>
              <w:right w:w="15" w:type="dxa"/>
            </w:tcMar>
            <w:vAlign w:val="center"/>
          </w:tcPr>
          <w:p w14:paraId="7EFEE9C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sz w:val="21"/>
                <w:szCs w:val="21"/>
                <w:highlight w:val="none"/>
                <w:u w:val="none" w:color="auto"/>
              </w:rPr>
            </w:pPr>
            <w:r>
              <w:rPr>
                <w:rFonts w:hint="default"/>
                <w:color w:val="auto"/>
                <w:sz w:val="21"/>
                <w:szCs w:val="21"/>
                <w:highlight w:val="none"/>
                <w:u w:val="none" w:color="auto"/>
              </w:rPr>
              <w:t>直接排放</w:t>
            </w:r>
          </w:p>
        </w:tc>
        <w:tc>
          <w:tcPr>
            <w:tcW w:w="3251" w:type="pct"/>
            <w:noWrap w:val="0"/>
            <w:tcMar>
              <w:top w:w="15" w:type="dxa"/>
              <w:left w:w="15" w:type="dxa"/>
              <w:right w:w="15" w:type="dxa"/>
            </w:tcMar>
            <w:vAlign w:val="center"/>
          </w:tcPr>
          <w:p w14:paraId="3A37641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sz w:val="21"/>
                <w:szCs w:val="21"/>
                <w:highlight w:val="none"/>
                <w:u w:val="none" w:color="auto"/>
              </w:rPr>
            </w:pPr>
            <w:r>
              <w:rPr>
                <w:rFonts w:hint="default"/>
                <w:color w:val="auto"/>
                <w:sz w:val="21"/>
                <w:szCs w:val="21"/>
                <w:highlight w:val="none"/>
                <w:u w:val="none" w:color="auto"/>
              </w:rPr>
              <w:t>Q≥20000或W≥600000</w:t>
            </w:r>
          </w:p>
        </w:tc>
      </w:tr>
      <w:tr w14:paraId="654EAC4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896" w:type="pct"/>
            <w:noWrap w:val="0"/>
            <w:tcMar>
              <w:top w:w="15" w:type="dxa"/>
              <w:left w:w="15" w:type="dxa"/>
              <w:right w:w="15" w:type="dxa"/>
            </w:tcMar>
            <w:vAlign w:val="center"/>
          </w:tcPr>
          <w:p w14:paraId="5A0D89B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sz w:val="21"/>
                <w:szCs w:val="21"/>
                <w:highlight w:val="none"/>
                <w:u w:val="none" w:color="auto"/>
              </w:rPr>
            </w:pPr>
            <w:r>
              <w:rPr>
                <w:rFonts w:hint="default"/>
                <w:color w:val="auto"/>
                <w:sz w:val="21"/>
                <w:szCs w:val="21"/>
                <w:highlight w:val="none"/>
                <w:u w:val="none" w:color="auto"/>
              </w:rPr>
              <w:t>二级</w:t>
            </w:r>
          </w:p>
        </w:tc>
        <w:tc>
          <w:tcPr>
            <w:tcW w:w="851" w:type="pct"/>
            <w:noWrap w:val="0"/>
            <w:tcMar>
              <w:top w:w="15" w:type="dxa"/>
              <w:left w:w="15" w:type="dxa"/>
              <w:right w:w="15" w:type="dxa"/>
            </w:tcMar>
            <w:vAlign w:val="center"/>
          </w:tcPr>
          <w:p w14:paraId="495E020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sz w:val="21"/>
                <w:szCs w:val="21"/>
                <w:highlight w:val="none"/>
                <w:u w:val="none" w:color="auto"/>
              </w:rPr>
            </w:pPr>
            <w:r>
              <w:rPr>
                <w:rFonts w:hint="default"/>
                <w:color w:val="auto"/>
                <w:sz w:val="21"/>
                <w:szCs w:val="21"/>
                <w:highlight w:val="none"/>
                <w:u w:val="none" w:color="auto"/>
              </w:rPr>
              <w:t>直接排放</w:t>
            </w:r>
          </w:p>
        </w:tc>
        <w:tc>
          <w:tcPr>
            <w:tcW w:w="3251" w:type="pct"/>
            <w:noWrap w:val="0"/>
            <w:tcMar>
              <w:top w:w="15" w:type="dxa"/>
              <w:left w:w="15" w:type="dxa"/>
              <w:right w:w="15" w:type="dxa"/>
            </w:tcMar>
            <w:vAlign w:val="center"/>
          </w:tcPr>
          <w:p w14:paraId="77DBBCF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sz w:val="21"/>
                <w:szCs w:val="21"/>
                <w:highlight w:val="none"/>
                <w:u w:val="none" w:color="auto"/>
              </w:rPr>
            </w:pPr>
            <w:r>
              <w:rPr>
                <w:rFonts w:hint="default"/>
                <w:color w:val="auto"/>
                <w:sz w:val="21"/>
                <w:szCs w:val="21"/>
                <w:highlight w:val="none"/>
                <w:u w:val="none" w:color="auto"/>
              </w:rPr>
              <w:t>其他</w:t>
            </w:r>
          </w:p>
        </w:tc>
      </w:tr>
      <w:tr w14:paraId="4175F94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896" w:type="pct"/>
            <w:noWrap w:val="0"/>
            <w:tcMar>
              <w:top w:w="15" w:type="dxa"/>
              <w:left w:w="15" w:type="dxa"/>
              <w:right w:w="15" w:type="dxa"/>
            </w:tcMar>
            <w:vAlign w:val="center"/>
          </w:tcPr>
          <w:p w14:paraId="538086E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sz w:val="21"/>
                <w:szCs w:val="21"/>
                <w:highlight w:val="none"/>
                <w:u w:val="none" w:color="auto"/>
              </w:rPr>
            </w:pPr>
            <w:r>
              <w:rPr>
                <w:rFonts w:hint="default"/>
                <w:color w:val="auto"/>
                <w:sz w:val="21"/>
                <w:szCs w:val="21"/>
                <w:highlight w:val="none"/>
                <w:u w:val="none" w:color="auto"/>
              </w:rPr>
              <w:t>三级A</w:t>
            </w:r>
          </w:p>
        </w:tc>
        <w:tc>
          <w:tcPr>
            <w:tcW w:w="851" w:type="pct"/>
            <w:noWrap w:val="0"/>
            <w:tcMar>
              <w:top w:w="15" w:type="dxa"/>
              <w:left w:w="15" w:type="dxa"/>
              <w:right w:w="15" w:type="dxa"/>
            </w:tcMar>
            <w:vAlign w:val="center"/>
          </w:tcPr>
          <w:p w14:paraId="386F974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sz w:val="21"/>
                <w:szCs w:val="21"/>
                <w:highlight w:val="none"/>
                <w:u w:val="none" w:color="auto"/>
              </w:rPr>
            </w:pPr>
            <w:r>
              <w:rPr>
                <w:rFonts w:hint="default"/>
                <w:color w:val="auto"/>
                <w:sz w:val="21"/>
                <w:szCs w:val="21"/>
                <w:highlight w:val="none"/>
                <w:u w:val="none" w:color="auto"/>
              </w:rPr>
              <w:t>直接排放</w:t>
            </w:r>
          </w:p>
        </w:tc>
        <w:tc>
          <w:tcPr>
            <w:tcW w:w="3251" w:type="pct"/>
            <w:noWrap w:val="0"/>
            <w:tcMar>
              <w:top w:w="15" w:type="dxa"/>
              <w:left w:w="15" w:type="dxa"/>
              <w:right w:w="15" w:type="dxa"/>
            </w:tcMar>
            <w:vAlign w:val="center"/>
          </w:tcPr>
          <w:p w14:paraId="4704352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sz w:val="21"/>
                <w:szCs w:val="21"/>
                <w:highlight w:val="none"/>
                <w:u w:val="none" w:color="auto"/>
              </w:rPr>
            </w:pPr>
            <w:r>
              <w:rPr>
                <w:rFonts w:hint="default"/>
                <w:color w:val="auto"/>
                <w:sz w:val="21"/>
                <w:szCs w:val="21"/>
                <w:highlight w:val="none"/>
                <w:u w:val="none" w:color="auto"/>
              </w:rPr>
              <w:t>Q&lt;200且W&lt;6000</w:t>
            </w:r>
          </w:p>
        </w:tc>
      </w:tr>
      <w:tr w14:paraId="655A6D4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896" w:type="pct"/>
            <w:noWrap w:val="0"/>
            <w:tcMar>
              <w:top w:w="15" w:type="dxa"/>
              <w:left w:w="15" w:type="dxa"/>
              <w:right w:w="15" w:type="dxa"/>
            </w:tcMar>
            <w:vAlign w:val="center"/>
          </w:tcPr>
          <w:p w14:paraId="6E6D39E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sz w:val="21"/>
                <w:szCs w:val="21"/>
                <w:highlight w:val="none"/>
                <w:u w:val="none" w:color="auto"/>
              </w:rPr>
            </w:pPr>
            <w:r>
              <w:rPr>
                <w:rFonts w:hint="default"/>
                <w:color w:val="auto"/>
                <w:sz w:val="21"/>
                <w:szCs w:val="21"/>
                <w:highlight w:val="none"/>
                <w:u w:val="none" w:color="auto"/>
              </w:rPr>
              <w:t>三级B</w:t>
            </w:r>
          </w:p>
        </w:tc>
        <w:tc>
          <w:tcPr>
            <w:tcW w:w="851" w:type="pct"/>
            <w:noWrap w:val="0"/>
            <w:tcMar>
              <w:top w:w="15" w:type="dxa"/>
              <w:left w:w="15" w:type="dxa"/>
              <w:right w:w="15" w:type="dxa"/>
            </w:tcMar>
            <w:vAlign w:val="center"/>
          </w:tcPr>
          <w:p w14:paraId="38AB25F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sz w:val="21"/>
                <w:szCs w:val="21"/>
                <w:highlight w:val="none"/>
                <w:u w:val="none" w:color="auto"/>
              </w:rPr>
            </w:pPr>
            <w:r>
              <w:rPr>
                <w:rFonts w:hint="default"/>
                <w:color w:val="auto"/>
                <w:sz w:val="21"/>
                <w:szCs w:val="21"/>
                <w:highlight w:val="none"/>
                <w:u w:val="none" w:color="auto"/>
              </w:rPr>
              <w:t>间接排放</w:t>
            </w:r>
          </w:p>
        </w:tc>
        <w:tc>
          <w:tcPr>
            <w:tcW w:w="3251" w:type="pct"/>
            <w:noWrap w:val="0"/>
            <w:tcMar>
              <w:top w:w="15" w:type="dxa"/>
              <w:left w:w="15" w:type="dxa"/>
              <w:right w:w="15" w:type="dxa"/>
            </w:tcMar>
            <w:vAlign w:val="center"/>
          </w:tcPr>
          <w:p w14:paraId="672EDF2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color w:val="auto"/>
                <w:sz w:val="21"/>
                <w:szCs w:val="21"/>
                <w:highlight w:val="none"/>
                <w:u w:val="none" w:color="auto"/>
                <w:lang w:eastAsia="zh-CN"/>
              </w:rPr>
            </w:pPr>
            <w:r>
              <w:rPr>
                <w:rFonts w:hint="eastAsia"/>
                <w:color w:val="auto"/>
                <w:sz w:val="21"/>
                <w:szCs w:val="21"/>
                <w:highlight w:val="none"/>
                <w:u w:val="none" w:color="auto"/>
                <w:lang w:val="en-US" w:eastAsia="zh-CN"/>
              </w:rPr>
              <w:t>/</w:t>
            </w:r>
          </w:p>
        </w:tc>
      </w:tr>
      <w:tr w14:paraId="6883973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5000" w:type="pct"/>
            <w:gridSpan w:val="3"/>
            <w:noWrap w:val="0"/>
            <w:tcMar>
              <w:top w:w="15" w:type="dxa"/>
              <w:left w:w="15" w:type="dxa"/>
              <w:right w:w="15" w:type="dxa"/>
            </w:tcMar>
            <w:vAlign w:val="center"/>
          </w:tcPr>
          <w:p w14:paraId="117A6730">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cs="Times New Roman"/>
                <w:color w:val="auto"/>
                <w:sz w:val="21"/>
                <w:szCs w:val="21"/>
                <w:highlight w:val="none"/>
                <w:u w:val="none" w:color="auto"/>
                <w:lang w:val="en-US" w:eastAsia="zh-CN"/>
              </w:rPr>
            </w:pPr>
            <w:r>
              <w:rPr>
                <w:rFonts w:hint="default" w:ascii="Times New Roman" w:hAnsi="Times New Roman" w:cs="Times New Roman"/>
                <w:color w:val="auto"/>
                <w:sz w:val="21"/>
                <w:szCs w:val="21"/>
                <w:highlight w:val="none"/>
                <w:u w:val="none" w:color="auto"/>
                <w:lang w:val="en-US" w:eastAsia="zh-CN"/>
              </w:rPr>
              <w:t>注1：水污染物当量数等于该污染物的年排放量除以该污染物的污染当量值（见附录A），计算排放污染物的污染物当量数，应区分第一类水污染物和其他类水污染物，统计第一类污染物当量数总和，然后与其他类污染物按照污染物当量数从大到小排序，取最大当量数作为建设项目评价等级确定的依据。</w:t>
            </w:r>
          </w:p>
          <w:p w14:paraId="0193BBCC">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cs="Times New Roman"/>
                <w:color w:val="auto"/>
                <w:sz w:val="21"/>
                <w:szCs w:val="21"/>
                <w:highlight w:val="none"/>
                <w:u w:val="none" w:color="auto"/>
                <w:lang w:val="en-US" w:eastAsia="zh-CN"/>
              </w:rPr>
            </w:pPr>
            <w:r>
              <w:rPr>
                <w:rFonts w:hint="default" w:ascii="Times New Roman" w:hAnsi="Times New Roman" w:cs="Times New Roman"/>
                <w:color w:val="auto"/>
                <w:sz w:val="21"/>
                <w:szCs w:val="21"/>
                <w:highlight w:val="none"/>
                <w:u w:val="none" w:color="auto"/>
                <w:lang w:val="en-US" w:eastAsia="zh-CN"/>
              </w:rPr>
              <w:t>注2：废水排放量按行业排放标准中规定的废水种类统计，没有相关行业排放标准要求的通过工程分析合理确定，应统计含热量大的冷却水的排放量，可不统计间接冷却水、循环水以及其他含污染物极少的清净下水的排放量。</w:t>
            </w:r>
          </w:p>
          <w:p w14:paraId="286B1144">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cs="Times New Roman"/>
                <w:color w:val="auto"/>
                <w:sz w:val="21"/>
                <w:szCs w:val="21"/>
                <w:highlight w:val="none"/>
                <w:u w:val="none" w:color="auto"/>
                <w:lang w:val="en-US" w:eastAsia="zh-CN"/>
              </w:rPr>
            </w:pPr>
            <w:r>
              <w:rPr>
                <w:rFonts w:hint="default" w:ascii="Times New Roman" w:hAnsi="Times New Roman" w:cs="Times New Roman"/>
                <w:color w:val="auto"/>
                <w:sz w:val="21"/>
                <w:szCs w:val="21"/>
                <w:highlight w:val="none"/>
                <w:u w:val="none" w:color="auto"/>
                <w:lang w:val="en-US" w:eastAsia="zh-CN"/>
              </w:rPr>
              <w:t>注3：厂区存在堆积物（露天堆放的原料、燃料、废渣等以及垃圾堆放场）、降尘污染的，应将初期雨污水纳入废水排放量，相应的主要污染物纳入水污染当量计算。</w:t>
            </w:r>
          </w:p>
          <w:p w14:paraId="4A78A1C5">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cs="Times New Roman"/>
                <w:color w:val="auto"/>
                <w:sz w:val="21"/>
                <w:szCs w:val="21"/>
                <w:highlight w:val="none"/>
                <w:u w:val="none" w:color="auto"/>
                <w:lang w:val="en-US" w:eastAsia="zh-CN"/>
              </w:rPr>
            </w:pPr>
            <w:r>
              <w:rPr>
                <w:rFonts w:hint="default" w:ascii="Times New Roman" w:hAnsi="Times New Roman" w:cs="Times New Roman"/>
                <w:color w:val="auto"/>
                <w:sz w:val="21"/>
                <w:szCs w:val="21"/>
                <w:highlight w:val="none"/>
                <w:u w:val="none" w:color="auto"/>
                <w:lang w:val="en-US" w:eastAsia="zh-CN"/>
              </w:rPr>
              <w:t>注4：建设项目直接排放第一类污染物的，其评价等级为一级；建设项目直接排放的污染物为受纳水体超标因子的，评价等级不低于二级。</w:t>
            </w:r>
          </w:p>
          <w:p w14:paraId="1FCB5ED7">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cs="Times New Roman"/>
                <w:color w:val="auto"/>
                <w:sz w:val="21"/>
                <w:szCs w:val="21"/>
                <w:highlight w:val="none"/>
                <w:u w:val="none" w:color="auto"/>
                <w:lang w:val="en-US" w:eastAsia="zh-CN"/>
              </w:rPr>
            </w:pPr>
            <w:r>
              <w:rPr>
                <w:rFonts w:hint="default" w:ascii="Times New Roman" w:hAnsi="Times New Roman" w:cs="Times New Roman"/>
                <w:color w:val="auto"/>
                <w:sz w:val="21"/>
                <w:szCs w:val="21"/>
                <w:highlight w:val="none"/>
                <w:u w:val="none" w:color="auto"/>
                <w:lang w:val="en-US" w:eastAsia="zh-CN"/>
              </w:rPr>
              <w:t>注5：直接排放受纳水体影响范围涉及饮用水水源保护区、饮用水取水口、重点保护与珍稀水生生物的栖息地、重要水生生物的自然产卵场等保护目标时，评价等级不低于二级。</w:t>
            </w:r>
          </w:p>
          <w:p w14:paraId="26F702F6">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cs="Times New Roman"/>
                <w:color w:val="auto"/>
                <w:sz w:val="21"/>
                <w:szCs w:val="21"/>
                <w:highlight w:val="none"/>
                <w:u w:val="none" w:color="auto"/>
                <w:lang w:val="en-US" w:eastAsia="zh-CN"/>
              </w:rPr>
            </w:pPr>
            <w:r>
              <w:rPr>
                <w:rFonts w:hint="default" w:ascii="Times New Roman" w:hAnsi="Times New Roman" w:cs="Times New Roman"/>
                <w:color w:val="auto"/>
                <w:sz w:val="21"/>
                <w:szCs w:val="21"/>
                <w:highlight w:val="none"/>
                <w:u w:val="none" w:color="auto"/>
                <w:lang w:val="en-US" w:eastAsia="zh-CN"/>
              </w:rPr>
              <w:t>注6：建设项目向河流、湖库排放温排水引起受纳水体水温变化超过水环境质量标准要求，且评价范围有水温敏感目标时，评价等级为一级。</w:t>
            </w:r>
          </w:p>
          <w:p w14:paraId="22E37523">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cs="Times New Roman"/>
                <w:color w:val="auto"/>
                <w:sz w:val="21"/>
                <w:szCs w:val="21"/>
                <w:highlight w:val="none"/>
                <w:u w:val="none" w:color="auto"/>
                <w:lang w:val="en-US" w:eastAsia="zh-CN"/>
              </w:rPr>
            </w:pPr>
            <w:r>
              <w:rPr>
                <w:rFonts w:hint="default" w:ascii="Times New Roman" w:hAnsi="Times New Roman" w:cs="Times New Roman"/>
                <w:color w:val="auto"/>
                <w:sz w:val="21"/>
                <w:szCs w:val="21"/>
                <w:highlight w:val="none"/>
                <w:u w:val="none" w:color="auto"/>
                <w:lang w:val="en-US" w:eastAsia="zh-CN"/>
              </w:rPr>
              <w:t>注7：建设项目利用海水作为调节温度介质，排水量≥500万m</w:t>
            </w:r>
            <w:r>
              <w:rPr>
                <w:rFonts w:hint="default" w:ascii="Times New Roman" w:hAnsi="Times New Roman" w:cs="Times New Roman"/>
                <w:color w:val="auto"/>
                <w:sz w:val="21"/>
                <w:szCs w:val="21"/>
                <w:highlight w:val="none"/>
                <w:u w:val="none" w:color="auto"/>
                <w:vertAlign w:val="superscript"/>
                <w:lang w:val="en-US" w:eastAsia="zh-CN"/>
              </w:rPr>
              <w:t>3</w:t>
            </w:r>
            <w:r>
              <w:rPr>
                <w:rFonts w:hint="default" w:ascii="Times New Roman" w:hAnsi="Times New Roman" w:cs="Times New Roman"/>
                <w:color w:val="auto"/>
                <w:sz w:val="21"/>
                <w:szCs w:val="21"/>
                <w:highlight w:val="none"/>
                <w:u w:val="none" w:color="auto"/>
                <w:lang w:val="en-US" w:eastAsia="zh-CN"/>
              </w:rPr>
              <w:t>/d，评价等级为一级；排水量&lt;500万m</w:t>
            </w:r>
            <w:r>
              <w:rPr>
                <w:rFonts w:hint="default" w:ascii="Times New Roman" w:hAnsi="Times New Roman" w:cs="Times New Roman"/>
                <w:color w:val="auto"/>
                <w:sz w:val="21"/>
                <w:szCs w:val="21"/>
                <w:highlight w:val="none"/>
                <w:u w:val="none" w:color="auto"/>
                <w:vertAlign w:val="superscript"/>
                <w:lang w:val="en-US" w:eastAsia="zh-CN"/>
              </w:rPr>
              <w:t>3</w:t>
            </w:r>
            <w:r>
              <w:rPr>
                <w:rFonts w:hint="default" w:ascii="Times New Roman" w:hAnsi="Times New Roman" w:cs="Times New Roman"/>
                <w:color w:val="auto"/>
                <w:sz w:val="21"/>
                <w:szCs w:val="21"/>
                <w:highlight w:val="none"/>
                <w:u w:val="none" w:color="auto"/>
                <w:lang w:val="en-US" w:eastAsia="zh-CN"/>
              </w:rPr>
              <w:t>/d，评价等级为二级。</w:t>
            </w:r>
          </w:p>
          <w:p w14:paraId="76481449">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cs="Times New Roman"/>
                <w:color w:val="auto"/>
                <w:sz w:val="21"/>
                <w:szCs w:val="21"/>
                <w:highlight w:val="none"/>
                <w:u w:val="none" w:color="auto"/>
                <w:lang w:val="en-US" w:eastAsia="zh-CN"/>
              </w:rPr>
            </w:pPr>
            <w:r>
              <w:rPr>
                <w:rFonts w:hint="default" w:ascii="Times New Roman" w:hAnsi="Times New Roman" w:cs="Times New Roman"/>
                <w:color w:val="auto"/>
                <w:sz w:val="21"/>
                <w:szCs w:val="21"/>
                <w:highlight w:val="none"/>
                <w:u w:val="none" w:color="auto"/>
                <w:lang w:val="en-US" w:eastAsia="zh-CN"/>
              </w:rPr>
              <w:t>注8：仅涉及清净下水排放的，如其排放水质满足受纳水体水环境质量标准要求的，评价等级为三级A。</w:t>
            </w:r>
          </w:p>
          <w:p w14:paraId="7B399A2E">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cs="Times New Roman"/>
                <w:color w:val="auto"/>
                <w:sz w:val="21"/>
                <w:szCs w:val="21"/>
                <w:highlight w:val="none"/>
                <w:u w:val="none" w:color="auto"/>
                <w:lang w:val="en-US" w:eastAsia="zh-CN"/>
              </w:rPr>
            </w:pPr>
            <w:r>
              <w:rPr>
                <w:rFonts w:hint="default" w:ascii="Times New Roman" w:hAnsi="Times New Roman" w:cs="Times New Roman"/>
                <w:color w:val="auto"/>
                <w:sz w:val="21"/>
                <w:szCs w:val="21"/>
                <w:highlight w:val="none"/>
                <w:u w:val="none" w:color="auto"/>
                <w:lang w:val="en-US" w:eastAsia="zh-CN"/>
              </w:rPr>
              <w:t>注9：依托现有排放口，且对外环境未新增排放污染物的直接排放建设项目，评价等级参照间接排放，定为三级B。</w:t>
            </w:r>
          </w:p>
          <w:p w14:paraId="02D0590E">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color w:val="auto"/>
                <w:sz w:val="21"/>
                <w:szCs w:val="21"/>
                <w:highlight w:val="none"/>
                <w:u w:val="none" w:color="auto"/>
                <w:lang w:val="en-US" w:eastAsia="zh-CN"/>
              </w:rPr>
            </w:pPr>
            <w:r>
              <w:rPr>
                <w:rFonts w:hint="default" w:ascii="Times New Roman" w:hAnsi="Times New Roman" w:cs="Times New Roman"/>
                <w:color w:val="auto"/>
                <w:sz w:val="21"/>
                <w:szCs w:val="21"/>
                <w:highlight w:val="none"/>
                <w:u w:val="none" w:color="auto"/>
                <w:lang w:val="en-US" w:eastAsia="zh-CN"/>
              </w:rPr>
              <w:t>注10：建设项目生产工艺中有废水产生，但作为回水利用，不排放到外环境的，按三级B评价。</w:t>
            </w:r>
          </w:p>
        </w:tc>
      </w:tr>
    </w:tbl>
    <w:p w14:paraId="20EF0364">
      <w:pPr>
        <w:bidi w:val="0"/>
        <w:rPr>
          <w:rFonts w:hint="eastAsia"/>
          <w:highlight w:val="none"/>
          <w:lang w:val="en-US" w:eastAsia="zh-CN"/>
        </w:rPr>
      </w:pPr>
      <w:r>
        <w:rPr>
          <w:rFonts w:hint="eastAsia"/>
          <w:lang w:val="en-US" w:eastAsia="zh-CN"/>
        </w:rPr>
        <w:t>施工清挖过程中雨季产生的淋溶水、车辆冲洗废水</w:t>
      </w:r>
      <w:r>
        <w:rPr>
          <w:rFonts w:hint="eastAsia"/>
          <w:highlight w:val="none"/>
          <w:lang w:val="en-US" w:eastAsia="zh-CN"/>
        </w:rPr>
        <w:t>经处理后回用于施工场地洒水抑尘等，不外排；施工期生活污水经化粪池处理后用于农肥，不外排。</w:t>
      </w:r>
    </w:p>
    <w:p w14:paraId="344BCCB8">
      <w:pPr>
        <w:bidi w:val="0"/>
        <w:rPr>
          <w:rFonts w:hint="eastAsia"/>
          <w:highlight w:val="yellow"/>
          <w:lang w:val="en-US" w:eastAsia="zh-CN"/>
        </w:rPr>
      </w:pPr>
      <w:r>
        <w:rPr>
          <w:rFonts w:hint="eastAsia"/>
          <w:highlight w:val="none"/>
          <w:lang w:val="en-US" w:eastAsia="zh-CN"/>
        </w:rPr>
        <w:t>渗滤液经一体化废水处理设施处理达到《污水综合排放标准》（GB8978-1996）中第一类污染物最高允许排放浓度和第二类污染物最高允许排放浓度一级标准后委托湖南黄金天岳矿业有限公司垂拱洞尾矿库废水处理站进一步处理后排放，根据《国家水污染物排放标准制订技术导则》（HJ945.2-2018）中关于“间接排放”及“污水集中处理设施”的定义，本项目废水为间接排放，因此地表水环境影响评价工作等级为三级B。</w:t>
      </w:r>
    </w:p>
    <w:p w14:paraId="51D7DADF">
      <w:pPr>
        <w:pStyle w:val="10"/>
        <w:numPr>
          <w:ilvl w:val="3"/>
          <w:numId w:val="1"/>
        </w:numPr>
        <w:bidi w:val="0"/>
        <w:ind w:left="850" w:leftChars="0" w:hanging="850" w:firstLineChars="0"/>
        <w:rPr>
          <w:rFonts w:hint="eastAsia"/>
          <w:highlight w:val="none"/>
          <w:lang w:val="en-US" w:eastAsia="zh-CN"/>
        </w:rPr>
      </w:pPr>
      <w:bookmarkStart w:id="26" w:name="_Toc11856"/>
      <w:r>
        <w:rPr>
          <w:rFonts w:hint="eastAsia"/>
          <w:highlight w:val="none"/>
          <w:lang w:val="en-US" w:eastAsia="zh-CN"/>
        </w:rPr>
        <w:t>地下水环境</w:t>
      </w:r>
      <w:bookmarkEnd w:id="26"/>
      <w:r>
        <w:rPr>
          <w:rFonts w:hint="eastAsia"/>
          <w:highlight w:val="none"/>
          <w:lang w:val="en-US" w:eastAsia="zh-CN"/>
        </w:rPr>
        <w:t>影响评价等级</w:t>
      </w:r>
    </w:p>
    <w:p w14:paraId="21C59F75">
      <w:pPr>
        <w:bidi w:val="0"/>
        <w:rPr>
          <w:rFonts w:hint="eastAsia"/>
          <w:color w:val="auto"/>
          <w:highlight w:val="none"/>
          <w:u w:val="none" w:color="auto"/>
          <w:lang w:val="en-US" w:eastAsia="zh-CN"/>
        </w:rPr>
      </w:pPr>
      <w:r>
        <w:rPr>
          <w:rFonts w:hint="eastAsia"/>
          <w:color w:val="auto"/>
          <w:highlight w:val="none"/>
          <w:u w:val="none" w:color="auto"/>
          <w:lang w:val="en-US" w:eastAsia="zh-CN"/>
        </w:rPr>
        <w:t>根据《环境影响评价技术导则  地下水环境》（HJ610-2016），建设项目的地下水环境敏感程度可分为敏感、较敏感、不敏感三级，分级原则见表2.5-3。</w:t>
      </w:r>
    </w:p>
    <w:p w14:paraId="0ACE051D">
      <w:pPr>
        <w:bidi w:val="0"/>
        <w:ind w:left="0" w:leftChars="0" w:firstLine="0" w:firstLineChars="0"/>
        <w:jc w:val="center"/>
        <w:rPr>
          <w:rFonts w:hint="eastAsia"/>
          <w:b/>
          <w:bCs/>
          <w:color w:val="auto"/>
          <w:sz w:val="21"/>
          <w:szCs w:val="21"/>
          <w:highlight w:val="none"/>
          <w:u w:val="none" w:color="auto"/>
          <w:lang w:val="en-US" w:eastAsia="zh-CN"/>
        </w:rPr>
      </w:pPr>
      <w:r>
        <w:rPr>
          <w:rFonts w:hint="eastAsia"/>
          <w:b/>
          <w:bCs/>
          <w:color w:val="auto"/>
          <w:sz w:val="21"/>
          <w:szCs w:val="21"/>
          <w:highlight w:val="none"/>
          <w:u w:val="none" w:color="auto"/>
          <w:lang w:val="en-US" w:eastAsia="zh-CN"/>
        </w:rPr>
        <w:t>表2.5-3  地下水环境敏感程度分级表</w:t>
      </w:r>
    </w:p>
    <w:tbl>
      <w:tblPr>
        <w:tblStyle w:val="35"/>
        <w:tblW w:w="4996"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107"/>
        <w:gridCol w:w="8118"/>
      </w:tblGrid>
      <w:tr w14:paraId="06AE6C0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tblHeader/>
          <w:jc w:val="center"/>
        </w:trPr>
        <w:tc>
          <w:tcPr>
            <w:tcW w:w="600" w:type="pct"/>
            <w:noWrap w:val="0"/>
            <w:vAlign w:val="center"/>
          </w:tcPr>
          <w:p w14:paraId="29F91F21">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b/>
                <w:bCs/>
                <w:color w:val="auto"/>
                <w:sz w:val="21"/>
                <w:szCs w:val="21"/>
                <w:highlight w:val="none"/>
                <w:u w:val="none" w:color="auto"/>
                <w:lang w:val="en-US" w:eastAsia="zh-CN"/>
              </w:rPr>
            </w:pPr>
            <w:r>
              <w:rPr>
                <w:rFonts w:hint="eastAsia"/>
                <w:b/>
                <w:bCs/>
                <w:color w:val="auto"/>
                <w:sz w:val="21"/>
                <w:szCs w:val="21"/>
                <w:highlight w:val="none"/>
                <w:u w:val="none" w:color="auto"/>
                <w:lang w:val="en-US" w:eastAsia="zh-CN"/>
              </w:rPr>
              <w:t>敏感程度</w:t>
            </w:r>
          </w:p>
        </w:tc>
        <w:tc>
          <w:tcPr>
            <w:tcW w:w="4399" w:type="pct"/>
            <w:noWrap w:val="0"/>
            <w:vAlign w:val="center"/>
          </w:tcPr>
          <w:p w14:paraId="73384DC5">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b/>
                <w:bCs/>
                <w:color w:val="auto"/>
                <w:sz w:val="21"/>
                <w:szCs w:val="21"/>
                <w:highlight w:val="none"/>
                <w:u w:val="none" w:color="auto"/>
                <w:lang w:val="en-US" w:eastAsia="zh-CN"/>
              </w:rPr>
            </w:pPr>
            <w:r>
              <w:rPr>
                <w:rFonts w:hint="eastAsia"/>
                <w:b/>
                <w:bCs/>
                <w:color w:val="auto"/>
                <w:sz w:val="21"/>
                <w:szCs w:val="21"/>
                <w:highlight w:val="none"/>
                <w:u w:val="none" w:color="auto"/>
                <w:lang w:val="en-US" w:eastAsia="zh-CN"/>
              </w:rPr>
              <w:t>地下水环境敏感特征</w:t>
            </w:r>
          </w:p>
        </w:tc>
      </w:tr>
      <w:tr w14:paraId="20168D4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600" w:type="pct"/>
            <w:noWrap w:val="0"/>
            <w:vAlign w:val="center"/>
          </w:tcPr>
          <w:p w14:paraId="1E1BD1E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highlight w:val="none"/>
                <w:u w:val="none" w:color="auto"/>
                <w:lang w:val="en-US" w:eastAsia="zh-CN"/>
              </w:rPr>
            </w:pPr>
            <w:r>
              <w:rPr>
                <w:rFonts w:hint="eastAsia"/>
                <w:color w:val="auto"/>
                <w:sz w:val="21"/>
                <w:szCs w:val="21"/>
                <w:highlight w:val="none"/>
                <w:u w:val="none" w:color="auto"/>
                <w:lang w:val="en-US" w:eastAsia="zh-CN"/>
              </w:rPr>
              <w:t>敏感</w:t>
            </w:r>
          </w:p>
        </w:tc>
        <w:tc>
          <w:tcPr>
            <w:tcW w:w="4399" w:type="pct"/>
            <w:noWrap w:val="0"/>
            <w:vAlign w:val="center"/>
          </w:tcPr>
          <w:p w14:paraId="0C9A051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highlight w:val="none"/>
                <w:u w:val="none" w:color="auto"/>
                <w:lang w:val="en-US" w:eastAsia="zh-CN"/>
              </w:rPr>
            </w:pPr>
            <w:r>
              <w:rPr>
                <w:rFonts w:hint="eastAsia"/>
                <w:color w:val="auto"/>
                <w:sz w:val="21"/>
                <w:szCs w:val="21"/>
                <w:highlight w:val="none"/>
                <w:u w:val="none" w:color="auto"/>
                <w:lang w:val="en-US" w:eastAsia="zh-CN"/>
              </w:rPr>
              <w:t>集中式饮用水水源（包括已建成的在用、备用、应急水源，在建和规划的饮用水水源）准保护区；除集中式饮用水水源以外的国家或地方政府设定与地下水环境相关的其它保护区，如热水、矿泉水、温泉等特殊地下资源保护区。</w:t>
            </w:r>
          </w:p>
        </w:tc>
      </w:tr>
      <w:tr w14:paraId="3BABE8F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600" w:type="pct"/>
            <w:noWrap w:val="0"/>
            <w:vAlign w:val="center"/>
          </w:tcPr>
          <w:p w14:paraId="4249DAD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highlight w:val="none"/>
                <w:u w:val="none" w:color="auto"/>
                <w:lang w:val="en-US" w:eastAsia="zh-CN"/>
              </w:rPr>
            </w:pPr>
            <w:r>
              <w:rPr>
                <w:rFonts w:hint="eastAsia"/>
                <w:color w:val="auto"/>
                <w:sz w:val="21"/>
                <w:szCs w:val="21"/>
                <w:highlight w:val="none"/>
                <w:u w:val="none" w:color="auto"/>
                <w:lang w:val="en-US" w:eastAsia="zh-CN"/>
              </w:rPr>
              <w:t>较敏感</w:t>
            </w:r>
          </w:p>
        </w:tc>
        <w:tc>
          <w:tcPr>
            <w:tcW w:w="4399" w:type="pct"/>
            <w:noWrap w:val="0"/>
            <w:vAlign w:val="center"/>
          </w:tcPr>
          <w:p w14:paraId="6FCEB11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highlight w:val="none"/>
                <w:u w:val="none" w:color="auto"/>
                <w:lang w:val="en-US" w:eastAsia="zh-CN"/>
              </w:rPr>
            </w:pPr>
            <w:r>
              <w:rPr>
                <w:rFonts w:hint="eastAsia"/>
                <w:color w:val="auto"/>
                <w:sz w:val="21"/>
                <w:szCs w:val="21"/>
                <w:highlight w:val="none"/>
                <w:u w:val="none" w:color="auto"/>
                <w:lang w:val="en-US" w:eastAsia="zh-CN"/>
              </w:rPr>
              <w:t>集中式饮用水水源（包括已建成的在用、备用、应急水源，在建和规划的饮用水水源）准保护区以外的补给径流；未划定准保护区的集中水式饮用水水源，其保护区以外的补给径流；分散式饮用水水源地；特殊地下水资源（如矿泉水、温泉等）保护区以外的分布等其他未列入上述敏感分级的环境敏感区</w:t>
            </w:r>
            <w:r>
              <w:rPr>
                <w:rFonts w:hint="eastAsia"/>
                <w:color w:val="auto"/>
                <w:sz w:val="21"/>
                <w:szCs w:val="21"/>
                <w:highlight w:val="none"/>
                <w:u w:val="none" w:color="auto"/>
                <w:vertAlign w:val="superscript"/>
                <w:lang w:val="en-US" w:eastAsia="zh-CN"/>
              </w:rPr>
              <w:t>a</w:t>
            </w:r>
            <w:r>
              <w:rPr>
                <w:rFonts w:hint="eastAsia"/>
                <w:color w:val="auto"/>
                <w:sz w:val="21"/>
                <w:szCs w:val="21"/>
                <w:highlight w:val="none"/>
                <w:u w:val="none" w:color="auto"/>
                <w:lang w:val="en-US" w:eastAsia="zh-CN"/>
              </w:rPr>
              <w:t>。</w:t>
            </w:r>
          </w:p>
        </w:tc>
      </w:tr>
      <w:tr w14:paraId="470AA93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600" w:type="pct"/>
            <w:noWrap w:val="0"/>
            <w:vAlign w:val="center"/>
          </w:tcPr>
          <w:p w14:paraId="701C088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highlight w:val="none"/>
                <w:u w:val="none" w:color="auto"/>
                <w:lang w:val="en-US" w:eastAsia="zh-CN"/>
              </w:rPr>
            </w:pPr>
            <w:r>
              <w:rPr>
                <w:rFonts w:hint="eastAsia"/>
                <w:color w:val="auto"/>
                <w:sz w:val="21"/>
                <w:szCs w:val="21"/>
                <w:highlight w:val="none"/>
                <w:u w:val="none" w:color="auto"/>
                <w:lang w:val="en-US" w:eastAsia="zh-CN"/>
              </w:rPr>
              <w:t>不敏感</w:t>
            </w:r>
          </w:p>
        </w:tc>
        <w:tc>
          <w:tcPr>
            <w:tcW w:w="4399" w:type="pct"/>
            <w:noWrap w:val="0"/>
            <w:vAlign w:val="center"/>
          </w:tcPr>
          <w:p w14:paraId="6CEC59B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highlight w:val="none"/>
                <w:u w:val="none" w:color="auto"/>
                <w:lang w:val="en-US" w:eastAsia="zh-CN"/>
              </w:rPr>
            </w:pPr>
            <w:r>
              <w:rPr>
                <w:rFonts w:hint="eastAsia"/>
                <w:color w:val="auto"/>
                <w:sz w:val="21"/>
                <w:szCs w:val="21"/>
                <w:highlight w:val="none"/>
                <w:u w:val="none" w:color="auto"/>
                <w:lang w:val="en-US" w:eastAsia="zh-CN"/>
              </w:rPr>
              <w:t>上述地区之外的其它地区</w:t>
            </w:r>
          </w:p>
        </w:tc>
      </w:tr>
      <w:tr w14:paraId="3C5BDD5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5000" w:type="pct"/>
            <w:gridSpan w:val="2"/>
            <w:noWrap w:val="0"/>
            <w:vAlign w:val="center"/>
          </w:tcPr>
          <w:p w14:paraId="6551C5D2">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color w:val="auto"/>
                <w:sz w:val="21"/>
                <w:szCs w:val="21"/>
                <w:highlight w:val="none"/>
                <w:u w:val="none" w:color="auto"/>
                <w:lang w:val="en-US" w:eastAsia="zh-CN"/>
              </w:rPr>
            </w:pPr>
            <w:r>
              <w:rPr>
                <w:rFonts w:hint="eastAsia"/>
                <w:b/>
                <w:bCs/>
                <w:color w:val="auto"/>
                <w:sz w:val="21"/>
                <w:szCs w:val="21"/>
                <w:highlight w:val="none"/>
                <w:u w:val="none" w:color="auto"/>
                <w:lang w:val="en-US" w:eastAsia="zh-CN"/>
              </w:rPr>
              <w:t>注：a“环境敏感区”是指《建设项目环境影响评价分类管理名录》中所界定的涉及地下水的环境敏感区。</w:t>
            </w:r>
          </w:p>
        </w:tc>
      </w:tr>
    </w:tbl>
    <w:p w14:paraId="13B781B5">
      <w:pPr>
        <w:bidi w:val="0"/>
        <w:rPr>
          <w:rFonts w:hint="eastAsia"/>
          <w:color w:val="auto"/>
          <w:highlight w:val="none"/>
          <w:u w:val="none" w:color="auto"/>
          <w:lang w:val="en-US" w:eastAsia="zh-CN"/>
        </w:rPr>
      </w:pPr>
      <w:r>
        <w:rPr>
          <w:rFonts w:hint="eastAsia"/>
          <w:color w:val="auto"/>
          <w:highlight w:val="none"/>
          <w:u w:val="none" w:color="auto"/>
          <w:lang w:val="en-US" w:eastAsia="zh-CN"/>
        </w:rPr>
        <w:t>建设项目地下水环境影响评价工作等级划分见表2.5-4。</w:t>
      </w:r>
    </w:p>
    <w:p w14:paraId="3C5ACB74">
      <w:pPr>
        <w:bidi w:val="0"/>
        <w:ind w:left="0" w:leftChars="0" w:firstLine="0" w:firstLineChars="0"/>
        <w:jc w:val="center"/>
        <w:rPr>
          <w:rFonts w:hint="eastAsia"/>
          <w:b/>
          <w:bCs/>
          <w:color w:val="auto"/>
          <w:sz w:val="21"/>
          <w:szCs w:val="21"/>
          <w:highlight w:val="none"/>
          <w:u w:val="none" w:color="auto"/>
          <w:lang w:val="en-US" w:eastAsia="zh-CN"/>
        </w:rPr>
      </w:pPr>
      <w:r>
        <w:rPr>
          <w:rFonts w:hint="eastAsia"/>
          <w:b/>
          <w:bCs/>
          <w:color w:val="auto"/>
          <w:sz w:val="21"/>
          <w:szCs w:val="21"/>
          <w:highlight w:val="none"/>
          <w:u w:val="none" w:color="auto"/>
          <w:lang w:val="en-US" w:eastAsia="zh-CN"/>
        </w:rPr>
        <w:t>表2.5-4  评价工作等级分级表</w:t>
      </w:r>
    </w:p>
    <w:tbl>
      <w:tblPr>
        <w:tblStyle w:val="35"/>
        <w:tblW w:w="4999"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3605"/>
        <w:gridCol w:w="1880"/>
        <w:gridCol w:w="2116"/>
        <w:gridCol w:w="1629"/>
      </w:tblGrid>
      <w:tr w14:paraId="68CA36B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tblHeader/>
          <w:jc w:val="center"/>
        </w:trPr>
        <w:tc>
          <w:tcPr>
            <w:tcW w:w="1952" w:type="pct"/>
            <w:tcBorders>
              <w:tl2br w:val="single" w:color="auto" w:sz="8" w:space="0"/>
            </w:tcBorders>
            <w:noWrap w:val="0"/>
            <w:vAlign w:val="center"/>
          </w:tcPr>
          <w:p w14:paraId="2F9516BB">
            <w:pPr>
              <w:bidi w:val="0"/>
              <w:spacing w:line="240" w:lineRule="auto"/>
              <w:ind w:firstLine="2319" w:firstLineChars="1100"/>
              <w:rPr>
                <w:rFonts w:hint="default" w:ascii="Times New Roman" w:hAnsi="Times New Roman" w:cs="Times New Roman"/>
                <w:b/>
                <w:bCs/>
                <w:color w:val="auto"/>
                <w:sz w:val="21"/>
                <w:szCs w:val="21"/>
                <w:highlight w:val="none"/>
                <w:u w:val="none" w:color="auto"/>
                <w:lang w:val="en-US" w:eastAsia="zh-CN"/>
              </w:rPr>
            </w:pPr>
            <w:r>
              <w:rPr>
                <w:rFonts w:hint="default" w:ascii="Times New Roman" w:hAnsi="Times New Roman" w:cs="Times New Roman"/>
                <w:b/>
                <w:bCs/>
                <w:color w:val="auto"/>
                <w:sz w:val="21"/>
                <w:szCs w:val="21"/>
                <w:highlight w:val="none"/>
                <w:u w:val="none" w:color="auto"/>
                <w:lang w:val="en-US" w:eastAsia="zh-CN"/>
              </w:rPr>
              <w:t>项目类别</w:t>
            </w:r>
          </w:p>
          <w:p w14:paraId="55B54F28">
            <w:pPr>
              <w:bidi w:val="0"/>
              <w:spacing w:line="240" w:lineRule="auto"/>
              <w:ind w:left="0" w:leftChars="0" w:firstLine="0" w:firstLineChars="0"/>
              <w:rPr>
                <w:rFonts w:hint="default" w:ascii="Times New Roman" w:hAnsi="Times New Roman" w:cs="Times New Roman"/>
                <w:b/>
                <w:bCs/>
                <w:color w:val="auto"/>
                <w:sz w:val="21"/>
                <w:szCs w:val="21"/>
                <w:highlight w:val="none"/>
                <w:u w:val="none" w:color="auto"/>
                <w:lang w:val="en-US" w:eastAsia="zh-CN"/>
              </w:rPr>
            </w:pPr>
            <w:r>
              <w:rPr>
                <w:rFonts w:hint="default" w:ascii="Times New Roman" w:hAnsi="Times New Roman" w:cs="Times New Roman"/>
                <w:b/>
                <w:bCs/>
                <w:color w:val="auto"/>
                <w:sz w:val="21"/>
                <w:szCs w:val="21"/>
                <w:highlight w:val="none"/>
                <w:u w:val="none" w:color="auto"/>
                <w:lang w:val="en-US" w:eastAsia="zh-CN"/>
              </w:rPr>
              <w:t>环境敏感程度</w:t>
            </w:r>
          </w:p>
        </w:tc>
        <w:tc>
          <w:tcPr>
            <w:tcW w:w="1018" w:type="pct"/>
            <w:noWrap w:val="0"/>
            <w:vAlign w:val="center"/>
          </w:tcPr>
          <w:p w14:paraId="679EFCE9">
            <w:pPr>
              <w:bidi w:val="0"/>
              <w:spacing w:line="240" w:lineRule="auto"/>
              <w:rPr>
                <w:rFonts w:hint="default" w:ascii="Times New Roman" w:hAnsi="Times New Roman" w:cs="Times New Roman"/>
                <w:b/>
                <w:bCs/>
                <w:color w:val="auto"/>
                <w:sz w:val="21"/>
                <w:szCs w:val="21"/>
                <w:highlight w:val="none"/>
                <w:u w:val="none" w:color="auto"/>
                <w:lang w:val="en-US" w:eastAsia="zh-CN"/>
              </w:rPr>
            </w:pPr>
            <w:r>
              <w:rPr>
                <w:rFonts w:hint="default" w:ascii="Times New Roman" w:hAnsi="Times New Roman" w:cs="Times New Roman"/>
                <w:b/>
                <w:bCs/>
                <w:color w:val="auto"/>
                <w:sz w:val="21"/>
                <w:szCs w:val="21"/>
                <w:highlight w:val="none"/>
                <w:u w:val="none" w:color="auto"/>
                <w:lang w:val="en-US" w:eastAsia="zh-CN"/>
              </w:rPr>
              <w:t>Ⅰ类项目</w:t>
            </w:r>
          </w:p>
        </w:tc>
        <w:tc>
          <w:tcPr>
            <w:tcW w:w="1146" w:type="pct"/>
            <w:noWrap w:val="0"/>
            <w:vAlign w:val="center"/>
          </w:tcPr>
          <w:p w14:paraId="7343811C">
            <w:pPr>
              <w:bidi w:val="0"/>
              <w:spacing w:line="240" w:lineRule="auto"/>
              <w:rPr>
                <w:rFonts w:hint="default" w:ascii="Times New Roman" w:hAnsi="Times New Roman" w:cs="Times New Roman"/>
                <w:b/>
                <w:bCs/>
                <w:color w:val="auto"/>
                <w:sz w:val="21"/>
                <w:szCs w:val="21"/>
                <w:highlight w:val="none"/>
                <w:u w:val="none" w:color="auto"/>
                <w:lang w:val="en-US" w:eastAsia="zh-CN"/>
              </w:rPr>
            </w:pPr>
            <w:r>
              <w:rPr>
                <w:rFonts w:hint="default" w:ascii="Times New Roman" w:hAnsi="Times New Roman" w:cs="Times New Roman"/>
                <w:b/>
                <w:bCs/>
                <w:color w:val="auto"/>
                <w:sz w:val="21"/>
                <w:szCs w:val="21"/>
                <w:highlight w:val="none"/>
                <w:u w:val="none" w:color="auto"/>
                <w:lang w:val="en-US" w:eastAsia="zh-CN"/>
              </w:rPr>
              <w:t>Ⅱ类项目</w:t>
            </w:r>
          </w:p>
        </w:tc>
        <w:tc>
          <w:tcPr>
            <w:tcW w:w="882" w:type="pct"/>
            <w:noWrap w:val="0"/>
            <w:vAlign w:val="center"/>
          </w:tcPr>
          <w:p w14:paraId="73456687">
            <w:pPr>
              <w:bidi w:val="0"/>
              <w:spacing w:line="240" w:lineRule="auto"/>
              <w:ind w:left="0" w:leftChars="0" w:firstLine="0" w:firstLineChars="0"/>
              <w:jc w:val="center"/>
              <w:rPr>
                <w:rFonts w:hint="default" w:ascii="Times New Roman" w:hAnsi="Times New Roman" w:cs="Times New Roman"/>
                <w:b/>
                <w:bCs/>
                <w:color w:val="auto"/>
                <w:sz w:val="21"/>
                <w:szCs w:val="21"/>
                <w:highlight w:val="none"/>
                <w:u w:val="none" w:color="auto"/>
                <w:lang w:val="en-US" w:eastAsia="zh-CN"/>
              </w:rPr>
            </w:pPr>
            <w:r>
              <w:rPr>
                <w:rFonts w:hint="default" w:ascii="Times New Roman" w:hAnsi="Times New Roman" w:cs="Times New Roman"/>
                <w:b/>
                <w:bCs/>
                <w:color w:val="auto"/>
                <w:sz w:val="21"/>
                <w:szCs w:val="21"/>
                <w:highlight w:val="none"/>
                <w:u w:val="none" w:color="auto"/>
                <w:lang w:val="en-US" w:eastAsia="zh-CN"/>
              </w:rPr>
              <w:t>Ⅲ类项目</w:t>
            </w:r>
          </w:p>
        </w:tc>
      </w:tr>
      <w:tr w14:paraId="50136BE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1952" w:type="pct"/>
            <w:noWrap w:val="0"/>
            <w:vAlign w:val="center"/>
          </w:tcPr>
          <w:p w14:paraId="6611D340">
            <w:pPr>
              <w:bidi w:val="0"/>
              <w:spacing w:line="240" w:lineRule="auto"/>
              <w:ind w:left="0" w:leftChars="0" w:firstLine="0" w:firstLineChars="0"/>
              <w:jc w:val="center"/>
              <w:rPr>
                <w:rFonts w:hint="default" w:ascii="Times New Roman" w:hAnsi="Times New Roman" w:cs="Times New Roman"/>
                <w:color w:val="auto"/>
                <w:sz w:val="21"/>
                <w:szCs w:val="21"/>
                <w:highlight w:val="none"/>
                <w:u w:val="none" w:color="auto"/>
                <w:lang w:val="en-US" w:eastAsia="zh-CN"/>
              </w:rPr>
            </w:pPr>
            <w:r>
              <w:rPr>
                <w:rFonts w:hint="default" w:ascii="Times New Roman" w:hAnsi="Times New Roman" w:cs="Times New Roman"/>
                <w:color w:val="auto"/>
                <w:sz w:val="21"/>
                <w:szCs w:val="21"/>
                <w:highlight w:val="none"/>
                <w:u w:val="none" w:color="auto"/>
                <w:lang w:val="en-US" w:eastAsia="zh-CN"/>
              </w:rPr>
              <w:t>敏感</w:t>
            </w:r>
          </w:p>
        </w:tc>
        <w:tc>
          <w:tcPr>
            <w:tcW w:w="1018" w:type="pct"/>
            <w:noWrap w:val="0"/>
            <w:vAlign w:val="center"/>
          </w:tcPr>
          <w:p w14:paraId="2DB36C77">
            <w:pPr>
              <w:bidi w:val="0"/>
              <w:spacing w:line="240" w:lineRule="auto"/>
              <w:ind w:left="0" w:leftChars="0" w:firstLine="0" w:firstLineChars="0"/>
              <w:jc w:val="center"/>
              <w:rPr>
                <w:rFonts w:hint="default" w:ascii="Times New Roman" w:hAnsi="Times New Roman" w:cs="Times New Roman"/>
                <w:color w:val="auto"/>
                <w:sz w:val="21"/>
                <w:szCs w:val="21"/>
                <w:highlight w:val="none"/>
                <w:u w:val="none" w:color="auto"/>
                <w:lang w:val="en-US" w:eastAsia="zh-CN"/>
              </w:rPr>
            </w:pPr>
            <w:r>
              <w:rPr>
                <w:rFonts w:hint="default" w:ascii="Times New Roman" w:hAnsi="Times New Roman" w:cs="Times New Roman"/>
                <w:color w:val="auto"/>
                <w:sz w:val="21"/>
                <w:szCs w:val="21"/>
                <w:highlight w:val="none"/>
                <w:u w:val="none" w:color="auto"/>
                <w:lang w:val="en-US" w:eastAsia="zh-CN"/>
              </w:rPr>
              <w:t>一</w:t>
            </w:r>
          </w:p>
        </w:tc>
        <w:tc>
          <w:tcPr>
            <w:tcW w:w="1146" w:type="pct"/>
            <w:shd w:val="clear" w:color="auto" w:fill="auto"/>
            <w:noWrap w:val="0"/>
            <w:vAlign w:val="center"/>
          </w:tcPr>
          <w:p w14:paraId="0547BD61">
            <w:pPr>
              <w:bidi w:val="0"/>
              <w:spacing w:line="240" w:lineRule="auto"/>
              <w:ind w:left="0" w:leftChars="0" w:firstLine="0" w:firstLineChars="0"/>
              <w:jc w:val="center"/>
              <w:rPr>
                <w:rFonts w:hint="default" w:ascii="Times New Roman" w:hAnsi="Times New Roman" w:cs="Times New Roman"/>
                <w:color w:val="auto"/>
                <w:sz w:val="21"/>
                <w:szCs w:val="21"/>
                <w:highlight w:val="none"/>
                <w:u w:val="none" w:color="auto"/>
                <w:lang w:val="en-US" w:eastAsia="zh-CN"/>
              </w:rPr>
            </w:pPr>
            <w:r>
              <w:rPr>
                <w:rFonts w:hint="default" w:ascii="Times New Roman" w:hAnsi="Times New Roman" w:cs="Times New Roman"/>
                <w:color w:val="auto"/>
                <w:sz w:val="21"/>
                <w:szCs w:val="21"/>
                <w:highlight w:val="none"/>
                <w:u w:val="none" w:color="auto"/>
                <w:lang w:val="en-US" w:eastAsia="zh-CN"/>
              </w:rPr>
              <w:t>一</w:t>
            </w:r>
          </w:p>
        </w:tc>
        <w:tc>
          <w:tcPr>
            <w:tcW w:w="882" w:type="pct"/>
            <w:noWrap w:val="0"/>
            <w:vAlign w:val="center"/>
          </w:tcPr>
          <w:p w14:paraId="60F4D757">
            <w:pPr>
              <w:bidi w:val="0"/>
              <w:spacing w:line="240" w:lineRule="auto"/>
              <w:ind w:left="0" w:leftChars="0" w:firstLine="0" w:firstLineChars="0"/>
              <w:jc w:val="center"/>
              <w:rPr>
                <w:rFonts w:hint="default" w:ascii="Times New Roman" w:hAnsi="Times New Roman" w:cs="Times New Roman"/>
                <w:color w:val="auto"/>
                <w:sz w:val="21"/>
                <w:szCs w:val="21"/>
                <w:highlight w:val="none"/>
                <w:u w:val="none" w:color="auto"/>
                <w:lang w:val="en-US" w:eastAsia="zh-CN"/>
              </w:rPr>
            </w:pPr>
            <w:r>
              <w:rPr>
                <w:rFonts w:hint="default" w:ascii="Times New Roman" w:hAnsi="Times New Roman" w:cs="Times New Roman"/>
                <w:color w:val="auto"/>
                <w:sz w:val="21"/>
                <w:szCs w:val="21"/>
                <w:highlight w:val="none"/>
                <w:u w:val="none" w:color="auto"/>
                <w:lang w:val="en-US" w:eastAsia="zh-CN"/>
              </w:rPr>
              <w:t>二</w:t>
            </w:r>
          </w:p>
        </w:tc>
      </w:tr>
      <w:tr w14:paraId="1D7128D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1952" w:type="pct"/>
            <w:noWrap w:val="0"/>
            <w:vAlign w:val="center"/>
          </w:tcPr>
          <w:p w14:paraId="556B0463">
            <w:pPr>
              <w:bidi w:val="0"/>
              <w:spacing w:line="240" w:lineRule="auto"/>
              <w:ind w:left="0" w:leftChars="0" w:firstLine="0" w:firstLineChars="0"/>
              <w:jc w:val="center"/>
              <w:rPr>
                <w:rFonts w:hint="default" w:ascii="Times New Roman" w:hAnsi="Times New Roman" w:cs="Times New Roman"/>
                <w:color w:val="auto"/>
                <w:sz w:val="21"/>
                <w:szCs w:val="21"/>
                <w:highlight w:val="none"/>
                <w:u w:val="none" w:color="auto"/>
                <w:lang w:val="en-US" w:eastAsia="zh-CN"/>
              </w:rPr>
            </w:pPr>
            <w:r>
              <w:rPr>
                <w:rFonts w:hint="default" w:ascii="Times New Roman" w:hAnsi="Times New Roman" w:cs="Times New Roman"/>
                <w:color w:val="auto"/>
                <w:sz w:val="21"/>
                <w:szCs w:val="21"/>
                <w:highlight w:val="none"/>
                <w:u w:val="none" w:color="auto"/>
                <w:lang w:val="en-US" w:eastAsia="zh-CN"/>
              </w:rPr>
              <w:t>较敏感</w:t>
            </w:r>
          </w:p>
        </w:tc>
        <w:tc>
          <w:tcPr>
            <w:tcW w:w="1018" w:type="pct"/>
            <w:noWrap w:val="0"/>
            <w:vAlign w:val="center"/>
          </w:tcPr>
          <w:p w14:paraId="072D8DE6">
            <w:pPr>
              <w:bidi w:val="0"/>
              <w:spacing w:line="240" w:lineRule="auto"/>
              <w:ind w:left="0" w:leftChars="0" w:firstLine="0" w:firstLineChars="0"/>
              <w:jc w:val="center"/>
              <w:rPr>
                <w:rFonts w:hint="default" w:ascii="Times New Roman" w:hAnsi="Times New Roman" w:cs="Times New Roman"/>
                <w:color w:val="auto"/>
                <w:sz w:val="21"/>
                <w:szCs w:val="21"/>
                <w:highlight w:val="none"/>
                <w:u w:val="none" w:color="auto"/>
                <w:lang w:val="en-US" w:eastAsia="zh-CN"/>
              </w:rPr>
            </w:pPr>
            <w:r>
              <w:rPr>
                <w:rFonts w:hint="default" w:ascii="Times New Roman" w:hAnsi="Times New Roman" w:cs="Times New Roman"/>
                <w:color w:val="auto"/>
                <w:sz w:val="21"/>
                <w:szCs w:val="21"/>
                <w:highlight w:val="none"/>
                <w:u w:val="none" w:color="auto"/>
                <w:lang w:val="en-US" w:eastAsia="zh-CN"/>
              </w:rPr>
              <w:t>一</w:t>
            </w:r>
          </w:p>
        </w:tc>
        <w:tc>
          <w:tcPr>
            <w:tcW w:w="1146" w:type="pct"/>
            <w:shd w:val="clear" w:color="auto" w:fill="auto"/>
            <w:noWrap w:val="0"/>
            <w:vAlign w:val="center"/>
          </w:tcPr>
          <w:p w14:paraId="783F51A3">
            <w:pPr>
              <w:bidi w:val="0"/>
              <w:spacing w:line="240" w:lineRule="auto"/>
              <w:ind w:left="0" w:leftChars="0" w:firstLine="0" w:firstLineChars="0"/>
              <w:jc w:val="center"/>
              <w:rPr>
                <w:rFonts w:hint="default" w:ascii="Times New Roman" w:hAnsi="Times New Roman" w:cs="Times New Roman"/>
                <w:color w:val="auto"/>
                <w:sz w:val="21"/>
                <w:szCs w:val="21"/>
                <w:highlight w:val="none"/>
                <w:u w:val="none" w:color="auto"/>
                <w:lang w:val="en-US" w:eastAsia="zh-CN"/>
              </w:rPr>
            </w:pPr>
            <w:r>
              <w:rPr>
                <w:rFonts w:hint="default" w:ascii="Times New Roman" w:hAnsi="Times New Roman" w:cs="Times New Roman"/>
                <w:color w:val="auto"/>
                <w:sz w:val="21"/>
                <w:szCs w:val="21"/>
                <w:highlight w:val="none"/>
                <w:u w:val="none" w:color="auto"/>
                <w:lang w:val="en-US" w:eastAsia="zh-CN"/>
              </w:rPr>
              <w:t>二</w:t>
            </w:r>
          </w:p>
        </w:tc>
        <w:tc>
          <w:tcPr>
            <w:tcW w:w="882" w:type="pct"/>
            <w:noWrap w:val="0"/>
            <w:vAlign w:val="center"/>
          </w:tcPr>
          <w:p w14:paraId="333E1266">
            <w:pPr>
              <w:bidi w:val="0"/>
              <w:spacing w:line="240" w:lineRule="auto"/>
              <w:ind w:left="0" w:leftChars="0" w:firstLine="0" w:firstLineChars="0"/>
              <w:jc w:val="center"/>
              <w:rPr>
                <w:rFonts w:hint="default" w:ascii="Times New Roman" w:hAnsi="Times New Roman" w:cs="Times New Roman"/>
                <w:color w:val="auto"/>
                <w:sz w:val="21"/>
                <w:szCs w:val="21"/>
                <w:highlight w:val="none"/>
                <w:u w:val="none" w:color="auto"/>
                <w:lang w:val="en-US" w:eastAsia="zh-CN"/>
              </w:rPr>
            </w:pPr>
            <w:r>
              <w:rPr>
                <w:rFonts w:hint="default" w:ascii="Times New Roman" w:hAnsi="Times New Roman" w:cs="Times New Roman"/>
                <w:color w:val="auto"/>
                <w:sz w:val="21"/>
                <w:szCs w:val="21"/>
                <w:highlight w:val="none"/>
                <w:u w:val="none" w:color="auto"/>
                <w:lang w:val="en-US" w:eastAsia="zh-CN"/>
              </w:rPr>
              <w:t>三</w:t>
            </w:r>
          </w:p>
        </w:tc>
      </w:tr>
      <w:tr w14:paraId="0DDB876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1952" w:type="pct"/>
            <w:noWrap w:val="0"/>
            <w:vAlign w:val="center"/>
          </w:tcPr>
          <w:p w14:paraId="745C8497">
            <w:pPr>
              <w:bidi w:val="0"/>
              <w:spacing w:line="240" w:lineRule="auto"/>
              <w:ind w:left="0" w:leftChars="0" w:firstLine="0" w:firstLineChars="0"/>
              <w:jc w:val="center"/>
              <w:rPr>
                <w:rFonts w:hint="default" w:ascii="Times New Roman" w:hAnsi="Times New Roman" w:cs="Times New Roman"/>
                <w:color w:val="auto"/>
                <w:sz w:val="21"/>
                <w:szCs w:val="21"/>
                <w:highlight w:val="none"/>
                <w:u w:val="none" w:color="auto"/>
                <w:lang w:val="en-US" w:eastAsia="zh-CN"/>
              </w:rPr>
            </w:pPr>
            <w:r>
              <w:rPr>
                <w:rFonts w:hint="default" w:ascii="Times New Roman" w:hAnsi="Times New Roman" w:cs="Times New Roman"/>
                <w:color w:val="auto"/>
                <w:sz w:val="21"/>
                <w:szCs w:val="21"/>
                <w:highlight w:val="none"/>
                <w:u w:val="none" w:color="auto"/>
                <w:lang w:val="en-US" w:eastAsia="zh-CN"/>
              </w:rPr>
              <w:t>不敏感</w:t>
            </w:r>
          </w:p>
        </w:tc>
        <w:tc>
          <w:tcPr>
            <w:tcW w:w="1018" w:type="pct"/>
            <w:noWrap w:val="0"/>
            <w:vAlign w:val="center"/>
          </w:tcPr>
          <w:p w14:paraId="3E17B9F7">
            <w:pPr>
              <w:bidi w:val="0"/>
              <w:spacing w:line="240" w:lineRule="auto"/>
              <w:ind w:left="0" w:leftChars="0" w:firstLine="0" w:firstLineChars="0"/>
              <w:jc w:val="center"/>
              <w:rPr>
                <w:rFonts w:hint="default" w:ascii="Times New Roman" w:hAnsi="Times New Roman" w:cs="Times New Roman"/>
                <w:color w:val="auto"/>
                <w:sz w:val="21"/>
                <w:szCs w:val="21"/>
                <w:highlight w:val="none"/>
                <w:u w:val="none" w:color="auto"/>
                <w:lang w:val="en-US" w:eastAsia="zh-CN"/>
              </w:rPr>
            </w:pPr>
            <w:r>
              <w:rPr>
                <w:rFonts w:hint="default" w:ascii="Times New Roman" w:hAnsi="Times New Roman" w:cs="Times New Roman"/>
                <w:color w:val="auto"/>
                <w:sz w:val="21"/>
                <w:szCs w:val="21"/>
                <w:highlight w:val="none"/>
                <w:u w:val="none" w:color="auto"/>
                <w:lang w:val="en-US" w:eastAsia="zh-CN"/>
              </w:rPr>
              <w:t>二</w:t>
            </w:r>
          </w:p>
        </w:tc>
        <w:tc>
          <w:tcPr>
            <w:tcW w:w="1146" w:type="pct"/>
            <w:shd w:val="clear" w:color="auto" w:fill="auto"/>
            <w:noWrap w:val="0"/>
            <w:vAlign w:val="center"/>
          </w:tcPr>
          <w:p w14:paraId="4F72245A">
            <w:pPr>
              <w:bidi w:val="0"/>
              <w:spacing w:line="240" w:lineRule="auto"/>
              <w:ind w:left="0" w:leftChars="0" w:firstLine="0" w:firstLineChars="0"/>
              <w:jc w:val="center"/>
              <w:rPr>
                <w:rFonts w:hint="default" w:ascii="Times New Roman" w:hAnsi="Times New Roman" w:cs="Times New Roman"/>
                <w:color w:val="auto"/>
                <w:sz w:val="21"/>
                <w:szCs w:val="21"/>
                <w:highlight w:val="none"/>
                <w:u w:val="none" w:color="auto"/>
                <w:lang w:val="en-US" w:eastAsia="zh-CN"/>
              </w:rPr>
            </w:pPr>
            <w:r>
              <w:rPr>
                <w:rFonts w:hint="default" w:ascii="Times New Roman" w:hAnsi="Times New Roman" w:cs="Times New Roman"/>
                <w:color w:val="auto"/>
                <w:sz w:val="21"/>
                <w:szCs w:val="21"/>
                <w:highlight w:val="none"/>
                <w:u w:val="none" w:color="auto"/>
                <w:lang w:val="en-US" w:eastAsia="zh-CN"/>
              </w:rPr>
              <w:t>三</w:t>
            </w:r>
          </w:p>
        </w:tc>
        <w:tc>
          <w:tcPr>
            <w:tcW w:w="882" w:type="pct"/>
            <w:shd w:val="clear" w:color="auto" w:fill="auto"/>
            <w:noWrap w:val="0"/>
            <w:vAlign w:val="center"/>
          </w:tcPr>
          <w:p w14:paraId="33A2CB66">
            <w:pPr>
              <w:bidi w:val="0"/>
              <w:spacing w:line="240" w:lineRule="auto"/>
              <w:ind w:left="0" w:leftChars="0" w:firstLine="0" w:firstLineChars="0"/>
              <w:jc w:val="center"/>
              <w:rPr>
                <w:rFonts w:hint="default" w:ascii="Times New Roman" w:hAnsi="Times New Roman" w:cs="Times New Roman"/>
                <w:color w:val="auto"/>
                <w:sz w:val="21"/>
                <w:szCs w:val="21"/>
                <w:highlight w:val="none"/>
                <w:u w:val="none" w:color="auto"/>
                <w:lang w:val="en-US" w:eastAsia="zh-CN"/>
              </w:rPr>
            </w:pPr>
            <w:r>
              <w:rPr>
                <w:rFonts w:hint="default" w:ascii="Times New Roman" w:hAnsi="Times New Roman" w:cs="Times New Roman"/>
                <w:color w:val="auto"/>
                <w:sz w:val="21"/>
                <w:szCs w:val="21"/>
                <w:highlight w:val="none"/>
                <w:u w:val="none" w:color="auto"/>
                <w:lang w:val="en-US" w:eastAsia="zh-CN"/>
              </w:rPr>
              <w:t>三</w:t>
            </w:r>
          </w:p>
        </w:tc>
      </w:tr>
    </w:tbl>
    <w:p w14:paraId="25514FDA">
      <w:pPr>
        <w:ind w:firstLine="480"/>
      </w:pPr>
      <w:r>
        <w:rPr>
          <w:rFonts w:hint="eastAsia"/>
        </w:rPr>
        <w:t>根据表2.5-3，项目所在区域不涉及集中式饮用水水源准保护区和准保护区以外的补给径流，不涉及未划定准保护区的集中水式饮用水水源和补给径流，也不属于特殊地下资源保护区等与地下水环境相关的其它保护区和分布。本项目评价范围内少部分居民饮用地下水，属于分散式饮用水水源，因此地下水敏感程度为“较敏感”。</w:t>
      </w:r>
    </w:p>
    <w:p w14:paraId="4375D81E">
      <w:pPr>
        <w:bidi w:val="0"/>
        <w:rPr>
          <w:rFonts w:hint="default"/>
          <w:highlight w:val="none"/>
          <w:lang w:val="en-US" w:eastAsia="zh-CN"/>
        </w:rPr>
      </w:pPr>
      <w:r>
        <w:rPr>
          <w:rFonts w:hint="eastAsia"/>
          <w:color w:val="auto"/>
          <w:highlight w:val="none"/>
          <w:u w:val="none" w:color="auto"/>
          <w:lang w:val="en-US" w:eastAsia="zh-CN"/>
        </w:rPr>
        <w:t>根据《环境影响评价技术导则  地下水环境》（HJ610-2016）附录A确定建设项目所属的地下水环境影响评价项目类别，项目属于“U城镇基础设施及房地产-152工业固体废物（含污泥）集中处置-全部”建设项目，同时本项目</w:t>
      </w:r>
      <w:r>
        <w:rPr>
          <w:rFonts w:hint="eastAsia"/>
          <w:highlight w:val="none"/>
          <w:lang w:eastAsia="zh-CN"/>
        </w:rPr>
        <w:t>包含</w:t>
      </w:r>
      <w:r>
        <w:rPr>
          <w:rFonts w:hint="eastAsia"/>
          <w:highlight w:val="none"/>
        </w:rPr>
        <w:t>第</w:t>
      </w:r>
      <w:r>
        <w:rPr>
          <w:rFonts w:hint="default" w:ascii="Times New Roman" w:hAnsi="Times New Roman" w:cs="Times New Roman"/>
          <w:highlight w:val="none"/>
        </w:rPr>
        <w:t>Ⅱ</w:t>
      </w:r>
      <w:r>
        <w:rPr>
          <w:rFonts w:hint="eastAsia"/>
          <w:highlight w:val="none"/>
        </w:rPr>
        <w:t>类一般工业固体废物</w:t>
      </w:r>
      <w:r>
        <w:rPr>
          <w:rFonts w:hint="eastAsia"/>
          <w:highlight w:val="none"/>
          <w:lang w:eastAsia="zh-CN"/>
        </w:rPr>
        <w:t>（废渣）填埋，</w:t>
      </w:r>
      <w:r>
        <w:rPr>
          <w:rFonts w:hint="eastAsia"/>
          <w:color w:val="auto"/>
          <w:highlight w:val="none"/>
          <w:u w:val="none" w:color="auto"/>
          <w:lang w:val="en-US" w:eastAsia="zh-CN"/>
        </w:rPr>
        <w:t>地下水环境影响评价项目属</w:t>
      </w:r>
      <w:r>
        <w:rPr>
          <w:rFonts w:hint="default" w:ascii="Times New Roman" w:hAnsi="Times New Roman" w:cs="Times New Roman"/>
          <w:color w:val="auto"/>
          <w:highlight w:val="none"/>
          <w:u w:val="none" w:color="auto"/>
          <w:lang w:val="en-US" w:eastAsia="zh-CN"/>
        </w:rPr>
        <w:t>于</w:t>
      </w:r>
      <w:r>
        <w:rPr>
          <w:rFonts w:hint="default" w:ascii="Times New Roman" w:hAnsi="Times New Roman" w:eastAsia="宋体" w:cs="Times New Roman"/>
          <w:color w:val="auto"/>
          <w:highlight w:val="none"/>
          <w:u w:val="none" w:color="auto"/>
          <w:lang w:val="en-US" w:eastAsia="zh-CN"/>
        </w:rPr>
        <w:t>Ⅱ</w:t>
      </w:r>
      <w:r>
        <w:rPr>
          <w:rFonts w:hint="default" w:ascii="Times New Roman" w:hAnsi="Times New Roman" w:cs="Times New Roman"/>
          <w:color w:val="auto"/>
          <w:highlight w:val="none"/>
          <w:u w:val="none" w:color="auto"/>
          <w:lang w:val="en-US" w:eastAsia="zh-CN"/>
        </w:rPr>
        <w:t>类项目。对照建设项目评价工作等级分级表，确定本项目</w:t>
      </w:r>
      <w:r>
        <w:rPr>
          <w:rFonts w:hint="eastAsia" w:ascii="Times New Roman" w:hAnsi="Times New Roman" w:cs="Times New Roman"/>
          <w:color w:val="auto"/>
          <w:highlight w:val="none"/>
          <w:u w:val="none" w:color="auto"/>
          <w:lang w:val="en-US" w:eastAsia="zh-CN"/>
        </w:rPr>
        <w:t>地下水环境影响评价等级为</w:t>
      </w:r>
      <w:r>
        <w:rPr>
          <w:rFonts w:hint="eastAsia" w:cs="Times New Roman"/>
          <w:color w:val="auto"/>
          <w:highlight w:val="none"/>
          <w:u w:val="none" w:color="auto"/>
          <w:lang w:val="en-US" w:eastAsia="zh-CN"/>
        </w:rPr>
        <w:t>二</w:t>
      </w:r>
      <w:r>
        <w:rPr>
          <w:rFonts w:hint="eastAsia" w:ascii="Times New Roman" w:hAnsi="Times New Roman" w:cs="Times New Roman"/>
          <w:color w:val="auto"/>
          <w:highlight w:val="none"/>
          <w:u w:val="none" w:color="auto"/>
          <w:lang w:val="en-US" w:eastAsia="zh-CN"/>
        </w:rPr>
        <w:t>级。</w:t>
      </w:r>
    </w:p>
    <w:p w14:paraId="72589C4A">
      <w:pPr>
        <w:pStyle w:val="10"/>
        <w:numPr>
          <w:ilvl w:val="3"/>
          <w:numId w:val="1"/>
        </w:numPr>
        <w:bidi w:val="0"/>
        <w:ind w:left="850" w:leftChars="0" w:hanging="850" w:firstLineChars="0"/>
        <w:rPr>
          <w:rFonts w:hint="eastAsia"/>
          <w:highlight w:val="none"/>
          <w:lang w:val="en-US" w:eastAsia="zh-CN"/>
        </w:rPr>
      </w:pPr>
      <w:r>
        <w:rPr>
          <w:rFonts w:hint="eastAsia"/>
          <w:highlight w:val="none"/>
          <w:lang w:val="en-US" w:eastAsia="zh-CN"/>
        </w:rPr>
        <w:t>噪声环境影响评价等级</w:t>
      </w:r>
    </w:p>
    <w:p w14:paraId="6851438E">
      <w:pPr>
        <w:bidi w:val="0"/>
        <w:rPr>
          <w:rFonts w:hint="default" w:ascii="Times New Roman" w:hAnsi="Times New Roman" w:cs="Times New Roman"/>
          <w:b/>
          <w:bCs/>
          <w:color w:val="auto"/>
          <w:sz w:val="21"/>
          <w:szCs w:val="21"/>
          <w:highlight w:val="none"/>
          <w:u w:val="none" w:color="auto"/>
          <w:lang w:val="en-US" w:eastAsia="zh-CN"/>
        </w:rPr>
      </w:pPr>
      <w:r>
        <w:t>项目位于</w:t>
      </w:r>
      <w:r>
        <w:rPr>
          <w:rFonts w:hint="eastAsia"/>
          <w:lang w:eastAsia="zh-CN"/>
        </w:rPr>
        <w:t>乡村区域，周边无交通干道通过，</w:t>
      </w:r>
      <w:r>
        <w:rPr>
          <w:rFonts w:hint="default" w:ascii="Times New Roman" w:hAnsi="Times New Roman" w:cs="Times New Roman"/>
          <w:color w:val="auto"/>
          <w:highlight w:val="none"/>
          <w:u w:val="none" w:color="auto"/>
          <w:lang w:val="en-US" w:eastAsia="zh-CN"/>
        </w:rPr>
        <w:t>项目选址声环境属</w:t>
      </w:r>
      <w:r>
        <w:rPr>
          <w:rFonts w:hint="eastAsia" w:cs="Times New Roman"/>
          <w:color w:val="auto"/>
          <w:highlight w:val="none"/>
          <w:u w:val="none" w:color="auto"/>
          <w:lang w:val="en-US" w:eastAsia="zh-CN"/>
        </w:rPr>
        <w:t>1</w:t>
      </w:r>
      <w:r>
        <w:rPr>
          <w:rFonts w:hint="default" w:ascii="Times New Roman" w:hAnsi="Times New Roman" w:cs="Times New Roman"/>
          <w:color w:val="auto"/>
          <w:highlight w:val="none"/>
          <w:u w:val="none" w:color="auto"/>
          <w:lang w:val="en-US" w:eastAsia="zh-CN"/>
        </w:rPr>
        <w:t>类</w:t>
      </w:r>
      <w:r>
        <w:rPr>
          <w:rFonts w:hint="eastAsia" w:cs="Times New Roman"/>
          <w:color w:val="auto"/>
          <w:highlight w:val="none"/>
          <w:u w:val="none" w:color="auto"/>
          <w:lang w:val="en-US" w:eastAsia="zh-CN"/>
        </w:rPr>
        <w:t>声环境</w:t>
      </w:r>
      <w:r>
        <w:rPr>
          <w:rFonts w:hint="default" w:ascii="Times New Roman" w:hAnsi="Times New Roman" w:cs="Times New Roman"/>
          <w:color w:val="auto"/>
          <w:highlight w:val="none"/>
          <w:u w:val="none" w:color="auto"/>
          <w:lang w:val="en-US" w:eastAsia="zh-CN"/>
        </w:rPr>
        <w:t>地区。项目</w:t>
      </w:r>
      <w:r>
        <w:rPr>
          <w:rFonts w:hint="eastAsia" w:cs="Times New Roman"/>
          <w:color w:val="auto"/>
          <w:highlight w:val="none"/>
          <w:u w:val="none" w:color="auto"/>
          <w:lang w:val="en-US" w:eastAsia="zh-CN"/>
        </w:rPr>
        <w:t>施工期</w:t>
      </w:r>
      <w:r>
        <w:rPr>
          <w:rFonts w:hint="default" w:ascii="Times New Roman" w:hAnsi="Times New Roman" w:cs="Times New Roman"/>
          <w:color w:val="auto"/>
          <w:highlight w:val="none"/>
          <w:u w:val="none" w:color="auto"/>
          <w:lang w:val="en-US" w:eastAsia="zh-CN"/>
        </w:rPr>
        <w:t>主要噪声源是</w:t>
      </w:r>
      <w:r>
        <w:rPr>
          <w:rFonts w:hint="eastAsia" w:cs="Times New Roman"/>
          <w:color w:val="auto"/>
          <w:highlight w:val="none"/>
          <w:u w:val="none" w:color="auto"/>
          <w:lang w:val="en-US" w:eastAsia="zh-CN"/>
        </w:rPr>
        <w:t>施工设备及施工车辆</w:t>
      </w:r>
      <w:r>
        <w:rPr>
          <w:rFonts w:hint="default" w:ascii="Times New Roman" w:hAnsi="Times New Roman" w:cs="Times New Roman"/>
          <w:color w:val="auto"/>
          <w:highlight w:val="none"/>
          <w:u w:val="none" w:color="auto"/>
          <w:lang w:val="en-US" w:eastAsia="zh-CN"/>
        </w:rPr>
        <w:t>产生的噪声</w:t>
      </w:r>
      <w:r>
        <w:rPr>
          <w:rFonts w:hint="eastAsia" w:cs="Times New Roman"/>
          <w:color w:val="auto"/>
          <w:highlight w:val="none"/>
          <w:u w:val="none" w:color="auto"/>
          <w:lang w:val="en-US" w:eastAsia="zh-CN"/>
        </w:rPr>
        <w:t>，施工结束封场后无噪声产生</w:t>
      </w:r>
      <w:r>
        <w:rPr>
          <w:rFonts w:hint="default" w:ascii="Times New Roman" w:hAnsi="Times New Roman" w:cs="Times New Roman"/>
          <w:color w:val="auto"/>
          <w:highlight w:val="none"/>
          <w:u w:val="none" w:color="auto"/>
          <w:lang w:val="en-US" w:eastAsia="zh-CN"/>
        </w:rPr>
        <w:t>。项目建设前后噪声级的增加量以及受影响人口变化情况均不明显，建设前后建设项目边界噪声声级的增加量&lt;3dB（A），属处于非敏感区的建设项目，对周围环境影响较小。根据《环境影响评价技术导则</w:t>
      </w:r>
      <w:r>
        <w:rPr>
          <w:rFonts w:hint="eastAsia" w:ascii="Times New Roman" w:hAnsi="Times New Roman" w:cs="Times New Roman"/>
          <w:color w:val="auto"/>
          <w:highlight w:val="none"/>
          <w:u w:val="none" w:color="auto"/>
          <w:lang w:val="en-US" w:eastAsia="zh-CN"/>
        </w:rPr>
        <w:t xml:space="preserve">  </w:t>
      </w:r>
      <w:r>
        <w:rPr>
          <w:rFonts w:hint="default" w:ascii="Times New Roman" w:hAnsi="Times New Roman" w:cs="Times New Roman"/>
          <w:color w:val="auto"/>
          <w:highlight w:val="none"/>
          <w:u w:val="none" w:color="auto"/>
          <w:lang w:val="en-US" w:eastAsia="zh-CN"/>
        </w:rPr>
        <w:t>声环境》（HJ2.4-20</w:t>
      </w:r>
      <w:r>
        <w:rPr>
          <w:rFonts w:hint="eastAsia" w:ascii="Times New Roman" w:hAnsi="Times New Roman" w:cs="Times New Roman"/>
          <w:color w:val="auto"/>
          <w:highlight w:val="none"/>
          <w:u w:val="none" w:color="auto"/>
          <w:lang w:val="en-US" w:eastAsia="zh-CN"/>
        </w:rPr>
        <w:t>21</w:t>
      </w:r>
      <w:r>
        <w:rPr>
          <w:rFonts w:hint="default" w:ascii="Times New Roman" w:hAnsi="Times New Roman" w:cs="Times New Roman"/>
          <w:color w:val="auto"/>
          <w:highlight w:val="none"/>
          <w:u w:val="none" w:color="auto"/>
          <w:lang w:val="en-US" w:eastAsia="zh-CN"/>
        </w:rPr>
        <w:t>）中评价工作分级的规定，确定本次声环境影响评价工作等级为</w:t>
      </w:r>
      <w:r>
        <w:rPr>
          <w:rFonts w:hint="eastAsia" w:cs="Times New Roman"/>
          <w:color w:val="auto"/>
          <w:highlight w:val="none"/>
          <w:u w:val="none" w:color="auto"/>
          <w:lang w:val="en-US" w:eastAsia="zh-CN"/>
        </w:rPr>
        <w:t>二</w:t>
      </w:r>
      <w:r>
        <w:rPr>
          <w:rFonts w:hint="default" w:ascii="Times New Roman" w:hAnsi="Times New Roman" w:cs="Times New Roman"/>
          <w:color w:val="auto"/>
          <w:highlight w:val="none"/>
          <w:u w:val="none" w:color="auto"/>
          <w:lang w:val="en-US" w:eastAsia="zh-CN"/>
        </w:rPr>
        <w:t>级。声环境评价工作等级判定结果见表</w:t>
      </w:r>
      <w:r>
        <w:rPr>
          <w:rFonts w:hint="eastAsia" w:ascii="Times New Roman" w:hAnsi="Times New Roman" w:cs="Times New Roman"/>
          <w:color w:val="auto"/>
          <w:highlight w:val="none"/>
          <w:u w:val="none" w:color="auto"/>
          <w:lang w:val="en-US" w:eastAsia="zh-CN"/>
        </w:rPr>
        <w:t>2.5-</w:t>
      </w:r>
      <w:r>
        <w:rPr>
          <w:rFonts w:hint="eastAsia" w:cs="Times New Roman"/>
          <w:color w:val="auto"/>
          <w:highlight w:val="none"/>
          <w:u w:val="none" w:color="auto"/>
          <w:lang w:val="en-US" w:eastAsia="zh-CN"/>
        </w:rPr>
        <w:t>5</w:t>
      </w:r>
      <w:r>
        <w:rPr>
          <w:rFonts w:hint="default" w:ascii="Times New Roman" w:hAnsi="Times New Roman" w:cs="Times New Roman"/>
          <w:color w:val="auto"/>
          <w:highlight w:val="none"/>
          <w:u w:val="none" w:color="auto"/>
          <w:lang w:val="en-US" w:eastAsia="zh-CN"/>
        </w:rPr>
        <w:t>。</w:t>
      </w:r>
    </w:p>
    <w:p w14:paraId="29E83A26">
      <w:pPr>
        <w:bidi w:val="0"/>
        <w:ind w:left="0" w:leftChars="0" w:firstLine="0" w:firstLineChars="0"/>
        <w:jc w:val="center"/>
        <w:rPr>
          <w:rFonts w:hint="default" w:ascii="Times New Roman" w:hAnsi="Times New Roman" w:cs="Times New Roman"/>
          <w:b/>
          <w:bCs/>
          <w:color w:val="auto"/>
          <w:sz w:val="21"/>
          <w:szCs w:val="21"/>
          <w:highlight w:val="none"/>
          <w:u w:val="none" w:color="auto"/>
          <w:lang w:val="en-US" w:eastAsia="zh-CN"/>
        </w:rPr>
      </w:pPr>
    </w:p>
    <w:p w14:paraId="04B3F2EA">
      <w:pPr>
        <w:bidi w:val="0"/>
        <w:ind w:left="0" w:leftChars="0" w:firstLine="0" w:firstLineChars="0"/>
        <w:jc w:val="center"/>
        <w:rPr>
          <w:rFonts w:hint="default" w:ascii="Times New Roman" w:hAnsi="Times New Roman" w:cs="Times New Roman"/>
          <w:b/>
          <w:bCs/>
          <w:color w:val="auto"/>
          <w:sz w:val="21"/>
          <w:szCs w:val="21"/>
          <w:highlight w:val="none"/>
          <w:u w:val="none" w:color="auto"/>
          <w:lang w:val="en-US" w:eastAsia="zh-CN"/>
        </w:rPr>
      </w:pPr>
    </w:p>
    <w:p w14:paraId="2A07E44C">
      <w:pPr>
        <w:bidi w:val="0"/>
        <w:ind w:left="0" w:leftChars="0" w:firstLine="0" w:firstLineChars="0"/>
        <w:jc w:val="center"/>
        <w:rPr>
          <w:rFonts w:hint="default" w:ascii="Times New Roman" w:hAnsi="Times New Roman" w:cs="Times New Roman"/>
          <w:b/>
          <w:bCs/>
          <w:color w:val="auto"/>
          <w:sz w:val="21"/>
          <w:szCs w:val="21"/>
          <w:highlight w:val="none"/>
          <w:u w:val="none" w:color="auto"/>
          <w:lang w:val="en-US" w:eastAsia="zh-CN"/>
        </w:rPr>
      </w:pPr>
      <w:r>
        <w:rPr>
          <w:rFonts w:hint="default" w:ascii="Times New Roman" w:hAnsi="Times New Roman" w:cs="Times New Roman"/>
          <w:b/>
          <w:bCs/>
          <w:color w:val="auto"/>
          <w:sz w:val="21"/>
          <w:szCs w:val="21"/>
          <w:highlight w:val="none"/>
          <w:u w:val="none" w:color="auto"/>
          <w:lang w:val="en-US" w:eastAsia="zh-CN"/>
        </w:rPr>
        <w:t>表2.</w:t>
      </w:r>
      <w:r>
        <w:rPr>
          <w:rFonts w:hint="eastAsia" w:ascii="Times New Roman" w:hAnsi="Times New Roman" w:cs="Times New Roman"/>
          <w:b/>
          <w:bCs/>
          <w:color w:val="auto"/>
          <w:sz w:val="21"/>
          <w:szCs w:val="21"/>
          <w:highlight w:val="none"/>
          <w:u w:val="none" w:color="auto"/>
          <w:lang w:val="en-US" w:eastAsia="zh-CN"/>
        </w:rPr>
        <w:t>5</w:t>
      </w:r>
      <w:r>
        <w:rPr>
          <w:rFonts w:hint="default" w:ascii="Times New Roman" w:hAnsi="Times New Roman" w:cs="Times New Roman"/>
          <w:b/>
          <w:bCs/>
          <w:color w:val="auto"/>
          <w:sz w:val="21"/>
          <w:szCs w:val="21"/>
          <w:highlight w:val="none"/>
          <w:u w:val="none" w:color="auto"/>
          <w:lang w:val="en-US" w:eastAsia="zh-CN"/>
        </w:rPr>
        <w:t>-</w:t>
      </w:r>
      <w:r>
        <w:rPr>
          <w:rFonts w:hint="eastAsia" w:cs="Times New Roman"/>
          <w:b/>
          <w:bCs/>
          <w:color w:val="auto"/>
          <w:sz w:val="21"/>
          <w:szCs w:val="21"/>
          <w:highlight w:val="none"/>
          <w:u w:val="none" w:color="auto"/>
          <w:lang w:val="en-US" w:eastAsia="zh-CN"/>
        </w:rPr>
        <w:t xml:space="preserve">5  </w:t>
      </w:r>
      <w:r>
        <w:rPr>
          <w:rFonts w:hint="default" w:ascii="Times New Roman" w:hAnsi="Times New Roman" w:cs="Times New Roman"/>
          <w:b/>
          <w:bCs/>
          <w:color w:val="auto"/>
          <w:sz w:val="21"/>
          <w:szCs w:val="21"/>
          <w:highlight w:val="none"/>
          <w:u w:val="none" w:color="auto"/>
          <w:lang w:val="en-US" w:eastAsia="zh-CN"/>
        </w:rPr>
        <w:t>声环境评价工作等级判定结果</w:t>
      </w:r>
    </w:p>
    <w:tbl>
      <w:tblPr>
        <w:tblStyle w:val="35"/>
        <w:tblW w:w="4996"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3888"/>
        <w:gridCol w:w="4191"/>
        <w:gridCol w:w="1146"/>
      </w:tblGrid>
      <w:tr w14:paraId="1E74469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blHeader/>
        </w:trPr>
        <w:tc>
          <w:tcPr>
            <w:tcW w:w="2107" w:type="pct"/>
            <w:noWrap w:val="0"/>
            <w:vAlign w:val="center"/>
          </w:tcPr>
          <w:p w14:paraId="241A3509">
            <w:pPr>
              <w:keepNext w:val="0"/>
              <w:keepLines w:val="0"/>
              <w:pageBreakBefore w:val="0"/>
              <w:widowControl w:val="0"/>
              <w:kinsoku/>
              <w:wordWrap/>
              <w:overflowPunct/>
              <w:topLinePunct w:val="0"/>
              <w:autoSpaceDE/>
              <w:autoSpaceDN/>
              <w:bidi w:val="0"/>
              <w:adjustRightInd/>
              <w:snapToGrid/>
              <w:spacing w:line="312" w:lineRule="auto"/>
              <w:ind w:firstLine="0" w:firstLineChars="0"/>
              <w:jc w:val="center"/>
              <w:textAlignment w:val="auto"/>
              <w:rPr>
                <w:rFonts w:hint="default" w:ascii="Times New Roman" w:hAnsi="Times New Roman" w:cs="Times New Roman"/>
                <w:b/>
                <w:bCs/>
                <w:color w:val="auto"/>
                <w:sz w:val="21"/>
                <w:szCs w:val="21"/>
                <w:highlight w:val="none"/>
                <w:u w:val="none" w:color="auto"/>
                <w:lang w:val="en-US" w:eastAsia="zh-CN"/>
              </w:rPr>
            </w:pPr>
            <w:r>
              <w:rPr>
                <w:rFonts w:hint="default" w:ascii="Times New Roman" w:hAnsi="Times New Roman" w:cs="Times New Roman"/>
                <w:b/>
                <w:bCs/>
                <w:color w:val="auto"/>
                <w:sz w:val="21"/>
                <w:szCs w:val="21"/>
                <w:highlight w:val="none"/>
                <w:u w:val="none" w:color="auto"/>
                <w:lang w:val="en-US" w:eastAsia="zh-CN"/>
              </w:rPr>
              <w:t>项目</w:t>
            </w:r>
          </w:p>
        </w:tc>
        <w:tc>
          <w:tcPr>
            <w:tcW w:w="2892" w:type="pct"/>
            <w:gridSpan w:val="2"/>
            <w:noWrap w:val="0"/>
            <w:vAlign w:val="center"/>
          </w:tcPr>
          <w:p w14:paraId="4ABA1AED">
            <w:pPr>
              <w:keepNext w:val="0"/>
              <w:keepLines w:val="0"/>
              <w:pageBreakBefore w:val="0"/>
              <w:widowControl w:val="0"/>
              <w:kinsoku/>
              <w:wordWrap/>
              <w:overflowPunct/>
              <w:topLinePunct w:val="0"/>
              <w:autoSpaceDE/>
              <w:autoSpaceDN/>
              <w:bidi w:val="0"/>
              <w:adjustRightInd/>
              <w:snapToGrid/>
              <w:spacing w:line="312" w:lineRule="auto"/>
              <w:ind w:firstLine="0" w:firstLineChars="0"/>
              <w:jc w:val="center"/>
              <w:textAlignment w:val="auto"/>
              <w:rPr>
                <w:rFonts w:hint="default" w:ascii="Times New Roman" w:hAnsi="Times New Roman" w:cs="Times New Roman"/>
                <w:b/>
                <w:bCs/>
                <w:color w:val="auto"/>
                <w:sz w:val="21"/>
                <w:szCs w:val="21"/>
                <w:highlight w:val="none"/>
                <w:u w:val="none" w:color="auto"/>
                <w:lang w:val="en-US" w:eastAsia="zh-CN"/>
              </w:rPr>
            </w:pPr>
            <w:r>
              <w:rPr>
                <w:rFonts w:hint="default" w:ascii="Times New Roman" w:hAnsi="Times New Roman" w:cs="Times New Roman"/>
                <w:b/>
                <w:bCs/>
                <w:color w:val="auto"/>
                <w:sz w:val="21"/>
                <w:szCs w:val="21"/>
                <w:highlight w:val="none"/>
                <w:u w:val="none" w:color="auto"/>
                <w:lang w:val="en-US" w:eastAsia="zh-CN"/>
              </w:rPr>
              <w:t>评价等级判定依据</w:t>
            </w:r>
          </w:p>
        </w:tc>
      </w:tr>
      <w:tr w14:paraId="1D91F3E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107" w:type="pct"/>
            <w:noWrap w:val="0"/>
            <w:vAlign w:val="center"/>
          </w:tcPr>
          <w:p w14:paraId="0316D68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u w:val="none" w:color="auto"/>
                <w:lang w:val="en-US" w:eastAsia="zh-CN"/>
              </w:rPr>
            </w:pPr>
            <w:r>
              <w:rPr>
                <w:rFonts w:hint="default" w:ascii="Times New Roman" w:hAnsi="Times New Roman" w:cs="Times New Roman"/>
                <w:color w:val="auto"/>
                <w:sz w:val="21"/>
                <w:szCs w:val="21"/>
                <w:highlight w:val="none"/>
                <w:u w:val="none" w:color="auto"/>
                <w:lang w:val="en-US" w:eastAsia="zh-CN"/>
              </w:rPr>
              <w:t>建设项目所处声环境功能区、周围环境适用标准</w:t>
            </w:r>
          </w:p>
        </w:tc>
        <w:tc>
          <w:tcPr>
            <w:tcW w:w="2271" w:type="pct"/>
            <w:noWrap w:val="0"/>
            <w:vAlign w:val="center"/>
          </w:tcPr>
          <w:p w14:paraId="1EB5457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u w:val="none" w:color="auto"/>
                <w:lang w:val="en-US" w:eastAsia="zh-CN"/>
              </w:rPr>
            </w:pPr>
            <w:r>
              <w:rPr>
                <w:rFonts w:hint="default" w:ascii="Times New Roman" w:hAnsi="Times New Roman" w:cs="Times New Roman"/>
                <w:color w:val="auto"/>
                <w:sz w:val="21"/>
                <w:szCs w:val="21"/>
                <w:highlight w:val="none"/>
                <w:u w:val="none" w:color="auto"/>
                <w:lang w:val="en-US" w:eastAsia="zh-CN"/>
              </w:rPr>
              <w:t>GB3096-2008中的</w:t>
            </w:r>
            <w:r>
              <w:rPr>
                <w:rFonts w:hint="eastAsia" w:cs="Times New Roman"/>
                <w:color w:val="auto"/>
                <w:sz w:val="21"/>
                <w:szCs w:val="21"/>
                <w:highlight w:val="none"/>
                <w:u w:val="none" w:color="auto"/>
                <w:lang w:val="en-US" w:eastAsia="zh-CN"/>
              </w:rPr>
              <w:t>1</w:t>
            </w:r>
            <w:r>
              <w:rPr>
                <w:rFonts w:hint="default" w:ascii="Times New Roman" w:hAnsi="Times New Roman" w:cs="Times New Roman"/>
                <w:color w:val="auto"/>
                <w:sz w:val="21"/>
                <w:szCs w:val="21"/>
                <w:highlight w:val="none"/>
                <w:u w:val="none" w:color="auto"/>
                <w:lang w:val="en-US" w:eastAsia="zh-CN"/>
              </w:rPr>
              <w:t>类声功能区、</w:t>
            </w:r>
            <w:r>
              <w:rPr>
                <w:rFonts w:hint="eastAsia" w:cs="Times New Roman"/>
                <w:color w:val="auto"/>
                <w:sz w:val="21"/>
                <w:szCs w:val="21"/>
                <w:highlight w:val="none"/>
                <w:u w:val="none" w:color="auto"/>
                <w:lang w:val="en-US" w:eastAsia="zh-CN"/>
              </w:rPr>
              <w:t>1</w:t>
            </w:r>
            <w:r>
              <w:rPr>
                <w:rFonts w:hint="default" w:ascii="Times New Roman" w:hAnsi="Times New Roman" w:cs="Times New Roman"/>
                <w:color w:val="auto"/>
                <w:sz w:val="21"/>
                <w:szCs w:val="21"/>
                <w:highlight w:val="none"/>
                <w:u w:val="none" w:color="auto"/>
                <w:lang w:val="en-US" w:eastAsia="zh-CN"/>
              </w:rPr>
              <w:t>类标准</w:t>
            </w:r>
          </w:p>
        </w:tc>
        <w:tc>
          <w:tcPr>
            <w:tcW w:w="620" w:type="pct"/>
            <w:noWrap w:val="0"/>
            <w:vAlign w:val="center"/>
          </w:tcPr>
          <w:p w14:paraId="2405223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u w:val="none" w:color="auto"/>
                <w:lang w:val="en-US" w:eastAsia="zh-CN"/>
              </w:rPr>
            </w:pPr>
            <w:r>
              <w:rPr>
                <w:rFonts w:hint="eastAsia" w:cs="Times New Roman"/>
                <w:color w:val="auto"/>
                <w:sz w:val="21"/>
                <w:szCs w:val="21"/>
                <w:highlight w:val="none"/>
                <w:u w:val="none" w:color="auto"/>
                <w:lang w:val="en-US" w:eastAsia="zh-CN"/>
              </w:rPr>
              <w:t>二</w:t>
            </w:r>
            <w:r>
              <w:rPr>
                <w:rFonts w:hint="default" w:ascii="Times New Roman" w:hAnsi="Times New Roman" w:cs="Times New Roman"/>
                <w:color w:val="auto"/>
                <w:sz w:val="21"/>
                <w:szCs w:val="21"/>
                <w:highlight w:val="none"/>
                <w:u w:val="none" w:color="auto"/>
                <w:lang w:val="en-US" w:eastAsia="zh-CN"/>
              </w:rPr>
              <w:t>级评价</w:t>
            </w:r>
          </w:p>
        </w:tc>
      </w:tr>
      <w:tr w14:paraId="3406009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107" w:type="pct"/>
            <w:noWrap w:val="0"/>
            <w:vAlign w:val="center"/>
          </w:tcPr>
          <w:p w14:paraId="060ACC8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u w:val="none" w:color="auto"/>
                <w:lang w:val="en-US" w:eastAsia="zh-CN"/>
              </w:rPr>
            </w:pPr>
            <w:r>
              <w:rPr>
                <w:rFonts w:hint="default" w:ascii="Times New Roman" w:hAnsi="Times New Roman" w:cs="Times New Roman"/>
                <w:color w:val="auto"/>
                <w:sz w:val="21"/>
                <w:szCs w:val="21"/>
                <w:highlight w:val="none"/>
                <w:u w:val="none" w:color="auto"/>
                <w:lang w:val="en-US" w:eastAsia="zh-CN"/>
              </w:rPr>
              <w:t>周围环境受影响噪声增加量</w:t>
            </w:r>
          </w:p>
        </w:tc>
        <w:tc>
          <w:tcPr>
            <w:tcW w:w="2271" w:type="pct"/>
            <w:noWrap w:val="0"/>
            <w:vAlign w:val="center"/>
          </w:tcPr>
          <w:p w14:paraId="3D9CA2C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u w:val="none" w:color="auto"/>
                <w:lang w:val="en-US" w:eastAsia="zh-CN"/>
              </w:rPr>
            </w:pPr>
            <w:r>
              <w:rPr>
                <w:rFonts w:hint="default" w:ascii="Times New Roman" w:hAnsi="Times New Roman" w:cs="Times New Roman"/>
                <w:color w:val="auto"/>
                <w:sz w:val="21"/>
                <w:szCs w:val="21"/>
                <w:highlight w:val="none"/>
                <w:u w:val="none" w:color="auto"/>
                <w:lang w:val="en-US" w:eastAsia="zh-CN"/>
              </w:rPr>
              <w:t>3dB（A）以内</w:t>
            </w:r>
          </w:p>
        </w:tc>
        <w:tc>
          <w:tcPr>
            <w:tcW w:w="620" w:type="pct"/>
            <w:noWrap w:val="0"/>
            <w:vAlign w:val="center"/>
          </w:tcPr>
          <w:p w14:paraId="3D22352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u w:val="none" w:color="auto"/>
                <w:lang w:val="en-US" w:eastAsia="zh-CN"/>
              </w:rPr>
            </w:pPr>
            <w:r>
              <w:rPr>
                <w:rFonts w:hint="default" w:ascii="Times New Roman" w:hAnsi="Times New Roman" w:cs="Times New Roman"/>
                <w:color w:val="auto"/>
                <w:sz w:val="21"/>
                <w:szCs w:val="21"/>
                <w:highlight w:val="none"/>
                <w:u w:val="none" w:color="auto"/>
                <w:lang w:val="en-US" w:eastAsia="zh-CN"/>
              </w:rPr>
              <w:t>三级评价</w:t>
            </w:r>
          </w:p>
        </w:tc>
      </w:tr>
      <w:tr w14:paraId="0E98714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107" w:type="pct"/>
            <w:noWrap w:val="0"/>
            <w:vAlign w:val="center"/>
          </w:tcPr>
          <w:p w14:paraId="13E487B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u w:val="none" w:color="auto"/>
                <w:lang w:val="en-US" w:eastAsia="zh-CN"/>
              </w:rPr>
            </w:pPr>
            <w:r>
              <w:rPr>
                <w:rFonts w:hint="default" w:ascii="Times New Roman" w:hAnsi="Times New Roman" w:cs="Times New Roman"/>
                <w:color w:val="auto"/>
                <w:sz w:val="21"/>
                <w:szCs w:val="21"/>
                <w:highlight w:val="none"/>
                <w:u w:val="none" w:color="auto"/>
                <w:lang w:val="en-US" w:eastAsia="zh-CN"/>
              </w:rPr>
              <w:t>噪声影响人口数量</w:t>
            </w:r>
          </w:p>
        </w:tc>
        <w:tc>
          <w:tcPr>
            <w:tcW w:w="2271" w:type="pct"/>
            <w:noWrap w:val="0"/>
            <w:vAlign w:val="center"/>
          </w:tcPr>
          <w:p w14:paraId="500BD3E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u w:val="none" w:color="auto"/>
                <w:lang w:val="en-US" w:eastAsia="zh-CN"/>
              </w:rPr>
            </w:pPr>
            <w:r>
              <w:rPr>
                <w:rFonts w:hint="default" w:ascii="Times New Roman" w:hAnsi="Times New Roman" w:cs="Times New Roman"/>
                <w:color w:val="auto"/>
                <w:sz w:val="21"/>
                <w:szCs w:val="21"/>
                <w:highlight w:val="none"/>
                <w:u w:val="none" w:color="auto"/>
                <w:lang w:val="en-US" w:eastAsia="zh-CN"/>
              </w:rPr>
              <w:t>受噪声影响人口数量变化不大</w:t>
            </w:r>
          </w:p>
        </w:tc>
        <w:tc>
          <w:tcPr>
            <w:tcW w:w="620" w:type="pct"/>
            <w:noWrap w:val="0"/>
            <w:vAlign w:val="center"/>
          </w:tcPr>
          <w:p w14:paraId="32C9849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u w:val="none" w:color="auto"/>
                <w:lang w:val="en-US" w:eastAsia="zh-CN"/>
              </w:rPr>
            </w:pPr>
            <w:r>
              <w:rPr>
                <w:rFonts w:hint="default" w:ascii="Times New Roman" w:hAnsi="Times New Roman" w:cs="Times New Roman"/>
                <w:color w:val="auto"/>
                <w:sz w:val="21"/>
                <w:szCs w:val="21"/>
                <w:highlight w:val="none"/>
                <w:u w:val="none" w:color="auto"/>
                <w:lang w:val="en-US" w:eastAsia="zh-CN"/>
              </w:rPr>
              <w:t>三级评价</w:t>
            </w:r>
          </w:p>
        </w:tc>
      </w:tr>
      <w:tr w14:paraId="6B05FC5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107" w:type="pct"/>
            <w:noWrap w:val="0"/>
            <w:vAlign w:val="center"/>
          </w:tcPr>
          <w:p w14:paraId="13624E5A">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cs="Times New Roman"/>
                <w:b/>
                <w:bCs/>
                <w:color w:val="auto"/>
                <w:sz w:val="21"/>
                <w:szCs w:val="21"/>
                <w:highlight w:val="none"/>
                <w:u w:val="none" w:color="auto"/>
                <w:lang w:val="en-US" w:eastAsia="zh-CN"/>
              </w:rPr>
            </w:pPr>
            <w:r>
              <w:rPr>
                <w:rFonts w:hint="default" w:ascii="Times New Roman" w:hAnsi="Times New Roman" w:cs="Times New Roman"/>
                <w:b/>
                <w:bCs/>
                <w:color w:val="auto"/>
                <w:sz w:val="21"/>
                <w:szCs w:val="21"/>
                <w:highlight w:val="none"/>
                <w:u w:val="none" w:color="auto"/>
                <w:lang w:val="en-US" w:eastAsia="zh-CN"/>
              </w:rPr>
              <w:t>评价工作等级判定结果</w:t>
            </w:r>
          </w:p>
        </w:tc>
        <w:tc>
          <w:tcPr>
            <w:tcW w:w="2892" w:type="pct"/>
            <w:gridSpan w:val="2"/>
            <w:noWrap w:val="0"/>
            <w:vAlign w:val="center"/>
          </w:tcPr>
          <w:p w14:paraId="42532EA5">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cs="Times New Roman"/>
                <w:b/>
                <w:bCs/>
                <w:color w:val="auto"/>
                <w:sz w:val="21"/>
                <w:szCs w:val="21"/>
                <w:highlight w:val="none"/>
                <w:u w:val="none" w:color="auto"/>
                <w:lang w:val="en-US" w:eastAsia="zh-CN"/>
              </w:rPr>
            </w:pPr>
            <w:r>
              <w:rPr>
                <w:rFonts w:hint="eastAsia" w:cs="Times New Roman"/>
                <w:b/>
                <w:bCs/>
                <w:color w:val="auto"/>
                <w:sz w:val="21"/>
                <w:szCs w:val="21"/>
                <w:highlight w:val="none"/>
                <w:u w:val="none" w:color="auto"/>
                <w:lang w:val="en-US" w:eastAsia="zh-CN"/>
              </w:rPr>
              <w:t>二</w:t>
            </w:r>
            <w:r>
              <w:rPr>
                <w:rFonts w:hint="default" w:ascii="Times New Roman" w:hAnsi="Times New Roman" w:cs="Times New Roman"/>
                <w:b/>
                <w:bCs/>
                <w:color w:val="auto"/>
                <w:sz w:val="21"/>
                <w:szCs w:val="21"/>
                <w:highlight w:val="none"/>
                <w:u w:val="none" w:color="auto"/>
                <w:lang w:val="en-US" w:eastAsia="zh-CN"/>
              </w:rPr>
              <w:t>级</w:t>
            </w:r>
          </w:p>
        </w:tc>
      </w:tr>
    </w:tbl>
    <w:p w14:paraId="221F7491">
      <w:pPr>
        <w:pStyle w:val="10"/>
        <w:numPr>
          <w:ilvl w:val="3"/>
          <w:numId w:val="1"/>
        </w:numPr>
        <w:bidi w:val="0"/>
        <w:ind w:left="850" w:leftChars="0" w:hanging="850" w:firstLineChars="0"/>
        <w:rPr>
          <w:rFonts w:hint="eastAsia"/>
          <w:highlight w:val="none"/>
          <w:lang w:val="en-US" w:eastAsia="zh-CN"/>
        </w:rPr>
      </w:pPr>
      <w:bookmarkStart w:id="27" w:name="_Toc13119"/>
      <w:r>
        <w:rPr>
          <w:rFonts w:hint="eastAsia"/>
          <w:highlight w:val="none"/>
          <w:lang w:val="en-US" w:eastAsia="zh-CN"/>
        </w:rPr>
        <w:t>土壤环境</w:t>
      </w:r>
      <w:bookmarkEnd w:id="27"/>
      <w:r>
        <w:rPr>
          <w:rFonts w:hint="eastAsia"/>
          <w:highlight w:val="none"/>
          <w:lang w:val="en-US" w:eastAsia="zh-CN"/>
        </w:rPr>
        <w:t>影响评价工作等级</w:t>
      </w:r>
    </w:p>
    <w:p w14:paraId="30309C6B">
      <w:pPr>
        <w:bidi w:val="0"/>
        <w:rPr>
          <w:rFonts w:hint="eastAsia"/>
          <w:highlight w:val="none"/>
          <w:lang w:val="en-US" w:eastAsia="zh-CN"/>
        </w:rPr>
      </w:pPr>
      <w:r>
        <w:rPr>
          <w:rFonts w:hint="eastAsia"/>
          <w:highlight w:val="none"/>
          <w:lang w:val="en-US" w:eastAsia="zh-CN"/>
        </w:rPr>
        <w:t>根据《环境影响评价技术导则  土壤环境（试行）》（HJ964-2018），土壤环境评价工作等级由土壤环境影响类型、影响途径、影响源及影响因子确定。</w:t>
      </w:r>
    </w:p>
    <w:p w14:paraId="20E7CFFA">
      <w:pPr>
        <w:bidi w:val="0"/>
        <w:rPr>
          <w:rFonts w:hint="eastAsia"/>
          <w:b/>
          <w:bCs/>
          <w:highlight w:val="none"/>
          <w:lang w:val="en-US" w:eastAsia="zh-CN"/>
        </w:rPr>
      </w:pPr>
      <w:r>
        <w:rPr>
          <w:rFonts w:hint="eastAsia"/>
          <w:b/>
          <w:bCs/>
          <w:highlight w:val="none"/>
          <w:lang w:val="en-US" w:eastAsia="zh-CN"/>
        </w:rPr>
        <w:t>（1）项目类型</w:t>
      </w:r>
    </w:p>
    <w:p w14:paraId="3C127D0E">
      <w:pPr>
        <w:bidi w:val="0"/>
        <w:rPr>
          <w:rFonts w:hint="eastAsia"/>
          <w:highlight w:val="none"/>
          <w:lang w:val="en-US" w:eastAsia="zh-CN"/>
        </w:rPr>
      </w:pPr>
      <w:r>
        <w:rPr>
          <w:rFonts w:hint="eastAsia"/>
          <w:highlight w:val="none"/>
          <w:lang w:val="en-US" w:eastAsia="zh-CN"/>
        </w:rPr>
        <w:t>对照《环境影响评价技术导则  土壤环境》（HJ964-2018）附录A，本项目为环境和公共设施管理业中采取填埋方式的一般工业固体废物处置及综合利用的项目，为</w:t>
      </w:r>
      <w:r>
        <w:rPr>
          <w:rFonts w:hint="default" w:ascii="Times New Roman" w:hAnsi="Times New Roman" w:eastAsia="宋体" w:cs="Times New Roman"/>
          <w:highlight w:val="none"/>
          <w:lang w:val="en-US" w:eastAsia="zh-CN"/>
        </w:rPr>
        <w:t>Ⅱ</w:t>
      </w:r>
      <w:r>
        <w:rPr>
          <w:rFonts w:hint="eastAsia"/>
          <w:highlight w:val="none"/>
          <w:lang w:val="en-US" w:eastAsia="zh-CN"/>
        </w:rPr>
        <w:t>类项目。</w:t>
      </w:r>
    </w:p>
    <w:p w14:paraId="2A868FDC">
      <w:pPr>
        <w:bidi w:val="0"/>
        <w:rPr>
          <w:rFonts w:hint="eastAsia"/>
          <w:b/>
          <w:bCs/>
          <w:highlight w:val="none"/>
          <w:lang w:val="en-US" w:eastAsia="zh-CN"/>
        </w:rPr>
      </w:pPr>
      <w:r>
        <w:rPr>
          <w:rFonts w:hint="eastAsia"/>
          <w:b/>
          <w:bCs/>
          <w:highlight w:val="none"/>
          <w:lang w:val="en-US" w:eastAsia="zh-CN"/>
        </w:rPr>
        <w:t>（2）等级判定</w:t>
      </w:r>
    </w:p>
    <w:p w14:paraId="056B67FB">
      <w:pPr>
        <w:bidi w:val="0"/>
        <w:rPr>
          <w:rFonts w:hint="eastAsia"/>
          <w:highlight w:val="none"/>
          <w:lang w:val="en-US" w:eastAsia="zh-CN"/>
        </w:rPr>
      </w:pPr>
      <w:r>
        <w:rPr>
          <w:rFonts w:hint="eastAsia"/>
          <w:highlight w:val="none"/>
          <w:lang w:val="en-US" w:eastAsia="zh-CN"/>
        </w:rPr>
        <w:t>根据《环境影响评价技术导则  土壤环境》（HJ964-2018），污染影响项目的判级见表2.5-6。</w:t>
      </w:r>
    </w:p>
    <w:p w14:paraId="5DFA1420">
      <w:pPr>
        <w:bidi w:val="0"/>
        <w:ind w:left="0" w:leftChars="0" w:firstLine="0" w:firstLineChars="0"/>
        <w:jc w:val="center"/>
        <w:rPr>
          <w:rFonts w:hint="eastAsia"/>
          <w:b/>
          <w:bCs/>
          <w:sz w:val="21"/>
          <w:szCs w:val="21"/>
          <w:highlight w:val="none"/>
          <w:lang w:val="en-US" w:eastAsia="zh-CN"/>
        </w:rPr>
      </w:pPr>
      <w:r>
        <w:rPr>
          <w:rFonts w:hint="eastAsia"/>
          <w:b/>
          <w:bCs/>
          <w:sz w:val="21"/>
          <w:szCs w:val="21"/>
          <w:highlight w:val="none"/>
          <w:lang w:val="en-US" w:eastAsia="zh-CN"/>
        </w:rPr>
        <w:t>表2.5-6  污染影响型敏感程度分级表</w:t>
      </w:r>
    </w:p>
    <w:tbl>
      <w:tblPr>
        <w:tblStyle w:val="35"/>
        <w:tblW w:w="4999"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0" w:type="dxa"/>
          <w:bottom w:w="0" w:type="dxa"/>
          <w:right w:w="0" w:type="dxa"/>
        </w:tblCellMar>
      </w:tblPr>
      <w:tblGrid>
        <w:gridCol w:w="1643"/>
        <w:gridCol w:w="7401"/>
      </w:tblGrid>
      <w:tr w14:paraId="71E641A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908" w:type="pct"/>
            <w:tcBorders>
              <w:tl2br w:val="nil"/>
              <w:tr2bl w:val="nil"/>
            </w:tcBorders>
            <w:noWrap w:val="0"/>
            <w:vAlign w:val="center"/>
          </w:tcPr>
          <w:p w14:paraId="5CDD582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b/>
                <w:bCs/>
                <w:sz w:val="21"/>
                <w:szCs w:val="21"/>
                <w:highlight w:val="none"/>
                <w:lang w:val="en-US" w:eastAsia="zh-CN"/>
              </w:rPr>
            </w:pPr>
            <w:r>
              <w:rPr>
                <w:rFonts w:hint="eastAsia"/>
                <w:b/>
                <w:bCs/>
                <w:sz w:val="21"/>
                <w:szCs w:val="21"/>
                <w:highlight w:val="none"/>
                <w:lang w:val="en-US" w:eastAsia="zh-CN"/>
              </w:rPr>
              <w:t>敏感程度</w:t>
            </w:r>
          </w:p>
        </w:tc>
        <w:tc>
          <w:tcPr>
            <w:tcW w:w="4091" w:type="pct"/>
            <w:tcBorders>
              <w:tl2br w:val="nil"/>
              <w:tr2bl w:val="nil"/>
            </w:tcBorders>
            <w:noWrap w:val="0"/>
            <w:vAlign w:val="center"/>
          </w:tcPr>
          <w:p w14:paraId="071A5F66">
            <w:pPr>
              <w:keepNext w:val="0"/>
              <w:keepLines w:val="0"/>
              <w:pageBreakBefore w:val="0"/>
              <w:widowControl w:val="0"/>
              <w:kinsoku/>
              <w:wordWrap/>
              <w:overflowPunct/>
              <w:topLinePunct w:val="0"/>
              <w:autoSpaceDE/>
              <w:autoSpaceDN/>
              <w:bidi w:val="0"/>
              <w:adjustRightInd/>
              <w:snapToGrid/>
              <w:spacing w:line="312" w:lineRule="auto"/>
              <w:ind w:firstLine="0" w:firstLineChars="0"/>
              <w:jc w:val="center"/>
              <w:textAlignment w:val="auto"/>
              <w:rPr>
                <w:rFonts w:hint="eastAsia"/>
                <w:b/>
                <w:bCs/>
                <w:sz w:val="21"/>
                <w:szCs w:val="21"/>
                <w:highlight w:val="none"/>
                <w:lang w:val="en-US" w:eastAsia="zh-CN"/>
              </w:rPr>
            </w:pPr>
            <w:r>
              <w:rPr>
                <w:rFonts w:hint="eastAsia"/>
                <w:b/>
                <w:bCs/>
                <w:sz w:val="21"/>
                <w:szCs w:val="21"/>
                <w:highlight w:val="none"/>
                <w:lang w:val="en-US" w:eastAsia="zh-CN"/>
              </w:rPr>
              <w:t>判别依据</w:t>
            </w:r>
          </w:p>
        </w:tc>
      </w:tr>
      <w:tr w14:paraId="1EEA493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908" w:type="pct"/>
            <w:tcBorders>
              <w:tl2br w:val="nil"/>
              <w:tr2bl w:val="nil"/>
            </w:tcBorders>
            <w:noWrap w:val="0"/>
            <w:vAlign w:val="center"/>
          </w:tcPr>
          <w:p w14:paraId="203283E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敏感</w:t>
            </w:r>
          </w:p>
        </w:tc>
        <w:tc>
          <w:tcPr>
            <w:tcW w:w="4091" w:type="pct"/>
            <w:tcBorders>
              <w:tl2br w:val="nil"/>
              <w:tr2bl w:val="nil"/>
            </w:tcBorders>
            <w:noWrap w:val="0"/>
            <w:vAlign w:val="center"/>
          </w:tcPr>
          <w:p w14:paraId="210BE66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建设项目周边存在耕地、园地、牧草地、饮用水水源地或居民区、学校、医院、疗养院、养老院等土壤环境敏感目标的</w:t>
            </w:r>
          </w:p>
        </w:tc>
      </w:tr>
      <w:tr w14:paraId="0001A63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908" w:type="pct"/>
            <w:tcBorders>
              <w:tl2br w:val="nil"/>
              <w:tr2bl w:val="nil"/>
            </w:tcBorders>
            <w:noWrap w:val="0"/>
            <w:vAlign w:val="center"/>
          </w:tcPr>
          <w:p w14:paraId="366F853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较敏感</w:t>
            </w:r>
          </w:p>
        </w:tc>
        <w:tc>
          <w:tcPr>
            <w:tcW w:w="4091" w:type="pct"/>
            <w:tcBorders>
              <w:tl2br w:val="nil"/>
              <w:tr2bl w:val="nil"/>
            </w:tcBorders>
            <w:noWrap w:val="0"/>
            <w:vAlign w:val="center"/>
          </w:tcPr>
          <w:p w14:paraId="1D44834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建设项目周边存在其他土壤环境敏感目标的</w:t>
            </w:r>
          </w:p>
        </w:tc>
      </w:tr>
      <w:tr w14:paraId="029B740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908" w:type="pct"/>
            <w:tcBorders>
              <w:tl2br w:val="nil"/>
              <w:tr2bl w:val="nil"/>
            </w:tcBorders>
            <w:noWrap w:val="0"/>
            <w:vAlign w:val="center"/>
          </w:tcPr>
          <w:p w14:paraId="3CE6FA2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不敏感</w:t>
            </w:r>
          </w:p>
        </w:tc>
        <w:tc>
          <w:tcPr>
            <w:tcW w:w="4091" w:type="pct"/>
            <w:tcBorders>
              <w:tl2br w:val="nil"/>
              <w:tr2bl w:val="nil"/>
            </w:tcBorders>
            <w:noWrap w:val="0"/>
            <w:vAlign w:val="center"/>
          </w:tcPr>
          <w:p w14:paraId="692640C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其他情况</w:t>
            </w:r>
          </w:p>
        </w:tc>
      </w:tr>
    </w:tbl>
    <w:p w14:paraId="35B334B9">
      <w:pPr>
        <w:bidi w:val="0"/>
        <w:ind w:left="0" w:leftChars="0" w:firstLine="0" w:firstLineChars="0"/>
        <w:jc w:val="center"/>
        <w:rPr>
          <w:rFonts w:hint="eastAsia"/>
          <w:b/>
          <w:bCs/>
          <w:sz w:val="21"/>
          <w:szCs w:val="21"/>
          <w:highlight w:val="none"/>
          <w:lang w:val="en-US" w:eastAsia="zh-CN"/>
        </w:rPr>
      </w:pPr>
      <w:r>
        <w:rPr>
          <w:rFonts w:hint="eastAsia"/>
          <w:b/>
          <w:bCs/>
          <w:sz w:val="21"/>
          <w:szCs w:val="21"/>
          <w:highlight w:val="none"/>
          <w:lang w:val="en-US" w:eastAsia="zh-CN"/>
        </w:rPr>
        <w:t>表2.5-7  土壤环境评价工作等级划分表</w:t>
      </w:r>
    </w:p>
    <w:tbl>
      <w:tblPr>
        <w:tblStyle w:val="35"/>
        <w:tblW w:w="4997"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2568"/>
        <w:gridCol w:w="714"/>
        <w:gridCol w:w="714"/>
        <w:gridCol w:w="724"/>
        <w:gridCol w:w="715"/>
        <w:gridCol w:w="715"/>
        <w:gridCol w:w="718"/>
        <w:gridCol w:w="715"/>
        <w:gridCol w:w="715"/>
        <w:gridCol w:w="747"/>
      </w:tblGrid>
      <w:tr w14:paraId="3867874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420" w:type="pct"/>
            <w:vMerge w:val="restart"/>
            <w:tcBorders>
              <w:tl2br w:val="nil"/>
              <w:tr2bl w:val="nil"/>
            </w:tcBorders>
            <w:noWrap w:val="0"/>
            <w:tcMar>
              <w:left w:w="17" w:type="dxa"/>
              <w:right w:w="17" w:type="dxa"/>
            </w:tcMar>
            <w:vAlign w:val="center"/>
            <mc:AlternateContent>
              <mc:Choice Requires="wpsCustomData">
                <wpsCustomData:diagonals>
                  <wpsCustomData:diagonal from="10000" to="30000">
                    <wpsCustomData:border w:val="single" w:color="auto" w:sz="12" w:space="0"/>
                  </wpsCustomData:diagonal>
                </wpsCustomData:diagonals>
              </mc:Choice>
            </mc:AlternateContent>
          </w:tcPr>
          <w:p w14:paraId="320DF01F">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b/>
                <w:bCs/>
                <w:sz w:val="21"/>
                <w:szCs w:val="21"/>
                <w:highlight w:val="none"/>
                <w:lang w:val="en-US" w:eastAsia="zh-CN"/>
              </w:rPr>
            </w:pPr>
          </w:p>
          <w:p w14:paraId="222CBD61">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mc:AlternateContent>
                <mc:Choice Requires="wpsCustomData">
                  <wpsCustomData:diagonalParaType/>
                </mc:Choice>
              </mc:AlternateContent>
              <w:rPr>
                <w:rFonts w:hint="eastAsia"/>
                <w:b/>
                <w:bCs/>
                <w:sz w:val="21"/>
                <w:szCs w:val="21"/>
                <w:highlight w:val="none"/>
                <w:lang w:val="en-US" w:eastAsia="zh-CN"/>
              </w:rPr>
            </w:pPr>
            <w:r>
              <w:rPr>
                <w:rFonts w:hint="eastAsia"/>
                <w:b/>
                <w:bCs/>
                <w:sz w:val="21"/>
                <w:szCs w:val="21"/>
                <w:highlight w:val="none"/>
                <w:lang w:val="en-US" w:eastAsia="zh-CN"/>
              </w:rPr>
              <w:t>敏感程度</w:t>
            </w:r>
          </w:p>
          <w:p w14:paraId="76C5ED3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b/>
                <w:bCs/>
                <w:sz w:val="21"/>
                <w:szCs w:val="21"/>
                <w:highlight w:val="none"/>
                <w:lang w:val="en-US" w:eastAsia="zh-CN"/>
              </w:rPr>
            </w:pPr>
            <w:r>
              <w:rPr>
                <w:rFonts w:hint="eastAsia"/>
                <w:b/>
                <w:bCs/>
                <w:sz w:val="21"/>
                <w:szCs w:val="21"/>
                <w:highlight w:val="none"/>
                <w:lang w:val="en-US" w:eastAsia="zh-CN"/>
              </w:rPr>
              <w:t>占地规模</w:t>
            </w:r>
          </w:p>
        </w:tc>
        <w:tc>
          <w:tcPr>
            <w:tcW w:w="1190" w:type="pct"/>
            <w:gridSpan w:val="3"/>
            <w:tcBorders>
              <w:tl2br w:val="nil"/>
              <w:tr2bl w:val="nil"/>
            </w:tcBorders>
            <w:noWrap w:val="0"/>
            <w:tcMar>
              <w:left w:w="17" w:type="dxa"/>
              <w:right w:w="17" w:type="dxa"/>
            </w:tcMar>
            <w:vAlign w:val="center"/>
          </w:tcPr>
          <w:p w14:paraId="1B03D91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b/>
                <w:bCs/>
                <w:sz w:val="21"/>
                <w:szCs w:val="21"/>
                <w:highlight w:val="none"/>
                <w:lang w:val="en-US" w:eastAsia="zh-CN"/>
              </w:rPr>
            </w:pPr>
            <w:r>
              <w:rPr>
                <w:rFonts w:hint="eastAsia"/>
                <w:b/>
                <w:bCs/>
                <w:sz w:val="21"/>
                <w:szCs w:val="21"/>
                <w:highlight w:val="none"/>
                <w:lang w:val="en-US" w:eastAsia="zh-CN"/>
              </w:rPr>
              <w:t>I类项目</w:t>
            </w:r>
          </w:p>
        </w:tc>
        <w:tc>
          <w:tcPr>
            <w:tcW w:w="1187" w:type="pct"/>
            <w:gridSpan w:val="3"/>
            <w:tcBorders>
              <w:tl2br w:val="nil"/>
              <w:tr2bl w:val="nil"/>
            </w:tcBorders>
            <w:noWrap w:val="0"/>
            <w:tcMar>
              <w:left w:w="17" w:type="dxa"/>
              <w:right w:w="17" w:type="dxa"/>
            </w:tcMar>
            <w:vAlign w:val="center"/>
          </w:tcPr>
          <w:p w14:paraId="730B5B2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b/>
                <w:bCs/>
                <w:sz w:val="21"/>
                <w:szCs w:val="21"/>
                <w:highlight w:val="none"/>
                <w:lang w:val="en-US" w:eastAsia="zh-CN"/>
              </w:rPr>
            </w:pPr>
            <w:r>
              <w:rPr>
                <w:rFonts w:hint="eastAsia"/>
                <w:b/>
                <w:bCs/>
                <w:sz w:val="21"/>
                <w:szCs w:val="21"/>
                <w:highlight w:val="none"/>
                <w:lang w:val="en-US" w:eastAsia="zh-CN"/>
              </w:rPr>
              <w:t>II类项目</w:t>
            </w:r>
          </w:p>
        </w:tc>
        <w:tc>
          <w:tcPr>
            <w:tcW w:w="1201" w:type="pct"/>
            <w:gridSpan w:val="3"/>
            <w:tcBorders>
              <w:tl2br w:val="nil"/>
              <w:tr2bl w:val="nil"/>
            </w:tcBorders>
            <w:noWrap w:val="0"/>
            <w:tcMar>
              <w:left w:w="17" w:type="dxa"/>
              <w:right w:w="17" w:type="dxa"/>
            </w:tcMar>
            <w:vAlign w:val="center"/>
          </w:tcPr>
          <w:p w14:paraId="7CE73FC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b/>
                <w:bCs/>
                <w:sz w:val="21"/>
                <w:szCs w:val="21"/>
                <w:highlight w:val="none"/>
                <w:lang w:val="en-US" w:eastAsia="zh-CN"/>
              </w:rPr>
            </w:pPr>
            <w:r>
              <w:rPr>
                <w:rFonts w:hint="eastAsia"/>
                <w:b/>
                <w:bCs/>
                <w:sz w:val="21"/>
                <w:szCs w:val="21"/>
                <w:highlight w:val="none"/>
                <w:lang w:val="en-US" w:eastAsia="zh-CN"/>
              </w:rPr>
              <w:t>III类项目</w:t>
            </w:r>
          </w:p>
        </w:tc>
      </w:tr>
      <w:tr w14:paraId="5D033E4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420" w:type="pct"/>
            <w:vMerge w:val="continue"/>
            <w:tcBorders>
              <w:tl2br w:val="nil"/>
              <w:tr2bl w:val="nil"/>
            </w:tcBorders>
            <w:noWrap w:val="0"/>
            <w:tcMar>
              <w:left w:w="17" w:type="dxa"/>
              <w:right w:w="17" w:type="dxa"/>
            </w:tcMar>
            <w:vAlign w:val="center"/>
          </w:tcPr>
          <w:p w14:paraId="11EA245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b/>
                <w:bCs/>
                <w:sz w:val="21"/>
                <w:szCs w:val="21"/>
                <w:highlight w:val="none"/>
                <w:lang w:val="en-US" w:eastAsia="zh-CN"/>
              </w:rPr>
            </w:pPr>
          </w:p>
        </w:tc>
        <w:tc>
          <w:tcPr>
            <w:tcW w:w="395" w:type="pct"/>
            <w:tcBorders>
              <w:tl2br w:val="nil"/>
              <w:tr2bl w:val="nil"/>
            </w:tcBorders>
            <w:noWrap w:val="0"/>
            <w:tcMar>
              <w:left w:w="17" w:type="dxa"/>
              <w:right w:w="17" w:type="dxa"/>
            </w:tcMar>
            <w:vAlign w:val="center"/>
          </w:tcPr>
          <w:p w14:paraId="3D73859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b/>
                <w:bCs/>
                <w:sz w:val="21"/>
                <w:szCs w:val="21"/>
                <w:highlight w:val="none"/>
                <w:lang w:val="en-US" w:eastAsia="zh-CN"/>
              </w:rPr>
            </w:pPr>
            <w:r>
              <w:rPr>
                <w:rFonts w:hint="eastAsia"/>
                <w:b/>
                <w:bCs/>
                <w:sz w:val="21"/>
                <w:szCs w:val="21"/>
                <w:highlight w:val="none"/>
                <w:lang w:val="en-US" w:eastAsia="zh-CN"/>
              </w:rPr>
              <w:t>大</w:t>
            </w:r>
          </w:p>
        </w:tc>
        <w:tc>
          <w:tcPr>
            <w:tcW w:w="395" w:type="pct"/>
            <w:tcBorders>
              <w:tl2br w:val="nil"/>
              <w:tr2bl w:val="nil"/>
            </w:tcBorders>
            <w:noWrap w:val="0"/>
            <w:tcMar>
              <w:left w:w="17" w:type="dxa"/>
              <w:right w:w="17" w:type="dxa"/>
            </w:tcMar>
            <w:vAlign w:val="center"/>
          </w:tcPr>
          <w:p w14:paraId="2D88264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b/>
                <w:bCs/>
                <w:sz w:val="21"/>
                <w:szCs w:val="21"/>
                <w:highlight w:val="none"/>
                <w:lang w:val="en-US" w:eastAsia="zh-CN"/>
              </w:rPr>
            </w:pPr>
            <w:r>
              <w:rPr>
                <w:rFonts w:hint="eastAsia"/>
                <w:b/>
                <w:bCs/>
                <w:sz w:val="21"/>
                <w:szCs w:val="21"/>
                <w:highlight w:val="none"/>
                <w:lang w:val="en-US" w:eastAsia="zh-CN"/>
              </w:rPr>
              <w:t>中</w:t>
            </w:r>
          </w:p>
        </w:tc>
        <w:tc>
          <w:tcPr>
            <w:tcW w:w="399" w:type="pct"/>
            <w:tcBorders>
              <w:tl2br w:val="nil"/>
              <w:tr2bl w:val="nil"/>
            </w:tcBorders>
            <w:noWrap w:val="0"/>
            <w:tcMar>
              <w:left w:w="17" w:type="dxa"/>
              <w:right w:w="17" w:type="dxa"/>
            </w:tcMar>
            <w:vAlign w:val="center"/>
          </w:tcPr>
          <w:p w14:paraId="38D1F8A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b/>
                <w:bCs/>
                <w:sz w:val="21"/>
                <w:szCs w:val="21"/>
                <w:highlight w:val="none"/>
                <w:lang w:val="en-US" w:eastAsia="zh-CN"/>
              </w:rPr>
            </w:pPr>
            <w:r>
              <w:rPr>
                <w:rFonts w:hint="eastAsia"/>
                <w:b/>
                <w:bCs/>
                <w:sz w:val="21"/>
                <w:szCs w:val="21"/>
                <w:highlight w:val="none"/>
                <w:lang w:val="en-US" w:eastAsia="zh-CN"/>
              </w:rPr>
              <w:t>小</w:t>
            </w:r>
          </w:p>
        </w:tc>
        <w:tc>
          <w:tcPr>
            <w:tcW w:w="395" w:type="pct"/>
            <w:tcBorders>
              <w:tl2br w:val="nil"/>
              <w:tr2bl w:val="nil"/>
            </w:tcBorders>
            <w:noWrap w:val="0"/>
            <w:tcMar>
              <w:left w:w="17" w:type="dxa"/>
              <w:right w:w="17" w:type="dxa"/>
            </w:tcMar>
            <w:vAlign w:val="center"/>
          </w:tcPr>
          <w:p w14:paraId="77879C1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b/>
                <w:bCs/>
                <w:sz w:val="21"/>
                <w:szCs w:val="21"/>
                <w:highlight w:val="none"/>
                <w:lang w:val="en-US" w:eastAsia="zh-CN"/>
              </w:rPr>
            </w:pPr>
            <w:r>
              <w:rPr>
                <w:rFonts w:hint="eastAsia"/>
                <w:b/>
                <w:bCs/>
                <w:sz w:val="21"/>
                <w:szCs w:val="21"/>
                <w:highlight w:val="none"/>
                <w:lang w:val="en-US" w:eastAsia="zh-CN"/>
              </w:rPr>
              <w:t>大</w:t>
            </w:r>
          </w:p>
        </w:tc>
        <w:tc>
          <w:tcPr>
            <w:tcW w:w="395" w:type="pct"/>
            <w:tcBorders>
              <w:tl2br w:val="nil"/>
              <w:tr2bl w:val="nil"/>
            </w:tcBorders>
            <w:noWrap w:val="0"/>
            <w:vAlign w:val="center"/>
          </w:tcPr>
          <w:p w14:paraId="692DB2E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b/>
                <w:bCs/>
                <w:sz w:val="21"/>
                <w:szCs w:val="21"/>
                <w:highlight w:val="none"/>
                <w:lang w:val="en-US" w:eastAsia="zh-CN"/>
              </w:rPr>
            </w:pPr>
            <w:r>
              <w:rPr>
                <w:rFonts w:hint="eastAsia"/>
                <w:b/>
                <w:bCs/>
                <w:sz w:val="21"/>
                <w:szCs w:val="21"/>
                <w:highlight w:val="none"/>
                <w:lang w:val="en-US" w:eastAsia="zh-CN"/>
              </w:rPr>
              <w:t>中</w:t>
            </w:r>
          </w:p>
        </w:tc>
        <w:tc>
          <w:tcPr>
            <w:tcW w:w="396" w:type="pct"/>
            <w:tcBorders>
              <w:tl2br w:val="nil"/>
              <w:tr2bl w:val="nil"/>
            </w:tcBorders>
            <w:noWrap w:val="0"/>
            <w:vAlign w:val="center"/>
          </w:tcPr>
          <w:p w14:paraId="0082D28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b/>
                <w:bCs/>
                <w:sz w:val="21"/>
                <w:szCs w:val="21"/>
                <w:highlight w:val="none"/>
                <w:lang w:val="en-US" w:eastAsia="zh-CN"/>
              </w:rPr>
            </w:pPr>
            <w:r>
              <w:rPr>
                <w:rFonts w:hint="eastAsia"/>
                <w:b/>
                <w:bCs/>
                <w:sz w:val="21"/>
                <w:szCs w:val="21"/>
                <w:highlight w:val="none"/>
                <w:lang w:val="en-US" w:eastAsia="zh-CN"/>
              </w:rPr>
              <w:t>小</w:t>
            </w:r>
          </w:p>
        </w:tc>
        <w:tc>
          <w:tcPr>
            <w:tcW w:w="395" w:type="pct"/>
            <w:tcBorders>
              <w:tl2br w:val="nil"/>
              <w:tr2bl w:val="nil"/>
            </w:tcBorders>
            <w:noWrap w:val="0"/>
            <w:tcMar>
              <w:left w:w="17" w:type="dxa"/>
              <w:right w:w="17" w:type="dxa"/>
            </w:tcMar>
            <w:vAlign w:val="center"/>
          </w:tcPr>
          <w:p w14:paraId="730182F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b/>
                <w:bCs/>
                <w:sz w:val="21"/>
                <w:szCs w:val="21"/>
                <w:highlight w:val="none"/>
                <w:lang w:val="en-US" w:eastAsia="zh-CN"/>
              </w:rPr>
            </w:pPr>
            <w:r>
              <w:rPr>
                <w:rFonts w:hint="eastAsia"/>
                <w:b/>
                <w:bCs/>
                <w:sz w:val="21"/>
                <w:szCs w:val="21"/>
                <w:highlight w:val="none"/>
                <w:lang w:val="en-US" w:eastAsia="zh-CN"/>
              </w:rPr>
              <w:t>大</w:t>
            </w:r>
          </w:p>
        </w:tc>
        <w:tc>
          <w:tcPr>
            <w:tcW w:w="395" w:type="pct"/>
            <w:tcBorders>
              <w:tl2br w:val="nil"/>
              <w:tr2bl w:val="nil"/>
            </w:tcBorders>
            <w:noWrap w:val="0"/>
            <w:vAlign w:val="center"/>
          </w:tcPr>
          <w:p w14:paraId="423E03A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b/>
                <w:bCs/>
                <w:sz w:val="21"/>
                <w:szCs w:val="21"/>
                <w:highlight w:val="none"/>
                <w:lang w:val="en-US" w:eastAsia="zh-CN"/>
              </w:rPr>
            </w:pPr>
            <w:r>
              <w:rPr>
                <w:rFonts w:hint="eastAsia"/>
                <w:b/>
                <w:bCs/>
                <w:sz w:val="21"/>
                <w:szCs w:val="21"/>
                <w:highlight w:val="none"/>
                <w:lang w:val="en-US" w:eastAsia="zh-CN"/>
              </w:rPr>
              <w:t>中</w:t>
            </w:r>
          </w:p>
        </w:tc>
        <w:tc>
          <w:tcPr>
            <w:tcW w:w="409" w:type="pct"/>
            <w:tcBorders>
              <w:tl2br w:val="nil"/>
              <w:tr2bl w:val="nil"/>
            </w:tcBorders>
            <w:noWrap w:val="0"/>
            <w:vAlign w:val="center"/>
          </w:tcPr>
          <w:p w14:paraId="1ADDACB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b/>
                <w:bCs/>
                <w:sz w:val="21"/>
                <w:szCs w:val="21"/>
                <w:highlight w:val="none"/>
                <w:lang w:val="en-US" w:eastAsia="zh-CN"/>
              </w:rPr>
            </w:pPr>
            <w:r>
              <w:rPr>
                <w:rFonts w:hint="eastAsia"/>
                <w:b/>
                <w:bCs/>
                <w:sz w:val="21"/>
                <w:szCs w:val="21"/>
                <w:highlight w:val="none"/>
                <w:lang w:val="en-US" w:eastAsia="zh-CN"/>
              </w:rPr>
              <w:t>小</w:t>
            </w:r>
          </w:p>
        </w:tc>
      </w:tr>
      <w:tr w14:paraId="52BCBDD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420" w:type="pct"/>
            <w:tcBorders>
              <w:tl2br w:val="nil"/>
              <w:tr2bl w:val="nil"/>
            </w:tcBorders>
            <w:noWrap w:val="0"/>
            <w:tcMar>
              <w:left w:w="17" w:type="dxa"/>
              <w:right w:w="17" w:type="dxa"/>
            </w:tcMar>
            <w:vAlign w:val="center"/>
          </w:tcPr>
          <w:p w14:paraId="32A0A1F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敏感</w:t>
            </w:r>
          </w:p>
        </w:tc>
        <w:tc>
          <w:tcPr>
            <w:tcW w:w="395" w:type="pct"/>
            <w:tcBorders>
              <w:tl2br w:val="nil"/>
              <w:tr2bl w:val="nil"/>
            </w:tcBorders>
            <w:noWrap w:val="0"/>
            <w:tcMar>
              <w:left w:w="17" w:type="dxa"/>
              <w:right w:w="17" w:type="dxa"/>
            </w:tcMar>
            <w:vAlign w:val="center"/>
          </w:tcPr>
          <w:p w14:paraId="66AEF14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一级</w:t>
            </w:r>
          </w:p>
        </w:tc>
        <w:tc>
          <w:tcPr>
            <w:tcW w:w="395" w:type="pct"/>
            <w:tcBorders>
              <w:tl2br w:val="nil"/>
              <w:tr2bl w:val="nil"/>
            </w:tcBorders>
            <w:noWrap w:val="0"/>
            <w:tcMar>
              <w:left w:w="17" w:type="dxa"/>
              <w:right w:w="17" w:type="dxa"/>
            </w:tcMar>
            <w:vAlign w:val="center"/>
          </w:tcPr>
          <w:p w14:paraId="44FA97B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一级</w:t>
            </w:r>
          </w:p>
        </w:tc>
        <w:tc>
          <w:tcPr>
            <w:tcW w:w="399" w:type="pct"/>
            <w:tcBorders>
              <w:tl2br w:val="nil"/>
              <w:tr2bl w:val="nil"/>
            </w:tcBorders>
            <w:shd w:val="clear" w:color="auto" w:fill="auto"/>
            <w:noWrap w:val="0"/>
            <w:tcMar>
              <w:left w:w="17" w:type="dxa"/>
              <w:right w:w="17" w:type="dxa"/>
            </w:tcMar>
            <w:vAlign w:val="center"/>
          </w:tcPr>
          <w:p w14:paraId="5E55238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highlight w:val="none"/>
                <w:lang w:val="en-US" w:eastAsia="zh-CN"/>
              </w:rPr>
            </w:pPr>
            <w:r>
              <w:rPr>
                <w:rFonts w:hint="eastAsia"/>
                <w:color w:val="auto"/>
                <w:sz w:val="21"/>
                <w:szCs w:val="21"/>
                <w:highlight w:val="none"/>
                <w:lang w:val="en-US" w:eastAsia="zh-CN"/>
              </w:rPr>
              <w:t>一级</w:t>
            </w:r>
          </w:p>
        </w:tc>
        <w:tc>
          <w:tcPr>
            <w:tcW w:w="395" w:type="pct"/>
            <w:tcBorders>
              <w:tl2br w:val="nil"/>
              <w:tr2bl w:val="nil"/>
            </w:tcBorders>
            <w:noWrap w:val="0"/>
            <w:tcMar>
              <w:left w:w="17" w:type="dxa"/>
              <w:right w:w="17" w:type="dxa"/>
            </w:tcMar>
            <w:vAlign w:val="center"/>
          </w:tcPr>
          <w:p w14:paraId="4A855E8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二级</w:t>
            </w:r>
          </w:p>
        </w:tc>
        <w:tc>
          <w:tcPr>
            <w:tcW w:w="395" w:type="pct"/>
            <w:tcBorders>
              <w:tl2br w:val="nil"/>
              <w:tr2bl w:val="nil"/>
            </w:tcBorders>
            <w:noWrap w:val="0"/>
            <w:vAlign w:val="center"/>
          </w:tcPr>
          <w:p w14:paraId="6594F84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二级</w:t>
            </w:r>
          </w:p>
        </w:tc>
        <w:tc>
          <w:tcPr>
            <w:tcW w:w="396" w:type="pct"/>
            <w:tcBorders>
              <w:tl2br w:val="nil"/>
              <w:tr2bl w:val="nil"/>
            </w:tcBorders>
            <w:shd w:val="clear" w:color="auto" w:fill="auto"/>
            <w:noWrap w:val="0"/>
            <w:vAlign w:val="center"/>
          </w:tcPr>
          <w:p w14:paraId="3486352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二级</w:t>
            </w:r>
          </w:p>
        </w:tc>
        <w:tc>
          <w:tcPr>
            <w:tcW w:w="395" w:type="pct"/>
            <w:tcBorders>
              <w:tl2br w:val="nil"/>
              <w:tr2bl w:val="nil"/>
            </w:tcBorders>
            <w:noWrap w:val="0"/>
            <w:tcMar>
              <w:left w:w="17" w:type="dxa"/>
              <w:right w:w="17" w:type="dxa"/>
            </w:tcMar>
            <w:vAlign w:val="center"/>
          </w:tcPr>
          <w:p w14:paraId="19B67C6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三级</w:t>
            </w:r>
          </w:p>
        </w:tc>
        <w:tc>
          <w:tcPr>
            <w:tcW w:w="395" w:type="pct"/>
            <w:tcBorders>
              <w:tl2br w:val="nil"/>
              <w:tr2bl w:val="nil"/>
            </w:tcBorders>
            <w:noWrap w:val="0"/>
            <w:vAlign w:val="center"/>
          </w:tcPr>
          <w:p w14:paraId="542E324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三级</w:t>
            </w:r>
          </w:p>
        </w:tc>
        <w:tc>
          <w:tcPr>
            <w:tcW w:w="409" w:type="pct"/>
            <w:tcBorders>
              <w:tl2br w:val="nil"/>
              <w:tr2bl w:val="nil"/>
            </w:tcBorders>
            <w:noWrap w:val="0"/>
            <w:vAlign w:val="center"/>
          </w:tcPr>
          <w:p w14:paraId="09C7184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三级</w:t>
            </w:r>
          </w:p>
        </w:tc>
      </w:tr>
      <w:tr w14:paraId="282E977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420" w:type="pct"/>
            <w:tcBorders>
              <w:tl2br w:val="nil"/>
              <w:tr2bl w:val="nil"/>
            </w:tcBorders>
            <w:noWrap w:val="0"/>
            <w:tcMar>
              <w:left w:w="17" w:type="dxa"/>
              <w:right w:w="17" w:type="dxa"/>
            </w:tcMar>
            <w:vAlign w:val="center"/>
          </w:tcPr>
          <w:p w14:paraId="5B6D692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较敏感</w:t>
            </w:r>
          </w:p>
        </w:tc>
        <w:tc>
          <w:tcPr>
            <w:tcW w:w="395" w:type="pct"/>
            <w:tcBorders>
              <w:tl2br w:val="nil"/>
              <w:tr2bl w:val="nil"/>
            </w:tcBorders>
            <w:noWrap w:val="0"/>
            <w:tcMar>
              <w:left w:w="17" w:type="dxa"/>
              <w:right w:w="17" w:type="dxa"/>
            </w:tcMar>
            <w:vAlign w:val="center"/>
          </w:tcPr>
          <w:p w14:paraId="734A18C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一级</w:t>
            </w:r>
          </w:p>
        </w:tc>
        <w:tc>
          <w:tcPr>
            <w:tcW w:w="395" w:type="pct"/>
            <w:tcBorders>
              <w:tl2br w:val="nil"/>
              <w:tr2bl w:val="nil"/>
            </w:tcBorders>
            <w:noWrap w:val="0"/>
            <w:tcMar>
              <w:left w:w="17" w:type="dxa"/>
              <w:right w:w="17" w:type="dxa"/>
            </w:tcMar>
            <w:vAlign w:val="center"/>
          </w:tcPr>
          <w:p w14:paraId="27E3CBE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一级</w:t>
            </w:r>
          </w:p>
        </w:tc>
        <w:tc>
          <w:tcPr>
            <w:tcW w:w="399" w:type="pct"/>
            <w:tcBorders>
              <w:tl2br w:val="nil"/>
              <w:tr2bl w:val="nil"/>
            </w:tcBorders>
            <w:noWrap w:val="0"/>
            <w:tcMar>
              <w:left w:w="17" w:type="dxa"/>
              <w:right w:w="17" w:type="dxa"/>
            </w:tcMar>
            <w:vAlign w:val="center"/>
          </w:tcPr>
          <w:p w14:paraId="67841C2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二级</w:t>
            </w:r>
          </w:p>
        </w:tc>
        <w:tc>
          <w:tcPr>
            <w:tcW w:w="395" w:type="pct"/>
            <w:tcBorders>
              <w:tl2br w:val="nil"/>
              <w:tr2bl w:val="nil"/>
            </w:tcBorders>
            <w:noWrap w:val="0"/>
            <w:tcMar>
              <w:left w:w="17" w:type="dxa"/>
              <w:right w:w="17" w:type="dxa"/>
            </w:tcMar>
            <w:vAlign w:val="center"/>
          </w:tcPr>
          <w:p w14:paraId="6CEDD47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二级</w:t>
            </w:r>
          </w:p>
        </w:tc>
        <w:tc>
          <w:tcPr>
            <w:tcW w:w="395" w:type="pct"/>
            <w:tcBorders>
              <w:tl2br w:val="nil"/>
              <w:tr2bl w:val="nil"/>
            </w:tcBorders>
            <w:noWrap w:val="0"/>
            <w:vAlign w:val="center"/>
          </w:tcPr>
          <w:p w14:paraId="2D2AB25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二级</w:t>
            </w:r>
          </w:p>
        </w:tc>
        <w:tc>
          <w:tcPr>
            <w:tcW w:w="396" w:type="pct"/>
            <w:tcBorders>
              <w:tl2br w:val="nil"/>
              <w:tr2bl w:val="nil"/>
            </w:tcBorders>
            <w:noWrap w:val="0"/>
            <w:vAlign w:val="center"/>
          </w:tcPr>
          <w:p w14:paraId="01DE25E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三级</w:t>
            </w:r>
          </w:p>
        </w:tc>
        <w:tc>
          <w:tcPr>
            <w:tcW w:w="395" w:type="pct"/>
            <w:tcBorders>
              <w:tl2br w:val="nil"/>
              <w:tr2bl w:val="nil"/>
            </w:tcBorders>
            <w:noWrap w:val="0"/>
            <w:tcMar>
              <w:left w:w="17" w:type="dxa"/>
              <w:right w:w="17" w:type="dxa"/>
            </w:tcMar>
            <w:vAlign w:val="center"/>
          </w:tcPr>
          <w:p w14:paraId="062FE13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三级</w:t>
            </w:r>
          </w:p>
        </w:tc>
        <w:tc>
          <w:tcPr>
            <w:tcW w:w="395" w:type="pct"/>
            <w:tcBorders>
              <w:tl2br w:val="nil"/>
              <w:tr2bl w:val="nil"/>
            </w:tcBorders>
            <w:noWrap w:val="0"/>
            <w:vAlign w:val="center"/>
          </w:tcPr>
          <w:p w14:paraId="10C3B3A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三级</w:t>
            </w:r>
          </w:p>
        </w:tc>
        <w:tc>
          <w:tcPr>
            <w:tcW w:w="409" w:type="pct"/>
            <w:tcBorders>
              <w:tl2br w:val="nil"/>
              <w:tr2bl w:val="nil"/>
            </w:tcBorders>
            <w:noWrap w:val="0"/>
            <w:vAlign w:val="center"/>
          </w:tcPr>
          <w:p w14:paraId="0ADA4AF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w:t>
            </w:r>
          </w:p>
        </w:tc>
      </w:tr>
      <w:tr w14:paraId="048EAAA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420" w:type="pct"/>
            <w:tcBorders>
              <w:tl2br w:val="nil"/>
              <w:tr2bl w:val="nil"/>
            </w:tcBorders>
            <w:shd w:val="clear" w:color="auto" w:fill="auto"/>
            <w:noWrap w:val="0"/>
            <w:tcMar>
              <w:left w:w="17" w:type="dxa"/>
              <w:right w:w="17" w:type="dxa"/>
            </w:tcMar>
            <w:vAlign w:val="center"/>
          </w:tcPr>
          <w:p w14:paraId="2F53ABC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不敏感</w:t>
            </w:r>
          </w:p>
        </w:tc>
        <w:tc>
          <w:tcPr>
            <w:tcW w:w="395" w:type="pct"/>
            <w:tcBorders>
              <w:tl2br w:val="nil"/>
              <w:tr2bl w:val="nil"/>
            </w:tcBorders>
            <w:shd w:val="clear" w:color="auto" w:fill="auto"/>
            <w:noWrap w:val="0"/>
            <w:tcMar>
              <w:left w:w="17" w:type="dxa"/>
              <w:right w:w="17" w:type="dxa"/>
            </w:tcMar>
            <w:vAlign w:val="center"/>
          </w:tcPr>
          <w:p w14:paraId="3826734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一级</w:t>
            </w:r>
          </w:p>
        </w:tc>
        <w:tc>
          <w:tcPr>
            <w:tcW w:w="395" w:type="pct"/>
            <w:tcBorders>
              <w:tl2br w:val="nil"/>
              <w:tr2bl w:val="nil"/>
            </w:tcBorders>
            <w:shd w:val="clear" w:color="auto" w:fill="auto"/>
            <w:noWrap w:val="0"/>
            <w:tcMar>
              <w:left w:w="17" w:type="dxa"/>
              <w:right w:w="17" w:type="dxa"/>
            </w:tcMar>
            <w:vAlign w:val="center"/>
          </w:tcPr>
          <w:p w14:paraId="51D629A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二级</w:t>
            </w:r>
          </w:p>
        </w:tc>
        <w:tc>
          <w:tcPr>
            <w:tcW w:w="399" w:type="pct"/>
            <w:tcBorders>
              <w:tl2br w:val="nil"/>
              <w:tr2bl w:val="nil"/>
            </w:tcBorders>
            <w:shd w:val="clear" w:color="auto" w:fill="auto"/>
            <w:noWrap w:val="0"/>
            <w:tcMar>
              <w:left w:w="17" w:type="dxa"/>
              <w:right w:w="17" w:type="dxa"/>
            </w:tcMar>
            <w:vAlign w:val="center"/>
          </w:tcPr>
          <w:p w14:paraId="29500F0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二级</w:t>
            </w:r>
          </w:p>
        </w:tc>
        <w:tc>
          <w:tcPr>
            <w:tcW w:w="395" w:type="pct"/>
            <w:tcBorders>
              <w:tl2br w:val="nil"/>
              <w:tr2bl w:val="nil"/>
            </w:tcBorders>
            <w:shd w:val="clear" w:color="auto" w:fill="auto"/>
            <w:noWrap w:val="0"/>
            <w:tcMar>
              <w:left w:w="17" w:type="dxa"/>
              <w:right w:w="17" w:type="dxa"/>
            </w:tcMar>
            <w:vAlign w:val="center"/>
          </w:tcPr>
          <w:p w14:paraId="3094379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二级</w:t>
            </w:r>
          </w:p>
        </w:tc>
        <w:tc>
          <w:tcPr>
            <w:tcW w:w="395" w:type="pct"/>
            <w:tcBorders>
              <w:tl2br w:val="nil"/>
              <w:tr2bl w:val="nil"/>
            </w:tcBorders>
            <w:noWrap w:val="0"/>
            <w:vAlign w:val="center"/>
          </w:tcPr>
          <w:p w14:paraId="099377B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三级</w:t>
            </w:r>
          </w:p>
        </w:tc>
        <w:tc>
          <w:tcPr>
            <w:tcW w:w="396" w:type="pct"/>
            <w:tcBorders>
              <w:tl2br w:val="nil"/>
              <w:tr2bl w:val="nil"/>
            </w:tcBorders>
            <w:noWrap w:val="0"/>
            <w:vAlign w:val="center"/>
          </w:tcPr>
          <w:p w14:paraId="19ADBDD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三级</w:t>
            </w:r>
          </w:p>
        </w:tc>
        <w:tc>
          <w:tcPr>
            <w:tcW w:w="395" w:type="pct"/>
            <w:tcBorders>
              <w:tl2br w:val="nil"/>
              <w:tr2bl w:val="nil"/>
            </w:tcBorders>
            <w:noWrap w:val="0"/>
            <w:tcMar>
              <w:left w:w="17" w:type="dxa"/>
              <w:right w:w="17" w:type="dxa"/>
            </w:tcMar>
            <w:vAlign w:val="center"/>
          </w:tcPr>
          <w:p w14:paraId="02CF458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三级</w:t>
            </w:r>
          </w:p>
        </w:tc>
        <w:tc>
          <w:tcPr>
            <w:tcW w:w="395" w:type="pct"/>
            <w:tcBorders>
              <w:tl2br w:val="nil"/>
              <w:tr2bl w:val="nil"/>
            </w:tcBorders>
            <w:noWrap w:val="0"/>
            <w:vAlign w:val="center"/>
          </w:tcPr>
          <w:p w14:paraId="599DBBD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w:t>
            </w:r>
          </w:p>
        </w:tc>
        <w:tc>
          <w:tcPr>
            <w:tcW w:w="409" w:type="pct"/>
            <w:tcBorders>
              <w:tl2br w:val="nil"/>
              <w:tr2bl w:val="nil"/>
            </w:tcBorders>
            <w:noWrap w:val="0"/>
            <w:vAlign w:val="center"/>
          </w:tcPr>
          <w:p w14:paraId="3FF88B9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w:t>
            </w:r>
          </w:p>
        </w:tc>
      </w:tr>
      <w:tr w14:paraId="51FCBFC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000" w:type="pct"/>
            <w:gridSpan w:val="10"/>
            <w:tcBorders>
              <w:tl2br w:val="nil"/>
              <w:tr2bl w:val="nil"/>
            </w:tcBorders>
            <w:noWrap w:val="0"/>
            <w:tcMar>
              <w:left w:w="17" w:type="dxa"/>
              <w:right w:w="17" w:type="dxa"/>
            </w:tcMar>
            <w:vAlign w:val="center"/>
          </w:tcPr>
          <w:p w14:paraId="66CAC4D4">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sz w:val="21"/>
                <w:szCs w:val="21"/>
                <w:highlight w:val="none"/>
                <w:lang w:val="en-US" w:eastAsia="zh-CN"/>
              </w:rPr>
            </w:pPr>
            <w:r>
              <w:rPr>
                <w:rFonts w:hint="eastAsia"/>
                <w:sz w:val="21"/>
                <w:szCs w:val="21"/>
                <w:highlight w:val="none"/>
                <w:lang w:val="en-US" w:eastAsia="zh-CN"/>
              </w:rPr>
              <w:t>注：“-”表示可不开展土壤环境影响评价工作</w:t>
            </w:r>
          </w:p>
        </w:tc>
      </w:tr>
      <w:tr w14:paraId="7643E9D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000" w:type="pct"/>
            <w:gridSpan w:val="10"/>
            <w:tcBorders>
              <w:tl2br w:val="nil"/>
              <w:tr2bl w:val="nil"/>
            </w:tcBorders>
            <w:noWrap w:val="0"/>
            <w:tcMar>
              <w:left w:w="17" w:type="dxa"/>
              <w:right w:w="17" w:type="dxa"/>
            </w:tcMar>
            <w:vAlign w:val="center"/>
          </w:tcPr>
          <w:p w14:paraId="2D5FA926">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将建设项目占地规模分为大型（≥50hm</w:t>
            </w:r>
            <w:r>
              <w:rPr>
                <w:rFonts w:hint="default" w:ascii="Times New Roman" w:hAnsi="Times New Roman" w:cs="Times New Roman"/>
                <w:sz w:val="21"/>
                <w:szCs w:val="21"/>
                <w:highlight w:val="none"/>
                <w:vertAlign w:val="superscript"/>
                <w:lang w:val="en-US" w:eastAsia="zh-CN"/>
              </w:rPr>
              <w:t>2</w:t>
            </w:r>
            <w:r>
              <w:rPr>
                <w:rFonts w:hint="default" w:ascii="Times New Roman" w:hAnsi="Times New Roman" w:cs="Times New Roman"/>
                <w:sz w:val="21"/>
                <w:szCs w:val="21"/>
                <w:highlight w:val="none"/>
                <w:lang w:val="en-US" w:eastAsia="zh-CN"/>
              </w:rPr>
              <w:t>）、中型（5~50hm</w:t>
            </w:r>
            <w:r>
              <w:rPr>
                <w:rFonts w:hint="default" w:ascii="Times New Roman" w:hAnsi="Times New Roman" w:cs="Times New Roman"/>
                <w:sz w:val="21"/>
                <w:szCs w:val="21"/>
                <w:highlight w:val="none"/>
                <w:vertAlign w:val="superscript"/>
                <w:lang w:val="en-US" w:eastAsia="zh-CN"/>
              </w:rPr>
              <w:t>2</w:t>
            </w:r>
            <w:r>
              <w:rPr>
                <w:rFonts w:hint="default" w:ascii="Times New Roman" w:hAnsi="Times New Roman" w:cs="Times New Roman"/>
                <w:sz w:val="21"/>
                <w:szCs w:val="21"/>
                <w:highlight w:val="none"/>
                <w:lang w:val="en-US" w:eastAsia="zh-CN"/>
              </w:rPr>
              <w:t>）、小型（≤5hm</w:t>
            </w:r>
            <w:r>
              <w:rPr>
                <w:rFonts w:hint="default" w:ascii="Times New Roman" w:hAnsi="Times New Roman" w:cs="Times New Roman"/>
                <w:sz w:val="21"/>
                <w:szCs w:val="21"/>
                <w:highlight w:val="none"/>
                <w:vertAlign w:val="superscript"/>
                <w:lang w:val="en-US" w:eastAsia="zh-CN"/>
              </w:rPr>
              <w:t>2</w:t>
            </w:r>
            <w:r>
              <w:rPr>
                <w:rFonts w:hint="default" w:ascii="Times New Roman" w:hAnsi="Times New Roman" w:cs="Times New Roman"/>
                <w:sz w:val="21"/>
                <w:szCs w:val="21"/>
                <w:highlight w:val="none"/>
                <w:lang w:val="en-US" w:eastAsia="zh-CN"/>
              </w:rPr>
              <w:t>），建设项目占地主要为永久占地。</w:t>
            </w:r>
          </w:p>
        </w:tc>
      </w:tr>
    </w:tbl>
    <w:p w14:paraId="256F4501">
      <w:pPr>
        <w:bidi w:val="0"/>
        <w:rPr>
          <w:rFonts w:hint="eastAsia"/>
          <w:highlight w:val="yellow"/>
          <w:lang w:val="en-US" w:eastAsia="zh-CN"/>
        </w:rPr>
      </w:pPr>
      <w:r>
        <w:rPr>
          <w:rFonts w:hint="eastAsia"/>
          <w:highlight w:val="none"/>
          <w:lang w:val="en-US" w:eastAsia="zh-CN"/>
        </w:rPr>
        <w:t>本项目填埋场永久占地面积为7805m</w:t>
      </w:r>
      <w:r>
        <w:rPr>
          <w:rFonts w:hint="eastAsia"/>
          <w:highlight w:val="none"/>
          <w:vertAlign w:val="superscript"/>
          <w:lang w:val="en-US" w:eastAsia="zh-CN"/>
        </w:rPr>
        <w:t>2</w:t>
      </w:r>
      <w:r>
        <w:rPr>
          <w:rFonts w:hint="eastAsia"/>
          <w:highlight w:val="none"/>
          <w:lang w:val="en-US" w:eastAsia="zh-CN"/>
        </w:rPr>
        <w:t>，属于小型（</w:t>
      </w:r>
      <w:r>
        <w:rPr>
          <w:rFonts w:hint="default" w:ascii="Times New Roman" w:hAnsi="Times New Roman" w:cs="Times New Roman"/>
          <w:highlight w:val="none"/>
          <w:lang w:val="en-US" w:eastAsia="zh-CN"/>
        </w:rPr>
        <w:t>≤</w:t>
      </w:r>
      <w:r>
        <w:rPr>
          <w:rFonts w:hint="eastAsia"/>
          <w:highlight w:val="none"/>
          <w:lang w:val="en-US" w:eastAsia="zh-CN"/>
        </w:rPr>
        <w:t>5hm</w:t>
      </w:r>
      <w:r>
        <w:rPr>
          <w:rFonts w:hint="eastAsia"/>
          <w:highlight w:val="none"/>
          <w:vertAlign w:val="superscript"/>
          <w:lang w:val="en-US" w:eastAsia="zh-CN"/>
        </w:rPr>
        <w:t>2</w:t>
      </w:r>
      <w:r>
        <w:rPr>
          <w:rFonts w:hint="eastAsia"/>
          <w:highlight w:val="none"/>
          <w:lang w:val="en-US" w:eastAsia="zh-CN"/>
        </w:rPr>
        <w:t>），且项目属于《环境影响评价技术导则  土壤环境（试行）》（HJ964-2018）附录A中的</w:t>
      </w:r>
      <w:r>
        <w:rPr>
          <w:rFonts w:hint="default" w:ascii="Times New Roman" w:hAnsi="Times New Roman" w:eastAsia="宋体" w:cs="Times New Roman"/>
          <w:highlight w:val="none"/>
          <w:lang w:val="en-US" w:eastAsia="zh-CN"/>
        </w:rPr>
        <w:t>Ⅱ</w:t>
      </w:r>
      <w:r>
        <w:rPr>
          <w:rFonts w:hint="eastAsia"/>
          <w:highlight w:val="none"/>
          <w:lang w:val="en-US" w:eastAsia="zh-CN"/>
        </w:rPr>
        <w:t>类项目，建设项目周边存在耕地，土壤环境敏感程度为敏感，土壤环境评价工作等级为二级。</w:t>
      </w:r>
    </w:p>
    <w:p w14:paraId="55C1C840">
      <w:pPr>
        <w:pStyle w:val="10"/>
        <w:numPr>
          <w:ilvl w:val="3"/>
          <w:numId w:val="1"/>
        </w:numPr>
        <w:bidi w:val="0"/>
        <w:ind w:left="850" w:leftChars="0" w:hanging="850" w:firstLineChars="0"/>
        <w:rPr>
          <w:rFonts w:hint="eastAsia"/>
          <w:highlight w:val="none"/>
          <w:lang w:val="en-US" w:eastAsia="zh-CN"/>
        </w:rPr>
      </w:pPr>
      <w:bookmarkStart w:id="28" w:name="_Toc14805"/>
      <w:r>
        <w:rPr>
          <w:rFonts w:hint="eastAsia"/>
          <w:highlight w:val="none"/>
          <w:lang w:val="en-US" w:eastAsia="zh-CN"/>
        </w:rPr>
        <w:t>生态环境</w:t>
      </w:r>
      <w:bookmarkEnd w:id="28"/>
      <w:r>
        <w:rPr>
          <w:rFonts w:hint="eastAsia"/>
          <w:highlight w:val="none"/>
          <w:lang w:val="en-US" w:eastAsia="zh-CN"/>
        </w:rPr>
        <w:t>影响评价工作等级</w:t>
      </w:r>
    </w:p>
    <w:p w14:paraId="323D260B">
      <w:pPr>
        <w:bidi w:val="0"/>
        <w:rPr>
          <w:rFonts w:hint="eastAsia"/>
          <w:highlight w:val="none"/>
        </w:rPr>
      </w:pPr>
      <w:r>
        <w:rPr>
          <w:rFonts w:hint="eastAsia"/>
          <w:highlight w:val="none"/>
        </w:rPr>
        <w:t>根据《环境影响评价技术导则  生态影响》（HJ19-2022）中关于生态环境评价工作等级判定：</w:t>
      </w:r>
    </w:p>
    <w:p w14:paraId="69B53002">
      <w:pPr>
        <w:bidi w:val="0"/>
        <w:rPr>
          <w:rFonts w:hint="eastAsia"/>
          <w:highlight w:val="none"/>
        </w:rPr>
      </w:pPr>
      <w:r>
        <w:rPr>
          <w:rFonts w:hint="eastAsia"/>
          <w:highlight w:val="none"/>
        </w:rPr>
        <w:t>a）涉及国家公园、自然保护区、世界自然遗产、重要生境时，评价等级为一级；</w:t>
      </w:r>
    </w:p>
    <w:p w14:paraId="4E9968A3">
      <w:pPr>
        <w:bidi w:val="0"/>
        <w:rPr>
          <w:rFonts w:hint="eastAsia"/>
          <w:highlight w:val="none"/>
        </w:rPr>
      </w:pPr>
      <w:r>
        <w:rPr>
          <w:rFonts w:hint="eastAsia"/>
          <w:highlight w:val="none"/>
        </w:rPr>
        <w:t>b）涉及自然公园时，评价等级为二级；</w:t>
      </w:r>
    </w:p>
    <w:p w14:paraId="7A43B28C">
      <w:pPr>
        <w:bidi w:val="0"/>
        <w:rPr>
          <w:rFonts w:hint="eastAsia"/>
          <w:highlight w:val="none"/>
        </w:rPr>
      </w:pPr>
      <w:r>
        <w:rPr>
          <w:rFonts w:hint="eastAsia"/>
          <w:highlight w:val="none"/>
        </w:rPr>
        <w:t>c）涉及生态保护红线时，评价等级不低于二级；</w:t>
      </w:r>
    </w:p>
    <w:p w14:paraId="668E03F7">
      <w:pPr>
        <w:bidi w:val="0"/>
        <w:rPr>
          <w:rFonts w:hint="eastAsia"/>
          <w:highlight w:val="none"/>
        </w:rPr>
      </w:pPr>
      <w:r>
        <w:rPr>
          <w:rFonts w:hint="eastAsia"/>
          <w:highlight w:val="none"/>
        </w:rPr>
        <w:t>d）根据HJ2.3判断属于水文要素影响型且地表水评价等级不低于二级的建设项目，生态影响评价等级不低于二级；</w:t>
      </w:r>
    </w:p>
    <w:p w14:paraId="53F64A34">
      <w:pPr>
        <w:bidi w:val="0"/>
        <w:rPr>
          <w:rFonts w:hint="eastAsia"/>
          <w:highlight w:val="none"/>
        </w:rPr>
      </w:pPr>
      <w:r>
        <w:rPr>
          <w:rFonts w:hint="eastAsia"/>
          <w:highlight w:val="none"/>
        </w:rPr>
        <w:t>e）根据HJ610、HJ964判断地下水水位或土壤影响范围内分布有天然林、公益林、湿地等生态保护目标的建设项目，生态影响评价等级不低于二级；</w:t>
      </w:r>
    </w:p>
    <w:p w14:paraId="737BE837">
      <w:pPr>
        <w:bidi w:val="0"/>
        <w:rPr>
          <w:rFonts w:hint="eastAsia"/>
          <w:highlight w:val="none"/>
        </w:rPr>
      </w:pPr>
      <w:r>
        <w:rPr>
          <w:rFonts w:hint="eastAsia"/>
          <w:highlight w:val="none"/>
        </w:rPr>
        <w:t>f）当工程占地规模大于20km</w:t>
      </w:r>
      <w:r>
        <w:rPr>
          <w:rFonts w:hint="eastAsia"/>
          <w:highlight w:val="none"/>
          <w:vertAlign w:val="superscript"/>
        </w:rPr>
        <w:t>2</w:t>
      </w:r>
      <w:r>
        <w:rPr>
          <w:rFonts w:hint="eastAsia"/>
          <w:highlight w:val="none"/>
        </w:rPr>
        <w:t>时（包括永久和临时占用陆域和水域），评价等级不低于二级；改扩建项目的占地范围以新增占地（包括陆域和水域）确定；</w:t>
      </w:r>
    </w:p>
    <w:p w14:paraId="0AC1246D">
      <w:pPr>
        <w:bidi w:val="0"/>
        <w:rPr>
          <w:rFonts w:hint="eastAsia"/>
          <w:highlight w:val="none"/>
        </w:rPr>
      </w:pPr>
      <w:r>
        <w:rPr>
          <w:rFonts w:hint="eastAsia"/>
          <w:highlight w:val="none"/>
        </w:rPr>
        <w:t>g）除本条a）、b）、c）、d）、e）、f）以外的情况，评价等级为三级；</w:t>
      </w:r>
    </w:p>
    <w:p w14:paraId="3BFF7B66">
      <w:pPr>
        <w:bidi w:val="0"/>
        <w:rPr>
          <w:rFonts w:hint="eastAsia"/>
          <w:highlight w:val="yellow"/>
        </w:rPr>
      </w:pPr>
      <w:r>
        <w:rPr>
          <w:rFonts w:hint="eastAsia"/>
          <w:highlight w:val="none"/>
        </w:rPr>
        <w:t>h）当评价等级判定同时符合上述多种情况时，应采用其中最高的评价等级。</w:t>
      </w:r>
    </w:p>
    <w:p w14:paraId="0A3A6E66">
      <w:pPr>
        <w:bidi w:val="0"/>
        <w:rPr>
          <w:rFonts w:hint="eastAsia"/>
          <w:highlight w:val="none"/>
        </w:rPr>
      </w:pPr>
      <w:r>
        <w:rPr>
          <w:rFonts w:hint="eastAsia"/>
          <w:highlight w:val="none"/>
        </w:rPr>
        <w:t>本项目属于环保治理项目，通过治理完成，封场绿化后，对当地产生有利的生态影响，项目产生的不利生态影响主要发生在施工期。本工程占地面积为</w:t>
      </w:r>
      <w:r>
        <w:rPr>
          <w:rFonts w:hint="eastAsia"/>
          <w:highlight w:val="none"/>
          <w:lang w:val="en-US" w:eastAsia="zh-CN"/>
        </w:rPr>
        <w:t>25814</w:t>
      </w:r>
      <w:r>
        <w:rPr>
          <w:rFonts w:hint="eastAsia"/>
          <w:highlight w:val="none"/>
        </w:rPr>
        <w:t>m</w:t>
      </w:r>
      <w:r>
        <w:rPr>
          <w:rFonts w:hint="eastAsia"/>
          <w:highlight w:val="none"/>
          <w:vertAlign w:val="superscript"/>
        </w:rPr>
        <w:t>2</w:t>
      </w:r>
      <w:r>
        <w:rPr>
          <w:rFonts w:hint="eastAsia"/>
          <w:highlight w:val="none"/>
        </w:rPr>
        <w:t>（废渣治理区</w:t>
      </w:r>
      <w:r>
        <w:rPr>
          <w:rFonts w:hint="eastAsia"/>
          <w:highlight w:val="none"/>
          <w:lang w:val="en-US" w:eastAsia="zh-CN"/>
        </w:rPr>
        <w:t>9010m</w:t>
      </w:r>
      <w:r>
        <w:rPr>
          <w:rFonts w:hint="eastAsia"/>
          <w:highlight w:val="none"/>
          <w:vertAlign w:val="superscript"/>
          <w:lang w:val="en-US" w:eastAsia="zh-CN"/>
        </w:rPr>
        <w:t>2</w:t>
      </w:r>
      <w:r>
        <w:rPr>
          <w:rFonts w:hint="eastAsia"/>
          <w:highlight w:val="none"/>
          <w:lang w:val="en-US" w:eastAsia="zh-CN"/>
        </w:rPr>
        <w:t>、</w:t>
      </w:r>
      <w:r>
        <w:rPr>
          <w:rFonts w:hint="eastAsia"/>
          <w:highlight w:val="none"/>
        </w:rPr>
        <w:t>废渣填埋场</w:t>
      </w:r>
      <w:r>
        <w:rPr>
          <w:rFonts w:hint="eastAsia"/>
          <w:highlight w:val="none"/>
          <w:lang w:val="en-US" w:eastAsia="zh-CN"/>
        </w:rPr>
        <w:t>7805</w:t>
      </w:r>
      <w:r>
        <w:rPr>
          <w:rFonts w:hint="eastAsia"/>
          <w:highlight w:val="none"/>
        </w:rPr>
        <w:t>m</w:t>
      </w:r>
      <w:r>
        <w:rPr>
          <w:rFonts w:hint="eastAsia"/>
          <w:highlight w:val="none"/>
          <w:vertAlign w:val="superscript"/>
        </w:rPr>
        <w:t>2</w:t>
      </w:r>
      <w:r>
        <w:rPr>
          <w:rFonts w:hint="eastAsia"/>
          <w:highlight w:val="none"/>
        </w:rPr>
        <w:t>、取土场</w:t>
      </w:r>
      <w:r>
        <w:rPr>
          <w:rFonts w:hint="eastAsia"/>
          <w:highlight w:val="none"/>
          <w:lang w:val="en-US" w:eastAsia="zh-CN"/>
        </w:rPr>
        <w:t>3668</w:t>
      </w:r>
      <w:r>
        <w:rPr>
          <w:rFonts w:hint="eastAsia"/>
          <w:highlight w:val="none"/>
        </w:rPr>
        <w:t>m</w:t>
      </w:r>
      <w:r>
        <w:rPr>
          <w:rFonts w:hint="eastAsia"/>
          <w:highlight w:val="none"/>
          <w:vertAlign w:val="superscript"/>
        </w:rPr>
        <w:t>2</w:t>
      </w:r>
      <w:r>
        <w:rPr>
          <w:rFonts w:hint="eastAsia"/>
          <w:highlight w:val="none"/>
          <w:vertAlign w:val="baseline"/>
          <w:lang w:eastAsia="zh-CN"/>
        </w:rPr>
        <w:t>、</w:t>
      </w:r>
      <w:r>
        <w:rPr>
          <w:rFonts w:hint="eastAsia"/>
          <w:highlight w:val="none"/>
          <w:vertAlign w:val="baseline"/>
          <w:lang w:val="en-US" w:eastAsia="zh-CN"/>
        </w:rPr>
        <w:t>临时道路5331m</w:t>
      </w:r>
      <w:r>
        <w:rPr>
          <w:rFonts w:hint="eastAsia"/>
          <w:highlight w:val="none"/>
          <w:vertAlign w:val="superscript"/>
          <w:lang w:val="en-US" w:eastAsia="zh-CN"/>
        </w:rPr>
        <w:t>2</w:t>
      </w:r>
      <w:r>
        <w:rPr>
          <w:rFonts w:hint="eastAsia"/>
          <w:highlight w:val="none"/>
        </w:rPr>
        <w:t>）</w:t>
      </w:r>
      <w:r>
        <w:rPr>
          <w:rFonts w:hint="default" w:ascii="Times New Roman" w:hAnsi="Times New Roman" w:cs="Times New Roman"/>
          <w:highlight w:val="none"/>
        </w:rPr>
        <w:t>˂</w:t>
      </w:r>
      <w:r>
        <w:rPr>
          <w:rFonts w:hint="eastAsia"/>
          <w:highlight w:val="none"/>
        </w:rPr>
        <w:t>20km</w:t>
      </w:r>
      <w:r>
        <w:rPr>
          <w:rFonts w:hint="eastAsia"/>
          <w:highlight w:val="none"/>
          <w:vertAlign w:val="superscript"/>
        </w:rPr>
        <w:t>2</w:t>
      </w:r>
      <w:r>
        <w:rPr>
          <w:rFonts w:hint="eastAsia"/>
          <w:highlight w:val="none"/>
        </w:rPr>
        <w:t>，地块不涉及国家公园、自然保护区、世界自然遗产、重要生境、自然公园、生态保护红线，</w:t>
      </w:r>
      <w:r>
        <w:rPr>
          <w:rFonts w:hint="eastAsia"/>
          <w:highlight w:val="none"/>
          <w:lang w:val="en-US" w:eastAsia="zh-CN"/>
        </w:rPr>
        <w:t>根据三阳乡林业工作站出具的林地属性查询说明，项目填埋场及临时道路占用林地涉及天然林，</w:t>
      </w:r>
      <w:r>
        <w:rPr>
          <w:rFonts w:hint="eastAsia"/>
          <w:highlight w:val="none"/>
        </w:rPr>
        <w:t>属于《环境影响评价技术导则  生态影响》（HJ/T19-2022）评价等级确定原则e）情况，确定本项目生态影响评价工作等级为</w:t>
      </w:r>
      <w:r>
        <w:rPr>
          <w:rFonts w:hint="eastAsia"/>
          <w:highlight w:val="none"/>
          <w:lang w:val="en-US" w:eastAsia="zh-CN"/>
        </w:rPr>
        <w:t>二</w:t>
      </w:r>
      <w:r>
        <w:rPr>
          <w:rFonts w:hint="eastAsia"/>
          <w:highlight w:val="none"/>
        </w:rPr>
        <w:t>级。</w:t>
      </w:r>
    </w:p>
    <w:p w14:paraId="56117FD5">
      <w:pPr>
        <w:pStyle w:val="10"/>
        <w:numPr>
          <w:ilvl w:val="3"/>
          <w:numId w:val="1"/>
        </w:numPr>
        <w:bidi w:val="0"/>
        <w:ind w:left="850" w:leftChars="0" w:hanging="850" w:firstLineChars="0"/>
        <w:rPr>
          <w:rFonts w:hint="eastAsia"/>
          <w:highlight w:val="none"/>
          <w:lang w:val="en-US" w:eastAsia="zh-CN"/>
        </w:rPr>
      </w:pPr>
      <w:bookmarkStart w:id="29" w:name="_Toc14669"/>
      <w:r>
        <w:rPr>
          <w:rFonts w:hint="eastAsia"/>
          <w:highlight w:val="none"/>
          <w:lang w:val="en-US" w:eastAsia="zh-CN"/>
        </w:rPr>
        <w:t>环境风险</w:t>
      </w:r>
      <w:bookmarkEnd w:id="29"/>
      <w:r>
        <w:rPr>
          <w:rFonts w:hint="eastAsia"/>
          <w:highlight w:val="none"/>
          <w:lang w:val="en-US" w:eastAsia="zh-CN"/>
        </w:rPr>
        <w:t>影响评价工作等级</w:t>
      </w:r>
    </w:p>
    <w:p w14:paraId="16CD441F">
      <w:pPr>
        <w:bidi w:val="0"/>
        <w:rPr>
          <w:rFonts w:hint="default" w:ascii="Times New Roman" w:hAnsi="Times New Roman" w:cs="Times New Roman"/>
          <w:color w:val="auto"/>
          <w:highlight w:val="none"/>
          <w:u w:val="none" w:color="auto"/>
          <w:lang w:val="en-US" w:eastAsia="zh-CN"/>
        </w:rPr>
      </w:pPr>
      <w:r>
        <w:rPr>
          <w:rFonts w:hint="eastAsia" w:cs="Times New Roman"/>
          <w:color w:val="auto"/>
          <w:highlight w:val="none"/>
          <w:u w:val="none" w:color="auto"/>
          <w:lang w:val="en-US" w:eastAsia="zh-CN"/>
        </w:rPr>
        <w:t>（1）风险潜势</w:t>
      </w:r>
    </w:p>
    <w:p w14:paraId="2D12E5BA">
      <w:pPr>
        <w:shd w:val="clear"/>
        <w:bidi w:val="0"/>
        <w:rPr>
          <w:rFonts w:hint="default" w:ascii="Times New Roman" w:hAnsi="Times New Roman" w:cs="Times New Roman"/>
          <w:color w:val="auto"/>
          <w:highlight w:val="none"/>
          <w:u w:val="none" w:color="auto"/>
          <w:lang w:val="en-US" w:eastAsia="zh-CN"/>
        </w:rPr>
      </w:pPr>
      <w:r>
        <w:rPr>
          <w:rFonts w:hint="default" w:ascii="Times New Roman" w:hAnsi="Times New Roman" w:cs="Times New Roman"/>
          <w:color w:val="auto"/>
          <w:highlight w:val="none"/>
          <w:u w:val="none" w:color="auto"/>
          <w:lang w:val="en-US" w:eastAsia="zh-CN"/>
        </w:rPr>
        <w:t>根据第6章内容分析可知，项目危险物质最大存在量与临界量比值Q为</w:t>
      </w:r>
      <w:r>
        <w:rPr>
          <w:rFonts w:hint="eastAsia" w:cs="Times New Roman"/>
          <w:color w:val="auto"/>
          <w:highlight w:val="none"/>
          <w:u w:val="none" w:color="auto"/>
          <w:lang w:val="en-US" w:eastAsia="zh-CN"/>
        </w:rPr>
        <w:t>0.011</w:t>
      </w:r>
      <w:r>
        <w:rPr>
          <w:rFonts w:hint="default" w:ascii="Times New Roman" w:hAnsi="Times New Roman" w:cs="Times New Roman"/>
          <w:color w:val="auto"/>
          <w:highlight w:val="none"/>
          <w:u w:val="none" w:color="auto"/>
          <w:lang w:val="en-US" w:eastAsia="zh-CN"/>
        </w:rPr>
        <w:t>（Q˂1）</w:t>
      </w:r>
      <w:r>
        <w:rPr>
          <w:rFonts w:hint="eastAsia" w:cs="Times New Roman"/>
          <w:color w:val="auto"/>
          <w:highlight w:val="none"/>
          <w:u w:val="none" w:color="auto"/>
          <w:lang w:val="en-US" w:eastAsia="zh-CN"/>
        </w:rPr>
        <w:t>，本项目风险潜势为I。</w:t>
      </w:r>
    </w:p>
    <w:p w14:paraId="5B3DA2CE">
      <w:pPr>
        <w:shd w:val="clear"/>
        <w:bidi w:val="0"/>
        <w:rPr>
          <w:rFonts w:hint="default" w:ascii="Times New Roman" w:hAnsi="Times New Roman" w:cs="Times New Roman"/>
          <w:color w:val="auto"/>
          <w:highlight w:val="none"/>
          <w:u w:val="none" w:color="auto"/>
          <w:lang w:val="en-US" w:eastAsia="zh-CN"/>
        </w:rPr>
      </w:pPr>
      <w:r>
        <w:rPr>
          <w:rFonts w:hint="default" w:ascii="Times New Roman" w:hAnsi="Times New Roman" w:cs="Times New Roman"/>
          <w:color w:val="auto"/>
          <w:highlight w:val="none"/>
          <w:u w:val="none" w:color="auto"/>
          <w:lang w:val="en-US" w:eastAsia="zh-CN"/>
        </w:rPr>
        <w:t>（2）环境风险评价等级判定</w:t>
      </w:r>
    </w:p>
    <w:p w14:paraId="58E25A11">
      <w:pPr>
        <w:shd w:val="clear"/>
        <w:bidi w:val="0"/>
        <w:rPr>
          <w:rFonts w:hint="default" w:ascii="Times New Roman" w:hAnsi="Times New Roman" w:cs="Times New Roman"/>
          <w:color w:val="auto"/>
          <w:highlight w:val="yellow"/>
          <w:u w:val="none" w:color="auto"/>
          <w:lang w:val="en-US" w:eastAsia="zh-CN"/>
        </w:rPr>
      </w:pPr>
      <w:r>
        <w:rPr>
          <w:rFonts w:hint="default" w:ascii="Times New Roman" w:hAnsi="Times New Roman" w:cs="Times New Roman"/>
          <w:color w:val="auto"/>
          <w:highlight w:val="none"/>
          <w:u w:val="none" w:color="auto"/>
          <w:lang w:val="en-US" w:eastAsia="zh-CN"/>
        </w:rPr>
        <w:t>根据《建设项目环境风险评价技术导则》（HJ169-2018），环境风险评价工作等级划分为一级、二级、三级。根据建设项目涉及的物质及工艺系统危险性和所在地的环境敏感性确定环境风险潜势，按照下表确定评价工作等级。风险潜势为</w:t>
      </w:r>
      <w:r>
        <w:rPr>
          <w:rFonts w:hint="default" w:ascii="Times New Roman" w:hAnsi="Times New Roman" w:eastAsia="宋体" w:cs="Times New Roman"/>
          <w:color w:val="auto"/>
          <w:highlight w:val="none"/>
          <w:u w:val="none" w:color="auto"/>
          <w:lang w:val="en-US" w:eastAsia="zh-CN"/>
        </w:rPr>
        <w:t>Ⅳ</w:t>
      </w:r>
      <w:r>
        <w:rPr>
          <w:rFonts w:hint="default" w:ascii="Times New Roman" w:hAnsi="Times New Roman" w:cs="Times New Roman"/>
          <w:color w:val="auto"/>
          <w:highlight w:val="none"/>
          <w:u w:val="none" w:color="auto"/>
          <w:lang w:val="en-US" w:eastAsia="zh-CN"/>
        </w:rPr>
        <w:t>及以上，进行一级评价；风险潜势为Ⅲ，进行二级评价；风险潜势为Ⅱ，进行三级评价；风险潜势为Ⅰ，可开展简单分析。评价工作等级判定依据如下表所示。</w:t>
      </w:r>
    </w:p>
    <w:p w14:paraId="530652CD">
      <w:pPr>
        <w:shd w:val="clear"/>
        <w:bidi w:val="0"/>
        <w:ind w:left="0" w:leftChars="0" w:firstLine="0" w:firstLineChars="0"/>
        <w:jc w:val="center"/>
        <w:rPr>
          <w:rFonts w:hint="eastAsia"/>
          <w:b/>
          <w:bCs/>
          <w:color w:val="auto"/>
          <w:sz w:val="21"/>
          <w:szCs w:val="21"/>
          <w:highlight w:val="none"/>
          <w:u w:val="none" w:color="auto"/>
          <w:lang w:val="en-US" w:eastAsia="zh-CN"/>
        </w:rPr>
      </w:pPr>
      <w:r>
        <w:rPr>
          <w:rFonts w:hint="eastAsia"/>
          <w:b/>
          <w:bCs/>
          <w:color w:val="auto"/>
          <w:sz w:val="21"/>
          <w:szCs w:val="21"/>
          <w:highlight w:val="none"/>
          <w:u w:val="none" w:color="auto"/>
          <w:lang w:val="en-US" w:eastAsia="zh-CN"/>
        </w:rPr>
        <w:t>表2.5-8  环境风险评价等级判定结果</w:t>
      </w:r>
    </w:p>
    <w:tbl>
      <w:tblPr>
        <w:tblStyle w:val="35"/>
        <w:tblW w:w="4999" w:type="pct"/>
        <w:tblInd w:w="0" w:type="dxa"/>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autofit"/>
        <w:tblCellMar>
          <w:top w:w="0" w:type="dxa"/>
          <w:left w:w="108" w:type="dxa"/>
          <w:bottom w:w="0" w:type="dxa"/>
          <w:right w:w="108" w:type="dxa"/>
        </w:tblCellMar>
      </w:tblPr>
      <w:tblGrid>
        <w:gridCol w:w="1657"/>
        <w:gridCol w:w="1660"/>
        <w:gridCol w:w="1660"/>
        <w:gridCol w:w="2352"/>
        <w:gridCol w:w="1901"/>
      </w:tblGrid>
      <w:tr w14:paraId="1BFFEAE4">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23" w:hRule="atLeast"/>
          <w:tblHeader/>
        </w:trPr>
        <w:tc>
          <w:tcPr>
            <w:tcW w:w="898" w:type="pct"/>
            <w:noWrap w:val="0"/>
            <w:vAlign w:val="center"/>
          </w:tcPr>
          <w:p w14:paraId="300FD3ED">
            <w:pPr>
              <w:keepNext w:val="0"/>
              <w:keepLines w:val="0"/>
              <w:pageBreakBefore w:val="0"/>
              <w:widowControl w:val="0"/>
              <w:shd w:val="clear"/>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cs="Times New Roman"/>
                <w:b/>
                <w:bCs/>
                <w:color w:val="auto"/>
                <w:sz w:val="21"/>
                <w:szCs w:val="21"/>
                <w:highlight w:val="none"/>
                <w:u w:val="none" w:color="auto"/>
                <w:lang w:val="en-US" w:eastAsia="zh-CN"/>
              </w:rPr>
            </w:pPr>
            <w:r>
              <w:rPr>
                <w:rFonts w:hint="default" w:ascii="Times New Roman" w:hAnsi="Times New Roman" w:cs="Times New Roman"/>
                <w:b/>
                <w:bCs/>
                <w:color w:val="auto"/>
                <w:sz w:val="21"/>
                <w:szCs w:val="21"/>
                <w:highlight w:val="none"/>
                <w:u w:val="none" w:color="auto"/>
                <w:lang w:val="en-US" w:eastAsia="zh-CN"/>
              </w:rPr>
              <w:t>环境风险潜势</w:t>
            </w:r>
          </w:p>
        </w:tc>
        <w:tc>
          <w:tcPr>
            <w:tcW w:w="899" w:type="pct"/>
            <w:noWrap w:val="0"/>
            <w:vAlign w:val="center"/>
          </w:tcPr>
          <w:p w14:paraId="387AF3E1">
            <w:pPr>
              <w:keepNext w:val="0"/>
              <w:keepLines w:val="0"/>
              <w:pageBreakBefore w:val="0"/>
              <w:widowControl w:val="0"/>
              <w:shd w:val="clear"/>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cs="Times New Roman"/>
                <w:b/>
                <w:bCs/>
                <w:color w:val="auto"/>
                <w:sz w:val="21"/>
                <w:szCs w:val="21"/>
                <w:highlight w:val="none"/>
                <w:u w:val="none" w:color="auto"/>
                <w:lang w:val="en-US" w:eastAsia="zh-CN"/>
              </w:rPr>
            </w:pPr>
            <w:r>
              <w:rPr>
                <w:rFonts w:hint="default" w:ascii="Times New Roman" w:hAnsi="Times New Roman" w:cs="Times New Roman"/>
                <w:b/>
                <w:bCs/>
                <w:color w:val="auto"/>
                <w:sz w:val="21"/>
                <w:szCs w:val="21"/>
                <w:highlight w:val="none"/>
                <w:u w:val="none" w:color="auto"/>
                <w:lang w:val="en-US" w:eastAsia="zh-CN"/>
              </w:rPr>
              <w:t>Ⅳ、Ⅳ</w:t>
            </w:r>
            <w:r>
              <w:rPr>
                <w:rFonts w:hint="default" w:ascii="Times New Roman" w:hAnsi="Times New Roman" w:cs="Times New Roman"/>
                <w:b/>
                <w:bCs/>
                <w:color w:val="auto"/>
                <w:sz w:val="21"/>
                <w:szCs w:val="21"/>
                <w:highlight w:val="none"/>
                <w:u w:val="none" w:color="auto"/>
                <w:vertAlign w:val="superscript"/>
                <w:lang w:val="en-US" w:eastAsia="zh-CN"/>
              </w:rPr>
              <w:t>+</w:t>
            </w:r>
          </w:p>
        </w:tc>
        <w:tc>
          <w:tcPr>
            <w:tcW w:w="899" w:type="pct"/>
            <w:noWrap w:val="0"/>
            <w:vAlign w:val="center"/>
          </w:tcPr>
          <w:p w14:paraId="5BEDECB4">
            <w:pPr>
              <w:keepNext w:val="0"/>
              <w:keepLines w:val="0"/>
              <w:pageBreakBefore w:val="0"/>
              <w:widowControl w:val="0"/>
              <w:shd w:val="clear"/>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cs="Times New Roman"/>
                <w:b/>
                <w:bCs/>
                <w:color w:val="auto"/>
                <w:sz w:val="21"/>
                <w:szCs w:val="21"/>
                <w:highlight w:val="none"/>
                <w:u w:val="none" w:color="auto"/>
                <w:lang w:val="en-US" w:eastAsia="zh-CN"/>
              </w:rPr>
            </w:pPr>
            <w:r>
              <w:rPr>
                <w:rFonts w:hint="default" w:ascii="Times New Roman" w:hAnsi="Times New Roman" w:cs="Times New Roman"/>
                <w:b/>
                <w:bCs/>
                <w:color w:val="auto"/>
                <w:sz w:val="21"/>
                <w:szCs w:val="21"/>
                <w:highlight w:val="none"/>
                <w:u w:val="none" w:color="auto"/>
                <w:lang w:val="en-US" w:eastAsia="zh-CN"/>
              </w:rPr>
              <w:t>Ⅲ</w:t>
            </w:r>
          </w:p>
        </w:tc>
        <w:tc>
          <w:tcPr>
            <w:tcW w:w="1274" w:type="pct"/>
            <w:noWrap w:val="0"/>
            <w:vAlign w:val="center"/>
          </w:tcPr>
          <w:p w14:paraId="7C33551C">
            <w:pPr>
              <w:keepNext w:val="0"/>
              <w:keepLines w:val="0"/>
              <w:pageBreakBefore w:val="0"/>
              <w:widowControl w:val="0"/>
              <w:shd w:val="clear"/>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cs="Times New Roman"/>
                <w:b/>
                <w:bCs/>
                <w:color w:val="auto"/>
                <w:sz w:val="21"/>
                <w:szCs w:val="21"/>
                <w:highlight w:val="none"/>
                <w:u w:val="none" w:color="auto"/>
                <w:lang w:val="en-US" w:eastAsia="zh-CN"/>
              </w:rPr>
            </w:pPr>
            <w:r>
              <w:rPr>
                <w:rFonts w:hint="default" w:ascii="Times New Roman" w:hAnsi="Times New Roman" w:cs="Times New Roman"/>
                <w:b/>
                <w:bCs/>
                <w:color w:val="auto"/>
                <w:sz w:val="21"/>
                <w:szCs w:val="21"/>
                <w:highlight w:val="none"/>
                <w:u w:val="none" w:color="auto"/>
                <w:lang w:val="en-US" w:eastAsia="zh-CN"/>
              </w:rPr>
              <w:t>Ⅱ</w:t>
            </w:r>
          </w:p>
        </w:tc>
        <w:tc>
          <w:tcPr>
            <w:tcW w:w="1028" w:type="pct"/>
            <w:noWrap w:val="0"/>
            <w:vAlign w:val="center"/>
          </w:tcPr>
          <w:p w14:paraId="5C165CF5">
            <w:pPr>
              <w:keepNext w:val="0"/>
              <w:keepLines w:val="0"/>
              <w:pageBreakBefore w:val="0"/>
              <w:widowControl w:val="0"/>
              <w:shd w:val="clear"/>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cs="Times New Roman"/>
                <w:b/>
                <w:bCs/>
                <w:color w:val="auto"/>
                <w:sz w:val="21"/>
                <w:szCs w:val="21"/>
                <w:highlight w:val="none"/>
                <w:u w:val="none" w:color="auto"/>
                <w:lang w:val="en-US" w:eastAsia="zh-CN"/>
              </w:rPr>
            </w:pPr>
            <w:r>
              <w:rPr>
                <w:rFonts w:hint="default" w:ascii="Times New Roman" w:hAnsi="Times New Roman" w:cs="Times New Roman"/>
                <w:b/>
                <w:bCs/>
                <w:color w:val="auto"/>
                <w:sz w:val="21"/>
                <w:szCs w:val="21"/>
                <w:highlight w:val="none"/>
                <w:u w:val="none" w:color="auto"/>
                <w:lang w:val="en-US" w:eastAsia="zh-CN"/>
              </w:rPr>
              <w:t>Ⅰ</w:t>
            </w:r>
          </w:p>
        </w:tc>
      </w:tr>
      <w:tr w14:paraId="41F1B787">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898" w:type="pct"/>
            <w:noWrap w:val="0"/>
            <w:vAlign w:val="center"/>
          </w:tcPr>
          <w:p w14:paraId="40555EB6">
            <w:pPr>
              <w:keepNext w:val="0"/>
              <w:keepLines w:val="0"/>
              <w:pageBreakBefore w:val="0"/>
              <w:widowControl w:val="0"/>
              <w:shd w:val="clea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u w:val="none" w:color="auto"/>
                <w:lang w:val="en-US" w:eastAsia="zh-CN"/>
              </w:rPr>
            </w:pPr>
            <w:r>
              <w:rPr>
                <w:rFonts w:hint="default" w:ascii="Times New Roman" w:hAnsi="Times New Roman" w:cs="Times New Roman"/>
                <w:color w:val="auto"/>
                <w:sz w:val="21"/>
                <w:szCs w:val="21"/>
                <w:highlight w:val="none"/>
                <w:u w:val="none" w:color="auto"/>
                <w:lang w:val="en-US" w:eastAsia="zh-CN"/>
              </w:rPr>
              <w:t>评价工作等级</w:t>
            </w:r>
          </w:p>
        </w:tc>
        <w:tc>
          <w:tcPr>
            <w:tcW w:w="899" w:type="pct"/>
            <w:noWrap w:val="0"/>
            <w:vAlign w:val="center"/>
          </w:tcPr>
          <w:p w14:paraId="6F3F1BBA">
            <w:pPr>
              <w:keepNext w:val="0"/>
              <w:keepLines w:val="0"/>
              <w:pageBreakBefore w:val="0"/>
              <w:widowControl w:val="0"/>
              <w:shd w:val="clea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u w:val="none" w:color="auto"/>
                <w:lang w:val="en-US" w:eastAsia="zh-CN"/>
              </w:rPr>
            </w:pPr>
            <w:r>
              <w:rPr>
                <w:rFonts w:hint="default" w:ascii="Times New Roman" w:hAnsi="Times New Roman" w:cs="Times New Roman"/>
                <w:color w:val="auto"/>
                <w:sz w:val="21"/>
                <w:szCs w:val="21"/>
                <w:highlight w:val="none"/>
                <w:u w:val="none" w:color="auto"/>
                <w:lang w:val="en-US" w:eastAsia="zh-CN"/>
              </w:rPr>
              <w:t>一</w:t>
            </w:r>
          </w:p>
        </w:tc>
        <w:tc>
          <w:tcPr>
            <w:tcW w:w="899" w:type="pct"/>
            <w:noWrap w:val="0"/>
            <w:vAlign w:val="center"/>
          </w:tcPr>
          <w:p w14:paraId="6F3A8F97">
            <w:pPr>
              <w:keepNext w:val="0"/>
              <w:keepLines w:val="0"/>
              <w:pageBreakBefore w:val="0"/>
              <w:widowControl w:val="0"/>
              <w:shd w:val="clea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u w:val="none" w:color="auto"/>
                <w:lang w:val="en-US" w:eastAsia="zh-CN"/>
              </w:rPr>
            </w:pPr>
            <w:r>
              <w:rPr>
                <w:rFonts w:hint="default" w:ascii="Times New Roman" w:hAnsi="Times New Roman" w:cs="Times New Roman"/>
                <w:color w:val="auto"/>
                <w:sz w:val="21"/>
                <w:szCs w:val="21"/>
                <w:highlight w:val="none"/>
                <w:u w:val="none" w:color="auto"/>
                <w:lang w:val="en-US" w:eastAsia="zh-CN"/>
              </w:rPr>
              <w:t>二</w:t>
            </w:r>
          </w:p>
        </w:tc>
        <w:tc>
          <w:tcPr>
            <w:tcW w:w="1274" w:type="pct"/>
            <w:noWrap w:val="0"/>
            <w:vAlign w:val="center"/>
          </w:tcPr>
          <w:p w14:paraId="18D0D2F4">
            <w:pPr>
              <w:keepNext w:val="0"/>
              <w:keepLines w:val="0"/>
              <w:pageBreakBefore w:val="0"/>
              <w:widowControl w:val="0"/>
              <w:shd w:val="clea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u w:val="none" w:color="auto"/>
                <w:lang w:val="en-US" w:eastAsia="zh-CN"/>
              </w:rPr>
            </w:pPr>
            <w:r>
              <w:rPr>
                <w:rFonts w:hint="default" w:ascii="Times New Roman" w:hAnsi="Times New Roman" w:cs="Times New Roman"/>
                <w:color w:val="auto"/>
                <w:sz w:val="21"/>
                <w:szCs w:val="21"/>
                <w:highlight w:val="none"/>
                <w:u w:val="none" w:color="auto"/>
                <w:lang w:val="en-US" w:eastAsia="zh-CN"/>
              </w:rPr>
              <w:t>三</w:t>
            </w:r>
          </w:p>
        </w:tc>
        <w:tc>
          <w:tcPr>
            <w:tcW w:w="1028" w:type="pct"/>
            <w:noWrap w:val="0"/>
            <w:vAlign w:val="center"/>
          </w:tcPr>
          <w:p w14:paraId="21B01B0D">
            <w:pPr>
              <w:keepNext w:val="0"/>
              <w:keepLines w:val="0"/>
              <w:pageBreakBefore w:val="0"/>
              <w:widowControl w:val="0"/>
              <w:shd w:val="clea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u w:val="none" w:color="auto"/>
                <w:lang w:val="en-US" w:eastAsia="zh-CN"/>
              </w:rPr>
            </w:pPr>
            <w:r>
              <w:rPr>
                <w:rFonts w:hint="default" w:ascii="Times New Roman" w:hAnsi="Times New Roman" w:cs="Times New Roman"/>
                <w:color w:val="auto"/>
                <w:sz w:val="21"/>
                <w:szCs w:val="21"/>
                <w:highlight w:val="none"/>
                <w:u w:val="none" w:color="auto"/>
                <w:lang w:val="en-US" w:eastAsia="zh-CN"/>
              </w:rPr>
              <w:t>简单分析</w:t>
            </w:r>
            <w:r>
              <w:rPr>
                <w:rFonts w:hint="default" w:ascii="Times New Roman" w:hAnsi="Times New Roman" w:cs="Times New Roman"/>
                <w:color w:val="auto"/>
                <w:sz w:val="21"/>
                <w:szCs w:val="21"/>
                <w:highlight w:val="none"/>
                <w:u w:val="none" w:color="auto"/>
                <w:vertAlign w:val="superscript"/>
                <w:lang w:val="en-US" w:eastAsia="zh-CN"/>
              </w:rPr>
              <w:t>a</w:t>
            </w:r>
          </w:p>
        </w:tc>
      </w:tr>
      <w:tr w14:paraId="5BDB9682">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000" w:type="pct"/>
            <w:gridSpan w:val="5"/>
            <w:noWrap w:val="0"/>
            <w:vAlign w:val="center"/>
          </w:tcPr>
          <w:p w14:paraId="4C93C78D">
            <w:pPr>
              <w:keepNext w:val="0"/>
              <w:keepLines w:val="0"/>
              <w:pageBreakBefore w:val="0"/>
              <w:widowControl w:val="0"/>
              <w:shd w:val="clear"/>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cs="Times New Roman"/>
                <w:color w:val="auto"/>
                <w:sz w:val="21"/>
                <w:szCs w:val="21"/>
                <w:highlight w:val="none"/>
                <w:u w:val="none" w:color="auto"/>
                <w:lang w:val="en-US" w:eastAsia="zh-CN"/>
              </w:rPr>
            </w:pPr>
            <w:r>
              <w:rPr>
                <w:rFonts w:hint="default" w:ascii="Times New Roman" w:hAnsi="Times New Roman" w:cs="Times New Roman"/>
                <w:color w:val="auto"/>
                <w:sz w:val="21"/>
                <w:szCs w:val="21"/>
                <w:highlight w:val="none"/>
                <w:u w:val="none" w:color="auto"/>
                <w:vertAlign w:val="superscript"/>
                <w:lang w:val="en-US" w:eastAsia="zh-CN"/>
              </w:rPr>
              <w:t>a</w:t>
            </w:r>
            <w:r>
              <w:rPr>
                <w:rFonts w:hint="default" w:ascii="Times New Roman" w:hAnsi="Times New Roman" w:cs="Times New Roman"/>
                <w:color w:val="auto"/>
                <w:sz w:val="21"/>
                <w:szCs w:val="21"/>
                <w:highlight w:val="none"/>
                <w:u w:val="none" w:color="auto"/>
                <w:lang w:val="en-US" w:eastAsia="zh-CN"/>
              </w:rPr>
              <w:t>是相对于详细评价工作内容而言，在描述危险物质、环境影响途径、环境危害后果、风险防范措施等方面给出定性的说明。见《建设项目环境风险评价技术导则》</w:t>
            </w:r>
            <w:r>
              <w:rPr>
                <w:rFonts w:hint="eastAsia" w:ascii="Times New Roman" w:hAnsi="Times New Roman" w:cs="Times New Roman"/>
                <w:color w:val="auto"/>
                <w:sz w:val="21"/>
                <w:szCs w:val="21"/>
                <w:highlight w:val="none"/>
                <w:u w:val="none" w:color="auto"/>
                <w:lang w:val="en-US" w:eastAsia="zh-CN"/>
              </w:rPr>
              <w:t>（</w:t>
            </w:r>
            <w:r>
              <w:rPr>
                <w:rFonts w:hint="default" w:ascii="Times New Roman" w:hAnsi="Times New Roman" w:cs="Times New Roman"/>
                <w:color w:val="auto"/>
                <w:sz w:val="21"/>
                <w:szCs w:val="21"/>
                <w:highlight w:val="none"/>
                <w:u w:val="none" w:color="auto"/>
                <w:lang w:val="en-US" w:eastAsia="zh-CN"/>
              </w:rPr>
              <w:t>HJ/T169-2018</w:t>
            </w:r>
            <w:r>
              <w:rPr>
                <w:rFonts w:hint="eastAsia" w:ascii="Times New Roman" w:hAnsi="Times New Roman" w:cs="Times New Roman"/>
                <w:color w:val="auto"/>
                <w:sz w:val="21"/>
                <w:szCs w:val="21"/>
                <w:highlight w:val="none"/>
                <w:u w:val="none" w:color="auto"/>
                <w:lang w:val="en-US" w:eastAsia="zh-CN"/>
              </w:rPr>
              <w:t>）</w:t>
            </w:r>
            <w:r>
              <w:rPr>
                <w:rFonts w:hint="default" w:ascii="Times New Roman" w:hAnsi="Times New Roman" w:cs="Times New Roman"/>
                <w:color w:val="auto"/>
                <w:sz w:val="21"/>
                <w:szCs w:val="21"/>
                <w:highlight w:val="none"/>
                <w:u w:val="none" w:color="auto"/>
                <w:lang w:val="en-US" w:eastAsia="zh-CN"/>
              </w:rPr>
              <w:t>附录A</w:t>
            </w:r>
            <w:r>
              <w:rPr>
                <w:rFonts w:hint="eastAsia" w:ascii="Times New Roman" w:hAnsi="Times New Roman" w:cs="Times New Roman"/>
                <w:color w:val="auto"/>
                <w:sz w:val="21"/>
                <w:szCs w:val="21"/>
                <w:highlight w:val="none"/>
                <w:u w:val="none" w:color="auto"/>
                <w:lang w:val="en-US" w:eastAsia="zh-CN"/>
              </w:rPr>
              <w:t>。</w:t>
            </w:r>
          </w:p>
        </w:tc>
      </w:tr>
    </w:tbl>
    <w:p w14:paraId="08AC4111">
      <w:pPr>
        <w:bidi w:val="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项目风险环境风险潜势综合等级为Ⅰ，故风险评价</w:t>
      </w:r>
      <w:r>
        <w:rPr>
          <w:rFonts w:hint="eastAsia" w:cs="Times New Roman"/>
          <w:highlight w:val="none"/>
          <w:lang w:val="en-US" w:eastAsia="zh-CN"/>
        </w:rPr>
        <w:t>为</w:t>
      </w:r>
      <w:r>
        <w:rPr>
          <w:rFonts w:hint="default" w:ascii="Times New Roman" w:hAnsi="Times New Roman" w:cs="Times New Roman"/>
          <w:highlight w:val="none"/>
          <w:lang w:val="en-US" w:eastAsia="zh-CN"/>
        </w:rPr>
        <w:t>简单分析。</w:t>
      </w:r>
    </w:p>
    <w:p w14:paraId="6A11A3C5">
      <w:pPr>
        <w:pStyle w:val="9"/>
        <w:numPr>
          <w:ilvl w:val="2"/>
          <w:numId w:val="1"/>
        </w:numPr>
        <w:bidi w:val="0"/>
        <w:ind w:left="709" w:leftChars="0" w:hanging="709" w:firstLineChars="0"/>
        <w:rPr>
          <w:rFonts w:hint="eastAsia"/>
          <w:highlight w:val="none"/>
          <w:lang w:val="en-US" w:eastAsia="zh-CN"/>
        </w:rPr>
      </w:pPr>
      <w:r>
        <w:rPr>
          <w:rFonts w:hint="eastAsia"/>
          <w:highlight w:val="none"/>
          <w:lang w:val="en-US" w:eastAsia="zh-CN"/>
        </w:rPr>
        <w:t>评价范围</w:t>
      </w:r>
    </w:p>
    <w:p w14:paraId="0B53B71C">
      <w:pPr>
        <w:bidi w:val="0"/>
        <w:rPr>
          <w:rFonts w:hint="default"/>
          <w:highlight w:val="none"/>
          <w:lang w:val="en-US" w:eastAsia="zh-CN"/>
        </w:rPr>
      </w:pPr>
      <w:r>
        <w:rPr>
          <w:rFonts w:hint="eastAsia"/>
          <w:highlight w:val="none"/>
          <w:lang w:val="en-US" w:eastAsia="zh-CN"/>
        </w:rPr>
        <w:t>根据项目实施对环境的影响特点和项目所在地的自然环境特点，确定本项目的环境影响评价范围见表2.5-9。</w:t>
      </w:r>
    </w:p>
    <w:p w14:paraId="56B114CD">
      <w:pPr>
        <w:bidi w:val="0"/>
        <w:ind w:left="0" w:leftChars="0" w:firstLine="0" w:firstLineChars="0"/>
        <w:jc w:val="center"/>
        <w:rPr>
          <w:rFonts w:hint="default"/>
          <w:b/>
          <w:bCs/>
          <w:sz w:val="21"/>
          <w:szCs w:val="21"/>
          <w:highlight w:val="none"/>
          <w:lang w:val="en-US" w:eastAsia="zh-CN"/>
        </w:rPr>
      </w:pPr>
      <w:r>
        <w:rPr>
          <w:rFonts w:hint="eastAsia"/>
          <w:b/>
          <w:bCs/>
          <w:sz w:val="21"/>
          <w:szCs w:val="21"/>
          <w:highlight w:val="none"/>
          <w:lang w:val="en-US" w:eastAsia="zh-CN"/>
        </w:rPr>
        <w:t>表2.5-9  环境影响评价范围一览表</w:t>
      </w:r>
    </w:p>
    <w:tbl>
      <w:tblPr>
        <w:tblStyle w:val="36"/>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821"/>
        <w:gridCol w:w="1563"/>
        <w:gridCol w:w="6848"/>
      </w:tblGrid>
      <w:tr w14:paraId="4990253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blHeader/>
        </w:trPr>
        <w:tc>
          <w:tcPr>
            <w:tcW w:w="821" w:type="dxa"/>
            <w:vAlign w:val="center"/>
          </w:tcPr>
          <w:p w14:paraId="19331BEC">
            <w:pPr>
              <w:keepNext w:val="0"/>
              <w:keepLines w:val="0"/>
              <w:pageBreakBefore w:val="0"/>
              <w:widowControl w:val="0"/>
              <w:kinsoku/>
              <w:wordWrap/>
              <w:overflowPunct/>
              <w:topLinePunct w:val="0"/>
              <w:autoSpaceDE/>
              <w:autoSpaceDN/>
              <w:bidi w:val="0"/>
              <w:adjustRightInd w:val="0"/>
              <w:snapToGrid/>
              <w:spacing w:line="360" w:lineRule="auto"/>
              <w:ind w:firstLine="0" w:firstLineChars="0"/>
              <w:jc w:val="center"/>
              <w:textAlignment w:val="auto"/>
              <w:rPr>
                <w:rFonts w:hint="default"/>
                <w:b/>
                <w:bCs/>
                <w:sz w:val="21"/>
                <w:szCs w:val="21"/>
                <w:highlight w:val="none"/>
                <w:vertAlign w:val="baseline"/>
                <w:lang w:val="en-US" w:eastAsia="zh-CN"/>
              </w:rPr>
            </w:pPr>
            <w:r>
              <w:rPr>
                <w:rFonts w:hint="eastAsia"/>
                <w:b/>
                <w:bCs/>
                <w:sz w:val="21"/>
                <w:szCs w:val="21"/>
                <w:highlight w:val="none"/>
                <w:vertAlign w:val="baseline"/>
                <w:lang w:val="en-US" w:eastAsia="zh-CN"/>
              </w:rPr>
              <w:t>序号</w:t>
            </w:r>
          </w:p>
        </w:tc>
        <w:tc>
          <w:tcPr>
            <w:tcW w:w="1563" w:type="dxa"/>
            <w:vAlign w:val="center"/>
          </w:tcPr>
          <w:p w14:paraId="76C45381">
            <w:pPr>
              <w:keepNext w:val="0"/>
              <w:keepLines w:val="0"/>
              <w:pageBreakBefore w:val="0"/>
              <w:widowControl w:val="0"/>
              <w:kinsoku/>
              <w:wordWrap/>
              <w:overflowPunct/>
              <w:topLinePunct w:val="0"/>
              <w:autoSpaceDE/>
              <w:autoSpaceDN/>
              <w:bidi w:val="0"/>
              <w:adjustRightInd w:val="0"/>
              <w:snapToGrid/>
              <w:spacing w:line="360" w:lineRule="auto"/>
              <w:ind w:firstLine="0" w:firstLineChars="0"/>
              <w:jc w:val="center"/>
              <w:textAlignment w:val="auto"/>
              <w:rPr>
                <w:rFonts w:hint="default"/>
                <w:b/>
                <w:bCs/>
                <w:sz w:val="21"/>
                <w:szCs w:val="21"/>
                <w:highlight w:val="none"/>
                <w:vertAlign w:val="baseline"/>
                <w:lang w:val="en-US" w:eastAsia="zh-CN"/>
              </w:rPr>
            </w:pPr>
            <w:r>
              <w:rPr>
                <w:rFonts w:hint="eastAsia"/>
                <w:b/>
                <w:bCs/>
                <w:sz w:val="21"/>
                <w:szCs w:val="21"/>
                <w:highlight w:val="none"/>
                <w:vertAlign w:val="baseline"/>
                <w:lang w:val="en-US" w:eastAsia="zh-CN"/>
              </w:rPr>
              <w:t>环境要素</w:t>
            </w:r>
          </w:p>
        </w:tc>
        <w:tc>
          <w:tcPr>
            <w:tcW w:w="6848" w:type="dxa"/>
            <w:vAlign w:val="center"/>
          </w:tcPr>
          <w:p w14:paraId="5752B4CE">
            <w:pPr>
              <w:keepNext w:val="0"/>
              <w:keepLines w:val="0"/>
              <w:pageBreakBefore w:val="0"/>
              <w:widowControl w:val="0"/>
              <w:kinsoku/>
              <w:wordWrap/>
              <w:overflowPunct/>
              <w:topLinePunct w:val="0"/>
              <w:autoSpaceDE/>
              <w:autoSpaceDN/>
              <w:bidi w:val="0"/>
              <w:adjustRightInd w:val="0"/>
              <w:snapToGrid/>
              <w:spacing w:line="360" w:lineRule="auto"/>
              <w:ind w:firstLine="0" w:firstLineChars="0"/>
              <w:jc w:val="center"/>
              <w:textAlignment w:val="auto"/>
              <w:rPr>
                <w:rFonts w:hint="default"/>
                <w:b/>
                <w:bCs/>
                <w:sz w:val="21"/>
                <w:szCs w:val="21"/>
                <w:highlight w:val="none"/>
                <w:vertAlign w:val="baseline"/>
                <w:lang w:val="en-US" w:eastAsia="zh-CN"/>
              </w:rPr>
            </w:pPr>
            <w:r>
              <w:rPr>
                <w:rFonts w:hint="eastAsia"/>
                <w:b/>
                <w:bCs/>
                <w:sz w:val="21"/>
                <w:szCs w:val="21"/>
                <w:highlight w:val="none"/>
                <w:vertAlign w:val="baseline"/>
                <w:lang w:val="en-US" w:eastAsia="zh-CN"/>
              </w:rPr>
              <w:t>评价范围</w:t>
            </w:r>
          </w:p>
        </w:tc>
      </w:tr>
      <w:tr w14:paraId="2719F3A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21" w:type="dxa"/>
            <w:vAlign w:val="center"/>
          </w:tcPr>
          <w:p w14:paraId="3A2D8F76">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1</w:t>
            </w:r>
          </w:p>
        </w:tc>
        <w:tc>
          <w:tcPr>
            <w:tcW w:w="1563" w:type="dxa"/>
            <w:shd w:val="clear" w:color="auto" w:fill="auto"/>
            <w:vAlign w:val="center"/>
          </w:tcPr>
          <w:p w14:paraId="26BCAC9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color w:val="auto"/>
                <w:sz w:val="21"/>
                <w:szCs w:val="21"/>
                <w:highlight w:val="none"/>
                <w:u w:val="none" w:color="auto"/>
                <w:lang w:val="en-US" w:eastAsia="zh-CN"/>
              </w:rPr>
              <w:t>环境空气</w:t>
            </w:r>
          </w:p>
        </w:tc>
        <w:tc>
          <w:tcPr>
            <w:tcW w:w="6848" w:type="dxa"/>
            <w:shd w:val="clear" w:color="auto" w:fill="auto"/>
            <w:vAlign w:val="center"/>
          </w:tcPr>
          <w:p w14:paraId="02B3C3D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vertAlign w:val="baseline"/>
                <w:lang w:val="en-US" w:eastAsia="zh-CN"/>
              </w:rPr>
            </w:pPr>
            <w:r>
              <w:rPr>
                <w:rFonts w:hint="eastAsia" w:cs="Times New Roman"/>
                <w:color w:val="auto"/>
                <w:kern w:val="2"/>
                <w:sz w:val="21"/>
                <w:szCs w:val="21"/>
                <w:highlight w:val="none"/>
                <w:u w:val="none" w:color="auto"/>
                <w:lang w:val="en-US" w:eastAsia="zh-CN" w:bidi="ar-SA"/>
              </w:rPr>
              <w:t>填埋场：填埋场及外扩</w:t>
            </w:r>
            <w:r>
              <w:rPr>
                <w:rFonts w:hint="eastAsia"/>
                <w:sz w:val="21"/>
                <w:szCs w:val="21"/>
                <w:highlight w:val="none"/>
                <w:vertAlign w:val="baseline"/>
                <w:lang w:val="en-US" w:eastAsia="zh-CN"/>
              </w:rPr>
              <w:t>500m范围内；取土场：边界外扩500m范围内；</w:t>
            </w:r>
          </w:p>
          <w:p w14:paraId="4782118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运输路线：周边200m范围。</w:t>
            </w:r>
          </w:p>
        </w:tc>
      </w:tr>
      <w:tr w14:paraId="6747FF2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21" w:type="dxa"/>
            <w:vAlign w:val="center"/>
          </w:tcPr>
          <w:p w14:paraId="1E9B37B4">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2</w:t>
            </w:r>
          </w:p>
        </w:tc>
        <w:tc>
          <w:tcPr>
            <w:tcW w:w="1563" w:type="dxa"/>
            <w:shd w:val="clear" w:color="auto" w:fill="auto"/>
            <w:vAlign w:val="center"/>
          </w:tcPr>
          <w:p w14:paraId="19DFA8B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color w:val="auto"/>
                <w:sz w:val="21"/>
                <w:szCs w:val="21"/>
                <w:highlight w:val="none"/>
                <w:u w:val="none" w:color="auto"/>
                <w:lang w:val="en-US" w:eastAsia="zh-CN"/>
              </w:rPr>
              <w:t>地表水</w:t>
            </w:r>
          </w:p>
        </w:tc>
        <w:tc>
          <w:tcPr>
            <w:tcW w:w="6848" w:type="dxa"/>
            <w:shd w:val="clear" w:color="auto" w:fill="auto"/>
            <w:vAlign w:val="center"/>
          </w:tcPr>
          <w:p w14:paraId="050B9A0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highlight w:val="yellow"/>
                <w:u w:val="none" w:color="auto"/>
                <w:lang w:val="en-US" w:eastAsia="zh-CN" w:bidi="ar-SA"/>
              </w:rPr>
            </w:pPr>
            <w:r>
              <w:rPr>
                <w:rFonts w:hint="eastAsia"/>
                <w:color w:val="auto"/>
                <w:sz w:val="21"/>
                <w:szCs w:val="21"/>
                <w:highlight w:val="none"/>
                <w:u w:val="none" w:color="auto"/>
                <w:lang w:val="en-US" w:eastAsia="zh-CN"/>
              </w:rPr>
              <w:t>/</w:t>
            </w:r>
          </w:p>
        </w:tc>
      </w:tr>
      <w:tr w14:paraId="7FCE973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21" w:type="dxa"/>
            <w:vAlign w:val="center"/>
          </w:tcPr>
          <w:p w14:paraId="364C1E58">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3</w:t>
            </w:r>
          </w:p>
        </w:tc>
        <w:tc>
          <w:tcPr>
            <w:tcW w:w="1563" w:type="dxa"/>
            <w:shd w:val="clear" w:color="auto" w:fill="auto"/>
            <w:vAlign w:val="center"/>
          </w:tcPr>
          <w:p w14:paraId="006E8AD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color w:val="auto"/>
                <w:sz w:val="21"/>
                <w:szCs w:val="21"/>
                <w:highlight w:val="none"/>
                <w:u w:val="none" w:color="auto"/>
                <w:lang w:val="en-US" w:eastAsia="zh-CN"/>
              </w:rPr>
              <w:t>地下水</w:t>
            </w:r>
          </w:p>
        </w:tc>
        <w:tc>
          <w:tcPr>
            <w:tcW w:w="6848" w:type="dxa"/>
            <w:shd w:val="clear" w:color="auto" w:fill="auto"/>
            <w:vAlign w:val="center"/>
          </w:tcPr>
          <w:p w14:paraId="4629377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cs="Times New Roman"/>
                <w:color w:val="auto"/>
                <w:kern w:val="2"/>
                <w:sz w:val="21"/>
                <w:szCs w:val="21"/>
                <w:highlight w:val="none"/>
                <w:u w:val="none" w:color="auto"/>
                <w:lang w:val="en-US" w:eastAsia="zh-CN" w:bidi="ar-SA"/>
              </w:rPr>
              <w:t>根据查表法，二级评价地下水调查评价面积为6~20km</w:t>
            </w:r>
            <w:r>
              <w:rPr>
                <w:rFonts w:hint="eastAsia" w:cs="Times New Roman"/>
                <w:color w:val="auto"/>
                <w:kern w:val="2"/>
                <w:sz w:val="21"/>
                <w:szCs w:val="21"/>
                <w:highlight w:val="none"/>
                <w:u w:val="none" w:color="auto"/>
                <w:vertAlign w:val="superscript"/>
                <w:lang w:val="en-US" w:eastAsia="zh-CN" w:bidi="ar-SA"/>
              </w:rPr>
              <w:t>2</w:t>
            </w:r>
            <w:r>
              <w:rPr>
                <w:rFonts w:hint="eastAsia" w:cs="Times New Roman"/>
                <w:color w:val="auto"/>
                <w:kern w:val="2"/>
                <w:sz w:val="21"/>
                <w:szCs w:val="21"/>
                <w:highlight w:val="none"/>
                <w:u w:val="none" w:color="auto"/>
                <w:lang w:val="en-US" w:eastAsia="zh-CN" w:bidi="ar-SA"/>
              </w:rPr>
              <w:t>，本次地下水评价范围为9.6km</w:t>
            </w:r>
            <w:r>
              <w:rPr>
                <w:rFonts w:hint="eastAsia" w:cs="Times New Roman"/>
                <w:color w:val="auto"/>
                <w:kern w:val="2"/>
                <w:sz w:val="21"/>
                <w:szCs w:val="21"/>
                <w:highlight w:val="none"/>
                <w:u w:val="none" w:color="auto"/>
                <w:vertAlign w:val="superscript"/>
                <w:lang w:val="en-US" w:eastAsia="zh-CN" w:bidi="ar-SA"/>
              </w:rPr>
              <w:t>2</w:t>
            </w:r>
            <w:r>
              <w:rPr>
                <w:rFonts w:hint="eastAsia" w:cs="Times New Roman"/>
                <w:color w:val="auto"/>
                <w:kern w:val="2"/>
                <w:sz w:val="21"/>
                <w:szCs w:val="21"/>
                <w:highlight w:val="none"/>
                <w:u w:val="none" w:color="auto"/>
                <w:lang w:val="en-US" w:eastAsia="zh-CN" w:bidi="ar-SA"/>
              </w:rPr>
              <w:t>，以四周山脊线及道路为界限。</w:t>
            </w:r>
          </w:p>
        </w:tc>
      </w:tr>
      <w:tr w14:paraId="00979A7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21" w:type="dxa"/>
            <w:vAlign w:val="center"/>
          </w:tcPr>
          <w:p w14:paraId="1688451B">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4</w:t>
            </w:r>
          </w:p>
        </w:tc>
        <w:tc>
          <w:tcPr>
            <w:tcW w:w="1563" w:type="dxa"/>
            <w:shd w:val="clear" w:color="auto" w:fill="auto"/>
            <w:vAlign w:val="center"/>
          </w:tcPr>
          <w:p w14:paraId="749C008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color w:val="auto"/>
                <w:sz w:val="21"/>
                <w:szCs w:val="21"/>
                <w:highlight w:val="none"/>
                <w:u w:val="none" w:color="auto"/>
                <w:lang w:val="en-US" w:eastAsia="zh-CN"/>
              </w:rPr>
              <w:t>声环境</w:t>
            </w:r>
          </w:p>
        </w:tc>
        <w:tc>
          <w:tcPr>
            <w:tcW w:w="6848" w:type="dxa"/>
            <w:shd w:val="clear" w:color="auto" w:fill="auto"/>
            <w:vAlign w:val="center"/>
          </w:tcPr>
          <w:p w14:paraId="2E6DC1B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color w:val="auto"/>
                <w:sz w:val="21"/>
                <w:szCs w:val="21"/>
                <w:highlight w:val="none"/>
                <w:u w:val="none" w:color="auto"/>
                <w:lang w:val="en-US" w:eastAsia="zh-CN"/>
              </w:rPr>
              <w:t>项目厂界外200m以内的范围</w:t>
            </w:r>
          </w:p>
        </w:tc>
      </w:tr>
      <w:tr w14:paraId="627DEF8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21" w:type="dxa"/>
            <w:vAlign w:val="center"/>
          </w:tcPr>
          <w:p w14:paraId="37A061EF">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5</w:t>
            </w:r>
          </w:p>
        </w:tc>
        <w:tc>
          <w:tcPr>
            <w:tcW w:w="1563" w:type="dxa"/>
            <w:shd w:val="clear" w:color="auto" w:fill="auto"/>
            <w:vAlign w:val="center"/>
          </w:tcPr>
          <w:p w14:paraId="7B112B5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color w:val="auto"/>
                <w:sz w:val="21"/>
                <w:szCs w:val="21"/>
                <w:highlight w:val="none"/>
                <w:u w:val="none" w:color="auto"/>
                <w:lang w:val="en-US" w:eastAsia="zh-CN"/>
              </w:rPr>
              <w:t>土壤环境</w:t>
            </w:r>
          </w:p>
        </w:tc>
        <w:tc>
          <w:tcPr>
            <w:tcW w:w="6848" w:type="dxa"/>
            <w:shd w:val="clear" w:color="auto" w:fill="auto"/>
            <w:vAlign w:val="center"/>
          </w:tcPr>
          <w:p w14:paraId="371CC6F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kern w:val="2"/>
                <w:sz w:val="21"/>
                <w:szCs w:val="21"/>
                <w:highlight w:val="none"/>
                <w:u w:val="none" w:color="auto"/>
                <w:lang w:val="en-US" w:eastAsia="zh-CN" w:bidi="ar-SA"/>
              </w:rPr>
              <w:t>项目占地范围内全部以及占地范围外</w:t>
            </w:r>
            <w:r>
              <w:rPr>
                <w:rFonts w:hint="eastAsia" w:cs="Times New Roman"/>
                <w:color w:val="auto"/>
                <w:kern w:val="2"/>
                <w:sz w:val="21"/>
                <w:szCs w:val="21"/>
                <w:highlight w:val="none"/>
                <w:u w:val="none" w:color="auto"/>
                <w:lang w:val="en-US" w:eastAsia="zh-CN" w:bidi="ar-SA"/>
              </w:rPr>
              <w:t>200</w:t>
            </w:r>
            <w:r>
              <w:rPr>
                <w:rFonts w:hint="default" w:ascii="Times New Roman" w:hAnsi="Times New Roman" w:eastAsia="宋体" w:cs="Times New Roman"/>
                <w:color w:val="auto"/>
                <w:kern w:val="2"/>
                <w:sz w:val="21"/>
                <w:szCs w:val="21"/>
                <w:highlight w:val="none"/>
                <w:u w:val="none" w:color="auto"/>
                <w:lang w:val="en-US" w:eastAsia="zh-CN" w:bidi="ar-SA"/>
              </w:rPr>
              <w:t>m范围内</w:t>
            </w:r>
          </w:p>
        </w:tc>
      </w:tr>
      <w:tr w14:paraId="76E93F1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21" w:type="dxa"/>
            <w:vAlign w:val="center"/>
          </w:tcPr>
          <w:p w14:paraId="080108D0">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6</w:t>
            </w:r>
          </w:p>
        </w:tc>
        <w:tc>
          <w:tcPr>
            <w:tcW w:w="1563" w:type="dxa"/>
            <w:shd w:val="clear" w:color="auto" w:fill="auto"/>
            <w:vAlign w:val="center"/>
          </w:tcPr>
          <w:p w14:paraId="6F9E98B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color w:val="auto"/>
                <w:sz w:val="21"/>
                <w:szCs w:val="21"/>
                <w:highlight w:val="none"/>
                <w:u w:val="none" w:color="auto"/>
                <w:lang w:val="en-US" w:eastAsia="zh-CN"/>
              </w:rPr>
              <w:t>生态环境</w:t>
            </w:r>
          </w:p>
        </w:tc>
        <w:tc>
          <w:tcPr>
            <w:tcW w:w="6848" w:type="dxa"/>
            <w:shd w:val="clear" w:color="auto" w:fill="auto"/>
            <w:vAlign w:val="center"/>
          </w:tcPr>
          <w:p w14:paraId="00B94B0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kern w:val="2"/>
                <w:sz w:val="21"/>
                <w:szCs w:val="21"/>
                <w:highlight w:val="none"/>
                <w:u w:val="none" w:color="auto"/>
                <w:lang w:val="en-US" w:eastAsia="zh-CN" w:bidi="ar-SA"/>
              </w:rPr>
              <w:t>项目占地范围内全部以及占地范围外</w:t>
            </w:r>
            <w:r>
              <w:rPr>
                <w:rFonts w:hint="eastAsia" w:cs="Times New Roman"/>
                <w:color w:val="auto"/>
                <w:kern w:val="2"/>
                <w:sz w:val="21"/>
                <w:szCs w:val="21"/>
                <w:highlight w:val="none"/>
                <w:u w:val="none" w:color="auto"/>
                <w:lang w:val="en-US" w:eastAsia="zh-CN" w:bidi="ar-SA"/>
              </w:rPr>
              <w:t>500m</w:t>
            </w:r>
            <w:r>
              <w:rPr>
                <w:rFonts w:hint="default" w:ascii="Times New Roman" w:hAnsi="Times New Roman" w:eastAsia="宋体" w:cs="Times New Roman"/>
                <w:color w:val="auto"/>
                <w:kern w:val="2"/>
                <w:sz w:val="21"/>
                <w:szCs w:val="21"/>
                <w:highlight w:val="none"/>
                <w:u w:val="none" w:color="auto"/>
                <w:lang w:val="en-US" w:eastAsia="zh-CN" w:bidi="ar-SA"/>
              </w:rPr>
              <w:t>范围内</w:t>
            </w:r>
          </w:p>
        </w:tc>
      </w:tr>
      <w:tr w14:paraId="42B0840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21" w:type="dxa"/>
            <w:vAlign w:val="center"/>
          </w:tcPr>
          <w:p w14:paraId="69CD462E">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7</w:t>
            </w:r>
          </w:p>
        </w:tc>
        <w:tc>
          <w:tcPr>
            <w:tcW w:w="1563" w:type="dxa"/>
            <w:shd w:val="clear" w:color="auto" w:fill="auto"/>
            <w:vAlign w:val="center"/>
          </w:tcPr>
          <w:p w14:paraId="76B364A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color w:val="auto"/>
                <w:sz w:val="21"/>
                <w:szCs w:val="21"/>
                <w:highlight w:val="none"/>
                <w:u w:val="none" w:color="auto"/>
                <w:lang w:val="en-US" w:eastAsia="zh-CN"/>
              </w:rPr>
              <w:t>风险评价</w:t>
            </w:r>
          </w:p>
        </w:tc>
        <w:tc>
          <w:tcPr>
            <w:tcW w:w="6848" w:type="dxa"/>
            <w:shd w:val="clear" w:color="auto" w:fill="auto"/>
            <w:vAlign w:val="center"/>
          </w:tcPr>
          <w:p w14:paraId="45C06AA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highlight w:val="yellow"/>
                <w:u w:val="none" w:color="auto"/>
                <w:lang w:val="en-US" w:eastAsia="zh-CN" w:bidi="ar-SA"/>
              </w:rPr>
            </w:pPr>
            <w:r>
              <w:rPr>
                <w:rFonts w:hint="eastAsia" w:cs="Times New Roman"/>
                <w:color w:val="auto"/>
                <w:kern w:val="2"/>
                <w:sz w:val="21"/>
                <w:szCs w:val="21"/>
                <w:highlight w:val="none"/>
                <w:u w:val="none" w:color="auto"/>
                <w:lang w:val="en-US" w:eastAsia="zh-CN" w:bidi="ar-SA"/>
              </w:rPr>
              <w:t>/</w:t>
            </w:r>
          </w:p>
        </w:tc>
      </w:tr>
      <w:tr w14:paraId="1FF4458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9232" w:type="dxa"/>
            <w:gridSpan w:val="3"/>
            <w:vAlign w:val="center"/>
          </w:tcPr>
          <w:p w14:paraId="7B772F85">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宋体" w:cs="Times New Roman"/>
                <w:color w:val="auto"/>
                <w:kern w:val="2"/>
                <w:sz w:val="21"/>
                <w:szCs w:val="21"/>
                <w:highlight w:val="yellow"/>
                <w:u w:val="none" w:color="auto"/>
                <w:lang w:val="en-US" w:eastAsia="zh-CN" w:bidi="ar-SA"/>
              </w:rPr>
            </w:pPr>
            <w:r>
              <w:rPr>
                <w:rFonts w:hint="eastAsia" w:cs="Times New Roman"/>
                <w:color w:val="auto"/>
                <w:kern w:val="2"/>
                <w:sz w:val="21"/>
                <w:szCs w:val="21"/>
                <w:highlight w:val="none"/>
                <w:u w:val="none" w:color="auto"/>
                <w:lang w:val="en-US" w:eastAsia="zh-CN" w:bidi="ar-SA"/>
              </w:rPr>
              <w:t>注：大气环境评价等级为三级，无需设置评价范围，考虑废渣转运填埋会对运输路线周边居民产生影响，综合考虑大气评价范围设置为500m。</w:t>
            </w:r>
          </w:p>
        </w:tc>
      </w:tr>
    </w:tbl>
    <w:p w14:paraId="218A792F">
      <w:pPr>
        <w:pStyle w:val="8"/>
        <w:numPr>
          <w:ilvl w:val="1"/>
          <w:numId w:val="1"/>
        </w:numPr>
        <w:tabs>
          <w:tab w:val="clear" w:pos="420"/>
        </w:tabs>
        <w:bidi w:val="0"/>
        <w:ind w:left="567" w:leftChars="0" w:hanging="567" w:firstLineChars="0"/>
        <w:rPr>
          <w:rFonts w:hint="eastAsia"/>
          <w:highlight w:val="none"/>
          <w:lang w:val="en-US" w:eastAsia="zh-CN"/>
        </w:rPr>
      </w:pPr>
      <w:bookmarkStart w:id="30" w:name="_Toc20950"/>
      <w:r>
        <w:rPr>
          <w:rFonts w:hint="eastAsia"/>
          <w:highlight w:val="none"/>
          <w:lang w:val="en-US" w:eastAsia="zh-CN"/>
        </w:rPr>
        <w:t>环境保护目标</w:t>
      </w:r>
      <w:bookmarkEnd w:id="30"/>
    </w:p>
    <w:p w14:paraId="1DC8684E">
      <w:pPr>
        <w:rPr>
          <w:rFonts w:hint="eastAsia"/>
          <w:highlight w:val="none"/>
          <w:lang w:val="en-US" w:eastAsia="zh-CN"/>
        </w:rPr>
      </w:pPr>
      <w:r>
        <w:rPr>
          <w:rFonts w:hint="eastAsia"/>
          <w:highlight w:val="none"/>
          <w:lang w:val="en-US" w:eastAsia="zh-CN"/>
        </w:rPr>
        <w:t>拟建项目位于岳阳市平江县三阳乡南尧村，根据现场调查，拟建项目周边主要环境保护目标见表2.6-1~表2.6-2。</w:t>
      </w:r>
    </w:p>
    <w:p w14:paraId="2E9160BE">
      <w:pPr>
        <w:ind w:left="0" w:leftChars="0" w:firstLine="0" w:firstLineChars="0"/>
        <w:jc w:val="center"/>
        <w:rPr>
          <w:rFonts w:hint="eastAsia"/>
          <w:b/>
          <w:bCs/>
          <w:sz w:val="21"/>
          <w:szCs w:val="21"/>
          <w:highlight w:val="none"/>
          <w:lang w:val="en-US" w:eastAsia="zh-CN"/>
        </w:rPr>
      </w:pPr>
    </w:p>
    <w:p w14:paraId="27BD456F">
      <w:pPr>
        <w:ind w:left="0" w:leftChars="0" w:firstLine="0" w:firstLineChars="0"/>
        <w:jc w:val="center"/>
        <w:rPr>
          <w:rFonts w:hint="eastAsia"/>
          <w:b/>
          <w:bCs/>
          <w:sz w:val="21"/>
          <w:szCs w:val="21"/>
          <w:highlight w:val="none"/>
          <w:lang w:val="en-US" w:eastAsia="zh-CN"/>
        </w:rPr>
      </w:pPr>
    </w:p>
    <w:p w14:paraId="0D0F13E3">
      <w:pPr>
        <w:ind w:left="0" w:leftChars="0" w:firstLine="0" w:firstLineChars="0"/>
        <w:jc w:val="center"/>
        <w:rPr>
          <w:rFonts w:hint="eastAsia"/>
          <w:b/>
          <w:bCs/>
          <w:sz w:val="21"/>
          <w:szCs w:val="21"/>
          <w:highlight w:val="none"/>
          <w:lang w:val="en-US" w:eastAsia="zh-CN"/>
        </w:rPr>
      </w:pPr>
    </w:p>
    <w:p w14:paraId="6B85192E">
      <w:pPr>
        <w:ind w:left="0" w:leftChars="0" w:firstLine="0" w:firstLineChars="0"/>
        <w:jc w:val="center"/>
        <w:rPr>
          <w:rFonts w:hint="eastAsia"/>
          <w:b/>
          <w:bCs/>
          <w:sz w:val="21"/>
          <w:szCs w:val="21"/>
          <w:highlight w:val="none"/>
          <w:lang w:val="en-US" w:eastAsia="zh-CN"/>
        </w:rPr>
      </w:pPr>
    </w:p>
    <w:p w14:paraId="267BDF94">
      <w:pPr>
        <w:ind w:left="0" w:leftChars="0" w:firstLine="0" w:firstLineChars="0"/>
        <w:jc w:val="center"/>
        <w:rPr>
          <w:rFonts w:hint="eastAsia"/>
          <w:b/>
          <w:bCs/>
          <w:sz w:val="21"/>
          <w:szCs w:val="21"/>
          <w:highlight w:val="none"/>
          <w:lang w:val="en-US" w:eastAsia="zh-CN"/>
        </w:rPr>
      </w:pPr>
    </w:p>
    <w:p w14:paraId="3F63EB6E">
      <w:pPr>
        <w:ind w:left="0" w:leftChars="0" w:firstLine="0" w:firstLineChars="0"/>
        <w:jc w:val="center"/>
        <w:rPr>
          <w:rFonts w:hint="default"/>
          <w:b/>
          <w:bCs/>
          <w:sz w:val="21"/>
          <w:szCs w:val="21"/>
          <w:highlight w:val="none"/>
          <w:lang w:val="en-US" w:eastAsia="zh-CN"/>
        </w:rPr>
      </w:pPr>
      <w:r>
        <w:rPr>
          <w:rFonts w:hint="eastAsia"/>
          <w:b/>
          <w:bCs/>
          <w:sz w:val="21"/>
          <w:szCs w:val="21"/>
          <w:highlight w:val="none"/>
          <w:lang w:val="en-US" w:eastAsia="zh-CN"/>
        </w:rPr>
        <w:t>表2.6-1  环境空气、声环境保护目标一览表</w:t>
      </w:r>
    </w:p>
    <w:tbl>
      <w:tblPr>
        <w:tblStyle w:val="36"/>
        <w:tblW w:w="5034"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
      <w:tblGrid>
        <w:gridCol w:w="1363"/>
        <w:gridCol w:w="1512"/>
        <w:gridCol w:w="559"/>
        <w:gridCol w:w="777"/>
        <w:gridCol w:w="1919"/>
        <w:gridCol w:w="951"/>
        <w:gridCol w:w="975"/>
        <w:gridCol w:w="1078"/>
      </w:tblGrid>
      <w:tr w14:paraId="21AD3F6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746" w:type="pct"/>
            <w:noWrap w:val="0"/>
            <w:vAlign w:val="center"/>
          </w:tcPr>
          <w:p w14:paraId="2873EA91">
            <w:pPr>
              <w:spacing w:line="360" w:lineRule="auto"/>
              <w:ind w:firstLine="0" w:firstLineChars="0"/>
              <w:jc w:val="center"/>
              <w:rPr>
                <w:rFonts w:hint="default" w:ascii="Times New Roman" w:hAnsi="Times New Roman" w:cs="Times New Roman"/>
                <w:b/>
                <w:bCs/>
                <w:color w:val="auto"/>
                <w:sz w:val="21"/>
                <w:szCs w:val="21"/>
                <w:highlight w:val="none"/>
                <w:u w:val="none" w:color="auto"/>
              </w:rPr>
            </w:pPr>
            <w:r>
              <w:rPr>
                <w:rFonts w:hint="default" w:ascii="Times New Roman" w:hAnsi="Times New Roman" w:cs="Times New Roman"/>
                <w:b/>
                <w:bCs/>
                <w:color w:val="auto"/>
                <w:sz w:val="21"/>
                <w:szCs w:val="21"/>
                <w:highlight w:val="none"/>
                <w:u w:val="none" w:color="auto"/>
              </w:rPr>
              <w:t>一</w:t>
            </w:r>
          </w:p>
        </w:tc>
        <w:tc>
          <w:tcPr>
            <w:tcW w:w="4253" w:type="pct"/>
            <w:gridSpan w:val="7"/>
            <w:noWrap w:val="0"/>
            <w:vAlign w:val="center"/>
          </w:tcPr>
          <w:p w14:paraId="7287B6D1">
            <w:pPr>
              <w:spacing w:line="360" w:lineRule="auto"/>
              <w:ind w:firstLine="0" w:firstLineChars="0"/>
              <w:jc w:val="center"/>
              <w:rPr>
                <w:rFonts w:hint="default" w:ascii="Times New Roman" w:hAnsi="Times New Roman" w:cs="Times New Roman"/>
                <w:b/>
                <w:bCs/>
                <w:color w:val="auto"/>
                <w:sz w:val="21"/>
                <w:szCs w:val="21"/>
                <w:highlight w:val="none"/>
                <w:u w:val="none" w:color="auto"/>
              </w:rPr>
            </w:pPr>
            <w:r>
              <w:rPr>
                <w:rFonts w:hint="default" w:ascii="Times New Roman" w:hAnsi="Times New Roman" w:cs="Times New Roman"/>
                <w:b/>
                <w:bCs/>
                <w:color w:val="auto"/>
                <w:sz w:val="21"/>
                <w:szCs w:val="21"/>
                <w:highlight w:val="none"/>
                <w:u w:val="none" w:color="auto"/>
              </w:rPr>
              <w:t>大气环境保护目标</w:t>
            </w:r>
          </w:p>
        </w:tc>
      </w:tr>
      <w:tr w14:paraId="71C5104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746" w:type="pct"/>
            <w:noWrap w:val="0"/>
            <w:vAlign w:val="center"/>
          </w:tcPr>
          <w:p w14:paraId="2DB5911A">
            <w:pPr>
              <w:spacing w:line="240" w:lineRule="auto"/>
              <w:ind w:firstLine="0" w:firstLineChars="0"/>
              <w:jc w:val="center"/>
              <w:rPr>
                <w:rFonts w:hint="default" w:ascii="Times New Roman" w:hAnsi="Times New Roman" w:cs="Times New Roman"/>
                <w:b/>
                <w:bCs/>
                <w:color w:val="auto"/>
                <w:sz w:val="21"/>
                <w:szCs w:val="21"/>
                <w:highlight w:val="none"/>
                <w:u w:val="none" w:color="auto"/>
              </w:rPr>
            </w:pPr>
            <w:r>
              <w:rPr>
                <w:rFonts w:hint="default" w:ascii="Times New Roman" w:hAnsi="Times New Roman" w:cs="Times New Roman"/>
                <w:b/>
                <w:bCs/>
                <w:color w:val="auto"/>
                <w:sz w:val="21"/>
                <w:szCs w:val="21"/>
                <w:highlight w:val="none"/>
                <w:u w:val="none" w:color="auto"/>
              </w:rPr>
              <w:t>名称</w:t>
            </w:r>
          </w:p>
        </w:tc>
        <w:tc>
          <w:tcPr>
            <w:tcW w:w="827" w:type="pct"/>
            <w:noWrap w:val="0"/>
            <w:vAlign w:val="center"/>
          </w:tcPr>
          <w:p w14:paraId="28E1340E">
            <w:pPr>
              <w:spacing w:line="240" w:lineRule="auto"/>
              <w:ind w:firstLine="0" w:firstLineChars="0"/>
              <w:jc w:val="center"/>
              <w:rPr>
                <w:rFonts w:hint="default" w:ascii="Times New Roman" w:hAnsi="Times New Roman" w:cs="Times New Roman"/>
                <w:b/>
                <w:bCs/>
                <w:color w:val="auto"/>
                <w:sz w:val="21"/>
                <w:szCs w:val="21"/>
                <w:highlight w:val="none"/>
                <w:u w:val="none" w:color="auto"/>
              </w:rPr>
            </w:pPr>
            <w:r>
              <w:rPr>
                <w:rFonts w:hint="default" w:ascii="Times New Roman" w:hAnsi="Times New Roman" w:cs="Times New Roman"/>
                <w:b/>
                <w:bCs/>
                <w:color w:val="auto"/>
                <w:sz w:val="21"/>
                <w:szCs w:val="21"/>
                <w:highlight w:val="none"/>
                <w:u w:val="none" w:color="auto"/>
              </w:rPr>
              <w:t>经纬度</w:t>
            </w:r>
          </w:p>
        </w:tc>
        <w:tc>
          <w:tcPr>
            <w:tcW w:w="305" w:type="pct"/>
            <w:noWrap w:val="0"/>
            <w:vAlign w:val="center"/>
          </w:tcPr>
          <w:p w14:paraId="58876B9C">
            <w:pPr>
              <w:spacing w:line="240" w:lineRule="auto"/>
              <w:ind w:firstLine="0" w:firstLineChars="0"/>
              <w:jc w:val="center"/>
              <w:rPr>
                <w:rFonts w:hint="default" w:ascii="Times New Roman" w:hAnsi="Times New Roman" w:cs="Times New Roman"/>
                <w:b/>
                <w:bCs/>
                <w:color w:val="auto"/>
                <w:sz w:val="21"/>
                <w:szCs w:val="21"/>
                <w:highlight w:val="none"/>
                <w:u w:val="none" w:color="auto"/>
              </w:rPr>
            </w:pPr>
            <w:r>
              <w:rPr>
                <w:rFonts w:hint="default" w:ascii="Times New Roman" w:hAnsi="Times New Roman" w:cs="Times New Roman"/>
                <w:b/>
                <w:bCs/>
                <w:color w:val="auto"/>
                <w:sz w:val="21"/>
                <w:szCs w:val="21"/>
                <w:highlight w:val="none"/>
                <w:u w:val="none" w:color="auto"/>
              </w:rPr>
              <w:t>保护</w:t>
            </w:r>
          </w:p>
          <w:p w14:paraId="2C422447">
            <w:pPr>
              <w:spacing w:line="240" w:lineRule="auto"/>
              <w:ind w:firstLine="0" w:firstLineChars="0"/>
              <w:jc w:val="center"/>
              <w:rPr>
                <w:rFonts w:hint="default" w:ascii="Times New Roman" w:hAnsi="Times New Roman" w:cs="Times New Roman"/>
                <w:b/>
                <w:bCs/>
                <w:color w:val="auto"/>
                <w:sz w:val="21"/>
                <w:szCs w:val="21"/>
                <w:highlight w:val="none"/>
                <w:u w:val="none" w:color="auto"/>
              </w:rPr>
            </w:pPr>
            <w:r>
              <w:rPr>
                <w:rFonts w:hint="default" w:ascii="Times New Roman" w:hAnsi="Times New Roman" w:cs="Times New Roman"/>
                <w:b/>
                <w:bCs/>
                <w:color w:val="auto"/>
                <w:sz w:val="21"/>
                <w:szCs w:val="21"/>
                <w:highlight w:val="none"/>
                <w:u w:val="none" w:color="auto"/>
              </w:rPr>
              <w:t>对象</w:t>
            </w:r>
          </w:p>
        </w:tc>
        <w:tc>
          <w:tcPr>
            <w:tcW w:w="425" w:type="pct"/>
            <w:noWrap w:val="0"/>
            <w:vAlign w:val="center"/>
          </w:tcPr>
          <w:p w14:paraId="4A7F14B1">
            <w:pPr>
              <w:spacing w:line="240" w:lineRule="auto"/>
              <w:ind w:firstLine="0" w:firstLineChars="0"/>
              <w:jc w:val="center"/>
              <w:rPr>
                <w:rFonts w:hint="default" w:ascii="Times New Roman" w:hAnsi="Times New Roman" w:cs="Times New Roman"/>
                <w:b/>
                <w:bCs/>
                <w:color w:val="auto"/>
                <w:sz w:val="21"/>
                <w:szCs w:val="21"/>
                <w:highlight w:val="none"/>
                <w:u w:val="none" w:color="auto"/>
              </w:rPr>
            </w:pPr>
            <w:r>
              <w:rPr>
                <w:rFonts w:hint="default" w:ascii="Times New Roman" w:hAnsi="Times New Roman" w:cs="Times New Roman"/>
                <w:b/>
                <w:bCs/>
                <w:color w:val="auto"/>
                <w:sz w:val="21"/>
                <w:szCs w:val="21"/>
                <w:highlight w:val="none"/>
                <w:u w:val="none" w:color="auto"/>
              </w:rPr>
              <w:t>保护</w:t>
            </w:r>
          </w:p>
          <w:p w14:paraId="550DFB69">
            <w:pPr>
              <w:spacing w:line="240" w:lineRule="auto"/>
              <w:ind w:firstLine="0" w:firstLineChars="0"/>
              <w:jc w:val="center"/>
              <w:rPr>
                <w:rFonts w:hint="default" w:ascii="Times New Roman" w:hAnsi="Times New Roman" w:cs="Times New Roman"/>
                <w:b/>
                <w:bCs/>
                <w:color w:val="auto"/>
                <w:sz w:val="21"/>
                <w:szCs w:val="21"/>
                <w:highlight w:val="none"/>
                <w:u w:val="none" w:color="auto"/>
              </w:rPr>
            </w:pPr>
            <w:r>
              <w:rPr>
                <w:rFonts w:hint="default" w:ascii="Times New Roman" w:hAnsi="Times New Roman" w:cs="Times New Roman"/>
                <w:b/>
                <w:bCs/>
                <w:color w:val="auto"/>
                <w:sz w:val="21"/>
                <w:szCs w:val="21"/>
                <w:highlight w:val="none"/>
                <w:u w:val="none" w:color="auto"/>
              </w:rPr>
              <w:t>内容</w:t>
            </w:r>
          </w:p>
        </w:tc>
        <w:tc>
          <w:tcPr>
            <w:tcW w:w="1050" w:type="pct"/>
            <w:noWrap w:val="0"/>
            <w:vAlign w:val="center"/>
          </w:tcPr>
          <w:p w14:paraId="6875CF75">
            <w:pPr>
              <w:spacing w:line="240" w:lineRule="auto"/>
              <w:ind w:firstLine="0" w:firstLineChars="0"/>
              <w:jc w:val="center"/>
              <w:rPr>
                <w:rFonts w:hint="default" w:ascii="Times New Roman" w:hAnsi="Times New Roman" w:cs="Times New Roman"/>
                <w:b/>
                <w:bCs/>
                <w:color w:val="auto"/>
                <w:sz w:val="21"/>
                <w:szCs w:val="21"/>
                <w:highlight w:val="none"/>
                <w:u w:val="none" w:color="auto"/>
              </w:rPr>
            </w:pPr>
            <w:r>
              <w:rPr>
                <w:rFonts w:hint="default" w:ascii="Times New Roman" w:hAnsi="Times New Roman" w:cs="Times New Roman"/>
                <w:b/>
                <w:bCs/>
                <w:color w:val="auto"/>
                <w:sz w:val="21"/>
                <w:szCs w:val="21"/>
                <w:highlight w:val="none"/>
                <w:u w:val="none" w:color="auto"/>
              </w:rPr>
              <w:t>环境功能区</w:t>
            </w:r>
          </w:p>
        </w:tc>
        <w:tc>
          <w:tcPr>
            <w:tcW w:w="520" w:type="pct"/>
            <w:noWrap w:val="0"/>
            <w:vAlign w:val="center"/>
          </w:tcPr>
          <w:p w14:paraId="0EDEF152">
            <w:pPr>
              <w:spacing w:line="240" w:lineRule="auto"/>
              <w:ind w:firstLine="0" w:firstLineChars="0"/>
              <w:jc w:val="center"/>
              <w:rPr>
                <w:rFonts w:hint="default" w:ascii="Times New Roman" w:hAnsi="Times New Roman" w:cs="Times New Roman"/>
                <w:b/>
                <w:bCs/>
                <w:color w:val="auto"/>
                <w:sz w:val="21"/>
                <w:szCs w:val="21"/>
                <w:highlight w:val="none"/>
                <w:u w:val="none" w:color="auto"/>
              </w:rPr>
            </w:pPr>
            <w:r>
              <w:rPr>
                <w:rFonts w:hint="default" w:ascii="Times New Roman" w:hAnsi="Times New Roman" w:cs="Times New Roman"/>
                <w:b/>
                <w:bCs/>
                <w:color w:val="auto"/>
                <w:sz w:val="21"/>
                <w:szCs w:val="21"/>
                <w:highlight w:val="none"/>
                <w:u w:val="none" w:color="auto"/>
              </w:rPr>
              <w:t>相对厂址方位</w:t>
            </w:r>
          </w:p>
        </w:tc>
        <w:tc>
          <w:tcPr>
            <w:tcW w:w="533" w:type="pct"/>
            <w:noWrap w:val="0"/>
            <w:vAlign w:val="center"/>
          </w:tcPr>
          <w:p w14:paraId="24B2326C">
            <w:pPr>
              <w:spacing w:line="240" w:lineRule="auto"/>
              <w:ind w:firstLine="0" w:firstLineChars="0"/>
              <w:jc w:val="center"/>
              <w:rPr>
                <w:rFonts w:hint="default" w:ascii="Times New Roman" w:hAnsi="Times New Roman" w:cs="Times New Roman"/>
                <w:b/>
                <w:bCs/>
                <w:color w:val="auto"/>
                <w:sz w:val="21"/>
                <w:szCs w:val="21"/>
                <w:highlight w:val="none"/>
                <w:u w:val="none" w:color="auto"/>
              </w:rPr>
            </w:pPr>
            <w:r>
              <w:rPr>
                <w:rFonts w:hint="default" w:ascii="Times New Roman" w:hAnsi="Times New Roman" w:cs="Times New Roman"/>
                <w:b/>
                <w:bCs/>
                <w:color w:val="auto"/>
                <w:sz w:val="21"/>
                <w:szCs w:val="21"/>
                <w:highlight w:val="none"/>
                <w:u w:val="none" w:color="auto"/>
              </w:rPr>
              <w:t>相对厂界</w:t>
            </w:r>
          </w:p>
          <w:p w14:paraId="64B46F66">
            <w:pPr>
              <w:spacing w:line="240" w:lineRule="auto"/>
              <w:ind w:firstLine="0" w:firstLineChars="0"/>
              <w:jc w:val="center"/>
              <w:rPr>
                <w:rFonts w:hint="default" w:ascii="Times New Roman" w:hAnsi="Times New Roman" w:cs="Times New Roman"/>
                <w:b/>
                <w:bCs/>
                <w:color w:val="auto"/>
                <w:sz w:val="21"/>
                <w:szCs w:val="21"/>
                <w:highlight w:val="none"/>
                <w:u w:val="none" w:color="auto"/>
              </w:rPr>
            </w:pPr>
            <w:r>
              <w:rPr>
                <w:rFonts w:hint="eastAsia" w:cs="Times New Roman"/>
                <w:b/>
                <w:bCs/>
                <w:color w:val="auto"/>
                <w:sz w:val="21"/>
                <w:szCs w:val="21"/>
                <w:highlight w:val="none"/>
                <w:u w:val="none" w:color="auto"/>
                <w:lang w:val="en-US" w:eastAsia="zh-CN"/>
              </w:rPr>
              <w:t>最近</w:t>
            </w:r>
            <w:r>
              <w:rPr>
                <w:rFonts w:hint="default" w:ascii="Times New Roman" w:hAnsi="Times New Roman" w:cs="Times New Roman"/>
                <w:b/>
                <w:bCs/>
                <w:color w:val="auto"/>
                <w:sz w:val="21"/>
                <w:szCs w:val="21"/>
                <w:highlight w:val="none"/>
                <w:u w:val="none" w:color="auto"/>
              </w:rPr>
              <w:t>距离</w:t>
            </w:r>
          </w:p>
        </w:tc>
        <w:tc>
          <w:tcPr>
            <w:tcW w:w="590" w:type="pct"/>
            <w:noWrap w:val="0"/>
            <w:vAlign w:val="center"/>
          </w:tcPr>
          <w:p w14:paraId="29A70B52">
            <w:pPr>
              <w:spacing w:line="240" w:lineRule="auto"/>
              <w:ind w:firstLine="0" w:firstLineChars="0"/>
              <w:jc w:val="center"/>
              <w:rPr>
                <w:rFonts w:hint="default" w:ascii="Times New Roman" w:hAnsi="Times New Roman" w:cs="Times New Roman"/>
                <w:b/>
                <w:bCs/>
                <w:color w:val="auto"/>
                <w:sz w:val="21"/>
                <w:szCs w:val="21"/>
                <w:highlight w:val="none"/>
                <w:u w:val="none" w:color="auto"/>
              </w:rPr>
            </w:pPr>
            <w:r>
              <w:rPr>
                <w:rFonts w:hint="default" w:ascii="Times New Roman" w:hAnsi="Times New Roman" w:cs="Times New Roman"/>
                <w:b/>
                <w:bCs/>
                <w:color w:val="auto"/>
                <w:sz w:val="21"/>
                <w:szCs w:val="21"/>
                <w:highlight w:val="none"/>
                <w:u w:val="none" w:color="auto"/>
              </w:rPr>
              <w:t>备注</w:t>
            </w:r>
          </w:p>
        </w:tc>
      </w:tr>
      <w:tr w14:paraId="3F508D5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5000" w:type="pct"/>
            <w:gridSpan w:val="8"/>
            <w:noWrap w:val="0"/>
            <w:vAlign w:val="center"/>
          </w:tcPr>
          <w:p w14:paraId="7408028B">
            <w:pPr>
              <w:spacing w:line="360" w:lineRule="auto"/>
              <w:ind w:firstLine="0" w:firstLineChars="0"/>
              <w:jc w:val="center"/>
              <w:rPr>
                <w:rFonts w:hint="default" w:cs="Times New Roman"/>
                <w:color w:val="auto"/>
                <w:kern w:val="2"/>
                <w:sz w:val="21"/>
                <w:szCs w:val="21"/>
                <w:highlight w:val="none"/>
                <w:u w:val="none" w:color="auto"/>
                <w:lang w:val="en-US" w:eastAsia="zh-CN" w:bidi="ar-SA"/>
              </w:rPr>
            </w:pPr>
            <w:r>
              <w:rPr>
                <w:rFonts w:hint="eastAsia" w:cs="Times New Roman"/>
                <w:b/>
                <w:bCs/>
                <w:color w:val="auto"/>
                <w:kern w:val="2"/>
                <w:sz w:val="21"/>
                <w:szCs w:val="21"/>
                <w:highlight w:val="none"/>
                <w:u w:val="none" w:color="auto"/>
                <w:lang w:val="en-US" w:eastAsia="zh-CN" w:bidi="ar-SA"/>
              </w:rPr>
              <w:t>填埋场</w:t>
            </w:r>
          </w:p>
        </w:tc>
      </w:tr>
      <w:tr w14:paraId="51AA4B4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613" w:hRule="atLeast"/>
          <w:jc w:val="center"/>
        </w:trPr>
        <w:tc>
          <w:tcPr>
            <w:tcW w:w="746" w:type="pct"/>
            <w:noWrap w:val="0"/>
            <w:vAlign w:val="center"/>
          </w:tcPr>
          <w:p w14:paraId="31C8DDA4">
            <w:pPr>
              <w:spacing w:line="240" w:lineRule="auto"/>
              <w:ind w:firstLine="0" w:firstLineChars="0"/>
              <w:jc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eastAsia="宋体" w:cs="Times New Roman"/>
                <w:color w:val="auto"/>
                <w:kern w:val="2"/>
                <w:sz w:val="21"/>
                <w:szCs w:val="21"/>
                <w:highlight w:val="none"/>
                <w:u w:val="none" w:color="auto"/>
                <w:lang w:val="en-US" w:eastAsia="zh-CN" w:bidi="ar-SA"/>
              </w:rPr>
              <w:t>1#</w:t>
            </w:r>
            <w:r>
              <w:rPr>
                <w:rFonts w:hint="eastAsia" w:cs="Times New Roman"/>
                <w:color w:val="auto"/>
                <w:kern w:val="2"/>
                <w:sz w:val="21"/>
                <w:szCs w:val="21"/>
                <w:highlight w:val="none"/>
                <w:u w:val="none" w:color="auto"/>
                <w:lang w:val="en-US" w:eastAsia="zh-CN" w:bidi="ar-SA"/>
              </w:rPr>
              <w:t>垂拱组</w:t>
            </w:r>
          </w:p>
        </w:tc>
        <w:tc>
          <w:tcPr>
            <w:tcW w:w="827" w:type="pct"/>
            <w:noWrap w:val="0"/>
            <w:vAlign w:val="center"/>
          </w:tcPr>
          <w:p w14:paraId="5168F0B1">
            <w:pPr>
              <w:spacing w:line="240" w:lineRule="auto"/>
              <w:ind w:firstLine="0" w:firstLineChars="0"/>
              <w:jc w:val="center"/>
              <w:rPr>
                <w:rFonts w:hint="default" w:ascii="Times New Roman" w:hAnsi="Times New Roman" w:cs="Times New Roman"/>
                <w:color w:val="auto"/>
                <w:kern w:val="2"/>
                <w:sz w:val="21"/>
                <w:szCs w:val="21"/>
                <w:highlight w:val="none"/>
                <w:u w:val="none" w:color="auto"/>
                <w:lang w:val="en-US" w:eastAsia="zh-CN" w:bidi="ar-SA"/>
              </w:rPr>
            </w:pPr>
            <w:r>
              <w:rPr>
                <w:rFonts w:hint="eastAsia" w:cs="Times New Roman"/>
                <w:color w:val="auto"/>
                <w:kern w:val="2"/>
                <w:sz w:val="21"/>
                <w:szCs w:val="21"/>
                <w:highlight w:val="none"/>
                <w:u w:val="none" w:color="auto"/>
                <w:lang w:val="en-US" w:eastAsia="zh-CN" w:bidi="ar-SA"/>
              </w:rPr>
              <w:t>113</w:t>
            </w:r>
            <w:r>
              <w:rPr>
                <w:rFonts w:hint="default" w:ascii="Times New Roman" w:hAnsi="Times New Roman" w:cs="Times New Roman"/>
                <w:color w:val="auto"/>
                <w:kern w:val="2"/>
                <w:sz w:val="21"/>
                <w:szCs w:val="21"/>
                <w:highlight w:val="none"/>
                <w:u w:val="none" w:color="auto"/>
                <w:lang w:val="en-US" w:eastAsia="zh-CN" w:bidi="ar-SA"/>
              </w:rPr>
              <w:t>°</w:t>
            </w:r>
            <w:r>
              <w:rPr>
                <w:rFonts w:hint="eastAsia" w:cs="Times New Roman"/>
                <w:color w:val="auto"/>
                <w:kern w:val="2"/>
                <w:sz w:val="21"/>
                <w:szCs w:val="21"/>
                <w:highlight w:val="none"/>
                <w:u w:val="none" w:color="auto"/>
                <w:lang w:val="en-US" w:eastAsia="zh-CN" w:bidi="ar-SA"/>
              </w:rPr>
              <w:t>33</w:t>
            </w:r>
            <w:r>
              <w:rPr>
                <w:rFonts w:hint="default" w:ascii="Times New Roman" w:hAnsi="Times New Roman" w:cs="Times New Roman"/>
                <w:color w:val="auto"/>
                <w:kern w:val="2"/>
                <w:sz w:val="21"/>
                <w:szCs w:val="21"/>
                <w:highlight w:val="none"/>
                <w:u w:val="none" w:color="auto"/>
                <w:lang w:val="en-US" w:eastAsia="zh-CN" w:bidi="ar-SA"/>
              </w:rPr>
              <w:t>′</w:t>
            </w:r>
            <w:r>
              <w:rPr>
                <w:rFonts w:hint="eastAsia" w:cs="Times New Roman"/>
                <w:color w:val="auto"/>
                <w:kern w:val="2"/>
                <w:sz w:val="21"/>
                <w:szCs w:val="21"/>
                <w:highlight w:val="none"/>
                <w:u w:val="none" w:color="auto"/>
                <w:lang w:val="en-US" w:eastAsia="zh-CN" w:bidi="ar-SA"/>
              </w:rPr>
              <w:t>5.62</w:t>
            </w:r>
            <w:r>
              <w:rPr>
                <w:rFonts w:hint="default" w:ascii="Times New Roman" w:hAnsi="Times New Roman" w:cs="Times New Roman"/>
                <w:color w:val="auto"/>
                <w:kern w:val="2"/>
                <w:sz w:val="21"/>
                <w:szCs w:val="21"/>
                <w:highlight w:val="none"/>
                <w:u w:val="none" w:color="auto"/>
                <w:lang w:val="en-US" w:eastAsia="zh-CN" w:bidi="ar-SA"/>
              </w:rPr>
              <w:t>″E；</w:t>
            </w:r>
          </w:p>
          <w:p w14:paraId="59FBD3C2">
            <w:pPr>
              <w:spacing w:line="240" w:lineRule="auto"/>
              <w:ind w:firstLine="0" w:firstLineChars="0"/>
              <w:jc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cs="Times New Roman"/>
                <w:color w:val="auto"/>
                <w:kern w:val="2"/>
                <w:sz w:val="21"/>
                <w:szCs w:val="21"/>
                <w:highlight w:val="none"/>
                <w:u w:val="none" w:color="auto"/>
                <w:lang w:val="en-US" w:eastAsia="zh-CN" w:bidi="ar-SA"/>
              </w:rPr>
              <w:t>28</w:t>
            </w:r>
            <w:r>
              <w:rPr>
                <w:rFonts w:hint="default" w:ascii="Times New Roman" w:hAnsi="Times New Roman" w:cs="Times New Roman"/>
                <w:color w:val="auto"/>
                <w:kern w:val="2"/>
                <w:sz w:val="21"/>
                <w:szCs w:val="21"/>
                <w:highlight w:val="none"/>
                <w:u w:val="none" w:color="auto"/>
                <w:lang w:val="en-US" w:eastAsia="zh-CN" w:bidi="ar-SA"/>
              </w:rPr>
              <w:t>°</w:t>
            </w:r>
            <w:r>
              <w:rPr>
                <w:rFonts w:hint="eastAsia" w:cs="Times New Roman"/>
                <w:color w:val="auto"/>
                <w:kern w:val="2"/>
                <w:sz w:val="21"/>
                <w:szCs w:val="21"/>
                <w:highlight w:val="none"/>
                <w:u w:val="none" w:color="auto"/>
                <w:lang w:val="en-US" w:eastAsia="zh-CN" w:bidi="ar-SA"/>
              </w:rPr>
              <w:t>39</w:t>
            </w:r>
            <w:r>
              <w:rPr>
                <w:rFonts w:hint="default" w:ascii="Times New Roman" w:hAnsi="Times New Roman" w:cs="Times New Roman"/>
                <w:color w:val="auto"/>
                <w:kern w:val="2"/>
                <w:sz w:val="21"/>
                <w:szCs w:val="21"/>
                <w:highlight w:val="none"/>
                <w:u w:val="none" w:color="auto"/>
                <w:lang w:val="en-US" w:eastAsia="zh-CN" w:bidi="ar-SA"/>
              </w:rPr>
              <w:t>′</w:t>
            </w:r>
            <w:r>
              <w:rPr>
                <w:rFonts w:hint="eastAsia" w:cs="Times New Roman"/>
                <w:color w:val="auto"/>
                <w:kern w:val="2"/>
                <w:sz w:val="21"/>
                <w:szCs w:val="21"/>
                <w:highlight w:val="none"/>
                <w:u w:val="none" w:color="auto"/>
                <w:lang w:val="en-US" w:eastAsia="zh-CN" w:bidi="ar-SA"/>
              </w:rPr>
              <w:t>2.40</w:t>
            </w:r>
            <w:r>
              <w:rPr>
                <w:rFonts w:hint="default" w:ascii="Times New Roman" w:hAnsi="Times New Roman" w:cs="Times New Roman"/>
                <w:color w:val="auto"/>
                <w:kern w:val="2"/>
                <w:sz w:val="21"/>
                <w:szCs w:val="21"/>
                <w:highlight w:val="none"/>
                <w:u w:val="none" w:color="auto"/>
                <w:lang w:val="en-US" w:eastAsia="zh-CN" w:bidi="ar-SA"/>
              </w:rPr>
              <w:t>″N</w:t>
            </w:r>
          </w:p>
        </w:tc>
        <w:tc>
          <w:tcPr>
            <w:tcW w:w="305" w:type="pct"/>
            <w:noWrap w:val="0"/>
            <w:vAlign w:val="center"/>
          </w:tcPr>
          <w:p w14:paraId="4F3E7C1D">
            <w:pPr>
              <w:spacing w:line="240" w:lineRule="auto"/>
              <w:ind w:firstLine="0" w:firstLineChars="0"/>
              <w:jc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cs="Times New Roman"/>
                <w:color w:val="auto"/>
                <w:kern w:val="2"/>
                <w:sz w:val="21"/>
                <w:szCs w:val="21"/>
                <w:highlight w:val="none"/>
                <w:u w:val="none" w:color="auto"/>
                <w:lang w:val="en-US" w:eastAsia="zh-CN" w:bidi="ar-SA"/>
              </w:rPr>
              <w:t>人群</w:t>
            </w:r>
          </w:p>
        </w:tc>
        <w:tc>
          <w:tcPr>
            <w:tcW w:w="425" w:type="pct"/>
            <w:noWrap w:val="0"/>
            <w:vAlign w:val="center"/>
          </w:tcPr>
          <w:p w14:paraId="776CB5AE">
            <w:pPr>
              <w:spacing w:line="240" w:lineRule="auto"/>
              <w:ind w:firstLine="0" w:firstLineChars="0"/>
              <w:jc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cs="Times New Roman"/>
                <w:color w:val="auto"/>
                <w:kern w:val="2"/>
                <w:sz w:val="21"/>
                <w:szCs w:val="21"/>
                <w:highlight w:val="none"/>
                <w:u w:val="none" w:color="auto"/>
                <w:lang w:val="en-US" w:eastAsia="zh-CN" w:bidi="ar-SA"/>
              </w:rPr>
              <w:t>村庄</w:t>
            </w:r>
          </w:p>
        </w:tc>
        <w:tc>
          <w:tcPr>
            <w:tcW w:w="1050" w:type="pct"/>
            <w:vMerge w:val="restart"/>
            <w:noWrap w:val="0"/>
            <w:vAlign w:val="center"/>
          </w:tcPr>
          <w:p w14:paraId="1F12056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FF0000"/>
                <w:sz w:val="21"/>
                <w:szCs w:val="21"/>
                <w:highlight w:val="yellow"/>
                <w:u w:val="none" w:color="auto"/>
                <w:lang w:val="en-US"/>
              </w:rPr>
            </w:pPr>
            <w:r>
              <w:rPr>
                <w:rFonts w:hint="default" w:ascii="Times New Roman" w:hAnsi="Times New Roman" w:cs="Times New Roman"/>
                <w:color w:val="auto"/>
                <w:sz w:val="21"/>
                <w:szCs w:val="21"/>
                <w:highlight w:val="none"/>
                <w:u w:val="none" w:color="auto"/>
                <w:lang w:val="en-US" w:eastAsia="zh-CN"/>
              </w:rPr>
              <w:t>《环境空气质量标准》（GB3095-2012）二类</w:t>
            </w:r>
            <w:r>
              <w:rPr>
                <w:rFonts w:hint="eastAsia" w:cs="Times New Roman"/>
                <w:color w:val="auto"/>
                <w:sz w:val="21"/>
                <w:szCs w:val="21"/>
                <w:highlight w:val="none"/>
                <w:u w:val="none" w:color="auto"/>
                <w:lang w:val="en-US" w:eastAsia="zh-CN"/>
              </w:rPr>
              <w:t>区</w:t>
            </w:r>
          </w:p>
        </w:tc>
        <w:tc>
          <w:tcPr>
            <w:tcW w:w="520" w:type="pct"/>
            <w:noWrap w:val="0"/>
            <w:vAlign w:val="center"/>
          </w:tcPr>
          <w:p w14:paraId="659B258B">
            <w:pPr>
              <w:spacing w:line="240" w:lineRule="auto"/>
              <w:ind w:firstLine="0" w:firstLineChars="0"/>
              <w:jc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cs="Times New Roman"/>
                <w:color w:val="auto"/>
                <w:kern w:val="2"/>
                <w:sz w:val="21"/>
                <w:szCs w:val="21"/>
                <w:highlight w:val="none"/>
                <w:u w:val="none" w:color="auto"/>
                <w:lang w:val="en-US" w:eastAsia="zh-CN" w:bidi="ar-SA"/>
              </w:rPr>
              <w:t>北</w:t>
            </w:r>
          </w:p>
        </w:tc>
        <w:tc>
          <w:tcPr>
            <w:tcW w:w="533" w:type="pct"/>
            <w:noWrap w:val="0"/>
            <w:vAlign w:val="center"/>
          </w:tcPr>
          <w:p w14:paraId="0CDEE418">
            <w:pPr>
              <w:spacing w:line="240" w:lineRule="auto"/>
              <w:ind w:firstLine="0" w:firstLineChars="0"/>
              <w:jc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cs="Times New Roman"/>
                <w:color w:val="auto"/>
                <w:kern w:val="2"/>
                <w:sz w:val="21"/>
                <w:szCs w:val="21"/>
                <w:highlight w:val="none"/>
                <w:u w:val="none" w:color="auto"/>
                <w:lang w:val="en-US" w:eastAsia="zh-CN" w:bidi="ar-SA"/>
              </w:rPr>
              <w:t>270m</w:t>
            </w:r>
          </w:p>
        </w:tc>
        <w:tc>
          <w:tcPr>
            <w:tcW w:w="590" w:type="pct"/>
            <w:noWrap w:val="0"/>
            <w:vAlign w:val="center"/>
          </w:tcPr>
          <w:p w14:paraId="20D065A2">
            <w:pPr>
              <w:spacing w:line="240" w:lineRule="auto"/>
              <w:ind w:firstLine="0" w:firstLineChars="0"/>
              <w:jc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cs="Times New Roman"/>
                <w:color w:val="auto"/>
                <w:kern w:val="2"/>
                <w:sz w:val="21"/>
                <w:szCs w:val="21"/>
                <w:highlight w:val="none"/>
                <w:u w:val="none" w:color="auto"/>
                <w:lang w:val="en-US" w:eastAsia="zh-CN" w:bidi="ar-SA"/>
              </w:rPr>
              <w:t>约5户</w:t>
            </w:r>
          </w:p>
        </w:tc>
      </w:tr>
      <w:tr w14:paraId="6430F7D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746" w:type="pct"/>
            <w:noWrap w:val="0"/>
            <w:vAlign w:val="center"/>
          </w:tcPr>
          <w:p w14:paraId="28E75D74">
            <w:pPr>
              <w:spacing w:line="240" w:lineRule="auto"/>
              <w:ind w:firstLine="0" w:firstLineChars="0"/>
              <w:jc w:val="center"/>
              <w:rPr>
                <w:rFonts w:hint="default" w:cs="Times New Roman"/>
                <w:color w:val="auto"/>
                <w:kern w:val="2"/>
                <w:sz w:val="21"/>
                <w:szCs w:val="21"/>
                <w:highlight w:val="none"/>
                <w:u w:val="none" w:color="auto"/>
                <w:lang w:val="en-US" w:eastAsia="zh-CN" w:bidi="ar-SA"/>
              </w:rPr>
            </w:pPr>
            <w:r>
              <w:rPr>
                <w:rFonts w:hint="default" w:cs="Times New Roman"/>
                <w:color w:val="auto"/>
                <w:kern w:val="2"/>
                <w:sz w:val="21"/>
                <w:szCs w:val="21"/>
                <w:highlight w:val="none"/>
                <w:u w:val="none" w:color="auto"/>
                <w:lang w:val="en-US" w:eastAsia="zh-CN" w:bidi="ar-SA"/>
              </w:rPr>
              <w:t>2#</w:t>
            </w:r>
            <w:r>
              <w:rPr>
                <w:rFonts w:hint="eastAsia" w:cs="Times New Roman"/>
                <w:color w:val="auto"/>
                <w:kern w:val="2"/>
                <w:sz w:val="21"/>
                <w:szCs w:val="21"/>
                <w:highlight w:val="none"/>
                <w:u w:val="none" w:color="auto"/>
                <w:lang w:val="en-US" w:eastAsia="zh-CN" w:bidi="ar-SA"/>
              </w:rPr>
              <w:t>仙人组</w:t>
            </w:r>
          </w:p>
        </w:tc>
        <w:tc>
          <w:tcPr>
            <w:tcW w:w="827" w:type="pct"/>
            <w:noWrap w:val="0"/>
            <w:vAlign w:val="center"/>
          </w:tcPr>
          <w:p w14:paraId="5EB083D4">
            <w:pPr>
              <w:spacing w:line="240" w:lineRule="auto"/>
              <w:ind w:firstLine="0" w:firstLineChars="0"/>
              <w:jc w:val="center"/>
              <w:rPr>
                <w:rFonts w:hint="default" w:ascii="Times New Roman" w:hAnsi="Times New Roman" w:cs="Times New Roman"/>
                <w:color w:val="auto"/>
                <w:kern w:val="2"/>
                <w:sz w:val="21"/>
                <w:szCs w:val="21"/>
                <w:highlight w:val="none"/>
                <w:u w:val="none" w:color="auto"/>
                <w:lang w:val="en-US" w:eastAsia="zh-CN" w:bidi="ar-SA"/>
              </w:rPr>
            </w:pPr>
            <w:r>
              <w:rPr>
                <w:rFonts w:hint="eastAsia" w:ascii="Times New Roman" w:hAnsi="Times New Roman" w:cs="Times New Roman"/>
                <w:color w:val="auto"/>
                <w:kern w:val="2"/>
                <w:sz w:val="21"/>
                <w:szCs w:val="21"/>
                <w:highlight w:val="none"/>
                <w:u w:val="none" w:color="auto"/>
                <w:lang w:val="en-US" w:eastAsia="zh-CN" w:bidi="ar-SA"/>
              </w:rPr>
              <w:t>113</w:t>
            </w:r>
            <w:r>
              <w:rPr>
                <w:rFonts w:hint="default" w:ascii="Times New Roman" w:hAnsi="Times New Roman" w:cs="Times New Roman"/>
                <w:color w:val="auto"/>
                <w:kern w:val="2"/>
                <w:sz w:val="21"/>
                <w:szCs w:val="21"/>
                <w:highlight w:val="none"/>
                <w:u w:val="none" w:color="auto"/>
                <w:lang w:val="en-US" w:eastAsia="zh-CN" w:bidi="ar-SA"/>
              </w:rPr>
              <w:t>°</w:t>
            </w:r>
            <w:r>
              <w:rPr>
                <w:rFonts w:hint="eastAsia" w:ascii="Times New Roman" w:hAnsi="Times New Roman" w:cs="Times New Roman"/>
                <w:color w:val="auto"/>
                <w:kern w:val="2"/>
                <w:sz w:val="21"/>
                <w:szCs w:val="21"/>
                <w:highlight w:val="none"/>
                <w:u w:val="none" w:color="auto"/>
                <w:lang w:val="en-US" w:eastAsia="zh-CN" w:bidi="ar-SA"/>
              </w:rPr>
              <w:t>32</w:t>
            </w:r>
            <w:r>
              <w:rPr>
                <w:rFonts w:hint="default" w:ascii="Times New Roman" w:hAnsi="Times New Roman" w:cs="Times New Roman"/>
                <w:color w:val="auto"/>
                <w:kern w:val="2"/>
                <w:sz w:val="21"/>
                <w:szCs w:val="21"/>
                <w:highlight w:val="none"/>
                <w:u w:val="none" w:color="auto"/>
                <w:lang w:val="en-US" w:eastAsia="zh-CN" w:bidi="ar-SA"/>
              </w:rPr>
              <w:t>′</w:t>
            </w:r>
            <w:r>
              <w:rPr>
                <w:rFonts w:hint="eastAsia" w:ascii="Times New Roman" w:hAnsi="Times New Roman" w:cs="Times New Roman"/>
                <w:color w:val="auto"/>
                <w:kern w:val="2"/>
                <w:sz w:val="21"/>
                <w:szCs w:val="21"/>
                <w:highlight w:val="none"/>
                <w:u w:val="none" w:color="auto"/>
                <w:lang w:val="en-US" w:eastAsia="zh-CN" w:bidi="ar-SA"/>
              </w:rPr>
              <w:t>50.86</w:t>
            </w:r>
            <w:r>
              <w:rPr>
                <w:rFonts w:hint="default" w:ascii="Times New Roman" w:hAnsi="Times New Roman" w:cs="Times New Roman"/>
                <w:color w:val="auto"/>
                <w:kern w:val="2"/>
                <w:sz w:val="21"/>
                <w:szCs w:val="21"/>
                <w:highlight w:val="none"/>
                <w:u w:val="none" w:color="auto"/>
                <w:lang w:val="en-US" w:eastAsia="zh-CN" w:bidi="ar-SA"/>
              </w:rPr>
              <w:t>″E；</w:t>
            </w:r>
          </w:p>
          <w:p w14:paraId="6C0B631D">
            <w:pPr>
              <w:spacing w:line="240" w:lineRule="auto"/>
              <w:ind w:firstLine="0" w:firstLineChars="0"/>
              <w:jc w:val="center"/>
              <w:rPr>
                <w:rFonts w:hint="default" w:ascii="Times New Roman" w:hAnsi="Times New Roman" w:cs="Times New Roman"/>
                <w:color w:val="auto"/>
                <w:kern w:val="2"/>
                <w:sz w:val="21"/>
                <w:szCs w:val="21"/>
                <w:highlight w:val="none"/>
                <w:u w:val="none" w:color="auto"/>
                <w:lang w:val="en-US" w:eastAsia="zh-CN" w:bidi="ar-SA"/>
              </w:rPr>
            </w:pPr>
            <w:r>
              <w:rPr>
                <w:rFonts w:hint="eastAsia" w:ascii="Times New Roman" w:hAnsi="Times New Roman" w:cs="Times New Roman"/>
                <w:color w:val="auto"/>
                <w:kern w:val="2"/>
                <w:sz w:val="21"/>
                <w:szCs w:val="21"/>
                <w:highlight w:val="none"/>
                <w:u w:val="none" w:color="auto"/>
                <w:lang w:val="en-US" w:eastAsia="zh-CN" w:bidi="ar-SA"/>
              </w:rPr>
              <w:t>28</w:t>
            </w:r>
            <w:r>
              <w:rPr>
                <w:rFonts w:hint="default" w:ascii="Times New Roman" w:hAnsi="Times New Roman" w:cs="Times New Roman"/>
                <w:color w:val="auto"/>
                <w:kern w:val="2"/>
                <w:sz w:val="21"/>
                <w:szCs w:val="21"/>
                <w:highlight w:val="none"/>
                <w:u w:val="none" w:color="auto"/>
                <w:lang w:val="en-US" w:eastAsia="zh-CN" w:bidi="ar-SA"/>
              </w:rPr>
              <w:t>°</w:t>
            </w:r>
            <w:r>
              <w:rPr>
                <w:rFonts w:hint="eastAsia" w:ascii="Times New Roman" w:hAnsi="Times New Roman" w:cs="Times New Roman"/>
                <w:color w:val="auto"/>
                <w:kern w:val="2"/>
                <w:sz w:val="21"/>
                <w:szCs w:val="21"/>
                <w:highlight w:val="none"/>
                <w:u w:val="none" w:color="auto"/>
                <w:lang w:val="en-US" w:eastAsia="zh-CN" w:bidi="ar-SA"/>
              </w:rPr>
              <w:t>39</w:t>
            </w:r>
            <w:r>
              <w:rPr>
                <w:rFonts w:hint="default" w:ascii="Times New Roman" w:hAnsi="Times New Roman" w:cs="Times New Roman"/>
                <w:color w:val="auto"/>
                <w:kern w:val="2"/>
                <w:sz w:val="21"/>
                <w:szCs w:val="21"/>
                <w:highlight w:val="none"/>
                <w:u w:val="none" w:color="auto"/>
                <w:lang w:val="en-US" w:eastAsia="zh-CN" w:bidi="ar-SA"/>
              </w:rPr>
              <w:t>′</w:t>
            </w:r>
            <w:r>
              <w:rPr>
                <w:rFonts w:hint="eastAsia" w:ascii="Times New Roman" w:hAnsi="Times New Roman" w:cs="Times New Roman"/>
                <w:color w:val="auto"/>
                <w:kern w:val="2"/>
                <w:sz w:val="21"/>
                <w:szCs w:val="21"/>
                <w:highlight w:val="none"/>
                <w:u w:val="none" w:color="auto"/>
                <w:lang w:val="en-US" w:eastAsia="zh-CN" w:bidi="ar-SA"/>
              </w:rPr>
              <w:t>2.94</w:t>
            </w:r>
            <w:r>
              <w:rPr>
                <w:rFonts w:hint="default" w:ascii="Times New Roman" w:hAnsi="Times New Roman" w:cs="Times New Roman"/>
                <w:color w:val="auto"/>
                <w:kern w:val="2"/>
                <w:sz w:val="21"/>
                <w:szCs w:val="21"/>
                <w:highlight w:val="none"/>
                <w:u w:val="none" w:color="auto"/>
                <w:lang w:val="en-US" w:eastAsia="zh-CN" w:bidi="ar-SA"/>
              </w:rPr>
              <w:t>″N</w:t>
            </w:r>
          </w:p>
        </w:tc>
        <w:tc>
          <w:tcPr>
            <w:tcW w:w="305" w:type="pct"/>
            <w:noWrap w:val="0"/>
            <w:vAlign w:val="center"/>
          </w:tcPr>
          <w:p w14:paraId="76690DB1">
            <w:pPr>
              <w:spacing w:line="240" w:lineRule="auto"/>
              <w:ind w:firstLine="0" w:firstLineChars="0"/>
              <w:jc w:val="center"/>
              <w:rPr>
                <w:rFonts w:hint="eastAsia" w:ascii="Times New Roman" w:hAnsi="Times New Roman" w:eastAsia="宋体" w:cs="Times New Roman"/>
                <w:color w:val="auto"/>
                <w:kern w:val="2"/>
                <w:sz w:val="21"/>
                <w:szCs w:val="21"/>
                <w:highlight w:val="none"/>
                <w:u w:val="none" w:color="auto"/>
                <w:lang w:val="en-US" w:eastAsia="zh-CN" w:bidi="ar-SA"/>
              </w:rPr>
            </w:pPr>
            <w:r>
              <w:rPr>
                <w:rFonts w:hint="eastAsia" w:cs="Times New Roman"/>
                <w:color w:val="auto"/>
                <w:kern w:val="2"/>
                <w:sz w:val="21"/>
                <w:szCs w:val="21"/>
                <w:highlight w:val="none"/>
                <w:u w:val="none" w:color="auto"/>
                <w:lang w:val="en-US" w:eastAsia="zh-CN" w:bidi="ar-SA"/>
              </w:rPr>
              <w:t>人群</w:t>
            </w:r>
          </w:p>
        </w:tc>
        <w:tc>
          <w:tcPr>
            <w:tcW w:w="425" w:type="pct"/>
            <w:noWrap w:val="0"/>
            <w:vAlign w:val="center"/>
          </w:tcPr>
          <w:p w14:paraId="52188323">
            <w:pPr>
              <w:spacing w:line="240" w:lineRule="auto"/>
              <w:ind w:firstLine="0" w:firstLineChars="0"/>
              <w:jc w:val="center"/>
              <w:rPr>
                <w:rFonts w:hint="eastAsia" w:ascii="Times New Roman" w:hAnsi="Times New Roman" w:eastAsia="宋体" w:cs="Times New Roman"/>
                <w:color w:val="auto"/>
                <w:kern w:val="2"/>
                <w:sz w:val="21"/>
                <w:szCs w:val="21"/>
                <w:highlight w:val="none"/>
                <w:u w:val="none" w:color="auto"/>
                <w:lang w:val="en-US" w:eastAsia="zh-CN" w:bidi="ar-SA"/>
              </w:rPr>
            </w:pPr>
            <w:r>
              <w:rPr>
                <w:rFonts w:hint="eastAsia" w:cs="Times New Roman"/>
                <w:color w:val="auto"/>
                <w:kern w:val="2"/>
                <w:sz w:val="21"/>
                <w:szCs w:val="21"/>
                <w:highlight w:val="none"/>
                <w:u w:val="none" w:color="auto"/>
                <w:lang w:val="en-US" w:eastAsia="zh-CN" w:bidi="ar-SA"/>
              </w:rPr>
              <w:t>村庄</w:t>
            </w:r>
          </w:p>
        </w:tc>
        <w:tc>
          <w:tcPr>
            <w:tcW w:w="1050" w:type="pct"/>
            <w:vMerge w:val="continue"/>
            <w:noWrap w:val="0"/>
            <w:vAlign w:val="center"/>
          </w:tcPr>
          <w:p w14:paraId="569D2E8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yellow"/>
                <w:u w:val="none" w:color="auto"/>
                <w:lang w:val="en-US" w:eastAsia="zh-CN"/>
              </w:rPr>
            </w:pPr>
          </w:p>
        </w:tc>
        <w:tc>
          <w:tcPr>
            <w:tcW w:w="520" w:type="pct"/>
            <w:noWrap w:val="0"/>
            <w:vAlign w:val="center"/>
          </w:tcPr>
          <w:p w14:paraId="1304885B">
            <w:pPr>
              <w:spacing w:line="240" w:lineRule="auto"/>
              <w:ind w:firstLine="0" w:firstLineChars="0"/>
              <w:jc w:val="center"/>
              <w:rPr>
                <w:rFonts w:hint="default" w:cs="Times New Roman"/>
                <w:color w:val="auto"/>
                <w:kern w:val="2"/>
                <w:sz w:val="21"/>
                <w:szCs w:val="21"/>
                <w:highlight w:val="none"/>
                <w:u w:val="none" w:color="auto"/>
                <w:lang w:val="en-US" w:eastAsia="zh-CN" w:bidi="ar-SA"/>
              </w:rPr>
            </w:pPr>
            <w:r>
              <w:rPr>
                <w:rFonts w:hint="eastAsia" w:cs="Times New Roman"/>
                <w:color w:val="auto"/>
                <w:kern w:val="2"/>
                <w:sz w:val="21"/>
                <w:szCs w:val="21"/>
                <w:highlight w:val="none"/>
                <w:u w:val="none" w:color="auto"/>
                <w:lang w:val="en-US" w:eastAsia="zh-CN" w:bidi="ar-SA"/>
              </w:rPr>
              <w:t>西北</w:t>
            </w:r>
          </w:p>
        </w:tc>
        <w:tc>
          <w:tcPr>
            <w:tcW w:w="533" w:type="pct"/>
            <w:noWrap w:val="0"/>
            <w:vAlign w:val="center"/>
          </w:tcPr>
          <w:p w14:paraId="2161642B">
            <w:pPr>
              <w:spacing w:line="240" w:lineRule="auto"/>
              <w:ind w:firstLine="0" w:firstLineChars="0"/>
              <w:jc w:val="center"/>
              <w:rPr>
                <w:rFonts w:hint="default" w:cs="Times New Roman"/>
                <w:color w:val="auto"/>
                <w:kern w:val="2"/>
                <w:sz w:val="21"/>
                <w:szCs w:val="21"/>
                <w:highlight w:val="none"/>
                <w:u w:val="none" w:color="auto"/>
                <w:lang w:val="en-US" w:eastAsia="zh-CN" w:bidi="ar-SA"/>
              </w:rPr>
            </w:pPr>
            <w:r>
              <w:rPr>
                <w:rFonts w:hint="eastAsia" w:cs="Times New Roman"/>
                <w:color w:val="auto"/>
                <w:kern w:val="2"/>
                <w:sz w:val="21"/>
                <w:szCs w:val="21"/>
                <w:highlight w:val="none"/>
                <w:u w:val="none" w:color="auto"/>
                <w:lang w:val="en-US" w:eastAsia="zh-CN" w:bidi="ar-SA"/>
              </w:rPr>
              <w:t>480m</w:t>
            </w:r>
          </w:p>
        </w:tc>
        <w:tc>
          <w:tcPr>
            <w:tcW w:w="590" w:type="pct"/>
            <w:noWrap w:val="0"/>
            <w:vAlign w:val="center"/>
          </w:tcPr>
          <w:p w14:paraId="697F83E6">
            <w:pPr>
              <w:spacing w:line="240" w:lineRule="auto"/>
              <w:ind w:firstLine="0" w:firstLineChars="0"/>
              <w:jc w:val="center"/>
              <w:rPr>
                <w:rFonts w:hint="default" w:cs="Times New Roman"/>
                <w:color w:val="auto"/>
                <w:kern w:val="2"/>
                <w:sz w:val="21"/>
                <w:szCs w:val="21"/>
                <w:highlight w:val="none"/>
                <w:u w:val="none" w:color="auto"/>
                <w:lang w:val="en-US" w:eastAsia="zh-CN" w:bidi="ar-SA"/>
              </w:rPr>
            </w:pPr>
            <w:r>
              <w:rPr>
                <w:rFonts w:hint="eastAsia" w:cs="Times New Roman"/>
                <w:color w:val="auto"/>
                <w:kern w:val="2"/>
                <w:sz w:val="21"/>
                <w:szCs w:val="21"/>
                <w:highlight w:val="none"/>
                <w:u w:val="none" w:color="auto"/>
                <w:lang w:val="en-US" w:eastAsia="zh-CN" w:bidi="ar-SA"/>
              </w:rPr>
              <w:t>约8户</w:t>
            </w:r>
          </w:p>
        </w:tc>
      </w:tr>
      <w:tr w14:paraId="0321F03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746" w:type="pct"/>
            <w:noWrap w:val="0"/>
            <w:vAlign w:val="center"/>
          </w:tcPr>
          <w:p w14:paraId="510A8A49">
            <w:pPr>
              <w:spacing w:line="240" w:lineRule="auto"/>
              <w:ind w:firstLine="0" w:firstLineChars="0"/>
              <w:jc w:val="center"/>
              <w:rPr>
                <w:rFonts w:hint="default" w:cs="Times New Roman"/>
                <w:color w:val="auto"/>
                <w:kern w:val="2"/>
                <w:sz w:val="21"/>
                <w:szCs w:val="21"/>
                <w:highlight w:val="none"/>
                <w:u w:val="none" w:color="auto"/>
                <w:lang w:val="en-US" w:eastAsia="zh-CN" w:bidi="ar-SA"/>
              </w:rPr>
            </w:pPr>
            <w:r>
              <w:rPr>
                <w:rFonts w:hint="default" w:cs="Times New Roman"/>
                <w:color w:val="auto"/>
                <w:kern w:val="2"/>
                <w:sz w:val="21"/>
                <w:szCs w:val="21"/>
                <w:highlight w:val="none"/>
                <w:u w:val="none" w:color="auto"/>
                <w:lang w:val="en-US" w:eastAsia="zh-CN" w:bidi="ar-SA"/>
              </w:rPr>
              <w:t>3#</w:t>
            </w:r>
            <w:r>
              <w:rPr>
                <w:rFonts w:hint="eastAsia" w:cs="Times New Roman"/>
                <w:color w:val="auto"/>
                <w:kern w:val="2"/>
                <w:sz w:val="21"/>
                <w:szCs w:val="21"/>
                <w:highlight w:val="none"/>
                <w:u w:val="none" w:color="auto"/>
                <w:lang w:val="en-US" w:eastAsia="zh-CN" w:bidi="ar-SA"/>
              </w:rPr>
              <w:t>鲁沅洞</w:t>
            </w:r>
          </w:p>
        </w:tc>
        <w:tc>
          <w:tcPr>
            <w:tcW w:w="827" w:type="pct"/>
            <w:noWrap w:val="0"/>
            <w:vAlign w:val="center"/>
          </w:tcPr>
          <w:p w14:paraId="018E71BB">
            <w:pPr>
              <w:spacing w:line="240" w:lineRule="auto"/>
              <w:ind w:firstLine="0" w:firstLineChars="0"/>
              <w:jc w:val="center"/>
              <w:rPr>
                <w:rFonts w:hint="default" w:ascii="Times New Roman" w:hAnsi="Times New Roman" w:cs="Times New Roman"/>
                <w:color w:val="auto"/>
                <w:kern w:val="2"/>
                <w:sz w:val="21"/>
                <w:szCs w:val="21"/>
                <w:highlight w:val="none"/>
                <w:u w:val="none" w:color="auto"/>
                <w:lang w:val="en-US" w:eastAsia="zh-CN" w:bidi="ar-SA"/>
              </w:rPr>
            </w:pPr>
            <w:r>
              <w:rPr>
                <w:rFonts w:hint="eastAsia" w:ascii="Times New Roman" w:hAnsi="Times New Roman" w:cs="Times New Roman"/>
                <w:color w:val="auto"/>
                <w:kern w:val="2"/>
                <w:sz w:val="21"/>
                <w:szCs w:val="21"/>
                <w:highlight w:val="none"/>
                <w:u w:val="none" w:color="auto"/>
                <w:lang w:val="en-US" w:eastAsia="zh-CN" w:bidi="ar-SA"/>
              </w:rPr>
              <w:t>113</w:t>
            </w:r>
            <w:r>
              <w:rPr>
                <w:rFonts w:hint="default" w:ascii="Times New Roman" w:hAnsi="Times New Roman" w:cs="Times New Roman"/>
                <w:color w:val="auto"/>
                <w:kern w:val="2"/>
                <w:sz w:val="21"/>
                <w:szCs w:val="21"/>
                <w:highlight w:val="none"/>
                <w:u w:val="none" w:color="auto"/>
                <w:lang w:val="en-US" w:eastAsia="zh-CN" w:bidi="ar-SA"/>
              </w:rPr>
              <w:t>°</w:t>
            </w:r>
            <w:r>
              <w:rPr>
                <w:rFonts w:hint="eastAsia" w:ascii="Times New Roman" w:hAnsi="Times New Roman" w:cs="Times New Roman"/>
                <w:color w:val="auto"/>
                <w:kern w:val="2"/>
                <w:sz w:val="21"/>
                <w:szCs w:val="21"/>
                <w:highlight w:val="none"/>
                <w:u w:val="none" w:color="auto"/>
                <w:lang w:val="en-US" w:eastAsia="zh-CN" w:bidi="ar-SA"/>
              </w:rPr>
              <w:t>32</w:t>
            </w:r>
            <w:r>
              <w:rPr>
                <w:rFonts w:hint="default" w:ascii="Times New Roman" w:hAnsi="Times New Roman" w:cs="Times New Roman"/>
                <w:color w:val="auto"/>
                <w:kern w:val="2"/>
                <w:sz w:val="21"/>
                <w:szCs w:val="21"/>
                <w:highlight w:val="none"/>
                <w:u w:val="none" w:color="auto"/>
                <w:lang w:val="en-US" w:eastAsia="zh-CN" w:bidi="ar-SA"/>
              </w:rPr>
              <w:t>′</w:t>
            </w:r>
            <w:r>
              <w:rPr>
                <w:rFonts w:hint="eastAsia" w:ascii="Times New Roman" w:hAnsi="Times New Roman" w:cs="Times New Roman"/>
                <w:color w:val="auto"/>
                <w:kern w:val="2"/>
                <w:sz w:val="21"/>
                <w:szCs w:val="21"/>
                <w:highlight w:val="none"/>
                <w:u w:val="none" w:color="auto"/>
                <w:lang w:val="en-US" w:eastAsia="zh-CN" w:bidi="ar-SA"/>
              </w:rPr>
              <w:t>48.39</w:t>
            </w:r>
            <w:r>
              <w:rPr>
                <w:rFonts w:hint="default" w:ascii="Times New Roman" w:hAnsi="Times New Roman" w:cs="Times New Roman"/>
                <w:color w:val="auto"/>
                <w:kern w:val="2"/>
                <w:sz w:val="21"/>
                <w:szCs w:val="21"/>
                <w:highlight w:val="none"/>
                <w:u w:val="none" w:color="auto"/>
                <w:lang w:val="en-US" w:eastAsia="zh-CN" w:bidi="ar-SA"/>
              </w:rPr>
              <w:t>″E；</w:t>
            </w:r>
          </w:p>
          <w:p w14:paraId="72131681">
            <w:pPr>
              <w:spacing w:line="240" w:lineRule="auto"/>
              <w:ind w:firstLine="0" w:firstLineChars="0"/>
              <w:jc w:val="center"/>
              <w:rPr>
                <w:rFonts w:hint="default" w:ascii="Times New Roman" w:hAnsi="Times New Roman" w:cs="Times New Roman"/>
                <w:color w:val="auto"/>
                <w:kern w:val="2"/>
                <w:sz w:val="21"/>
                <w:szCs w:val="21"/>
                <w:highlight w:val="none"/>
                <w:u w:val="none" w:color="auto"/>
                <w:lang w:val="en-US" w:eastAsia="zh-CN" w:bidi="ar-SA"/>
              </w:rPr>
            </w:pPr>
            <w:r>
              <w:rPr>
                <w:rFonts w:hint="eastAsia" w:ascii="Times New Roman" w:hAnsi="Times New Roman" w:cs="Times New Roman"/>
                <w:color w:val="auto"/>
                <w:kern w:val="2"/>
                <w:sz w:val="21"/>
                <w:szCs w:val="21"/>
                <w:highlight w:val="none"/>
                <w:u w:val="none" w:color="auto"/>
                <w:lang w:val="en-US" w:eastAsia="zh-CN" w:bidi="ar-SA"/>
              </w:rPr>
              <w:t>28</w:t>
            </w:r>
            <w:r>
              <w:rPr>
                <w:rFonts w:hint="default" w:ascii="Times New Roman" w:hAnsi="Times New Roman" w:cs="Times New Roman"/>
                <w:color w:val="auto"/>
                <w:kern w:val="2"/>
                <w:sz w:val="21"/>
                <w:szCs w:val="21"/>
                <w:highlight w:val="none"/>
                <w:u w:val="none" w:color="auto"/>
                <w:lang w:val="en-US" w:eastAsia="zh-CN" w:bidi="ar-SA"/>
              </w:rPr>
              <w:t>°</w:t>
            </w:r>
            <w:r>
              <w:rPr>
                <w:rFonts w:hint="eastAsia" w:ascii="Times New Roman" w:hAnsi="Times New Roman" w:cs="Times New Roman"/>
                <w:color w:val="auto"/>
                <w:kern w:val="2"/>
                <w:sz w:val="21"/>
                <w:szCs w:val="21"/>
                <w:highlight w:val="none"/>
                <w:u w:val="none" w:color="auto"/>
                <w:lang w:val="en-US" w:eastAsia="zh-CN" w:bidi="ar-SA"/>
              </w:rPr>
              <w:t>38</w:t>
            </w:r>
            <w:r>
              <w:rPr>
                <w:rFonts w:hint="default" w:ascii="Times New Roman" w:hAnsi="Times New Roman" w:cs="Times New Roman"/>
                <w:color w:val="auto"/>
                <w:kern w:val="2"/>
                <w:sz w:val="21"/>
                <w:szCs w:val="21"/>
                <w:highlight w:val="none"/>
                <w:u w:val="none" w:color="auto"/>
                <w:lang w:val="en-US" w:eastAsia="zh-CN" w:bidi="ar-SA"/>
              </w:rPr>
              <w:t>′</w:t>
            </w:r>
            <w:r>
              <w:rPr>
                <w:rFonts w:hint="eastAsia" w:ascii="Times New Roman" w:hAnsi="Times New Roman" w:cs="Times New Roman"/>
                <w:color w:val="auto"/>
                <w:kern w:val="2"/>
                <w:sz w:val="21"/>
                <w:szCs w:val="21"/>
                <w:highlight w:val="none"/>
                <w:u w:val="none" w:color="auto"/>
                <w:lang w:val="en-US" w:eastAsia="zh-CN" w:bidi="ar-SA"/>
              </w:rPr>
              <w:t>43.01</w:t>
            </w:r>
            <w:r>
              <w:rPr>
                <w:rFonts w:hint="default" w:ascii="Times New Roman" w:hAnsi="Times New Roman" w:cs="Times New Roman"/>
                <w:color w:val="auto"/>
                <w:kern w:val="2"/>
                <w:sz w:val="21"/>
                <w:szCs w:val="21"/>
                <w:highlight w:val="none"/>
                <w:u w:val="none" w:color="auto"/>
                <w:lang w:val="en-US" w:eastAsia="zh-CN" w:bidi="ar-SA"/>
              </w:rPr>
              <w:t>″N</w:t>
            </w:r>
          </w:p>
        </w:tc>
        <w:tc>
          <w:tcPr>
            <w:tcW w:w="305" w:type="pct"/>
            <w:noWrap w:val="0"/>
            <w:vAlign w:val="center"/>
          </w:tcPr>
          <w:p w14:paraId="30030AB7">
            <w:pPr>
              <w:spacing w:line="240" w:lineRule="auto"/>
              <w:ind w:firstLine="0" w:firstLineChars="0"/>
              <w:jc w:val="center"/>
              <w:rPr>
                <w:rFonts w:hint="eastAsia" w:ascii="Times New Roman" w:hAnsi="Times New Roman" w:eastAsia="宋体" w:cs="Times New Roman"/>
                <w:color w:val="auto"/>
                <w:kern w:val="2"/>
                <w:sz w:val="21"/>
                <w:szCs w:val="21"/>
                <w:highlight w:val="none"/>
                <w:u w:val="none" w:color="auto"/>
                <w:lang w:val="en-US" w:eastAsia="zh-CN" w:bidi="ar-SA"/>
              </w:rPr>
            </w:pPr>
            <w:r>
              <w:rPr>
                <w:rFonts w:hint="eastAsia" w:cs="Times New Roman"/>
                <w:color w:val="auto"/>
                <w:kern w:val="2"/>
                <w:sz w:val="21"/>
                <w:szCs w:val="21"/>
                <w:highlight w:val="none"/>
                <w:u w:val="none" w:color="auto"/>
                <w:lang w:val="en-US" w:eastAsia="zh-CN" w:bidi="ar-SA"/>
              </w:rPr>
              <w:t>人群</w:t>
            </w:r>
          </w:p>
        </w:tc>
        <w:tc>
          <w:tcPr>
            <w:tcW w:w="425" w:type="pct"/>
            <w:noWrap w:val="0"/>
            <w:vAlign w:val="center"/>
          </w:tcPr>
          <w:p w14:paraId="1059F905">
            <w:pPr>
              <w:spacing w:line="240" w:lineRule="auto"/>
              <w:ind w:firstLine="0" w:firstLineChars="0"/>
              <w:jc w:val="center"/>
              <w:rPr>
                <w:rFonts w:hint="eastAsia" w:ascii="Times New Roman" w:hAnsi="Times New Roman" w:eastAsia="宋体" w:cs="Times New Roman"/>
                <w:color w:val="auto"/>
                <w:kern w:val="2"/>
                <w:sz w:val="21"/>
                <w:szCs w:val="21"/>
                <w:highlight w:val="none"/>
                <w:u w:val="none" w:color="auto"/>
                <w:lang w:val="en-US" w:eastAsia="zh-CN" w:bidi="ar-SA"/>
              </w:rPr>
            </w:pPr>
            <w:r>
              <w:rPr>
                <w:rFonts w:hint="eastAsia" w:cs="Times New Roman"/>
                <w:color w:val="auto"/>
                <w:kern w:val="2"/>
                <w:sz w:val="21"/>
                <w:szCs w:val="21"/>
                <w:highlight w:val="none"/>
                <w:u w:val="none" w:color="auto"/>
                <w:lang w:val="en-US" w:eastAsia="zh-CN" w:bidi="ar-SA"/>
              </w:rPr>
              <w:t>村庄</w:t>
            </w:r>
          </w:p>
        </w:tc>
        <w:tc>
          <w:tcPr>
            <w:tcW w:w="1050" w:type="pct"/>
            <w:vMerge w:val="continue"/>
            <w:noWrap w:val="0"/>
            <w:vAlign w:val="center"/>
          </w:tcPr>
          <w:p w14:paraId="5C86D9F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yellow"/>
                <w:u w:val="none" w:color="auto"/>
                <w:lang w:val="en-US" w:eastAsia="zh-CN"/>
              </w:rPr>
            </w:pPr>
          </w:p>
        </w:tc>
        <w:tc>
          <w:tcPr>
            <w:tcW w:w="520" w:type="pct"/>
            <w:noWrap w:val="0"/>
            <w:vAlign w:val="center"/>
          </w:tcPr>
          <w:p w14:paraId="79451E6E">
            <w:pPr>
              <w:spacing w:line="240" w:lineRule="auto"/>
              <w:ind w:firstLine="0" w:firstLineChars="0"/>
              <w:jc w:val="center"/>
              <w:rPr>
                <w:rFonts w:hint="default" w:cs="Times New Roman"/>
                <w:color w:val="auto"/>
                <w:kern w:val="2"/>
                <w:sz w:val="21"/>
                <w:szCs w:val="21"/>
                <w:highlight w:val="none"/>
                <w:u w:val="none" w:color="auto"/>
                <w:lang w:val="en-US" w:eastAsia="zh-CN" w:bidi="ar-SA"/>
              </w:rPr>
            </w:pPr>
            <w:r>
              <w:rPr>
                <w:rFonts w:hint="eastAsia" w:cs="Times New Roman"/>
                <w:color w:val="auto"/>
                <w:kern w:val="2"/>
                <w:sz w:val="21"/>
                <w:szCs w:val="21"/>
                <w:highlight w:val="none"/>
                <w:u w:val="none" w:color="auto"/>
                <w:lang w:val="en-US" w:eastAsia="zh-CN" w:bidi="ar-SA"/>
              </w:rPr>
              <w:t>西南</w:t>
            </w:r>
          </w:p>
        </w:tc>
        <w:tc>
          <w:tcPr>
            <w:tcW w:w="533" w:type="pct"/>
            <w:noWrap w:val="0"/>
            <w:vAlign w:val="center"/>
          </w:tcPr>
          <w:p w14:paraId="7BC3277F">
            <w:pPr>
              <w:spacing w:line="240" w:lineRule="auto"/>
              <w:ind w:firstLine="0" w:firstLineChars="0"/>
              <w:jc w:val="center"/>
              <w:rPr>
                <w:rFonts w:hint="default" w:cs="Times New Roman"/>
                <w:color w:val="auto"/>
                <w:kern w:val="2"/>
                <w:sz w:val="21"/>
                <w:szCs w:val="21"/>
                <w:highlight w:val="none"/>
                <w:u w:val="none" w:color="auto"/>
                <w:lang w:val="en-US" w:eastAsia="zh-CN" w:bidi="ar-SA"/>
              </w:rPr>
            </w:pPr>
            <w:r>
              <w:rPr>
                <w:rFonts w:hint="eastAsia" w:cs="Times New Roman"/>
                <w:color w:val="auto"/>
                <w:kern w:val="2"/>
                <w:sz w:val="21"/>
                <w:szCs w:val="21"/>
                <w:highlight w:val="none"/>
                <w:u w:val="none" w:color="auto"/>
                <w:lang w:val="en-US" w:eastAsia="zh-CN" w:bidi="ar-SA"/>
              </w:rPr>
              <w:t>500m</w:t>
            </w:r>
          </w:p>
        </w:tc>
        <w:tc>
          <w:tcPr>
            <w:tcW w:w="590" w:type="pct"/>
            <w:noWrap w:val="0"/>
            <w:vAlign w:val="center"/>
          </w:tcPr>
          <w:p w14:paraId="74043D31">
            <w:pPr>
              <w:spacing w:line="240" w:lineRule="auto"/>
              <w:ind w:firstLine="0" w:firstLineChars="0"/>
              <w:jc w:val="center"/>
              <w:rPr>
                <w:rFonts w:hint="default" w:cs="Times New Roman"/>
                <w:color w:val="auto"/>
                <w:kern w:val="2"/>
                <w:sz w:val="21"/>
                <w:szCs w:val="21"/>
                <w:highlight w:val="none"/>
                <w:u w:val="none" w:color="auto"/>
                <w:lang w:val="en-US" w:eastAsia="zh-CN" w:bidi="ar-SA"/>
              </w:rPr>
            </w:pPr>
            <w:r>
              <w:rPr>
                <w:rFonts w:hint="eastAsia" w:cs="Times New Roman"/>
                <w:color w:val="auto"/>
                <w:kern w:val="2"/>
                <w:sz w:val="21"/>
                <w:szCs w:val="21"/>
                <w:highlight w:val="none"/>
                <w:u w:val="none" w:color="auto"/>
                <w:lang w:val="en-US" w:eastAsia="zh-CN" w:bidi="ar-SA"/>
              </w:rPr>
              <w:t>约15户</w:t>
            </w:r>
          </w:p>
        </w:tc>
      </w:tr>
      <w:tr w14:paraId="63E4B53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746" w:type="pct"/>
            <w:noWrap w:val="0"/>
            <w:vAlign w:val="center"/>
          </w:tcPr>
          <w:p w14:paraId="21296EF4">
            <w:pPr>
              <w:spacing w:line="240" w:lineRule="auto"/>
              <w:ind w:firstLine="0" w:firstLineChars="0"/>
              <w:jc w:val="center"/>
              <w:rPr>
                <w:rFonts w:hint="default" w:cs="Times New Roman"/>
                <w:color w:val="auto"/>
                <w:kern w:val="2"/>
                <w:sz w:val="21"/>
                <w:szCs w:val="21"/>
                <w:highlight w:val="none"/>
                <w:u w:val="none" w:color="auto"/>
                <w:lang w:val="en-US" w:eastAsia="zh-CN" w:bidi="ar-SA"/>
              </w:rPr>
            </w:pPr>
            <w:r>
              <w:rPr>
                <w:rFonts w:hint="default" w:cs="Times New Roman"/>
                <w:color w:val="auto"/>
                <w:kern w:val="2"/>
                <w:sz w:val="21"/>
                <w:szCs w:val="21"/>
                <w:highlight w:val="none"/>
                <w:u w:val="none" w:color="auto"/>
                <w:lang w:val="en-US" w:eastAsia="zh-CN" w:bidi="ar-SA"/>
              </w:rPr>
              <w:t>4#</w:t>
            </w:r>
            <w:r>
              <w:rPr>
                <w:rFonts w:hint="eastAsia" w:cs="Times New Roman"/>
                <w:color w:val="auto"/>
                <w:kern w:val="2"/>
                <w:sz w:val="21"/>
                <w:szCs w:val="21"/>
                <w:highlight w:val="none"/>
                <w:u w:val="none" w:color="auto"/>
                <w:lang w:val="en-US" w:eastAsia="zh-CN" w:bidi="ar-SA"/>
              </w:rPr>
              <w:t>炭坡</w:t>
            </w:r>
          </w:p>
        </w:tc>
        <w:tc>
          <w:tcPr>
            <w:tcW w:w="827" w:type="pct"/>
            <w:noWrap w:val="0"/>
            <w:vAlign w:val="center"/>
          </w:tcPr>
          <w:p w14:paraId="2B845046">
            <w:pPr>
              <w:spacing w:line="240" w:lineRule="auto"/>
              <w:ind w:firstLine="0" w:firstLineChars="0"/>
              <w:jc w:val="center"/>
              <w:rPr>
                <w:rFonts w:hint="default" w:ascii="Times New Roman" w:hAnsi="Times New Roman" w:cs="Times New Roman"/>
                <w:color w:val="auto"/>
                <w:kern w:val="2"/>
                <w:sz w:val="21"/>
                <w:szCs w:val="21"/>
                <w:highlight w:val="none"/>
                <w:u w:val="none" w:color="auto"/>
                <w:lang w:val="en-US" w:eastAsia="zh-CN" w:bidi="ar-SA"/>
              </w:rPr>
            </w:pPr>
            <w:r>
              <w:rPr>
                <w:rFonts w:hint="eastAsia" w:ascii="Times New Roman" w:hAnsi="Times New Roman" w:cs="Times New Roman"/>
                <w:color w:val="auto"/>
                <w:kern w:val="2"/>
                <w:sz w:val="21"/>
                <w:szCs w:val="21"/>
                <w:highlight w:val="none"/>
                <w:u w:val="none" w:color="auto"/>
                <w:lang w:val="en-US" w:eastAsia="zh-CN" w:bidi="ar-SA"/>
              </w:rPr>
              <w:t>113</w:t>
            </w:r>
            <w:r>
              <w:rPr>
                <w:rFonts w:hint="default" w:ascii="Times New Roman" w:hAnsi="Times New Roman" w:cs="Times New Roman"/>
                <w:color w:val="auto"/>
                <w:kern w:val="2"/>
                <w:sz w:val="21"/>
                <w:szCs w:val="21"/>
                <w:highlight w:val="none"/>
                <w:u w:val="none" w:color="auto"/>
                <w:lang w:val="en-US" w:eastAsia="zh-CN" w:bidi="ar-SA"/>
              </w:rPr>
              <w:t>°</w:t>
            </w:r>
            <w:r>
              <w:rPr>
                <w:rFonts w:hint="eastAsia" w:ascii="Times New Roman" w:hAnsi="Times New Roman" w:cs="Times New Roman"/>
                <w:color w:val="auto"/>
                <w:kern w:val="2"/>
                <w:sz w:val="21"/>
                <w:szCs w:val="21"/>
                <w:highlight w:val="none"/>
                <w:u w:val="none" w:color="auto"/>
                <w:lang w:val="en-US" w:eastAsia="zh-CN" w:bidi="ar-SA"/>
              </w:rPr>
              <w:t>33</w:t>
            </w:r>
            <w:r>
              <w:rPr>
                <w:rFonts w:hint="default" w:ascii="Times New Roman" w:hAnsi="Times New Roman" w:cs="Times New Roman"/>
                <w:color w:val="auto"/>
                <w:kern w:val="2"/>
                <w:sz w:val="21"/>
                <w:szCs w:val="21"/>
                <w:highlight w:val="none"/>
                <w:u w:val="none" w:color="auto"/>
                <w:lang w:val="en-US" w:eastAsia="zh-CN" w:bidi="ar-SA"/>
              </w:rPr>
              <w:t>′</w:t>
            </w:r>
            <w:r>
              <w:rPr>
                <w:rFonts w:hint="eastAsia" w:ascii="Times New Roman" w:hAnsi="Times New Roman" w:cs="Times New Roman"/>
                <w:color w:val="auto"/>
                <w:kern w:val="2"/>
                <w:sz w:val="21"/>
                <w:szCs w:val="21"/>
                <w:highlight w:val="none"/>
                <w:u w:val="none" w:color="auto"/>
                <w:lang w:val="en-US" w:eastAsia="zh-CN" w:bidi="ar-SA"/>
              </w:rPr>
              <w:t>4.77</w:t>
            </w:r>
            <w:r>
              <w:rPr>
                <w:rFonts w:hint="default" w:ascii="Times New Roman" w:hAnsi="Times New Roman" w:cs="Times New Roman"/>
                <w:color w:val="auto"/>
                <w:kern w:val="2"/>
                <w:sz w:val="21"/>
                <w:szCs w:val="21"/>
                <w:highlight w:val="none"/>
                <w:u w:val="none" w:color="auto"/>
                <w:lang w:val="en-US" w:eastAsia="zh-CN" w:bidi="ar-SA"/>
              </w:rPr>
              <w:t>″E；</w:t>
            </w:r>
          </w:p>
          <w:p w14:paraId="1028ED41">
            <w:pPr>
              <w:spacing w:line="240" w:lineRule="auto"/>
              <w:ind w:firstLine="0" w:firstLineChars="0"/>
              <w:jc w:val="center"/>
              <w:rPr>
                <w:rFonts w:hint="default" w:ascii="Times New Roman" w:hAnsi="Times New Roman" w:cs="Times New Roman"/>
                <w:color w:val="auto"/>
                <w:kern w:val="2"/>
                <w:sz w:val="21"/>
                <w:szCs w:val="21"/>
                <w:highlight w:val="none"/>
                <w:u w:val="none" w:color="auto"/>
                <w:lang w:val="en-US" w:eastAsia="zh-CN" w:bidi="ar-SA"/>
              </w:rPr>
            </w:pPr>
            <w:r>
              <w:rPr>
                <w:rFonts w:hint="eastAsia" w:ascii="Times New Roman" w:hAnsi="Times New Roman" w:cs="Times New Roman"/>
                <w:color w:val="auto"/>
                <w:kern w:val="2"/>
                <w:sz w:val="21"/>
                <w:szCs w:val="21"/>
                <w:highlight w:val="none"/>
                <w:u w:val="none" w:color="auto"/>
                <w:lang w:val="en-US" w:eastAsia="zh-CN" w:bidi="ar-SA"/>
              </w:rPr>
              <w:t>28</w:t>
            </w:r>
            <w:r>
              <w:rPr>
                <w:rFonts w:hint="default" w:ascii="Times New Roman" w:hAnsi="Times New Roman" w:cs="Times New Roman"/>
                <w:color w:val="auto"/>
                <w:kern w:val="2"/>
                <w:sz w:val="21"/>
                <w:szCs w:val="21"/>
                <w:highlight w:val="none"/>
                <w:u w:val="none" w:color="auto"/>
                <w:lang w:val="en-US" w:eastAsia="zh-CN" w:bidi="ar-SA"/>
              </w:rPr>
              <w:t>°</w:t>
            </w:r>
            <w:r>
              <w:rPr>
                <w:rFonts w:hint="eastAsia" w:ascii="Times New Roman" w:hAnsi="Times New Roman" w:cs="Times New Roman"/>
                <w:color w:val="auto"/>
                <w:kern w:val="2"/>
                <w:sz w:val="21"/>
                <w:szCs w:val="21"/>
                <w:highlight w:val="none"/>
                <w:u w:val="none" w:color="auto"/>
                <w:lang w:val="en-US" w:eastAsia="zh-CN" w:bidi="ar-SA"/>
              </w:rPr>
              <w:t>38</w:t>
            </w:r>
            <w:r>
              <w:rPr>
                <w:rFonts w:hint="default" w:ascii="Times New Roman" w:hAnsi="Times New Roman" w:cs="Times New Roman"/>
                <w:color w:val="auto"/>
                <w:kern w:val="2"/>
                <w:sz w:val="21"/>
                <w:szCs w:val="21"/>
                <w:highlight w:val="none"/>
                <w:u w:val="none" w:color="auto"/>
                <w:lang w:val="en-US" w:eastAsia="zh-CN" w:bidi="ar-SA"/>
              </w:rPr>
              <w:t>′</w:t>
            </w:r>
            <w:r>
              <w:rPr>
                <w:rFonts w:hint="eastAsia" w:ascii="Times New Roman" w:hAnsi="Times New Roman" w:cs="Times New Roman"/>
                <w:color w:val="auto"/>
                <w:kern w:val="2"/>
                <w:sz w:val="21"/>
                <w:szCs w:val="21"/>
                <w:highlight w:val="none"/>
                <w:u w:val="none" w:color="auto"/>
                <w:lang w:val="en-US" w:eastAsia="zh-CN" w:bidi="ar-SA"/>
              </w:rPr>
              <w:t>35.59</w:t>
            </w:r>
            <w:r>
              <w:rPr>
                <w:rFonts w:hint="default" w:ascii="Times New Roman" w:hAnsi="Times New Roman" w:cs="Times New Roman"/>
                <w:color w:val="auto"/>
                <w:kern w:val="2"/>
                <w:sz w:val="21"/>
                <w:szCs w:val="21"/>
                <w:highlight w:val="none"/>
                <w:u w:val="none" w:color="auto"/>
                <w:lang w:val="en-US" w:eastAsia="zh-CN" w:bidi="ar-SA"/>
              </w:rPr>
              <w:t>″N</w:t>
            </w:r>
          </w:p>
        </w:tc>
        <w:tc>
          <w:tcPr>
            <w:tcW w:w="305" w:type="pct"/>
            <w:shd w:val="clear" w:color="auto" w:fill="auto"/>
            <w:noWrap w:val="0"/>
            <w:vAlign w:val="center"/>
          </w:tcPr>
          <w:p w14:paraId="3E0C9081">
            <w:pPr>
              <w:spacing w:line="240" w:lineRule="auto"/>
              <w:ind w:firstLine="0" w:firstLineChars="0"/>
              <w:jc w:val="center"/>
              <w:rPr>
                <w:rFonts w:hint="eastAsia" w:ascii="Times New Roman" w:hAnsi="Times New Roman" w:eastAsia="宋体" w:cs="Times New Roman"/>
                <w:color w:val="auto"/>
                <w:kern w:val="2"/>
                <w:sz w:val="21"/>
                <w:szCs w:val="21"/>
                <w:highlight w:val="none"/>
                <w:u w:val="none" w:color="auto"/>
                <w:lang w:val="en-US" w:eastAsia="zh-CN" w:bidi="ar-SA"/>
              </w:rPr>
            </w:pPr>
            <w:r>
              <w:rPr>
                <w:rFonts w:hint="eastAsia" w:cs="Times New Roman"/>
                <w:color w:val="auto"/>
                <w:kern w:val="2"/>
                <w:sz w:val="21"/>
                <w:szCs w:val="21"/>
                <w:highlight w:val="none"/>
                <w:u w:val="none" w:color="auto"/>
                <w:lang w:val="en-US" w:eastAsia="zh-CN" w:bidi="ar-SA"/>
              </w:rPr>
              <w:t>人群</w:t>
            </w:r>
          </w:p>
        </w:tc>
        <w:tc>
          <w:tcPr>
            <w:tcW w:w="425" w:type="pct"/>
            <w:shd w:val="clear" w:color="auto" w:fill="auto"/>
            <w:noWrap w:val="0"/>
            <w:vAlign w:val="center"/>
          </w:tcPr>
          <w:p w14:paraId="2EBF3C67">
            <w:pPr>
              <w:spacing w:line="240" w:lineRule="auto"/>
              <w:ind w:firstLine="0" w:firstLineChars="0"/>
              <w:jc w:val="center"/>
              <w:rPr>
                <w:rFonts w:hint="eastAsia" w:ascii="Times New Roman" w:hAnsi="Times New Roman" w:eastAsia="宋体" w:cs="Times New Roman"/>
                <w:color w:val="auto"/>
                <w:kern w:val="2"/>
                <w:sz w:val="21"/>
                <w:szCs w:val="21"/>
                <w:highlight w:val="none"/>
                <w:u w:val="none" w:color="auto"/>
                <w:lang w:val="en-US" w:eastAsia="zh-CN" w:bidi="ar-SA"/>
              </w:rPr>
            </w:pPr>
            <w:r>
              <w:rPr>
                <w:rFonts w:hint="eastAsia" w:cs="Times New Roman"/>
                <w:color w:val="auto"/>
                <w:kern w:val="2"/>
                <w:sz w:val="21"/>
                <w:szCs w:val="21"/>
                <w:highlight w:val="none"/>
                <w:u w:val="none" w:color="auto"/>
                <w:lang w:val="en-US" w:eastAsia="zh-CN" w:bidi="ar-SA"/>
              </w:rPr>
              <w:t>村庄</w:t>
            </w:r>
          </w:p>
        </w:tc>
        <w:tc>
          <w:tcPr>
            <w:tcW w:w="1050" w:type="pct"/>
            <w:vMerge w:val="continue"/>
            <w:noWrap w:val="0"/>
            <w:vAlign w:val="center"/>
          </w:tcPr>
          <w:p w14:paraId="145F968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yellow"/>
                <w:u w:val="none" w:color="auto"/>
                <w:lang w:val="en-US" w:eastAsia="zh-CN"/>
              </w:rPr>
            </w:pPr>
          </w:p>
        </w:tc>
        <w:tc>
          <w:tcPr>
            <w:tcW w:w="520" w:type="pct"/>
            <w:noWrap w:val="0"/>
            <w:vAlign w:val="center"/>
          </w:tcPr>
          <w:p w14:paraId="41C4FC92">
            <w:pPr>
              <w:spacing w:line="240" w:lineRule="auto"/>
              <w:ind w:firstLine="0" w:firstLineChars="0"/>
              <w:jc w:val="center"/>
              <w:rPr>
                <w:rFonts w:hint="default" w:cs="Times New Roman"/>
                <w:color w:val="auto"/>
                <w:kern w:val="2"/>
                <w:sz w:val="21"/>
                <w:szCs w:val="21"/>
                <w:highlight w:val="none"/>
                <w:u w:val="none" w:color="auto"/>
                <w:lang w:val="en-US" w:eastAsia="zh-CN" w:bidi="ar-SA"/>
              </w:rPr>
            </w:pPr>
            <w:r>
              <w:rPr>
                <w:rFonts w:hint="eastAsia" w:cs="Times New Roman"/>
                <w:color w:val="auto"/>
                <w:kern w:val="2"/>
                <w:sz w:val="21"/>
                <w:szCs w:val="21"/>
                <w:highlight w:val="none"/>
                <w:u w:val="none" w:color="auto"/>
                <w:lang w:val="en-US" w:eastAsia="zh-CN" w:bidi="ar-SA"/>
              </w:rPr>
              <w:t>南</w:t>
            </w:r>
          </w:p>
        </w:tc>
        <w:tc>
          <w:tcPr>
            <w:tcW w:w="533" w:type="pct"/>
            <w:noWrap w:val="0"/>
            <w:vAlign w:val="center"/>
          </w:tcPr>
          <w:p w14:paraId="63E4C3C2">
            <w:pPr>
              <w:spacing w:line="240" w:lineRule="auto"/>
              <w:ind w:firstLine="0" w:firstLineChars="0"/>
              <w:jc w:val="center"/>
              <w:rPr>
                <w:rFonts w:hint="default" w:cs="Times New Roman"/>
                <w:color w:val="auto"/>
                <w:kern w:val="2"/>
                <w:sz w:val="21"/>
                <w:szCs w:val="21"/>
                <w:highlight w:val="none"/>
                <w:u w:val="none" w:color="auto"/>
                <w:lang w:val="en-US" w:eastAsia="zh-CN" w:bidi="ar-SA"/>
              </w:rPr>
            </w:pPr>
            <w:r>
              <w:rPr>
                <w:rFonts w:hint="eastAsia" w:cs="Times New Roman"/>
                <w:color w:val="auto"/>
                <w:kern w:val="2"/>
                <w:sz w:val="21"/>
                <w:szCs w:val="21"/>
                <w:highlight w:val="none"/>
                <w:u w:val="none" w:color="auto"/>
                <w:lang w:val="en-US" w:eastAsia="zh-CN" w:bidi="ar-SA"/>
              </w:rPr>
              <w:t>490m</w:t>
            </w:r>
          </w:p>
        </w:tc>
        <w:tc>
          <w:tcPr>
            <w:tcW w:w="590" w:type="pct"/>
            <w:noWrap w:val="0"/>
            <w:vAlign w:val="center"/>
          </w:tcPr>
          <w:p w14:paraId="5989B511">
            <w:pPr>
              <w:spacing w:line="240" w:lineRule="auto"/>
              <w:ind w:firstLine="0" w:firstLineChars="0"/>
              <w:jc w:val="center"/>
              <w:rPr>
                <w:rFonts w:hint="default" w:cs="Times New Roman"/>
                <w:color w:val="auto"/>
                <w:kern w:val="2"/>
                <w:sz w:val="21"/>
                <w:szCs w:val="21"/>
                <w:highlight w:val="none"/>
                <w:u w:val="none" w:color="auto"/>
                <w:lang w:val="en-US" w:eastAsia="zh-CN" w:bidi="ar-SA"/>
              </w:rPr>
            </w:pPr>
            <w:r>
              <w:rPr>
                <w:rFonts w:hint="eastAsia" w:cs="Times New Roman"/>
                <w:color w:val="auto"/>
                <w:kern w:val="2"/>
                <w:sz w:val="21"/>
                <w:szCs w:val="21"/>
                <w:highlight w:val="none"/>
                <w:u w:val="none" w:color="auto"/>
                <w:lang w:val="en-US" w:eastAsia="zh-CN" w:bidi="ar-SA"/>
              </w:rPr>
              <w:t>约2户</w:t>
            </w:r>
          </w:p>
        </w:tc>
      </w:tr>
      <w:tr w14:paraId="65B62C8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5000" w:type="pct"/>
            <w:gridSpan w:val="8"/>
            <w:noWrap w:val="0"/>
            <w:vAlign w:val="center"/>
          </w:tcPr>
          <w:p w14:paraId="489A8B61">
            <w:pPr>
              <w:spacing w:line="360" w:lineRule="auto"/>
              <w:ind w:firstLine="0" w:firstLineChars="0"/>
              <w:jc w:val="center"/>
              <w:rPr>
                <w:rFonts w:hint="default" w:cs="Times New Roman"/>
                <w:b/>
                <w:bCs/>
                <w:color w:val="auto"/>
                <w:kern w:val="2"/>
                <w:sz w:val="21"/>
                <w:szCs w:val="21"/>
                <w:highlight w:val="none"/>
                <w:u w:val="none" w:color="auto"/>
                <w:lang w:val="en-US" w:eastAsia="zh-CN" w:bidi="ar-SA"/>
              </w:rPr>
            </w:pPr>
            <w:r>
              <w:rPr>
                <w:rFonts w:hint="eastAsia" w:cs="Times New Roman"/>
                <w:b/>
                <w:bCs/>
                <w:color w:val="auto"/>
                <w:kern w:val="2"/>
                <w:sz w:val="21"/>
                <w:szCs w:val="21"/>
                <w:highlight w:val="none"/>
                <w:u w:val="none" w:color="auto"/>
                <w:lang w:val="en-US" w:eastAsia="zh-CN" w:bidi="ar-SA"/>
              </w:rPr>
              <w:t>取土场</w:t>
            </w:r>
          </w:p>
        </w:tc>
      </w:tr>
      <w:tr w14:paraId="51AD96B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746" w:type="pct"/>
            <w:noWrap w:val="0"/>
            <w:vAlign w:val="center"/>
          </w:tcPr>
          <w:p w14:paraId="7E2D7C23">
            <w:pPr>
              <w:spacing w:line="240" w:lineRule="auto"/>
              <w:ind w:firstLine="0" w:firstLineChars="0"/>
              <w:jc w:val="center"/>
              <w:rPr>
                <w:rFonts w:hint="default" w:cs="Times New Roman"/>
                <w:color w:val="auto"/>
                <w:kern w:val="2"/>
                <w:sz w:val="21"/>
                <w:szCs w:val="21"/>
                <w:highlight w:val="none"/>
                <w:u w:val="none" w:color="auto"/>
                <w:lang w:val="en-US" w:eastAsia="zh-CN" w:bidi="ar-SA"/>
              </w:rPr>
            </w:pPr>
            <w:r>
              <w:rPr>
                <w:rFonts w:hint="eastAsia" w:cs="Times New Roman"/>
                <w:color w:val="auto"/>
                <w:kern w:val="2"/>
                <w:sz w:val="21"/>
                <w:szCs w:val="21"/>
                <w:highlight w:val="none"/>
                <w:u w:val="none" w:color="auto"/>
                <w:lang w:val="en-US" w:eastAsia="zh-CN" w:bidi="ar-SA"/>
              </w:rPr>
              <w:t>1#南尧村</w:t>
            </w:r>
          </w:p>
        </w:tc>
        <w:tc>
          <w:tcPr>
            <w:tcW w:w="827" w:type="pct"/>
            <w:noWrap w:val="0"/>
            <w:vAlign w:val="center"/>
          </w:tcPr>
          <w:p w14:paraId="2949D170">
            <w:pPr>
              <w:spacing w:line="240" w:lineRule="auto"/>
              <w:ind w:firstLine="0" w:firstLineChars="0"/>
              <w:jc w:val="center"/>
              <w:rPr>
                <w:rFonts w:hint="default" w:ascii="Times New Roman" w:hAnsi="Times New Roman" w:cs="Times New Roman"/>
                <w:color w:val="auto"/>
                <w:kern w:val="2"/>
                <w:sz w:val="21"/>
                <w:szCs w:val="21"/>
                <w:highlight w:val="none"/>
                <w:u w:val="none" w:color="auto"/>
                <w:lang w:val="en-US" w:eastAsia="zh-CN" w:bidi="ar-SA"/>
              </w:rPr>
            </w:pPr>
            <w:r>
              <w:rPr>
                <w:rFonts w:hint="eastAsia" w:ascii="Times New Roman" w:hAnsi="Times New Roman" w:cs="Times New Roman"/>
                <w:color w:val="auto"/>
                <w:kern w:val="2"/>
                <w:sz w:val="21"/>
                <w:szCs w:val="21"/>
                <w:highlight w:val="none"/>
                <w:u w:val="none" w:color="auto"/>
                <w:lang w:val="en-US" w:eastAsia="zh-CN" w:bidi="ar-SA"/>
              </w:rPr>
              <w:t>113</w:t>
            </w:r>
            <w:r>
              <w:rPr>
                <w:rFonts w:hint="default" w:ascii="Times New Roman" w:hAnsi="Times New Roman" w:cs="Times New Roman"/>
                <w:color w:val="auto"/>
                <w:kern w:val="2"/>
                <w:sz w:val="21"/>
                <w:szCs w:val="21"/>
                <w:highlight w:val="none"/>
                <w:u w:val="none" w:color="auto"/>
                <w:lang w:val="en-US" w:eastAsia="zh-CN" w:bidi="ar-SA"/>
              </w:rPr>
              <w:t>°</w:t>
            </w:r>
            <w:r>
              <w:rPr>
                <w:rFonts w:hint="eastAsia" w:ascii="Times New Roman" w:hAnsi="Times New Roman" w:cs="Times New Roman"/>
                <w:color w:val="auto"/>
                <w:kern w:val="2"/>
                <w:sz w:val="21"/>
                <w:szCs w:val="21"/>
                <w:highlight w:val="none"/>
                <w:u w:val="none" w:color="auto"/>
                <w:lang w:val="en-US" w:eastAsia="zh-CN" w:bidi="ar-SA"/>
              </w:rPr>
              <w:t>34</w:t>
            </w:r>
            <w:r>
              <w:rPr>
                <w:rFonts w:hint="default" w:ascii="Times New Roman" w:hAnsi="Times New Roman" w:cs="Times New Roman"/>
                <w:color w:val="auto"/>
                <w:kern w:val="2"/>
                <w:sz w:val="21"/>
                <w:szCs w:val="21"/>
                <w:highlight w:val="none"/>
                <w:u w:val="none" w:color="auto"/>
                <w:lang w:val="en-US" w:eastAsia="zh-CN" w:bidi="ar-SA"/>
              </w:rPr>
              <w:t>′</w:t>
            </w:r>
            <w:r>
              <w:rPr>
                <w:rFonts w:hint="eastAsia" w:ascii="Times New Roman" w:hAnsi="Times New Roman" w:cs="Times New Roman"/>
                <w:color w:val="auto"/>
                <w:kern w:val="2"/>
                <w:sz w:val="21"/>
                <w:szCs w:val="21"/>
                <w:highlight w:val="none"/>
                <w:u w:val="none" w:color="auto"/>
                <w:lang w:val="en-US" w:eastAsia="zh-CN" w:bidi="ar-SA"/>
              </w:rPr>
              <w:t>27.07</w:t>
            </w:r>
            <w:r>
              <w:rPr>
                <w:rFonts w:hint="default" w:ascii="Times New Roman" w:hAnsi="Times New Roman" w:cs="Times New Roman"/>
                <w:color w:val="auto"/>
                <w:kern w:val="2"/>
                <w:sz w:val="21"/>
                <w:szCs w:val="21"/>
                <w:highlight w:val="none"/>
                <w:u w:val="none" w:color="auto"/>
                <w:lang w:val="en-US" w:eastAsia="zh-CN" w:bidi="ar-SA"/>
              </w:rPr>
              <w:t>″E；</w:t>
            </w:r>
          </w:p>
          <w:p w14:paraId="0F02D3D4">
            <w:pPr>
              <w:spacing w:line="240" w:lineRule="auto"/>
              <w:ind w:firstLine="0" w:firstLineChars="0"/>
              <w:jc w:val="center"/>
              <w:rPr>
                <w:rFonts w:hint="eastAsia" w:ascii="Times New Roman" w:hAnsi="Times New Roman" w:cs="Times New Roman"/>
                <w:color w:val="auto"/>
                <w:kern w:val="2"/>
                <w:sz w:val="21"/>
                <w:szCs w:val="21"/>
                <w:highlight w:val="none"/>
                <w:u w:val="none" w:color="auto"/>
                <w:lang w:val="en-US" w:eastAsia="zh-CN" w:bidi="ar-SA"/>
              </w:rPr>
            </w:pPr>
            <w:r>
              <w:rPr>
                <w:rFonts w:hint="eastAsia" w:ascii="Times New Roman" w:hAnsi="Times New Roman" w:cs="Times New Roman"/>
                <w:color w:val="auto"/>
                <w:kern w:val="2"/>
                <w:sz w:val="21"/>
                <w:szCs w:val="21"/>
                <w:highlight w:val="none"/>
                <w:u w:val="none" w:color="auto"/>
                <w:lang w:val="en-US" w:eastAsia="zh-CN" w:bidi="ar-SA"/>
              </w:rPr>
              <w:t>28</w:t>
            </w:r>
            <w:r>
              <w:rPr>
                <w:rFonts w:hint="default" w:ascii="Times New Roman" w:hAnsi="Times New Roman" w:cs="Times New Roman"/>
                <w:color w:val="auto"/>
                <w:kern w:val="2"/>
                <w:sz w:val="21"/>
                <w:szCs w:val="21"/>
                <w:highlight w:val="none"/>
                <w:u w:val="none" w:color="auto"/>
                <w:lang w:val="en-US" w:eastAsia="zh-CN" w:bidi="ar-SA"/>
              </w:rPr>
              <w:t>°</w:t>
            </w:r>
            <w:r>
              <w:rPr>
                <w:rFonts w:hint="eastAsia" w:ascii="Times New Roman" w:hAnsi="Times New Roman" w:cs="Times New Roman"/>
                <w:color w:val="auto"/>
                <w:kern w:val="2"/>
                <w:sz w:val="21"/>
                <w:szCs w:val="21"/>
                <w:highlight w:val="none"/>
                <w:u w:val="none" w:color="auto"/>
                <w:lang w:val="en-US" w:eastAsia="zh-CN" w:bidi="ar-SA"/>
              </w:rPr>
              <w:t>39</w:t>
            </w:r>
            <w:r>
              <w:rPr>
                <w:rFonts w:hint="default" w:ascii="Times New Roman" w:hAnsi="Times New Roman" w:cs="Times New Roman"/>
                <w:color w:val="auto"/>
                <w:kern w:val="2"/>
                <w:sz w:val="21"/>
                <w:szCs w:val="21"/>
                <w:highlight w:val="none"/>
                <w:u w:val="none" w:color="auto"/>
                <w:lang w:val="en-US" w:eastAsia="zh-CN" w:bidi="ar-SA"/>
              </w:rPr>
              <w:t>′</w:t>
            </w:r>
            <w:r>
              <w:rPr>
                <w:rFonts w:hint="eastAsia" w:ascii="Times New Roman" w:hAnsi="Times New Roman" w:cs="Times New Roman"/>
                <w:color w:val="auto"/>
                <w:kern w:val="2"/>
                <w:sz w:val="21"/>
                <w:szCs w:val="21"/>
                <w:highlight w:val="none"/>
                <w:u w:val="none" w:color="auto"/>
                <w:lang w:val="en-US" w:eastAsia="zh-CN" w:bidi="ar-SA"/>
              </w:rPr>
              <w:t>54.33</w:t>
            </w:r>
            <w:r>
              <w:rPr>
                <w:rFonts w:hint="default" w:ascii="Times New Roman" w:hAnsi="Times New Roman" w:cs="Times New Roman"/>
                <w:color w:val="auto"/>
                <w:kern w:val="2"/>
                <w:sz w:val="21"/>
                <w:szCs w:val="21"/>
                <w:highlight w:val="none"/>
                <w:u w:val="none" w:color="auto"/>
                <w:lang w:val="en-US" w:eastAsia="zh-CN" w:bidi="ar-SA"/>
              </w:rPr>
              <w:t>″N</w:t>
            </w:r>
          </w:p>
        </w:tc>
        <w:tc>
          <w:tcPr>
            <w:tcW w:w="305" w:type="pct"/>
            <w:shd w:val="clear" w:color="auto" w:fill="auto"/>
            <w:noWrap w:val="0"/>
            <w:vAlign w:val="center"/>
          </w:tcPr>
          <w:p w14:paraId="4C4EBE1C">
            <w:pPr>
              <w:spacing w:line="240" w:lineRule="auto"/>
              <w:ind w:firstLine="0" w:firstLineChars="0"/>
              <w:jc w:val="center"/>
              <w:rPr>
                <w:rFonts w:hint="eastAsia" w:ascii="Times New Roman" w:hAnsi="Times New Roman" w:eastAsia="宋体" w:cs="Times New Roman"/>
                <w:color w:val="auto"/>
                <w:kern w:val="2"/>
                <w:sz w:val="21"/>
                <w:szCs w:val="21"/>
                <w:highlight w:val="none"/>
                <w:u w:val="none" w:color="auto"/>
                <w:lang w:val="en-US" w:eastAsia="zh-CN" w:bidi="ar-SA"/>
              </w:rPr>
            </w:pPr>
            <w:r>
              <w:rPr>
                <w:rFonts w:hint="eastAsia" w:cs="Times New Roman"/>
                <w:color w:val="auto"/>
                <w:kern w:val="2"/>
                <w:sz w:val="21"/>
                <w:szCs w:val="21"/>
                <w:highlight w:val="none"/>
                <w:u w:val="none" w:color="auto"/>
                <w:lang w:val="en-US" w:eastAsia="zh-CN" w:bidi="ar-SA"/>
              </w:rPr>
              <w:t>人群</w:t>
            </w:r>
          </w:p>
        </w:tc>
        <w:tc>
          <w:tcPr>
            <w:tcW w:w="425" w:type="pct"/>
            <w:shd w:val="clear" w:color="auto" w:fill="auto"/>
            <w:noWrap w:val="0"/>
            <w:vAlign w:val="center"/>
          </w:tcPr>
          <w:p w14:paraId="0DE3430D">
            <w:pPr>
              <w:spacing w:line="240" w:lineRule="auto"/>
              <w:ind w:firstLine="0" w:firstLineChars="0"/>
              <w:jc w:val="center"/>
              <w:rPr>
                <w:rFonts w:hint="eastAsia" w:ascii="Times New Roman" w:hAnsi="Times New Roman" w:eastAsia="宋体" w:cs="Times New Roman"/>
                <w:color w:val="auto"/>
                <w:kern w:val="2"/>
                <w:sz w:val="21"/>
                <w:szCs w:val="21"/>
                <w:highlight w:val="none"/>
                <w:u w:val="none" w:color="auto"/>
                <w:lang w:val="en-US" w:eastAsia="zh-CN" w:bidi="ar-SA"/>
              </w:rPr>
            </w:pPr>
            <w:r>
              <w:rPr>
                <w:rFonts w:hint="eastAsia" w:cs="Times New Roman"/>
                <w:color w:val="auto"/>
                <w:kern w:val="2"/>
                <w:sz w:val="21"/>
                <w:szCs w:val="21"/>
                <w:highlight w:val="none"/>
                <w:u w:val="none" w:color="auto"/>
                <w:lang w:val="en-US" w:eastAsia="zh-CN" w:bidi="ar-SA"/>
              </w:rPr>
              <w:t>村庄</w:t>
            </w:r>
          </w:p>
        </w:tc>
        <w:tc>
          <w:tcPr>
            <w:tcW w:w="1050" w:type="pct"/>
            <w:vMerge w:val="restart"/>
            <w:noWrap w:val="0"/>
            <w:vAlign w:val="center"/>
          </w:tcPr>
          <w:p w14:paraId="7312EC8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yellow"/>
                <w:u w:val="none" w:color="auto"/>
                <w:lang w:val="en-US" w:eastAsia="zh-CN"/>
              </w:rPr>
            </w:pPr>
            <w:r>
              <w:rPr>
                <w:rFonts w:hint="default" w:ascii="Times New Roman" w:hAnsi="Times New Roman" w:cs="Times New Roman"/>
                <w:color w:val="auto"/>
                <w:sz w:val="21"/>
                <w:szCs w:val="21"/>
                <w:highlight w:val="none"/>
                <w:u w:val="none" w:color="auto"/>
                <w:lang w:val="en-US" w:eastAsia="zh-CN"/>
              </w:rPr>
              <w:t>《环境空气质量标准》（GB3095-2012）二类</w:t>
            </w:r>
            <w:r>
              <w:rPr>
                <w:rFonts w:hint="eastAsia" w:cs="Times New Roman"/>
                <w:color w:val="auto"/>
                <w:sz w:val="21"/>
                <w:szCs w:val="21"/>
                <w:highlight w:val="none"/>
                <w:u w:val="none" w:color="auto"/>
                <w:lang w:val="en-US" w:eastAsia="zh-CN"/>
              </w:rPr>
              <w:t>区</w:t>
            </w:r>
          </w:p>
        </w:tc>
        <w:tc>
          <w:tcPr>
            <w:tcW w:w="520" w:type="pct"/>
            <w:noWrap w:val="0"/>
            <w:vAlign w:val="center"/>
          </w:tcPr>
          <w:p w14:paraId="4EDC5D5E">
            <w:pPr>
              <w:spacing w:line="240" w:lineRule="auto"/>
              <w:ind w:firstLine="0" w:firstLineChars="0"/>
              <w:jc w:val="center"/>
              <w:rPr>
                <w:rFonts w:hint="default" w:cs="Times New Roman"/>
                <w:color w:val="auto"/>
                <w:kern w:val="2"/>
                <w:sz w:val="21"/>
                <w:szCs w:val="21"/>
                <w:highlight w:val="none"/>
                <w:u w:val="none" w:color="auto"/>
                <w:lang w:val="en-US" w:eastAsia="zh-CN" w:bidi="ar-SA"/>
              </w:rPr>
            </w:pPr>
            <w:r>
              <w:rPr>
                <w:rFonts w:hint="eastAsia" w:cs="Times New Roman"/>
                <w:color w:val="auto"/>
                <w:kern w:val="2"/>
                <w:sz w:val="21"/>
                <w:szCs w:val="21"/>
                <w:highlight w:val="none"/>
                <w:u w:val="none" w:color="auto"/>
                <w:lang w:val="en-US" w:eastAsia="zh-CN" w:bidi="ar-SA"/>
              </w:rPr>
              <w:t>北、南</w:t>
            </w:r>
          </w:p>
        </w:tc>
        <w:tc>
          <w:tcPr>
            <w:tcW w:w="533" w:type="pct"/>
            <w:noWrap w:val="0"/>
            <w:vAlign w:val="center"/>
          </w:tcPr>
          <w:p w14:paraId="11A285AF">
            <w:pPr>
              <w:spacing w:line="240" w:lineRule="auto"/>
              <w:ind w:firstLine="0" w:firstLineChars="0"/>
              <w:jc w:val="center"/>
              <w:rPr>
                <w:rFonts w:hint="eastAsia" w:cs="Times New Roman"/>
                <w:color w:val="auto"/>
                <w:kern w:val="2"/>
                <w:sz w:val="21"/>
                <w:szCs w:val="21"/>
                <w:highlight w:val="none"/>
                <w:u w:val="none" w:color="auto"/>
                <w:lang w:val="en-US" w:eastAsia="zh-CN" w:bidi="ar-SA"/>
              </w:rPr>
            </w:pPr>
            <w:r>
              <w:rPr>
                <w:rFonts w:hint="eastAsia" w:cs="Times New Roman"/>
                <w:color w:val="auto"/>
                <w:kern w:val="2"/>
                <w:sz w:val="21"/>
                <w:szCs w:val="21"/>
                <w:highlight w:val="none"/>
                <w:u w:val="none" w:color="auto"/>
                <w:lang w:val="en-US" w:eastAsia="zh-CN" w:bidi="ar-SA"/>
              </w:rPr>
              <w:t>紧邻</w:t>
            </w:r>
          </w:p>
        </w:tc>
        <w:tc>
          <w:tcPr>
            <w:tcW w:w="590" w:type="pct"/>
            <w:noWrap w:val="0"/>
            <w:vAlign w:val="center"/>
          </w:tcPr>
          <w:p w14:paraId="5E04071E">
            <w:pPr>
              <w:spacing w:line="240" w:lineRule="auto"/>
              <w:ind w:firstLine="0" w:firstLineChars="0"/>
              <w:jc w:val="center"/>
              <w:rPr>
                <w:rFonts w:hint="default" w:cs="Times New Roman"/>
                <w:color w:val="auto"/>
                <w:kern w:val="2"/>
                <w:sz w:val="21"/>
                <w:szCs w:val="21"/>
                <w:highlight w:val="none"/>
                <w:u w:val="none" w:color="auto"/>
                <w:lang w:val="en-US" w:eastAsia="zh-CN" w:bidi="ar-SA"/>
              </w:rPr>
            </w:pPr>
            <w:r>
              <w:rPr>
                <w:rFonts w:hint="eastAsia" w:cs="Times New Roman"/>
                <w:color w:val="auto"/>
                <w:kern w:val="2"/>
                <w:sz w:val="21"/>
                <w:szCs w:val="21"/>
                <w:highlight w:val="none"/>
                <w:u w:val="none" w:color="auto"/>
                <w:lang w:val="en-US" w:eastAsia="zh-CN" w:bidi="ar-SA"/>
              </w:rPr>
              <w:t>约20户</w:t>
            </w:r>
          </w:p>
        </w:tc>
      </w:tr>
      <w:tr w14:paraId="421E509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746" w:type="pct"/>
            <w:noWrap w:val="0"/>
            <w:vAlign w:val="center"/>
          </w:tcPr>
          <w:p w14:paraId="5A21B4FE">
            <w:pPr>
              <w:spacing w:line="240" w:lineRule="auto"/>
              <w:ind w:firstLine="0" w:firstLineChars="0"/>
              <w:jc w:val="center"/>
              <w:rPr>
                <w:rFonts w:hint="default" w:cs="Times New Roman"/>
                <w:color w:val="auto"/>
                <w:kern w:val="2"/>
                <w:sz w:val="21"/>
                <w:szCs w:val="21"/>
                <w:highlight w:val="none"/>
                <w:u w:val="none" w:color="auto"/>
                <w:lang w:val="en-US" w:eastAsia="zh-CN" w:bidi="ar-SA"/>
              </w:rPr>
            </w:pPr>
            <w:r>
              <w:rPr>
                <w:rFonts w:hint="eastAsia" w:cs="Times New Roman"/>
                <w:color w:val="auto"/>
                <w:kern w:val="2"/>
                <w:sz w:val="21"/>
                <w:szCs w:val="21"/>
                <w:highlight w:val="none"/>
                <w:u w:val="none" w:color="auto"/>
                <w:lang w:val="en-US" w:eastAsia="zh-CN" w:bidi="ar-SA"/>
              </w:rPr>
              <w:t>2#白石冲</w:t>
            </w:r>
          </w:p>
        </w:tc>
        <w:tc>
          <w:tcPr>
            <w:tcW w:w="827" w:type="pct"/>
            <w:noWrap w:val="0"/>
            <w:vAlign w:val="center"/>
          </w:tcPr>
          <w:p w14:paraId="29E1B044">
            <w:pPr>
              <w:spacing w:line="240" w:lineRule="auto"/>
              <w:ind w:firstLine="0" w:firstLineChars="0"/>
              <w:jc w:val="center"/>
              <w:rPr>
                <w:rFonts w:hint="default" w:ascii="Times New Roman" w:hAnsi="Times New Roman" w:cs="Times New Roman"/>
                <w:color w:val="auto"/>
                <w:kern w:val="2"/>
                <w:sz w:val="21"/>
                <w:szCs w:val="21"/>
                <w:highlight w:val="none"/>
                <w:u w:val="none" w:color="auto"/>
                <w:lang w:val="en-US" w:eastAsia="zh-CN" w:bidi="ar-SA"/>
              </w:rPr>
            </w:pPr>
            <w:r>
              <w:rPr>
                <w:rFonts w:hint="eastAsia" w:ascii="Times New Roman" w:hAnsi="Times New Roman" w:cs="Times New Roman"/>
                <w:color w:val="auto"/>
                <w:kern w:val="2"/>
                <w:sz w:val="21"/>
                <w:szCs w:val="21"/>
                <w:highlight w:val="none"/>
                <w:u w:val="none" w:color="auto"/>
                <w:lang w:val="en-US" w:eastAsia="zh-CN" w:bidi="ar-SA"/>
              </w:rPr>
              <w:t>113</w:t>
            </w:r>
            <w:r>
              <w:rPr>
                <w:rFonts w:hint="default" w:ascii="Times New Roman" w:hAnsi="Times New Roman" w:cs="Times New Roman"/>
                <w:color w:val="auto"/>
                <w:kern w:val="2"/>
                <w:sz w:val="21"/>
                <w:szCs w:val="21"/>
                <w:highlight w:val="none"/>
                <w:u w:val="none" w:color="auto"/>
                <w:lang w:val="en-US" w:eastAsia="zh-CN" w:bidi="ar-SA"/>
              </w:rPr>
              <w:t>°</w:t>
            </w:r>
            <w:r>
              <w:rPr>
                <w:rFonts w:hint="eastAsia" w:ascii="Times New Roman" w:hAnsi="Times New Roman" w:cs="Times New Roman"/>
                <w:color w:val="auto"/>
                <w:kern w:val="2"/>
                <w:sz w:val="21"/>
                <w:szCs w:val="21"/>
                <w:highlight w:val="none"/>
                <w:u w:val="none" w:color="auto"/>
                <w:lang w:val="en-US" w:eastAsia="zh-CN" w:bidi="ar-SA"/>
              </w:rPr>
              <w:t>34</w:t>
            </w:r>
            <w:r>
              <w:rPr>
                <w:rFonts w:hint="default" w:ascii="Times New Roman" w:hAnsi="Times New Roman" w:cs="Times New Roman"/>
                <w:color w:val="auto"/>
                <w:kern w:val="2"/>
                <w:sz w:val="21"/>
                <w:szCs w:val="21"/>
                <w:highlight w:val="none"/>
                <w:u w:val="none" w:color="auto"/>
                <w:lang w:val="en-US" w:eastAsia="zh-CN" w:bidi="ar-SA"/>
              </w:rPr>
              <w:t>′</w:t>
            </w:r>
            <w:r>
              <w:rPr>
                <w:rFonts w:hint="eastAsia" w:ascii="Times New Roman" w:hAnsi="Times New Roman" w:cs="Times New Roman"/>
                <w:color w:val="auto"/>
                <w:kern w:val="2"/>
                <w:sz w:val="21"/>
                <w:szCs w:val="21"/>
                <w:highlight w:val="none"/>
                <w:u w:val="none" w:color="auto"/>
                <w:lang w:val="en-US" w:eastAsia="zh-CN" w:bidi="ar-SA"/>
              </w:rPr>
              <w:t>18.22</w:t>
            </w:r>
            <w:r>
              <w:rPr>
                <w:rFonts w:hint="default" w:ascii="Times New Roman" w:hAnsi="Times New Roman" w:cs="Times New Roman"/>
                <w:color w:val="auto"/>
                <w:kern w:val="2"/>
                <w:sz w:val="21"/>
                <w:szCs w:val="21"/>
                <w:highlight w:val="none"/>
                <w:u w:val="none" w:color="auto"/>
                <w:lang w:val="en-US" w:eastAsia="zh-CN" w:bidi="ar-SA"/>
              </w:rPr>
              <w:t>″E；</w:t>
            </w:r>
          </w:p>
          <w:p w14:paraId="3289C80F">
            <w:pPr>
              <w:spacing w:line="240" w:lineRule="auto"/>
              <w:ind w:firstLine="0" w:firstLineChars="0"/>
              <w:jc w:val="center"/>
              <w:rPr>
                <w:rFonts w:hint="eastAsia" w:ascii="Times New Roman" w:hAnsi="Times New Roman" w:cs="Times New Roman"/>
                <w:color w:val="auto"/>
                <w:kern w:val="2"/>
                <w:sz w:val="21"/>
                <w:szCs w:val="21"/>
                <w:highlight w:val="none"/>
                <w:u w:val="none" w:color="auto"/>
                <w:lang w:val="en-US" w:eastAsia="zh-CN" w:bidi="ar-SA"/>
              </w:rPr>
            </w:pPr>
            <w:r>
              <w:rPr>
                <w:rFonts w:hint="eastAsia" w:ascii="Times New Roman" w:hAnsi="Times New Roman" w:cs="Times New Roman"/>
                <w:color w:val="auto"/>
                <w:kern w:val="2"/>
                <w:sz w:val="21"/>
                <w:szCs w:val="21"/>
                <w:highlight w:val="none"/>
                <w:u w:val="none" w:color="auto"/>
                <w:lang w:val="en-US" w:eastAsia="zh-CN" w:bidi="ar-SA"/>
              </w:rPr>
              <w:t>28</w:t>
            </w:r>
            <w:r>
              <w:rPr>
                <w:rFonts w:hint="default" w:ascii="Times New Roman" w:hAnsi="Times New Roman" w:cs="Times New Roman"/>
                <w:color w:val="auto"/>
                <w:kern w:val="2"/>
                <w:sz w:val="21"/>
                <w:szCs w:val="21"/>
                <w:highlight w:val="none"/>
                <w:u w:val="none" w:color="auto"/>
                <w:lang w:val="en-US" w:eastAsia="zh-CN" w:bidi="ar-SA"/>
              </w:rPr>
              <w:t>°</w:t>
            </w:r>
            <w:r>
              <w:rPr>
                <w:rFonts w:hint="eastAsia" w:ascii="Times New Roman" w:hAnsi="Times New Roman" w:cs="Times New Roman"/>
                <w:color w:val="auto"/>
                <w:kern w:val="2"/>
                <w:sz w:val="21"/>
                <w:szCs w:val="21"/>
                <w:highlight w:val="none"/>
                <w:u w:val="none" w:color="auto"/>
                <w:lang w:val="en-US" w:eastAsia="zh-CN" w:bidi="ar-SA"/>
              </w:rPr>
              <w:t>39</w:t>
            </w:r>
            <w:r>
              <w:rPr>
                <w:rFonts w:hint="default" w:ascii="Times New Roman" w:hAnsi="Times New Roman" w:cs="Times New Roman"/>
                <w:color w:val="auto"/>
                <w:kern w:val="2"/>
                <w:sz w:val="21"/>
                <w:szCs w:val="21"/>
                <w:highlight w:val="none"/>
                <w:u w:val="none" w:color="auto"/>
                <w:lang w:val="en-US" w:eastAsia="zh-CN" w:bidi="ar-SA"/>
              </w:rPr>
              <w:t>′</w:t>
            </w:r>
            <w:r>
              <w:rPr>
                <w:rFonts w:hint="eastAsia" w:ascii="Times New Roman" w:hAnsi="Times New Roman" w:cs="Times New Roman"/>
                <w:color w:val="auto"/>
                <w:kern w:val="2"/>
                <w:sz w:val="21"/>
                <w:szCs w:val="21"/>
                <w:highlight w:val="none"/>
                <w:u w:val="none" w:color="auto"/>
                <w:lang w:val="en-US" w:eastAsia="zh-CN" w:bidi="ar-SA"/>
              </w:rPr>
              <w:t>51.82</w:t>
            </w:r>
            <w:r>
              <w:rPr>
                <w:rFonts w:hint="default" w:ascii="Times New Roman" w:hAnsi="Times New Roman" w:cs="Times New Roman"/>
                <w:color w:val="auto"/>
                <w:kern w:val="2"/>
                <w:sz w:val="21"/>
                <w:szCs w:val="21"/>
                <w:highlight w:val="none"/>
                <w:u w:val="none" w:color="auto"/>
                <w:lang w:val="en-US" w:eastAsia="zh-CN" w:bidi="ar-SA"/>
              </w:rPr>
              <w:t>″N</w:t>
            </w:r>
          </w:p>
        </w:tc>
        <w:tc>
          <w:tcPr>
            <w:tcW w:w="305" w:type="pct"/>
            <w:shd w:val="clear" w:color="auto" w:fill="auto"/>
            <w:noWrap w:val="0"/>
            <w:vAlign w:val="center"/>
          </w:tcPr>
          <w:p w14:paraId="437634CB">
            <w:pPr>
              <w:spacing w:line="240" w:lineRule="auto"/>
              <w:ind w:firstLine="0" w:firstLineChars="0"/>
              <w:jc w:val="center"/>
              <w:rPr>
                <w:rFonts w:hint="eastAsia" w:ascii="Times New Roman" w:hAnsi="Times New Roman" w:eastAsia="宋体" w:cs="Times New Roman"/>
                <w:color w:val="auto"/>
                <w:kern w:val="2"/>
                <w:sz w:val="21"/>
                <w:szCs w:val="21"/>
                <w:highlight w:val="none"/>
                <w:u w:val="none" w:color="auto"/>
                <w:lang w:val="en-US" w:eastAsia="zh-CN" w:bidi="ar-SA"/>
              </w:rPr>
            </w:pPr>
            <w:r>
              <w:rPr>
                <w:rFonts w:hint="eastAsia" w:cs="Times New Roman"/>
                <w:color w:val="auto"/>
                <w:kern w:val="2"/>
                <w:sz w:val="21"/>
                <w:szCs w:val="21"/>
                <w:highlight w:val="none"/>
                <w:u w:val="none" w:color="auto"/>
                <w:lang w:val="en-US" w:eastAsia="zh-CN" w:bidi="ar-SA"/>
              </w:rPr>
              <w:t>人群</w:t>
            </w:r>
          </w:p>
        </w:tc>
        <w:tc>
          <w:tcPr>
            <w:tcW w:w="425" w:type="pct"/>
            <w:shd w:val="clear" w:color="auto" w:fill="auto"/>
            <w:noWrap w:val="0"/>
            <w:vAlign w:val="center"/>
          </w:tcPr>
          <w:p w14:paraId="38EA9B8A">
            <w:pPr>
              <w:spacing w:line="240" w:lineRule="auto"/>
              <w:ind w:firstLine="0" w:firstLineChars="0"/>
              <w:jc w:val="center"/>
              <w:rPr>
                <w:rFonts w:hint="eastAsia" w:ascii="Times New Roman" w:hAnsi="Times New Roman" w:eastAsia="宋体" w:cs="Times New Roman"/>
                <w:color w:val="auto"/>
                <w:kern w:val="2"/>
                <w:sz w:val="21"/>
                <w:szCs w:val="21"/>
                <w:highlight w:val="none"/>
                <w:u w:val="none" w:color="auto"/>
                <w:lang w:val="en-US" w:eastAsia="zh-CN" w:bidi="ar-SA"/>
              </w:rPr>
            </w:pPr>
            <w:r>
              <w:rPr>
                <w:rFonts w:hint="eastAsia" w:cs="Times New Roman"/>
                <w:color w:val="auto"/>
                <w:kern w:val="2"/>
                <w:sz w:val="21"/>
                <w:szCs w:val="21"/>
                <w:highlight w:val="none"/>
                <w:u w:val="none" w:color="auto"/>
                <w:lang w:val="en-US" w:eastAsia="zh-CN" w:bidi="ar-SA"/>
              </w:rPr>
              <w:t>村庄</w:t>
            </w:r>
          </w:p>
        </w:tc>
        <w:tc>
          <w:tcPr>
            <w:tcW w:w="1050" w:type="pct"/>
            <w:vMerge w:val="continue"/>
            <w:noWrap w:val="0"/>
            <w:vAlign w:val="center"/>
          </w:tcPr>
          <w:p w14:paraId="27C1D76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yellow"/>
                <w:u w:val="none" w:color="auto"/>
                <w:lang w:val="en-US" w:eastAsia="zh-CN"/>
              </w:rPr>
            </w:pPr>
          </w:p>
        </w:tc>
        <w:tc>
          <w:tcPr>
            <w:tcW w:w="520" w:type="pct"/>
            <w:noWrap w:val="0"/>
            <w:vAlign w:val="center"/>
          </w:tcPr>
          <w:p w14:paraId="6BA39C4E">
            <w:pPr>
              <w:spacing w:line="240" w:lineRule="auto"/>
              <w:ind w:firstLine="0" w:firstLineChars="0"/>
              <w:jc w:val="center"/>
              <w:rPr>
                <w:rFonts w:hint="default" w:cs="Times New Roman"/>
                <w:color w:val="auto"/>
                <w:kern w:val="2"/>
                <w:sz w:val="21"/>
                <w:szCs w:val="21"/>
                <w:highlight w:val="none"/>
                <w:u w:val="none" w:color="auto"/>
                <w:lang w:val="en-US" w:eastAsia="zh-CN" w:bidi="ar-SA"/>
              </w:rPr>
            </w:pPr>
            <w:r>
              <w:rPr>
                <w:rFonts w:hint="eastAsia" w:cs="Times New Roman"/>
                <w:color w:val="auto"/>
                <w:kern w:val="2"/>
                <w:sz w:val="21"/>
                <w:szCs w:val="21"/>
                <w:highlight w:val="none"/>
                <w:u w:val="none" w:color="auto"/>
                <w:lang w:val="en-US" w:eastAsia="zh-CN" w:bidi="ar-SA"/>
              </w:rPr>
              <w:t>西</w:t>
            </w:r>
          </w:p>
        </w:tc>
        <w:tc>
          <w:tcPr>
            <w:tcW w:w="533" w:type="pct"/>
            <w:noWrap w:val="0"/>
            <w:vAlign w:val="center"/>
          </w:tcPr>
          <w:p w14:paraId="2D2071E9">
            <w:pPr>
              <w:spacing w:line="240" w:lineRule="auto"/>
              <w:ind w:firstLine="0" w:firstLineChars="0"/>
              <w:jc w:val="center"/>
              <w:rPr>
                <w:rFonts w:hint="default" w:cs="Times New Roman"/>
                <w:color w:val="auto"/>
                <w:kern w:val="2"/>
                <w:sz w:val="21"/>
                <w:szCs w:val="21"/>
                <w:highlight w:val="none"/>
                <w:u w:val="none" w:color="auto"/>
                <w:lang w:val="en-US" w:eastAsia="zh-CN" w:bidi="ar-SA"/>
              </w:rPr>
            </w:pPr>
            <w:r>
              <w:rPr>
                <w:rFonts w:hint="eastAsia" w:cs="Times New Roman"/>
                <w:color w:val="auto"/>
                <w:kern w:val="2"/>
                <w:sz w:val="21"/>
                <w:szCs w:val="21"/>
                <w:highlight w:val="none"/>
                <w:u w:val="none" w:color="auto"/>
                <w:lang w:val="en-US" w:eastAsia="zh-CN" w:bidi="ar-SA"/>
              </w:rPr>
              <w:t>160m</w:t>
            </w:r>
          </w:p>
        </w:tc>
        <w:tc>
          <w:tcPr>
            <w:tcW w:w="590" w:type="pct"/>
            <w:noWrap w:val="0"/>
            <w:vAlign w:val="center"/>
          </w:tcPr>
          <w:p w14:paraId="4000BBFB">
            <w:pPr>
              <w:spacing w:line="240" w:lineRule="auto"/>
              <w:ind w:firstLine="0" w:firstLineChars="0"/>
              <w:jc w:val="center"/>
              <w:rPr>
                <w:rFonts w:hint="default" w:cs="Times New Roman"/>
                <w:color w:val="auto"/>
                <w:kern w:val="2"/>
                <w:sz w:val="21"/>
                <w:szCs w:val="21"/>
                <w:highlight w:val="none"/>
                <w:u w:val="none" w:color="auto"/>
                <w:lang w:val="en-US" w:eastAsia="zh-CN" w:bidi="ar-SA"/>
              </w:rPr>
            </w:pPr>
            <w:r>
              <w:rPr>
                <w:rFonts w:hint="eastAsia" w:cs="Times New Roman"/>
                <w:color w:val="auto"/>
                <w:kern w:val="2"/>
                <w:sz w:val="21"/>
                <w:szCs w:val="21"/>
                <w:highlight w:val="none"/>
                <w:u w:val="none" w:color="auto"/>
                <w:lang w:val="en-US" w:eastAsia="zh-CN" w:bidi="ar-SA"/>
              </w:rPr>
              <w:t>约15户</w:t>
            </w:r>
          </w:p>
        </w:tc>
      </w:tr>
      <w:tr w14:paraId="6212343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746" w:type="pct"/>
            <w:noWrap w:val="0"/>
            <w:vAlign w:val="center"/>
          </w:tcPr>
          <w:p w14:paraId="786F11F9">
            <w:pPr>
              <w:spacing w:line="240" w:lineRule="auto"/>
              <w:ind w:firstLine="0" w:firstLineChars="0"/>
              <w:jc w:val="center"/>
              <w:rPr>
                <w:rFonts w:hint="default" w:cs="Times New Roman"/>
                <w:color w:val="auto"/>
                <w:kern w:val="2"/>
                <w:sz w:val="21"/>
                <w:szCs w:val="21"/>
                <w:highlight w:val="none"/>
                <w:u w:val="none" w:color="auto"/>
                <w:lang w:val="en-US" w:eastAsia="zh-CN" w:bidi="ar-SA"/>
              </w:rPr>
            </w:pPr>
            <w:r>
              <w:rPr>
                <w:rFonts w:hint="eastAsia" w:cs="Times New Roman"/>
                <w:color w:val="auto"/>
                <w:kern w:val="2"/>
                <w:sz w:val="21"/>
                <w:szCs w:val="21"/>
                <w:highlight w:val="none"/>
                <w:u w:val="none" w:color="auto"/>
                <w:lang w:val="en-US" w:eastAsia="zh-CN" w:bidi="ar-SA"/>
              </w:rPr>
              <w:t>3#白石岭</w:t>
            </w:r>
          </w:p>
        </w:tc>
        <w:tc>
          <w:tcPr>
            <w:tcW w:w="827" w:type="pct"/>
            <w:noWrap w:val="0"/>
            <w:vAlign w:val="center"/>
          </w:tcPr>
          <w:p w14:paraId="12446797">
            <w:pPr>
              <w:spacing w:line="240" w:lineRule="auto"/>
              <w:ind w:firstLine="0" w:firstLineChars="0"/>
              <w:jc w:val="center"/>
              <w:rPr>
                <w:rFonts w:hint="default" w:ascii="Times New Roman" w:hAnsi="Times New Roman" w:cs="Times New Roman"/>
                <w:color w:val="auto"/>
                <w:kern w:val="2"/>
                <w:sz w:val="21"/>
                <w:szCs w:val="21"/>
                <w:highlight w:val="none"/>
                <w:u w:val="none" w:color="auto"/>
                <w:lang w:val="en-US" w:eastAsia="zh-CN" w:bidi="ar-SA"/>
              </w:rPr>
            </w:pPr>
            <w:r>
              <w:rPr>
                <w:rFonts w:hint="eastAsia" w:ascii="Times New Roman" w:hAnsi="Times New Roman" w:cs="Times New Roman"/>
                <w:color w:val="auto"/>
                <w:kern w:val="2"/>
                <w:sz w:val="21"/>
                <w:szCs w:val="21"/>
                <w:highlight w:val="none"/>
                <w:u w:val="none" w:color="auto"/>
                <w:lang w:val="en-US" w:eastAsia="zh-CN" w:bidi="ar-SA"/>
              </w:rPr>
              <w:t>113</w:t>
            </w:r>
            <w:r>
              <w:rPr>
                <w:rFonts w:hint="default" w:ascii="Times New Roman" w:hAnsi="Times New Roman" w:cs="Times New Roman"/>
                <w:color w:val="auto"/>
                <w:kern w:val="2"/>
                <w:sz w:val="21"/>
                <w:szCs w:val="21"/>
                <w:highlight w:val="none"/>
                <w:u w:val="none" w:color="auto"/>
                <w:lang w:val="en-US" w:eastAsia="zh-CN" w:bidi="ar-SA"/>
              </w:rPr>
              <w:t>°</w:t>
            </w:r>
            <w:r>
              <w:rPr>
                <w:rFonts w:hint="eastAsia" w:ascii="Times New Roman" w:hAnsi="Times New Roman" w:cs="Times New Roman"/>
                <w:color w:val="auto"/>
                <w:kern w:val="2"/>
                <w:sz w:val="21"/>
                <w:szCs w:val="21"/>
                <w:highlight w:val="none"/>
                <w:u w:val="none" w:color="auto"/>
                <w:lang w:val="en-US" w:eastAsia="zh-CN" w:bidi="ar-SA"/>
              </w:rPr>
              <w:t>34</w:t>
            </w:r>
            <w:r>
              <w:rPr>
                <w:rFonts w:hint="default" w:ascii="Times New Roman" w:hAnsi="Times New Roman" w:cs="Times New Roman"/>
                <w:color w:val="auto"/>
                <w:kern w:val="2"/>
                <w:sz w:val="21"/>
                <w:szCs w:val="21"/>
                <w:highlight w:val="none"/>
                <w:u w:val="none" w:color="auto"/>
                <w:lang w:val="en-US" w:eastAsia="zh-CN" w:bidi="ar-SA"/>
              </w:rPr>
              <w:t>′</w:t>
            </w:r>
            <w:r>
              <w:rPr>
                <w:rFonts w:hint="eastAsia" w:ascii="Times New Roman" w:hAnsi="Times New Roman" w:cs="Times New Roman"/>
                <w:color w:val="auto"/>
                <w:kern w:val="2"/>
                <w:sz w:val="21"/>
                <w:szCs w:val="21"/>
                <w:highlight w:val="none"/>
                <w:u w:val="none" w:color="auto"/>
                <w:lang w:val="en-US" w:eastAsia="zh-CN" w:bidi="ar-SA"/>
              </w:rPr>
              <w:t>30.82</w:t>
            </w:r>
            <w:r>
              <w:rPr>
                <w:rFonts w:hint="default" w:ascii="Times New Roman" w:hAnsi="Times New Roman" w:cs="Times New Roman"/>
                <w:color w:val="auto"/>
                <w:kern w:val="2"/>
                <w:sz w:val="21"/>
                <w:szCs w:val="21"/>
                <w:highlight w:val="none"/>
                <w:u w:val="none" w:color="auto"/>
                <w:lang w:val="en-US" w:eastAsia="zh-CN" w:bidi="ar-SA"/>
              </w:rPr>
              <w:t>″E；</w:t>
            </w:r>
          </w:p>
          <w:p w14:paraId="3668D33F">
            <w:pPr>
              <w:spacing w:line="240" w:lineRule="auto"/>
              <w:ind w:firstLine="0" w:firstLineChars="0"/>
              <w:jc w:val="center"/>
              <w:rPr>
                <w:rFonts w:hint="eastAsia" w:ascii="Times New Roman" w:hAnsi="Times New Roman" w:cs="Times New Roman"/>
                <w:color w:val="auto"/>
                <w:kern w:val="2"/>
                <w:sz w:val="21"/>
                <w:szCs w:val="21"/>
                <w:highlight w:val="none"/>
                <w:u w:val="none" w:color="auto"/>
                <w:lang w:val="en-US" w:eastAsia="zh-CN" w:bidi="ar-SA"/>
              </w:rPr>
            </w:pPr>
            <w:r>
              <w:rPr>
                <w:rFonts w:hint="eastAsia" w:ascii="Times New Roman" w:hAnsi="Times New Roman" w:cs="Times New Roman"/>
                <w:color w:val="auto"/>
                <w:kern w:val="2"/>
                <w:sz w:val="21"/>
                <w:szCs w:val="21"/>
                <w:highlight w:val="none"/>
                <w:u w:val="none" w:color="auto"/>
                <w:lang w:val="en-US" w:eastAsia="zh-CN" w:bidi="ar-SA"/>
              </w:rPr>
              <w:t>28</w:t>
            </w:r>
            <w:r>
              <w:rPr>
                <w:rFonts w:hint="default" w:ascii="Times New Roman" w:hAnsi="Times New Roman" w:cs="Times New Roman"/>
                <w:color w:val="auto"/>
                <w:kern w:val="2"/>
                <w:sz w:val="21"/>
                <w:szCs w:val="21"/>
                <w:highlight w:val="none"/>
                <w:u w:val="none" w:color="auto"/>
                <w:lang w:val="en-US" w:eastAsia="zh-CN" w:bidi="ar-SA"/>
              </w:rPr>
              <w:t>°</w:t>
            </w:r>
            <w:r>
              <w:rPr>
                <w:rFonts w:hint="eastAsia" w:ascii="Times New Roman" w:hAnsi="Times New Roman" w:cs="Times New Roman"/>
                <w:color w:val="auto"/>
                <w:kern w:val="2"/>
                <w:sz w:val="21"/>
                <w:szCs w:val="21"/>
                <w:highlight w:val="none"/>
                <w:u w:val="none" w:color="auto"/>
                <w:lang w:val="en-US" w:eastAsia="zh-CN" w:bidi="ar-SA"/>
              </w:rPr>
              <w:t>39</w:t>
            </w:r>
            <w:r>
              <w:rPr>
                <w:rFonts w:hint="default" w:ascii="Times New Roman" w:hAnsi="Times New Roman" w:cs="Times New Roman"/>
                <w:color w:val="auto"/>
                <w:kern w:val="2"/>
                <w:sz w:val="21"/>
                <w:szCs w:val="21"/>
                <w:highlight w:val="none"/>
                <w:u w:val="none" w:color="auto"/>
                <w:lang w:val="en-US" w:eastAsia="zh-CN" w:bidi="ar-SA"/>
              </w:rPr>
              <w:t>′</w:t>
            </w:r>
            <w:r>
              <w:rPr>
                <w:rFonts w:hint="eastAsia" w:ascii="Times New Roman" w:hAnsi="Times New Roman" w:cs="Times New Roman"/>
                <w:color w:val="auto"/>
                <w:kern w:val="2"/>
                <w:sz w:val="21"/>
                <w:szCs w:val="21"/>
                <w:highlight w:val="none"/>
                <w:u w:val="none" w:color="auto"/>
                <w:lang w:val="en-US" w:eastAsia="zh-CN" w:bidi="ar-SA"/>
              </w:rPr>
              <w:t>57.54</w:t>
            </w:r>
            <w:r>
              <w:rPr>
                <w:rFonts w:hint="default" w:ascii="Times New Roman" w:hAnsi="Times New Roman" w:cs="Times New Roman"/>
                <w:color w:val="auto"/>
                <w:kern w:val="2"/>
                <w:sz w:val="21"/>
                <w:szCs w:val="21"/>
                <w:highlight w:val="none"/>
                <w:u w:val="none" w:color="auto"/>
                <w:lang w:val="en-US" w:eastAsia="zh-CN" w:bidi="ar-SA"/>
              </w:rPr>
              <w:t>″N</w:t>
            </w:r>
          </w:p>
        </w:tc>
        <w:tc>
          <w:tcPr>
            <w:tcW w:w="305" w:type="pct"/>
            <w:shd w:val="clear" w:color="auto" w:fill="auto"/>
            <w:noWrap w:val="0"/>
            <w:vAlign w:val="center"/>
          </w:tcPr>
          <w:p w14:paraId="27564326">
            <w:pPr>
              <w:spacing w:line="240" w:lineRule="auto"/>
              <w:ind w:firstLine="0" w:firstLineChars="0"/>
              <w:jc w:val="center"/>
              <w:rPr>
                <w:rFonts w:hint="eastAsia" w:ascii="Times New Roman" w:hAnsi="Times New Roman" w:eastAsia="宋体" w:cs="Times New Roman"/>
                <w:color w:val="auto"/>
                <w:kern w:val="2"/>
                <w:sz w:val="21"/>
                <w:szCs w:val="21"/>
                <w:highlight w:val="none"/>
                <w:u w:val="none" w:color="auto"/>
                <w:lang w:val="en-US" w:eastAsia="zh-CN" w:bidi="ar-SA"/>
              </w:rPr>
            </w:pPr>
            <w:r>
              <w:rPr>
                <w:rFonts w:hint="eastAsia" w:cs="Times New Roman"/>
                <w:color w:val="auto"/>
                <w:kern w:val="2"/>
                <w:sz w:val="21"/>
                <w:szCs w:val="21"/>
                <w:highlight w:val="none"/>
                <w:u w:val="none" w:color="auto"/>
                <w:lang w:val="en-US" w:eastAsia="zh-CN" w:bidi="ar-SA"/>
              </w:rPr>
              <w:t>人群</w:t>
            </w:r>
          </w:p>
        </w:tc>
        <w:tc>
          <w:tcPr>
            <w:tcW w:w="425" w:type="pct"/>
            <w:shd w:val="clear" w:color="auto" w:fill="auto"/>
            <w:noWrap w:val="0"/>
            <w:vAlign w:val="center"/>
          </w:tcPr>
          <w:p w14:paraId="606B0DFD">
            <w:pPr>
              <w:spacing w:line="240" w:lineRule="auto"/>
              <w:ind w:firstLine="0" w:firstLineChars="0"/>
              <w:jc w:val="center"/>
              <w:rPr>
                <w:rFonts w:hint="eastAsia" w:ascii="Times New Roman" w:hAnsi="Times New Roman" w:eastAsia="宋体" w:cs="Times New Roman"/>
                <w:color w:val="auto"/>
                <w:kern w:val="2"/>
                <w:sz w:val="21"/>
                <w:szCs w:val="21"/>
                <w:highlight w:val="none"/>
                <w:u w:val="none" w:color="auto"/>
                <w:lang w:val="en-US" w:eastAsia="zh-CN" w:bidi="ar-SA"/>
              </w:rPr>
            </w:pPr>
            <w:r>
              <w:rPr>
                <w:rFonts w:hint="eastAsia" w:cs="Times New Roman"/>
                <w:color w:val="auto"/>
                <w:kern w:val="2"/>
                <w:sz w:val="21"/>
                <w:szCs w:val="21"/>
                <w:highlight w:val="none"/>
                <w:u w:val="none" w:color="auto"/>
                <w:lang w:val="en-US" w:eastAsia="zh-CN" w:bidi="ar-SA"/>
              </w:rPr>
              <w:t>村庄</w:t>
            </w:r>
          </w:p>
        </w:tc>
        <w:tc>
          <w:tcPr>
            <w:tcW w:w="1050" w:type="pct"/>
            <w:vMerge w:val="continue"/>
            <w:noWrap w:val="0"/>
            <w:vAlign w:val="center"/>
          </w:tcPr>
          <w:p w14:paraId="7E5F04B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yellow"/>
                <w:u w:val="none" w:color="auto"/>
                <w:lang w:val="en-US" w:eastAsia="zh-CN"/>
              </w:rPr>
            </w:pPr>
          </w:p>
        </w:tc>
        <w:tc>
          <w:tcPr>
            <w:tcW w:w="520" w:type="pct"/>
            <w:noWrap w:val="0"/>
            <w:vAlign w:val="center"/>
          </w:tcPr>
          <w:p w14:paraId="3A3A6965">
            <w:pPr>
              <w:spacing w:line="240" w:lineRule="auto"/>
              <w:ind w:firstLine="0" w:firstLineChars="0"/>
              <w:jc w:val="center"/>
              <w:rPr>
                <w:rFonts w:hint="default" w:cs="Times New Roman"/>
                <w:color w:val="auto"/>
                <w:kern w:val="2"/>
                <w:sz w:val="21"/>
                <w:szCs w:val="21"/>
                <w:highlight w:val="none"/>
                <w:u w:val="none" w:color="auto"/>
                <w:lang w:val="en-US" w:eastAsia="zh-CN" w:bidi="ar-SA"/>
              </w:rPr>
            </w:pPr>
            <w:r>
              <w:rPr>
                <w:rFonts w:hint="eastAsia" w:cs="Times New Roman"/>
                <w:color w:val="auto"/>
                <w:kern w:val="2"/>
                <w:sz w:val="21"/>
                <w:szCs w:val="21"/>
                <w:highlight w:val="none"/>
                <w:u w:val="none" w:color="auto"/>
                <w:lang w:val="en-US" w:eastAsia="zh-CN" w:bidi="ar-SA"/>
              </w:rPr>
              <w:t>东北</w:t>
            </w:r>
          </w:p>
        </w:tc>
        <w:tc>
          <w:tcPr>
            <w:tcW w:w="533" w:type="pct"/>
            <w:noWrap w:val="0"/>
            <w:vAlign w:val="center"/>
          </w:tcPr>
          <w:p w14:paraId="3D8025D4">
            <w:pPr>
              <w:spacing w:line="240" w:lineRule="auto"/>
              <w:ind w:firstLine="0" w:firstLineChars="0"/>
              <w:jc w:val="center"/>
              <w:rPr>
                <w:rFonts w:hint="default" w:cs="Times New Roman"/>
                <w:color w:val="auto"/>
                <w:kern w:val="2"/>
                <w:sz w:val="21"/>
                <w:szCs w:val="21"/>
                <w:highlight w:val="none"/>
                <w:u w:val="none" w:color="auto"/>
                <w:lang w:val="en-US" w:eastAsia="zh-CN" w:bidi="ar-SA"/>
              </w:rPr>
            </w:pPr>
            <w:r>
              <w:rPr>
                <w:rFonts w:hint="eastAsia" w:cs="Times New Roman"/>
                <w:color w:val="auto"/>
                <w:kern w:val="2"/>
                <w:sz w:val="21"/>
                <w:szCs w:val="21"/>
                <w:highlight w:val="none"/>
                <w:u w:val="none" w:color="auto"/>
                <w:lang w:val="en-US" w:eastAsia="zh-CN" w:bidi="ar-SA"/>
              </w:rPr>
              <w:t>200m</w:t>
            </w:r>
          </w:p>
        </w:tc>
        <w:tc>
          <w:tcPr>
            <w:tcW w:w="590" w:type="pct"/>
            <w:noWrap w:val="0"/>
            <w:vAlign w:val="center"/>
          </w:tcPr>
          <w:p w14:paraId="35CECCBE">
            <w:pPr>
              <w:spacing w:line="240" w:lineRule="auto"/>
              <w:ind w:firstLine="0" w:firstLineChars="0"/>
              <w:jc w:val="center"/>
              <w:rPr>
                <w:rFonts w:hint="default" w:cs="Times New Roman"/>
                <w:color w:val="auto"/>
                <w:kern w:val="2"/>
                <w:sz w:val="21"/>
                <w:szCs w:val="21"/>
                <w:highlight w:val="none"/>
                <w:u w:val="none" w:color="auto"/>
                <w:lang w:val="en-US" w:eastAsia="zh-CN" w:bidi="ar-SA"/>
              </w:rPr>
            </w:pPr>
            <w:r>
              <w:rPr>
                <w:rFonts w:hint="eastAsia" w:cs="Times New Roman"/>
                <w:color w:val="auto"/>
                <w:kern w:val="2"/>
                <w:sz w:val="21"/>
                <w:szCs w:val="21"/>
                <w:highlight w:val="none"/>
                <w:u w:val="none" w:color="auto"/>
                <w:lang w:val="en-US" w:eastAsia="zh-CN" w:bidi="ar-SA"/>
              </w:rPr>
              <w:t>约25户</w:t>
            </w:r>
          </w:p>
        </w:tc>
      </w:tr>
      <w:tr w14:paraId="3CBD6A9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5000" w:type="pct"/>
            <w:gridSpan w:val="8"/>
            <w:noWrap w:val="0"/>
            <w:vAlign w:val="center"/>
          </w:tcPr>
          <w:p w14:paraId="3D61BCA1">
            <w:pPr>
              <w:spacing w:line="360" w:lineRule="auto"/>
              <w:ind w:firstLine="0" w:firstLineChars="0"/>
              <w:jc w:val="center"/>
              <w:rPr>
                <w:rFonts w:hint="default" w:cs="Times New Roman"/>
                <w:color w:val="auto"/>
                <w:kern w:val="2"/>
                <w:sz w:val="21"/>
                <w:szCs w:val="21"/>
                <w:highlight w:val="none"/>
                <w:u w:val="none" w:color="auto"/>
                <w:lang w:val="en-US" w:eastAsia="zh-CN" w:bidi="ar-SA"/>
              </w:rPr>
            </w:pPr>
            <w:r>
              <w:rPr>
                <w:rFonts w:hint="eastAsia" w:cs="Times New Roman"/>
                <w:b/>
                <w:bCs/>
                <w:color w:val="auto"/>
                <w:kern w:val="2"/>
                <w:sz w:val="21"/>
                <w:szCs w:val="21"/>
                <w:highlight w:val="none"/>
                <w:u w:val="none" w:color="auto"/>
                <w:lang w:val="en-US" w:eastAsia="zh-CN" w:bidi="ar-SA"/>
              </w:rPr>
              <w:t>运输路线</w:t>
            </w:r>
          </w:p>
        </w:tc>
      </w:tr>
      <w:tr w14:paraId="06D3C54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746" w:type="pct"/>
            <w:noWrap w:val="0"/>
            <w:vAlign w:val="center"/>
          </w:tcPr>
          <w:p w14:paraId="47DDE736">
            <w:pPr>
              <w:spacing w:line="240" w:lineRule="auto"/>
              <w:ind w:firstLine="0" w:firstLineChars="0"/>
              <w:jc w:val="center"/>
              <w:rPr>
                <w:rFonts w:hint="default" w:cs="Times New Roman"/>
                <w:color w:val="auto"/>
                <w:kern w:val="2"/>
                <w:sz w:val="21"/>
                <w:szCs w:val="21"/>
                <w:highlight w:val="none"/>
                <w:u w:val="none" w:color="auto"/>
                <w:lang w:val="en-US" w:eastAsia="zh-CN" w:bidi="ar-SA"/>
              </w:rPr>
            </w:pPr>
            <w:r>
              <w:rPr>
                <w:rFonts w:hint="eastAsia" w:cs="Times New Roman"/>
                <w:color w:val="auto"/>
                <w:kern w:val="2"/>
                <w:sz w:val="21"/>
                <w:szCs w:val="21"/>
                <w:highlight w:val="none"/>
                <w:u w:val="none" w:color="auto"/>
                <w:lang w:val="en-US" w:eastAsia="zh-CN" w:bidi="ar-SA"/>
              </w:rPr>
              <w:t>1#</w:t>
            </w:r>
            <w:r>
              <w:rPr>
                <w:rFonts w:hint="eastAsia" w:ascii="Times New Roman" w:hAnsi="Times New Roman" w:cs="Times New Roman"/>
                <w:color w:val="auto"/>
                <w:kern w:val="2"/>
                <w:sz w:val="21"/>
                <w:szCs w:val="21"/>
                <w:highlight w:val="none"/>
                <w:u w:val="none" w:color="auto"/>
                <w:lang w:val="en-US" w:eastAsia="zh-CN" w:bidi="ar-SA"/>
              </w:rPr>
              <w:t>南尧村</w:t>
            </w:r>
          </w:p>
        </w:tc>
        <w:tc>
          <w:tcPr>
            <w:tcW w:w="1512" w:type="dxa"/>
            <w:noWrap w:val="0"/>
            <w:vAlign w:val="center"/>
          </w:tcPr>
          <w:p w14:paraId="56CEE303">
            <w:pPr>
              <w:spacing w:line="240" w:lineRule="auto"/>
              <w:ind w:firstLine="0" w:firstLineChars="0"/>
              <w:jc w:val="center"/>
              <w:rPr>
                <w:rFonts w:hint="default" w:ascii="Times New Roman" w:hAnsi="Times New Roman" w:cs="Times New Roman"/>
                <w:color w:val="auto"/>
                <w:kern w:val="2"/>
                <w:sz w:val="21"/>
                <w:szCs w:val="21"/>
                <w:highlight w:val="none"/>
                <w:u w:val="none" w:color="auto"/>
                <w:lang w:val="en-US" w:eastAsia="zh-CN" w:bidi="ar-SA"/>
              </w:rPr>
            </w:pPr>
            <w:r>
              <w:rPr>
                <w:rFonts w:hint="eastAsia" w:ascii="Times New Roman" w:hAnsi="Times New Roman" w:cs="Times New Roman"/>
                <w:color w:val="auto"/>
                <w:kern w:val="2"/>
                <w:sz w:val="21"/>
                <w:szCs w:val="21"/>
                <w:highlight w:val="none"/>
                <w:u w:val="none" w:color="auto"/>
                <w:lang w:val="en-US" w:eastAsia="zh-CN" w:bidi="ar-SA"/>
              </w:rPr>
              <w:t>113</w:t>
            </w:r>
            <w:r>
              <w:rPr>
                <w:rFonts w:hint="default" w:ascii="Times New Roman" w:hAnsi="Times New Roman" w:cs="Times New Roman"/>
                <w:color w:val="auto"/>
                <w:kern w:val="2"/>
                <w:sz w:val="21"/>
                <w:szCs w:val="21"/>
                <w:highlight w:val="none"/>
                <w:u w:val="none" w:color="auto"/>
                <w:lang w:val="en-US" w:eastAsia="zh-CN" w:bidi="ar-SA"/>
              </w:rPr>
              <w:t>°</w:t>
            </w:r>
            <w:r>
              <w:rPr>
                <w:rFonts w:hint="eastAsia" w:ascii="Times New Roman" w:hAnsi="Times New Roman" w:cs="Times New Roman"/>
                <w:color w:val="auto"/>
                <w:kern w:val="2"/>
                <w:sz w:val="21"/>
                <w:szCs w:val="21"/>
                <w:highlight w:val="none"/>
                <w:u w:val="none" w:color="auto"/>
                <w:lang w:val="en-US" w:eastAsia="zh-CN" w:bidi="ar-SA"/>
              </w:rPr>
              <w:t>34</w:t>
            </w:r>
            <w:r>
              <w:rPr>
                <w:rFonts w:hint="default" w:ascii="Times New Roman" w:hAnsi="Times New Roman" w:cs="Times New Roman"/>
                <w:color w:val="auto"/>
                <w:kern w:val="2"/>
                <w:sz w:val="21"/>
                <w:szCs w:val="21"/>
                <w:highlight w:val="none"/>
                <w:u w:val="none" w:color="auto"/>
                <w:lang w:val="en-US" w:eastAsia="zh-CN" w:bidi="ar-SA"/>
              </w:rPr>
              <w:t>′</w:t>
            </w:r>
            <w:r>
              <w:rPr>
                <w:rFonts w:hint="eastAsia" w:ascii="Times New Roman" w:hAnsi="Times New Roman" w:cs="Times New Roman"/>
                <w:color w:val="auto"/>
                <w:kern w:val="2"/>
                <w:sz w:val="21"/>
                <w:szCs w:val="21"/>
                <w:highlight w:val="none"/>
                <w:u w:val="none" w:color="auto"/>
                <w:lang w:val="en-US" w:eastAsia="zh-CN" w:bidi="ar-SA"/>
              </w:rPr>
              <w:t>27.07</w:t>
            </w:r>
            <w:r>
              <w:rPr>
                <w:rFonts w:hint="default" w:ascii="Times New Roman" w:hAnsi="Times New Roman" w:cs="Times New Roman"/>
                <w:color w:val="auto"/>
                <w:kern w:val="2"/>
                <w:sz w:val="21"/>
                <w:szCs w:val="21"/>
                <w:highlight w:val="none"/>
                <w:u w:val="none" w:color="auto"/>
                <w:lang w:val="en-US" w:eastAsia="zh-CN" w:bidi="ar-SA"/>
              </w:rPr>
              <w:t>″E；</w:t>
            </w:r>
          </w:p>
          <w:p w14:paraId="729E087E">
            <w:pPr>
              <w:spacing w:line="240" w:lineRule="auto"/>
              <w:ind w:firstLine="0" w:firstLineChars="0"/>
              <w:jc w:val="center"/>
              <w:rPr>
                <w:rFonts w:hint="eastAsia" w:ascii="Times New Roman" w:hAnsi="Times New Roman" w:cs="Times New Roman"/>
                <w:color w:val="auto"/>
                <w:kern w:val="2"/>
                <w:sz w:val="21"/>
                <w:szCs w:val="21"/>
                <w:highlight w:val="yellow"/>
                <w:u w:val="none" w:color="auto"/>
                <w:lang w:val="en-US" w:eastAsia="zh-CN" w:bidi="ar-SA"/>
              </w:rPr>
            </w:pPr>
            <w:r>
              <w:rPr>
                <w:rFonts w:hint="eastAsia" w:ascii="Times New Roman" w:hAnsi="Times New Roman" w:cs="Times New Roman"/>
                <w:color w:val="auto"/>
                <w:kern w:val="2"/>
                <w:sz w:val="21"/>
                <w:szCs w:val="21"/>
                <w:highlight w:val="none"/>
                <w:u w:val="none" w:color="auto"/>
                <w:lang w:val="en-US" w:eastAsia="zh-CN" w:bidi="ar-SA"/>
              </w:rPr>
              <w:t>28</w:t>
            </w:r>
            <w:r>
              <w:rPr>
                <w:rFonts w:hint="default" w:ascii="Times New Roman" w:hAnsi="Times New Roman" w:cs="Times New Roman"/>
                <w:color w:val="auto"/>
                <w:kern w:val="2"/>
                <w:sz w:val="21"/>
                <w:szCs w:val="21"/>
                <w:highlight w:val="none"/>
                <w:u w:val="none" w:color="auto"/>
                <w:lang w:val="en-US" w:eastAsia="zh-CN" w:bidi="ar-SA"/>
              </w:rPr>
              <w:t>°</w:t>
            </w:r>
            <w:r>
              <w:rPr>
                <w:rFonts w:hint="eastAsia" w:ascii="Times New Roman" w:hAnsi="Times New Roman" w:cs="Times New Roman"/>
                <w:color w:val="auto"/>
                <w:kern w:val="2"/>
                <w:sz w:val="21"/>
                <w:szCs w:val="21"/>
                <w:highlight w:val="none"/>
                <w:u w:val="none" w:color="auto"/>
                <w:lang w:val="en-US" w:eastAsia="zh-CN" w:bidi="ar-SA"/>
              </w:rPr>
              <w:t>39</w:t>
            </w:r>
            <w:r>
              <w:rPr>
                <w:rFonts w:hint="default" w:ascii="Times New Roman" w:hAnsi="Times New Roman" w:cs="Times New Roman"/>
                <w:color w:val="auto"/>
                <w:kern w:val="2"/>
                <w:sz w:val="21"/>
                <w:szCs w:val="21"/>
                <w:highlight w:val="none"/>
                <w:u w:val="none" w:color="auto"/>
                <w:lang w:val="en-US" w:eastAsia="zh-CN" w:bidi="ar-SA"/>
              </w:rPr>
              <w:t>′</w:t>
            </w:r>
            <w:r>
              <w:rPr>
                <w:rFonts w:hint="eastAsia" w:ascii="Times New Roman" w:hAnsi="Times New Roman" w:cs="Times New Roman"/>
                <w:color w:val="auto"/>
                <w:kern w:val="2"/>
                <w:sz w:val="21"/>
                <w:szCs w:val="21"/>
                <w:highlight w:val="none"/>
                <w:u w:val="none" w:color="auto"/>
                <w:lang w:val="en-US" w:eastAsia="zh-CN" w:bidi="ar-SA"/>
              </w:rPr>
              <w:t>54.33</w:t>
            </w:r>
            <w:r>
              <w:rPr>
                <w:rFonts w:hint="default" w:ascii="Times New Roman" w:hAnsi="Times New Roman" w:cs="Times New Roman"/>
                <w:color w:val="auto"/>
                <w:kern w:val="2"/>
                <w:sz w:val="21"/>
                <w:szCs w:val="21"/>
                <w:highlight w:val="none"/>
                <w:u w:val="none" w:color="auto"/>
                <w:lang w:val="en-US" w:eastAsia="zh-CN" w:bidi="ar-SA"/>
              </w:rPr>
              <w:t>″N</w:t>
            </w:r>
          </w:p>
        </w:tc>
        <w:tc>
          <w:tcPr>
            <w:tcW w:w="305" w:type="pct"/>
            <w:shd w:val="clear" w:color="auto" w:fill="auto"/>
            <w:noWrap w:val="0"/>
            <w:vAlign w:val="center"/>
          </w:tcPr>
          <w:p w14:paraId="501E56B2">
            <w:pPr>
              <w:spacing w:line="240" w:lineRule="auto"/>
              <w:ind w:firstLine="0" w:firstLineChars="0"/>
              <w:jc w:val="center"/>
              <w:rPr>
                <w:rFonts w:hint="eastAsia" w:cs="Times New Roman"/>
                <w:color w:val="auto"/>
                <w:kern w:val="2"/>
                <w:sz w:val="21"/>
                <w:szCs w:val="21"/>
                <w:highlight w:val="none"/>
                <w:u w:val="none" w:color="auto"/>
                <w:lang w:val="en-US" w:eastAsia="zh-CN" w:bidi="ar-SA"/>
              </w:rPr>
            </w:pPr>
            <w:r>
              <w:rPr>
                <w:rFonts w:hint="eastAsia" w:cs="Times New Roman"/>
                <w:color w:val="auto"/>
                <w:kern w:val="2"/>
                <w:sz w:val="21"/>
                <w:szCs w:val="21"/>
                <w:highlight w:val="none"/>
                <w:u w:val="none" w:color="auto"/>
                <w:lang w:val="en-US" w:eastAsia="zh-CN" w:bidi="ar-SA"/>
              </w:rPr>
              <w:t>人群</w:t>
            </w:r>
          </w:p>
        </w:tc>
        <w:tc>
          <w:tcPr>
            <w:tcW w:w="425" w:type="pct"/>
            <w:shd w:val="clear" w:color="auto" w:fill="auto"/>
            <w:noWrap w:val="0"/>
            <w:vAlign w:val="center"/>
          </w:tcPr>
          <w:p w14:paraId="377A3190">
            <w:pPr>
              <w:spacing w:line="240" w:lineRule="auto"/>
              <w:ind w:firstLine="0" w:firstLineChars="0"/>
              <w:jc w:val="center"/>
              <w:rPr>
                <w:rFonts w:hint="eastAsia" w:cs="Times New Roman"/>
                <w:color w:val="auto"/>
                <w:kern w:val="2"/>
                <w:sz w:val="21"/>
                <w:szCs w:val="21"/>
                <w:highlight w:val="none"/>
                <w:u w:val="none" w:color="auto"/>
                <w:lang w:val="en-US" w:eastAsia="zh-CN" w:bidi="ar-SA"/>
              </w:rPr>
            </w:pPr>
            <w:r>
              <w:rPr>
                <w:rFonts w:hint="eastAsia" w:cs="Times New Roman"/>
                <w:color w:val="auto"/>
                <w:kern w:val="2"/>
                <w:sz w:val="21"/>
                <w:szCs w:val="21"/>
                <w:highlight w:val="none"/>
                <w:u w:val="none" w:color="auto"/>
                <w:lang w:val="en-US" w:eastAsia="zh-CN" w:bidi="ar-SA"/>
              </w:rPr>
              <w:t>村庄</w:t>
            </w:r>
          </w:p>
        </w:tc>
        <w:tc>
          <w:tcPr>
            <w:tcW w:w="1050" w:type="pct"/>
            <w:vMerge w:val="restart"/>
            <w:noWrap w:val="0"/>
            <w:vAlign w:val="center"/>
          </w:tcPr>
          <w:p w14:paraId="4DF35D8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yellow"/>
                <w:u w:val="none" w:color="auto"/>
                <w:lang w:val="en-US" w:eastAsia="zh-CN"/>
              </w:rPr>
            </w:pPr>
            <w:r>
              <w:rPr>
                <w:rFonts w:hint="default" w:ascii="Times New Roman" w:hAnsi="Times New Roman" w:cs="Times New Roman"/>
                <w:color w:val="auto"/>
                <w:sz w:val="21"/>
                <w:szCs w:val="21"/>
                <w:highlight w:val="none"/>
                <w:u w:val="none" w:color="auto"/>
                <w:lang w:val="en-US" w:eastAsia="zh-CN"/>
              </w:rPr>
              <w:t>《环境空气质量标准》（GB3095-2012）二类</w:t>
            </w:r>
            <w:r>
              <w:rPr>
                <w:rFonts w:hint="eastAsia" w:cs="Times New Roman"/>
                <w:color w:val="auto"/>
                <w:sz w:val="21"/>
                <w:szCs w:val="21"/>
                <w:highlight w:val="none"/>
                <w:u w:val="none" w:color="auto"/>
                <w:lang w:val="en-US" w:eastAsia="zh-CN"/>
              </w:rPr>
              <w:t>区</w:t>
            </w:r>
          </w:p>
        </w:tc>
        <w:tc>
          <w:tcPr>
            <w:tcW w:w="520" w:type="pct"/>
            <w:noWrap w:val="0"/>
            <w:vAlign w:val="center"/>
          </w:tcPr>
          <w:p w14:paraId="5F4D300F">
            <w:pPr>
              <w:spacing w:line="240" w:lineRule="auto"/>
              <w:ind w:firstLine="0" w:firstLineChars="0"/>
              <w:jc w:val="center"/>
              <w:rPr>
                <w:rFonts w:hint="default" w:cs="Times New Roman"/>
                <w:color w:val="auto"/>
                <w:kern w:val="2"/>
                <w:sz w:val="21"/>
                <w:szCs w:val="21"/>
                <w:highlight w:val="none"/>
                <w:u w:val="none" w:color="auto"/>
                <w:lang w:val="en-US" w:eastAsia="zh-CN" w:bidi="ar-SA"/>
              </w:rPr>
            </w:pPr>
            <w:r>
              <w:rPr>
                <w:rFonts w:hint="eastAsia" w:cs="Times New Roman"/>
                <w:color w:val="auto"/>
                <w:kern w:val="2"/>
                <w:sz w:val="21"/>
                <w:szCs w:val="21"/>
                <w:highlight w:val="none"/>
                <w:u w:val="none" w:color="auto"/>
                <w:lang w:val="en-US" w:eastAsia="zh-CN" w:bidi="ar-SA"/>
              </w:rPr>
              <w:t>北、南</w:t>
            </w:r>
          </w:p>
        </w:tc>
        <w:tc>
          <w:tcPr>
            <w:tcW w:w="533" w:type="pct"/>
            <w:noWrap w:val="0"/>
            <w:vAlign w:val="center"/>
          </w:tcPr>
          <w:p w14:paraId="4E8D8ADC">
            <w:pPr>
              <w:spacing w:line="240" w:lineRule="auto"/>
              <w:ind w:firstLine="0" w:firstLineChars="0"/>
              <w:jc w:val="center"/>
              <w:rPr>
                <w:rFonts w:hint="default" w:cs="Times New Roman"/>
                <w:color w:val="auto"/>
                <w:kern w:val="2"/>
                <w:sz w:val="21"/>
                <w:szCs w:val="21"/>
                <w:highlight w:val="none"/>
                <w:u w:val="none" w:color="auto"/>
                <w:lang w:val="en-US" w:eastAsia="zh-CN" w:bidi="ar-SA"/>
              </w:rPr>
            </w:pPr>
            <w:r>
              <w:rPr>
                <w:rFonts w:hint="eastAsia" w:cs="Times New Roman"/>
                <w:color w:val="auto"/>
                <w:kern w:val="2"/>
                <w:sz w:val="21"/>
                <w:szCs w:val="21"/>
                <w:highlight w:val="none"/>
                <w:u w:val="none" w:color="auto"/>
                <w:lang w:val="en-US" w:eastAsia="zh-CN" w:bidi="ar-SA"/>
              </w:rPr>
              <w:t>紧邻</w:t>
            </w:r>
          </w:p>
        </w:tc>
        <w:tc>
          <w:tcPr>
            <w:tcW w:w="590" w:type="pct"/>
            <w:noWrap w:val="0"/>
            <w:vAlign w:val="center"/>
          </w:tcPr>
          <w:p w14:paraId="629A24F9">
            <w:pPr>
              <w:spacing w:line="240" w:lineRule="auto"/>
              <w:ind w:firstLine="0" w:firstLineChars="0"/>
              <w:jc w:val="center"/>
              <w:rPr>
                <w:rFonts w:hint="eastAsia" w:cs="Times New Roman"/>
                <w:color w:val="auto"/>
                <w:kern w:val="2"/>
                <w:sz w:val="21"/>
                <w:szCs w:val="21"/>
                <w:highlight w:val="none"/>
                <w:u w:val="none" w:color="auto"/>
                <w:lang w:val="en-US" w:eastAsia="zh-CN" w:bidi="ar-SA"/>
              </w:rPr>
            </w:pPr>
            <w:r>
              <w:rPr>
                <w:rFonts w:hint="eastAsia" w:cs="Times New Roman"/>
                <w:color w:val="auto"/>
                <w:kern w:val="2"/>
                <w:sz w:val="21"/>
                <w:szCs w:val="21"/>
                <w:highlight w:val="none"/>
                <w:u w:val="none" w:color="auto"/>
                <w:lang w:val="en-US" w:eastAsia="zh-CN" w:bidi="ar-SA"/>
              </w:rPr>
              <w:t>约20户</w:t>
            </w:r>
          </w:p>
        </w:tc>
      </w:tr>
      <w:tr w14:paraId="1A962EF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746" w:type="pct"/>
            <w:noWrap w:val="0"/>
            <w:vAlign w:val="center"/>
          </w:tcPr>
          <w:p w14:paraId="15A720BA">
            <w:pPr>
              <w:spacing w:line="240" w:lineRule="auto"/>
              <w:ind w:firstLine="0" w:firstLineChars="0"/>
              <w:jc w:val="center"/>
              <w:rPr>
                <w:rFonts w:hint="default" w:cs="Times New Roman"/>
                <w:color w:val="auto"/>
                <w:kern w:val="2"/>
                <w:sz w:val="21"/>
                <w:szCs w:val="21"/>
                <w:highlight w:val="none"/>
                <w:u w:val="none" w:color="auto"/>
                <w:lang w:val="en-US" w:eastAsia="zh-CN" w:bidi="ar-SA"/>
              </w:rPr>
            </w:pPr>
            <w:r>
              <w:rPr>
                <w:rFonts w:hint="eastAsia" w:cs="Times New Roman"/>
                <w:color w:val="auto"/>
                <w:kern w:val="2"/>
                <w:sz w:val="21"/>
                <w:szCs w:val="21"/>
                <w:highlight w:val="none"/>
                <w:u w:val="none" w:color="auto"/>
                <w:lang w:val="en-US" w:eastAsia="zh-CN" w:bidi="ar-SA"/>
              </w:rPr>
              <w:t>2#昌卜冲</w:t>
            </w:r>
          </w:p>
        </w:tc>
        <w:tc>
          <w:tcPr>
            <w:tcW w:w="1512" w:type="dxa"/>
            <w:noWrap w:val="0"/>
            <w:vAlign w:val="center"/>
          </w:tcPr>
          <w:p w14:paraId="1E24D4DD">
            <w:pPr>
              <w:spacing w:line="240" w:lineRule="auto"/>
              <w:ind w:firstLine="0" w:firstLineChars="0"/>
              <w:jc w:val="center"/>
              <w:rPr>
                <w:rFonts w:hint="default" w:ascii="Times New Roman" w:hAnsi="Times New Roman" w:cs="Times New Roman"/>
                <w:color w:val="auto"/>
                <w:kern w:val="2"/>
                <w:sz w:val="21"/>
                <w:szCs w:val="21"/>
                <w:highlight w:val="none"/>
                <w:u w:val="none" w:color="auto"/>
                <w:lang w:val="en-US" w:eastAsia="zh-CN" w:bidi="ar-SA"/>
              </w:rPr>
            </w:pPr>
            <w:r>
              <w:rPr>
                <w:rFonts w:hint="eastAsia" w:ascii="Times New Roman" w:hAnsi="Times New Roman" w:cs="Times New Roman"/>
                <w:color w:val="auto"/>
                <w:kern w:val="2"/>
                <w:sz w:val="21"/>
                <w:szCs w:val="21"/>
                <w:highlight w:val="none"/>
                <w:u w:val="none" w:color="auto"/>
                <w:lang w:val="en-US" w:eastAsia="zh-CN" w:bidi="ar-SA"/>
              </w:rPr>
              <w:t>113</w:t>
            </w:r>
            <w:r>
              <w:rPr>
                <w:rFonts w:hint="default" w:ascii="Times New Roman" w:hAnsi="Times New Roman" w:cs="Times New Roman"/>
                <w:color w:val="auto"/>
                <w:kern w:val="2"/>
                <w:sz w:val="21"/>
                <w:szCs w:val="21"/>
                <w:highlight w:val="none"/>
                <w:u w:val="none" w:color="auto"/>
                <w:lang w:val="en-US" w:eastAsia="zh-CN" w:bidi="ar-SA"/>
              </w:rPr>
              <w:t>°</w:t>
            </w:r>
            <w:r>
              <w:rPr>
                <w:rFonts w:hint="eastAsia" w:ascii="Times New Roman" w:hAnsi="Times New Roman" w:cs="Times New Roman"/>
                <w:color w:val="auto"/>
                <w:kern w:val="2"/>
                <w:sz w:val="21"/>
                <w:szCs w:val="21"/>
                <w:highlight w:val="none"/>
                <w:u w:val="none" w:color="auto"/>
                <w:lang w:val="en-US" w:eastAsia="zh-CN" w:bidi="ar-SA"/>
              </w:rPr>
              <w:t>34</w:t>
            </w:r>
            <w:r>
              <w:rPr>
                <w:rFonts w:hint="default" w:ascii="Times New Roman" w:hAnsi="Times New Roman" w:cs="Times New Roman"/>
                <w:color w:val="auto"/>
                <w:kern w:val="2"/>
                <w:sz w:val="21"/>
                <w:szCs w:val="21"/>
                <w:highlight w:val="none"/>
                <w:u w:val="none" w:color="auto"/>
                <w:lang w:val="en-US" w:eastAsia="zh-CN" w:bidi="ar-SA"/>
              </w:rPr>
              <w:t>′</w:t>
            </w:r>
            <w:r>
              <w:rPr>
                <w:rFonts w:hint="eastAsia" w:ascii="Times New Roman" w:hAnsi="Times New Roman" w:cs="Times New Roman"/>
                <w:color w:val="auto"/>
                <w:kern w:val="2"/>
                <w:sz w:val="21"/>
                <w:szCs w:val="21"/>
                <w:highlight w:val="none"/>
                <w:u w:val="none" w:color="auto"/>
                <w:lang w:val="en-US" w:eastAsia="zh-CN" w:bidi="ar-SA"/>
              </w:rPr>
              <w:t>0.52</w:t>
            </w:r>
            <w:r>
              <w:rPr>
                <w:rFonts w:hint="default" w:ascii="Times New Roman" w:hAnsi="Times New Roman" w:cs="Times New Roman"/>
                <w:color w:val="auto"/>
                <w:kern w:val="2"/>
                <w:sz w:val="21"/>
                <w:szCs w:val="21"/>
                <w:highlight w:val="none"/>
                <w:u w:val="none" w:color="auto"/>
                <w:lang w:val="en-US" w:eastAsia="zh-CN" w:bidi="ar-SA"/>
              </w:rPr>
              <w:t>″E；</w:t>
            </w:r>
          </w:p>
          <w:p w14:paraId="1794787F">
            <w:pPr>
              <w:spacing w:line="240" w:lineRule="auto"/>
              <w:ind w:firstLine="0" w:firstLineChars="0"/>
              <w:jc w:val="center"/>
              <w:rPr>
                <w:rFonts w:hint="eastAsia" w:ascii="Times New Roman" w:hAnsi="Times New Roman" w:cs="Times New Roman"/>
                <w:color w:val="auto"/>
                <w:kern w:val="2"/>
                <w:sz w:val="21"/>
                <w:szCs w:val="21"/>
                <w:highlight w:val="yellow"/>
                <w:u w:val="none" w:color="auto"/>
                <w:lang w:val="en-US" w:eastAsia="zh-CN" w:bidi="ar-SA"/>
              </w:rPr>
            </w:pPr>
            <w:r>
              <w:rPr>
                <w:rFonts w:hint="eastAsia" w:ascii="Times New Roman" w:hAnsi="Times New Roman" w:cs="Times New Roman"/>
                <w:color w:val="auto"/>
                <w:kern w:val="2"/>
                <w:sz w:val="21"/>
                <w:szCs w:val="21"/>
                <w:highlight w:val="none"/>
                <w:u w:val="none" w:color="auto"/>
                <w:lang w:val="en-US" w:eastAsia="zh-CN" w:bidi="ar-SA"/>
              </w:rPr>
              <w:t>28</w:t>
            </w:r>
            <w:r>
              <w:rPr>
                <w:rFonts w:hint="default" w:ascii="Times New Roman" w:hAnsi="Times New Roman" w:cs="Times New Roman"/>
                <w:color w:val="auto"/>
                <w:kern w:val="2"/>
                <w:sz w:val="21"/>
                <w:szCs w:val="21"/>
                <w:highlight w:val="none"/>
                <w:u w:val="none" w:color="auto"/>
                <w:lang w:val="en-US" w:eastAsia="zh-CN" w:bidi="ar-SA"/>
              </w:rPr>
              <w:t>°</w:t>
            </w:r>
            <w:r>
              <w:rPr>
                <w:rFonts w:hint="eastAsia" w:ascii="Times New Roman" w:hAnsi="Times New Roman" w:cs="Times New Roman"/>
                <w:color w:val="auto"/>
                <w:kern w:val="2"/>
                <w:sz w:val="21"/>
                <w:szCs w:val="21"/>
                <w:highlight w:val="none"/>
                <w:u w:val="none" w:color="auto"/>
                <w:lang w:val="en-US" w:eastAsia="zh-CN" w:bidi="ar-SA"/>
              </w:rPr>
              <w:t>39</w:t>
            </w:r>
            <w:r>
              <w:rPr>
                <w:rFonts w:hint="default" w:ascii="Times New Roman" w:hAnsi="Times New Roman" w:cs="Times New Roman"/>
                <w:color w:val="auto"/>
                <w:kern w:val="2"/>
                <w:sz w:val="21"/>
                <w:szCs w:val="21"/>
                <w:highlight w:val="none"/>
                <w:u w:val="none" w:color="auto"/>
                <w:lang w:val="en-US" w:eastAsia="zh-CN" w:bidi="ar-SA"/>
              </w:rPr>
              <w:t>′</w:t>
            </w:r>
            <w:r>
              <w:rPr>
                <w:rFonts w:hint="eastAsia" w:ascii="Times New Roman" w:hAnsi="Times New Roman" w:cs="Times New Roman"/>
                <w:color w:val="auto"/>
                <w:kern w:val="2"/>
                <w:sz w:val="21"/>
                <w:szCs w:val="21"/>
                <w:highlight w:val="none"/>
                <w:u w:val="none" w:color="auto"/>
                <w:lang w:val="en-US" w:eastAsia="zh-CN" w:bidi="ar-SA"/>
              </w:rPr>
              <w:t>45.18</w:t>
            </w:r>
            <w:r>
              <w:rPr>
                <w:rFonts w:hint="default" w:ascii="Times New Roman" w:hAnsi="Times New Roman" w:cs="Times New Roman"/>
                <w:color w:val="auto"/>
                <w:kern w:val="2"/>
                <w:sz w:val="21"/>
                <w:szCs w:val="21"/>
                <w:highlight w:val="none"/>
                <w:u w:val="none" w:color="auto"/>
                <w:lang w:val="en-US" w:eastAsia="zh-CN" w:bidi="ar-SA"/>
              </w:rPr>
              <w:t>″N</w:t>
            </w:r>
          </w:p>
        </w:tc>
        <w:tc>
          <w:tcPr>
            <w:tcW w:w="305" w:type="pct"/>
            <w:shd w:val="clear" w:color="auto" w:fill="auto"/>
            <w:noWrap w:val="0"/>
            <w:vAlign w:val="center"/>
          </w:tcPr>
          <w:p w14:paraId="4077B55F">
            <w:pPr>
              <w:spacing w:line="240" w:lineRule="auto"/>
              <w:ind w:firstLine="0" w:firstLineChars="0"/>
              <w:jc w:val="center"/>
              <w:rPr>
                <w:rFonts w:hint="eastAsia" w:cs="Times New Roman"/>
                <w:color w:val="auto"/>
                <w:kern w:val="2"/>
                <w:sz w:val="21"/>
                <w:szCs w:val="21"/>
                <w:highlight w:val="none"/>
                <w:u w:val="none" w:color="auto"/>
                <w:lang w:val="en-US" w:eastAsia="zh-CN" w:bidi="ar-SA"/>
              </w:rPr>
            </w:pPr>
            <w:r>
              <w:rPr>
                <w:rFonts w:hint="eastAsia" w:cs="Times New Roman"/>
                <w:color w:val="auto"/>
                <w:kern w:val="2"/>
                <w:sz w:val="21"/>
                <w:szCs w:val="21"/>
                <w:highlight w:val="none"/>
                <w:u w:val="none" w:color="auto"/>
                <w:lang w:val="en-US" w:eastAsia="zh-CN" w:bidi="ar-SA"/>
              </w:rPr>
              <w:t>人群</w:t>
            </w:r>
          </w:p>
        </w:tc>
        <w:tc>
          <w:tcPr>
            <w:tcW w:w="425" w:type="pct"/>
            <w:shd w:val="clear" w:color="auto" w:fill="auto"/>
            <w:noWrap w:val="0"/>
            <w:vAlign w:val="center"/>
          </w:tcPr>
          <w:p w14:paraId="630108A7">
            <w:pPr>
              <w:spacing w:line="240" w:lineRule="auto"/>
              <w:ind w:firstLine="0" w:firstLineChars="0"/>
              <w:jc w:val="center"/>
              <w:rPr>
                <w:rFonts w:hint="eastAsia" w:cs="Times New Roman"/>
                <w:color w:val="auto"/>
                <w:kern w:val="2"/>
                <w:sz w:val="21"/>
                <w:szCs w:val="21"/>
                <w:highlight w:val="none"/>
                <w:u w:val="none" w:color="auto"/>
                <w:lang w:val="en-US" w:eastAsia="zh-CN" w:bidi="ar-SA"/>
              </w:rPr>
            </w:pPr>
            <w:r>
              <w:rPr>
                <w:rFonts w:hint="eastAsia" w:cs="Times New Roman"/>
                <w:color w:val="auto"/>
                <w:kern w:val="2"/>
                <w:sz w:val="21"/>
                <w:szCs w:val="21"/>
                <w:highlight w:val="none"/>
                <w:u w:val="none" w:color="auto"/>
                <w:lang w:val="en-US" w:eastAsia="zh-CN" w:bidi="ar-SA"/>
              </w:rPr>
              <w:t>村庄</w:t>
            </w:r>
          </w:p>
        </w:tc>
        <w:tc>
          <w:tcPr>
            <w:tcW w:w="1050" w:type="pct"/>
            <w:vMerge w:val="continue"/>
            <w:noWrap w:val="0"/>
            <w:vAlign w:val="center"/>
          </w:tcPr>
          <w:p w14:paraId="259EE6D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yellow"/>
                <w:u w:val="none" w:color="auto"/>
                <w:lang w:val="en-US" w:eastAsia="zh-CN"/>
              </w:rPr>
            </w:pPr>
          </w:p>
        </w:tc>
        <w:tc>
          <w:tcPr>
            <w:tcW w:w="520" w:type="pct"/>
            <w:noWrap w:val="0"/>
            <w:vAlign w:val="center"/>
          </w:tcPr>
          <w:p w14:paraId="3DCD49B9">
            <w:pPr>
              <w:spacing w:line="240" w:lineRule="auto"/>
              <w:ind w:firstLine="0" w:firstLineChars="0"/>
              <w:jc w:val="center"/>
              <w:rPr>
                <w:rFonts w:hint="default" w:cs="Times New Roman"/>
                <w:color w:val="auto"/>
                <w:kern w:val="2"/>
                <w:sz w:val="21"/>
                <w:szCs w:val="21"/>
                <w:highlight w:val="none"/>
                <w:u w:val="none" w:color="auto"/>
                <w:lang w:val="en-US" w:eastAsia="zh-CN" w:bidi="ar-SA"/>
              </w:rPr>
            </w:pPr>
            <w:r>
              <w:rPr>
                <w:rFonts w:hint="eastAsia" w:cs="Times New Roman"/>
                <w:color w:val="auto"/>
                <w:kern w:val="2"/>
                <w:sz w:val="21"/>
                <w:szCs w:val="21"/>
                <w:highlight w:val="none"/>
                <w:u w:val="none" w:color="auto"/>
                <w:lang w:val="en-US" w:eastAsia="zh-CN" w:bidi="ar-SA"/>
              </w:rPr>
              <w:t>北</w:t>
            </w:r>
          </w:p>
        </w:tc>
        <w:tc>
          <w:tcPr>
            <w:tcW w:w="533" w:type="pct"/>
            <w:noWrap w:val="0"/>
            <w:vAlign w:val="center"/>
          </w:tcPr>
          <w:p w14:paraId="3B319C89">
            <w:pPr>
              <w:spacing w:line="240" w:lineRule="auto"/>
              <w:ind w:firstLine="0" w:firstLineChars="0"/>
              <w:jc w:val="center"/>
              <w:rPr>
                <w:rFonts w:hint="default" w:cs="Times New Roman"/>
                <w:color w:val="auto"/>
                <w:kern w:val="2"/>
                <w:sz w:val="21"/>
                <w:szCs w:val="21"/>
                <w:highlight w:val="none"/>
                <w:u w:val="none" w:color="auto"/>
                <w:lang w:val="en-US" w:eastAsia="zh-CN" w:bidi="ar-SA"/>
              </w:rPr>
            </w:pPr>
            <w:r>
              <w:rPr>
                <w:rFonts w:hint="eastAsia" w:cs="Times New Roman"/>
                <w:color w:val="auto"/>
                <w:kern w:val="2"/>
                <w:sz w:val="21"/>
                <w:szCs w:val="21"/>
                <w:highlight w:val="none"/>
                <w:u w:val="none" w:color="auto"/>
                <w:lang w:val="en-US" w:eastAsia="zh-CN" w:bidi="ar-SA"/>
              </w:rPr>
              <w:t>紧邻</w:t>
            </w:r>
          </w:p>
        </w:tc>
        <w:tc>
          <w:tcPr>
            <w:tcW w:w="590" w:type="pct"/>
            <w:noWrap w:val="0"/>
            <w:vAlign w:val="center"/>
          </w:tcPr>
          <w:p w14:paraId="33BD6AC8">
            <w:pPr>
              <w:spacing w:line="240" w:lineRule="auto"/>
              <w:ind w:firstLine="0" w:firstLineChars="0"/>
              <w:jc w:val="center"/>
              <w:rPr>
                <w:rFonts w:hint="default" w:cs="Times New Roman"/>
                <w:color w:val="auto"/>
                <w:kern w:val="2"/>
                <w:sz w:val="21"/>
                <w:szCs w:val="21"/>
                <w:highlight w:val="none"/>
                <w:u w:val="none" w:color="auto"/>
                <w:lang w:val="en-US" w:eastAsia="zh-CN" w:bidi="ar-SA"/>
              </w:rPr>
            </w:pPr>
            <w:r>
              <w:rPr>
                <w:rFonts w:hint="eastAsia" w:cs="Times New Roman"/>
                <w:color w:val="auto"/>
                <w:kern w:val="2"/>
                <w:sz w:val="21"/>
                <w:szCs w:val="21"/>
                <w:highlight w:val="none"/>
                <w:u w:val="none" w:color="auto"/>
                <w:lang w:val="en-US" w:eastAsia="zh-CN" w:bidi="ar-SA"/>
              </w:rPr>
              <w:t>约5户</w:t>
            </w:r>
          </w:p>
        </w:tc>
      </w:tr>
      <w:tr w14:paraId="05E54BA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746" w:type="pct"/>
            <w:noWrap w:val="0"/>
            <w:vAlign w:val="center"/>
          </w:tcPr>
          <w:p w14:paraId="4063D40C">
            <w:pPr>
              <w:spacing w:line="240" w:lineRule="auto"/>
              <w:ind w:firstLine="0" w:firstLineChars="0"/>
              <w:jc w:val="center"/>
              <w:rPr>
                <w:rFonts w:hint="default" w:cs="Times New Roman"/>
                <w:color w:val="auto"/>
                <w:kern w:val="2"/>
                <w:sz w:val="21"/>
                <w:szCs w:val="21"/>
                <w:highlight w:val="none"/>
                <w:u w:val="none" w:color="auto"/>
                <w:lang w:val="en-US" w:eastAsia="zh-CN" w:bidi="ar-SA"/>
              </w:rPr>
            </w:pPr>
            <w:r>
              <w:rPr>
                <w:rFonts w:hint="eastAsia" w:cs="Times New Roman"/>
                <w:color w:val="auto"/>
                <w:kern w:val="2"/>
                <w:sz w:val="21"/>
                <w:szCs w:val="21"/>
                <w:highlight w:val="none"/>
                <w:u w:val="none" w:color="auto"/>
                <w:lang w:val="en-US" w:eastAsia="zh-CN" w:bidi="ar-SA"/>
              </w:rPr>
              <w:t>3#继冲</w:t>
            </w:r>
          </w:p>
        </w:tc>
        <w:tc>
          <w:tcPr>
            <w:tcW w:w="1512" w:type="dxa"/>
            <w:noWrap w:val="0"/>
            <w:vAlign w:val="center"/>
          </w:tcPr>
          <w:p w14:paraId="1C698DEF">
            <w:pPr>
              <w:spacing w:line="240" w:lineRule="auto"/>
              <w:ind w:firstLine="0" w:firstLineChars="0"/>
              <w:jc w:val="center"/>
              <w:rPr>
                <w:rFonts w:hint="default" w:ascii="Times New Roman" w:hAnsi="Times New Roman" w:cs="Times New Roman"/>
                <w:color w:val="auto"/>
                <w:kern w:val="2"/>
                <w:sz w:val="21"/>
                <w:szCs w:val="21"/>
                <w:highlight w:val="none"/>
                <w:u w:val="none" w:color="auto"/>
                <w:lang w:val="en-US" w:eastAsia="zh-CN" w:bidi="ar-SA"/>
              </w:rPr>
            </w:pPr>
            <w:r>
              <w:rPr>
                <w:rFonts w:hint="eastAsia" w:ascii="Times New Roman" w:hAnsi="Times New Roman" w:cs="Times New Roman"/>
                <w:color w:val="auto"/>
                <w:kern w:val="2"/>
                <w:sz w:val="21"/>
                <w:szCs w:val="21"/>
                <w:highlight w:val="none"/>
                <w:u w:val="none" w:color="auto"/>
                <w:lang w:val="en-US" w:eastAsia="zh-CN" w:bidi="ar-SA"/>
              </w:rPr>
              <w:t>113</w:t>
            </w:r>
            <w:r>
              <w:rPr>
                <w:rFonts w:hint="default" w:ascii="Times New Roman" w:hAnsi="Times New Roman" w:cs="Times New Roman"/>
                <w:color w:val="auto"/>
                <w:kern w:val="2"/>
                <w:sz w:val="21"/>
                <w:szCs w:val="21"/>
                <w:highlight w:val="none"/>
                <w:u w:val="none" w:color="auto"/>
                <w:lang w:val="en-US" w:eastAsia="zh-CN" w:bidi="ar-SA"/>
              </w:rPr>
              <w:t>°</w:t>
            </w:r>
            <w:r>
              <w:rPr>
                <w:rFonts w:hint="eastAsia" w:ascii="Times New Roman" w:hAnsi="Times New Roman" w:cs="Times New Roman"/>
                <w:color w:val="auto"/>
                <w:kern w:val="2"/>
                <w:sz w:val="21"/>
                <w:szCs w:val="21"/>
                <w:highlight w:val="none"/>
                <w:u w:val="none" w:color="auto"/>
                <w:lang w:val="en-US" w:eastAsia="zh-CN" w:bidi="ar-SA"/>
              </w:rPr>
              <w:t>33</w:t>
            </w:r>
            <w:r>
              <w:rPr>
                <w:rFonts w:hint="default" w:ascii="Times New Roman" w:hAnsi="Times New Roman" w:cs="Times New Roman"/>
                <w:color w:val="auto"/>
                <w:kern w:val="2"/>
                <w:sz w:val="21"/>
                <w:szCs w:val="21"/>
                <w:highlight w:val="none"/>
                <w:u w:val="none" w:color="auto"/>
                <w:lang w:val="en-US" w:eastAsia="zh-CN" w:bidi="ar-SA"/>
              </w:rPr>
              <w:t>′</w:t>
            </w:r>
            <w:r>
              <w:rPr>
                <w:rFonts w:hint="eastAsia" w:ascii="Times New Roman" w:hAnsi="Times New Roman" w:cs="Times New Roman"/>
                <w:color w:val="auto"/>
                <w:kern w:val="2"/>
                <w:sz w:val="21"/>
                <w:szCs w:val="21"/>
                <w:highlight w:val="none"/>
                <w:u w:val="none" w:color="auto"/>
                <w:lang w:val="en-US" w:eastAsia="zh-CN" w:bidi="ar-SA"/>
              </w:rPr>
              <w:t>55.93</w:t>
            </w:r>
            <w:r>
              <w:rPr>
                <w:rFonts w:hint="default" w:ascii="Times New Roman" w:hAnsi="Times New Roman" w:cs="Times New Roman"/>
                <w:color w:val="auto"/>
                <w:kern w:val="2"/>
                <w:sz w:val="21"/>
                <w:szCs w:val="21"/>
                <w:highlight w:val="none"/>
                <w:u w:val="none" w:color="auto"/>
                <w:lang w:val="en-US" w:eastAsia="zh-CN" w:bidi="ar-SA"/>
              </w:rPr>
              <w:t>″E；</w:t>
            </w:r>
          </w:p>
          <w:p w14:paraId="2A86850A">
            <w:pPr>
              <w:spacing w:line="240" w:lineRule="auto"/>
              <w:ind w:firstLine="0" w:firstLineChars="0"/>
              <w:jc w:val="center"/>
              <w:rPr>
                <w:rFonts w:hint="eastAsia" w:ascii="Times New Roman" w:hAnsi="Times New Roman" w:cs="Times New Roman"/>
                <w:color w:val="auto"/>
                <w:kern w:val="2"/>
                <w:sz w:val="21"/>
                <w:szCs w:val="21"/>
                <w:highlight w:val="none"/>
                <w:u w:val="none" w:color="auto"/>
                <w:lang w:val="en-US" w:eastAsia="zh-CN" w:bidi="ar-SA"/>
              </w:rPr>
            </w:pPr>
            <w:r>
              <w:rPr>
                <w:rFonts w:hint="eastAsia" w:ascii="Times New Roman" w:hAnsi="Times New Roman" w:cs="Times New Roman"/>
                <w:color w:val="auto"/>
                <w:kern w:val="2"/>
                <w:sz w:val="21"/>
                <w:szCs w:val="21"/>
                <w:highlight w:val="none"/>
                <w:u w:val="none" w:color="auto"/>
                <w:lang w:val="en-US" w:eastAsia="zh-CN" w:bidi="ar-SA"/>
              </w:rPr>
              <w:t>28</w:t>
            </w:r>
            <w:r>
              <w:rPr>
                <w:rFonts w:hint="default" w:ascii="Times New Roman" w:hAnsi="Times New Roman" w:cs="Times New Roman"/>
                <w:color w:val="auto"/>
                <w:kern w:val="2"/>
                <w:sz w:val="21"/>
                <w:szCs w:val="21"/>
                <w:highlight w:val="none"/>
                <w:u w:val="none" w:color="auto"/>
                <w:lang w:val="en-US" w:eastAsia="zh-CN" w:bidi="ar-SA"/>
              </w:rPr>
              <w:t>°</w:t>
            </w:r>
            <w:r>
              <w:rPr>
                <w:rFonts w:hint="eastAsia" w:ascii="Times New Roman" w:hAnsi="Times New Roman" w:cs="Times New Roman"/>
                <w:color w:val="auto"/>
                <w:kern w:val="2"/>
                <w:sz w:val="21"/>
                <w:szCs w:val="21"/>
                <w:highlight w:val="none"/>
                <w:u w:val="none" w:color="auto"/>
                <w:lang w:val="en-US" w:eastAsia="zh-CN" w:bidi="ar-SA"/>
              </w:rPr>
              <w:t>39</w:t>
            </w:r>
            <w:r>
              <w:rPr>
                <w:rFonts w:hint="default" w:ascii="Times New Roman" w:hAnsi="Times New Roman" w:cs="Times New Roman"/>
                <w:color w:val="auto"/>
                <w:kern w:val="2"/>
                <w:sz w:val="21"/>
                <w:szCs w:val="21"/>
                <w:highlight w:val="none"/>
                <w:u w:val="none" w:color="auto"/>
                <w:lang w:val="en-US" w:eastAsia="zh-CN" w:bidi="ar-SA"/>
              </w:rPr>
              <w:t>′</w:t>
            </w:r>
            <w:r>
              <w:rPr>
                <w:rFonts w:hint="eastAsia" w:ascii="Times New Roman" w:hAnsi="Times New Roman" w:cs="Times New Roman"/>
                <w:color w:val="auto"/>
                <w:kern w:val="2"/>
                <w:sz w:val="21"/>
                <w:szCs w:val="21"/>
                <w:highlight w:val="none"/>
                <w:u w:val="none" w:color="auto"/>
                <w:lang w:val="en-US" w:eastAsia="zh-CN" w:bidi="ar-SA"/>
              </w:rPr>
              <w:t>39.19</w:t>
            </w:r>
            <w:r>
              <w:rPr>
                <w:rFonts w:hint="default" w:ascii="Times New Roman" w:hAnsi="Times New Roman" w:cs="Times New Roman"/>
                <w:color w:val="auto"/>
                <w:kern w:val="2"/>
                <w:sz w:val="21"/>
                <w:szCs w:val="21"/>
                <w:highlight w:val="none"/>
                <w:u w:val="none" w:color="auto"/>
                <w:lang w:val="en-US" w:eastAsia="zh-CN" w:bidi="ar-SA"/>
              </w:rPr>
              <w:t>″N</w:t>
            </w:r>
          </w:p>
        </w:tc>
        <w:tc>
          <w:tcPr>
            <w:tcW w:w="305" w:type="pct"/>
            <w:shd w:val="clear" w:color="auto" w:fill="auto"/>
            <w:noWrap w:val="0"/>
            <w:vAlign w:val="center"/>
          </w:tcPr>
          <w:p w14:paraId="03B0FADA">
            <w:pPr>
              <w:spacing w:line="240" w:lineRule="auto"/>
              <w:ind w:firstLine="0" w:firstLineChars="0"/>
              <w:jc w:val="center"/>
              <w:rPr>
                <w:rFonts w:hint="eastAsia" w:cs="Times New Roman"/>
                <w:color w:val="auto"/>
                <w:kern w:val="2"/>
                <w:sz w:val="21"/>
                <w:szCs w:val="21"/>
                <w:highlight w:val="none"/>
                <w:u w:val="none" w:color="auto"/>
                <w:lang w:val="en-US" w:eastAsia="zh-CN" w:bidi="ar-SA"/>
              </w:rPr>
            </w:pPr>
            <w:r>
              <w:rPr>
                <w:rFonts w:hint="eastAsia" w:cs="Times New Roman"/>
                <w:color w:val="auto"/>
                <w:kern w:val="2"/>
                <w:sz w:val="21"/>
                <w:szCs w:val="21"/>
                <w:highlight w:val="none"/>
                <w:u w:val="none" w:color="auto"/>
                <w:lang w:val="en-US" w:eastAsia="zh-CN" w:bidi="ar-SA"/>
              </w:rPr>
              <w:t>人群</w:t>
            </w:r>
          </w:p>
        </w:tc>
        <w:tc>
          <w:tcPr>
            <w:tcW w:w="425" w:type="pct"/>
            <w:shd w:val="clear" w:color="auto" w:fill="auto"/>
            <w:noWrap w:val="0"/>
            <w:vAlign w:val="center"/>
          </w:tcPr>
          <w:p w14:paraId="174E1125">
            <w:pPr>
              <w:spacing w:line="240" w:lineRule="auto"/>
              <w:ind w:firstLine="0" w:firstLineChars="0"/>
              <w:jc w:val="center"/>
              <w:rPr>
                <w:rFonts w:hint="eastAsia" w:cs="Times New Roman"/>
                <w:color w:val="auto"/>
                <w:kern w:val="2"/>
                <w:sz w:val="21"/>
                <w:szCs w:val="21"/>
                <w:highlight w:val="none"/>
                <w:u w:val="none" w:color="auto"/>
                <w:lang w:val="en-US" w:eastAsia="zh-CN" w:bidi="ar-SA"/>
              </w:rPr>
            </w:pPr>
            <w:r>
              <w:rPr>
                <w:rFonts w:hint="eastAsia" w:cs="Times New Roman"/>
                <w:color w:val="auto"/>
                <w:kern w:val="2"/>
                <w:sz w:val="21"/>
                <w:szCs w:val="21"/>
                <w:highlight w:val="none"/>
                <w:u w:val="none" w:color="auto"/>
                <w:lang w:val="en-US" w:eastAsia="zh-CN" w:bidi="ar-SA"/>
              </w:rPr>
              <w:t>村庄</w:t>
            </w:r>
          </w:p>
        </w:tc>
        <w:tc>
          <w:tcPr>
            <w:tcW w:w="1050" w:type="pct"/>
            <w:vMerge w:val="continue"/>
            <w:noWrap w:val="0"/>
            <w:vAlign w:val="center"/>
          </w:tcPr>
          <w:p w14:paraId="3D73C19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yellow"/>
                <w:u w:val="none" w:color="auto"/>
                <w:lang w:val="en-US" w:eastAsia="zh-CN"/>
              </w:rPr>
            </w:pPr>
          </w:p>
        </w:tc>
        <w:tc>
          <w:tcPr>
            <w:tcW w:w="520" w:type="pct"/>
            <w:noWrap w:val="0"/>
            <w:vAlign w:val="center"/>
          </w:tcPr>
          <w:p w14:paraId="71334132">
            <w:pPr>
              <w:spacing w:line="240" w:lineRule="auto"/>
              <w:ind w:firstLine="0" w:firstLineChars="0"/>
              <w:jc w:val="center"/>
              <w:rPr>
                <w:rFonts w:hint="default" w:cs="Times New Roman"/>
                <w:color w:val="auto"/>
                <w:kern w:val="2"/>
                <w:sz w:val="21"/>
                <w:szCs w:val="21"/>
                <w:highlight w:val="none"/>
                <w:u w:val="none" w:color="auto"/>
                <w:lang w:val="en-US" w:eastAsia="zh-CN" w:bidi="ar-SA"/>
              </w:rPr>
            </w:pPr>
            <w:r>
              <w:rPr>
                <w:rFonts w:hint="eastAsia" w:cs="Times New Roman"/>
                <w:color w:val="auto"/>
                <w:kern w:val="2"/>
                <w:sz w:val="21"/>
                <w:szCs w:val="21"/>
                <w:highlight w:val="none"/>
                <w:u w:val="none" w:color="auto"/>
                <w:lang w:val="en-US" w:eastAsia="zh-CN" w:bidi="ar-SA"/>
              </w:rPr>
              <w:t>西</w:t>
            </w:r>
          </w:p>
        </w:tc>
        <w:tc>
          <w:tcPr>
            <w:tcW w:w="533" w:type="pct"/>
            <w:noWrap w:val="0"/>
            <w:vAlign w:val="center"/>
          </w:tcPr>
          <w:p w14:paraId="4821121D">
            <w:pPr>
              <w:spacing w:line="240" w:lineRule="auto"/>
              <w:ind w:firstLine="0" w:firstLineChars="0"/>
              <w:jc w:val="center"/>
              <w:rPr>
                <w:rFonts w:hint="default" w:cs="Times New Roman"/>
                <w:color w:val="auto"/>
                <w:kern w:val="2"/>
                <w:sz w:val="21"/>
                <w:szCs w:val="21"/>
                <w:highlight w:val="none"/>
                <w:u w:val="none" w:color="auto"/>
                <w:lang w:val="en-US" w:eastAsia="zh-CN" w:bidi="ar-SA"/>
              </w:rPr>
            </w:pPr>
            <w:r>
              <w:rPr>
                <w:rFonts w:hint="eastAsia" w:cs="Times New Roman"/>
                <w:color w:val="auto"/>
                <w:kern w:val="2"/>
                <w:sz w:val="21"/>
                <w:szCs w:val="21"/>
                <w:highlight w:val="none"/>
                <w:u w:val="none" w:color="auto"/>
                <w:lang w:val="en-US" w:eastAsia="zh-CN" w:bidi="ar-SA"/>
              </w:rPr>
              <w:t>紧邻</w:t>
            </w:r>
          </w:p>
        </w:tc>
        <w:tc>
          <w:tcPr>
            <w:tcW w:w="590" w:type="pct"/>
            <w:noWrap w:val="0"/>
            <w:vAlign w:val="center"/>
          </w:tcPr>
          <w:p w14:paraId="71A0353E">
            <w:pPr>
              <w:spacing w:line="240" w:lineRule="auto"/>
              <w:ind w:firstLine="0" w:firstLineChars="0"/>
              <w:jc w:val="center"/>
              <w:rPr>
                <w:rFonts w:hint="default" w:cs="Times New Roman"/>
                <w:color w:val="auto"/>
                <w:kern w:val="2"/>
                <w:sz w:val="21"/>
                <w:szCs w:val="21"/>
                <w:highlight w:val="none"/>
                <w:u w:val="none" w:color="auto"/>
                <w:lang w:val="en-US" w:eastAsia="zh-CN" w:bidi="ar-SA"/>
              </w:rPr>
            </w:pPr>
            <w:r>
              <w:rPr>
                <w:rFonts w:hint="eastAsia" w:cs="Times New Roman"/>
                <w:color w:val="auto"/>
                <w:kern w:val="2"/>
                <w:sz w:val="21"/>
                <w:szCs w:val="21"/>
                <w:highlight w:val="none"/>
                <w:u w:val="none" w:color="auto"/>
                <w:lang w:val="en-US" w:eastAsia="zh-CN" w:bidi="ar-SA"/>
              </w:rPr>
              <w:t>约3户</w:t>
            </w:r>
          </w:p>
        </w:tc>
      </w:tr>
      <w:tr w14:paraId="7D84808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746" w:type="pct"/>
            <w:noWrap w:val="0"/>
            <w:vAlign w:val="center"/>
          </w:tcPr>
          <w:p w14:paraId="3F815A9B">
            <w:pPr>
              <w:spacing w:line="240" w:lineRule="auto"/>
              <w:ind w:firstLine="0" w:firstLineChars="0"/>
              <w:jc w:val="center"/>
              <w:rPr>
                <w:rFonts w:hint="default" w:cs="Times New Roman"/>
                <w:color w:val="auto"/>
                <w:kern w:val="2"/>
                <w:sz w:val="21"/>
                <w:szCs w:val="21"/>
                <w:highlight w:val="none"/>
                <w:u w:val="none" w:color="auto"/>
                <w:lang w:val="en-US" w:eastAsia="zh-CN" w:bidi="ar-SA"/>
              </w:rPr>
            </w:pPr>
            <w:r>
              <w:rPr>
                <w:rFonts w:hint="eastAsia" w:cs="Times New Roman"/>
                <w:color w:val="auto"/>
                <w:kern w:val="2"/>
                <w:sz w:val="21"/>
                <w:szCs w:val="21"/>
                <w:highlight w:val="none"/>
                <w:u w:val="none" w:color="auto"/>
                <w:lang w:val="en-US" w:eastAsia="zh-CN" w:bidi="ar-SA"/>
              </w:rPr>
              <w:t>4#名山寨</w:t>
            </w:r>
          </w:p>
        </w:tc>
        <w:tc>
          <w:tcPr>
            <w:tcW w:w="1512" w:type="dxa"/>
            <w:noWrap w:val="0"/>
            <w:vAlign w:val="center"/>
          </w:tcPr>
          <w:p w14:paraId="4AD30F70">
            <w:pPr>
              <w:spacing w:line="240" w:lineRule="auto"/>
              <w:ind w:firstLine="0" w:firstLineChars="0"/>
              <w:jc w:val="center"/>
              <w:rPr>
                <w:rFonts w:hint="default" w:ascii="Times New Roman" w:hAnsi="Times New Roman" w:cs="Times New Roman"/>
                <w:color w:val="auto"/>
                <w:kern w:val="2"/>
                <w:sz w:val="21"/>
                <w:szCs w:val="21"/>
                <w:highlight w:val="none"/>
                <w:u w:val="none" w:color="auto"/>
                <w:lang w:val="en-US" w:eastAsia="zh-CN" w:bidi="ar-SA"/>
              </w:rPr>
            </w:pPr>
            <w:r>
              <w:rPr>
                <w:rFonts w:hint="eastAsia" w:ascii="Times New Roman" w:hAnsi="Times New Roman" w:cs="Times New Roman"/>
                <w:color w:val="auto"/>
                <w:kern w:val="2"/>
                <w:sz w:val="21"/>
                <w:szCs w:val="21"/>
                <w:highlight w:val="none"/>
                <w:u w:val="none" w:color="auto"/>
                <w:lang w:val="en-US" w:eastAsia="zh-CN" w:bidi="ar-SA"/>
              </w:rPr>
              <w:t>113</w:t>
            </w:r>
            <w:r>
              <w:rPr>
                <w:rFonts w:hint="default" w:ascii="Times New Roman" w:hAnsi="Times New Roman" w:cs="Times New Roman"/>
                <w:color w:val="auto"/>
                <w:kern w:val="2"/>
                <w:sz w:val="21"/>
                <w:szCs w:val="21"/>
                <w:highlight w:val="none"/>
                <w:u w:val="none" w:color="auto"/>
                <w:lang w:val="en-US" w:eastAsia="zh-CN" w:bidi="ar-SA"/>
              </w:rPr>
              <w:t>°</w:t>
            </w:r>
            <w:r>
              <w:rPr>
                <w:rFonts w:hint="eastAsia" w:ascii="Times New Roman" w:hAnsi="Times New Roman" w:cs="Times New Roman"/>
                <w:color w:val="auto"/>
                <w:kern w:val="2"/>
                <w:sz w:val="21"/>
                <w:szCs w:val="21"/>
                <w:highlight w:val="none"/>
                <w:u w:val="none" w:color="auto"/>
                <w:lang w:val="en-US" w:eastAsia="zh-CN" w:bidi="ar-SA"/>
              </w:rPr>
              <w:t>34</w:t>
            </w:r>
            <w:r>
              <w:rPr>
                <w:rFonts w:hint="default" w:ascii="Times New Roman" w:hAnsi="Times New Roman" w:cs="Times New Roman"/>
                <w:color w:val="auto"/>
                <w:kern w:val="2"/>
                <w:sz w:val="21"/>
                <w:szCs w:val="21"/>
                <w:highlight w:val="none"/>
                <w:u w:val="none" w:color="auto"/>
                <w:lang w:val="en-US" w:eastAsia="zh-CN" w:bidi="ar-SA"/>
              </w:rPr>
              <w:t>′</w:t>
            </w:r>
            <w:r>
              <w:rPr>
                <w:rFonts w:hint="eastAsia" w:ascii="Times New Roman" w:hAnsi="Times New Roman" w:cs="Times New Roman"/>
                <w:color w:val="auto"/>
                <w:kern w:val="2"/>
                <w:sz w:val="21"/>
                <w:szCs w:val="21"/>
                <w:highlight w:val="none"/>
                <w:u w:val="none" w:color="auto"/>
                <w:lang w:val="en-US" w:eastAsia="zh-CN" w:bidi="ar-SA"/>
              </w:rPr>
              <w:t>1.72</w:t>
            </w:r>
            <w:r>
              <w:rPr>
                <w:rFonts w:hint="default" w:ascii="Times New Roman" w:hAnsi="Times New Roman" w:cs="Times New Roman"/>
                <w:color w:val="auto"/>
                <w:kern w:val="2"/>
                <w:sz w:val="21"/>
                <w:szCs w:val="21"/>
                <w:highlight w:val="none"/>
                <w:u w:val="none" w:color="auto"/>
                <w:lang w:val="en-US" w:eastAsia="zh-CN" w:bidi="ar-SA"/>
              </w:rPr>
              <w:t>″E；</w:t>
            </w:r>
          </w:p>
          <w:p w14:paraId="1887CA19">
            <w:pPr>
              <w:spacing w:line="240" w:lineRule="auto"/>
              <w:ind w:firstLine="0" w:firstLineChars="0"/>
              <w:jc w:val="center"/>
              <w:rPr>
                <w:rFonts w:hint="eastAsia" w:ascii="Times New Roman" w:hAnsi="Times New Roman" w:cs="Times New Roman"/>
                <w:color w:val="auto"/>
                <w:kern w:val="2"/>
                <w:sz w:val="21"/>
                <w:szCs w:val="21"/>
                <w:highlight w:val="none"/>
                <w:u w:val="none" w:color="auto"/>
                <w:lang w:val="en-US" w:eastAsia="zh-CN" w:bidi="ar-SA"/>
              </w:rPr>
            </w:pPr>
            <w:r>
              <w:rPr>
                <w:rFonts w:hint="eastAsia" w:ascii="Times New Roman" w:hAnsi="Times New Roman" w:cs="Times New Roman"/>
                <w:color w:val="auto"/>
                <w:kern w:val="2"/>
                <w:sz w:val="21"/>
                <w:szCs w:val="21"/>
                <w:highlight w:val="none"/>
                <w:u w:val="none" w:color="auto"/>
                <w:lang w:val="en-US" w:eastAsia="zh-CN" w:bidi="ar-SA"/>
              </w:rPr>
              <w:t>28</w:t>
            </w:r>
            <w:r>
              <w:rPr>
                <w:rFonts w:hint="default" w:ascii="Times New Roman" w:hAnsi="Times New Roman" w:cs="Times New Roman"/>
                <w:color w:val="auto"/>
                <w:kern w:val="2"/>
                <w:sz w:val="21"/>
                <w:szCs w:val="21"/>
                <w:highlight w:val="none"/>
                <w:u w:val="none" w:color="auto"/>
                <w:lang w:val="en-US" w:eastAsia="zh-CN" w:bidi="ar-SA"/>
              </w:rPr>
              <w:t>°</w:t>
            </w:r>
            <w:r>
              <w:rPr>
                <w:rFonts w:hint="eastAsia" w:ascii="Times New Roman" w:hAnsi="Times New Roman" w:cs="Times New Roman"/>
                <w:color w:val="auto"/>
                <w:kern w:val="2"/>
                <w:sz w:val="21"/>
                <w:szCs w:val="21"/>
                <w:highlight w:val="none"/>
                <w:u w:val="none" w:color="auto"/>
                <w:lang w:val="en-US" w:eastAsia="zh-CN" w:bidi="ar-SA"/>
              </w:rPr>
              <w:t>39</w:t>
            </w:r>
            <w:r>
              <w:rPr>
                <w:rFonts w:hint="default" w:ascii="Times New Roman" w:hAnsi="Times New Roman" w:cs="Times New Roman"/>
                <w:color w:val="auto"/>
                <w:kern w:val="2"/>
                <w:sz w:val="21"/>
                <w:szCs w:val="21"/>
                <w:highlight w:val="none"/>
                <w:u w:val="none" w:color="auto"/>
                <w:lang w:val="en-US" w:eastAsia="zh-CN" w:bidi="ar-SA"/>
              </w:rPr>
              <w:t>′</w:t>
            </w:r>
            <w:r>
              <w:rPr>
                <w:rFonts w:hint="eastAsia" w:ascii="Times New Roman" w:hAnsi="Times New Roman" w:cs="Times New Roman"/>
                <w:color w:val="auto"/>
                <w:kern w:val="2"/>
                <w:sz w:val="21"/>
                <w:szCs w:val="21"/>
                <w:highlight w:val="none"/>
                <w:u w:val="none" w:color="auto"/>
                <w:lang w:val="en-US" w:eastAsia="zh-CN" w:bidi="ar-SA"/>
              </w:rPr>
              <w:t>35.25</w:t>
            </w:r>
            <w:r>
              <w:rPr>
                <w:rFonts w:hint="default" w:ascii="Times New Roman" w:hAnsi="Times New Roman" w:cs="Times New Roman"/>
                <w:color w:val="auto"/>
                <w:kern w:val="2"/>
                <w:sz w:val="21"/>
                <w:szCs w:val="21"/>
                <w:highlight w:val="none"/>
                <w:u w:val="none" w:color="auto"/>
                <w:lang w:val="en-US" w:eastAsia="zh-CN" w:bidi="ar-SA"/>
              </w:rPr>
              <w:t>″N</w:t>
            </w:r>
          </w:p>
        </w:tc>
        <w:tc>
          <w:tcPr>
            <w:tcW w:w="305" w:type="pct"/>
            <w:shd w:val="clear" w:color="auto" w:fill="auto"/>
            <w:noWrap w:val="0"/>
            <w:vAlign w:val="center"/>
          </w:tcPr>
          <w:p w14:paraId="5F39B3A7">
            <w:pPr>
              <w:spacing w:line="240" w:lineRule="auto"/>
              <w:ind w:firstLine="0" w:firstLineChars="0"/>
              <w:jc w:val="center"/>
              <w:rPr>
                <w:rFonts w:hint="eastAsia" w:cs="Times New Roman"/>
                <w:color w:val="auto"/>
                <w:kern w:val="2"/>
                <w:sz w:val="21"/>
                <w:szCs w:val="21"/>
                <w:highlight w:val="none"/>
                <w:u w:val="none" w:color="auto"/>
                <w:lang w:val="en-US" w:eastAsia="zh-CN" w:bidi="ar-SA"/>
              </w:rPr>
            </w:pPr>
            <w:r>
              <w:rPr>
                <w:rFonts w:hint="eastAsia" w:cs="Times New Roman"/>
                <w:color w:val="auto"/>
                <w:kern w:val="2"/>
                <w:sz w:val="21"/>
                <w:szCs w:val="21"/>
                <w:highlight w:val="none"/>
                <w:u w:val="none" w:color="auto"/>
                <w:lang w:val="en-US" w:eastAsia="zh-CN" w:bidi="ar-SA"/>
              </w:rPr>
              <w:t>人群</w:t>
            </w:r>
          </w:p>
        </w:tc>
        <w:tc>
          <w:tcPr>
            <w:tcW w:w="425" w:type="pct"/>
            <w:shd w:val="clear" w:color="auto" w:fill="auto"/>
            <w:noWrap w:val="0"/>
            <w:vAlign w:val="center"/>
          </w:tcPr>
          <w:p w14:paraId="2E4A0881">
            <w:pPr>
              <w:spacing w:line="240" w:lineRule="auto"/>
              <w:ind w:firstLine="0" w:firstLineChars="0"/>
              <w:jc w:val="center"/>
              <w:rPr>
                <w:rFonts w:hint="eastAsia" w:cs="Times New Roman"/>
                <w:color w:val="auto"/>
                <w:kern w:val="2"/>
                <w:sz w:val="21"/>
                <w:szCs w:val="21"/>
                <w:highlight w:val="none"/>
                <w:u w:val="none" w:color="auto"/>
                <w:lang w:val="en-US" w:eastAsia="zh-CN" w:bidi="ar-SA"/>
              </w:rPr>
            </w:pPr>
            <w:r>
              <w:rPr>
                <w:rFonts w:hint="eastAsia" w:cs="Times New Roman"/>
                <w:color w:val="auto"/>
                <w:kern w:val="2"/>
                <w:sz w:val="21"/>
                <w:szCs w:val="21"/>
                <w:highlight w:val="none"/>
                <w:u w:val="none" w:color="auto"/>
                <w:lang w:val="en-US" w:eastAsia="zh-CN" w:bidi="ar-SA"/>
              </w:rPr>
              <w:t>村庄</w:t>
            </w:r>
          </w:p>
        </w:tc>
        <w:tc>
          <w:tcPr>
            <w:tcW w:w="1050" w:type="pct"/>
            <w:vMerge w:val="continue"/>
            <w:noWrap w:val="0"/>
            <w:vAlign w:val="center"/>
          </w:tcPr>
          <w:p w14:paraId="4B2EA42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yellow"/>
                <w:u w:val="none" w:color="auto"/>
                <w:lang w:val="en-US" w:eastAsia="zh-CN"/>
              </w:rPr>
            </w:pPr>
          </w:p>
        </w:tc>
        <w:tc>
          <w:tcPr>
            <w:tcW w:w="520" w:type="pct"/>
            <w:noWrap w:val="0"/>
            <w:vAlign w:val="center"/>
          </w:tcPr>
          <w:p w14:paraId="08CF7E01">
            <w:pPr>
              <w:spacing w:line="240" w:lineRule="auto"/>
              <w:ind w:firstLine="0" w:firstLineChars="0"/>
              <w:jc w:val="center"/>
              <w:rPr>
                <w:rFonts w:hint="default" w:cs="Times New Roman"/>
                <w:color w:val="auto"/>
                <w:kern w:val="2"/>
                <w:sz w:val="21"/>
                <w:szCs w:val="21"/>
                <w:highlight w:val="none"/>
                <w:u w:val="none" w:color="auto"/>
                <w:lang w:val="en-US" w:eastAsia="zh-CN" w:bidi="ar-SA"/>
              </w:rPr>
            </w:pPr>
            <w:r>
              <w:rPr>
                <w:rFonts w:hint="eastAsia" w:cs="Times New Roman"/>
                <w:color w:val="auto"/>
                <w:kern w:val="2"/>
                <w:sz w:val="21"/>
                <w:szCs w:val="21"/>
                <w:highlight w:val="none"/>
                <w:u w:val="none" w:color="auto"/>
                <w:lang w:val="en-US" w:eastAsia="zh-CN" w:bidi="ar-SA"/>
              </w:rPr>
              <w:t>东</w:t>
            </w:r>
          </w:p>
        </w:tc>
        <w:tc>
          <w:tcPr>
            <w:tcW w:w="533" w:type="pct"/>
            <w:noWrap w:val="0"/>
            <w:vAlign w:val="center"/>
          </w:tcPr>
          <w:p w14:paraId="2E29DD31">
            <w:pPr>
              <w:spacing w:line="240" w:lineRule="auto"/>
              <w:ind w:firstLine="0" w:firstLineChars="0"/>
              <w:jc w:val="center"/>
              <w:rPr>
                <w:rFonts w:hint="default" w:cs="Times New Roman"/>
                <w:color w:val="auto"/>
                <w:kern w:val="2"/>
                <w:sz w:val="21"/>
                <w:szCs w:val="21"/>
                <w:highlight w:val="none"/>
                <w:u w:val="none" w:color="auto"/>
                <w:lang w:val="en-US" w:eastAsia="zh-CN" w:bidi="ar-SA"/>
              </w:rPr>
            </w:pPr>
            <w:r>
              <w:rPr>
                <w:rFonts w:hint="eastAsia" w:cs="Times New Roman"/>
                <w:color w:val="auto"/>
                <w:kern w:val="2"/>
                <w:sz w:val="21"/>
                <w:szCs w:val="21"/>
                <w:highlight w:val="none"/>
                <w:u w:val="none" w:color="auto"/>
                <w:lang w:val="en-US" w:eastAsia="zh-CN" w:bidi="ar-SA"/>
              </w:rPr>
              <w:t>紧邻</w:t>
            </w:r>
          </w:p>
        </w:tc>
        <w:tc>
          <w:tcPr>
            <w:tcW w:w="590" w:type="pct"/>
            <w:noWrap w:val="0"/>
            <w:vAlign w:val="center"/>
          </w:tcPr>
          <w:p w14:paraId="6E4FD327">
            <w:pPr>
              <w:spacing w:line="240" w:lineRule="auto"/>
              <w:ind w:firstLine="0" w:firstLineChars="0"/>
              <w:jc w:val="center"/>
              <w:rPr>
                <w:rFonts w:hint="default" w:cs="Times New Roman"/>
                <w:color w:val="auto"/>
                <w:kern w:val="2"/>
                <w:sz w:val="21"/>
                <w:szCs w:val="21"/>
                <w:highlight w:val="none"/>
                <w:u w:val="none" w:color="auto"/>
                <w:lang w:val="en-US" w:eastAsia="zh-CN" w:bidi="ar-SA"/>
              </w:rPr>
            </w:pPr>
            <w:r>
              <w:rPr>
                <w:rFonts w:hint="eastAsia" w:cs="Times New Roman"/>
                <w:color w:val="auto"/>
                <w:kern w:val="2"/>
                <w:sz w:val="21"/>
                <w:szCs w:val="21"/>
                <w:highlight w:val="none"/>
                <w:u w:val="none" w:color="auto"/>
                <w:lang w:val="en-US" w:eastAsia="zh-CN" w:bidi="ar-SA"/>
              </w:rPr>
              <w:t>约20户</w:t>
            </w:r>
          </w:p>
        </w:tc>
      </w:tr>
      <w:tr w14:paraId="16CC721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746" w:type="pct"/>
            <w:noWrap w:val="0"/>
            <w:vAlign w:val="center"/>
          </w:tcPr>
          <w:p w14:paraId="74E85834">
            <w:pPr>
              <w:spacing w:line="240" w:lineRule="auto"/>
              <w:ind w:firstLine="0" w:firstLineChars="0"/>
              <w:jc w:val="center"/>
              <w:rPr>
                <w:rFonts w:hint="default" w:cs="Times New Roman"/>
                <w:color w:val="auto"/>
                <w:kern w:val="2"/>
                <w:sz w:val="21"/>
                <w:szCs w:val="21"/>
                <w:highlight w:val="none"/>
                <w:u w:val="none" w:color="auto"/>
                <w:lang w:val="en-US" w:eastAsia="zh-CN" w:bidi="ar-SA"/>
              </w:rPr>
            </w:pPr>
            <w:r>
              <w:rPr>
                <w:rFonts w:hint="eastAsia" w:cs="Times New Roman"/>
                <w:color w:val="auto"/>
                <w:kern w:val="2"/>
                <w:sz w:val="21"/>
                <w:szCs w:val="21"/>
                <w:highlight w:val="none"/>
                <w:u w:val="none" w:color="auto"/>
                <w:lang w:val="en-US" w:eastAsia="zh-CN" w:bidi="ar-SA"/>
              </w:rPr>
              <w:t>5#下南源</w:t>
            </w:r>
          </w:p>
        </w:tc>
        <w:tc>
          <w:tcPr>
            <w:tcW w:w="1512" w:type="dxa"/>
            <w:noWrap w:val="0"/>
            <w:vAlign w:val="center"/>
          </w:tcPr>
          <w:p w14:paraId="3DA0B492">
            <w:pPr>
              <w:spacing w:line="240" w:lineRule="auto"/>
              <w:ind w:firstLine="0" w:firstLineChars="0"/>
              <w:jc w:val="center"/>
              <w:rPr>
                <w:rFonts w:hint="default" w:ascii="Times New Roman" w:hAnsi="Times New Roman" w:cs="Times New Roman"/>
                <w:color w:val="auto"/>
                <w:kern w:val="2"/>
                <w:sz w:val="21"/>
                <w:szCs w:val="21"/>
                <w:highlight w:val="none"/>
                <w:u w:val="none" w:color="auto"/>
                <w:lang w:val="en-US" w:eastAsia="zh-CN" w:bidi="ar-SA"/>
              </w:rPr>
            </w:pPr>
            <w:r>
              <w:rPr>
                <w:rFonts w:hint="eastAsia" w:ascii="Times New Roman" w:hAnsi="Times New Roman" w:cs="Times New Roman"/>
                <w:color w:val="auto"/>
                <w:kern w:val="2"/>
                <w:sz w:val="21"/>
                <w:szCs w:val="21"/>
                <w:highlight w:val="none"/>
                <w:u w:val="none" w:color="auto"/>
                <w:lang w:val="en-US" w:eastAsia="zh-CN" w:bidi="ar-SA"/>
              </w:rPr>
              <w:t>113</w:t>
            </w:r>
            <w:r>
              <w:rPr>
                <w:rFonts w:hint="default" w:ascii="Times New Roman" w:hAnsi="Times New Roman" w:cs="Times New Roman"/>
                <w:color w:val="auto"/>
                <w:kern w:val="2"/>
                <w:sz w:val="21"/>
                <w:szCs w:val="21"/>
                <w:highlight w:val="none"/>
                <w:u w:val="none" w:color="auto"/>
                <w:lang w:val="en-US" w:eastAsia="zh-CN" w:bidi="ar-SA"/>
              </w:rPr>
              <w:t>°</w:t>
            </w:r>
            <w:r>
              <w:rPr>
                <w:rFonts w:hint="eastAsia" w:ascii="Times New Roman" w:hAnsi="Times New Roman" w:cs="Times New Roman"/>
                <w:color w:val="auto"/>
                <w:kern w:val="2"/>
                <w:sz w:val="21"/>
                <w:szCs w:val="21"/>
                <w:highlight w:val="none"/>
                <w:u w:val="none" w:color="auto"/>
                <w:lang w:val="en-US" w:eastAsia="zh-CN" w:bidi="ar-SA"/>
              </w:rPr>
              <w:t>33</w:t>
            </w:r>
            <w:r>
              <w:rPr>
                <w:rFonts w:hint="default" w:ascii="Times New Roman" w:hAnsi="Times New Roman" w:cs="Times New Roman"/>
                <w:color w:val="auto"/>
                <w:kern w:val="2"/>
                <w:sz w:val="21"/>
                <w:szCs w:val="21"/>
                <w:highlight w:val="none"/>
                <w:u w:val="none" w:color="auto"/>
                <w:lang w:val="en-US" w:eastAsia="zh-CN" w:bidi="ar-SA"/>
              </w:rPr>
              <w:t>′</w:t>
            </w:r>
            <w:r>
              <w:rPr>
                <w:rFonts w:hint="eastAsia" w:ascii="Times New Roman" w:hAnsi="Times New Roman" w:cs="Times New Roman"/>
                <w:color w:val="auto"/>
                <w:kern w:val="2"/>
                <w:sz w:val="21"/>
                <w:szCs w:val="21"/>
                <w:highlight w:val="none"/>
                <w:u w:val="none" w:color="auto"/>
                <w:lang w:val="en-US" w:eastAsia="zh-CN" w:bidi="ar-SA"/>
              </w:rPr>
              <w:t>59.87</w:t>
            </w:r>
            <w:r>
              <w:rPr>
                <w:rFonts w:hint="default" w:ascii="Times New Roman" w:hAnsi="Times New Roman" w:cs="Times New Roman"/>
                <w:color w:val="auto"/>
                <w:kern w:val="2"/>
                <w:sz w:val="21"/>
                <w:szCs w:val="21"/>
                <w:highlight w:val="none"/>
                <w:u w:val="none" w:color="auto"/>
                <w:lang w:val="en-US" w:eastAsia="zh-CN" w:bidi="ar-SA"/>
              </w:rPr>
              <w:t>″E；</w:t>
            </w:r>
          </w:p>
          <w:p w14:paraId="4E9845AE">
            <w:pPr>
              <w:spacing w:line="240" w:lineRule="auto"/>
              <w:ind w:firstLine="0" w:firstLineChars="0"/>
              <w:jc w:val="center"/>
              <w:rPr>
                <w:rFonts w:hint="eastAsia" w:ascii="Times New Roman" w:hAnsi="Times New Roman" w:cs="Times New Roman"/>
                <w:color w:val="auto"/>
                <w:kern w:val="2"/>
                <w:sz w:val="21"/>
                <w:szCs w:val="21"/>
                <w:highlight w:val="none"/>
                <w:u w:val="none" w:color="auto"/>
                <w:lang w:val="en-US" w:eastAsia="zh-CN" w:bidi="ar-SA"/>
              </w:rPr>
            </w:pPr>
            <w:r>
              <w:rPr>
                <w:rFonts w:hint="eastAsia" w:ascii="Times New Roman" w:hAnsi="Times New Roman" w:cs="Times New Roman"/>
                <w:color w:val="auto"/>
                <w:kern w:val="2"/>
                <w:sz w:val="21"/>
                <w:szCs w:val="21"/>
                <w:highlight w:val="none"/>
                <w:u w:val="none" w:color="auto"/>
                <w:lang w:val="en-US" w:eastAsia="zh-CN" w:bidi="ar-SA"/>
              </w:rPr>
              <w:t>28</w:t>
            </w:r>
            <w:r>
              <w:rPr>
                <w:rFonts w:hint="default" w:ascii="Times New Roman" w:hAnsi="Times New Roman" w:cs="Times New Roman"/>
                <w:color w:val="auto"/>
                <w:kern w:val="2"/>
                <w:sz w:val="21"/>
                <w:szCs w:val="21"/>
                <w:highlight w:val="none"/>
                <w:u w:val="none" w:color="auto"/>
                <w:lang w:val="en-US" w:eastAsia="zh-CN" w:bidi="ar-SA"/>
              </w:rPr>
              <w:t>°</w:t>
            </w:r>
            <w:r>
              <w:rPr>
                <w:rFonts w:hint="eastAsia" w:ascii="Times New Roman" w:hAnsi="Times New Roman" w:cs="Times New Roman"/>
                <w:color w:val="auto"/>
                <w:kern w:val="2"/>
                <w:sz w:val="21"/>
                <w:szCs w:val="21"/>
                <w:highlight w:val="none"/>
                <w:u w:val="none" w:color="auto"/>
                <w:lang w:val="en-US" w:eastAsia="zh-CN" w:bidi="ar-SA"/>
              </w:rPr>
              <w:t>39</w:t>
            </w:r>
            <w:r>
              <w:rPr>
                <w:rFonts w:hint="default" w:ascii="Times New Roman" w:hAnsi="Times New Roman" w:cs="Times New Roman"/>
                <w:color w:val="auto"/>
                <w:kern w:val="2"/>
                <w:sz w:val="21"/>
                <w:szCs w:val="21"/>
                <w:highlight w:val="none"/>
                <w:u w:val="none" w:color="auto"/>
                <w:lang w:val="en-US" w:eastAsia="zh-CN" w:bidi="ar-SA"/>
              </w:rPr>
              <w:t>′</w:t>
            </w:r>
            <w:r>
              <w:rPr>
                <w:rFonts w:hint="eastAsia" w:ascii="Times New Roman" w:hAnsi="Times New Roman" w:cs="Times New Roman"/>
                <w:color w:val="auto"/>
                <w:kern w:val="2"/>
                <w:sz w:val="21"/>
                <w:szCs w:val="21"/>
                <w:highlight w:val="none"/>
                <w:u w:val="none" w:color="auto"/>
                <w:lang w:val="en-US" w:eastAsia="zh-CN" w:bidi="ar-SA"/>
              </w:rPr>
              <w:t>26.87</w:t>
            </w:r>
            <w:r>
              <w:rPr>
                <w:rFonts w:hint="default" w:ascii="Times New Roman" w:hAnsi="Times New Roman" w:cs="Times New Roman"/>
                <w:color w:val="auto"/>
                <w:kern w:val="2"/>
                <w:sz w:val="21"/>
                <w:szCs w:val="21"/>
                <w:highlight w:val="none"/>
                <w:u w:val="none" w:color="auto"/>
                <w:lang w:val="en-US" w:eastAsia="zh-CN" w:bidi="ar-SA"/>
              </w:rPr>
              <w:t>″N</w:t>
            </w:r>
          </w:p>
        </w:tc>
        <w:tc>
          <w:tcPr>
            <w:tcW w:w="305" w:type="pct"/>
            <w:shd w:val="clear" w:color="auto" w:fill="auto"/>
            <w:noWrap w:val="0"/>
            <w:vAlign w:val="center"/>
          </w:tcPr>
          <w:p w14:paraId="21D6EF09">
            <w:pPr>
              <w:spacing w:line="240" w:lineRule="auto"/>
              <w:ind w:firstLine="0" w:firstLineChars="0"/>
              <w:jc w:val="center"/>
              <w:rPr>
                <w:rFonts w:hint="eastAsia" w:cs="Times New Roman"/>
                <w:color w:val="auto"/>
                <w:kern w:val="2"/>
                <w:sz w:val="21"/>
                <w:szCs w:val="21"/>
                <w:highlight w:val="none"/>
                <w:u w:val="none" w:color="auto"/>
                <w:lang w:val="en-US" w:eastAsia="zh-CN" w:bidi="ar-SA"/>
              </w:rPr>
            </w:pPr>
            <w:r>
              <w:rPr>
                <w:rFonts w:hint="eastAsia" w:cs="Times New Roman"/>
                <w:color w:val="auto"/>
                <w:kern w:val="2"/>
                <w:sz w:val="21"/>
                <w:szCs w:val="21"/>
                <w:highlight w:val="none"/>
                <w:u w:val="none" w:color="auto"/>
                <w:lang w:val="en-US" w:eastAsia="zh-CN" w:bidi="ar-SA"/>
              </w:rPr>
              <w:t>人群</w:t>
            </w:r>
          </w:p>
        </w:tc>
        <w:tc>
          <w:tcPr>
            <w:tcW w:w="425" w:type="pct"/>
            <w:shd w:val="clear" w:color="auto" w:fill="auto"/>
            <w:noWrap w:val="0"/>
            <w:vAlign w:val="center"/>
          </w:tcPr>
          <w:p w14:paraId="3AD8CE7E">
            <w:pPr>
              <w:spacing w:line="240" w:lineRule="auto"/>
              <w:ind w:firstLine="0" w:firstLineChars="0"/>
              <w:jc w:val="center"/>
              <w:rPr>
                <w:rFonts w:hint="eastAsia" w:cs="Times New Roman"/>
                <w:color w:val="auto"/>
                <w:kern w:val="2"/>
                <w:sz w:val="21"/>
                <w:szCs w:val="21"/>
                <w:highlight w:val="none"/>
                <w:u w:val="none" w:color="auto"/>
                <w:lang w:val="en-US" w:eastAsia="zh-CN" w:bidi="ar-SA"/>
              </w:rPr>
            </w:pPr>
            <w:r>
              <w:rPr>
                <w:rFonts w:hint="eastAsia" w:cs="Times New Roman"/>
                <w:color w:val="auto"/>
                <w:kern w:val="2"/>
                <w:sz w:val="21"/>
                <w:szCs w:val="21"/>
                <w:highlight w:val="none"/>
                <w:u w:val="none" w:color="auto"/>
                <w:lang w:val="en-US" w:eastAsia="zh-CN" w:bidi="ar-SA"/>
              </w:rPr>
              <w:t>村庄</w:t>
            </w:r>
          </w:p>
        </w:tc>
        <w:tc>
          <w:tcPr>
            <w:tcW w:w="1050" w:type="pct"/>
            <w:vMerge w:val="continue"/>
            <w:noWrap w:val="0"/>
            <w:vAlign w:val="center"/>
          </w:tcPr>
          <w:p w14:paraId="7C3AFB3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yellow"/>
                <w:u w:val="none" w:color="auto"/>
                <w:lang w:val="en-US" w:eastAsia="zh-CN"/>
              </w:rPr>
            </w:pPr>
          </w:p>
        </w:tc>
        <w:tc>
          <w:tcPr>
            <w:tcW w:w="520" w:type="pct"/>
            <w:noWrap w:val="0"/>
            <w:vAlign w:val="center"/>
          </w:tcPr>
          <w:p w14:paraId="001AE4BD">
            <w:pPr>
              <w:spacing w:line="240" w:lineRule="auto"/>
              <w:ind w:firstLine="0" w:firstLineChars="0"/>
              <w:jc w:val="center"/>
              <w:rPr>
                <w:rFonts w:hint="default" w:cs="Times New Roman"/>
                <w:color w:val="auto"/>
                <w:kern w:val="2"/>
                <w:sz w:val="21"/>
                <w:szCs w:val="21"/>
                <w:highlight w:val="none"/>
                <w:u w:val="none" w:color="auto"/>
                <w:lang w:val="en-US" w:eastAsia="zh-CN" w:bidi="ar-SA"/>
              </w:rPr>
            </w:pPr>
            <w:r>
              <w:rPr>
                <w:rFonts w:hint="eastAsia" w:cs="Times New Roman"/>
                <w:color w:val="auto"/>
                <w:kern w:val="2"/>
                <w:sz w:val="21"/>
                <w:szCs w:val="21"/>
                <w:highlight w:val="none"/>
                <w:u w:val="none" w:color="auto"/>
                <w:lang w:val="en-US" w:eastAsia="zh-CN" w:bidi="ar-SA"/>
              </w:rPr>
              <w:t>西</w:t>
            </w:r>
          </w:p>
        </w:tc>
        <w:tc>
          <w:tcPr>
            <w:tcW w:w="533" w:type="pct"/>
            <w:noWrap w:val="0"/>
            <w:vAlign w:val="center"/>
          </w:tcPr>
          <w:p w14:paraId="13F97B8F">
            <w:pPr>
              <w:spacing w:line="240" w:lineRule="auto"/>
              <w:ind w:firstLine="0" w:firstLineChars="0"/>
              <w:jc w:val="center"/>
              <w:rPr>
                <w:rFonts w:hint="default" w:cs="Times New Roman"/>
                <w:color w:val="auto"/>
                <w:kern w:val="2"/>
                <w:sz w:val="21"/>
                <w:szCs w:val="21"/>
                <w:highlight w:val="none"/>
                <w:u w:val="none" w:color="auto"/>
                <w:lang w:val="en-US" w:eastAsia="zh-CN" w:bidi="ar-SA"/>
              </w:rPr>
            </w:pPr>
            <w:r>
              <w:rPr>
                <w:rFonts w:hint="eastAsia" w:cs="Times New Roman"/>
                <w:color w:val="auto"/>
                <w:kern w:val="2"/>
                <w:sz w:val="21"/>
                <w:szCs w:val="21"/>
                <w:highlight w:val="none"/>
                <w:u w:val="none" w:color="auto"/>
                <w:lang w:val="en-US" w:eastAsia="zh-CN" w:bidi="ar-SA"/>
              </w:rPr>
              <w:t>紧邻</w:t>
            </w:r>
          </w:p>
        </w:tc>
        <w:tc>
          <w:tcPr>
            <w:tcW w:w="590" w:type="pct"/>
            <w:noWrap w:val="0"/>
            <w:vAlign w:val="center"/>
          </w:tcPr>
          <w:p w14:paraId="41B5AD3E">
            <w:pPr>
              <w:spacing w:line="240" w:lineRule="auto"/>
              <w:ind w:firstLine="0" w:firstLineChars="0"/>
              <w:jc w:val="center"/>
              <w:rPr>
                <w:rFonts w:hint="default" w:cs="Times New Roman"/>
                <w:color w:val="auto"/>
                <w:kern w:val="2"/>
                <w:sz w:val="21"/>
                <w:szCs w:val="21"/>
                <w:highlight w:val="none"/>
                <w:u w:val="none" w:color="auto"/>
                <w:lang w:val="en-US" w:eastAsia="zh-CN" w:bidi="ar-SA"/>
              </w:rPr>
            </w:pPr>
            <w:r>
              <w:rPr>
                <w:rFonts w:hint="eastAsia" w:cs="Times New Roman"/>
                <w:color w:val="auto"/>
                <w:kern w:val="2"/>
                <w:sz w:val="21"/>
                <w:szCs w:val="21"/>
                <w:highlight w:val="none"/>
                <w:u w:val="none" w:color="auto"/>
                <w:lang w:val="en-US" w:eastAsia="zh-CN" w:bidi="ar-SA"/>
              </w:rPr>
              <w:t>约15户</w:t>
            </w:r>
          </w:p>
        </w:tc>
      </w:tr>
      <w:tr w14:paraId="7B8B653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746" w:type="pct"/>
            <w:noWrap w:val="0"/>
            <w:vAlign w:val="center"/>
          </w:tcPr>
          <w:p w14:paraId="0A9CE779">
            <w:pPr>
              <w:spacing w:line="240" w:lineRule="auto"/>
              <w:ind w:firstLine="0" w:firstLineChars="0"/>
              <w:jc w:val="center"/>
              <w:rPr>
                <w:rFonts w:hint="default" w:cs="Times New Roman"/>
                <w:color w:val="auto"/>
                <w:kern w:val="2"/>
                <w:sz w:val="21"/>
                <w:szCs w:val="21"/>
                <w:highlight w:val="none"/>
                <w:u w:val="none" w:color="auto"/>
                <w:lang w:val="en-US" w:eastAsia="zh-CN" w:bidi="ar-SA"/>
              </w:rPr>
            </w:pPr>
            <w:r>
              <w:rPr>
                <w:rFonts w:hint="eastAsia" w:cs="Times New Roman"/>
                <w:color w:val="auto"/>
                <w:kern w:val="2"/>
                <w:sz w:val="21"/>
                <w:szCs w:val="21"/>
                <w:highlight w:val="none"/>
                <w:u w:val="none" w:color="auto"/>
                <w:lang w:val="en-US" w:eastAsia="zh-CN" w:bidi="ar-SA"/>
              </w:rPr>
              <w:t>6#下南沅</w:t>
            </w:r>
          </w:p>
        </w:tc>
        <w:tc>
          <w:tcPr>
            <w:tcW w:w="1512" w:type="dxa"/>
            <w:noWrap w:val="0"/>
            <w:vAlign w:val="center"/>
          </w:tcPr>
          <w:p w14:paraId="023BD563">
            <w:pPr>
              <w:spacing w:line="240" w:lineRule="auto"/>
              <w:ind w:firstLine="0" w:firstLineChars="0"/>
              <w:jc w:val="center"/>
              <w:rPr>
                <w:rFonts w:hint="default" w:ascii="Times New Roman" w:hAnsi="Times New Roman" w:cs="Times New Roman"/>
                <w:color w:val="auto"/>
                <w:kern w:val="2"/>
                <w:sz w:val="21"/>
                <w:szCs w:val="21"/>
                <w:highlight w:val="none"/>
                <w:u w:val="none" w:color="auto"/>
                <w:lang w:val="en-US" w:eastAsia="zh-CN" w:bidi="ar-SA"/>
              </w:rPr>
            </w:pPr>
            <w:r>
              <w:rPr>
                <w:rFonts w:hint="eastAsia" w:ascii="Times New Roman" w:hAnsi="Times New Roman" w:cs="Times New Roman"/>
                <w:color w:val="auto"/>
                <w:kern w:val="2"/>
                <w:sz w:val="21"/>
                <w:szCs w:val="21"/>
                <w:highlight w:val="none"/>
                <w:u w:val="none" w:color="auto"/>
                <w:lang w:val="en-US" w:eastAsia="zh-CN" w:bidi="ar-SA"/>
              </w:rPr>
              <w:t>113</w:t>
            </w:r>
            <w:r>
              <w:rPr>
                <w:rFonts w:hint="default" w:ascii="Times New Roman" w:hAnsi="Times New Roman" w:cs="Times New Roman"/>
                <w:color w:val="auto"/>
                <w:kern w:val="2"/>
                <w:sz w:val="21"/>
                <w:szCs w:val="21"/>
                <w:highlight w:val="none"/>
                <w:u w:val="none" w:color="auto"/>
                <w:lang w:val="en-US" w:eastAsia="zh-CN" w:bidi="ar-SA"/>
              </w:rPr>
              <w:t>°</w:t>
            </w:r>
            <w:r>
              <w:rPr>
                <w:rFonts w:hint="eastAsia" w:ascii="Times New Roman" w:hAnsi="Times New Roman" w:cs="Times New Roman"/>
                <w:color w:val="auto"/>
                <w:kern w:val="2"/>
                <w:sz w:val="21"/>
                <w:szCs w:val="21"/>
                <w:highlight w:val="none"/>
                <w:u w:val="none" w:color="auto"/>
                <w:lang w:val="en-US" w:eastAsia="zh-CN" w:bidi="ar-SA"/>
              </w:rPr>
              <w:t>33</w:t>
            </w:r>
            <w:r>
              <w:rPr>
                <w:rFonts w:hint="default" w:ascii="Times New Roman" w:hAnsi="Times New Roman" w:cs="Times New Roman"/>
                <w:color w:val="auto"/>
                <w:kern w:val="2"/>
                <w:sz w:val="21"/>
                <w:szCs w:val="21"/>
                <w:highlight w:val="none"/>
                <w:u w:val="none" w:color="auto"/>
                <w:lang w:val="en-US" w:eastAsia="zh-CN" w:bidi="ar-SA"/>
              </w:rPr>
              <w:t>′</w:t>
            </w:r>
            <w:r>
              <w:rPr>
                <w:rFonts w:hint="eastAsia" w:ascii="Times New Roman" w:hAnsi="Times New Roman" w:cs="Times New Roman"/>
                <w:color w:val="auto"/>
                <w:kern w:val="2"/>
                <w:sz w:val="21"/>
                <w:szCs w:val="21"/>
                <w:highlight w:val="none"/>
                <w:u w:val="none" w:color="auto"/>
                <w:lang w:val="en-US" w:eastAsia="zh-CN" w:bidi="ar-SA"/>
              </w:rPr>
              <w:t>54.81</w:t>
            </w:r>
            <w:r>
              <w:rPr>
                <w:rFonts w:hint="default" w:ascii="Times New Roman" w:hAnsi="Times New Roman" w:cs="Times New Roman"/>
                <w:color w:val="auto"/>
                <w:kern w:val="2"/>
                <w:sz w:val="21"/>
                <w:szCs w:val="21"/>
                <w:highlight w:val="none"/>
                <w:u w:val="none" w:color="auto"/>
                <w:lang w:val="en-US" w:eastAsia="zh-CN" w:bidi="ar-SA"/>
              </w:rPr>
              <w:t>″E；</w:t>
            </w:r>
          </w:p>
          <w:p w14:paraId="7DCD0D85">
            <w:pPr>
              <w:spacing w:line="240" w:lineRule="auto"/>
              <w:ind w:firstLine="0" w:firstLineChars="0"/>
              <w:jc w:val="center"/>
              <w:rPr>
                <w:rFonts w:hint="eastAsia" w:ascii="Times New Roman" w:hAnsi="Times New Roman" w:cs="Times New Roman"/>
                <w:color w:val="auto"/>
                <w:kern w:val="2"/>
                <w:sz w:val="21"/>
                <w:szCs w:val="21"/>
                <w:highlight w:val="none"/>
                <w:u w:val="none" w:color="auto"/>
                <w:lang w:val="en-US" w:eastAsia="zh-CN" w:bidi="ar-SA"/>
              </w:rPr>
            </w:pPr>
            <w:r>
              <w:rPr>
                <w:rFonts w:hint="eastAsia" w:ascii="Times New Roman" w:hAnsi="Times New Roman" w:cs="Times New Roman"/>
                <w:color w:val="auto"/>
                <w:kern w:val="2"/>
                <w:sz w:val="21"/>
                <w:szCs w:val="21"/>
                <w:highlight w:val="none"/>
                <w:u w:val="none" w:color="auto"/>
                <w:lang w:val="en-US" w:eastAsia="zh-CN" w:bidi="ar-SA"/>
              </w:rPr>
              <w:t>28</w:t>
            </w:r>
            <w:r>
              <w:rPr>
                <w:rFonts w:hint="default" w:ascii="Times New Roman" w:hAnsi="Times New Roman" w:cs="Times New Roman"/>
                <w:color w:val="auto"/>
                <w:kern w:val="2"/>
                <w:sz w:val="21"/>
                <w:szCs w:val="21"/>
                <w:highlight w:val="none"/>
                <w:u w:val="none" w:color="auto"/>
                <w:lang w:val="en-US" w:eastAsia="zh-CN" w:bidi="ar-SA"/>
              </w:rPr>
              <w:t>°</w:t>
            </w:r>
            <w:r>
              <w:rPr>
                <w:rFonts w:hint="eastAsia" w:ascii="Times New Roman" w:hAnsi="Times New Roman" w:cs="Times New Roman"/>
                <w:color w:val="auto"/>
                <w:kern w:val="2"/>
                <w:sz w:val="21"/>
                <w:szCs w:val="21"/>
                <w:highlight w:val="none"/>
                <w:u w:val="none" w:color="auto"/>
                <w:lang w:val="en-US" w:eastAsia="zh-CN" w:bidi="ar-SA"/>
              </w:rPr>
              <w:t>39</w:t>
            </w:r>
            <w:r>
              <w:rPr>
                <w:rFonts w:hint="default" w:ascii="Times New Roman" w:hAnsi="Times New Roman" w:cs="Times New Roman"/>
                <w:color w:val="auto"/>
                <w:kern w:val="2"/>
                <w:sz w:val="21"/>
                <w:szCs w:val="21"/>
                <w:highlight w:val="none"/>
                <w:u w:val="none" w:color="auto"/>
                <w:lang w:val="en-US" w:eastAsia="zh-CN" w:bidi="ar-SA"/>
              </w:rPr>
              <w:t>′</w:t>
            </w:r>
            <w:r>
              <w:rPr>
                <w:rFonts w:hint="eastAsia" w:ascii="Times New Roman" w:hAnsi="Times New Roman" w:cs="Times New Roman"/>
                <w:color w:val="auto"/>
                <w:kern w:val="2"/>
                <w:sz w:val="21"/>
                <w:szCs w:val="21"/>
                <w:highlight w:val="none"/>
                <w:u w:val="none" w:color="auto"/>
                <w:lang w:val="en-US" w:eastAsia="zh-CN" w:bidi="ar-SA"/>
              </w:rPr>
              <w:t>15.98</w:t>
            </w:r>
            <w:r>
              <w:rPr>
                <w:rFonts w:hint="default" w:ascii="Times New Roman" w:hAnsi="Times New Roman" w:cs="Times New Roman"/>
                <w:color w:val="auto"/>
                <w:kern w:val="2"/>
                <w:sz w:val="21"/>
                <w:szCs w:val="21"/>
                <w:highlight w:val="none"/>
                <w:u w:val="none" w:color="auto"/>
                <w:lang w:val="en-US" w:eastAsia="zh-CN" w:bidi="ar-SA"/>
              </w:rPr>
              <w:t>″N</w:t>
            </w:r>
          </w:p>
        </w:tc>
        <w:tc>
          <w:tcPr>
            <w:tcW w:w="305" w:type="pct"/>
            <w:shd w:val="clear" w:color="auto" w:fill="auto"/>
            <w:noWrap w:val="0"/>
            <w:vAlign w:val="center"/>
          </w:tcPr>
          <w:p w14:paraId="566C8C7C">
            <w:pPr>
              <w:spacing w:line="240" w:lineRule="auto"/>
              <w:ind w:firstLine="0" w:firstLineChars="0"/>
              <w:jc w:val="center"/>
              <w:rPr>
                <w:rFonts w:hint="eastAsia" w:cs="Times New Roman"/>
                <w:color w:val="auto"/>
                <w:kern w:val="2"/>
                <w:sz w:val="21"/>
                <w:szCs w:val="21"/>
                <w:highlight w:val="none"/>
                <w:u w:val="none" w:color="auto"/>
                <w:lang w:val="en-US" w:eastAsia="zh-CN" w:bidi="ar-SA"/>
              </w:rPr>
            </w:pPr>
            <w:r>
              <w:rPr>
                <w:rFonts w:hint="eastAsia" w:cs="Times New Roman"/>
                <w:color w:val="auto"/>
                <w:kern w:val="2"/>
                <w:sz w:val="21"/>
                <w:szCs w:val="21"/>
                <w:highlight w:val="none"/>
                <w:u w:val="none" w:color="auto"/>
                <w:lang w:val="en-US" w:eastAsia="zh-CN" w:bidi="ar-SA"/>
              </w:rPr>
              <w:t>人群</w:t>
            </w:r>
          </w:p>
        </w:tc>
        <w:tc>
          <w:tcPr>
            <w:tcW w:w="425" w:type="pct"/>
            <w:shd w:val="clear" w:color="auto" w:fill="auto"/>
            <w:noWrap w:val="0"/>
            <w:vAlign w:val="center"/>
          </w:tcPr>
          <w:p w14:paraId="040FF39D">
            <w:pPr>
              <w:spacing w:line="240" w:lineRule="auto"/>
              <w:ind w:firstLine="0" w:firstLineChars="0"/>
              <w:jc w:val="center"/>
              <w:rPr>
                <w:rFonts w:hint="eastAsia" w:cs="Times New Roman"/>
                <w:color w:val="auto"/>
                <w:kern w:val="2"/>
                <w:sz w:val="21"/>
                <w:szCs w:val="21"/>
                <w:highlight w:val="none"/>
                <w:u w:val="none" w:color="auto"/>
                <w:lang w:val="en-US" w:eastAsia="zh-CN" w:bidi="ar-SA"/>
              </w:rPr>
            </w:pPr>
            <w:r>
              <w:rPr>
                <w:rFonts w:hint="eastAsia" w:cs="Times New Roman"/>
                <w:color w:val="auto"/>
                <w:kern w:val="2"/>
                <w:sz w:val="21"/>
                <w:szCs w:val="21"/>
                <w:highlight w:val="none"/>
                <w:u w:val="none" w:color="auto"/>
                <w:lang w:val="en-US" w:eastAsia="zh-CN" w:bidi="ar-SA"/>
              </w:rPr>
              <w:t>村庄</w:t>
            </w:r>
          </w:p>
        </w:tc>
        <w:tc>
          <w:tcPr>
            <w:tcW w:w="1050" w:type="pct"/>
            <w:vMerge w:val="continue"/>
            <w:noWrap w:val="0"/>
            <w:vAlign w:val="center"/>
          </w:tcPr>
          <w:p w14:paraId="5D03009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yellow"/>
                <w:u w:val="none" w:color="auto"/>
                <w:lang w:val="en-US" w:eastAsia="zh-CN"/>
              </w:rPr>
            </w:pPr>
          </w:p>
        </w:tc>
        <w:tc>
          <w:tcPr>
            <w:tcW w:w="520" w:type="pct"/>
            <w:noWrap w:val="0"/>
            <w:vAlign w:val="center"/>
          </w:tcPr>
          <w:p w14:paraId="5901B77E">
            <w:pPr>
              <w:spacing w:line="240" w:lineRule="auto"/>
              <w:ind w:firstLine="0" w:firstLineChars="0"/>
              <w:jc w:val="center"/>
              <w:rPr>
                <w:rFonts w:hint="default" w:cs="Times New Roman"/>
                <w:color w:val="auto"/>
                <w:kern w:val="2"/>
                <w:sz w:val="21"/>
                <w:szCs w:val="21"/>
                <w:highlight w:val="none"/>
                <w:u w:val="none" w:color="auto"/>
                <w:lang w:val="en-US" w:eastAsia="zh-CN" w:bidi="ar-SA"/>
              </w:rPr>
            </w:pPr>
            <w:r>
              <w:rPr>
                <w:rFonts w:hint="eastAsia" w:cs="Times New Roman"/>
                <w:color w:val="auto"/>
                <w:kern w:val="2"/>
                <w:sz w:val="21"/>
                <w:szCs w:val="21"/>
                <w:highlight w:val="none"/>
                <w:u w:val="none" w:color="auto"/>
                <w:lang w:val="en-US" w:eastAsia="zh-CN" w:bidi="ar-SA"/>
              </w:rPr>
              <w:t>北</w:t>
            </w:r>
          </w:p>
        </w:tc>
        <w:tc>
          <w:tcPr>
            <w:tcW w:w="533" w:type="pct"/>
            <w:noWrap w:val="0"/>
            <w:vAlign w:val="center"/>
          </w:tcPr>
          <w:p w14:paraId="543C29C6">
            <w:pPr>
              <w:spacing w:line="240" w:lineRule="auto"/>
              <w:ind w:firstLine="0" w:firstLineChars="0"/>
              <w:jc w:val="center"/>
              <w:rPr>
                <w:rFonts w:hint="default" w:cs="Times New Roman"/>
                <w:color w:val="auto"/>
                <w:kern w:val="2"/>
                <w:sz w:val="21"/>
                <w:szCs w:val="21"/>
                <w:highlight w:val="none"/>
                <w:u w:val="none" w:color="auto"/>
                <w:lang w:val="en-US" w:eastAsia="zh-CN" w:bidi="ar-SA"/>
              </w:rPr>
            </w:pPr>
            <w:r>
              <w:rPr>
                <w:rFonts w:hint="eastAsia" w:cs="Times New Roman"/>
                <w:color w:val="auto"/>
                <w:kern w:val="2"/>
                <w:sz w:val="21"/>
                <w:szCs w:val="21"/>
                <w:highlight w:val="none"/>
                <w:u w:val="none" w:color="auto"/>
                <w:lang w:val="en-US" w:eastAsia="zh-CN" w:bidi="ar-SA"/>
              </w:rPr>
              <w:t>紧邻</w:t>
            </w:r>
          </w:p>
        </w:tc>
        <w:tc>
          <w:tcPr>
            <w:tcW w:w="590" w:type="pct"/>
            <w:noWrap w:val="0"/>
            <w:vAlign w:val="center"/>
          </w:tcPr>
          <w:p w14:paraId="2146CEC8">
            <w:pPr>
              <w:spacing w:line="240" w:lineRule="auto"/>
              <w:ind w:firstLine="0" w:firstLineChars="0"/>
              <w:jc w:val="center"/>
              <w:rPr>
                <w:rFonts w:hint="default" w:cs="Times New Roman"/>
                <w:color w:val="auto"/>
                <w:kern w:val="2"/>
                <w:sz w:val="21"/>
                <w:szCs w:val="21"/>
                <w:highlight w:val="none"/>
                <w:u w:val="none" w:color="auto"/>
                <w:lang w:val="en-US" w:eastAsia="zh-CN" w:bidi="ar-SA"/>
              </w:rPr>
            </w:pPr>
            <w:r>
              <w:rPr>
                <w:rFonts w:hint="eastAsia" w:cs="Times New Roman"/>
                <w:color w:val="auto"/>
                <w:kern w:val="2"/>
                <w:sz w:val="21"/>
                <w:szCs w:val="21"/>
                <w:highlight w:val="none"/>
                <w:u w:val="none" w:color="auto"/>
                <w:lang w:val="en-US" w:eastAsia="zh-CN" w:bidi="ar-SA"/>
              </w:rPr>
              <w:t>约12户</w:t>
            </w:r>
          </w:p>
        </w:tc>
      </w:tr>
      <w:tr w14:paraId="32505CB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746" w:type="pct"/>
            <w:noWrap w:val="0"/>
            <w:vAlign w:val="center"/>
          </w:tcPr>
          <w:p w14:paraId="2E70BB38">
            <w:pPr>
              <w:spacing w:line="240" w:lineRule="auto"/>
              <w:ind w:firstLine="0" w:firstLineChars="0"/>
              <w:jc w:val="center"/>
              <w:rPr>
                <w:rFonts w:hint="default" w:cs="Times New Roman"/>
                <w:color w:val="auto"/>
                <w:kern w:val="2"/>
                <w:sz w:val="21"/>
                <w:szCs w:val="21"/>
                <w:highlight w:val="none"/>
                <w:u w:val="none" w:color="auto"/>
                <w:lang w:val="en-US" w:eastAsia="zh-CN" w:bidi="ar-SA"/>
              </w:rPr>
            </w:pPr>
            <w:r>
              <w:rPr>
                <w:rFonts w:hint="eastAsia" w:cs="Times New Roman"/>
                <w:color w:val="auto"/>
                <w:kern w:val="2"/>
                <w:sz w:val="21"/>
                <w:szCs w:val="21"/>
                <w:highlight w:val="none"/>
                <w:u w:val="none" w:color="auto"/>
                <w:lang w:val="en-US" w:eastAsia="zh-CN" w:bidi="ar-SA"/>
              </w:rPr>
              <w:t>7#南尧湾屋</w:t>
            </w:r>
          </w:p>
        </w:tc>
        <w:tc>
          <w:tcPr>
            <w:tcW w:w="1512" w:type="dxa"/>
            <w:noWrap w:val="0"/>
            <w:vAlign w:val="center"/>
          </w:tcPr>
          <w:p w14:paraId="57F097A0">
            <w:pPr>
              <w:spacing w:line="240" w:lineRule="auto"/>
              <w:ind w:firstLine="0" w:firstLineChars="0"/>
              <w:jc w:val="center"/>
              <w:rPr>
                <w:rFonts w:hint="default" w:ascii="Times New Roman" w:hAnsi="Times New Roman" w:cs="Times New Roman"/>
                <w:color w:val="auto"/>
                <w:kern w:val="2"/>
                <w:sz w:val="21"/>
                <w:szCs w:val="21"/>
                <w:highlight w:val="none"/>
                <w:u w:val="none" w:color="auto"/>
                <w:lang w:val="en-US" w:eastAsia="zh-CN" w:bidi="ar-SA"/>
              </w:rPr>
            </w:pPr>
            <w:r>
              <w:rPr>
                <w:rFonts w:hint="eastAsia" w:ascii="Times New Roman" w:hAnsi="Times New Roman" w:cs="Times New Roman"/>
                <w:color w:val="auto"/>
                <w:kern w:val="2"/>
                <w:sz w:val="21"/>
                <w:szCs w:val="21"/>
                <w:highlight w:val="none"/>
                <w:u w:val="none" w:color="auto"/>
                <w:lang w:val="en-US" w:eastAsia="zh-CN" w:bidi="ar-SA"/>
              </w:rPr>
              <w:t>113</w:t>
            </w:r>
            <w:r>
              <w:rPr>
                <w:rFonts w:hint="default" w:ascii="Times New Roman" w:hAnsi="Times New Roman" w:cs="Times New Roman"/>
                <w:color w:val="auto"/>
                <w:kern w:val="2"/>
                <w:sz w:val="21"/>
                <w:szCs w:val="21"/>
                <w:highlight w:val="none"/>
                <w:u w:val="none" w:color="auto"/>
                <w:lang w:val="en-US" w:eastAsia="zh-CN" w:bidi="ar-SA"/>
              </w:rPr>
              <w:t>°</w:t>
            </w:r>
            <w:r>
              <w:rPr>
                <w:rFonts w:hint="eastAsia" w:ascii="Times New Roman" w:hAnsi="Times New Roman" w:cs="Times New Roman"/>
                <w:color w:val="auto"/>
                <w:kern w:val="2"/>
                <w:sz w:val="21"/>
                <w:szCs w:val="21"/>
                <w:highlight w:val="none"/>
                <w:u w:val="none" w:color="auto"/>
                <w:lang w:val="en-US" w:eastAsia="zh-CN" w:bidi="ar-SA"/>
              </w:rPr>
              <w:t>33</w:t>
            </w:r>
            <w:r>
              <w:rPr>
                <w:rFonts w:hint="default" w:ascii="Times New Roman" w:hAnsi="Times New Roman" w:cs="Times New Roman"/>
                <w:color w:val="auto"/>
                <w:kern w:val="2"/>
                <w:sz w:val="21"/>
                <w:szCs w:val="21"/>
                <w:highlight w:val="none"/>
                <w:u w:val="none" w:color="auto"/>
                <w:lang w:val="en-US" w:eastAsia="zh-CN" w:bidi="ar-SA"/>
              </w:rPr>
              <w:t>′</w:t>
            </w:r>
            <w:r>
              <w:rPr>
                <w:rFonts w:hint="eastAsia" w:ascii="Times New Roman" w:hAnsi="Times New Roman" w:cs="Times New Roman"/>
                <w:color w:val="auto"/>
                <w:kern w:val="2"/>
                <w:sz w:val="21"/>
                <w:szCs w:val="21"/>
                <w:highlight w:val="none"/>
                <w:u w:val="none" w:color="auto"/>
                <w:lang w:val="en-US" w:eastAsia="zh-CN" w:bidi="ar-SA"/>
              </w:rPr>
              <w:t>24.53</w:t>
            </w:r>
            <w:r>
              <w:rPr>
                <w:rFonts w:hint="default" w:ascii="Times New Roman" w:hAnsi="Times New Roman" w:cs="Times New Roman"/>
                <w:color w:val="auto"/>
                <w:kern w:val="2"/>
                <w:sz w:val="21"/>
                <w:szCs w:val="21"/>
                <w:highlight w:val="none"/>
                <w:u w:val="none" w:color="auto"/>
                <w:lang w:val="en-US" w:eastAsia="zh-CN" w:bidi="ar-SA"/>
              </w:rPr>
              <w:t>″E；</w:t>
            </w:r>
          </w:p>
          <w:p w14:paraId="0DEDA640">
            <w:pPr>
              <w:spacing w:line="240" w:lineRule="auto"/>
              <w:ind w:firstLine="0" w:firstLineChars="0"/>
              <w:jc w:val="center"/>
              <w:rPr>
                <w:rFonts w:hint="eastAsia" w:ascii="Times New Roman" w:hAnsi="Times New Roman" w:cs="Times New Roman"/>
                <w:color w:val="auto"/>
                <w:kern w:val="2"/>
                <w:sz w:val="21"/>
                <w:szCs w:val="21"/>
                <w:highlight w:val="none"/>
                <w:u w:val="none" w:color="auto"/>
                <w:lang w:val="en-US" w:eastAsia="zh-CN" w:bidi="ar-SA"/>
              </w:rPr>
            </w:pPr>
            <w:r>
              <w:rPr>
                <w:rFonts w:hint="eastAsia" w:ascii="Times New Roman" w:hAnsi="Times New Roman" w:cs="Times New Roman"/>
                <w:color w:val="auto"/>
                <w:kern w:val="2"/>
                <w:sz w:val="21"/>
                <w:szCs w:val="21"/>
                <w:highlight w:val="none"/>
                <w:u w:val="none" w:color="auto"/>
                <w:lang w:val="en-US" w:eastAsia="zh-CN" w:bidi="ar-SA"/>
              </w:rPr>
              <w:t>28</w:t>
            </w:r>
            <w:r>
              <w:rPr>
                <w:rFonts w:hint="default" w:ascii="Times New Roman" w:hAnsi="Times New Roman" w:cs="Times New Roman"/>
                <w:color w:val="auto"/>
                <w:kern w:val="2"/>
                <w:sz w:val="21"/>
                <w:szCs w:val="21"/>
                <w:highlight w:val="none"/>
                <w:u w:val="none" w:color="auto"/>
                <w:lang w:val="en-US" w:eastAsia="zh-CN" w:bidi="ar-SA"/>
              </w:rPr>
              <w:t>°</w:t>
            </w:r>
            <w:r>
              <w:rPr>
                <w:rFonts w:hint="eastAsia" w:ascii="Times New Roman" w:hAnsi="Times New Roman" w:cs="Times New Roman"/>
                <w:color w:val="auto"/>
                <w:kern w:val="2"/>
                <w:sz w:val="21"/>
                <w:szCs w:val="21"/>
                <w:highlight w:val="none"/>
                <w:u w:val="none" w:color="auto"/>
                <w:lang w:val="en-US" w:eastAsia="zh-CN" w:bidi="ar-SA"/>
              </w:rPr>
              <w:t>39</w:t>
            </w:r>
            <w:r>
              <w:rPr>
                <w:rFonts w:hint="default" w:ascii="Times New Roman" w:hAnsi="Times New Roman" w:cs="Times New Roman"/>
                <w:color w:val="auto"/>
                <w:kern w:val="2"/>
                <w:sz w:val="21"/>
                <w:szCs w:val="21"/>
                <w:highlight w:val="none"/>
                <w:u w:val="none" w:color="auto"/>
                <w:lang w:val="en-US" w:eastAsia="zh-CN" w:bidi="ar-SA"/>
              </w:rPr>
              <w:t>′</w:t>
            </w:r>
            <w:r>
              <w:rPr>
                <w:rFonts w:hint="eastAsia" w:ascii="Times New Roman" w:hAnsi="Times New Roman" w:cs="Times New Roman"/>
                <w:color w:val="auto"/>
                <w:kern w:val="2"/>
                <w:sz w:val="21"/>
                <w:szCs w:val="21"/>
                <w:highlight w:val="none"/>
                <w:u w:val="none" w:color="auto"/>
                <w:lang w:val="en-US" w:eastAsia="zh-CN" w:bidi="ar-SA"/>
              </w:rPr>
              <w:t>23.66</w:t>
            </w:r>
            <w:r>
              <w:rPr>
                <w:rFonts w:hint="default" w:ascii="Times New Roman" w:hAnsi="Times New Roman" w:cs="Times New Roman"/>
                <w:color w:val="auto"/>
                <w:kern w:val="2"/>
                <w:sz w:val="21"/>
                <w:szCs w:val="21"/>
                <w:highlight w:val="none"/>
                <w:u w:val="none" w:color="auto"/>
                <w:lang w:val="en-US" w:eastAsia="zh-CN" w:bidi="ar-SA"/>
              </w:rPr>
              <w:t>″N</w:t>
            </w:r>
          </w:p>
        </w:tc>
        <w:tc>
          <w:tcPr>
            <w:tcW w:w="305" w:type="pct"/>
            <w:shd w:val="clear" w:color="auto" w:fill="auto"/>
            <w:noWrap w:val="0"/>
            <w:vAlign w:val="center"/>
          </w:tcPr>
          <w:p w14:paraId="40D3BFEC">
            <w:pPr>
              <w:spacing w:line="240" w:lineRule="auto"/>
              <w:ind w:firstLine="0" w:firstLineChars="0"/>
              <w:jc w:val="center"/>
              <w:rPr>
                <w:rFonts w:hint="eastAsia" w:cs="Times New Roman"/>
                <w:color w:val="auto"/>
                <w:kern w:val="2"/>
                <w:sz w:val="21"/>
                <w:szCs w:val="21"/>
                <w:highlight w:val="none"/>
                <w:u w:val="none" w:color="auto"/>
                <w:lang w:val="en-US" w:eastAsia="zh-CN" w:bidi="ar-SA"/>
              </w:rPr>
            </w:pPr>
            <w:r>
              <w:rPr>
                <w:rFonts w:hint="eastAsia" w:cs="Times New Roman"/>
                <w:color w:val="auto"/>
                <w:kern w:val="2"/>
                <w:sz w:val="21"/>
                <w:szCs w:val="21"/>
                <w:highlight w:val="none"/>
                <w:u w:val="none" w:color="auto"/>
                <w:lang w:val="en-US" w:eastAsia="zh-CN" w:bidi="ar-SA"/>
              </w:rPr>
              <w:t>人群</w:t>
            </w:r>
          </w:p>
        </w:tc>
        <w:tc>
          <w:tcPr>
            <w:tcW w:w="425" w:type="pct"/>
            <w:shd w:val="clear" w:color="auto" w:fill="auto"/>
            <w:noWrap w:val="0"/>
            <w:vAlign w:val="center"/>
          </w:tcPr>
          <w:p w14:paraId="1B4053F5">
            <w:pPr>
              <w:spacing w:line="240" w:lineRule="auto"/>
              <w:ind w:firstLine="0" w:firstLineChars="0"/>
              <w:jc w:val="center"/>
              <w:rPr>
                <w:rFonts w:hint="eastAsia" w:cs="Times New Roman"/>
                <w:color w:val="auto"/>
                <w:kern w:val="2"/>
                <w:sz w:val="21"/>
                <w:szCs w:val="21"/>
                <w:highlight w:val="none"/>
                <w:u w:val="none" w:color="auto"/>
                <w:lang w:val="en-US" w:eastAsia="zh-CN" w:bidi="ar-SA"/>
              </w:rPr>
            </w:pPr>
            <w:r>
              <w:rPr>
                <w:rFonts w:hint="eastAsia" w:cs="Times New Roman"/>
                <w:color w:val="auto"/>
                <w:kern w:val="2"/>
                <w:sz w:val="21"/>
                <w:szCs w:val="21"/>
                <w:highlight w:val="none"/>
                <w:u w:val="none" w:color="auto"/>
                <w:lang w:val="en-US" w:eastAsia="zh-CN" w:bidi="ar-SA"/>
              </w:rPr>
              <w:t>村庄</w:t>
            </w:r>
          </w:p>
        </w:tc>
        <w:tc>
          <w:tcPr>
            <w:tcW w:w="1050" w:type="pct"/>
            <w:vMerge w:val="continue"/>
            <w:noWrap w:val="0"/>
            <w:vAlign w:val="center"/>
          </w:tcPr>
          <w:p w14:paraId="1B6A7C1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yellow"/>
                <w:u w:val="none" w:color="auto"/>
                <w:lang w:val="en-US" w:eastAsia="zh-CN"/>
              </w:rPr>
            </w:pPr>
          </w:p>
        </w:tc>
        <w:tc>
          <w:tcPr>
            <w:tcW w:w="520" w:type="pct"/>
            <w:noWrap w:val="0"/>
            <w:vAlign w:val="center"/>
          </w:tcPr>
          <w:p w14:paraId="1343998F">
            <w:pPr>
              <w:spacing w:line="240" w:lineRule="auto"/>
              <w:ind w:firstLine="0" w:firstLineChars="0"/>
              <w:jc w:val="center"/>
              <w:rPr>
                <w:rFonts w:hint="default" w:cs="Times New Roman"/>
                <w:color w:val="auto"/>
                <w:kern w:val="2"/>
                <w:sz w:val="21"/>
                <w:szCs w:val="21"/>
                <w:highlight w:val="none"/>
                <w:u w:val="none" w:color="auto"/>
                <w:lang w:val="en-US" w:eastAsia="zh-CN" w:bidi="ar-SA"/>
              </w:rPr>
            </w:pPr>
            <w:r>
              <w:rPr>
                <w:rFonts w:hint="eastAsia" w:cs="Times New Roman"/>
                <w:color w:val="auto"/>
                <w:kern w:val="2"/>
                <w:sz w:val="21"/>
                <w:szCs w:val="21"/>
                <w:highlight w:val="none"/>
                <w:u w:val="none" w:color="auto"/>
                <w:lang w:val="en-US" w:eastAsia="zh-CN" w:bidi="ar-SA"/>
              </w:rPr>
              <w:t>北</w:t>
            </w:r>
          </w:p>
        </w:tc>
        <w:tc>
          <w:tcPr>
            <w:tcW w:w="533" w:type="pct"/>
            <w:noWrap w:val="0"/>
            <w:vAlign w:val="center"/>
          </w:tcPr>
          <w:p w14:paraId="7CA54BC0">
            <w:pPr>
              <w:spacing w:line="240" w:lineRule="auto"/>
              <w:ind w:firstLine="0" w:firstLineChars="0"/>
              <w:jc w:val="center"/>
              <w:rPr>
                <w:rFonts w:hint="default" w:cs="Times New Roman"/>
                <w:color w:val="auto"/>
                <w:kern w:val="2"/>
                <w:sz w:val="21"/>
                <w:szCs w:val="21"/>
                <w:highlight w:val="none"/>
                <w:u w:val="none" w:color="auto"/>
                <w:lang w:val="en-US" w:eastAsia="zh-CN" w:bidi="ar-SA"/>
              </w:rPr>
            </w:pPr>
            <w:r>
              <w:rPr>
                <w:rFonts w:hint="eastAsia" w:cs="Times New Roman"/>
                <w:color w:val="auto"/>
                <w:kern w:val="2"/>
                <w:sz w:val="21"/>
                <w:szCs w:val="21"/>
                <w:highlight w:val="none"/>
                <w:u w:val="none" w:color="auto"/>
                <w:lang w:val="en-US" w:eastAsia="zh-CN" w:bidi="ar-SA"/>
              </w:rPr>
              <w:t>紧邻</w:t>
            </w:r>
          </w:p>
        </w:tc>
        <w:tc>
          <w:tcPr>
            <w:tcW w:w="590" w:type="pct"/>
            <w:noWrap w:val="0"/>
            <w:vAlign w:val="center"/>
          </w:tcPr>
          <w:p w14:paraId="57C04427">
            <w:pPr>
              <w:spacing w:line="240" w:lineRule="auto"/>
              <w:ind w:firstLine="0" w:firstLineChars="0"/>
              <w:jc w:val="center"/>
              <w:rPr>
                <w:rFonts w:hint="default" w:cs="Times New Roman"/>
                <w:color w:val="auto"/>
                <w:kern w:val="2"/>
                <w:sz w:val="21"/>
                <w:szCs w:val="21"/>
                <w:highlight w:val="none"/>
                <w:u w:val="none" w:color="auto"/>
                <w:lang w:val="en-US" w:eastAsia="zh-CN" w:bidi="ar-SA"/>
              </w:rPr>
            </w:pPr>
            <w:r>
              <w:rPr>
                <w:rFonts w:hint="eastAsia" w:cs="Times New Roman"/>
                <w:color w:val="auto"/>
                <w:kern w:val="2"/>
                <w:sz w:val="21"/>
                <w:szCs w:val="21"/>
                <w:highlight w:val="none"/>
                <w:u w:val="none" w:color="auto"/>
                <w:lang w:val="en-US" w:eastAsia="zh-CN" w:bidi="ar-SA"/>
              </w:rPr>
              <w:t>约8户</w:t>
            </w:r>
          </w:p>
        </w:tc>
      </w:tr>
      <w:tr w14:paraId="2417493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746" w:type="pct"/>
            <w:noWrap w:val="0"/>
            <w:vAlign w:val="center"/>
          </w:tcPr>
          <w:p w14:paraId="2EE44B1E">
            <w:pPr>
              <w:spacing w:line="240" w:lineRule="auto"/>
              <w:ind w:firstLine="0" w:firstLineChars="0"/>
              <w:jc w:val="center"/>
              <w:rPr>
                <w:rFonts w:hint="default" w:cs="Times New Roman"/>
                <w:color w:val="auto"/>
                <w:kern w:val="2"/>
                <w:sz w:val="21"/>
                <w:szCs w:val="21"/>
                <w:highlight w:val="none"/>
                <w:u w:val="none" w:color="auto"/>
                <w:lang w:val="en-US" w:eastAsia="zh-CN" w:bidi="ar-SA"/>
              </w:rPr>
            </w:pPr>
            <w:r>
              <w:rPr>
                <w:rFonts w:hint="eastAsia" w:cs="Times New Roman"/>
                <w:color w:val="auto"/>
                <w:kern w:val="2"/>
                <w:sz w:val="21"/>
                <w:szCs w:val="21"/>
                <w:highlight w:val="none"/>
                <w:u w:val="none" w:color="auto"/>
                <w:lang w:val="en-US" w:eastAsia="zh-CN" w:bidi="ar-SA"/>
              </w:rPr>
              <w:t>8#沙湾</w:t>
            </w:r>
          </w:p>
        </w:tc>
        <w:tc>
          <w:tcPr>
            <w:tcW w:w="1512" w:type="dxa"/>
            <w:noWrap w:val="0"/>
            <w:vAlign w:val="center"/>
          </w:tcPr>
          <w:p w14:paraId="61D721BF">
            <w:pPr>
              <w:spacing w:line="240" w:lineRule="auto"/>
              <w:ind w:firstLine="0" w:firstLineChars="0"/>
              <w:jc w:val="center"/>
              <w:rPr>
                <w:rFonts w:hint="default" w:ascii="Times New Roman" w:hAnsi="Times New Roman" w:cs="Times New Roman"/>
                <w:color w:val="auto"/>
                <w:kern w:val="2"/>
                <w:sz w:val="21"/>
                <w:szCs w:val="21"/>
                <w:highlight w:val="none"/>
                <w:u w:val="none" w:color="auto"/>
                <w:lang w:val="en-US" w:eastAsia="zh-CN" w:bidi="ar-SA"/>
              </w:rPr>
            </w:pPr>
            <w:r>
              <w:rPr>
                <w:rFonts w:hint="eastAsia" w:ascii="Times New Roman" w:hAnsi="Times New Roman" w:cs="Times New Roman"/>
                <w:color w:val="auto"/>
                <w:kern w:val="2"/>
                <w:sz w:val="21"/>
                <w:szCs w:val="21"/>
                <w:highlight w:val="none"/>
                <w:u w:val="none" w:color="auto"/>
                <w:lang w:val="en-US" w:eastAsia="zh-CN" w:bidi="ar-SA"/>
              </w:rPr>
              <w:t>113</w:t>
            </w:r>
            <w:r>
              <w:rPr>
                <w:rFonts w:hint="default" w:ascii="Times New Roman" w:hAnsi="Times New Roman" w:cs="Times New Roman"/>
                <w:color w:val="auto"/>
                <w:kern w:val="2"/>
                <w:sz w:val="21"/>
                <w:szCs w:val="21"/>
                <w:highlight w:val="none"/>
                <w:u w:val="none" w:color="auto"/>
                <w:lang w:val="en-US" w:eastAsia="zh-CN" w:bidi="ar-SA"/>
              </w:rPr>
              <w:t>°</w:t>
            </w:r>
            <w:r>
              <w:rPr>
                <w:rFonts w:hint="eastAsia" w:ascii="Times New Roman" w:hAnsi="Times New Roman" w:cs="Times New Roman"/>
                <w:color w:val="auto"/>
                <w:kern w:val="2"/>
                <w:sz w:val="21"/>
                <w:szCs w:val="21"/>
                <w:highlight w:val="none"/>
                <w:u w:val="none" w:color="auto"/>
                <w:lang w:val="en-US" w:eastAsia="zh-CN" w:bidi="ar-SA"/>
              </w:rPr>
              <w:t>33</w:t>
            </w:r>
            <w:r>
              <w:rPr>
                <w:rFonts w:hint="default" w:ascii="Times New Roman" w:hAnsi="Times New Roman" w:cs="Times New Roman"/>
                <w:color w:val="auto"/>
                <w:kern w:val="2"/>
                <w:sz w:val="21"/>
                <w:szCs w:val="21"/>
                <w:highlight w:val="none"/>
                <w:u w:val="none" w:color="auto"/>
                <w:lang w:val="en-US" w:eastAsia="zh-CN" w:bidi="ar-SA"/>
              </w:rPr>
              <w:t>′</w:t>
            </w:r>
            <w:r>
              <w:rPr>
                <w:rFonts w:hint="eastAsia" w:ascii="Times New Roman" w:hAnsi="Times New Roman" w:cs="Times New Roman"/>
                <w:color w:val="auto"/>
                <w:kern w:val="2"/>
                <w:sz w:val="21"/>
                <w:szCs w:val="21"/>
                <w:highlight w:val="none"/>
                <w:u w:val="none" w:color="auto"/>
                <w:lang w:val="en-US" w:eastAsia="zh-CN" w:bidi="ar-SA"/>
              </w:rPr>
              <w:t>9.62</w:t>
            </w:r>
            <w:r>
              <w:rPr>
                <w:rFonts w:hint="default" w:ascii="Times New Roman" w:hAnsi="Times New Roman" w:cs="Times New Roman"/>
                <w:color w:val="auto"/>
                <w:kern w:val="2"/>
                <w:sz w:val="21"/>
                <w:szCs w:val="21"/>
                <w:highlight w:val="none"/>
                <w:u w:val="none" w:color="auto"/>
                <w:lang w:val="en-US" w:eastAsia="zh-CN" w:bidi="ar-SA"/>
              </w:rPr>
              <w:t>″E；</w:t>
            </w:r>
          </w:p>
          <w:p w14:paraId="27ABAA10">
            <w:pPr>
              <w:spacing w:line="240" w:lineRule="auto"/>
              <w:ind w:firstLine="0" w:firstLineChars="0"/>
              <w:jc w:val="center"/>
              <w:rPr>
                <w:rFonts w:hint="eastAsia" w:ascii="Times New Roman" w:hAnsi="Times New Roman" w:cs="Times New Roman"/>
                <w:color w:val="auto"/>
                <w:kern w:val="2"/>
                <w:sz w:val="21"/>
                <w:szCs w:val="21"/>
                <w:highlight w:val="none"/>
                <w:u w:val="none" w:color="auto"/>
                <w:lang w:val="en-US" w:eastAsia="zh-CN" w:bidi="ar-SA"/>
              </w:rPr>
            </w:pPr>
            <w:r>
              <w:rPr>
                <w:rFonts w:hint="eastAsia" w:ascii="Times New Roman" w:hAnsi="Times New Roman" w:cs="Times New Roman"/>
                <w:color w:val="auto"/>
                <w:kern w:val="2"/>
                <w:sz w:val="21"/>
                <w:szCs w:val="21"/>
                <w:highlight w:val="none"/>
                <w:u w:val="none" w:color="auto"/>
                <w:lang w:val="en-US" w:eastAsia="zh-CN" w:bidi="ar-SA"/>
              </w:rPr>
              <w:t>28</w:t>
            </w:r>
            <w:r>
              <w:rPr>
                <w:rFonts w:hint="default" w:ascii="Times New Roman" w:hAnsi="Times New Roman" w:cs="Times New Roman"/>
                <w:color w:val="auto"/>
                <w:kern w:val="2"/>
                <w:sz w:val="21"/>
                <w:szCs w:val="21"/>
                <w:highlight w:val="none"/>
                <w:u w:val="none" w:color="auto"/>
                <w:lang w:val="en-US" w:eastAsia="zh-CN" w:bidi="ar-SA"/>
              </w:rPr>
              <w:t>°</w:t>
            </w:r>
            <w:r>
              <w:rPr>
                <w:rFonts w:hint="eastAsia" w:ascii="Times New Roman" w:hAnsi="Times New Roman" w:cs="Times New Roman"/>
                <w:color w:val="auto"/>
                <w:kern w:val="2"/>
                <w:sz w:val="21"/>
                <w:szCs w:val="21"/>
                <w:highlight w:val="none"/>
                <w:u w:val="none" w:color="auto"/>
                <w:lang w:val="en-US" w:eastAsia="zh-CN" w:bidi="ar-SA"/>
              </w:rPr>
              <w:t>39</w:t>
            </w:r>
            <w:r>
              <w:rPr>
                <w:rFonts w:hint="default" w:ascii="Times New Roman" w:hAnsi="Times New Roman" w:cs="Times New Roman"/>
                <w:color w:val="auto"/>
                <w:kern w:val="2"/>
                <w:sz w:val="21"/>
                <w:szCs w:val="21"/>
                <w:highlight w:val="none"/>
                <w:u w:val="none" w:color="auto"/>
                <w:lang w:val="en-US" w:eastAsia="zh-CN" w:bidi="ar-SA"/>
              </w:rPr>
              <w:t>′</w:t>
            </w:r>
            <w:r>
              <w:rPr>
                <w:rFonts w:hint="eastAsia" w:ascii="Times New Roman" w:hAnsi="Times New Roman" w:cs="Times New Roman"/>
                <w:color w:val="auto"/>
                <w:kern w:val="2"/>
                <w:sz w:val="21"/>
                <w:szCs w:val="21"/>
                <w:highlight w:val="none"/>
                <w:u w:val="none" w:color="auto"/>
                <w:lang w:val="en-US" w:eastAsia="zh-CN" w:bidi="ar-SA"/>
              </w:rPr>
              <w:t>23.43</w:t>
            </w:r>
            <w:r>
              <w:rPr>
                <w:rFonts w:hint="default" w:ascii="Times New Roman" w:hAnsi="Times New Roman" w:cs="Times New Roman"/>
                <w:color w:val="auto"/>
                <w:kern w:val="2"/>
                <w:sz w:val="21"/>
                <w:szCs w:val="21"/>
                <w:highlight w:val="none"/>
                <w:u w:val="none" w:color="auto"/>
                <w:lang w:val="en-US" w:eastAsia="zh-CN" w:bidi="ar-SA"/>
              </w:rPr>
              <w:t>″N</w:t>
            </w:r>
          </w:p>
        </w:tc>
        <w:tc>
          <w:tcPr>
            <w:tcW w:w="305" w:type="pct"/>
            <w:shd w:val="clear" w:color="auto" w:fill="auto"/>
            <w:noWrap w:val="0"/>
            <w:vAlign w:val="center"/>
          </w:tcPr>
          <w:p w14:paraId="3ADBF106">
            <w:pPr>
              <w:spacing w:line="240" w:lineRule="auto"/>
              <w:ind w:firstLine="0" w:firstLineChars="0"/>
              <w:jc w:val="center"/>
              <w:rPr>
                <w:rFonts w:hint="eastAsia" w:cs="Times New Roman"/>
                <w:color w:val="auto"/>
                <w:kern w:val="2"/>
                <w:sz w:val="21"/>
                <w:szCs w:val="21"/>
                <w:highlight w:val="none"/>
                <w:u w:val="none" w:color="auto"/>
                <w:lang w:val="en-US" w:eastAsia="zh-CN" w:bidi="ar-SA"/>
              </w:rPr>
            </w:pPr>
            <w:r>
              <w:rPr>
                <w:rFonts w:hint="eastAsia" w:cs="Times New Roman"/>
                <w:color w:val="auto"/>
                <w:kern w:val="2"/>
                <w:sz w:val="21"/>
                <w:szCs w:val="21"/>
                <w:highlight w:val="none"/>
                <w:u w:val="none" w:color="auto"/>
                <w:lang w:val="en-US" w:eastAsia="zh-CN" w:bidi="ar-SA"/>
              </w:rPr>
              <w:t>人群</w:t>
            </w:r>
          </w:p>
        </w:tc>
        <w:tc>
          <w:tcPr>
            <w:tcW w:w="425" w:type="pct"/>
            <w:shd w:val="clear" w:color="auto" w:fill="auto"/>
            <w:noWrap w:val="0"/>
            <w:vAlign w:val="center"/>
          </w:tcPr>
          <w:p w14:paraId="148EC6FD">
            <w:pPr>
              <w:spacing w:line="240" w:lineRule="auto"/>
              <w:ind w:firstLine="0" w:firstLineChars="0"/>
              <w:jc w:val="center"/>
              <w:rPr>
                <w:rFonts w:hint="eastAsia" w:cs="Times New Roman"/>
                <w:color w:val="auto"/>
                <w:kern w:val="2"/>
                <w:sz w:val="21"/>
                <w:szCs w:val="21"/>
                <w:highlight w:val="none"/>
                <w:u w:val="none" w:color="auto"/>
                <w:lang w:val="en-US" w:eastAsia="zh-CN" w:bidi="ar-SA"/>
              </w:rPr>
            </w:pPr>
            <w:r>
              <w:rPr>
                <w:rFonts w:hint="eastAsia" w:cs="Times New Roman"/>
                <w:color w:val="auto"/>
                <w:kern w:val="2"/>
                <w:sz w:val="21"/>
                <w:szCs w:val="21"/>
                <w:highlight w:val="none"/>
                <w:u w:val="none" w:color="auto"/>
                <w:lang w:val="en-US" w:eastAsia="zh-CN" w:bidi="ar-SA"/>
              </w:rPr>
              <w:t>村庄</w:t>
            </w:r>
          </w:p>
        </w:tc>
        <w:tc>
          <w:tcPr>
            <w:tcW w:w="1050" w:type="pct"/>
            <w:vMerge w:val="continue"/>
            <w:noWrap w:val="0"/>
            <w:vAlign w:val="center"/>
          </w:tcPr>
          <w:p w14:paraId="66AE41B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yellow"/>
                <w:u w:val="none" w:color="auto"/>
                <w:lang w:val="en-US" w:eastAsia="zh-CN"/>
              </w:rPr>
            </w:pPr>
          </w:p>
        </w:tc>
        <w:tc>
          <w:tcPr>
            <w:tcW w:w="520" w:type="pct"/>
            <w:noWrap w:val="0"/>
            <w:vAlign w:val="center"/>
          </w:tcPr>
          <w:p w14:paraId="15E58FCE">
            <w:pPr>
              <w:spacing w:line="240" w:lineRule="auto"/>
              <w:ind w:firstLine="0" w:firstLineChars="0"/>
              <w:jc w:val="center"/>
              <w:rPr>
                <w:rFonts w:hint="default" w:cs="Times New Roman"/>
                <w:color w:val="auto"/>
                <w:kern w:val="2"/>
                <w:sz w:val="21"/>
                <w:szCs w:val="21"/>
                <w:highlight w:val="none"/>
                <w:u w:val="none" w:color="auto"/>
                <w:lang w:val="en-US" w:eastAsia="zh-CN" w:bidi="ar-SA"/>
              </w:rPr>
            </w:pPr>
            <w:r>
              <w:rPr>
                <w:rFonts w:hint="eastAsia" w:cs="Times New Roman"/>
                <w:color w:val="auto"/>
                <w:kern w:val="2"/>
                <w:sz w:val="21"/>
                <w:szCs w:val="21"/>
                <w:highlight w:val="none"/>
                <w:u w:val="none" w:color="auto"/>
                <w:lang w:val="en-US" w:eastAsia="zh-CN" w:bidi="ar-SA"/>
              </w:rPr>
              <w:t>东</w:t>
            </w:r>
          </w:p>
        </w:tc>
        <w:tc>
          <w:tcPr>
            <w:tcW w:w="533" w:type="pct"/>
            <w:noWrap w:val="0"/>
            <w:vAlign w:val="center"/>
          </w:tcPr>
          <w:p w14:paraId="2ABD0F81">
            <w:pPr>
              <w:spacing w:line="240" w:lineRule="auto"/>
              <w:ind w:firstLine="0" w:firstLineChars="0"/>
              <w:jc w:val="center"/>
              <w:rPr>
                <w:rFonts w:hint="default" w:cs="Times New Roman"/>
                <w:color w:val="auto"/>
                <w:kern w:val="2"/>
                <w:sz w:val="21"/>
                <w:szCs w:val="21"/>
                <w:highlight w:val="none"/>
                <w:u w:val="none" w:color="auto"/>
                <w:lang w:val="en-US" w:eastAsia="zh-CN" w:bidi="ar-SA"/>
              </w:rPr>
            </w:pPr>
            <w:r>
              <w:rPr>
                <w:rFonts w:hint="eastAsia" w:cs="Times New Roman"/>
                <w:color w:val="auto"/>
                <w:kern w:val="2"/>
                <w:sz w:val="21"/>
                <w:szCs w:val="21"/>
                <w:highlight w:val="none"/>
                <w:u w:val="none" w:color="auto"/>
                <w:lang w:val="en-US" w:eastAsia="zh-CN" w:bidi="ar-SA"/>
              </w:rPr>
              <w:t>紧邻</w:t>
            </w:r>
          </w:p>
        </w:tc>
        <w:tc>
          <w:tcPr>
            <w:tcW w:w="590" w:type="pct"/>
            <w:noWrap w:val="0"/>
            <w:vAlign w:val="center"/>
          </w:tcPr>
          <w:p w14:paraId="2DCE875D">
            <w:pPr>
              <w:spacing w:line="240" w:lineRule="auto"/>
              <w:ind w:firstLine="0" w:firstLineChars="0"/>
              <w:jc w:val="center"/>
              <w:rPr>
                <w:rFonts w:hint="default" w:cs="Times New Roman"/>
                <w:color w:val="auto"/>
                <w:kern w:val="2"/>
                <w:sz w:val="21"/>
                <w:szCs w:val="21"/>
                <w:highlight w:val="none"/>
                <w:u w:val="none" w:color="auto"/>
                <w:lang w:val="en-US" w:eastAsia="zh-CN" w:bidi="ar-SA"/>
              </w:rPr>
            </w:pPr>
            <w:r>
              <w:rPr>
                <w:rFonts w:hint="eastAsia" w:cs="Times New Roman"/>
                <w:color w:val="auto"/>
                <w:kern w:val="2"/>
                <w:sz w:val="21"/>
                <w:szCs w:val="21"/>
                <w:highlight w:val="none"/>
                <w:u w:val="none" w:color="auto"/>
                <w:lang w:val="en-US" w:eastAsia="zh-CN" w:bidi="ar-SA"/>
              </w:rPr>
              <w:t>约3户</w:t>
            </w:r>
          </w:p>
        </w:tc>
      </w:tr>
      <w:tr w14:paraId="596BE94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746" w:type="pct"/>
            <w:noWrap w:val="0"/>
            <w:vAlign w:val="center"/>
          </w:tcPr>
          <w:p w14:paraId="0ACC557A">
            <w:pPr>
              <w:spacing w:line="240" w:lineRule="auto"/>
              <w:ind w:firstLine="0" w:firstLineChars="0"/>
              <w:jc w:val="center"/>
              <w:rPr>
                <w:rFonts w:hint="default" w:cs="Times New Roman"/>
                <w:color w:val="auto"/>
                <w:kern w:val="2"/>
                <w:sz w:val="21"/>
                <w:szCs w:val="21"/>
                <w:highlight w:val="none"/>
                <w:u w:val="none" w:color="auto"/>
                <w:lang w:val="en-US" w:eastAsia="zh-CN" w:bidi="ar-SA"/>
              </w:rPr>
            </w:pPr>
            <w:r>
              <w:rPr>
                <w:rFonts w:hint="eastAsia" w:cs="Times New Roman"/>
                <w:color w:val="auto"/>
                <w:kern w:val="2"/>
                <w:sz w:val="21"/>
                <w:szCs w:val="21"/>
                <w:highlight w:val="none"/>
                <w:u w:val="none" w:color="auto"/>
                <w:lang w:val="en-US" w:eastAsia="zh-CN" w:bidi="ar-SA"/>
              </w:rPr>
              <w:t>9#新屋</w:t>
            </w:r>
          </w:p>
        </w:tc>
        <w:tc>
          <w:tcPr>
            <w:tcW w:w="1512" w:type="dxa"/>
            <w:noWrap w:val="0"/>
            <w:vAlign w:val="center"/>
          </w:tcPr>
          <w:p w14:paraId="02F729B3">
            <w:pPr>
              <w:spacing w:line="240" w:lineRule="auto"/>
              <w:ind w:firstLine="0" w:firstLineChars="0"/>
              <w:jc w:val="center"/>
              <w:rPr>
                <w:rFonts w:hint="default" w:ascii="Times New Roman" w:hAnsi="Times New Roman" w:cs="Times New Roman"/>
                <w:color w:val="auto"/>
                <w:kern w:val="2"/>
                <w:sz w:val="21"/>
                <w:szCs w:val="21"/>
                <w:highlight w:val="none"/>
                <w:u w:val="none" w:color="auto"/>
                <w:lang w:val="en-US" w:eastAsia="zh-CN" w:bidi="ar-SA"/>
              </w:rPr>
            </w:pPr>
            <w:r>
              <w:rPr>
                <w:rFonts w:hint="eastAsia" w:ascii="Times New Roman" w:hAnsi="Times New Roman" w:cs="Times New Roman"/>
                <w:color w:val="auto"/>
                <w:kern w:val="2"/>
                <w:sz w:val="21"/>
                <w:szCs w:val="21"/>
                <w:highlight w:val="none"/>
                <w:u w:val="none" w:color="auto"/>
                <w:lang w:val="en-US" w:eastAsia="zh-CN" w:bidi="ar-SA"/>
              </w:rPr>
              <w:t>113</w:t>
            </w:r>
            <w:r>
              <w:rPr>
                <w:rFonts w:hint="default" w:ascii="Times New Roman" w:hAnsi="Times New Roman" w:cs="Times New Roman"/>
                <w:color w:val="auto"/>
                <w:kern w:val="2"/>
                <w:sz w:val="21"/>
                <w:szCs w:val="21"/>
                <w:highlight w:val="none"/>
                <w:u w:val="none" w:color="auto"/>
                <w:lang w:val="en-US" w:eastAsia="zh-CN" w:bidi="ar-SA"/>
              </w:rPr>
              <w:t>°</w:t>
            </w:r>
            <w:r>
              <w:rPr>
                <w:rFonts w:hint="eastAsia" w:ascii="Times New Roman" w:hAnsi="Times New Roman" w:cs="Times New Roman"/>
                <w:color w:val="auto"/>
                <w:kern w:val="2"/>
                <w:sz w:val="21"/>
                <w:szCs w:val="21"/>
                <w:highlight w:val="none"/>
                <w:u w:val="none" w:color="auto"/>
                <w:lang w:val="en-US" w:eastAsia="zh-CN" w:bidi="ar-SA"/>
              </w:rPr>
              <w:t>33</w:t>
            </w:r>
            <w:r>
              <w:rPr>
                <w:rFonts w:hint="default" w:ascii="Times New Roman" w:hAnsi="Times New Roman" w:cs="Times New Roman"/>
                <w:color w:val="auto"/>
                <w:kern w:val="2"/>
                <w:sz w:val="21"/>
                <w:szCs w:val="21"/>
                <w:highlight w:val="none"/>
                <w:u w:val="none" w:color="auto"/>
                <w:lang w:val="en-US" w:eastAsia="zh-CN" w:bidi="ar-SA"/>
              </w:rPr>
              <w:t>′</w:t>
            </w:r>
            <w:r>
              <w:rPr>
                <w:rFonts w:hint="eastAsia" w:ascii="Times New Roman" w:hAnsi="Times New Roman" w:cs="Times New Roman"/>
                <w:color w:val="auto"/>
                <w:kern w:val="2"/>
                <w:sz w:val="21"/>
                <w:szCs w:val="21"/>
                <w:highlight w:val="none"/>
                <w:u w:val="none" w:color="auto"/>
                <w:lang w:val="en-US" w:eastAsia="zh-CN" w:bidi="ar-SA"/>
              </w:rPr>
              <w:t>6.91</w:t>
            </w:r>
            <w:r>
              <w:rPr>
                <w:rFonts w:hint="default" w:ascii="Times New Roman" w:hAnsi="Times New Roman" w:cs="Times New Roman"/>
                <w:color w:val="auto"/>
                <w:kern w:val="2"/>
                <w:sz w:val="21"/>
                <w:szCs w:val="21"/>
                <w:highlight w:val="none"/>
                <w:u w:val="none" w:color="auto"/>
                <w:lang w:val="en-US" w:eastAsia="zh-CN" w:bidi="ar-SA"/>
              </w:rPr>
              <w:t>″E；</w:t>
            </w:r>
          </w:p>
          <w:p w14:paraId="5C10D4C1">
            <w:pPr>
              <w:spacing w:line="240" w:lineRule="auto"/>
              <w:ind w:firstLine="0" w:firstLineChars="0"/>
              <w:jc w:val="center"/>
              <w:rPr>
                <w:rFonts w:hint="eastAsia" w:ascii="Times New Roman" w:hAnsi="Times New Roman" w:cs="Times New Roman"/>
                <w:color w:val="auto"/>
                <w:kern w:val="2"/>
                <w:sz w:val="21"/>
                <w:szCs w:val="21"/>
                <w:highlight w:val="none"/>
                <w:u w:val="none" w:color="auto"/>
                <w:lang w:val="en-US" w:eastAsia="zh-CN" w:bidi="ar-SA"/>
              </w:rPr>
            </w:pPr>
            <w:r>
              <w:rPr>
                <w:rFonts w:hint="eastAsia" w:ascii="Times New Roman" w:hAnsi="Times New Roman" w:cs="Times New Roman"/>
                <w:color w:val="auto"/>
                <w:kern w:val="2"/>
                <w:sz w:val="21"/>
                <w:szCs w:val="21"/>
                <w:highlight w:val="none"/>
                <w:u w:val="none" w:color="auto"/>
                <w:lang w:val="en-US" w:eastAsia="zh-CN" w:bidi="ar-SA"/>
              </w:rPr>
              <w:t>28</w:t>
            </w:r>
            <w:r>
              <w:rPr>
                <w:rFonts w:hint="default" w:ascii="Times New Roman" w:hAnsi="Times New Roman" w:cs="Times New Roman"/>
                <w:color w:val="auto"/>
                <w:kern w:val="2"/>
                <w:sz w:val="21"/>
                <w:szCs w:val="21"/>
                <w:highlight w:val="none"/>
                <w:u w:val="none" w:color="auto"/>
                <w:lang w:val="en-US" w:eastAsia="zh-CN" w:bidi="ar-SA"/>
              </w:rPr>
              <w:t>°</w:t>
            </w:r>
            <w:r>
              <w:rPr>
                <w:rFonts w:hint="eastAsia" w:ascii="Times New Roman" w:hAnsi="Times New Roman" w:cs="Times New Roman"/>
                <w:color w:val="auto"/>
                <w:kern w:val="2"/>
                <w:sz w:val="21"/>
                <w:szCs w:val="21"/>
                <w:highlight w:val="none"/>
                <w:u w:val="none" w:color="auto"/>
                <w:lang w:val="en-US" w:eastAsia="zh-CN" w:bidi="ar-SA"/>
              </w:rPr>
              <w:t>39</w:t>
            </w:r>
            <w:r>
              <w:rPr>
                <w:rFonts w:hint="default" w:ascii="Times New Roman" w:hAnsi="Times New Roman" w:cs="Times New Roman"/>
                <w:color w:val="auto"/>
                <w:kern w:val="2"/>
                <w:sz w:val="21"/>
                <w:szCs w:val="21"/>
                <w:highlight w:val="none"/>
                <w:u w:val="none" w:color="auto"/>
                <w:lang w:val="en-US" w:eastAsia="zh-CN" w:bidi="ar-SA"/>
              </w:rPr>
              <w:t>′</w:t>
            </w:r>
            <w:r>
              <w:rPr>
                <w:rFonts w:hint="eastAsia" w:ascii="Times New Roman" w:hAnsi="Times New Roman" w:cs="Times New Roman"/>
                <w:color w:val="auto"/>
                <w:kern w:val="2"/>
                <w:sz w:val="21"/>
                <w:szCs w:val="21"/>
                <w:highlight w:val="none"/>
                <w:u w:val="none" w:color="auto"/>
                <w:lang w:val="en-US" w:eastAsia="zh-CN" w:bidi="ar-SA"/>
              </w:rPr>
              <w:t>16.09</w:t>
            </w:r>
            <w:r>
              <w:rPr>
                <w:rFonts w:hint="default" w:ascii="Times New Roman" w:hAnsi="Times New Roman" w:cs="Times New Roman"/>
                <w:color w:val="auto"/>
                <w:kern w:val="2"/>
                <w:sz w:val="21"/>
                <w:szCs w:val="21"/>
                <w:highlight w:val="none"/>
                <w:u w:val="none" w:color="auto"/>
                <w:lang w:val="en-US" w:eastAsia="zh-CN" w:bidi="ar-SA"/>
              </w:rPr>
              <w:t>″N</w:t>
            </w:r>
          </w:p>
        </w:tc>
        <w:tc>
          <w:tcPr>
            <w:tcW w:w="305" w:type="pct"/>
            <w:shd w:val="clear" w:color="auto" w:fill="auto"/>
            <w:noWrap w:val="0"/>
            <w:vAlign w:val="center"/>
          </w:tcPr>
          <w:p w14:paraId="7A7B6B4E">
            <w:pPr>
              <w:spacing w:line="240" w:lineRule="auto"/>
              <w:ind w:firstLine="0" w:firstLineChars="0"/>
              <w:jc w:val="center"/>
              <w:rPr>
                <w:rFonts w:hint="eastAsia" w:cs="Times New Roman"/>
                <w:color w:val="auto"/>
                <w:kern w:val="2"/>
                <w:sz w:val="21"/>
                <w:szCs w:val="21"/>
                <w:highlight w:val="none"/>
                <w:u w:val="none" w:color="auto"/>
                <w:lang w:val="en-US" w:eastAsia="zh-CN" w:bidi="ar-SA"/>
              </w:rPr>
            </w:pPr>
            <w:r>
              <w:rPr>
                <w:rFonts w:hint="eastAsia" w:cs="Times New Roman"/>
                <w:color w:val="auto"/>
                <w:kern w:val="2"/>
                <w:sz w:val="21"/>
                <w:szCs w:val="21"/>
                <w:highlight w:val="none"/>
                <w:u w:val="none" w:color="auto"/>
                <w:lang w:val="en-US" w:eastAsia="zh-CN" w:bidi="ar-SA"/>
              </w:rPr>
              <w:t>人群</w:t>
            </w:r>
          </w:p>
        </w:tc>
        <w:tc>
          <w:tcPr>
            <w:tcW w:w="425" w:type="pct"/>
            <w:shd w:val="clear" w:color="auto" w:fill="auto"/>
            <w:noWrap w:val="0"/>
            <w:vAlign w:val="center"/>
          </w:tcPr>
          <w:p w14:paraId="5037A55A">
            <w:pPr>
              <w:spacing w:line="240" w:lineRule="auto"/>
              <w:ind w:firstLine="0" w:firstLineChars="0"/>
              <w:jc w:val="center"/>
              <w:rPr>
                <w:rFonts w:hint="eastAsia" w:cs="Times New Roman"/>
                <w:color w:val="auto"/>
                <w:kern w:val="2"/>
                <w:sz w:val="21"/>
                <w:szCs w:val="21"/>
                <w:highlight w:val="none"/>
                <w:u w:val="none" w:color="auto"/>
                <w:lang w:val="en-US" w:eastAsia="zh-CN" w:bidi="ar-SA"/>
              </w:rPr>
            </w:pPr>
            <w:r>
              <w:rPr>
                <w:rFonts w:hint="eastAsia" w:cs="Times New Roman"/>
                <w:color w:val="auto"/>
                <w:kern w:val="2"/>
                <w:sz w:val="21"/>
                <w:szCs w:val="21"/>
                <w:highlight w:val="none"/>
                <w:u w:val="none" w:color="auto"/>
                <w:lang w:val="en-US" w:eastAsia="zh-CN" w:bidi="ar-SA"/>
              </w:rPr>
              <w:t>村庄</w:t>
            </w:r>
          </w:p>
        </w:tc>
        <w:tc>
          <w:tcPr>
            <w:tcW w:w="1050" w:type="pct"/>
            <w:vMerge w:val="continue"/>
            <w:noWrap w:val="0"/>
            <w:vAlign w:val="center"/>
          </w:tcPr>
          <w:p w14:paraId="30DD4F1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yellow"/>
                <w:u w:val="none" w:color="auto"/>
                <w:lang w:val="en-US" w:eastAsia="zh-CN"/>
              </w:rPr>
            </w:pPr>
          </w:p>
        </w:tc>
        <w:tc>
          <w:tcPr>
            <w:tcW w:w="520" w:type="pct"/>
            <w:noWrap w:val="0"/>
            <w:vAlign w:val="center"/>
          </w:tcPr>
          <w:p w14:paraId="41C56D29">
            <w:pPr>
              <w:spacing w:line="240" w:lineRule="auto"/>
              <w:ind w:firstLine="0" w:firstLineChars="0"/>
              <w:jc w:val="center"/>
              <w:rPr>
                <w:rFonts w:hint="default" w:cs="Times New Roman"/>
                <w:color w:val="auto"/>
                <w:kern w:val="2"/>
                <w:sz w:val="21"/>
                <w:szCs w:val="21"/>
                <w:highlight w:val="none"/>
                <w:u w:val="none" w:color="auto"/>
                <w:lang w:val="en-US" w:eastAsia="zh-CN" w:bidi="ar-SA"/>
              </w:rPr>
            </w:pPr>
            <w:r>
              <w:rPr>
                <w:rFonts w:hint="eastAsia" w:cs="Times New Roman"/>
                <w:color w:val="auto"/>
                <w:kern w:val="2"/>
                <w:sz w:val="21"/>
                <w:szCs w:val="21"/>
                <w:highlight w:val="none"/>
                <w:u w:val="none" w:color="auto"/>
                <w:lang w:val="en-US" w:eastAsia="zh-CN" w:bidi="ar-SA"/>
              </w:rPr>
              <w:t>西</w:t>
            </w:r>
          </w:p>
        </w:tc>
        <w:tc>
          <w:tcPr>
            <w:tcW w:w="533" w:type="pct"/>
            <w:noWrap w:val="0"/>
            <w:vAlign w:val="center"/>
          </w:tcPr>
          <w:p w14:paraId="1BB7171F">
            <w:pPr>
              <w:spacing w:line="240" w:lineRule="auto"/>
              <w:ind w:firstLine="0" w:firstLineChars="0"/>
              <w:jc w:val="center"/>
              <w:rPr>
                <w:rFonts w:hint="default" w:cs="Times New Roman"/>
                <w:color w:val="auto"/>
                <w:kern w:val="2"/>
                <w:sz w:val="21"/>
                <w:szCs w:val="21"/>
                <w:highlight w:val="none"/>
                <w:u w:val="none" w:color="auto"/>
                <w:lang w:val="en-US" w:eastAsia="zh-CN" w:bidi="ar-SA"/>
              </w:rPr>
            </w:pPr>
            <w:r>
              <w:rPr>
                <w:rFonts w:hint="eastAsia" w:cs="Times New Roman"/>
                <w:color w:val="auto"/>
                <w:kern w:val="2"/>
                <w:sz w:val="21"/>
                <w:szCs w:val="21"/>
                <w:highlight w:val="none"/>
                <w:u w:val="none" w:color="auto"/>
                <w:lang w:val="en-US" w:eastAsia="zh-CN" w:bidi="ar-SA"/>
              </w:rPr>
              <w:t>180m</w:t>
            </w:r>
          </w:p>
        </w:tc>
        <w:tc>
          <w:tcPr>
            <w:tcW w:w="590" w:type="pct"/>
            <w:noWrap w:val="0"/>
            <w:vAlign w:val="center"/>
          </w:tcPr>
          <w:p w14:paraId="686B8EEB">
            <w:pPr>
              <w:spacing w:line="240" w:lineRule="auto"/>
              <w:ind w:firstLine="0" w:firstLineChars="0"/>
              <w:jc w:val="center"/>
              <w:rPr>
                <w:rFonts w:hint="default" w:cs="Times New Roman"/>
                <w:color w:val="auto"/>
                <w:kern w:val="2"/>
                <w:sz w:val="21"/>
                <w:szCs w:val="21"/>
                <w:highlight w:val="none"/>
                <w:u w:val="none" w:color="auto"/>
                <w:lang w:val="en-US" w:eastAsia="zh-CN" w:bidi="ar-SA"/>
              </w:rPr>
            </w:pPr>
            <w:r>
              <w:rPr>
                <w:rFonts w:hint="eastAsia" w:cs="Times New Roman"/>
                <w:color w:val="auto"/>
                <w:kern w:val="2"/>
                <w:sz w:val="21"/>
                <w:szCs w:val="21"/>
                <w:highlight w:val="none"/>
                <w:u w:val="none" w:color="auto"/>
                <w:lang w:val="en-US" w:eastAsia="zh-CN" w:bidi="ar-SA"/>
              </w:rPr>
              <w:t>约2户</w:t>
            </w:r>
          </w:p>
        </w:tc>
      </w:tr>
      <w:tr w14:paraId="552E389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746" w:type="pct"/>
            <w:noWrap w:val="0"/>
            <w:vAlign w:val="center"/>
          </w:tcPr>
          <w:p w14:paraId="740EFA92">
            <w:pPr>
              <w:spacing w:line="240" w:lineRule="auto"/>
              <w:ind w:firstLine="0" w:firstLineChars="0"/>
              <w:jc w:val="center"/>
              <w:rPr>
                <w:rFonts w:hint="default" w:cs="Times New Roman"/>
                <w:color w:val="auto"/>
                <w:kern w:val="2"/>
                <w:sz w:val="21"/>
                <w:szCs w:val="21"/>
                <w:highlight w:val="none"/>
                <w:u w:val="none" w:color="auto"/>
                <w:lang w:val="en-US" w:eastAsia="zh-CN" w:bidi="ar-SA"/>
              </w:rPr>
            </w:pPr>
            <w:r>
              <w:rPr>
                <w:rFonts w:hint="eastAsia" w:cs="Times New Roman"/>
                <w:color w:val="auto"/>
                <w:kern w:val="2"/>
                <w:sz w:val="21"/>
                <w:szCs w:val="21"/>
                <w:highlight w:val="none"/>
                <w:u w:val="none" w:color="auto"/>
                <w:lang w:val="en-US" w:eastAsia="zh-CN" w:bidi="ar-SA"/>
              </w:rPr>
              <w:t>10#垂拱组</w:t>
            </w:r>
          </w:p>
        </w:tc>
        <w:tc>
          <w:tcPr>
            <w:tcW w:w="1512" w:type="dxa"/>
            <w:noWrap w:val="0"/>
            <w:vAlign w:val="center"/>
          </w:tcPr>
          <w:p w14:paraId="6F8B1CCD">
            <w:pPr>
              <w:spacing w:line="240" w:lineRule="auto"/>
              <w:ind w:firstLine="0" w:firstLineChars="0"/>
              <w:jc w:val="center"/>
              <w:rPr>
                <w:rFonts w:hint="default" w:ascii="Times New Roman" w:hAnsi="Times New Roman" w:cs="Times New Roman"/>
                <w:color w:val="auto"/>
                <w:kern w:val="2"/>
                <w:sz w:val="21"/>
                <w:szCs w:val="21"/>
                <w:highlight w:val="none"/>
                <w:u w:val="none" w:color="auto"/>
                <w:lang w:val="en-US" w:eastAsia="zh-CN" w:bidi="ar-SA"/>
              </w:rPr>
            </w:pPr>
            <w:r>
              <w:rPr>
                <w:rFonts w:hint="eastAsia" w:cs="Times New Roman"/>
                <w:color w:val="auto"/>
                <w:kern w:val="2"/>
                <w:sz w:val="21"/>
                <w:szCs w:val="21"/>
                <w:highlight w:val="none"/>
                <w:u w:val="none" w:color="auto"/>
                <w:lang w:val="en-US" w:eastAsia="zh-CN" w:bidi="ar-SA"/>
              </w:rPr>
              <w:t>113</w:t>
            </w:r>
            <w:r>
              <w:rPr>
                <w:rFonts w:hint="default" w:ascii="Times New Roman" w:hAnsi="Times New Roman" w:cs="Times New Roman"/>
                <w:color w:val="auto"/>
                <w:kern w:val="2"/>
                <w:sz w:val="21"/>
                <w:szCs w:val="21"/>
                <w:highlight w:val="none"/>
                <w:u w:val="none" w:color="auto"/>
                <w:lang w:val="en-US" w:eastAsia="zh-CN" w:bidi="ar-SA"/>
              </w:rPr>
              <w:t>°</w:t>
            </w:r>
            <w:r>
              <w:rPr>
                <w:rFonts w:hint="eastAsia" w:cs="Times New Roman"/>
                <w:color w:val="auto"/>
                <w:kern w:val="2"/>
                <w:sz w:val="21"/>
                <w:szCs w:val="21"/>
                <w:highlight w:val="none"/>
                <w:u w:val="none" w:color="auto"/>
                <w:lang w:val="en-US" w:eastAsia="zh-CN" w:bidi="ar-SA"/>
              </w:rPr>
              <w:t>33</w:t>
            </w:r>
            <w:r>
              <w:rPr>
                <w:rFonts w:hint="default" w:ascii="Times New Roman" w:hAnsi="Times New Roman" w:cs="Times New Roman"/>
                <w:color w:val="auto"/>
                <w:kern w:val="2"/>
                <w:sz w:val="21"/>
                <w:szCs w:val="21"/>
                <w:highlight w:val="none"/>
                <w:u w:val="none" w:color="auto"/>
                <w:lang w:val="en-US" w:eastAsia="zh-CN" w:bidi="ar-SA"/>
              </w:rPr>
              <w:t>′</w:t>
            </w:r>
            <w:r>
              <w:rPr>
                <w:rFonts w:hint="eastAsia" w:cs="Times New Roman"/>
                <w:color w:val="auto"/>
                <w:kern w:val="2"/>
                <w:sz w:val="21"/>
                <w:szCs w:val="21"/>
                <w:highlight w:val="none"/>
                <w:u w:val="none" w:color="auto"/>
                <w:lang w:val="en-US" w:eastAsia="zh-CN" w:bidi="ar-SA"/>
              </w:rPr>
              <w:t>5.62</w:t>
            </w:r>
            <w:r>
              <w:rPr>
                <w:rFonts w:hint="default" w:ascii="Times New Roman" w:hAnsi="Times New Roman" w:cs="Times New Roman"/>
                <w:color w:val="auto"/>
                <w:kern w:val="2"/>
                <w:sz w:val="21"/>
                <w:szCs w:val="21"/>
                <w:highlight w:val="none"/>
                <w:u w:val="none" w:color="auto"/>
                <w:lang w:val="en-US" w:eastAsia="zh-CN" w:bidi="ar-SA"/>
              </w:rPr>
              <w:t>″E；</w:t>
            </w:r>
          </w:p>
          <w:p w14:paraId="4388C74A">
            <w:pPr>
              <w:spacing w:line="240" w:lineRule="auto"/>
              <w:ind w:firstLine="0" w:firstLineChars="0"/>
              <w:jc w:val="center"/>
              <w:rPr>
                <w:rFonts w:hint="eastAsia" w:ascii="Times New Roman" w:hAnsi="Times New Roman" w:cs="Times New Roman"/>
                <w:color w:val="auto"/>
                <w:kern w:val="2"/>
                <w:sz w:val="21"/>
                <w:szCs w:val="21"/>
                <w:highlight w:val="yellow"/>
                <w:u w:val="none" w:color="auto"/>
                <w:lang w:val="en-US" w:eastAsia="zh-CN" w:bidi="ar-SA"/>
              </w:rPr>
            </w:pPr>
            <w:r>
              <w:rPr>
                <w:rFonts w:hint="eastAsia" w:cs="Times New Roman"/>
                <w:color w:val="auto"/>
                <w:kern w:val="2"/>
                <w:sz w:val="21"/>
                <w:szCs w:val="21"/>
                <w:highlight w:val="none"/>
                <w:u w:val="none" w:color="auto"/>
                <w:lang w:val="en-US" w:eastAsia="zh-CN" w:bidi="ar-SA"/>
              </w:rPr>
              <w:t>28</w:t>
            </w:r>
            <w:r>
              <w:rPr>
                <w:rFonts w:hint="default" w:ascii="Times New Roman" w:hAnsi="Times New Roman" w:cs="Times New Roman"/>
                <w:color w:val="auto"/>
                <w:kern w:val="2"/>
                <w:sz w:val="21"/>
                <w:szCs w:val="21"/>
                <w:highlight w:val="none"/>
                <w:u w:val="none" w:color="auto"/>
                <w:lang w:val="en-US" w:eastAsia="zh-CN" w:bidi="ar-SA"/>
              </w:rPr>
              <w:t>°</w:t>
            </w:r>
            <w:r>
              <w:rPr>
                <w:rFonts w:hint="eastAsia" w:cs="Times New Roman"/>
                <w:color w:val="auto"/>
                <w:kern w:val="2"/>
                <w:sz w:val="21"/>
                <w:szCs w:val="21"/>
                <w:highlight w:val="none"/>
                <w:u w:val="none" w:color="auto"/>
                <w:lang w:val="en-US" w:eastAsia="zh-CN" w:bidi="ar-SA"/>
              </w:rPr>
              <w:t>39</w:t>
            </w:r>
            <w:r>
              <w:rPr>
                <w:rFonts w:hint="default" w:ascii="Times New Roman" w:hAnsi="Times New Roman" w:cs="Times New Roman"/>
                <w:color w:val="auto"/>
                <w:kern w:val="2"/>
                <w:sz w:val="21"/>
                <w:szCs w:val="21"/>
                <w:highlight w:val="none"/>
                <w:u w:val="none" w:color="auto"/>
                <w:lang w:val="en-US" w:eastAsia="zh-CN" w:bidi="ar-SA"/>
              </w:rPr>
              <w:t>′</w:t>
            </w:r>
            <w:r>
              <w:rPr>
                <w:rFonts w:hint="eastAsia" w:cs="Times New Roman"/>
                <w:color w:val="auto"/>
                <w:kern w:val="2"/>
                <w:sz w:val="21"/>
                <w:szCs w:val="21"/>
                <w:highlight w:val="none"/>
                <w:u w:val="none" w:color="auto"/>
                <w:lang w:val="en-US" w:eastAsia="zh-CN" w:bidi="ar-SA"/>
              </w:rPr>
              <w:t>2.40</w:t>
            </w:r>
            <w:r>
              <w:rPr>
                <w:rFonts w:hint="default" w:ascii="Times New Roman" w:hAnsi="Times New Roman" w:cs="Times New Roman"/>
                <w:color w:val="auto"/>
                <w:kern w:val="2"/>
                <w:sz w:val="21"/>
                <w:szCs w:val="21"/>
                <w:highlight w:val="none"/>
                <w:u w:val="none" w:color="auto"/>
                <w:lang w:val="en-US" w:eastAsia="zh-CN" w:bidi="ar-SA"/>
              </w:rPr>
              <w:t>″N</w:t>
            </w:r>
          </w:p>
        </w:tc>
        <w:tc>
          <w:tcPr>
            <w:tcW w:w="305" w:type="pct"/>
            <w:shd w:val="clear" w:color="auto" w:fill="auto"/>
            <w:noWrap w:val="0"/>
            <w:vAlign w:val="center"/>
          </w:tcPr>
          <w:p w14:paraId="1B6315E9">
            <w:pPr>
              <w:spacing w:line="240" w:lineRule="auto"/>
              <w:ind w:firstLine="0" w:firstLineChars="0"/>
              <w:jc w:val="center"/>
              <w:rPr>
                <w:rFonts w:hint="eastAsia" w:cs="Times New Roman"/>
                <w:color w:val="auto"/>
                <w:kern w:val="2"/>
                <w:sz w:val="21"/>
                <w:szCs w:val="21"/>
                <w:highlight w:val="none"/>
                <w:u w:val="none" w:color="auto"/>
                <w:lang w:val="en-US" w:eastAsia="zh-CN" w:bidi="ar-SA"/>
              </w:rPr>
            </w:pPr>
            <w:r>
              <w:rPr>
                <w:rFonts w:hint="eastAsia" w:cs="Times New Roman"/>
                <w:color w:val="auto"/>
                <w:kern w:val="2"/>
                <w:sz w:val="21"/>
                <w:szCs w:val="21"/>
                <w:highlight w:val="none"/>
                <w:u w:val="none" w:color="auto"/>
                <w:lang w:val="en-US" w:eastAsia="zh-CN" w:bidi="ar-SA"/>
              </w:rPr>
              <w:t>人群</w:t>
            </w:r>
          </w:p>
        </w:tc>
        <w:tc>
          <w:tcPr>
            <w:tcW w:w="425" w:type="pct"/>
            <w:shd w:val="clear" w:color="auto" w:fill="auto"/>
            <w:noWrap w:val="0"/>
            <w:vAlign w:val="center"/>
          </w:tcPr>
          <w:p w14:paraId="7BDF37E4">
            <w:pPr>
              <w:spacing w:line="240" w:lineRule="auto"/>
              <w:ind w:firstLine="0" w:firstLineChars="0"/>
              <w:jc w:val="center"/>
              <w:rPr>
                <w:rFonts w:hint="eastAsia" w:cs="Times New Roman"/>
                <w:color w:val="auto"/>
                <w:kern w:val="2"/>
                <w:sz w:val="21"/>
                <w:szCs w:val="21"/>
                <w:highlight w:val="none"/>
                <w:u w:val="none" w:color="auto"/>
                <w:lang w:val="en-US" w:eastAsia="zh-CN" w:bidi="ar-SA"/>
              </w:rPr>
            </w:pPr>
            <w:r>
              <w:rPr>
                <w:rFonts w:hint="eastAsia" w:cs="Times New Roman"/>
                <w:color w:val="auto"/>
                <w:kern w:val="2"/>
                <w:sz w:val="21"/>
                <w:szCs w:val="21"/>
                <w:highlight w:val="none"/>
                <w:u w:val="none" w:color="auto"/>
                <w:lang w:val="en-US" w:eastAsia="zh-CN" w:bidi="ar-SA"/>
              </w:rPr>
              <w:t>村庄</w:t>
            </w:r>
          </w:p>
        </w:tc>
        <w:tc>
          <w:tcPr>
            <w:tcW w:w="1050" w:type="pct"/>
            <w:vMerge w:val="continue"/>
            <w:noWrap w:val="0"/>
            <w:vAlign w:val="center"/>
          </w:tcPr>
          <w:p w14:paraId="1F869A7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yellow"/>
                <w:u w:val="none" w:color="auto"/>
                <w:lang w:val="en-US" w:eastAsia="zh-CN"/>
              </w:rPr>
            </w:pPr>
          </w:p>
        </w:tc>
        <w:tc>
          <w:tcPr>
            <w:tcW w:w="520" w:type="pct"/>
            <w:noWrap w:val="0"/>
            <w:vAlign w:val="center"/>
          </w:tcPr>
          <w:p w14:paraId="5BB9CACE">
            <w:pPr>
              <w:spacing w:line="240" w:lineRule="auto"/>
              <w:ind w:firstLine="0" w:firstLineChars="0"/>
              <w:jc w:val="center"/>
              <w:rPr>
                <w:rFonts w:hint="default" w:cs="Times New Roman"/>
                <w:color w:val="auto"/>
                <w:kern w:val="2"/>
                <w:sz w:val="21"/>
                <w:szCs w:val="21"/>
                <w:highlight w:val="none"/>
                <w:u w:val="none" w:color="auto"/>
                <w:lang w:val="en-US" w:eastAsia="zh-CN" w:bidi="ar-SA"/>
              </w:rPr>
            </w:pPr>
            <w:r>
              <w:rPr>
                <w:rFonts w:hint="eastAsia" w:cs="Times New Roman"/>
                <w:color w:val="auto"/>
                <w:kern w:val="2"/>
                <w:sz w:val="21"/>
                <w:szCs w:val="21"/>
                <w:highlight w:val="none"/>
                <w:u w:val="none" w:color="auto"/>
                <w:lang w:val="en-US" w:eastAsia="zh-CN" w:bidi="ar-SA"/>
              </w:rPr>
              <w:t>北</w:t>
            </w:r>
          </w:p>
        </w:tc>
        <w:tc>
          <w:tcPr>
            <w:tcW w:w="533" w:type="pct"/>
            <w:noWrap w:val="0"/>
            <w:vAlign w:val="center"/>
          </w:tcPr>
          <w:p w14:paraId="0F66ACF2">
            <w:pPr>
              <w:spacing w:line="240" w:lineRule="auto"/>
              <w:ind w:firstLine="0" w:firstLineChars="0"/>
              <w:jc w:val="center"/>
              <w:rPr>
                <w:rFonts w:hint="default" w:cs="Times New Roman"/>
                <w:color w:val="auto"/>
                <w:kern w:val="2"/>
                <w:sz w:val="21"/>
                <w:szCs w:val="21"/>
                <w:highlight w:val="none"/>
                <w:u w:val="none" w:color="auto"/>
                <w:lang w:val="en-US" w:eastAsia="zh-CN" w:bidi="ar-SA"/>
              </w:rPr>
            </w:pPr>
            <w:r>
              <w:rPr>
                <w:rFonts w:hint="eastAsia" w:cs="Times New Roman"/>
                <w:color w:val="auto"/>
                <w:kern w:val="2"/>
                <w:sz w:val="21"/>
                <w:szCs w:val="21"/>
                <w:highlight w:val="none"/>
                <w:u w:val="none" w:color="auto"/>
                <w:lang w:val="en-US" w:eastAsia="zh-CN" w:bidi="ar-SA"/>
              </w:rPr>
              <w:t>紧邻</w:t>
            </w:r>
          </w:p>
        </w:tc>
        <w:tc>
          <w:tcPr>
            <w:tcW w:w="590" w:type="pct"/>
            <w:noWrap w:val="0"/>
            <w:vAlign w:val="center"/>
          </w:tcPr>
          <w:p w14:paraId="157BD522">
            <w:pPr>
              <w:spacing w:line="240" w:lineRule="auto"/>
              <w:ind w:firstLine="0" w:firstLineChars="0"/>
              <w:jc w:val="center"/>
              <w:rPr>
                <w:rFonts w:hint="eastAsia" w:cs="Times New Roman"/>
                <w:color w:val="auto"/>
                <w:kern w:val="2"/>
                <w:sz w:val="21"/>
                <w:szCs w:val="21"/>
                <w:highlight w:val="none"/>
                <w:u w:val="none" w:color="auto"/>
                <w:lang w:val="en-US" w:eastAsia="zh-CN" w:bidi="ar-SA"/>
              </w:rPr>
            </w:pPr>
            <w:r>
              <w:rPr>
                <w:rFonts w:hint="eastAsia" w:cs="Times New Roman"/>
                <w:color w:val="auto"/>
                <w:kern w:val="2"/>
                <w:sz w:val="21"/>
                <w:szCs w:val="21"/>
                <w:highlight w:val="none"/>
                <w:u w:val="none" w:color="auto"/>
                <w:lang w:val="en-US" w:eastAsia="zh-CN" w:bidi="ar-SA"/>
              </w:rPr>
              <w:t>约5户</w:t>
            </w:r>
          </w:p>
        </w:tc>
      </w:tr>
      <w:tr w14:paraId="27899CC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746" w:type="pct"/>
            <w:noWrap w:val="0"/>
            <w:vAlign w:val="center"/>
          </w:tcPr>
          <w:p w14:paraId="21A02526">
            <w:pPr>
              <w:spacing w:line="360" w:lineRule="auto"/>
              <w:ind w:firstLine="0" w:firstLineChars="0"/>
              <w:jc w:val="center"/>
              <w:rPr>
                <w:rFonts w:hint="default" w:ascii="Times New Roman" w:hAnsi="Times New Roman" w:eastAsia="宋体" w:cs="Times New Roman"/>
                <w:color w:val="auto"/>
                <w:sz w:val="21"/>
                <w:szCs w:val="21"/>
                <w:highlight w:val="none"/>
                <w:u w:val="none" w:color="auto"/>
                <w:lang w:val="en-US" w:eastAsia="zh-CN"/>
              </w:rPr>
            </w:pPr>
            <w:r>
              <w:rPr>
                <w:rFonts w:hint="eastAsia" w:cs="Times New Roman"/>
                <w:b/>
                <w:bCs/>
                <w:color w:val="auto"/>
                <w:sz w:val="21"/>
                <w:szCs w:val="21"/>
                <w:highlight w:val="none"/>
                <w:u w:val="none" w:color="auto"/>
                <w:lang w:val="en-US" w:eastAsia="zh-CN"/>
              </w:rPr>
              <w:t>二</w:t>
            </w:r>
          </w:p>
        </w:tc>
        <w:tc>
          <w:tcPr>
            <w:tcW w:w="4253" w:type="pct"/>
            <w:gridSpan w:val="7"/>
            <w:noWrap w:val="0"/>
            <w:vAlign w:val="center"/>
          </w:tcPr>
          <w:p w14:paraId="08985949">
            <w:pPr>
              <w:spacing w:line="360" w:lineRule="auto"/>
              <w:ind w:firstLine="0" w:firstLineChars="0"/>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cs="Times New Roman"/>
                <w:b/>
                <w:bCs/>
                <w:color w:val="auto"/>
                <w:sz w:val="21"/>
                <w:szCs w:val="21"/>
                <w:highlight w:val="none"/>
                <w:u w:val="none" w:color="auto"/>
              </w:rPr>
              <w:t>声环境</w:t>
            </w:r>
          </w:p>
        </w:tc>
      </w:tr>
      <w:tr w14:paraId="6F27D6E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5000" w:type="pct"/>
            <w:gridSpan w:val="8"/>
            <w:noWrap w:val="0"/>
            <w:vAlign w:val="center"/>
          </w:tcPr>
          <w:p w14:paraId="1501B1CC">
            <w:pPr>
              <w:spacing w:line="240" w:lineRule="auto"/>
              <w:ind w:firstLine="0" w:firstLineChars="0"/>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厂界外200m范围</w:t>
            </w:r>
            <w:r>
              <w:rPr>
                <w:rFonts w:hint="eastAsia" w:cs="Times New Roman"/>
                <w:color w:val="auto"/>
                <w:sz w:val="21"/>
                <w:szCs w:val="21"/>
                <w:highlight w:val="none"/>
                <w:u w:val="none" w:color="auto"/>
                <w:lang w:val="en-US" w:eastAsia="zh-CN"/>
              </w:rPr>
              <w:t>内无声环境保护目标。</w:t>
            </w:r>
          </w:p>
        </w:tc>
      </w:tr>
    </w:tbl>
    <w:p w14:paraId="077AF155">
      <w:pPr>
        <w:ind w:left="0" w:leftChars="0" w:firstLine="0" w:firstLineChars="0"/>
        <w:jc w:val="center"/>
        <w:rPr>
          <w:rFonts w:hint="eastAsia"/>
          <w:b/>
          <w:bCs/>
          <w:sz w:val="21"/>
          <w:szCs w:val="21"/>
          <w:highlight w:val="none"/>
          <w:lang w:val="en-US" w:eastAsia="zh-CN"/>
        </w:rPr>
      </w:pPr>
      <w:r>
        <w:rPr>
          <w:rFonts w:hint="eastAsia"/>
          <w:b/>
          <w:bCs/>
          <w:sz w:val="21"/>
          <w:szCs w:val="21"/>
          <w:highlight w:val="none"/>
          <w:lang w:val="en-US" w:eastAsia="zh-CN"/>
        </w:rPr>
        <w:t>表2.6-2  地表水、地下水、土壤及生态环境保护目标一览表</w:t>
      </w:r>
    </w:p>
    <w:tbl>
      <w:tblPr>
        <w:tblStyle w:val="106"/>
        <w:tblW w:w="5126"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0" w:type="dxa"/>
          <w:bottom w:w="0" w:type="dxa"/>
          <w:right w:w="0" w:type="dxa"/>
        </w:tblCellMar>
      </w:tblPr>
      <w:tblGrid>
        <w:gridCol w:w="968"/>
        <w:gridCol w:w="1579"/>
        <w:gridCol w:w="1724"/>
        <w:gridCol w:w="1399"/>
        <w:gridCol w:w="3604"/>
      </w:tblGrid>
      <w:tr w14:paraId="7363A6B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3" w:hRule="atLeast"/>
          <w:tblHeader/>
        </w:trPr>
        <w:tc>
          <w:tcPr>
            <w:tcW w:w="522" w:type="pct"/>
            <w:vAlign w:val="center"/>
          </w:tcPr>
          <w:p w14:paraId="51704F0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b/>
                <w:bCs/>
                <w:sz w:val="21"/>
                <w:szCs w:val="21"/>
                <w:highlight w:val="none"/>
                <w:lang w:val="en-US" w:eastAsia="zh-CN"/>
              </w:rPr>
            </w:pPr>
            <w:r>
              <w:rPr>
                <w:rFonts w:hint="eastAsia"/>
                <w:b/>
                <w:bCs/>
                <w:sz w:val="21"/>
                <w:szCs w:val="21"/>
                <w:highlight w:val="none"/>
                <w:lang w:val="en-US" w:eastAsia="zh-CN"/>
              </w:rPr>
              <w:t>环境要素</w:t>
            </w:r>
          </w:p>
        </w:tc>
        <w:tc>
          <w:tcPr>
            <w:tcW w:w="851" w:type="pct"/>
            <w:vAlign w:val="center"/>
          </w:tcPr>
          <w:p w14:paraId="5207B04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b/>
                <w:bCs/>
                <w:sz w:val="21"/>
                <w:szCs w:val="21"/>
                <w:highlight w:val="none"/>
                <w:lang w:val="en-US" w:eastAsia="zh-CN"/>
              </w:rPr>
            </w:pPr>
            <w:r>
              <w:rPr>
                <w:rFonts w:hint="eastAsia"/>
                <w:b/>
                <w:bCs/>
                <w:sz w:val="21"/>
                <w:szCs w:val="21"/>
                <w:highlight w:val="none"/>
                <w:lang w:val="en-US" w:eastAsia="zh-CN"/>
              </w:rPr>
              <w:t>环境保护目标</w:t>
            </w:r>
          </w:p>
        </w:tc>
        <w:tc>
          <w:tcPr>
            <w:tcW w:w="929" w:type="pct"/>
            <w:vAlign w:val="center"/>
          </w:tcPr>
          <w:p w14:paraId="20474BC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b/>
                <w:bCs/>
                <w:sz w:val="21"/>
                <w:szCs w:val="21"/>
                <w:highlight w:val="none"/>
                <w:lang w:val="en-US" w:eastAsia="zh-CN"/>
              </w:rPr>
            </w:pPr>
            <w:r>
              <w:rPr>
                <w:rFonts w:hint="eastAsia"/>
                <w:b/>
                <w:bCs/>
                <w:sz w:val="21"/>
                <w:szCs w:val="21"/>
                <w:highlight w:val="none"/>
                <w:lang w:val="en-US" w:eastAsia="zh-CN"/>
              </w:rPr>
              <w:t>与项目相对方位和距离</w:t>
            </w:r>
          </w:p>
        </w:tc>
        <w:tc>
          <w:tcPr>
            <w:tcW w:w="753" w:type="pct"/>
            <w:vAlign w:val="center"/>
          </w:tcPr>
          <w:p w14:paraId="1AC6623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b/>
                <w:bCs/>
                <w:sz w:val="21"/>
                <w:szCs w:val="21"/>
                <w:highlight w:val="none"/>
                <w:lang w:val="en-US" w:eastAsia="zh-CN"/>
              </w:rPr>
            </w:pPr>
            <w:r>
              <w:rPr>
                <w:rFonts w:hint="eastAsia"/>
                <w:b/>
                <w:bCs/>
                <w:sz w:val="21"/>
                <w:szCs w:val="21"/>
                <w:highlight w:val="none"/>
                <w:lang w:val="en-US" w:eastAsia="zh-CN"/>
              </w:rPr>
              <w:t>功能/规模</w:t>
            </w:r>
          </w:p>
        </w:tc>
        <w:tc>
          <w:tcPr>
            <w:tcW w:w="1942" w:type="pct"/>
            <w:vAlign w:val="center"/>
          </w:tcPr>
          <w:p w14:paraId="4A0F669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b/>
                <w:bCs/>
                <w:sz w:val="21"/>
                <w:szCs w:val="21"/>
                <w:highlight w:val="none"/>
                <w:lang w:val="en-US" w:eastAsia="zh-CN"/>
              </w:rPr>
            </w:pPr>
            <w:r>
              <w:rPr>
                <w:rFonts w:hint="eastAsia"/>
                <w:b/>
                <w:bCs/>
                <w:sz w:val="21"/>
                <w:szCs w:val="21"/>
                <w:highlight w:val="none"/>
                <w:lang w:val="en-US" w:eastAsia="zh-CN"/>
              </w:rPr>
              <w:t>保护对象及等级</w:t>
            </w:r>
          </w:p>
        </w:tc>
      </w:tr>
      <w:tr w14:paraId="2CFC71C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522" w:type="pct"/>
            <w:vMerge w:val="restart"/>
            <w:vAlign w:val="center"/>
          </w:tcPr>
          <w:p w14:paraId="4B2C342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地表水</w:t>
            </w:r>
          </w:p>
          <w:p w14:paraId="290E80E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环境</w:t>
            </w:r>
          </w:p>
        </w:tc>
        <w:tc>
          <w:tcPr>
            <w:tcW w:w="851" w:type="pct"/>
            <w:vAlign w:val="center"/>
          </w:tcPr>
          <w:p w14:paraId="4EDE5D8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山涧小溪</w:t>
            </w:r>
          </w:p>
        </w:tc>
        <w:tc>
          <w:tcPr>
            <w:tcW w:w="929" w:type="pct"/>
            <w:vAlign w:val="center"/>
          </w:tcPr>
          <w:p w14:paraId="727FC1F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lang w:val="en-US" w:eastAsia="zh-CN"/>
              </w:rPr>
            </w:pPr>
            <w:r>
              <w:rPr>
                <w:rFonts w:hint="eastAsia"/>
                <w:sz w:val="21"/>
                <w:szCs w:val="21"/>
                <w:highlight w:val="none"/>
                <w:lang w:val="en-US" w:eastAsia="zh-CN"/>
              </w:rPr>
              <w:t>东，紧邻</w:t>
            </w:r>
          </w:p>
        </w:tc>
        <w:tc>
          <w:tcPr>
            <w:tcW w:w="753" w:type="pct"/>
            <w:vAlign w:val="center"/>
          </w:tcPr>
          <w:p w14:paraId="1CB6387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lang w:val="en-US" w:eastAsia="zh-CN"/>
              </w:rPr>
            </w:pPr>
            <w:r>
              <w:rPr>
                <w:rFonts w:hint="eastAsia"/>
                <w:sz w:val="21"/>
                <w:szCs w:val="21"/>
                <w:highlight w:val="none"/>
                <w:lang w:val="en-US" w:eastAsia="zh-CN"/>
              </w:rPr>
              <w:t>/</w:t>
            </w:r>
          </w:p>
        </w:tc>
        <w:tc>
          <w:tcPr>
            <w:tcW w:w="1942" w:type="pct"/>
            <w:vMerge w:val="restart"/>
            <w:vAlign w:val="center"/>
          </w:tcPr>
          <w:p w14:paraId="469964D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《地表水环境质量标准》（GB3838-2002）</w:t>
            </w:r>
            <w:r>
              <w:rPr>
                <w:rFonts w:hint="default" w:ascii="Times New Roman" w:hAnsi="Times New Roman" w:cs="Times New Roman"/>
                <w:sz w:val="21"/>
                <w:szCs w:val="21"/>
                <w:highlight w:val="none"/>
                <w:lang w:val="en-US" w:eastAsia="zh-CN"/>
              </w:rPr>
              <w:t>Ⅲ</w:t>
            </w:r>
            <w:r>
              <w:rPr>
                <w:rFonts w:hint="eastAsia"/>
                <w:sz w:val="21"/>
                <w:szCs w:val="21"/>
                <w:highlight w:val="none"/>
                <w:lang w:val="en-US" w:eastAsia="zh-CN"/>
              </w:rPr>
              <w:t>类标准</w:t>
            </w:r>
          </w:p>
        </w:tc>
      </w:tr>
      <w:tr w14:paraId="6E24AC4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12" w:hRule="atLeast"/>
        </w:trPr>
        <w:tc>
          <w:tcPr>
            <w:tcW w:w="522" w:type="pct"/>
            <w:vMerge w:val="continue"/>
            <w:vAlign w:val="center"/>
          </w:tcPr>
          <w:p w14:paraId="7AA1A3D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yellow"/>
                <w:lang w:val="en-US" w:eastAsia="zh-CN"/>
              </w:rPr>
            </w:pPr>
          </w:p>
        </w:tc>
        <w:tc>
          <w:tcPr>
            <w:tcW w:w="851" w:type="pct"/>
            <w:vAlign w:val="center"/>
          </w:tcPr>
          <w:p w14:paraId="555F684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lang w:val="en-US" w:eastAsia="zh-CN"/>
              </w:rPr>
            </w:pPr>
            <w:r>
              <w:rPr>
                <w:rFonts w:hint="eastAsia"/>
                <w:sz w:val="21"/>
                <w:szCs w:val="21"/>
                <w:highlight w:val="none"/>
                <w:lang w:val="en-US" w:eastAsia="zh-CN"/>
              </w:rPr>
              <w:t>垂拱水库</w:t>
            </w:r>
          </w:p>
        </w:tc>
        <w:tc>
          <w:tcPr>
            <w:tcW w:w="929" w:type="pct"/>
            <w:vAlign w:val="center"/>
          </w:tcPr>
          <w:p w14:paraId="3434E0B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lang w:val="en-US" w:eastAsia="zh-CN"/>
              </w:rPr>
            </w:pPr>
            <w:r>
              <w:rPr>
                <w:rFonts w:hint="eastAsia"/>
                <w:sz w:val="21"/>
                <w:szCs w:val="21"/>
                <w:highlight w:val="none"/>
                <w:lang w:val="en-US" w:eastAsia="zh-CN"/>
              </w:rPr>
              <w:t>东北，530m</w:t>
            </w:r>
          </w:p>
        </w:tc>
        <w:tc>
          <w:tcPr>
            <w:tcW w:w="753" w:type="pct"/>
            <w:vAlign w:val="center"/>
          </w:tcPr>
          <w:p w14:paraId="233B76F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lang w:val="en-US" w:eastAsia="zh-CN"/>
              </w:rPr>
            </w:pPr>
            <w:r>
              <w:rPr>
                <w:rFonts w:hint="eastAsia"/>
                <w:sz w:val="21"/>
                <w:szCs w:val="21"/>
                <w:highlight w:val="none"/>
                <w:lang w:val="en-US" w:eastAsia="zh-CN"/>
              </w:rPr>
              <w:t>水库，灌溉</w:t>
            </w:r>
          </w:p>
        </w:tc>
        <w:tc>
          <w:tcPr>
            <w:tcW w:w="1942" w:type="pct"/>
            <w:vMerge w:val="continue"/>
            <w:vAlign w:val="center"/>
          </w:tcPr>
          <w:p w14:paraId="10CBFD7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yellow"/>
                <w:lang w:val="en-US" w:eastAsia="zh-CN"/>
              </w:rPr>
            </w:pPr>
          </w:p>
        </w:tc>
      </w:tr>
      <w:tr w14:paraId="6EA2B53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522" w:type="pct"/>
            <w:vAlign w:val="center"/>
          </w:tcPr>
          <w:p w14:paraId="0ABB2DD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地下水</w:t>
            </w:r>
          </w:p>
          <w:p w14:paraId="35E4708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环境</w:t>
            </w:r>
          </w:p>
        </w:tc>
        <w:tc>
          <w:tcPr>
            <w:tcW w:w="2534" w:type="pct"/>
            <w:gridSpan w:val="3"/>
            <w:vAlign w:val="center"/>
          </w:tcPr>
          <w:p w14:paraId="509A103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项目所在地区域20km</w:t>
            </w:r>
            <w:r>
              <w:rPr>
                <w:rFonts w:hint="eastAsia"/>
                <w:sz w:val="21"/>
                <w:szCs w:val="21"/>
                <w:highlight w:val="none"/>
                <w:vertAlign w:val="superscript"/>
                <w:lang w:val="en-US" w:eastAsia="zh-CN"/>
              </w:rPr>
              <w:t>2</w:t>
            </w:r>
            <w:r>
              <w:rPr>
                <w:rFonts w:hint="eastAsia"/>
                <w:sz w:val="21"/>
                <w:szCs w:val="21"/>
                <w:highlight w:val="none"/>
                <w:lang w:val="en-US" w:eastAsia="zh-CN"/>
              </w:rPr>
              <w:t>范围地下含水层</w:t>
            </w:r>
          </w:p>
        </w:tc>
        <w:tc>
          <w:tcPr>
            <w:tcW w:w="1942" w:type="pct"/>
            <w:vAlign w:val="center"/>
          </w:tcPr>
          <w:p w14:paraId="3A6AD06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《地下水质量标准》（GB/T14848-2017）</w:t>
            </w:r>
            <w:r>
              <w:rPr>
                <w:rFonts w:hint="default" w:ascii="Times New Roman" w:hAnsi="Times New Roman" w:eastAsia="宋体" w:cs="Times New Roman"/>
                <w:sz w:val="21"/>
                <w:szCs w:val="21"/>
                <w:highlight w:val="none"/>
                <w:lang w:val="en-US" w:eastAsia="zh-CN"/>
              </w:rPr>
              <w:t>Ⅲ</w:t>
            </w:r>
            <w:r>
              <w:rPr>
                <w:rFonts w:hint="default" w:ascii="Times New Roman" w:hAnsi="Times New Roman" w:cs="Times New Roman"/>
                <w:sz w:val="21"/>
                <w:szCs w:val="21"/>
                <w:highlight w:val="none"/>
                <w:lang w:val="en-US" w:eastAsia="zh-CN"/>
              </w:rPr>
              <w:t>类</w:t>
            </w:r>
          </w:p>
        </w:tc>
      </w:tr>
      <w:tr w14:paraId="4D07F82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522" w:type="pct"/>
            <w:vAlign w:val="center"/>
          </w:tcPr>
          <w:p w14:paraId="52B51D0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土壤环境</w:t>
            </w:r>
          </w:p>
        </w:tc>
        <w:tc>
          <w:tcPr>
            <w:tcW w:w="2534" w:type="pct"/>
            <w:gridSpan w:val="3"/>
            <w:vAlign w:val="center"/>
          </w:tcPr>
          <w:p w14:paraId="09CB8D6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lang w:val="en-US" w:eastAsia="zh-CN"/>
              </w:rPr>
            </w:pPr>
            <w:r>
              <w:rPr>
                <w:rFonts w:hint="eastAsia"/>
                <w:sz w:val="21"/>
                <w:szCs w:val="21"/>
                <w:highlight w:val="none"/>
                <w:lang w:val="en-US" w:eastAsia="zh-CN"/>
              </w:rPr>
              <w:t>项目占地及占地范围外200m范围内林地、农田等</w:t>
            </w:r>
          </w:p>
        </w:tc>
        <w:tc>
          <w:tcPr>
            <w:tcW w:w="1942" w:type="pct"/>
            <w:vAlign w:val="center"/>
          </w:tcPr>
          <w:p w14:paraId="2F23B00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《土壤环境质量  建设用地土壤污染风险管控标准（试行）》（GB36600-2018）第二类用地筛选值、《土壤环境质量标准  农用地土壤污染风险管控标准（试行）》（GB15618-2018）中的表1</w:t>
            </w:r>
          </w:p>
        </w:tc>
      </w:tr>
      <w:tr w14:paraId="3718A9F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522" w:type="pct"/>
            <w:vAlign w:val="center"/>
          </w:tcPr>
          <w:p w14:paraId="371FE34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lang w:val="en-US" w:eastAsia="zh-CN"/>
              </w:rPr>
            </w:pPr>
            <w:r>
              <w:rPr>
                <w:rFonts w:hint="eastAsia"/>
                <w:sz w:val="21"/>
                <w:szCs w:val="21"/>
                <w:highlight w:val="none"/>
                <w:lang w:val="en-US" w:eastAsia="zh-CN"/>
              </w:rPr>
              <w:t>生态环境</w:t>
            </w:r>
          </w:p>
        </w:tc>
        <w:tc>
          <w:tcPr>
            <w:tcW w:w="2534" w:type="pct"/>
            <w:gridSpan w:val="3"/>
            <w:vAlign w:val="center"/>
          </w:tcPr>
          <w:p w14:paraId="008E79C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lang w:val="en-US" w:eastAsia="zh-CN"/>
              </w:rPr>
            </w:pPr>
            <w:r>
              <w:rPr>
                <w:rFonts w:hint="default" w:ascii="Times New Roman" w:hAnsi="Times New Roman" w:eastAsia="宋体" w:cs="Times New Roman"/>
                <w:color w:val="auto"/>
                <w:kern w:val="2"/>
                <w:sz w:val="21"/>
                <w:szCs w:val="21"/>
                <w:highlight w:val="none"/>
                <w:u w:val="none" w:color="auto"/>
                <w:lang w:val="en-US" w:eastAsia="zh-CN" w:bidi="ar-SA"/>
              </w:rPr>
              <w:t>占地范围内全部以及占地范围外</w:t>
            </w:r>
            <w:r>
              <w:rPr>
                <w:rFonts w:hint="eastAsia" w:cs="Times New Roman"/>
                <w:color w:val="auto"/>
                <w:kern w:val="2"/>
                <w:sz w:val="21"/>
                <w:szCs w:val="21"/>
                <w:highlight w:val="none"/>
                <w:u w:val="none" w:color="auto"/>
                <w:lang w:val="en-US" w:eastAsia="zh-CN" w:bidi="ar-SA"/>
              </w:rPr>
              <w:t>500m</w:t>
            </w:r>
            <w:r>
              <w:rPr>
                <w:rFonts w:hint="default" w:ascii="Times New Roman" w:hAnsi="Times New Roman" w:eastAsia="宋体" w:cs="Times New Roman"/>
                <w:color w:val="auto"/>
                <w:kern w:val="2"/>
                <w:sz w:val="21"/>
                <w:szCs w:val="21"/>
                <w:highlight w:val="none"/>
                <w:u w:val="none" w:color="auto"/>
                <w:lang w:val="en-US" w:eastAsia="zh-CN" w:bidi="ar-SA"/>
              </w:rPr>
              <w:t>范围内</w:t>
            </w:r>
            <w:r>
              <w:rPr>
                <w:rFonts w:hint="eastAsia" w:cs="Times New Roman"/>
                <w:color w:val="auto"/>
                <w:kern w:val="2"/>
                <w:sz w:val="21"/>
                <w:szCs w:val="21"/>
                <w:highlight w:val="none"/>
                <w:u w:val="none" w:color="auto"/>
                <w:lang w:val="en-US" w:eastAsia="zh-CN" w:bidi="ar-SA"/>
              </w:rPr>
              <w:t>植被及动物</w:t>
            </w:r>
            <w:r>
              <w:rPr>
                <w:rFonts w:hint="eastAsia"/>
                <w:sz w:val="21"/>
                <w:szCs w:val="21"/>
                <w:highlight w:val="none"/>
                <w:lang w:val="en-US" w:eastAsia="zh-CN"/>
              </w:rPr>
              <w:t>等</w:t>
            </w:r>
          </w:p>
        </w:tc>
        <w:tc>
          <w:tcPr>
            <w:tcW w:w="1942" w:type="pct"/>
            <w:vAlign w:val="center"/>
          </w:tcPr>
          <w:p w14:paraId="3F28D97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lang w:val="en-US" w:eastAsia="zh-CN"/>
              </w:rPr>
            </w:pPr>
            <w:r>
              <w:rPr>
                <w:rFonts w:hint="eastAsia"/>
                <w:sz w:val="21"/>
                <w:szCs w:val="21"/>
                <w:highlight w:val="none"/>
                <w:lang w:val="en-US" w:eastAsia="zh-CN"/>
              </w:rPr>
              <w:t>根据生态现状调查，本项目评价范围内容不涉及重点保护植物和古树名木、动物中无国家重点保护野生种</w:t>
            </w:r>
          </w:p>
        </w:tc>
      </w:tr>
    </w:tbl>
    <w:p w14:paraId="58AF94A0">
      <w:pPr>
        <w:rPr>
          <w:rFonts w:hint="eastAsia"/>
          <w:highlight w:val="yellow"/>
          <w:lang w:val="en-US" w:eastAsia="zh-CN"/>
        </w:rPr>
      </w:pPr>
      <w:r>
        <w:rPr>
          <w:rFonts w:hint="eastAsia"/>
          <w:highlight w:val="yellow"/>
          <w:lang w:val="en-US" w:eastAsia="zh-CN"/>
        </w:rPr>
        <w:br w:type="page"/>
      </w:r>
    </w:p>
    <w:p w14:paraId="709F7245">
      <w:pPr>
        <w:pStyle w:val="7"/>
        <w:bidi w:val="0"/>
        <w:jc w:val="center"/>
        <w:rPr>
          <w:rFonts w:hint="eastAsia"/>
          <w:highlight w:val="none"/>
          <w:lang w:val="en-US" w:eastAsia="zh-CN"/>
        </w:rPr>
      </w:pPr>
      <w:bookmarkStart w:id="31" w:name="_Toc26167"/>
      <w:r>
        <w:rPr>
          <w:rFonts w:hint="eastAsia"/>
          <w:highlight w:val="none"/>
          <w:lang w:val="en-US" w:eastAsia="zh-CN"/>
        </w:rPr>
        <w:t>建设项目工程分析</w:t>
      </w:r>
      <w:bookmarkEnd w:id="31"/>
    </w:p>
    <w:p w14:paraId="0D4ECBAC">
      <w:pPr>
        <w:pStyle w:val="8"/>
        <w:numPr>
          <w:ilvl w:val="1"/>
          <w:numId w:val="1"/>
        </w:numPr>
        <w:tabs>
          <w:tab w:val="clear" w:pos="420"/>
        </w:tabs>
        <w:bidi w:val="0"/>
        <w:ind w:left="567" w:leftChars="0" w:hanging="567" w:firstLineChars="0"/>
        <w:rPr>
          <w:rFonts w:hint="default"/>
          <w:highlight w:val="none"/>
          <w:lang w:val="en-US" w:eastAsia="zh-CN"/>
        </w:rPr>
      </w:pPr>
      <w:bookmarkStart w:id="32" w:name="_Toc29300"/>
      <w:r>
        <w:rPr>
          <w:rFonts w:hint="eastAsia"/>
          <w:highlight w:val="none"/>
          <w:lang w:val="en-US" w:eastAsia="zh-CN"/>
        </w:rPr>
        <w:t>项目概况</w:t>
      </w:r>
      <w:bookmarkEnd w:id="32"/>
    </w:p>
    <w:p w14:paraId="779D3F92">
      <w:pPr>
        <w:pStyle w:val="9"/>
        <w:numPr>
          <w:ilvl w:val="2"/>
          <w:numId w:val="1"/>
        </w:numPr>
        <w:bidi w:val="0"/>
        <w:ind w:left="709" w:leftChars="0" w:hanging="709" w:firstLineChars="0"/>
        <w:rPr>
          <w:rFonts w:hint="default"/>
          <w:lang w:val="en-US" w:eastAsia="zh-CN"/>
        </w:rPr>
      </w:pPr>
      <w:r>
        <w:rPr>
          <w:rFonts w:hint="eastAsia"/>
          <w:lang w:val="en-US" w:eastAsia="zh-CN"/>
        </w:rPr>
        <w:t>地块现状概况</w:t>
      </w:r>
    </w:p>
    <w:p w14:paraId="281403F9">
      <w:pPr>
        <w:pStyle w:val="10"/>
        <w:numPr>
          <w:ilvl w:val="3"/>
          <w:numId w:val="1"/>
        </w:numPr>
        <w:bidi w:val="0"/>
        <w:ind w:left="850" w:leftChars="0" w:hanging="850" w:firstLineChars="0"/>
        <w:rPr>
          <w:rFonts w:hint="eastAsia"/>
          <w:lang w:val="en-US" w:eastAsia="zh-CN"/>
        </w:rPr>
      </w:pPr>
      <w:r>
        <w:rPr>
          <w:rFonts w:hint="eastAsia"/>
          <w:lang w:val="en-US" w:eastAsia="zh-CN"/>
        </w:rPr>
        <w:t>地块相关历史使用情况</w:t>
      </w:r>
    </w:p>
    <w:p w14:paraId="220B6410">
      <w:pPr>
        <w:rPr>
          <w:rFonts w:hint="default"/>
          <w:b/>
          <w:bCs/>
          <w:highlight w:val="none"/>
          <w:lang w:val="en-US" w:eastAsia="zh-CN"/>
        </w:rPr>
      </w:pPr>
      <w:r>
        <w:rPr>
          <w:rFonts w:hint="eastAsia"/>
          <w:b/>
          <w:bCs/>
          <w:highlight w:val="none"/>
          <w:lang w:val="en-US" w:eastAsia="zh-CN"/>
        </w:rPr>
        <w:t>（1）地块历史情况</w:t>
      </w:r>
    </w:p>
    <w:p w14:paraId="1248EE3D">
      <w:pPr>
        <w:rPr>
          <w:rFonts w:hint="eastAsia"/>
          <w:highlight w:val="none"/>
          <w:lang w:val="en-US" w:eastAsia="zh-CN"/>
        </w:rPr>
      </w:pPr>
      <w:r>
        <w:rPr>
          <w:rFonts w:hint="eastAsia"/>
          <w:highlight w:val="none"/>
          <w:lang w:val="en-US" w:eastAsia="zh-CN"/>
        </w:rPr>
        <w:t>平江县地处山区，矿产资源较为丰富，具有矿种多，分布相对集中的特点，矿产资源丰富，属湖南省第二大产金县。项目地块位于平江县三阳乡南尧村，在“国有民采，有水快流”的大背景下，南尧村全民采矿、私采滥挖的采矿现象严重。据调查，上世纪九十年代该区域金矿无序开采，采矿初期同时进行少量冶炼，万南尧村当地村民私自肆意开采达到高峰期，大大小小采矿点遍布山头，开采后的尾砂随意堆放，至1994年村民停采后，开采过程中遗留尾矿及矿渣一直无序堆积在矿区周边范围，未采取任何拦挡和防治措施，裸露矿渣遭雨水冲刷淋溶后的废水，顺势随地形进入周边地表水体，对下游居民的灌溉用水和生活饮用水带来极大的健康安全隐患。</w:t>
      </w:r>
    </w:p>
    <w:p w14:paraId="5B0823E8">
      <w:pPr>
        <w:rPr>
          <w:rFonts w:hint="default"/>
          <w:highlight w:val="none"/>
          <w:lang w:val="en-US" w:eastAsia="zh-CN"/>
        </w:rPr>
      </w:pPr>
      <w:r>
        <w:rPr>
          <w:rFonts w:hint="eastAsia"/>
          <w:highlight w:val="none"/>
          <w:lang w:val="en-US" w:eastAsia="zh-CN"/>
        </w:rPr>
        <w:t>地块历史影像图如下图所示：</w:t>
      </w:r>
    </w:p>
    <w:tbl>
      <w:tblPr>
        <w:tblStyle w:val="36"/>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396"/>
        <w:gridCol w:w="7836"/>
      </w:tblGrid>
      <w:tr w14:paraId="54B2B48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729" w:type="dxa"/>
            <w:vAlign w:val="center"/>
          </w:tcPr>
          <w:p w14:paraId="4DA209E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yellow"/>
                <w:vertAlign w:val="baseline"/>
                <w:lang w:val="en-US" w:eastAsia="zh-CN"/>
              </w:rPr>
            </w:pPr>
            <w:r>
              <w:rPr>
                <w:rFonts w:hint="eastAsia"/>
                <w:sz w:val="21"/>
                <w:szCs w:val="21"/>
                <w:highlight w:val="none"/>
                <w:vertAlign w:val="baseline"/>
                <w:lang w:val="en-US" w:eastAsia="zh-CN"/>
              </w:rPr>
              <w:t>2009年历史图片</w:t>
            </w:r>
          </w:p>
        </w:tc>
        <w:tc>
          <w:tcPr>
            <w:tcW w:w="7503" w:type="dxa"/>
            <w:vAlign w:val="center"/>
          </w:tcPr>
          <w:p w14:paraId="41F40EB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yellow"/>
                <w:vertAlign w:val="baseline"/>
                <w:lang w:val="en-US" w:eastAsia="zh-CN"/>
              </w:rPr>
            </w:pPr>
            <w:r>
              <w:drawing>
                <wp:inline distT="0" distB="0" distL="114300" distR="114300">
                  <wp:extent cx="4824095" cy="3959860"/>
                  <wp:effectExtent l="0" t="0" r="14605" b="2540"/>
                  <wp:docPr id="25" name="图片 22"/>
                  <wp:cNvGraphicFramePr/>
                  <a:graphic xmlns:a="http://schemas.openxmlformats.org/drawingml/2006/main">
                    <a:graphicData uri="http://schemas.openxmlformats.org/drawingml/2006/picture">
                      <pic:pic xmlns:pic="http://schemas.openxmlformats.org/drawingml/2006/picture">
                        <pic:nvPicPr>
                          <pic:cNvPr id="25" name="图片 22"/>
                          <pic:cNvPicPr/>
                        </pic:nvPicPr>
                        <pic:blipFill>
                          <a:blip r:embed="rId13"/>
                          <a:stretch>
                            <a:fillRect/>
                          </a:stretch>
                        </pic:blipFill>
                        <pic:spPr>
                          <a:xfrm>
                            <a:off x="0" y="0"/>
                            <a:ext cx="4824095" cy="3959860"/>
                          </a:xfrm>
                          <a:prstGeom prst="rect">
                            <a:avLst/>
                          </a:prstGeom>
                          <a:noFill/>
                          <a:ln>
                            <a:noFill/>
                          </a:ln>
                        </pic:spPr>
                      </pic:pic>
                    </a:graphicData>
                  </a:graphic>
                </wp:inline>
              </w:drawing>
            </w:r>
          </w:p>
        </w:tc>
      </w:tr>
      <w:tr w14:paraId="4904573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729" w:type="dxa"/>
            <w:vAlign w:val="center"/>
          </w:tcPr>
          <w:p w14:paraId="0F82E3A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vertAlign w:val="baseline"/>
                <w:lang w:val="en-US" w:eastAsia="zh-CN"/>
              </w:rPr>
            </w:pPr>
            <w:r>
              <w:rPr>
                <w:rFonts w:hint="eastAsia"/>
                <w:sz w:val="21"/>
                <w:szCs w:val="21"/>
                <w:highlight w:val="none"/>
                <w:vertAlign w:val="baseline"/>
                <w:lang w:val="en-US" w:eastAsia="zh-CN"/>
              </w:rPr>
              <w:t>2014年历史图片</w:t>
            </w:r>
          </w:p>
        </w:tc>
        <w:tc>
          <w:tcPr>
            <w:tcW w:w="7503" w:type="dxa"/>
            <w:vAlign w:val="center"/>
          </w:tcPr>
          <w:p w14:paraId="11C515C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vertAlign w:val="baseline"/>
                <w:lang w:val="en-US" w:eastAsia="zh-CN"/>
              </w:rPr>
            </w:pPr>
            <w:r>
              <w:drawing>
                <wp:inline distT="0" distB="0" distL="114300" distR="114300">
                  <wp:extent cx="4824095" cy="3743960"/>
                  <wp:effectExtent l="0" t="0" r="14605" b="8890"/>
                  <wp:docPr id="27" name="图片 23"/>
                  <wp:cNvGraphicFramePr/>
                  <a:graphic xmlns:a="http://schemas.openxmlformats.org/drawingml/2006/main">
                    <a:graphicData uri="http://schemas.openxmlformats.org/drawingml/2006/picture">
                      <pic:pic xmlns:pic="http://schemas.openxmlformats.org/drawingml/2006/picture">
                        <pic:nvPicPr>
                          <pic:cNvPr id="27" name="图片 23"/>
                          <pic:cNvPicPr/>
                        </pic:nvPicPr>
                        <pic:blipFill>
                          <a:blip r:embed="rId14"/>
                          <a:stretch>
                            <a:fillRect/>
                          </a:stretch>
                        </pic:blipFill>
                        <pic:spPr>
                          <a:xfrm>
                            <a:off x="0" y="0"/>
                            <a:ext cx="4824095" cy="3743960"/>
                          </a:xfrm>
                          <a:prstGeom prst="rect">
                            <a:avLst/>
                          </a:prstGeom>
                          <a:noFill/>
                          <a:ln>
                            <a:noFill/>
                          </a:ln>
                        </pic:spPr>
                      </pic:pic>
                    </a:graphicData>
                  </a:graphic>
                </wp:inline>
              </w:drawing>
            </w:r>
          </w:p>
        </w:tc>
      </w:tr>
      <w:tr w14:paraId="76ED7AF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c>
          <w:tcPr>
            <w:tcW w:w="1729" w:type="dxa"/>
            <w:vAlign w:val="center"/>
          </w:tcPr>
          <w:p w14:paraId="4A0215D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vertAlign w:val="baseline"/>
                <w:lang w:val="en-US" w:eastAsia="zh-CN"/>
              </w:rPr>
            </w:pPr>
            <w:r>
              <w:rPr>
                <w:rFonts w:hint="eastAsia"/>
                <w:sz w:val="21"/>
                <w:szCs w:val="21"/>
                <w:highlight w:val="none"/>
                <w:vertAlign w:val="baseline"/>
                <w:lang w:val="en-US" w:eastAsia="zh-CN"/>
              </w:rPr>
              <w:t>2019年历史图片</w:t>
            </w:r>
          </w:p>
        </w:tc>
        <w:tc>
          <w:tcPr>
            <w:tcW w:w="7503" w:type="dxa"/>
            <w:vAlign w:val="center"/>
          </w:tcPr>
          <w:p w14:paraId="3D5F13D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vertAlign w:val="baseline"/>
                <w:lang w:val="en-US" w:eastAsia="zh-CN"/>
              </w:rPr>
            </w:pPr>
            <w:r>
              <w:drawing>
                <wp:inline distT="0" distB="0" distL="114300" distR="114300">
                  <wp:extent cx="4824095" cy="3743960"/>
                  <wp:effectExtent l="0" t="0" r="14605" b="8890"/>
                  <wp:docPr id="28" name="图片 24"/>
                  <wp:cNvGraphicFramePr/>
                  <a:graphic xmlns:a="http://schemas.openxmlformats.org/drawingml/2006/main">
                    <a:graphicData uri="http://schemas.openxmlformats.org/drawingml/2006/picture">
                      <pic:pic xmlns:pic="http://schemas.openxmlformats.org/drawingml/2006/picture">
                        <pic:nvPicPr>
                          <pic:cNvPr id="28" name="图片 24"/>
                          <pic:cNvPicPr/>
                        </pic:nvPicPr>
                        <pic:blipFill>
                          <a:blip r:embed="rId15"/>
                          <a:stretch>
                            <a:fillRect/>
                          </a:stretch>
                        </pic:blipFill>
                        <pic:spPr>
                          <a:xfrm>
                            <a:off x="0" y="0"/>
                            <a:ext cx="4824095" cy="3743960"/>
                          </a:xfrm>
                          <a:prstGeom prst="rect">
                            <a:avLst/>
                          </a:prstGeom>
                          <a:noFill/>
                          <a:ln>
                            <a:noFill/>
                          </a:ln>
                        </pic:spPr>
                      </pic:pic>
                    </a:graphicData>
                  </a:graphic>
                </wp:inline>
              </w:drawing>
            </w:r>
          </w:p>
        </w:tc>
      </w:tr>
    </w:tbl>
    <w:p w14:paraId="3B354B7F">
      <w:pPr>
        <w:bidi w:val="0"/>
        <w:rPr>
          <w:rFonts w:hint="default"/>
          <w:b/>
          <w:bCs/>
          <w:lang w:val="en-US" w:eastAsia="zh-CN"/>
        </w:rPr>
      </w:pPr>
      <w:r>
        <w:rPr>
          <w:rFonts w:hint="eastAsia"/>
          <w:b/>
          <w:bCs/>
          <w:lang w:val="en-US" w:eastAsia="zh-CN"/>
        </w:rPr>
        <w:t>（2）地块利用现状</w:t>
      </w:r>
    </w:p>
    <w:p w14:paraId="5EFDEB23">
      <w:pPr>
        <w:rPr>
          <w:rFonts w:hint="default"/>
          <w:highlight w:val="none"/>
          <w:lang w:val="en-US" w:eastAsia="zh-CN"/>
        </w:rPr>
      </w:pPr>
      <w:r>
        <w:rPr>
          <w:rFonts w:hint="eastAsia"/>
          <w:highlight w:val="none"/>
          <w:lang w:val="en-US" w:eastAsia="zh-CN"/>
        </w:rPr>
        <w:t>根据现场踏勘和人员访谈了解到，上世纪九十年代，当地百姓便开始私采金矿，后因政府部门禁止擅自采矿，全民私采行为1994年后停止。全民私采期间，居民洗矿遵循就近原则，在废渣堆周边内修建洗矿池，所产生的废矿渣及尾矿部分流失进入周边农田和地表水系，部分就近堆存，给当地村民的生产生活和身体健康造成影响。</w:t>
      </w:r>
    </w:p>
    <w:p w14:paraId="2953B8AA">
      <w:pPr>
        <w:rPr>
          <w:rFonts w:hint="eastAsia"/>
          <w:highlight w:val="none"/>
          <w:lang w:val="en-US" w:eastAsia="zh-CN"/>
        </w:rPr>
      </w:pPr>
      <w:r>
        <w:rPr>
          <w:rFonts w:hint="eastAsia"/>
        </w:rPr>
        <w:t>根据岳阳百利勘察科技有限公司地勘报告和现场踏勘，平江县三阳乡南尧村片区（垂拱组、仙人组）共有2个历史遗留重金属</w:t>
      </w:r>
      <w:bookmarkStart w:id="33" w:name="OLE_LINK1"/>
      <w:r>
        <w:rPr>
          <w:rFonts w:hint="eastAsia"/>
        </w:rPr>
        <w:t>废渣堆</w:t>
      </w:r>
      <w:bookmarkEnd w:id="33"/>
      <w:r>
        <w:rPr>
          <w:rFonts w:hint="eastAsia"/>
        </w:rPr>
        <w:t>（</w:t>
      </w:r>
      <w:bookmarkStart w:id="34" w:name="OLE_LINK3"/>
      <w:r>
        <w:rPr>
          <w:rFonts w:hint="eastAsia"/>
        </w:rPr>
        <w:t>南尧村1#废渣</w:t>
      </w:r>
      <w:r>
        <w:rPr>
          <w:rFonts w:hint="eastAsia"/>
          <w:lang w:val="en-US" w:eastAsia="zh-CN"/>
        </w:rPr>
        <w:t>堆</w:t>
      </w:r>
      <w:r>
        <w:rPr>
          <w:rFonts w:hint="eastAsia"/>
        </w:rPr>
        <w:t>和南尧村2#废渣</w:t>
      </w:r>
      <w:bookmarkEnd w:id="34"/>
      <w:r>
        <w:rPr>
          <w:rFonts w:hint="eastAsia"/>
          <w:lang w:val="en-US" w:eastAsia="zh-CN"/>
        </w:rPr>
        <w:t>堆</w:t>
      </w:r>
      <w:r>
        <w:rPr>
          <w:rFonts w:hint="eastAsia"/>
        </w:rPr>
        <w:t>）。废渣堆堆存的矿渣为黄褐色或灰褐色，主要为早期金矿冶炼矿渣。矿渣质地松散，稍湿，粒径不均匀，具有孔隙，未完成自重固结。南尧村1#废渣</w:t>
      </w:r>
      <w:r>
        <w:rPr>
          <w:rFonts w:hint="eastAsia"/>
          <w:lang w:val="en-US" w:eastAsia="zh-CN"/>
        </w:rPr>
        <w:t>堆</w:t>
      </w:r>
      <w:r>
        <w:rPr>
          <w:rFonts w:hint="eastAsia"/>
        </w:rPr>
        <w:t>和南尧村2#废渣</w:t>
      </w:r>
      <w:r>
        <w:rPr>
          <w:rFonts w:hint="eastAsia"/>
          <w:lang w:val="en-US" w:eastAsia="zh-CN"/>
        </w:rPr>
        <w:t>堆</w:t>
      </w:r>
      <w:r>
        <w:rPr>
          <w:rFonts w:hint="eastAsia"/>
        </w:rPr>
        <w:t>占地面积总计为9010m</w:t>
      </w:r>
      <w:r>
        <w:rPr>
          <w:rFonts w:hint="eastAsia"/>
          <w:vertAlign w:val="superscript"/>
        </w:rPr>
        <w:t>2</w:t>
      </w:r>
      <w:r>
        <w:rPr>
          <w:rFonts w:hint="eastAsia"/>
        </w:rPr>
        <w:t xml:space="preserve"> ，矿渣堆存总量约为42040.12m</w:t>
      </w:r>
      <w:r>
        <w:rPr>
          <w:rFonts w:hint="eastAsia"/>
          <w:vertAlign w:val="superscript"/>
        </w:rPr>
        <w:t>3</w:t>
      </w:r>
      <w:r>
        <w:rPr>
          <w:rFonts w:hint="eastAsia"/>
        </w:rPr>
        <w:t>。废渣堆的基本情况见表3.1-1。废渣堆放的现状图见图3.1-1。</w:t>
      </w:r>
    </w:p>
    <w:p w14:paraId="0CE242B4">
      <w:pPr>
        <w:ind w:left="0" w:leftChars="0" w:firstLine="0" w:firstLineChars="0"/>
        <w:jc w:val="center"/>
        <w:rPr>
          <w:rFonts w:hint="default"/>
          <w:b/>
          <w:bCs/>
          <w:sz w:val="21"/>
          <w:szCs w:val="21"/>
          <w:highlight w:val="none"/>
          <w:lang w:val="en-US" w:eastAsia="zh-CN"/>
        </w:rPr>
      </w:pPr>
      <w:r>
        <w:rPr>
          <w:rFonts w:hint="eastAsia"/>
          <w:b/>
          <w:bCs/>
          <w:sz w:val="21"/>
          <w:szCs w:val="21"/>
          <w:highlight w:val="none"/>
          <w:lang w:val="en-US" w:eastAsia="zh-CN"/>
        </w:rPr>
        <w:t>表3.1-1  废渣堆的基本情况统计表</w:t>
      </w:r>
    </w:p>
    <w:tbl>
      <w:tblPr>
        <w:tblStyle w:val="36"/>
        <w:tblW w:w="4996"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788"/>
        <w:gridCol w:w="1622"/>
        <w:gridCol w:w="1787"/>
        <w:gridCol w:w="1678"/>
        <w:gridCol w:w="2350"/>
      </w:tblGrid>
      <w:tr w14:paraId="712E887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969" w:type="pct"/>
            <w:vAlign w:val="center"/>
          </w:tcPr>
          <w:p w14:paraId="2B386937">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b/>
                <w:bCs/>
                <w:sz w:val="21"/>
                <w:szCs w:val="21"/>
                <w:highlight w:val="none"/>
                <w:vertAlign w:val="baseline"/>
                <w:lang w:val="en-US" w:eastAsia="zh-CN"/>
              </w:rPr>
            </w:pPr>
            <w:r>
              <w:rPr>
                <w:rFonts w:hint="eastAsia"/>
                <w:b/>
                <w:bCs/>
                <w:sz w:val="21"/>
                <w:szCs w:val="21"/>
                <w:highlight w:val="none"/>
                <w:vertAlign w:val="baseline"/>
                <w:lang w:val="en-US" w:eastAsia="zh-CN"/>
              </w:rPr>
              <w:t>地块分区</w:t>
            </w:r>
          </w:p>
        </w:tc>
        <w:tc>
          <w:tcPr>
            <w:tcW w:w="879" w:type="pct"/>
            <w:vAlign w:val="center"/>
          </w:tcPr>
          <w:p w14:paraId="2B03CBD5">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b/>
                <w:bCs/>
                <w:sz w:val="21"/>
                <w:szCs w:val="21"/>
                <w:highlight w:val="none"/>
                <w:vertAlign w:val="baseline"/>
                <w:lang w:val="en-US" w:eastAsia="zh-CN"/>
              </w:rPr>
            </w:pPr>
            <w:r>
              <w:rPr>
                <w:rFonts w:hint="eastAsia"/>
                <w:b/>
                <w:bCs/>
                <w:sz w:val="21"/>
                <w:szCs w:val="21"/>
                <w:highlight w:val="none"/>
                <w:vertAlign w:val="baseline"/>
                <w:lang w:val="en-US" w:eastAsia="zh-CN"/>
              </w:rPr>
              <w:t>矿渣面积（m</w:t>
            </w:r>
            <w:r>
              <w:rPr>
                <w:rFonts w:hint="eastAsia"/>
                <w:b/>
                <w:bCs/>
                <w:sz w:val="21"/>
                <w:szCs w:val="21"/>
                <w:highlight w:val="none"/>
                <w:vertAlign w:val="superscript"/>
                <w:lang w:val="en-US" w:eastAsia="zh-CN"/>
              </w:rPr>
              <w:t>2</w:t>
            </w:r>
            <w:r>
              <w:rPr>
                <w:rFonts w:hint="eastAsia"/>
                <w:b/>
                <w:bCs/>
                <w:sz w:val="21"/>
                <w:szCs w:val="21"/>
                <w:highlight w:val="none"/>
                <w:vertAlign w:val="baseline"/>
                <w:lang w:val="en-US" w:eastAsia="zh-CN"/>
              </w:rPr>
              <w:t>）</w:t>
            </w:r>
          </w:p>
        </w:tc>
        <w:tc>
          <w:tcPr>
            <w:tcW w:w="968" w:type="pct"/>
            <w:vAlign w:val="center"/>
          </w:tcPr>
          <w:p w14:paraId="120D5698">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b/>
                <w:bCs/>
                <w:sz w:val="21"/>
                <w:szCs w:val="21"/>
                <w:highlight w:val="none"/>
                <w:vertAlign w:val="baseline"/>
                <w:lang w:val="en-US" w:eastAsia="zh-CN"/>
              </w:rPr>
            </w:pPr>
            <w:r>
              <w:rPr>
                <w:rFonts w:hint="eastAsia"/>
                <w:b/>
                <w:bCs/>
                <w:sz w:val="21"/>
                <w:szCs w:val="21"/>
                <w:highlight w:val="none"/>
                <w:vertAlign w:val="baseline"/>
                <w:lang w:val="en-US" w:eastAsia="zh-CN"/>
              </w:rPr>
              <w:t>矿渣方量（m</w:t>
            </w:r>
            <w:r>
              <w:rPr>
                <w:rFonts w:hint="eastAsia"/>
                <w:b/>
                <w:bCs/>
                <w:sz w:val="21"/>
                <w:szCs w:val="21"/>
                <w:highlight w:val="none"/>
                <w:vertAlign w:val="superscript"/>
                <w:lang w:val="en-US" w:eastAsia="zh-CN"/>
              </w:rPr>
              <w:t>3</w:t>
            </w:r>
            <w:r>
              <w:rPr>
                <w:rFonts w:hint="eastAsia"/>
                <w:b/>
                <w:bCs/>
                <w:sz w:val="21"/>
                <w:szCs w:val="21"/>
                <w:highlight w:val="none"/>
                <w:vertAlign w:val="baseline"/>
                <w:lang w:val="en-US" w:eastAsia="zh-CN"/>
              </w:rPr>
              <w:t>）</w:t>
            </w:r>
          </w:p>
        </w:tc>
        <w:tc>
          <w:tcPr>
            <w:tcW w:w="909" w:type="pct"/>
            <w:vAlign w:val="center"/>
          </w:tcPr>
          <w:p w14:paraId="2C229ACA">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b/>
                <w:bCs/>
                <w:sz w:val="21"/>
                <w:szCs w:val="21"/>
                <w:highlight w:val="none"/>
                <w:vertAlign w:val="baseline"/>
                <w:lang w:val="en-US" w:eastAsia="zh-CN"/>
              </w:rPr>
            </w:pPr>
            <w:r>
              <w:rPr>
                <w:rFonts w:hint="eastAsia"/>
                <w:b/>
                <w:bCs/>
                <w:sz w:val="21"/>
                <w:szCs w:val="21"/>
                <w:highlight w:val="none"/>
                <w:vertAlign w:val="baseline"/>
                <w:lang w:val="en-US" w:eastAsia="zh-CN"/>
              </w:rPr>
              <w:t>中心经纬度</w:t>
            </w:r>
          </w:p>
        </w:tc>
        <w:tc>
          <w:tcPr>
            <w:tcW w:w="1273" w:type="pct"/>
            <w:vAlign w:val="center"/>
          </w:tcPr>
          <w:p w14:paraId="12811D77">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b/>
                <w:bCs/>
                <w:sz w:val="21"/>
                <w:szCs w:val="21"/>
                <w:highlight w:val="none"/>
                <w:vertAlign w:val="baseline"/>
                <w:lang w:val="en-US" w:eastAsia="zh-CN"/>
              </w:rPr>
            </w:pPr>
            <w:r>
              <w:rPr>
                <w:rFonts w:hint="eastAsia"/>
                <w:b/>
                <w:bCs/>
                <w:sz w:val="21"/>
                <w:szCs w:val="21"/>
                <w:highlight w:val="none"/>
                <w:vertAlign w:val="baseline"/>
                <w:lang w:val="en-US" w:eastAsia="zh-CN"/>
              </w:rPr>
              <w:t>矿渣最大堆存深度（m）</w:t>
            </w:r>
          </w:p>
        </w:tc>
      </w:tr>
      <w:tr w14:paraId="6E9D62E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969" w:type="pct"/>
            <w:vAlign w:val="center"/>
          </w:tcPr>
          <w:p w14:paraId="6C4E23C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vertAlign w:val="baseline"/>
                <w:lang w:val="en-US" w:eastAsia="zh-CN"/>
              </w:rPr>
            </w:pPr>
            <w:r>
              <w:rPr>
                <w:rFonts w:hint="eastAsia"/>
                <w:sz w:val="21"/>
                <w:szCs w:val="21"/>
                <w:highlight w:val="none"/>
                <w:vertAlign w:val="baseline"/>
                <w:lang w:val="en-US" w:eastAsia="zh-CN"/>
              </w:rPr>
              <w:t>南尧村1#废渣堆</w:t>
            </w:r>
          </w:p>
        </w:tc>
        <w:tc>
          <w:tcPr>
            <w:tcW w:w="879" w:type="pct"/>
            <w:vAlign w:val="center"/>
          </w:tcPr>
          <w:p w14:paraId="48D7AAD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2518</w:t>
            </w:r>
          </w:p>
        </w:tc>
        <w:tc>
          <w:tcPr>
            <w:tcW w:w="968" w:type="pct"/>
            <w:vAlign w:val="center"/>
          </w:tcPr>
          <w:p w14:paraId="2FD71B9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7294.72</w:t>
            </w:r>
          </w:p>
        </w:tc>
        <w:tc>
          <w:tcPr>
            <w:tcW w:w="909" w:type="pct"/>
            <w:vAlign w:val="center"/>
          </w:tcPr>
          <w:p w14:paraId="025923C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highlight w:val="none"/>
                <w:vertAlign w:val="baseline"/>
                <w:lang w:val="en-US" w:eastAsia="zh-CN"/>
              </w:rPr>
            </w:pPr>
            <w:r>
              <w:rPr>
                <w:rFonts w:hint="default" w:ascii="Times New Roman" w:hAnsi="Times New Roman" w:cs="Times New Roman"/>
                <w:sz w:val="21"/>
                <w:szCs w:val="21"/>
                <w:highlight w:val="none"/>
                <w:vertAlign w:val="baseline"/>
                <w:lang w:val="en-US" w:eastAsia="zh-CN"/>
              </w:rPr>
              <w:t>113°32′58.12″E；28°38′55.23″N</w:t>
            </w:r>
          </w:p>
        </w:tc>
        <w:tc>
          <w:tcPr>
            <w:tcW w:w="1273" w:type="pct"/>
            <w:vAlign w:val="center"/>
          </w:tcPr>
          <w:p w14:paraId="1E19923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3.68</w:t>
            </w:r>
          </w:p>
        </w:tc>
      </w:tr>
      <w:tr w14:paraId="058FB7D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969" w:type="pct"/>
            <w:vAlign w:val="center"/>
          </w:tcPr>
          <w:p w14:paraId="15D6FBB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vertAlign w:val="baseline"/>
                <w:lang w:val="en-US" w:eastAsia="zh-CN"/>
              </w:rPr>
            </w:pPr>
            <w:r>
              <w:rPr>
                <w:rFonts w:hint="eastAsia"/>
                <w:sz w:val="21"/>
                <w:szCs w:val="21"/>
                <w:highlight w:val="none"/>
                <w:vertAlign w:val="baseline"/>
                <w:lang w:val="en-US" w:eastAsia="zh-CN"/>
              </w:rPr>
              <w:t>南尧村2#废渣堆</w:t>
            </w:r>
          </w:p>
        </w:tc>
        <w:tc>
          <w:tcPr>
            <w:tcW w:w="879" w:type="pct"/>
            <w:vAlign w:val="center"/>
          </w:tcPr>
          <w:p w14:paraId="713C361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6492</w:t>
            </w:r>
          </w:p>
        </w:tc>
        <w:tc>
          <w:tcPr>
            <w:tcW w:w="968" w:type="pct"/>
            <w:vAlign w:val="center"/>
          </w:tcPr>
          <w:p w14:paraId="024A224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34745.4</w:t>
            </w:r>
          </w:p>
        </w:tc>
        <w:tc>
          <w:tcPr>
            <w:tcW w:w="909" w:type="pct"/>
            <w:vAlign w:val="center"/>
          </w:tcPr>
          <w:p w14:paraId="010C9FA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highlight w:val="none"/>
                <w:vertAlign w:val="baseline"/>
                <w:lang w:val="en-US" w:eastAsia="zh-CN"/>
              </w:rPr>
            </w:pPr>
            <w:r>
              <w:rPr>
                <w:rFonts w:hint="default" w:ascii="Times New Roman" w:hAnsi="Times New Roman" w:cs="Times New Roman"/>
                <w:sz w:val="21"/>
                <w:szCs w:val="21"/>
                <w:highlight w:val="none"/>
                <w:vertAlign w:val="baseline"/>
                <w:lang w:val="en-US" w:eastAsia="zh-CN"/>
              </w:rPr>
              <w:t>113°33′3.76″E；28°38′48.08″N</w:t>
            </w:r>
          </w:p>
        </w:tc>
        <w:tc>
          <w:tcPr>
            <w:tcW w:w="1273" w:type="pct"/>
            <w:vAlign w:val="center"/>
          </w:tcPr>
          <w:p w14:paraId="37FF6AF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6.1</w:t>
            </w:r>
          </w:p>
        </w:tc>
      </w:tr>
      <w:tr w14:paraId="4A9B176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969" w:type="pct"/>
            <w:vAlign w:val="center"/>
          </w:tcPr>
          <w:p w14:paraId="7419712F">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b/>
                <w:bCs/>
                <w:sz w:val="21"/>
                <w:szCs w:val="21"/>
                <w:highlight w:val="none"/>
                <w:vertAlign w:val="baseline"/>
                <w:lang w:val="en-US" w:eastAsia="zh-CN"/>
              </w:rPr>
            </w:pPr>
            <w:r>
              <w:rPr>
                <w:rFonts w:hint="eastAsia"/>
                <w:b/>
                <w:bCs/>
                <w:sz w:val="21"/>
                <w:szCs w:val="21"/>
                <w:highlight w:val="none"/>
                <w:vertAlign w:val="baseline"/>
                <w:lang w:val="en-US" w:eastAsia="zh-CN"/>
              </w:rPr>
              <w:t>合计</w:t>
            </w:r>
          </w:p>
        </w:tc>
        <w:tc>
          <w:tcPr>
            <w:tcW w:w="879" w:type="pct"/>
            <w:vAlign w:val="center"/>
          </w:tcPr>
          <w:p w14:paraId="3F204DB8">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b/>
                <w:bCs/>
                <w:sz w:val="21"/>
                <w:szCs w:val="21"/>
                <w:highlight w:val="none"/>
                <w:vertAlign w:val="baseline"/>
                <w:lang w:val="en-US" w:eastAsia="zh-CN"/>
              </w:rPr>
            </w:pPr>
            <w:r>
              <w:rPr>
                <w:rFonts w:hint="eastAsia"/>
                <w:b/>
                <w:bCs/>
                <w:sz w:val="21"/>
                <w:szCs w:val="21"/>
                <w:highlight w:val="none"/>
                <w:vertAlign w:val="baseline"/>
                <w:lang w:val="en-US" w:eastAsia="zh-CN"/>
              </w:rPr>
              <w:t>9010</w:t>
            </w:r>
          </w:p>
        </w:tc>
        <w:tc>
          <w:tcPr>
            <w:tcW w:w="968" w:type="pct"/>
            <w:vAlign w:val="center"/>
          </w:tcPr>
          <w:p w14:paraId="3B7D8456">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b/>
                <w:bCs/>
                <w:sz w:val="21"/>
                <w:szCs w:val="21"/>
                <w:highlight w:val="none"/>
                <w:vertAlign w:val="baseline"/>
                <w:lang w:val="en-US" w:eastAsia="zh-CN"/>
              </w:rPr>
            </w:pPr>
            <w:r>
              <w:rPr>
                <w:rFonts w:hint="eastAsia"/>
                <w:b/>
                <w:bCs/>
                <w:sz w:val="21"/>
                <w:szCs w:val="21"/>
                <w:highlight w:val="none"/>
                <w:vertAlign w:val="baseline"/>
                <w:lang w:val="en-US" w:eastAsia="zh-CN"/>
              </w:rPr>
              <w:t>42040.12</w:t>
            </w:r>
          </w:p>
        </w:tc>
        <w:tc>
          <w:tcPr>
            <w:tcW w:w="909" w:type="pct"/>
            <w:vAlign w:val="center"/>
          </w:tcPr>
          <w:p w14:paraId="0D856975">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b/>
                <w:bCs/>
                <w:sz w:val="21"/>
                <w:szCs w:val="21"/>
                <w:highlight w:val="none"/>
                <w:vertAlign w:val="baseline"/>
                <w:lang w:val="en-US" w:eastAsia="zh-CN"/>
              </w:rPr>
            </w:pPr>
            <w:r>
              <w:rPr>
                <w:rFonts w:hint="eastAsia"/>
                <w:b/>
                <w:bCs/>
                <w:sz w:val="21"/>
                <w:szCs w:val="21"/>
                <w:highlight w:val="none"/>
                <w:vertAlign w:val="baseline"/>
                <w:lang w:val="en-US" w:eastAsia="zh-CN"/>
              </w:rPr>
              <w:t>/</w:t>
            </w:r>
          </w:p>
        </w:tc>
        <w:tc>
          <w:tcPr>
            <w:tcW w:w="1273" w:type="pct"/>
            <w:vAlign w:val="center"/>
          </w:tcPr>
          <w:p w14:paraId="5877BC39">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b/>
                <w:bCs/>
                <w:sz w:val="21"/>
                <w:szCs w:val="21"/>
                <w:highlight w:val="none"/>
                <w:vertAlign w:val="baseline"/>
                <w:lang w:val="en-US" w:eastAsia="zh-CN"/>
              </w:rPr>
            </w:pPr>
            <w:r>
              <w:rPr>
                <w:rFonts w:hint="eastAsia"/>
                <w:b/>
                <w:bCs/>
                <w:sz w:val="21"/>
                <w:szCs w:val="21"/>
                <w:highlight w:val="none"/>
                <w:vertAlign w:val="baseline"/>
                <w:lang w:val="en-US" w:eastAsia="zh-CN"/>
              </w:rPr>
              <w:t>/</w:t>
            </w:r>
          </w:p>
        </w:tc>
      </w:tr>
    </w:tbl>
    <w:p w14:paraId="09FA6B71">
      <w:pPr>
        <w:spacing w:line="240" w:lineRule="auto"/>
        <w:ind w:left="0" w:leftChars="0" w:firstLine="0" w:firstLineChars="0"/>
        <w:rPr>
          <w:rFonts w:hint="eastAsia"/>
          <w:sz w:val="2"/>
          <w:szCs w:val="2"/>
          <w:highlight w:val="yellow"/>
          <w:lang w:val="en-US" w:eastAsia="zh-CN"/>
        </w:rPr>
      </w:pPr>
    </w:p>
    <w:tbl>
      <w:tblPr>
        <w:tblStyle w:val="36"/>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4616"/>
        <w:gridCol w:w="4616"/>
      </w:tblGrid>
      <w:tr w14:paraId="7EF4B73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500" w:type="pct"/>
            <w:vAlign w:val="center"/>
          </w:tcPr>
          <w:p w14:paraId="6AFC0E5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yellow"/>
                <w:vertAlign w:val="baseline"/>
                <w:lang w:val="en-US" w:eastAsia="zh-CN"/>
              </w:rPr>
            </w:pPr>
            <w:r>
              <w:drawing>
                <wp:inline distT="0" distB="0" distL="114300" distR="114300">
                  <wp:extent cx="2700020" cy="2160270"/>
                  <wp:effectExtent l="0" t="0" r="5080" b="11430"/>
                  <wp:docPr id="36" name="图片 26"/>
                  <wp:cNvGraphicFramePr/>
                  <a:graphic xmlns:a="http://schemas.openxmlformats.org/drawingml/2006/main">
                    <a:graphicData uri="http://schemas.openxmlformats.org/drawingml/2006/picture">
                      <pic:pic xmlns:pic="http://schemas.openxmlformats.org/drawingml/2006/picture">
                        <pic:nvPicPr>
                          <pic:cNvPr id="36" name="图片 26"/>
                          <pic:cNvPicPr/>
                        </pic:nvPicPr>
                        <pic:blipFill>
                          <a:blip r:embed="rId16"/>
                          <a:stretch>
                            <a:fillRect/>
                          </a:stretch>
                        </pic:blipFill>
                        <pic:spPr>
                          <a:xfrm>
                            <a:off x="0" y="0"/>
                            <a:ext cx="2700020" cy="2160270"/>
                          </a:xfrm>
                          <a:prstGeom prst="rect">
                            <a:avLst/>
                          </a:prstGeom>
                          <a:noFill/>
                          <a:ln>
                            <a:noFill/>
                          </a:ln>
                        </pic:spPr>
                      </pic:pic>
                    </a:graphicData>
                  </a:graphic>
                </wp:inline>
              </w:drawing>
            </w:r>
          </w:p>
        </w:tc>
        <w:tc>
          <w:tcPr>
            <w:tcW w:w="2500" w:type="pct"/>
            <w:vAlign w:val="center"/>
          </w:tcPr>
          <w:p w14:paraId="4DFDD56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pPr>
            <w:r>
              <w:drawing>
                <wp:inline distT="0" distB="0" distL="114300" distR="114300">
                  <wp:extent cx="2700020" cy="2160270"/>
                  <wp:effectExtent l="0" t="0" r="5080" b="11430"/>
                  <wp:docPr id="37" name="图片 27"/>
                  <wp:cNvGraphicFramePr/>
                  <a:graphic xmlns:a="http://schemas.openxmlformats.org/drawingml/2006/main">
                    <a:graphicData uri="http://schemas.openxmlformats.org/drawingml/2006/picture">
                      <pic:pic xmlns:pic="http://schemas.openxmlformats.org/drawingml/2006/picture">
                        <pic:nvPicPr>
                          <pic:cNvPr id="37" name="图片 27"/>
                          <pic:cNvPicPr/>
                        </pic:nvPicPr>
                        <pic:blipFill>
                          <a:blip r:embed="rId17"/>
                          <a:stretch>
                            <a:fillRect/>
                          </a:stretch>
                        </pic:blipFill>
                        <pic:spPr>
                          <a:xfrm>
                            <a:off x="0" y="0"/>
                            <a:ext cx="2700020" cy="2160270"/>
                          </a:xfrm>
                          <a:prstGeom prst="rect">
                            <a:avLst/>
                          </a:prstGeom>
                          <a:noFill/>
                          <a:ln>
                            <a:noFill/>
                          </a:ln>
                        </pic:spPr>
                      </pic:pic>
                    </a:graphicData>
                  </a:graphic>
                </wp:inline>
              </w:drawing>
            </w:r>
          </w:p>
        </w:tc>
      </w:tr>
      <w:tr w14:paraId="549D504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500" w:type="pct"/>
            <w:vAlign w:val="center"/>
          </w:tcPr>
          <w:p w14:paraId="31716AC2">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b/>
                <w:bCs/>
                <w:sz w:val="21"/>
                <w:szCs w:val="21"/>
                <w:highlight w:val="none"/>
                <w:vertAlign w:val="baseline"/>
                <w:lang w:val="en-US" w:eastAsia="zh-CN"/>
              </w:rPr>
            </w:pPr>
            <w:r>
              <w:rPr>
                <w:rFonts w:hint="eastAsia"/>
                <w:b/>
                <w:bCs/>
                <w:sz w:val="21"/>
                <w:szCs w:val="21"/>
                <w:highlight w:val="none"/>
                <w:vertAlign w:val="baseline"/>
                <w:lang w:val="en-US" w:eastAsia="zh-CN"/>
              </w:rPr>
              <w:t>南尧村1#废渣堆现状图</w:t>
            </w:r>
          </w:p>
        </w:tc>
        <w:tc>
          <w:tcPr>
            <w:tcW w:w="2500" w:type="pct"/>
            <w:vAlign w:val="center"/>
          </w:tcPr>
          <w:p w14:paraId="6EF0B636">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b/>
                <w:bCs/>
                <w:sz w:val="21"/>
                <w:szCs w:val="21"/>
                <w:highlight w:val="none"/>
                <w:vertAlign w:val="baseline"/>
                <w:lang w:val="en-US" w:eastAsia="zh-CN"/>
              </w:rPr>
            </w:pPr>
            <w:r>
              <w:rPr>
                <w:rFonts w:hint="eastAsia"/>
                <w:b/>
                <w:bCs/>
                <w:sz w:val="21"/>
                <w:szCs w:val="21"/>
                <w:highlight w:val="none"/>
                <w:vertAlign w:val="baseline"/>
                <w:lang w:val="en-US" w:eastAsia="zh-CN"/>
              </w:rPr>
              <w:t>南尧村2#废渣堆现状图</w:t>
            </w:r>
          </w:p>
        </w:tc>
      </w:tr>
    </w:tbl>
    <w:p w14:paraId="2A84922B">
      <w:pPr>
        <w:rPr>
          <w:rFonts w:hint="eastAsia"/>
          <w:b/>
          <w:bCs/>
          <w:highlight w:val="none"/>
          <w:lang w:val="en-US" w:eastAsia="zh-CN"/>
        </w:rPr>
      </w:pPr>
      <w:r>
        <w:rPr>
          <w:rFonts w:hint="eastAsia"/>
          <w:b/>
          <w:bCs/>
          <w:highlight w:val="none"/>
          <w:lang w:val="en-US" w:eastAsia="zh-CN"/>
        </w:rPr>
        <w:t>（3）原采矿生产工艺及污染源</w:t>
      </w:r>
    </w:p>
    <w:p w14:paraId="645A7581">
      <w:pPr>
        <w:rPr>
          <w:rFonts w:hint="eastAsia"/>
          <w:highlight w:val="none"/>
          <w:lang w:val="en-US" w:eastAsia="zh-CN"/>
        </w:rPr>
      </w:pPr>
      <w:r>
        <w:rPr>
          <w:rFonts w:hint="eastAsia"/>
          <w:highlight w:val="none"/>
          <w:lang w:val="en-US" w:eastAsia="zh-CN"/>
        </w:rPr>
        <w:t>①原采矿生产工艺</w:t>
      </w:r>
    </w:p>
    <w:p w14:paraId="6AB383E8">
      <w:pPr>
        <w:rPr>
          <w:rFonts w:hint="eastAsia"/>
          <w:highlight w:val="none"/>
          <w:lang w:val="en-US" w:eastAsia="zh-CN"/>
        </w:rPr>
      </w:pPr>
      <w:r>
        <w:rPr>
          <w:rFonts w:hint="eastAsia"/>
          <w:highlight w:val="none"/>
          <w:lang w:val="en-US" w:eastAsia="zh-CN"/>
        </w:rPr>
        <w:t>该片区主要以开采金矿为主，根据矿床分布，采用平硐开拓结合开挖和爆破方式开采，然后装载后外运，搬运以手推车为主。</w:t>
      </w:r>
    </w:p>
    <w:p w14:paraId="43AE55A6">
      <w:pPr>
        <w:ind w:left="0" w:leftChars="0" w:firstLine="0" w:firstLineChars="0"/>
        <w:rPr>
          <w:rFonts w:hint="eastAsia"/>
          <w:highlight w:val="none"/>
          <w:lang w:val="en-US" w:eastAsia="zh-CN"/>
        </w:rPr>
      </w:pPr>
      <w:r>
        <w:rPr>
          <w:rFonts w:hint="eastAsia"/>
          <w:highlight w:val="none"/>
          <w:lang w:val="en-US" w:eastAsia="zh-CN"/>
        </w:rPr>
        <w:object>
          <v:shape id="_x0000_i1029" o:spt="75" type="#_x0000_t75" style="height:131.25pt;width:443.25pt;" o:ole="t" filled="f" o:preferrelative="t" stroked="f" coordsize="21600,21600">
            <v:path/>
            <v:fill on="f" focussize="0,0"/>
            <v:stroke on="f"/>
            <v:imagedata r:id="rId19" o:title=""/>
            <o:lock v:ext="edit" aspectratio="f"/>
            <w10:wrap type="none"/>
            <w10:anchorlock/>
          </v:shape>
          <o:OLEObject Type="Embed" ProgID="Visio.Drawing.11" ShapeID="_x0000_i1029" DrawAspect="Content" ObjectID="_1468075725" r:id="rId18">
            <o:LockedField>false</o:LockedField>
          </o:OLEObject>
        </w:object>
      </w:r>
    </w:p>
    <w:p w14:paraId="47FC7AF5">
      <w:pPr>
        <w:ind w:left="0" w:leftChars="0" w:firstLine="0" w:firstLineChars="0"/>
        <w:jc w:val="center"/>
        <w:rPr>
          <w:rFonts w:hint="default"/>
          <w:b/>
          <w:bCs/>
          <w:sz w:val="21"/>
          <w:szCs w:val="21"/>
          <w:highlight w:val="none"/>
          <w:lang w:val="en-US" w:eastAsia="zh-CN"/>
        </w:rPr>
      </w:pPr>
      <w:r>
        <w:rPr>
          <w:rFonts w:hint="eastAsia"/>
          <w:b/>
          <w:bCs/>
          <w:sz w:val="21"/>
          <w:szCs w:val="21"/>
          <w:highlight w:val="none"/>
          <w:lang w:val="en-US" w:eastAsia="zh-CN"/>
        </w:rPr>
        <w:t>图3.1-1  原采矿生产工艺及污染源</w:t>
      </w:r>
    </w:p>
    <w:p w14:paraId="6FDD7B83">
      <w:pPr>
        <w:rPr>
          <w:rFonts w:hint="eastAsia"/>
          <w:highlight w:val="none"/>
          <w:lang w:val="en-US" w:eastAsia="zh-CN"/>
        </w:rPr>
      </w:pPr>
      <w:r>
        <w:rPr>
          <w:rFonts w:hint="eastAsia"/>
          <w:highlight w:val="none"/>
          <w:lang w:val="en-US" w:eastAsia="zh-CN"/>
        </w:rPr>
        <w:t>②原采矿工艺污染源</w:t>
      </w:r>
    </w:p>
    <w:p w14:paraId="51CA4AB7">
      <w:pPr>
        <w:rPr>
          <w:rFonts w:hint="eastAsia"/>
          <w:highlight w:val="none"/>
          <w:lang w:val="en-US" w:eastAsia="zh-CN"/>
        </w:rPr>
      </w:pPr>
      <w:r>
        <w:rPr>
          <w:rFonts w:hint="eastAsia"/>
          <w:highlight w:val="none"/>
          <w:lang w:val="en-US" w:eastAsia="zh-CN"/>
        </w:rPr>
        <w:t>原采矿工艺污染源见表3.1-2。</w:t>
      </w:r>
    </w:p>
    <w:p w14:paraId="1A1533FE">
      <w:pPr>
        <w:ind w:left="0" w:leftChars="0" w:firstLine="0" w:firstLineChars="0"/>
        <w:jc w:val="center"/>
        <w:rPr>
          <w:rFonts w:hint="default"/>
          <w:b/>
          <w:bCs/>
          <w:sz w:val="21"/>
          <w:szCs w:val="21"/>
          <w:highlight w:val="none"/>
          <w:lang w:val="en-US" w:eastAsia="zh-CN"/>
        </w:rPr>
      </w:pPr>
      <w:r>
        <w:rPr>
          <w:rFonts w:hint="eastAsia"/>
          <w:b/>
          <w:bCs/>
          <w:sz w:val="21"/>
          <w:szCs w:val="21"/>
          <w:highlight w:val="none"/>
          <w:lang w:val="en-US" w:eastAsia="zh-CN"/>
        </w:rPr>
        <w:t>表3.1-2  原采矿工艺污染源</w:t>
      </w:r>
    </w:p>
    <w:tbl>
      <w:tblPr>
        <w:tblStyle w:val="36"/>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698"/>
        <w:gridCol w:w="1446"/>
        <w:gridCol w:w="2385"/>
        <w:gridCol w:w="2385"/>
        <w:gridCol w:w="2318"/>
      </w:tblGrid>
      <w:tr w14:paraId="4430109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blHeader/>
        </w:trPr>
        <w:tc>
          <w:tcPr>
            <w:tcW w:w="378" w:type="pct"/>
            <w:vAlign w:val="center"/>
          </w:tcPr>
          <w:p w14:paraId="3EBF2D6D">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b/>
                <w:bCs/>
                <w:sz w:val="21"/>
                <w:szCs w:val="21"/>
                <w:highlight w:val="none"/>
                <w:vertAlign w:val="baseline"/>
                <w:lang w:val="en-US" w:eastAsia="zh-CN"/>
              </w:rPr>
            </w:pPr>
            <w:r>
              <w:rPr>
                <w:rFonts w:hint="eastAsia"/>
                <w:b/>
                <w:bCs/>
                <w:sz w:val="21"/>
                <w:szCs w:val="21"/>
                <w:highlight w:val="none"/>
                <w:vertAlign w:val="baseline"/>
                <w:lang w:val="en-US" w:eastAsia="zh-CN"/>
              </w:rPr>
              <w:t>类别</w:t>
            </w:r>
          </w:p>
        </w:tc>
        <w:tc>
          <w:tcPr>
            <w:tcW w:w="783" w:type="pct"/>
            <w:vAlign w:val="center"/>
          </w:tcPr>
          <w:p w14:paraId="0823917C">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b/>
                <w:bCs/>
                <w:sz w:val="21"/>
                <w:szCs w:val="21"/>
                <w:highlight w:val="none"/>
                <w:vertAlign w:val="baseline"/>
                <w:lang w:val="en-US" w:eastAsia="zh-CN"/>
              </w:rPr>
            </w:pPr>
            <w:r>
              <w:rPr>
                <w:rFonts w:hint="eastAsia"/>
                <w:b/>
                <w:bCs/>
                <w:sz w:val="21"/>
                <w:szCs w:val="21"/>
                <w:highlight w:val="none"/>
                <w:vertAlign w:val="baseline"/>
                <w:lang w:val="en-US" w:eastAsia="zh-CN"/>
              </w:rPr>
              <w:t>名称</w:t>
            </w:r>
          </w:p>
        </w:tc>
        <w:tc>
          <w:tcPr>
            <w:tcW w:w="1291" w:type="pct"/>
            <w:vAlign w:val="center"/>
          </w:tcPr>
          <w:p w14:paraId="3707AFB3">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b/>
                <w:bCs/>
                <w:sz w:val="21"/>
                <w:szCs w:val="21"/>
                <w:highlight w:val="none"/>
                <w:vertAlign w:val="baseline"/>
                <w:lang w:val="en-US" w:eastAsia="zh-CN"/>
              </w:rPr>
            </w:pPr>
            <w:r>
              <w:rPr>
                <w:rFonts w:hint="eastAsia"/>
                <w:b/>
                <w:bCs/>
                <w:sz w:val="21"/>
                <w:szCs w:val="21"/>
                <w:highlight w:val="none"/>
                <w:vertAlign w:val="baseline"/>
                <w:lang w:val="en-US" w:eastAsia="zh-CN"/>
              </w:rPr>
              <w:t>产污环节</w:t>
            </w:r>
          </w:p>
        </w:tc>
        <w:tc>
          <w:tcPr>
            <w:tcW w:w="1291" w:type="pct"/>
            <w:vAlign w:val="center"/>
          </w:tcPr>
          <w:p w14:paraId="680B7704">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b/>
                <w:bCs/>
                <w:sz w:val="21"/>
                <w:szCs w:val="21"/>
                <w:highlight w:val="none"/>
                <w:vertAlign w:val="baseline"/>
                <w:lang w:val="en-US" w:eastAsia="zh-CN"/>
              </w:rPr>
            </w:pPr>
            <w:r>
              <w:rPr>
                <w:rFonts w:hint="eastAsia"/>
                <w:b/>
                <w:bCs/>
                <w:sz w:val="21"/>
                <w:szCs w:val="21"/>
                <w:highlight w:val="none"/>
                <w:vertAlign w:val="baseline"/>
                <w:lang w:val="en-US" w:eastAsia="zh-CN"/>
              </w:rPr>
              <w:t>主要污染因子</w:t>
            </w:r>
          </w:p>
        </w:tc>
        <w:tc>
          <w:tcPr>
            <w:tcW w:w="1255" w:type="pct"/>
            <w:vAlign w:val="center"/>
          </w:tcPr>
          <w:p w14:paraId="4F66FCA0">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b/>
                <w:bCs/>
                <w:sz w:val="21"/>
                <w:szCs w:val="21"/>
                <w:highlight w:val="none"/>
                <w:vertAlign w:val="baseline"/>
                <w:lang w:val="en-US" w:eastAsia="zh-CN"/>
              </w:rPr>
            </w:pPr>
            <w:r>
              <w:rPr>
                <w:rFonts w:hint="eastAsia"/>
                <w:b/>
                <w:bCs/>
                <w:sz w:val="21"/>
                <w:szCs w:val="21"/>
                <w:highlight w:val="none"/>
                <w:vertAlign w:val="baseline"/>
                <w:lang w:val="en-US" w:eastAsia="zh-CN"/>
              </w:rPr>
              <w:t>排放去向</w:t>
            </w:r>
          </w:p>
        </w:tc>
      </w:tr>
      <w:tr w14:paraId="35465BD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78" w:type="pct"/>
            <w:vAlign w:val="center"/>
          </w:tcPr>
          <w:p w14:paraId="3AC622E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废水</w:t>
            </w:r>
          </w:p>
        </w:tc>
        <w:tc>
          <w:tcPr>
            <w:tcW w:w="783" w:type="pct"/>
            <w:vAlign w:val="center"/>
          </w:tcPr>
          <w:p w14:paraId="3259E0E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淋溶废水</w:t>
            </w:r>
          </w:p>
        </w:tc>
        <w:tc>
          <w:tcPr>
            <w:tcW w:w="1291" w:type="pct"/>
            <w:vAlign w:val="center"/>
          </w:tcPr>
          <w:p w14:paraId="049D965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爆破、挖掘等采矿工程</w:t>
            </w:r>
          </w:p>
        </w:tc>
        <w:tc>
          <w:tcPr>
            <w:tcW w:w="1291" w:type="pct"/>
            <w:vAlign w:val="center"/>
          </w:tcPr>
          <w:p w14:paraId="3E3279E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pH、砷、铅、锌、镉、汞、铬、镍等</w:t>
            </w:r>
          </w:p>
        </w:tc>
        <w:tc>
          <w:tcPr>
            <w:tcW w:w="1255" w:type="pct"/>
            <w:vAlign w:val="center"/>
          </w:tcPr>
          <w:p w14:paraId="050D6F4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下渗至土壤及地下水、地表径流进入地表水</w:t>
            </w:r>
          </w:p>
        </w:tc>
      </w:tr>
      <w:tr w14:paraId="1789775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78" w:type="pct"/>
            <w:vAlign w:val="center"/>
          </w:tcPr>
          <w:p w14:paraId="2A3E689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废气</w:t>
            </w:r>
          </w:p>
        </w:tc>
        <w:tc>
          <w:tcPr>
            <w:tcW w:w="783" w:type="pct"/>
            <w:vAlign w:val="center"/>
          </w:tcPr>
          <w:p w14:paraId="4BDFBFE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粉尘</w:t>
            </w:r>
          </w:p>
        </w:tc>
        <w:tc>
          <w:tcPr>
            <w:tcW w:w="1291" w:type="pct"/>
            <w:vAlign w:val="center"/>
          </w:tcPr>
          <w:p w14:paraId="539FBA5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爆破、挖掘等采矿工程</w:t>
            </w:r>
          </w:p>
        </w:tc>
        <w:tc>
          <w:tcPr>
            <w:tcW w:w="1291" w:type="pct"/>
            <w:vAlign w:val="center"/>
          </w:tcPr>
          <w:p w14:paraId="236F004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粉尘</w:t>
            </w:r>
          </w:p>
        </w:tc>
        <w:tc>
          <w:tcPr>
            <w:tcW w:w="1255" w:type="pct"/>
            <w:vAlign w:val="center"/>
          </w:tcPr>
          <w:p w14:paraId="0F84B01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无组织排放</w:t>
            </w:r>
          </w:p>
        </w:tc>
      </w:tr>
      <w:tr w14:paraId="6A610FD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78" w:type="pct"/>
            <w:vAlign w:val="center"/>
          </w:tcPr>
          <w:p w14:paraId="466B9B6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噪声</w:t>
            </w:r>
          </w:p>
        </w:tc>
        <w:tc>
          <w:tcPr>
            <w:tcW w:w="783" w:type="pct"/>
            <w:vAlign w:val="center"/>
          </w:tcPr>
          <w:p w14:paraId="55CDC8E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噪声</w:t>
            </w:r>
          </w:p>
        </w:tc>
        <w:tc>
          <w:tcPr>
            <w:tcW w:w="1291" w:type="pct"/>
            <w:vAlign w:val="center"/>
          </w:tcPr>
          <w:p w14:paraId="2EC3978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vertAlign w:val="baseline"/>
                <w:lang w:val="en-US" w:eastAsia="zh-CN"/>
              </w:rPr>
            </w:pPr>
            <w:r>
              <w:rPr>
                <w:rFonts w:hint="eastAsia"/>
                <w:sz w:val="21"/>
                <w:szCs w:val="21"/>
                <w:highlight w:val="none"/>
                <w:vertAlign w:val="baseline"/>
                <w:lang w:val="en-US" w:eastAsia="zh-CN"/>
              </w:rPr>
              <w:t>爆破、挖掘等采矿工程</w:t>
            </w:r>
          </w:p>
        </w:tc>
        <w:tc>
          <w:tcPr>
            <w:tcW w:w="1291" w:type="pct"/>
            <w:vAlign w:val="center"/>
          </w:tcPr>
          <w:p w14:paraId="23417BB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噪声</w:t>
            </w:r>
          </w:p>
        </w:tc>
        <w:tc>
          <w:tcPr>
            <w:tcW w:w="1255" w:type="pct"/>
            <w:vAlign w:val="center"/>
          </w:tcPr>
          <w:p w14:paraId="5ABA6C8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w:t>
            </w:r>
          </w:p>
        </w:tc>
      </w:tr>
      <w:tr w14:paraId="30FEE44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378" w:type="pct"/>
            <w:vAlign w:val="center"/>
          </w:tcPr>
          <w:p w14:paraId="4A10DC4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固废</w:t>
            </w:r>
          </w:p>
        </w:tc>
        <w:tc>
          <w:tcPr>
            <w:tcW w:w="783" w:type="pct"/>
            <w:vAlign w:val="center"/>
          </w:tcPr>
          <w:p w14:paraId="19418A4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废石、废土</w:t>
            </w:r>
          </w:p>
        </w:tc>
        <w:tc>
          <w:tcPr>
            <w:tcW w:w="1291" w:type="pct"/>
            <w:vAlign w:val="center"/>
          </w:tcPr>
          <w:p w14:paraId="4D7105F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vertAlign w:val="baseline"/>
                <w:lang w:val="en-US" w:eastAsia="zh-CN"/>
              </w:rPr>
            </w:pPr>
            <w:r>
              <w:rPr>
                <w:rFonts w:hint="eastAsia"/>
                <w:sz w:val="21"/>
                <w:szCs w:val="21"/>
                <w:highlight w:val="none"/>
                <w:vertAlign w:val="baseline"/>
                <w:lang w:val="en-US" w:eastAsia="zh-CN"/>
              </w:rPr>
              <w:t>爆破、挖掘等采矿工程</w:t>
            </w:r>
          </w:p>
        </w:tc>
        <w:tc>
          <w:tcPr>
            <w:tcW w:w="1291" w:type="pct"/>
            <w:vAlign w:val="center"/>
          </w:tcPr>
          <w:p w14:paraId="346ED35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w:t>
            </w:r>
          </w:p>
        </w:tc>
        <w:tc>
          <w:tcPr>
            <w:tcW w:w="1255" w:type="pct"/>
            <w:vAlign w:val="center"/>
          </w:tcPr>
          <w:p w14:paraId="7649D1D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就地无序露天堆放</w:t>
            </w:r>
          </w:p>
        </w:tc>
      </w:tr>
    </w:tbl>
    <w:p w14:paraId="5630F8F4">
      <w:pPr>
        <w:bidi w:val="0"/>
        <w:rPr>
          <w:rFonts w:hint="eastAsia"/>
          <w:b/>
          <w:bCs/>
          <w:lang w:val="en-US" w:eastAsia="zh-CN"/>
        </w:rPr>
      </w:pPr>
      <w:r>
        <w:rPr>
          <w:rFonts w:hint="eastAsia"/>
          <w:b/>
          <w:bCs/>
          <w:lang w:val="en-US" w:eastAsia="zh-CN"/>
        </w:rPr>
        <w:t>（4）原选矿生产工艺及污染源</w:t>
      </w:r>
    </w:p>
    <w:p w14:paraId="2235E33A">
      <w:pPr>
        <w:bidi w:val="0"/>
        <w:rPr>
          <w:rFonts w:hint="eastAsia"/>
          <w:lang w:val="en-US" w:eastAsia="zh-CN"/>
        </w:rPr>
      </w:pPr>
      <w:r>
        <w:rPr>
          <w:rFonts w:hint="eastAsia"/>
          <w:lang w:val="en-US" w:eastAsia="zh-CN"/>
        </w:rPr>
        <w:t>①原选矿生产工艺</w:t>
      </w:r>
    </w:p>
    <w:p w14:paraId="30F851E9">
      <w:pPr>
        <w:bidi w:val="0"/>
        <w:rPr>
          <w:rFonts w:hint="eastAsia"/>
          <w:lang w:val="en-US" w:eastAsia="zh-CN"/>
        </w:rPr>
      </w:pPr>
      <w:r>
        <w:rPr>
          <w:rFonts w:hint="eastAsia"/>
          <w:lang w:val="en-US" w:eastAsia="zh-CN"/>
        </w:rPr>
        <w:t>由于受当时选冶技术水平落后，村民私自选矿更多的是采用氰化淘金和土法焙烧工艺。</w:t>
      </w:r>
    </w:p>
    <w:p w14:paraId="4D7DDC12">
      <w:pPr>
        <w:bidi w:val="0"/>
        <w:ind w:left="0" w:leftChars="0" w:firstLine="0" w:firstLineChars="0"/>
        <w:jc w:val="center"/>
        <w:rPr>
          <w:rFonts w:hint="eastAsia"/>
          <w:lang w:val="en-US" w:eastAsia="zh-CN"/>
        </w:rPr>
      </w:pPr>
      <w:r>
        <w:rPr>
          <w:rFonts w:hint="eastAsia"/>
          <w:lang w:val="en-US" w:eastAsia="zh-CN"/>
        </w:rPr>
        <w:object>
          <v:shape id="_x0000_i1030" o:spt="75" type="#_x0000_t75" style="height:143.9pt;width:450.7pt;" o:ole="t" filled="f" o:preferrelative="t" stroked="f" coordsize="21600,21600">
            <v:path/>
            <v:fill on="f" focussize="0,0"/>
            <v:stroke on="f"/>
            <v:imagedata r:id="rId21" o:title=""/>
            <o:lock v:ext="edit" aspectratio="f"/>
            <w10:wrap type="none"/>
            <w10:anchorlock/>
          </v:shape>
          <o:OLEObject Type="Embed" ProgID="Visio.Drawing.11" ShapeID="_x0000_i1030" DrawAspect="Content" ObjectID="_1468075726" r:id="rId20">
            <o:LockedField>false</o:LockedField>
          </o:OLEObject>
        </w:object>
      </w:r>
    </w:p>
    <w:p w14:paraId="107B584E">
      <w:pPr>
        <w:bidi w:val="0"/>
        <w:ind w:left="0" w:leftChars="0" w:firstLine="0" w:firstLineChars="0"/>
        <w:jc w:val="center"/>
        <w:rPr>
          <w:rFonts w:hint="default"/>
          <w:b/>
          <w:bCs/>
          <w:sz w:val="21"/>
          <w:szCs w:val="21"/>
          <w:lang w:val="en-US" w:eastAsia="zh-CN"/>
        </w:rPr>
      </w:pPr>
      <w:r>
        <w:rPr>
          <w:rFonts w:hint="eastAsia"/>
          <w:b/>
          <w:bCs/>
          <w:sz w:val="21"/>
          <w:szCs w:val="21"/>
          <w:lang w:val="en-US" w:eastAsia="zh-CN"/>
        </w:rPr>
        <w:t>图3.1-2  原选矿生产工艺及污染源</w:t>
      </w:r>
    </w:p>
    <w:p w14:paraId="02082547">
      <w:pPr>
        <w:bidi w:val="0"/>
        <w:rPr>
          <w:rFonts w:hint="eastAsia"/>
          <w:lang w:val="en-US" w:eastAsia="zh-CN"/>
        </w:rPr>
      </w:pPr>
      <w:r>
        <w:rPr>
          <w:rFonts w:hint="eastAsia"/>
          <w:lang w:val="en-US" w:eastAsia="zh-CN"/>
        </w:rPr>
        <w:t>②原选矿生产工艺污染源</w:t>
      </w:r>
    </w:p>
    <w:p w14:paraId="46305CFE">
      <w:pPr>
        <w:bidi w:val="0"/>
        <w:rPr>
          <w:rFonts w:hint="eastAsia"/>
          <w:lang w:val="en-US" w:eastAsia="zh-CN"/>
        </w:rPr>
      </w:pPr>
      <w:r>
        <w:rPr>
          <w:rFonts w:hint="eastAsia"/>
          <w:lang w:val="en-US" w:eastAsia="zh-CN"/>
        </w:rPr>
        <w:t>早期选矿生产工艺产污节点分析见表3.1-3。</w:t>
      </w:r>
    </w:p>
    <w:p w14:paraId="0EB63873">
      <w:pPr>
        <w:ind w:left="0" w:leftChars="0" w:firstLine="0" w:firstLineChars="0"/>
        <w:jc w:val="center"/>
        <w:rPr>
          <w:rFonts w:hint="eastAsia"/>
          <w:b/>
          <w:bCs/>
          <w:sz w:val="21"/>
          <w:szCs w:val="21"/>
          <w:highlight w:val="none"/>
          <w:lang w:val="en-US" w:eastAsia="zh-CN"/>
        </w:rPr>
      </w:pPr>
    </w:p>
    <w:p w14:paraId="104AC76D">
      <w:pPr>
        <w:ind w:left="0" w:leftChars="0" w:firstLine="0" w:firstLineChars="0"/>
        <w:jc w:val="center"/>
        <w:rPr>
          <w:rFonts w:hint="default"/>
          <w:b/>
          <w:bCs/>
          <w:sz w:val="21"/>
          <w:szCs w:val="21"/>
          <w:highlight w:val="none"/>
          <w:lang w:val="en-US" w:eastAsia="zh-CN"/>
        </w:rPr>
      </w:pPr>
      <w:r>
        <w:rPr>
          <w:rFonts w:hint="eastAsia"/>
          <w:b/>
          <w:bCs/>
          <w:sz w:val="21"/>
          <w:szCs w:val="21"/>
          <w:highlight w:val="none"/>
          <w:lang w:val="en-US" w:eastAsia="zh-CN"/>
        </w:rPr>
        <w:t>表3.1-3  原选矿生产工艺污染源、污染物及排放情况</w:t>
      </w:r>
    </w:p>
    <w:tbl>
      <w:tblPr>
        <w:tblStyle w:val="36"/>
        <w:tblW w:w="4996"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664"/>
        <w:gridCol w:w="1696"/>
        <w:gridCol w:w="1290"/>
        <w:gridCol w:w="4029"/>
        <w:gridCol w:w="1546"/>
      </w:tblGrid>
      <w:tr w14:paraId="2DFD9C4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60" w:type="pct"/>
            <w:vAlign w:val="center"/>
          </w:tcPr>
          <w:p w14:paraId="73D3EC7D">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b/>
                <w:bCs/>
                <w:sz w:val="21"/>
                <w:szCs w:val="21"/>
                <w:highlight w:val="none"/>
                <w:vertAlign w:val="baseline"/>
                <w:lang w:val="en-US" w:eastAsia="zh-CN"/>
              </w:rPr>
            </w:pPr>
            <w:r>
              <w:rPr>
                <w:rFonts w:hint="eastAsia"/>
                <w:b/>
                <w:bCs/>
                <w:sz w:val="21"/>
                <w:szCs w:val="21"/>
                <w:highlight w:val="none"/>
                <w:vertAlign w:val="baseline"/>
                <w:lang w:val="en-US" w:eastAsia="zh-CN"/>
              </w:rPr>
              <w:t>类别</w:t>
            </w:r>
          </w:p>
        </w:tc>
        <w:tc>
          <w:tcPr>
            <w:tcW w:w="919" w:type="pct"/>
            <w:vAlign w:val="center"/>
          </w:tcPr>
          <w:p w14:paraId="5A8314F9">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b/>
                <w:bCs/>
                <w:sz w:val="21"/>
                <w:szCs w:val="21"/>
                <w:highlight w:val="none"/>
                <w:vertAlign w:val="baseline"/>
                <w:lang w:val="en-US" w:eastAsia="zh-CN"/>
              </w:rPr>
            </w:pPr>
            <w:r>
              <w:rPr>
                <w:rFonts w:hint="eastAsia"/>
                <w:b/>
                <w:bCs/>
                <w:sz w:val="21"/>
                <w:szCs w:val="21"/>
                <w:highlight w:val="none"/>
                <w:vertAlign w:val="baseline"/>
                <w:lang w:val="en-US" w:eastAsia="zh-CN"/>
              </w:rPr>
              <w:t>名称</w:t>
            </w:r>
          </w:p>
        </w:tc>
        <w:tc>
          <w:tcPr>
            <w:tcW w:w="699" w:type="pct"/>
            <w:shd w:val="clear" w:color="auto" w:fill="auto"/>
            <w:vAlign w:val="center"/>
          </w:tcPr>
          <w:p w14:paraId="73F0D2E2">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imes New Roman" w:hAnsi="Times New Roman" w:eastAsia="宋体" w:cs="Times New Roman"/>
                <w:b/>
                <w:bCs/>
                <w:kern w:val="2"/>
                <w:sz w:val="21"/>
                <w:szCs w:val="21"/>
                <w:highlight w:val="none"/>
                <w:vertAlign w:val="baseline"/>
                <w:lang w:val="en-US" w:eastAsia="zh-CN" w:bidi="ar-SA"/>
              </w:rPr>
            </w:pPr>
            <w:r>
              <w:rPr>
                <w:rFonts w:hint="eastAsia"/>
                <w:b/>
                <w:bCs/>
                <w:sz w:val="21"/>
                <w:szCs w:val="21"/>
                <w:highlight w:val="none"/>
                <w:vertAlign w:val="baseline"/>
                <w:lang w:val="en-US" w:eastAsia="zh-CN"/>
              </w:rPr>
              <w:t>产污环节</w:t>
            </w:r>
          </w:p>
        </w:tc>
        <w:tc>
          <w:tcPr>
            <w:tcW w:w="2183" w:type="pct"/>
            <w:vAlign w:val="center"/>
          </w:tcPr>
          <w:p w14:paraId="046776EA">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b/>
                <w:bCs/>
                <w:sz w:val="21"/>
                <w:szCs w:val="21"/>
                <w:highlight w:val="none"/>
                <w:vertAlign w:val="baseline"/>
                <w:lang w:val="en-US" w:eastAsia="zh-CN"/>
              </w:rPr>
            </w:pPr>
            <w:r>
              <w:rPr>
                <w:rFonts w:hint="eastAsia"/>
                <w:b/>
                <w:bCs/>
                <w:sz w:val="21"/>
                <w:szCs w:val="21"/>
                <w:highlight w:val="none"/>
                <w:vertAlign w:val="baseline"/>
                <w:lang w:val="en-US" w:eastAsia="zh-CN"/>
              </w:rPr>
              <w:t>主要污染因子</w:t>
            </w:r>
          </w:p>
        </w:tc>
        <w:tc>
          <w:tcPr>
            <w:tcW w:w="837" w:type="pct"/>
            <w:vAlign w:val="center"/>
          </w:tcPr>
          <w:p w14:paraId="7648FF49">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b/>
                <w:bCs/>
                <w:sz w:val="21"/>
                <w:szCs w:val="21"/>
                <w:highlight w:val="none"/>
                <w:vertAlign w:val="baseline"/>
                <w:lang w:val="en-US" w:eastAsia="zh-CN"/>
              </w:rPr>
            </w:pPr>
            <w:r>
              <w:rPr>
                <w:rFonts w:hint="eastAsia"/>
                <w:b/>
                <w:bCs/>
                <w:sz w:val="21"/>
                <w:szCs w:val="21"/>
                <w:highlight w:val="none"/>
                <w:vertAlign w:val="baseline"/>
                <w:lang w:val="en-US" w:eastAsia="zh-CN"/>
              </w:rPr>
              <w:t>排放去向</w:t>
            </w:r>
          </w:p>
        </w:tc>
      </w:tr>
      <w:tr w14:paraId="2B96E57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60" w:type="pct"/>
            <w:vAlign w:val="center"/>
          </w:tcPr>
          <w:p w14:paraId="55CA40A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废气</w:t>
            </w:r>
          </w:p>
        </w:tc>
        <w:tc>
          <w:tcPr>
            <w:tcW w:w="919" w:type="pct"/>
            <w:vAlign w:val="center"/>
          </w:tcPr>
          <w:p w14:paraId="422498F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堆浸、焙烧废气</w:t>
            </w:r>
          </w:p>
        </w:tc>
        <w:tc>
          <w:tcPr>
            <w:tcW w:w="699" w:type="pct"/>
            <w:shd w:val="clear" w:color="auto" w:fill="auto"/>
            <w:vAlign w:val="center"/>
          </w:tcPr>
          <w:p w14:paraId="32711C2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kern w:val="2"/>
                <w:sz w:val="21"/>
                <w:szCs w:val="21"/>
                <w:highlight w:val="none"/>
                <w:vertAlign w:val="baseline"/>
                <w:lang w:val="en-US" w:eastAsia="zh-CN" w:bidi="ar-SA"/>
              </w:rPr>
            </w:pPr>
            <w:r>
              <w:rPr>
                <w:rFonts w:hint="eastAsia"/>
                <w:sz w:val="21"/>
                <w:szCs w:val="21"/>
                <w:highlight w:val="none"/>
                <w:vertAlign w:val="baseline"/>
                <w:lang w:val="en-US" w:eastAsia="zh-CN"/>
              </w:rPr>
              <w:t>堆浸、焙烧</w:t>
            </w:r>
          </w:p>
        </w:tc>
        <w:tc>
          <w:tcPr>
            <w:tcW w:w="2183" w:type="pct"/>
            <w:vAlign w:val="center"/>
          </w:tcPr>
          <w:p w14:paraId="602BBFE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pH、砷、铅、汞、镉、氰化物等</w:t>
            </w:r>
          </w:p>
        </w:tc>
        <w:tc>
          <w:tcPr>
            <w:tcW w:w="837" w:type="pct"/>
            <w:vAlign w:val="center"/>
          </w:tcPr>
          <w:p w14:paraId="69C9913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周边地表水系</w:t>
            </w:r>
          </w:p>
        </w:tc>
      </w:tr>
      <w:tr w14:paraId="3B9C971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60" w:type="pct"/>
            <w:vAlign w:val="center"/>
          </w:tcPr>
          <w:p w14:paraId="63875DE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废水</w:t>
            </w:r>
          </w:p>
        </w:tc>
        <w:tc>
          <w:tcPr>
            <w:tcW w:w="919" w:type="pct"/>
            <w:vAlign w:val="center"/>
          </w:tcPr>
          <w:p w14:paraId="59E57D0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氰化钠废液</w:t>
            </w:r>
          </w:p>
        </w:tc>
        <w:tc>
          <w:tcPr>
            <w:tcW w:w="699" w:type="pct"/>
            <w:shd w:val="clear" w:color="auto" w:fill="auto"/>
            <w:vAlign w:val="center"/>
          </w:tcPr>
          <w:p w14:paraId="1E72334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kern w:val="2"/>
                <w:sz w:val="21"/>
                <w:szCs w:val="21"/>
                <w:highlight w:val="none"/>
                <w:vertAlign w:val="baseline"/>
                <w:lang w:val="en-US" w:eastAsia="zh-CN" w:bidi="ar-SA"/>
              </w:rPr>
            </w:pPr>
            <w:r>
              <w:rPr>
                <w:rFonts w:hint="eastAsia"/>
                <w:sz w:val="21"/>
                <w:szCs w:val="21"/>
                <w:highlight w:val="none"/>
                <w:vertAlign w:val="baseline"/>
                <w:lang w:val="en-US" w:eastAsia="zh-CN"/>
              </w:rPr>
              <w:t>堆浸</w:t>
            </w:r>
          </w:p>
        </w:tc>
        <w:tc>
          <w:tcPr>
            <w:tcW w:w="2183" w:type="pct"/>
            <w:vAlign w:val="center"/>
          </w:tcPr>
          <w:p w14:paraId="458EAB7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颗粒物、二氧化硫、氮氧化物、砷、铬、铅、汞、镉、氰化物</w:t>
            </w:r>
          </w:p>
        </w:tc>
        <w:tc>
          <w:tcPr>
            <w:tcW w:w="837" w:type="pct"/>
            <w:vAlign w:val="center"/>
          </w:tcPr>
          <w:p w14:paraId="5521DC9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大气</w:t>
            </w:r>
          </w:p>
        </w:tc>
      </w:tr>
      <w:tr w14:paraId="4A5080C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60" w:type="pct"/>
            <w:vAlign w:val="center"/>
          </w:tcPr>
          <w:p w14:paraId="5C50158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废渣</w:t>
            </w:r>
          </w:p>
        </w:tc>
        <w:tc>
          <w:tcPr>
            <w:tcW w:w="919" w:type="pct"/>
            <w:vAlign w:val="center"/>
          </w:tcPr>
          <w:p w14:paraId="4EF3E39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尾矿</w:t>
            </w:r>
          </w:p>
        </w:tc>
        <w:tc>
          <w:tcPr>
            <w:tcW w:w="699" w:type="pct"/>
            <w:shd w:val="clear" w:color="auto" w:fill="auto"/>
            <w:vAlign w:val="center"/>
          </w:tcPr>
          <w:p w14:paraId="13DB6FE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kern w:val="2"/>
                <w:sz w:val="21"/>
                <w:szCs w:val="21"/>
                <w:highlight w:val="none"/>
                <w:vertAlign w:val="baseline"/>
                <w:lang w:val="en-US" w:eastAsia="zh-CN" w:bidi="ar-SA"/>
              </w:rPr>
            </w:pPr>
            <w:r>
              <w:rPr>
                <w:rFonts w:hint="eastAsia"/>
                <w:sz w:val="21"/>
                <w:szCs w:val="21"/>
                <w:highlight w:val="none"/>
                <w:vertAlign w:val="baseline"/>
                <w:lang w:val="en-US" w:eastAsia="zh-CN"/>
              </w:rPr>
              <w:t>堆浸、焙烧</w:t>
            </w:r>
          </w:p>
        </w:tc>
        <w:tc>
          <w:tcPr>
            <w:tcW w:w="2183" w:type="pct"/>
            <w:vAlign w:val="center"/>
          </w:tcPr>
          <w:p w14:paraId="3C2D65B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砷、铬、铅、汞、镉、氰化物等</w:t>
            </w:r>
          </w:p>
        </w:tc>
        <w:tc>
          <w:tcPr>
            <w:tcW w:w="837" w:type="pct"/>
            <w:vAlign w:val="center"/>
          </w:tcPr>
          <w:p w14:paraId="0427907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就地无序堆存</w:t>
            </w:r>
          </w:p>
        </w:tc>
      </w:tr>
    </w:tbl>
    <w:p w14:paraId="68AAC3B6">
      <w:pPr>
        <w:pStyle w:val="10"/>
        <w:numPr>
          <w:ilvl w:val="3"/>
          <w:numId w:val="1"/>
        </w:numPr>
        <w:bidi w:val="0"/>
        <w:ind w:left="850" w:leftChars="0" w:hanging="850" w:firstLineChars="0"/>
        <w:rPr>
          <w:rFonts w:hint="eastAsia"/>
          <w:lang w:val="en-US" w:eastAsia="zh-CN"/>
        </w:rPr>
      </w:pPr>
      <w:r>
        <w:rPr>
          <w:rFonts w:hint="eastAsia"/>
          <w:lang w:val="en-US" w:eastAsia="zh-CN"/>
        </w:rPr>
        <w:t>遗留废渣属性判定和区域污染现状调查</w:t>
      </w:r>
    </w:p>
    <w:p w14:paraId="262FD05A">
      <w:pPr>
        <w:rPr>
          <w:rFonts w:hint="eastAsia"/>
          <w:b/>
          <w:bCs/>
          <w:highlight w:val="none"/>
          <w:lang w:val="en-US" w:eastAsia="zh-CN"/>
        </w:rPr>
      </w:pPr>
      <w:r>
        <w:rPr>
          <w:rFonts w:hint="eastAsia"/>
          <w:b/>
          <w:bCs/>
          <w:highlight w:val="none"/>
          <w:lang w:val="en-US" w:eastAsia="zh-CN"/>
        </w:rPr>
        <w:t>（1）遗留废渣属性判定</w:t>
      </w:r>
    </w:p>
    <w:p w14:paraId="19ADF64E">
      <w:pPr>
        <w:ind w:firstLine="480"/>
      </w:pPr>
      <w:r>
        <w:rPr>
          <w:rFonts w:hint="eastAsia"/>
        </w:rPr>
        <w:t>平江县三阳乡人民政府于2022年8月委托湖南安博检测有限公司编制了《平江县三阳乡南尧村片区（垂拱组、仙人组）历史遗留重金属废渣污染状况调查报告》（以下简称</w:t>
      </w:r>
      <w:r>
        <w:rPr>
          <w:rFonts w:hint="eastAsia"/>
          <w:lang w:eastAsia="zh-CN"/>
        </w:rPr>
        <w:t>“</w:t>
      </w:r>
      <w:r>
        <w:rPr>
          <w:rFonts w:hint="eastAsia"/>
        </w:rPr>
        <w:t>污染状况调查报告</w:t>
      </w:r>
      <w:r>
        <w:rPr>
          <w:rFonts w:hint="eastAsia"/>
          <w:lang w:eastAsia="zh-CN"/>
        </w:rPr>
        <w:t>”</w:t>
      </w:r>
      <w:r>
        <w:rPr>
          <w:rFonts w:hint="eastAsia"/>
        </w:rPr>
        <w:t>）并通过专家评审会。</w:t>
      </w:r>
    </w:p>
    <w:p w14:paraId="02085403">
      <w:pPr>
        <w:ind w:firstLine="480"/>
      </w:pPr>
      <w:r>
        <w:rPr>
          <w:rFonts w:hint="eastAsia"/>
        </w:rPr>
        <w:t>根据污染状况调查报告，为判定遗留废渣的固废属性，污染状况调查报告将南尧村1#废渣堆划分为3个分区，将南尧村2#废渣堆划分为6个分区（具体分区情况见表3.1-4），并在各渣堆分区内设置了17个固体废物采样点位，开展遗留废渣的腐蚀性鉴别和进出毒性鉴别。</w:t>
      </w:r>
    </w:p>
    <w:p w14:paraId="4F53C6FE">
      <w:pPr>
        <w:bidi w:val="0"/>
        <w:rPr>
          <w:rFonts w:hint="eastAsia"/>
          <w:highlight w:val="none"/>
          <w:lang w:val="en-US" w:eastAsia="zh-CN"/>
        </w:rPr>
      </w:pPr>
      <w:r>
        <w:rPr>
          <w:rFonts w:hint="eastAsia"/>
        </w:rPr>
        <w:t>2022年6月27日和2022年7月1日，湖南安博检测有限公司对遗留废渣进行了采样检测，根据遗留废渣的污染物特征，按照《危险废物鉴别标准  浸出毒性鉴别》（GB5085.3-2007）的要求，开展危险废物鉴别，按照《一般工业固体废物贮存、处置场污染控制标准》（GB18599-2020）中的要求开展一般固废属性判定</w:t>
      </w:r>
      <w:r>
        <w:rPr>
          <w:rFonts w:hint="eastAsia"/>
          <w:highlight w:val="none"/>
          <w:lang w:val="en-US" w:eastAsia="zh-CN"/>
        </w:rPr>
        <w:t>。</w:t>
      </w:r>
    </w:p>
    <w:p w14:paraId="45044498">
      <w:pPr>
        <w:ind w:left="0" w:leftChars="0" w:firstLine="0" w:firstLineChars="0"/>
        <w:jc w:val="center"/>
        <w:rPr>
          <w:rFonts w:hint="default"/>
          <w:b/>
          <w:bCs/>
          <w:sz w:val="21"/>
          <w:szCs w:val="21"/>
          <w:highlight w:val="none"/>
          <w:lang w:val="en-US" w:eastAsia="zh-CN"/>
        </w:rPr>
      </w:pPr>
      <w:r>
        <w:rPr>
          <w:rFonts w:hint="eastAsia"/>
          <w:b/>
          <w:bCs/>
          <w:sz w:val="21"/>
          <w:szCs w:val="21"/>
          <w:highlight w:val="none"/>
          <w:lang w:val="en-US" w:eastAsia="zh-CN"/>
        </w:rPr>
        <w:t>表3.1-4  废渣堆分区设置和各分区矿渣方量统计表</w:t>
      </w:r>
    </w:p>
    <w:tbl>
      <w:tblPr>
        <w:tblStyle w:val="36"/>
        <w:tblW w:w="4998"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2136"/>
        <w:gridCol w:w="1554"/>
        <w:gridCol w:w="1846"/>
        <w:gridCol w:w="1846"/>
        <w:gridCol w:w="1846"/>
      </w:tblGrid>
      <w:tr w14:paraId="6CBF737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7" w:hRule="atLeast"/>
        </w:trPr>
        <w:tc>
          <w:tcPr>
            <w:tcW w:w="1157" w:type="pct"/>
            <w:vAlign w:val="center"/>
          </w:tcPr>
          <w:p w14:paraId="43E17F19">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b/>
                <w:bCs/>
                <w:sz w:val="21"/>
                <w:szCs w:val="21"/>
                <w:highlight w:val="none"/>
                <w:vertAlign w:val="baseline"/>
                <w:lang w:val="en-US" w:eastAsia="zh-CN"/>
              </w:rPr>
            </w:pPr>
            <w:r>
              <w:rPr>
                <w:rFonts w:hint="eastAsia"/>
                <w:b/>
                <w:bCs/>
                <w:sz w:val="21"/>
                <w:szCs w:val="21"/>
                <w:highlight w:val="none"/>
                <w:vertAlign w:val="baseline"/>
                <w:lang w:val="en-US" w:eastAsia="zh-CN"/>
              </w:rPr>
              <w:t>废渣堆</w:t>
            </w:r>
          </w:p>
        </w:tc>
        <w:tc>
          <w:tcPr>
            <w:tcW w:w="841" w:type="pct"/>
            <w:vAlign w:val="center"/>
          </w:tcPr>
          <w:p w14:paraId="57AF1AD9">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b/>
                <w:bCs/>
                <w:sz w:val="21"/>
                <w:szCs w:val="21"/>
                <w:highlight w:val="none"/>
                <w:vertAlign w:val="baseline"/>
                <w:lang w:val="en-US" w:eastAsia="zh-CN"/>
              </w:rPr>
            </w:pPr>
            <w:r>
              <w:rPr>
                <w:rFonts w:hint="eastAsia"/>
                <w:b/>
                <w:bCs/>
                <w:sz w:val="21"/>
                <w:szCs w:val="21"/>
                <w:highlight w:val="none"/>
                <w:vertAlign w:val="baseline"/>
                <w:lang w:val="en-US" w:eastAsia="zh-CN"/>
              </w:rPr>
              <w:t>渣堆分区</w:t>
            </w:r>
          </w:p>
        </w:tc>
        <w:tc>
          <w:tcPr>
            <w:tcW w:w="1000" w:type="pct"/>
            <w:vAlign w:val="center"/>
          </w:tcPr>
          <w:p w14:paraId="40FF399D">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b/>
                <w:bCs/>
                <w:sz w:val="21"/>
                <w:szCs w:val="21"/>
                <w:highlight w:val="none"/>
                <w:vertAlign w:val="baseline"/>
                <w:lang w:val="en-US" w:eastAsia="zh-CN"/>
              </w:rPr>
            </w:pPr>
            <w:r>
              <w:rPr>
                <w:rFonts w:hint="eastAsia"/>
                <w:b/>
                <w:bCs/>
                <w:sz w:val="21"/>
                <w:szCs w:val="21"/>
                <w:highlight w:val="none"/>
                <w:vertAlign w:val="baseline"/>
                <w:lang w:val="en-US" w:eastAsia="zh-CN"/>
              </w:rPr>
              <w:t>矿渣面积（m</w:t>
            </w:r>
            <w:r>
              <w:rPr>
                <w:rFonts w:hint="eastAsia"/>
                <w:b/>
                <w:bCs/>
                <w:sz w:val="21"/>
                <w:szCs w:val="21"/>
                <w:highlight w:val="none"/>
                <w:vertAlign w:val="superscript"/>
                <w:lang w:val="en-US" w:eastAsia="zh-CN"/>
              </w:rPr>
              <w:t>2</w:t>
            </w:r>
            <w:r>
              <w:rPr>
                <w:rFonts w:hint="eastAsia"/>
                <w:b/>
                <w:bCs/>
                <w:sz w:val="21"/>
                <w:szCs w:val="21"/>
                <w:highlight w:val="none"/>
                <w:vertAlign w:val="baseline"/>
                <w:lang w:val="en-US" w:eastAsia="zh-CN"/>
              </w:rPr>
              <w:t>）</w:t>
            </w:r>
          </w:p>
        </w:tc>
        <w:tc>
          <w:tcPr>
            <w:tcW w:w="1000" w:type="pct"/>
            <w:vAlign w:val="center"/>
          </w:tcPr>
          <w:p w14:paraId="27C7E634">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b/>
                <w:bCs/>
                <w:sz w:val="21"/>
                <w:szCs w:val="21"/>
                <w:highlight w:val="none"/>
                <w:vertAlign w:val="baseline"/>
                <w:lang w:val="en-US" w:eastAsia="zh-CN"/>
              </w:rPr>
            </w:pPr>
            <w:r>
              <w:rPr>
                <w:rFonts w:hint="eastAsia"/>
                <w:b/>
                <w:bCs/>
                <w:sz w:val="21"/>
                <w:szCs w:val="21"/>
                <w:highlight w:val="none"/>
                <w:vertAlign w:val="baseline"/>
                <w:lang w:val="en-US" w:eastAsia="zh-CN"/>
              </w:rPr>
              <w:t>矿渣厚度（m）</w:t>
            </w:r>
          </w:p>
        </w:tc>
        <w:tc>
          <w:tcPr>
            <w:tcW w:w="1000" w:type="pct"/>
            <w:vAlign w:val="center"/>
          </w:tcPr>
          <w:p w14:paraId="2937A72B">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b/>
                <w:bCs/>
                <w:sz w:val="21"/>
                <w:szCs w:val="21"/>
                <w:highlight w:val="none"/>
                <w:vertAlign w:val="baseline"/>
                <w:lang w:val="en-US" w:eastAsia="zh-CN"/>
              </w:rPr>
            </w:pPr>
            <w:r>
              <w:rPr>
                <w:rFonts w:hint="eastAsia"/>
                <w:b/>
                <w:bCs/>
                <w:sz w:val="21"/>
                <w:szCs w:val="21"/>
                <w:highlight w:val="none"/>
                <w:vertAlign w:val="baseline"/>
                <w:lang w:val="en-US" w:eastAsia="zh-CN"/>
              </w:rPr>
              <w:t>矿渣方量（m</w:t>
            </w:r>
            <w:r>
              <w:rPr>
                <w:rFonts w:hint="eastAsia"/>
                <w:b/>
                <w:bCs/>
                <w:sz w:val="21"/>
                <w:szCs w:val="21"/>
                <w:highlight w:val="none"/>
                <w:vertAlign w:val="superscript"/>
                <w:lang w:val="en-US" w:eastAsia="zh-CN"/>
              </w:rPr>
              <w:t>3</w:t>
            </w:r>
            <w:r>
              <w:rPr>
                <w:rFonts w:hint="eastAsia"/>
                <w:b/>
                <w:bCs/>
                <w:sz w:val="21"/>
                <w:szCs w:val="21"/>
                <w:highlight w:val="none"/>
                <w:vertAlign w:val="baseline"/>
                <w:lang w:val="en-US" w:eastAsia="zh-CN"/>
              </w:rPr>
              <w:t>）</w:t>
            </w:r>
          </w:p>
        </w:tc>
      </w:tr>
      <w:tr w14:paraId="7E81D27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57" w:type="pct"/>
            <w:vMerge w:val="restart"/>
            <w:vAlign w:val="center"/>
          </w:tcPr>
          <w:p w14:paraId="41C9D74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default" w:ascii="Times New Roman" w:hAnsi="Times New Roman" w:cs="Times New Roman"/>
                <w:sz w:val="21"/>
                <w:szCs w:val="21"/>
                <w:highlight w:val="none"/>
                <w:vertAlign w:val="baseline"/>
                <w:lang w:val="en-US" w:eastAsia="zh-CN"/>
              </w:rPr>
              <w:t>南尧村</w:t>
            </w:r>
            <w:r>
              <w:rPr>
                <w:rFonts w:hint="eastAsia" w:ascii="Times New Roman" w:hAnsi="Times New Roman" w:cs="Times New Roman"/>
                <w:sz w:val="21"/>
                <w:szCs w:val="21"/>
                <w:highlight w:val="none"/>
                <w:vertAlign w:val="baseline"/>
                <w:lang w:val="en-US" w:eastAsia="zh-CN"/>
              </w:rPr>
              <w:t>1</w:t>
            </w:r>
            <w:r>
              <w:rPr>
                <w:rFonts w:hint="eastAsia" w:cs="Times New Roman"/>
                <w:sz w:val="21"/>
                <w:szCs w:val="21"/>
                <w:highlight w:val="none"/>
                <w:vertAlign w:val="baseline"/>
                <w:lang w:val="en-US" w:eastAsia="zh-CN"/>
              </w:rPr>
              <w:t>#</w:t>
            </w:r>
            <w:r>
              <w:rPr>
                <w:rFonts w:hint="eastAsia"/>
                <w:sz w:val="21"/>
                <w:szCs w:val="21"/>
                <w:highlight w:val="none"/>
                <w:vertAlign w:val="baseline"/>
                <w:lang w:val="en-US" w:eastAsia="zh-CN"/>
              </w:rPr>
              <w:t>废渣堆</w:t>
            </w:r>
          </w:p>
        </w:tc>
        <w:tc>
          <w:tcPr>
            <w:tcW w:w="841" w:type="pct"/>
            <w:vAlign w:val="center"/>
          </w:tcPr>
          <w:p w14:paraId="0DA511F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Ⅰ区</w:t>
            </w:r>
          </w:p>
        </w:tc>
        <w:tc>
          <w:tcPr>
            <w:tcW w:w="1000" w:type="pct"/>
            <w:vAlign w:val="center"/>
          </w:tcPr>
          <w:p w14:paraId="0DF554A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420.0</w:t>
            </w:r>
          </w:p>
        </w:tc>
        <w:tc>
          <w:tcPr>
            <w:tcW w:w="1000" w:type="pct"/>
            <w:vAlign w:val="center"/>
          </w:tcPr>
          <w:p w14:paraId="6E868B4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1.6</w:t>
            </w:r>
          </w:p>
        </w:tc>
        <w:tc>
          <w:tcPr>
            <w:tcW w:w="1000" w:type="pct"/>
            <w:vAlign w:val="center"/>
          </w:tcPr>
          <w:p w14:paraId="6BE33EA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672.0</w:t>
            </w:r>
          </w:p>
        </w:tc>
      </w:tr>
      <w:tr w14:paraId="618E2AD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57" w:type="pct"/>
            <w:vMerge w:val="continue"/>
            <w:vAlign w:val="center"/>
          </w:tcPr>
          <w:p w14:paraId="5E799A5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vertAlign w:val="baseline"/>
                <w:lang w:val="en-US" w:eastAsia="zh-CN"/>
              </w:rPr>
            </w:pPr>
          </w:p>
        </w:tc>
        <w:tc>
          <w:tcPr>
            <w:tcW w:w="841" w:type="pct"/>
            <w:vAlign w:val="center"/>
          </w:tcPr>
          <w:p w14:paraId="7129C54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Ⅱ区</w:t>
            </w:r>
          </w:p>
        </w:tc>
        <w:tc>
          <w:tcPr>
            <w:tcW w:w="1000" w:type="pct"/>
            <w:vAlign w:val="center"/>
          </w:tcPr>
          <w:p w14:paraId="77AB240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584.0</w:t>
            </w:r>
          </w:p>
        </w:tc>
        <w:tc>
          <w:tcPr>
            <w:tcW w:w="1000" w:type="pct"/>
            <w:vAlign w:val="center"/>
          </w:tcPr>
          <w:p w14:paraId="08460B3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1.8</w:t>
            </w:r>
          </w:p>
        </w:tc>
        <w:tc>
          <w:tcPr>
            <w:tcW w:w="1000" w:type="pct"/>
            <w:vAlign w:val="center"/>
          </w:tcPr>
          <w:p w14:paraId="0440FC9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1051.2</w:t>
            </w:r>
          </w:p>
        </w:tc>
      </w:tr>
      <w:tr w14:paraId="0248D73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57" w:type="pct"/>
            <w:vMerge w:val="continue"/>
            <w:vAlign w:val="center"/>
          </w:tcPr>
          <w:p w14:paraId="5858914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vertAlign w:val="baseline"/>
                <w:lang w:val="en-US" w:eastAsia="zh-CN"/>
              </w:rPr>
            </w:pPr>
          </w:p>
        </w:tc>
        <w:tc>
          <w:tcPr>
            <w:tcW w:w="841" w:type="pct"/>
            <w:vAlign w:val="center"/>
          </w:tcPr>
          <w:p w14:paraId="50688F9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Ⅲ区</w:t>
            </w:r>
          </w:p>
        </w:tc>
        <w:tc>
          <w:tcPr>
            <w:tcW w:w="1000" w:type="pct"/>
            <w:vAlign w:val="center"/>
          </w:tcPr>
          <w:p w14:paraId="057C285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1514.0</w:t>
            </w:r>
          </w:p>
        </w:tc>
        <w:tc>
          <w:tcPr>
            <w:tcW w:w="1000" w:type="pct"/>
            <w:vAlign w:val="center"/>
          </w:tcPr>
          <w:p w14:paraId="09982DA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3.68</w:t>
            </w:r>
          </w:p>
        </w:tc>
        <w:tc>
          <w:tcPr>
            <w:tcW w:w="1000" w:type="pct"/>
            <w:vAlign w:val="center"/>
          </w:tcPr>
          <w:p w14:paraId="1D77502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5571.52</w:t>
            </w:r>
          </w:p>
        </w:tc>
      </w:tr>
      <w:tr w14:paraId="7CB0D65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57" w:type="pct"/>
            <w:vMerge w:val="restart"/>
            <w:vAlign w:val="center"/>
          </w:tcPr>
          <w:p w14:paraId="52E5D3B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default" w:ascii="Times New Roman" w:hAnsi="Times New Roman" w:cs="Times New Roman"/>
                <w:sz w:val="21"/>
                <w:szCs w:val="21"/>
                <w:highlight w:val="none"/>
                <w:vertAlign w:val="baseline"/>
                <w:lang w:val="en-US" w:eastAsia="zh-CN"/>
              </w:rPr>
              <w:t>南尧村</w:t>
            </w:r>
            <w:r>
              <w:rPr>
                <w:rFonts w:hint="eastAsia" w:ascii="Times New Roman" w:hAnsi="Times New Roman" w:cs="Times New Roman"/>
                <w:sz w:val="21"/>
                <w:szCs w:val="21"/>
                <w:highlight w:val="none"/>
                <w:vertAlign w:val="baseline"/>
                <w:lang w:val="en-US" w:eastAsia="zh-CN"/>
              </w:rPr>
              <w:t>2</w:t>
            </w:r>
            <w:r>
              <w:rPr>
                <w:rFonts w:hint="eastAsia" w:cs="Times New Roman"/>
                <w:sz w:val="21"/>
                <w:szCs w:val="21"/>
                <w:highlight w:val="none"/>
                <w:vertAlign w:val="baseline"/>
                <w:lang w:val="en-US" w:eastAsia="zh-CN"/>
              </w:rPr>
              <w:t>#</w:t>
            </w:r>
            <w:r>
              <w:rPr>
                <w:rFonts w:hint="eastAsia"/>
                <w:sz w:val="21"/>
                <w:szCs w:val="21"/>
                <w:highlight w:val="none"/>
                <w:vertAlign w:val="baseline"/>
                <w:lang w:val="en-US" w:eastAsia="zh-CN"/>
              </w:rPr>
              <w:t>废渣堆</w:t>
            </w:r>
          </w:p>
        </w:tc>
        <w:tc>
          <w:tcPr>
            <w:tcW w:w="841" w:type="pct"/>
            <w:shd w:val="clear" w:color="auto" w:fill="auto"/>
            <w:vAlign w:val="center"/>
          </w:tcPr>
          <w:p w14:paraId="45E4ECE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default" w:ascii="Times New Roman" w:hAnsi="Times New Roman" w:eastAsia="宋体" w:cs="Times New Roman"/>
                <w:sz w:val="21"/>
                <w:szCs w:val="21"/>
                <w:highlight w:val="none"/>
                <w:vertAlign w:val="baseline"/>
                <w:lang w:val="en-US" w:eastAsia="zh-CN"/>
              </w:rPr>
              <w:t>Ⅰ区</w:t>
            </w:r>
          </w:p>
        </w:tc>
        <w:tc>
          <w:tcPr>
            <w:tcW w:w="1000" w:type="pct"/>
            <w:vAlign w:val="center"/>
          </w:tcPr>
          <w:p w14:paraId="1DB6522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1418.0</w:t>
            </w:r>
          </w:p>
        </w:tc>
        <w:tc>
          <w:tcPr>
            <w:tcW w:w="1000" w:type="pct"/>
            <w:vAlign w:val="center"/>
          </w:tcPr>
          <w:p w14:paraId="349D8BC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4.7</w:t>
            </w:r>
          </w:p>
        </w:tc>
        <w:tc>
          <w:tcPr>
            <w:tcW w:w="1000" w:type="pct"/>
            <w:vAlign w:val="center"/>
          </w:tcPr>
          <w:p w14:paraId="5EA6AE7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6664.6</w:t>
            </w:r>
          </w:p>
        </w:tc>
      </w:tr>
      <w:tr w14:paraId="7FF12BD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57" w:type="pct"/>
            <w:vMerge w:val="continue"/>
            <w:vAlign w:val="center"/>
          </w:tcPr>
          <w:p w14:paraId="2488174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vertAlign w:val="baseline"/>
                <w:lang w:val="en-US" w:eastAsia="zh-CN"/>
              </w:rPr>
            </w:pPr>
          </w:p>
        </w:tc>
        <w:tc>
          <w:tcPr>
            <w:tcW w:w="841" w:type="pct"/>
            <w:shd w:val="clear" w:color="auto" w:fill="auto"/>
            <w:vAlign w:val="center"/>
          </w:tcPr>
          <w:p w14:paraId="5A44B0D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default" w:ascii="Times New Roman" w:hAnsi="Times New Roman" w:eastAsia="宋体" w:cs="Times New Roman"/>
                <w:sz w:val="21"/>
                <w:szCs w:val="21"/>
                <w:highlight w:val="none"/>
                <w:vertAlign w:val="baseline"/>
                <w:lang w:val="en-US" w:eastAsia="zh-CN"/>
              </w:rPr>
              <w:t>Ⅱ区</w:t>
            </w:r>
          </w:p>
        </w:tc>
        <w:tc>
          <w:tcPr>
            <w:tcW w:w="1000" w:type="pct"/>
            <w:vAlign w:val="center"/>
          </w:tcPr>
          <w:p w14:paraId="319AA06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530.0</w:t>
            </w:r>
          </w:p>
        </w:tc>
        <w:tc>
          <w:tcPr>
            <w:tcW w:w="1000" w:type="pct"/>
            <w:vAlign w:val="center"/>
          </w:tcPr>
          <w:p w14:paraId="19831ED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4.1</w:t>
            </w:r>
          </w:p>
        </w:tc>
        <w:tc>
          <w:tcPr>
            <w:tcW w:w="1000" w:type="pct"/>
            <w:vAlign w:val="center"/>
          </w:tcPr>
          <w:p w14:paraId="4A6F2D4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2173.0</w:t>
            </w:r>
          </w:p>
        </w:tc>
      </w:tr>
      <w:tr w14:paraId="4856A7C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57" w:type="pct"/>
            <w:vMerge w:val="continue"/>
            <w:vAlign w:val="center"/>
          </w:tcPr>
          <w:p w14:paraId="6FBF568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vertAlign w:val="baseline"/>
                <w:lang w:val="en-US" w:eastAsia="zh-CN"/>
              </w:rPr>
            </w:pPr>
          </w:p>
        </w:tc>
        <w:tc>
          <w:tcPr>
            <w:tcW w:w="841" w:type="pct"/>
            <w:shd w:val="clear" w:color="auto" w:fill="auto"/>
            <w:vAlign w:val="center"/>
          </w:tcPr>
          <w:p w14:paraId="240469B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default" w:ascii="Times New Roman" w:hAnsi="Times New Roman" w:eastAsia="宋体" w:cs="Times New Roman"/>
                <w:sz w:val="21"/>
                <w:szCs w:val="21"/>
                <w:highlight w:val="none"/>
                <w:vertAlign w:val="baseline"/>
                <w:lang w:val="en-US" w:eastAsia="zh-CN"/>
              </w:rPr>
              <w:t>Ⅲ区</w:t>
            </w:r>
          </w:p>
        </w:tc>
        <w:tc>
          <w:tcPr>
            <w:tcW w:w="1000" w:type="pct"/>
            <w:vAlign w:val="center"/>
          </w:tcPr>
          <w:p w14:paraId="22E81BE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618.0</w:t>
            </w:r>
          </w:p>
        </w:tc>
        <w:tc>
          <w:tcPr>
            <w:tcW w:w="1000" w:type="pct"/>
            <w:vAlign w:val="center"/>
          </w:tcPr>
          <w:p w14:paraId="7B8EB23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6.1</w:t>
            </w:r>
          </w:p>
        </w:tc>
        <w:tc>
          <w:tcPr>
            <w:tcW w:w="1000" w:type="pct"/>
            <w:vAlign w:val="center"/>
          </w:tcPr>
          <w:p w14:paraId="009150E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3769.8</w:t>
            </w:r>
          </w:p>
        </w:tc>
      </w:tr>
      <w:tr w14:paraId="721D4AC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57" w:type="pct"/>
            <w:vMerge w:val="continue"/>
            <w:vAlign w:val="center"/>
          </w:tcPr>
          <w:p w14:paraId="6A0570E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vertAlign w:val="baseline"/>
                <w:lang w:val="en-US" w:eastAsia="zh-CN"/>
              </w:rPr>
            </w:pPr>
          </w:p>
        </w:tc>
        <w:tc>
          <w:tcPr>
            <w:tcW w:w="841" w:type="pct"/>
            <w:vAlign w:val="center"/>
          </w:tcPr>
          <w:p w14:paraId="2F33ABD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Ⅳ区</w:t>
            </w:r>
          </w:p>
        </w:tc>
        <w:tc>
          <w:tcPr>
            <w:tcW w:w="1000" w:type="pct"/>
            <w:vAlign w:val="center"/>
          </w:tcPr>
          <w:p w14:paraId="183C738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317.0</w:t>
            </w:r>
          </w:p>
        </w:tc>
        <w:tc>
          <w:tcPr>
            <w:tcW w:w="1000" w:type="pct"/>
            <w:vAlign w:val="center"/>
          </w:tcPr>
          <w:p w14:paraId="28F3071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2.7</w:t>
            </w:r>
          </w:p>
        </w:tc>
        <w:tc>
          <w:tcPr>
            <w:tcW w:w="1000" w:type="pct"/>
            <w:vAlign w:val="center"/>
          </w:tcPr>
          <w:p w14:paraId="6D3DBB7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855.9</w:t>
            </w:r>
          </w:p>
        </w:tc>
      </w:tr>
      <w:tr w14:paraId="0A9E8DC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57" w:type="pct"/>
            <w:vMerge w:val="continue"/>
            <w:vAlign w:val="center"/>
          </w:tcPr>
          <w:p w14:paraId="5E304C1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vertAlign w:val="baseline"/>
                <w:lang w:val="en-US" w:eastAsia="zh-CN"/>
              </w:rPr>
            </w:pPr>
          </w:p>
        </w:tc>
        <w:tc>
          <w:tcPr>
            <w:tcW w:w="841" w:type="pct"/>
            <w:vAlign w:val="center"/>
          </w:tcPr>
          <w:p w14:paraId="19989EA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Ⅴ区</w:t>
            </w:r>
          </w:p>
        </w:tc>
        <w:tc>
          <w:tcPr>
            <w:tcW w:w="1000" w:type="pct"/>
            <w:vAlign w:val="center"/>
          </w:tcPr>
          <w:p w14:paraId="1DC4936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458.0</w:t>
            </w:r>
          </w:p>
        </w:tc>
        <w:tc>
          <w:tcPr>
            <w:tcW w:w="1000" w:type="pct"/>
            <w:vAlign w:val="center"/>
          </w:tcPr>
          <w:p w14:paraId="1494608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4.5</w:t>
            </w:r>
          </w:p>
        </w:tc>
        <w:tc>
          <w:tcPr>
            <w:tcW w:w="1000" w:type="pct"/>
            <w:vAlign w:val="center"/>
          </w:tcPr>
          <w:p w14:paraId="23D3E5E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2061.0</w:t>
            </w:r>
          </w:p>
        </w:tc>
      </w:tr>
      <w:tr w14:paraId="2793A6D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57" w:type="pct"/>
            <w:vMerge w:val="continue"/>
            <w:vAlign w:val="center"/>
          </w:tcPr>
          <w:p w14:paraId="7D83988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vertAlign w:val="baseline"/>
                <w:lang w:val="en-US" w:eastAsia="zh-CN"/>
              </w:rPr>
            </w:pPr>
          </w:p>
        </w:tc>
        <w:tc>
          <w:tcPr>
            <w:tcW w:w="841" w:type="pct"/>
            <w:vAlign w:val="center"/>
          </w:tcPr>
          <w:p w14:paraId="6F1E9DE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Ⅵ区</w:t>
            </w:r>
          </w:p>
        </w:tc>
        <w:tc>
          <w:tcPr>
            <w:tcW w:w="1000" w:type="pct"/>
            <w:vAlign w:val="center"/>
          </w:tcPr>
          <w:p w14:paraId="102423D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3151.0</w:t>
            </w:r>
          </w:p>
        </w:tc>
        <w:tc>
          <w:tcPr>
            <w:tcW w:w="1000" w:type="pct"/>
            <w:vAlign w:val="center"/>
          </w:tcPr>
          <w:p w14:paraId="78B2305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6.1</w:t>
            </w:r>
          </w:p>
        </w:tc>
        <w:tc>
          <w:tcPr>
            <w:tcW w:w="1000" w:type="pct"/>
            <w:vAlign w:val="center"/>
          </w:tcPr>
          <w:p w14:paraId="1968A33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19221.1</w:t>
            </w:r>
          </w:p>
        </w:tc>
      </w:tr>
      <w:tr w14:paraId="549E703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99" w:type="pct"/>
            <w:gridSpan w:val="2"/>
            <w:vAlign w:val="center"/>
          </w:tcPr>
          <w:p w14:paraId="5A4A13B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cs="宋体"/>
                <w:sz w:val="21"/>
                <w:szCs w:val="21"/>
                <w:highlight w:val="none"/>
                <w:vertAlign w:val="baseline"/>
                <w:lang w:val="en-US" w:eastAsia="zh-CN"/>
              </w:rPr>
            </w:pPr>
            <w:r>
              <w:rPr>
                <w:rFonts w:hint="eastAsia" w:ascii="宋体" w:hAnsi="宋体" w:eastAsia="宋体" w:cs="宋体"/>
                <w:sz w:val="21"/>
                <w:szCs w:val="21"/>
                <w:highlight w:val="none"/>
                <w:vertAlign w:val="baseline"/>
                <w:lang w:val="en-US" w:eastAsia="zh-CN"/>
              </w:rPr>
              <w:t>总计</w:t>
            </w:r>
          </w:p>
        </w:tc>
        <w:tc>
          <w:tcPr>
            <w:tcW w:w="1846" w:type="dxa"/>
            <w:vAlign w:val="center"/>
          </w:tcPr>
          <w:p w14:paraId="1B9325A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9010</w:t>
            </w:r>
          </w:p>
        </w:tc>
        <w:tc>
          <w:tcPr>
            <w:tcW w:w="1846" w:type="dxa"/>
            <w:vAlign w:val="center"/>
          </w:tcPr>
          <w:p w14:paraId="039C9B6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w:t>
            </w:r>
          </w:p>
        </w:tc>
        <w:tc>
          <w:tcPr>
            <w:tcW w:w="1846" w:type="dxa"/>
            <w:vAlign w:val="center"/>
          </w:tcPr>
          <w:p w14:paraId="7A7B392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42040.12</w:t>
            </w:r>
          </w:p>
        </w:tc>
      </w:tr>
      <w:tr w14:paraId="6E4E47A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99" w:type="pct"/>
            <w:gridSpan w:val="2"/>
            <w:vMerge w:val="restart"/>
            <w:vAlign w:val="center"/>
          </w:tcPr>
          <w:p w14:paraId="41235FA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cs="宋体"/>
                <w:sz w:val="21"/>
                <w:szCs w:val="21"/>
                <w:highlight w:val="none"/>
                <w:vertAlign w:val="baseline"/>
                <w:lang w:val="en-US" w:eastAsia="zh-CN"/>
              </w:rPr>
            </w:pPr>
            <w:r>
              <w:rPr>
                <w:rFonts w:hint="eastAsia" w:ascii="宋体" w:hAnsi="宋体" w:eastAsia="宋体" w:cs="宋体"/>
                <w:sz w:val="21"/>
                <w:szCs w:val="21"/>
                <w:highlight w:val="none"/>
                <w:vertAlign w:val="baseline"/>
                <w:lang w:val="en-US" w:eastAsia="zh-CN"/>
              </w:rPr>
              <w:t>其中</w:t>
            </w:r>
          </w:p>
        </w:tc>
        <w:tc>
          <w:tcPr>
            <w:tcW w:w="1846" w:type="dxa"/>
            <w:vAlign w:val="center"/>
          </w:tcPr>
          <w:p w14:paraId="215C3B8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1418</w:t>
            </w:r>
          </w:p>
        </w:tc>
        <w:tc>
          <w:tcPr>
            <w:tcW w:w="1846" w:type="dxa"/>
            <w:vAlign w:val="center"/>
          </w:tcPr>
          <w:p w14:paraId="7223285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w:t>
            </w:r>
          </w:p>
        </w:tc>
        <w:tc>
          <w:tcPr>
            <w:tcW w:w="1846" w:type="dxa"/>
            <w:vAlign w:val="center"/>
          </w:tcPr>
          <w:p w14:paraId="34B7E6A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6664.6</w:t>
            </w:r>
          </w:p>
        </w:tc>
      </w:tr>
      <w:tr w14:paraId="109DCD2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99" w:type="pct"/>
            <w:gridSpan w:val="2"/>
            <w:vMerge w:val="continue"/>
            <w:vAlign w:val="center"/>
          </w:tcPr>
          <w:p w14:paraId="05A625D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1"/>
                <w:szCs w:val="21"/>
                <w:highlight w:val="none"/>
                <w:vertAlign w:val="baseline"/>
                <w:lang w:val="en-US" w:eastAsia="zh-CN"/>
              </w:rPr>
            </w:pPr>
          </w:p>
        </w:tc>
        <w:tc>
          <w:tcPr>
            <w:tcW w:w="1846" w:type="dxa"/>
            <w:vAlign w:val="center"/>
          </w:tcPr>
          <w:p w14:paraId="23E5C6C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7592</w:t>
            </w:r>
          </w:p>
        </w:tc>
        <w:tc>
          <w:tcPr>
            <w:tcW w:w="1846" w:type="dxa"/>
            <w:vAlign w:val="center"/>
          </w:tcPr>
          <w:p w14:paraId="51D814F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w:t>
            </w:r>
          </w:p>
        </w:tc>
        <w:tc>
          <w:tcPr>
            <w:tcW w:w="1846" w:type="dxa"/>
            <w:vAlign w:val="center"/>
          </w:tcPr>
          <w:p w14:paraId="3475DB3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35375.52</w:t>
            </w:r>
          </w:p>
        </w:tc>
      </w:tr>
    </w:tbl>
    <w:p w14:paraId="1B7B9B0C">
      <w:pPr>
        <w:bidi w:val="0"/>
        <w:rPr>
          <w:rFonts w:hint="eastAsia"/>
          <w:highlight w:val="yellow"/>
          <w:lang w:val="en-US" w:eastAsia="zh-CN"/>
        </w:rPr>
      </w:pPr>
      <w:r>
        <w:rPr>
          <w:rFonts w:hint="eastAsia"/>
        </w:rPr>
        <w:t>各渣堆分区检测点位布设和采样情况见表3.1-5~6</w:t>
      </w:r>
      <w:r>
        <w:rPr>
          <w:rFonts w:hint="eastAsia"/>
          <w:highlight w:val="none"/>
          <w:lang w:val="en-US" w:eastAsia="zh-CN"/>
        </w:rPr>
        <w:t>。</w:t>
      </w:r>
    </w:p>
    <w:p w14:paraId="5FBE35D2">
      <w:pPr>
        <w:ind w:left="0" w:leftChars="0" w:firstLine="0" w:firstLineChars="0"/>
        <w:jc w:val="center"/>
        <w:rPr>
          <w:rFonts w:hint="default"/>
          <w:b/>
          <w:bCs/>
          <w:sz w:val="21"/>
          <w:szCs w:val="21"/>
          <w:highlight w:val="none"/>
          <w:lang w:val="en-US" w:eastAsia="zh-CN"/>
        </w:rPr>
      </w:pPr>
      <w:r>
        <w:rPr>
          <w:rFonts w:hint="eastAsia"/>
          <w:b/>
          <w:bCs/>
          <w:sz w:val="21"/>
          <w:szCs w:val="21"/>
          <w:highlight w:val="none"/>
          <w:lang w:val="en-US" w:eastAsia="zh-CN"/>
        </w:rPr>
        <w:t>表3.1-5  南尧村1#废渣堆固废布点方案</w:t>
      </w:r>
    </w:p>
    <w:tbl>
      <w:tblPr>
        <w:tblStyle w:val="36"/>
        <w:tblW w:w="4997"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728"/>
        <w:gridCol w:w="1095"/>
        <w:gridCol w:w="1394"/>
        <w:gridCol w:w="1071"/>
        <w:gridCol w:w="1424"/>
        <w:gridCol w:w="1553"/>
        <w:gridCol w:w="961"/>
      </w:tblGrid>
      <w:tr w14:paraId="3270DCA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blHeader/>
        </w:trPr>
        <w:tc>
          <w:tcPr>
            <w:tcW w:w="936" w:type="pct"/>
            <w:vAlign w:val="center"/>
          </w:tcPr>
          <w:p w14:paraId="26C5F65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bCs/>
                <w:sz w:val="21"/>
                <w:szCs w:val="21"/>
                <w:highlight w:val="none"/>
                <w:vertAlign w:val="baseline"/>
                <w:lang w:val="en-US" w:eastAsia="zh-CN"/>
              </w:rPr>
            </w:pPr>
            <w:r>
              <w:rPr>
                <w:rFonts w:hint="eastAsia"/>
                <w:b/>
                <w:bCs/>
                <w:sz w:val="21"/>
                <w:szCs w:val="21"/>
                <w:highlight w:val="none"/>
                <w:vertAlign w:val="baseline"/>
                <w:lang w:val="en-US" w:eastAsia="zh-CN"/>
              </w:rPr>
              <w:t>区域</w:t>
            </w:r>
          </w:p>
        </w:tc>
        <w:tc>
          <w:tcPr>
            <w:tcW w:w="593" w:type="pct"/>
            <w:vAlign w:val="center"/>
          </w:tcPr>
          <w:p w14:paraId="312FD55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bCs/>
                <w:sz w:val="21"/>
                <w:szCs w:val="21"/>
                <w:highlight w:val="none"/>
                <w:vertAlign w:val="baseline"/>
                <w:lang w:val="en-US" w:eastAsia="zh-CN"/>
              </w:rPr>
            </w:pPr>
            <w:r>
              <w:rPr>
                <w:rFonts w:hint="eastAsia"/>
                <w:b/>
                <w:bCs/>
                <w:sz w:val="21"/>
                <w:szCs w:val="21"/>
                <w:highlight w:val="none"/>
                <w:vertAlign w:val="baseline"/>
                <w:lang w:val="en-US" w:eastAsia="zh-CN"/>
              </w:rPr>
              <w:t>采样日期</w:t>
            </w:r>
          </w:p>
        </w:tc>
        <w:tc>
          <w:tcPr>
            <w:tcW w:w="755" w:type="pct"/>
            <w:shd w:val="clear" w:color="auto" w:fill="auto"/>
            <w:vAlign w:val="center"/>
          </w:tcPr>
          <w:p w14:paraId="0CD5D26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bCs/>
                <w:kern w:val="2"/>
                <w:sz w:val="21"/>
                <w:szCs w:val="21"/>
                <w:highlight w:val="none"/>
                <w:vertAlign w:val="baseline"/>
                <w:lang w:val="en-US" w:eastAsia="zh-CN" w:bidi="ar-SA"/>
              </w:rPr>
            </w:pPr>
            <w:r>
              <w:rPr>
                <w:rFonts w:hint="eastAsia"/>
                <w:b/>
                <w:bCs/>
                <w:sz w:val="21"/>
                <w:szCs w:val="21"/>
                <w:highlight w:val="none"/>
                <w:vertAlign w:val="baseline"/>
                <w:lang w:val="en-US" w:eastAsia="zh-CN"/>
              </w:rPr>
              <w:t>对应点位号</w:t>
            </w:r>
          </w:p>
        </w:tc>
        <w:tc>
          <w:tcPr>
            <w:tcW w:w="580" w:type="pct"/>
            <w:vAlign w:val="center"/>
          </w:tcPr>
          <w:p w14:paraId="3918C53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b/>
                <w:bCs/>
                <w:sz w:val="21"/>
                <w:szCs w:val="21"/>
                <w:highlight w:val="none"/>
                <w:vertAlign w:val="baseline"/>
                <w:lang w:val="en-US" w:eastAsia="zh-CN"/>
              </w:rPr>
            </w:pPr>
            <w:r>
              <w:rPr>
                <w:rFonts w:hint="eastAsia"/>
                <w:b/>
                <w:bCs/>
                <w:sz w:val="21"/>
                <w:szCs w:val="21"/>
                <w:highlight w:val="none"/>
                <w:vertAlign w:val="baseline"/>
                <w:lang w:val="en-US" w:eastAsia="zh-CN"/>
              </w:rPr>
              <w:t>采样深度</w:t>
            </w:r>
          </w:p>
          <w:p w14:paraId="4E7E91D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bCs/>
                <w:sz w:val="21"/>
                <w:szCs w:val="21"/>
                <w:highlight w:val="none"/>
                <w:vertAlign w:val="baseline"/>
                <w:lang w:val="en-US" w:eastAsia="zh-CN"/>
              </w:rPr>
            </w:pPr>
            <w:r>
              <w:rPr>
                <w:rFonts w:hint="eastAsia"/>
                <w:b/>
                <w:bCs/>
                <w:sz w:val="21"/>
                <w:szCs w:val="21"/>
                <w:highlight w:val="none"/>
                <w:vertAlign w:val="baseline"/>
                <w:lang w:val="en-US" w:eastAsia="zh-CN"/>
              </w:rPr>
              <w:t>（m）</w:t>
            </w:r>
          </w:p>
        </w:tc>
        <w:tc>
          <w:tcPr>
            <w:tcW w:w="771" w:type="pct"/>
            <w:vAlign w:val="center"/>
          </w:tcPr>
          <w:p w14:paraId="6B66688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bCs/>
                <w:sz w:val="21"/>
                <w:szCs w:val="21"/>
                <w:highlight w:val="none"/>
                <w:vertAlign w:val="baseline"/>
                <w:lang w:val="en-US" w:eastAsia="zh-CN"/>
              </w:rPr>
            </w:pPr>
            <w:r>
              <w:rPr>
                <w:rFonts w:hint="default" w:ascii="Times New Roman" w:hAnsi="Times New Roman" w:cs="Times New Roman"/>
                <w:b/>
                <w:bCs/>
                <w:sz w:val="21"/>
                <w:szCs w:val="21"/>
                <w:highlight w:val="none"/>
                <w:vertAlign w:val="baseline"/>
                <w:lang w:val="en-US" w:eastAsia="zh-CN"/>
              </w:rPr>
              <w:t>经度（°）</w:t>
            </w:r>
          </w:p>
        </w:tc>
        <w:tc>
          <w:tcPr>
            <w:tcW w:w="841" w:type="pct"/>
            <w:vAlign w:val="center"/>
          </w:tcPr>
          <w:p w14:paraId="7D4A4DFA">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cs="Times New Roman"/>
                <w:b/>
                <w:bCs/>
                <w:sz w:val="21"/>
                <w:szCs w:val="21"/>
                <w:highlight w:val="none"/>
                <w:vertAlign w:val="baseline"/>
                <w:lang w:val="en-US" w:eastAsia="zh-CN"/>
              </w:rPr>
            </w:pPr>
            <w:r>
              <w:rPr>
                <w:rFonts w:hint="default" w:ascii="Times New Roman" w:hAnsi="Times New Roman" w:cs="Times New Roman"/>
                <w:b/>
                <w:bCs/>
                <w:sz w:val="21"/>
                <w:szCs w:val="21"/>
                <w:highlight w:val="none"/>
                <w:vertAlign w:val="baseline"/>
                <w:lang w:val="en-US" w:eastAsia="zh-CN"/>
              </w:rPr>
              <w:t>纬度（°）</w:t>
            </w:r>
          </w:p>
        </w:tc>
        <w:tc>
          <w:tcPr>
            <w:tcW w:w="520" w:type="pct"/>
            <w:vAlign w:val="center"/>
          </w:tcPr>
          <w:p w14:paraId="76650EF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bCs/>
                <w:sz w:val="21"/>
                <w:szCs w:val="21"/>
                <w:highlight w:val="none"/>
                <w:vertAlign w:val="baseline"/>
                <w:lang w:val="en-US" w:eastAsia="zh-CN"/>
              </w:rPr>
            </w:pPr>
            <w:r>
              <w:rPr>
                <w:rFonts w:hint="eastAsia"/>
                <w:b/>
                <w:bCs/>
                <w:sz w:val="21"/>
                <w:szCs w:val="21"/>
                <w:highlight w:val="none"/>
                <w:vertAlign w:val="baseline"/>
                <w:lang w:val="en-US" w:eastAsia="zh-CN"/>
              </w:rPr>
              <w:t>样品数</w:t>
            </w:r>
          </w:p>
        </w:tc>
      </w:tr>
      <w:tr w14:paraId="6658538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936" w:type="pct"/>
            <w:vAlign w:val="center"/>
          </w:tcPr>
          <w:p w14:paraId="2E448F6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南尧村1#废渣堆Ⅰ</w:t>
            </w:r>
            <w:r>
              <w:rPr>
                <w:rFonts w:hint="default" w:ascii="Times New Roman" w:hAnsi="Times New Roman" w:cs="Times New Roman"/>
                <w:sz w:val="21"/>
                <w:szCs w:val="21"/>
                <w:highlight w:val="none"/>
                <w:vertAlign w:val="baseline"/>
                <w:lang w:val="en-US" w:eastAsia="zh-CN"/>
              </w:rPr>
              <w:t>区</w:t>
            </w:r>
          </w:p>
        </w:tc>
        <w:tc>
          <w:tcPr>
            <w:tcW w:w="593" w:type="pct"/>
            <w:vMerge w:val="restart"/>
            <w:vAlign w:val="center"/>
          </w:tcPr>
          <w:p w14:paraId="1036DAD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2022.6.27</w:t>
            </w:r>
          </w:p>
        </w:tc>
        <w:tc>
          <w:tcPr>
            <w:tcW w:w="755" w:type="pct"/>
            <w:shd w:val="clear" w:color="auto" w:fill="auto"/>
            <w:vAlign w:val="center"/>
          </w:tcPr>
          <w:p w14:paraId="4EDE6F4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kern w:val="2"/>
                <w:sz w:val="21"/>
                <w:szCs w:val="21"/>
                <w:highlight w:val="none"/>
                <w:vertAlign w:val="baseline"/>
                <w:lang w:val="en-US" w:eastAsia="zh-CN" w:bidi="ar-SA"/>
              </w:rPr>
            </w:pPr>
            <w:r>
              <w:rPr>
                <w:rFonts w:hint="eastAsia"/>
                <w:sz w:val="21"/>
                <w:szCs w:val="21"/>
                <w:highlight w:val="none"/>
                <w:vertAlign w:val="baseline"/>
                <w:lang w:val="en-US" w:eastAsia="zh-CN"/>
              </w:rPr>
              <w:t>ZK1-5</w:t>
            </w:r>
          </w:p>
        </w:tc>
        <w:tc>
          <w:tcPr>
            <w:tcW w:w="580" w:type="pct"/>
            <w:vAlign w:val="center"/>
          </w:tcPr>
          <w:p w14:paraId="7EA0E00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4.7</w:t>
            </w:r>
          </w:p>
        </w:tc>
        <w:tc>
          <w:tcPr>
            <w:tcW w:w="771" w:type="pct"/>
            <w:vAlign w:val="center"/>
          </w:tcPr>
          <w:p w14:paraId="7DF3AF4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113.549649</w:t>
            </w:r>
          </w:p>
        </w:tc>
        <w:tc>
          <w:tcPr>
            <w:tcW w:w="841" w:type="pct"/>
            <w:vAlign w:val="center"/>
          </w:tcPr>
          <w:p w14:paraId="7F81372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28.648721</w:t>
            </w:r>
          </w:p>
        </w:tc>
        <w:tc>
          <w:tcPr>
            <w:tcW w:w="520" w:type="pct"/>
            <w:vAlign w:val="center"/>
          </w:tcPr>
          <w:p w14:paraId="7F3BD11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1</w:t>
            </w:r>
          </w:p>
        </w:tc>
      </w:tr>
      <w:tr w14:paraId="4B293E3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936" w:type="pct"/>
            <w:vMerge w:val="restart"/>
            <w:vAlign w:val="center"/>
          </w:tcPr>
          <w:p w14:paraId="325D94D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南尧村1#废渣堆Ⅱ</w:t>
            </w:r>
            <w:r>
              <w:rPr>
                <w:rFonts w:hint="default" w:ascii="Times New Roman" w:hAnsi="Times New Roman" w:cs="Times New Roman"/>
                <w:sz w:val="21"/>
                <w:szCs w:val="21"/>
                <w:highlight w:val="none"/>
                <w:vertAlign w:val="baseline"/>
                <w:lang w:val="en-US" w:eastAsia="zh-CN"/>
              </w:rPr>
              <w:t>区</w:t>
            </w:r>
          </w:p>
        </w:tc>
        <w:tc>
          <w:tcPr>
            <w:tcW w:w="593" w:type="pct"/>
            <w:vMerge w:val="continue"/>
            <w:vAlign w:val="center"/>
          </w:tcPr>
          <w:p w14:paraId="3123ECC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p>
        </w:tc>
        <w:tc>
          <w:tcPr>
            <w:tcW w:w="755" w:type="pct"/>
            <w:shd w:val="clear" w:color="auto" w:fill="auto"/>
            <w:vAlign w:val="center"/>
          </w:tcPr>
          <w:p w14:paraId="4D3085E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kern w:val="2"/>
                <w:sz w:val="21"/>
                <w:szCs w:val="21"/>
                <w:highlight w:val="none"/>
                <w:vertAlign w:val="baseline"/>
                <w:lang w:val="en-US" w:eastAsia="zh-CN" w:bidi="ar-SA"/>
              </w:rPr>
            </w:pPr>
            <w:r>
              <w:rPr>
                <w:rFonts w:hint="eastAsia"/>
                <w:sz w:val="21"/>
                <w:szCs w:val="21"/>
                <w:highlight w:val="none"/>
                <w:vertAlign w:val="baseline"/>
                <w:lang w:val="en-US" w:eastAsia="zh-CN"/>
              </w:rPr>
              <w:t>ZK1-1</w:t>
            </w:r>
          </w:p>
        </w:tc>
        <w:tc>
          <w:tcPr>
            <w:tcW w:w="580" w:type="pct"/>
            <w:vAlign w:val="center"/>
          </w:tcPr>
          <w:p w14:paraId="6CEFF32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4.2</w:t>
            </w:r>
          </w:p>
        </w:tc>
        <w:tc>
          <w:tcPr>
            <w:tcW w:w="771" w:type="pct"/>
            <w:vAlign w:val="center"/>
          </w:tcPr>
          <w:p w14:paraId="320F0E2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113.549217</w:t>
            </w:r>
          </w:p>
        </w:tc>
        <w:tc>
          <w:tcPr>
            <w:tcW w:w="841" w:type="pct"/>
            <w:vAlign w:val="center"/>
          </w:tcPr>
          <w:p w14:paraId="6FCE58A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28.648601</w:t>
            </w:r>
          </w:p>
        </w:tc>
        <w:tc>
          <w:tcPr>
            <w:tcW w:w="520" w:type="pct"/>
            <w:vAlign w:val="center"/>
          </w:tcPr>
          <w:p w14:paraId="6C1A7FB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1</w:t>
            </w:r>
          </w:p>
        </w:tc>
      </w:tr>
      <w:tr w14:paraId="0C8893D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936" w:type="pct"/>
            <w:vMerge w:val="continue"/>
            <w:vAlign w:val="center"/>
          </w:tcPr>
          <w:p w14:paraId="73E03DD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vertAlign w:val="baseline"/>
                <w:lang w:val="en-US" w:eastAsia="zh-CN"/>
              </w:rPr>
            </w:pPr>
          </w:p>
        </w:tc>
        <w:tc>
          <w:tcPr>
            <w:tcW w:w="593" w:type="pct"/>
            <w:vMerge w:val="continue"/>
            <w:vAlign w:val="center"/>
          </w:tcPr>
          <w:p w14:paraId="11C7258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p>
        </w:tc>
        <w:tc>
          <w:tcPr>
            <w:tcW w:w="755" w:type="pct"/>
            <w:shd w:val="clear" w:color="auto" w:fill="auto"/>
            <w:vAlign w:val="center"/>
          </w:tcPr>
          <w:p w14:paraId="20B2E36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kern w:val="2"/>
                <w:sz w:val="21"/>
                <w:szCs w:val="21"/>
                <w:highlight w:val="none"/>
                <w:vertAlign w:val="baseline"/>
                <w:lang w:val="en-US" w:eastAsia="zh-CN" w:bidi="ar-SA"/>
              </w:rPr>
            </w:pPr>
            <w:r>
              <w:rPr>
                <w:rFonts w:hint="eastAsia"/>
                <w:sz w:val="21"/>
                <w:szCs w:val="21"/>
                <w:highlight w:val="none"/>
                <w:vertAlign w:val="baseline"/>
                <w:lang w:val="en-US" w:eastAsia="zh-CN"/>
              </w:rPr>
              <w:t>ZK1-2</w:t>
            </w:r>
          </w:p>
        </w:tc>
        <w:tc>
          <w:tcPr>
            <w:tcW w:w="580" w:type="pct"/>
            <w:vAlign w:val="center"/>
          </w:tcPr>
          <w:p w14:paraId="3975EFF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2.7</w:t>
            </w:r>
          </w:p>
        </w:tc>
        <w:tc>
          <w:tcPr>
            <w:tcW w:w="771" w:type="pct"/>
            <w:vAlign w:val="center"/>
          </w:tcPr>
          <w:p w14:paraId="5DB81A0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113.549460</w:t>
            </w:r>
          </w:p>
        </w:tc>
        <w:tc>
          <w:tcPr>
            <w:tcW w:w="841" w:type="pct"/>
            <w:vAlign w:val="center"/>
          </w:tcPr>
          <w:p w14:paraId="27F6598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28.645532</w:t>
            </w:r>
          </w:p>
        </w:tc>
        <w:tc>
          <w:tcPr>
            <w:tcW w:w="520" w:type="pct"/>
            <w:vAlign w:val="center"/>
          </w:tcPr>
          <w:p w14:paraId="22C0842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1</w:t>
            </w:r>
          </w:p>
        </w:tc>
      </w:tr>
      <w:tr w14:paraId="259C3B3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936" w:type="pct"/>
            <w:vMerge w:val="continue"/>
            <w:vAlign w:val="center"/>
          </w:tcPr>
          <w:p w14:paraId="7C30F79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vertAlign w:val="baseline"/>
                <w:lang w:val="en-US" w:eastAsia="zh-CN"/>
              </w:rPr>
            </w:pPr>
          </w:p>
        </w:tc>
        <w:tc>
          <w:tcPr>
            <w:tcW w:w="593" w:type="pct"/>
            <w:vMerge w:val="continue"/>
            <w:vAlign w:val="center"/>
          </w:tcPr>
          <w:p w14:paraId="1C43F57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p>
        </w:tc>
        <w:tc>
          <w:tcPr>
            <w:tcW w:w="755" w:type="pct"/>
            <w:shd w:val="clear" w:color="auto" w:fill="auto"/>
            <w:vAlign w:val="center"/>
          </w:tcPr>
          <w:p w14:paraId="5E73ED8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kern w:val="2"/>
                <w:sz w:val="21"/>
                <w:szCs w:val="21"/>
                <w:highlight w:val="none"/>
                <w:vertAlign w:val="baseline"/>
                <w:lang w:val="en-US" w:eastAsia="zh-CN" w:bidi="ar-SA"/>
              </w:rPr>
            </w:pPr>
            <w:r>
              <w:rPr>
                <w:rFonts w:hint="eastAsia"/>
                <w:sz w:val="21"/>
                <w:szCs w:val="21"/>
                <w:highlight w:val="none"/>
                <w:vertAlign w:val="baseline"/>
                <w:lang w:val="en-US" w:eastAsia="zh-CN"/>
              </w:rPr>
              <w:t>ZK1-3</w:t>
            </w:r>
          </w:p>
        </w:tc>
        <w:tc>
          <w:tcPr>
            <w:tcW w:w="580" w:type="pct"/>
            <w:vAlign w:val="center"/>
          </w:tcPr>
          <w:p w14:paraId="3514EEE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6.7</w:t>
            </w:r>
          </w:p>
        </w:tc>
        <w:tc>
          <w:tcPr>
            <w:tcW w:w="771" w:type="pct"/>
            <w:vAlign w:val="center"/>
          </w:tcPr>
          <w:p w14:paraId="0458F34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113.549387</w:t>
            </w:r>
          </w:p>
        </w:tc>
        <w:tc>
          <w:tcPr>
            <w:tcW w:w="841" w:type="pct"/>
            <w:vAlign w:val="center"/>
          </w:tcPr>
          <w:p w14:paraId="17B6129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28.648491</w:t>
            </w:r>
          </w:p>
        </w:tc>
        <w:tc>
          <w:tcPr>
            <w:tcW w:w="520" w:type="pct"/>
            <w:vAlign w:val="center"/>
          </w:tcPr>
          <w:p w14:paraId="5235856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1</w:t>
            </w:r>
          </w:p>
        </w:tc>
      </w:tr>
      <w:tr w14:paraId="1794807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936" w:type="pct"/>
            <w:vMerge w:val="continue"/>
            <w:vAlign w:val="center"/>
          </w:tcPr>
          <w:p w14:paraId="325A37F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vertAlign w:val="baseline"/>
                <w:lang w:val="en-US" w:eastAsia="zh-CN"/>
              </w:rPr>
            </w:pPr>
          </w:p>
        </w:tc>
        <w:tc>
          <w:tcPr>
            <w:tcW w:w="593" w:type="pct"/>
            <w:vMerge w:val="continue"/>
            <w:vAlign w:val="center"/>
          </w:tcPr>
          <w:p w14:paraId="165BE46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p>
        </w:tc>
        <w:tc>
          <w:tcPr>
            <w:tcW w:w="755" w:type="pct"/>
            <w:shd w:val="clear" w:color="auto" w:fill="auto"/>
            <w:vAlign w:val="center"/>
          </w:tcPr>
          <w:p w14:paraId="0C1565E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kern w:val="2"/>
                <w:sz w:val="21"/>
                <w:szCs w:val="21"/>
                <w:highlight w:val="none"/>
                <w:vertAlign w:val="baseline"/>
                <w:lang w:val="en-US" w:eastAsia="zh-CN" w:bidi="ar-SA"/>
              </w:rPr>
            </w:pPr>
            <w:r>
              <w:rPr>
                <w:rFonts w:hint="eastAsia"/>
                <w:sz w:val="21"/>
                <w:szCs w:val="21"/>
                <w:highlight w:val="none"/>
                <w:vertAlign w:val="baseline"/>
                <w:lang w:val="en-US" w:eastAsia="zh-CN"/>
              </w:rPr>
              <w:t>ZK1-4</w:t>
            </w:r>
          </w:p>
        </w:tc>
        <w:tc>
          <w:tcPr>
            <w:tcW w:w="580" w:type="pct"/>
            <w:vAlign w:val="center"/>
          </w:tcPr>
          <w:p w14:paraId="63F7F61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4.6</w:t>
            </w:r>
          </w:p>
        </w:tc>
        <w:tc>
          <w:tcPr>
            <w:tcW w:w="771" w:type="pct"/>
            <w:vAlign w:val="center"/>
          </w:tcPr>
          <w:p w14:paraId="00D62D4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113.549953</w:t>
            </w:r>
          </w:p>
        </w:tc>
        <w:tc>
          <w:tcPr>
            <w:tcW w:w="841" w:type="pct"/>
            <w:vAlign w:val="center"/>
          </w:tcPr>
          <w:p w14:paraId="6F3D4CB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28.648782</w:t>
            </w:r>
          </w:p>
        </w:tc>
        <w:tc>
          <w:tcPr>
            <w:tcW w:w="520" w:type="pct"/>
            <w:vAlign w:val="center"/>
          </w:tcPr>
          <w:p w14:paraId="48B1E54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1</w:t>
            </w:r>
          </w:p>
        </w:tc>
      </w:tr>
    </w:tbl>
    <w:p w14:paraId="73D5A218">
      <w:pPr>
        <w:ind w:left="0" w:leftChars="0" w:firstLine="0" w:firstLineChars="0"/>
        <w:jc w:val="center"/>
      </w:pPr>
      <w:r>
        <w:drawing>
          <wp:inline distT="0" distB="0" distL="114300" distR="114300">
            <wp:extent cx="5507990" cy="3959860"/>
            <wp:effectExtent l="0" t="0" r="16510" b="2540"/>
            <wp:docPr id="15" name="图片 22"/>
            <wp:cNvGraphicFramePr/>
            <a:graphic xmlns:a="http://schemas.openxmlformats.org/drawingml/2006/main">
              <a:graphicData uri="http://schemas.openxmlformats.org/drawingml/2006/picture">
                <pic:pic xmlns:pic="http://schemas.openxmlformats.org/drawingml/2006/picture">
                  <pic:nvPicPr>
                    <pic:cNvPr id="15" name="图片 22"/>
                    <pic:cNvPicPr/>
                  </pic:nvPicPr>
                  <pic:blipFill>
                    <a:blip r:embed="rId22"/>
                    <a:stretch>
                      <a:fillRect/>
                    </a:stretch>
                  </pic:blipFill>
                  <pic:spPr>
                    <a:xfrm>
                      <a:off x="0" y="0"/>
                      <a:ext cx="5507990" cy="3959860"/>
                    </a:xfrm>
                    <a:prstGeom prst="rect">
                      <a:avLst/>
                    </a:prstGeom>
                    <a:noFill/>
                    <a:ln>
                      <a:noFill/>
                    </a:ln>
                  </pic:spPr>
                </pic:pic>
              </a:graphicData>
            </a:graphic>
          </wp:inline>
        </w:drawing>
      </w:r>
    </w:p>
    <w:p w14:paraId="5C7097F4">
      <w:pPr>
        <w:ind w:left="0" w:leftChars="0" w:firstLine="0" w:firstLineChars="0"/>
        <w:jc w:val="center"/>
        <w:rPr>
          <w:rFonts w:hint="default" w:eastAsia="宋体"/>
          <w:b/>
          <w:bCs/>
          <w:sz w:val="21"/>
          <w:szCs w:val="21"/>
          <w:lang w:val="en-US" w:eastAsia="zh-CN"/>
        </w:rPr>
      </w:pPr>
      <w:r>
        <w:rPr>
          <w:rFonts w:hint="eastAsia"/>
          <w:b/>
          <w:bCs/>
          <w:sz w:val="21"/>
          <w:szCs w:val="21"/>
          <w:lang w:val="en-US" w:eastAsia="zh-CN"/>
        </w:rPr>
        <w:t>图3.1-3  南尧村1#废渣堆采样布点图</w:t>
      </w:r>
    </w:p>
    <w:p w14:paraId="14AA59AB">
      <w:pPr>
        <w:ind w:left="0" w:leftChars="0" w:firstLine="0" w:firstLineChars="0"/>
        <w:jc w:val="center"/>
        <w:rPr>
          <w:rFonts w:hint="default"/>
          <w:b/>
          <w:bCs/>
          <w:sz w:val="21"/>
          <w:szCs w:val="21"/>
          <w:highlight w:val="none"/>
          <w:lang w:val="en-US" w:eastAsia="zh-CN"/>
        </w:rPr>
      </w:pPr>
      <w:r>
        <w:rPr>
          <w:rFonts w:hint="eastAsia"/>
          <w:b/>
          <w:bCs/>
          <w:sz w:val="21"/>
          <w:szCs w:val="21"/>
          <w:highlight w:val="none"/>
          <w:lang w:val="en-US" w:eastAsia="zh-CN"/>
        </w:rPr>
        <w:t>表3.1-6  南尧村2#废渣堆固废布点方案</w:t>
      </w:r>
    </w:p>
    <w:tbl>
      <w:tblPr>
        <w:tblStyle w:val="36"/>
        <w:tblW w:w="4996"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2204"/>
        <w:gridCol w:w="1390"/>
        <w:gridCol w:w="1353"/>
        <w:gridCol w:w="1623"/>
        <w:gridCol w:w="1625"/>
        <w:gridCol w:w="1030"/>
      </w:tblGrid>
      <w:tr w14:paraId="5771DDD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blHeader/>
        </w:trPr>
        <w:tc>
          <w:tcPr>
            <w:tcW w:w="1194" w:type="pct"/>
            <w:vAlign w:val="center"/>
          </w:tcPr>
          <w:p w14:paraId="488C26A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bCs/>
                <w:sz w:val="21"/>
                <w:szCs w:val="21"/>
                <w:highlight w:val="none"/>
                <w:vertAlign w:val="baseline"/>
                <w:lang w:val="en-US" w:eastAsia="zh-CN"/>
              </w:rPr>
            </w:pPr>
            <w:r>
              <w:rPr>
                <w:rFonts w:hint="eastAsia"/>
                <w:b/>
                <w:bCs/>
                <w:sz w:val="21"/>
                <w:szCs w:val="21"/>
                <w:highlight w:val="none"/>
                <w:vertAlign w:val="baseline"/>
                <w:lang w:val="en-US" w:eastAsia="zh-CN"/>
              </w:rPr>
              <w:t>区域</w:t>
            </w:r>
          </w:p>
        </w:tc>
        <w:tc>
          <w:tcPr>
            <w:tcW w:w="753" w:type="pct"/>
            <w:vAlign w:val="center"/>
          </w:tcPr>
          <w:p w14:paraId="7F9DE7B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bCs/>
                <w:sz w:val="21"/>
                <w:szCs w:val="21"/>
                <w:highlight w:val="none"/>
                <w:vertAlign w:val="baseline"/>
                <w:lang w:val="en-US" w:eastAsia="zh-CN"/>
              </w:rPr>
            </w:pPr>
            <w:r>
              <w:rPr>
                <w:rFonts w:hint="eastAsia"/>
                <w:b/>
                <w:bCs/>
                <w:sz w:val="21"/>
                <w:szCs w:val="21"/>
                <w:highlight w:val="none"/>
                <w:vertAlign w:val="baseline"/>
                <w:lang w:val="en-US" w:eastAsia="zh-CN"/>
              </w:rPr>
              <w:t>对应点位号</w:t>
            </w:r>
          </w:p>
        </w:tc>
        <w:tc>
          <w:tcPr>
            <w:tcW w:w="733" w:type="pct"/>
            <w:vAlign w:val="center"/>
          </w:tcPr>
          <w:p w14:paraId="7AF6D42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bCs/>
                <w:sz w:val="21"/>
                <w:szCs w:val="21"/>
                <w:highlight w:val="none"/>
                <w:vertAlign w:val="baseline"/>
                <w:lang w:val="en-US" w:eastAsia="zh-CN"/>
              </w:rPr>
            </w:pPr>
            <w:r>
              <w:rPr>
                <w:rFonts w:hint="eastAsia"/>
                <w:b/>
                <w:bCs/>
                <w:sz w:val="21"/>
                <w:szCs w:val="21"/>
                <w:highlight w:val="none"/>
                <w:vertAlign w:val="baseline"/>
                <w:lang w:val="en-US" w:eastAsia="zh-CN"/>
              </w:rPr>
              <w:t>采样深度（m）</w:t>
            </w:r>
          </w:p>
        </w:tc>
        <w:tc>
          <w:tcPr>
            <w:tcW w:w="879" w:type="pct"/>
            <w:vAlign w:val="center"/>
          </w:tcPr>
          <w:p w14:paraId="617FAD4B">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b/>
                <w:bCs/>
                <w:sz w:val="21"/>
                <w:szCs w:val="21"/>
                <w:highlight w:val="none"/>
                <w:vertAlign w:val="baseline"/>
                <w:lang w:val="en-US" w:eastAsia="zh-CN"/>
              </w:rPr>
            </w:pPr>
            <w:r>
              <w:rPr>
                <w:rFonts w:hint="eastAsia"/>
                <w:b/>
                <w:bCs/>
                <w:sz w:val="21"/>
                <w:szCs w:val="21"/>
                <w:highlight w:val="none"/>
                <w:vertAlign w:val="baseline"/>
                <w:lang w:val="en-US" w:eastAsia="zh-CN"/>
              </w:rPr>
              <w:t>经度</w:t>
            </w:r>
          </w:p>
        </w:tc>
        <w:tc>
          <w:tcPr>
            <w:tcW w:w="880" w:type="pct"/>
            <w:vAlign w:val="center"/>
          </w:tcPr>
          <w:p w14:paraId="666DBB1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bCs/>
                <w:sz w:val="21"/>
                <w:szCs w:val="21"/>
                <w:highlight w:val="none"/>
                <w:vertAlign w:val="baseline"/>
                <w:lang w:val="en-US" w:eastAsia="zh-CN"/>
              </w:rPr>
            </w:pPr>
            <w:r>
              <w:rPr>
                <w:rFonts w:hint="eastAsia"/>
                <w:b/>
                <w:bCs/>
                <w:sz w:val="21"/>
                <w:szCs w:val="21"/>
                <w:highlight w:val="none"/>
                <w:vertAlign w:val="baseline"/>
                <w:lang w:val="en-US" w:eastAsia="zh-CN"/>
              </w:rPr>
              <w:t>纬度</w:t>
            </w:r>
          </w:p>
        </w:tc>
        <w:tc>
          <w:tcPr>
            <w:tcW w:w="558" w:type="pct"/>
            <w:vAlign w:val="center"/>
          </w:tcPr>
          <w:p w14:paraId="368C2A7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bCs/>
                <w:sz w:val="21"/>
                <w:szCs w:val="21"/>
                <w:highlight w:val="none"/>
                <w:vertAlign w:val="baseline"/>
                <w:lang w:val="en-US" w:eastAsia="zh-CN"/>
              </w:rPr>
            </w:pPr>
            <w:r>
              <w:rPr>
                <w:rFonts w:hint="eastAsia"/>
                <w:b/>
                <w:bCs/>
                <w:sz w:val="21"/>
                <w:szCs w:val="21"/>
                <w:highlight w:val="none"/>
                <w:vertAlign w:val="baseline"/>
                <w:lang w:val="en-US" w:eastAsia="zh-CN"/>
              </w:rPr>
              <w:t>样品数</w:t>
            </w:r>
          </w:p>
        </w:tc>
      </w:tr>
      <w:tr w14:paraId="4A4F192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94" w:type="pct"/>
            <w:vAlign w:val="center"/>
          </w:tcPr>
          <w:p w14:paraId="2C75A9C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default" w:ascii="Times New Roman" w:hAnsi="Times New Roman" w:cs="Times New Roman"/>
                <w:sz w:val="21"/>
                <w:szCs w:val="21"/>
                <w:highlight w:val="none"/>
                <w:vertAlign w:val="baseline"/>
                <w:lang w:val="en-US" w:eastAsia="zh-CN"/>
              </w:rPr>
              <w:t>南尧村2#废渣堆</w:t>
            </w:r>
            <w:r>
              <w:rPr>
                <w:rFonts w:hint="default" w:ascii="Times New Roman" w:hAnsi="Times New Roman" w:eastAsia="宋体" w:cs="Times New Roman"/>
                <w:sz w:val="21"/>
                <w:szCs w:val="21"/>
                <w:highlight w:val="none"/>
                <w:vertAlign w:val="baseline"/>
                <w:lang w:val="en-US" w:eastAsia="zh-CN"/>
              </w:rPr>
              <w:t>Ⅰ</w:t>
            </w:r>
            <w:r>
              <w:rPr>
                <w:rFonts w:hint="default" w:ascii="Times New Roman" w:hAnsi="Times New Roman" w:cs="Times New Roman"/>
                <w:sz w:val="21"/>
                <w:szCs w:val="21"/>
                <w:highlight w:val="none"/>
                <w:vertAlign w:val="baseline"/>
                <w:lang w:val="en-US" w:eastAsia="zh-CN"/>
              </w:rPr>
              <w:t>区</w:t>
            </w:r>
          </w:p>
        </w:tc>
        <w:tc>
          <w:tcPr>
            <w:tcW w:w="753" w:type="pct"/>
            <w:vAlign w:val="center"/>
          </w:tcPr>
          <w:p w14:paraId="25F523F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ZK2-12</w:t>
            </w:r>
          </w:p>
        </w:tc>
        <w:tc>
          <w:tcPr>
            <w:tcW w:w="733" w:type="pct"/>
            <w:vAlign w:val="center"/>
          </w:tcPr>
          <w:p w14:paraId="32709CE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5.8</w:t>
            </w:r>
          </w:p>
        </w:tc>
        <w:tc>
          <w:tcPr>
            <w:tcW w:w="879" w:type="pct"/>
            <w:vAlign w:val="center"/>
          </w:tcPr>
          <w:p w14:paraId="265611D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113.550560</w:t>
            </w:r>
          </w:p>
        </w:tc>
        <w:tc>
          <w:tcPr>
            <w:tcW w:w="880" w:type="pct"/>
            <w:vAlign w:val="center"/>
          </w:tcPr>
          <w:p w14:paraId="2143E26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28.645975</w:t>
            </w:r>
          </w:p>
        </w:tc>
        <w:tc>
          <w:tcPr>
            <w:tcW w:w="558" w:type="pct"/>
            <w:vAlign w:val="center"/>
          </w:tcPr>
          <w:p w14:paraId="52F6E11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1</w:t>
            </w:r>
          </w:p>
        </w:tc>
      </w:tr>
      <w:tr w14:paraId="316F899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94" w:type="pct"/>
            <w:vAlign w:val="center"/>
          </w:tcPr>
          <w:p w14:paraId="2D27B71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sz w:val="21"/>
                <w:szCs w:val="21"/>
                <w:highlight w:val="none"/>
                <w:vertAlign w:val="baseline"/>
                <w:lang w:val="en-US" w:eastAsia="zh-CN"/>
              </w:rPr>
            </w:pPr>
            <w:r>
              <w:rPr>
                <w:rFonts w:hint="default" w:ascii="Times New Roman" w:hAnsi="Times New Roman" w:cs="Times New Roman"/>
                <w:sz w:val="21"/>
                <w:szCs w:val="21"/>
                <w:highlight w:val="none"/>
                <w:vertAlign w:val="baseline"/>
                <w:lang w:val="en-US" w:eastAsia="zh-CN"/>
              </w:rPr>
              <w:t>南尧村2#废渣堆</w:t>
            </w:r>
            <w:r>
              <w:rPr>
                <w:rFonts w:hint="default" w:ascii="Times New Roman" w:hAnsi="Times New Roman" w:eastAsia="宋体" w:cs="Times New Roman"/>
                <w:sz w:val="21"/>
                <w:szCs w:val="21"/>
                <w:highlight w:val="none"/>
                <w:vertAlign w:val="baseline"/>
                <w:lang w:val="en-US" w:eastAsia="zh-CN"/>
              </w:rPr>
              <w:t>Ⅱ</w:t>
            </w:r>
            <w:r>
              <w:rPr>
                <w:rFonts w:hint="default" w:ascii="Times New Roman" w:hAnsi="Times New Roman" w:cs="Times New Roman"/>
                <w:sz w:val="21"/>
                <w:szCs w:val="21"/>
                <w:highlight w:val="none"/>
                <w:vertAlign w:val="baseline"/>
                <w:lang w:val="en-US" w:eastAsia="zh-CN"/>
              </w:rPr>
              <w:t>区</w:t>
            </w:r>
          </w:p>
        </w:tc>
        <w:tc>
          <w:tcPr>
            <w:tcW w:w="753" w:type="pct"/>
            <w:vAlign w:val="center"/>
          </w:tcPr>
          <w:p w14:paraId="7074368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ZK2-10</w:t>
            </w:r>
          </w:p>
        </w:tc>
        <w:tc>
          <w:tcPr>
            <w:tcW w:w="733" w:type="pct"/>
            <w:vAlign w:val="center"/>
          </w:tcPr>
          <w:p w14:paraId="23D2706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5.4</w:t>
            </w:r>
          </w:p>
        </w:tc>
        <w:tc>
          <w:tcPr>
            <w:tcW w:w="879" w:type="pct"/>
            <w:vAlign w:val="center"/>
          </w:tcPr>
          <w:p w14:paraId="2C019F5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113.550880</w:t>
            </w:r>
          </w:p>
        </w:tc>
        <w:tc>
          <w:tcPr>
            <w:tcW w:w="880" w:type="pct"/>
            <w:vAlign w:val="center"/>
          </w:tcPr>
          <w:p w14:paraId="10B704B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28.646353</w:t>
            </w:r>
          </w:p>
        </w:tc>
        <w:tc>
          <w:tcPr>
            <w:tcW w:w="558" w:type="pct"/>
            <w:vAlign w:val="center"/>
          </w:tcPr>
          <w:p w14:paraId="169503C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1</w:t>
            </w:r>
          </w:p>
        </w:tc>
      </w:tr>
      <w:tr w14:paraId="3D25615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94" w:type="pct"/>
            <w:vAlign w:val="center"/>
          </w:tcPr>
          <w:p w14:paraId="02ACC4A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highlight w:val="none"/>
                <w:vertAlign w:val="baseline"/>
                <w:lang w:val="en-US" w:eastAsia="zh-CN"/>
              </w:rPr>
            </w:pPr>
            <w:r>
              <w:rPr>
                <w:rFonts w:hint="default" w:ascii="Times New Roman" w:hAnsi="Times New Roman" w:cs="Times New Roman"/>
                <w:sz w:val="21"/>
                <w:szCs w:val="21"/>
                <w:highlight w:val="none"/>
                <w:vertAlign w:val="baseline"/>
                <w:lang w:val="en-US" w:eastAsia="zh-CN"/>
              </w:rPr>
              <w:t>南尧村2#废渣堆</w:t>
            </w:r>
            <w:r>
              <w:rPr>
                <w:rFonts w:hint="default" w:ascii="Times New Roman" w:hAnsi="Times New Roman" w:eastAsia="宋体" w:cs="Times New Roman"/>
                <w:sz w:val="21"/>
                <w:szCs w:val="21"/>
                <w:highlight w:val="none"/>
                <w:vertAlign w:val="baseline"/>
                <w:lang w:val="en-US" w:eastAsia="zh-CN"/>
              </w:rPr>
              <w:t>Ⅲ</w:t>
            </w:r>
            <w:r>
              <w:rPr>
                <w:rFonts w:hint="default" w:ascii="Times New Roman" w:hAnsi="Times New Roman" w:cs="Times New Roman"/>
                <w:sz w:val="21"/>
                <w:szCs w:val="21"/>
                <w:highlight w:val="none"/>
                <w:vertAlign w:val="baseline"/>
                <w:lang w:val="en-US" w:eastAsia="zh-CN"/>
              </w:rPr>
              <w:t>区</w:t>
            </w:r>
          </w:p>
        </w:tc>
        <w:tc>
          <w:tcPr>
            <w:tcW w:w="753" w:type="pct"/>
            <w:vAlign w:val="center"/>
          </w:tcPr>
          <w:p w14:paraId="22F4016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ZK2-3</w:t>
            </w:r>
          </w:p>
        </w:tc>
        <w:tc>
          <w:tcPr>
            <w:tcW w:w="733" w:type="pct"/>
            <w:vAlign w:val="center"/>
          </w:tcPr>
          <w:p w14:paraId="18A1439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7.4</w:t>
            </w:r>
          </w:p>
        </w:tc>
        <w:tc>
          <w:tcPr>
            <w:tcW w:w="879" w:type="pct"/>
            <w:vAlign w:val="center"/>
          </w:tcPr>
          <w:p w14:paraId="6D5785A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113.551024</w:t>
            </w:r>
          </w:p>
        </w:tc>
        <w:tc>
          <w:tcPr>
            <w:tcW w:w="880" w:type="pct"/>
            <w:vAlign w:val="center"/>
          </w:tcPr>
          <w:p w14:paraId="655EDEA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28.646990</w:t>
            </w:r>
          </w:p>
        </w:tc>
        <w:tc>
          <w:tcPr>
            <w:tcW w:w="558" w:type="pct"/>
            <w:vAlign w:val="center"/>
          </w:tcPr>
          <w:p w14:paraId="18A6445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1</w:t>
            </w:r>
          </w:p>
        </w:tc>
      </w:tr>
      <w:tr w14:paraId="161A82A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94" w:type="pct"/>
            <w:vAlign w:val="center"/>
          </w:tcPr>
          <w:p w14:paraId="71901F4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highlight w:val="none"/>
                <w:vertAlign w:val="baseline"/>
                <w:lang w:val="en-US" w:eastAsia="zh-CN"/>
              </w:rPr>
            </w:pPr>
            <w:r>
              <w:rPr>
                <w:rFonts w:hint="default" w:ascii="Times New Roman" w:hAnsi="Times New Roman" w:cs="Times New Roman"/>
                <w:sz w:val="21"/>
                <w:szCs w:val="21"/>
                <w:highlight w:val="none"/>
                <w:vertAlign w:val="baseline"/>
                <w:lang w:val="en-US" w:eastAsia="zh-CN"/>
              </w:rPr>
              <w:t>南尧村2#废渣堆</w:t>
            </w:r>
            <w:r>
              <w:rPr>
                <w:rFonts w:hint="default" w:ascii="Times New Roman" w:hAnsi="Times New Roman" w:eastAsia="宋体" w:cs="Times New Roman"/>
                <w:sz w:val="21"/>
                <w:szCs w:val="21"/>
                <w:highlight w:val="none"/>
                <w:vertAlign w:val="baseline"/>
                <w:lang w:val="en-US" w:eastAsia="zh-CN"/>
              </w:rPr>
              <w:t>Ⅳ</w:t>
            </w:r>
            <w:r>
              <w:rPr>
                <w:rFonts w:hint="default" w:ascii="Times New Roman" w:hAnsi="Times New Roman" w:cs="Times New Roman"/>
                <w:sz w:val="21"/>
                <w:szCs w:val="21"/>
                <w:highlight w:val="none"/>
                <w:vertAlign w:val="baseline"/>
                <w:lang w:val="en-US" w:eastAsia="zh-CN"/>
              </w:rPr>
              <w:t>区</w:t>
            </w:r>
          </w:p>
        </w:tc>
        <w:tc>
          <w:tcPr>
            <w:tcW w:w="753" w:type="pct"/>
            <w:vAlign w:val="center"/>
          </w:tcPr>
          <w:p w14:paraId="0722D1B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ZK2-1</w:t>
            </w:r>
          </w:p>
        </w:tc>
        <w:tc>
          <w:tcPr>
            <w:tcW w:w="733" w:type="pct"/>
            <w:vAlign w:val="center"/>
          </w:tcPr>
          <w:p w14:paraId="0419635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6.5</w:t>
            </w:r>
          </w:p>
        </w:tc>
        <w:tc>
          <w:tcPr>
            <w:tcW w:w="879" w:type="pct"/>
            <w:vAlign w:val="center"/>
          </w:tcPr>
          <w:p w14:paraId="68AD81F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113.551302</w:t>
            </w:r>
          </w:p>
        </w:tc>
        <w:tc>
          <w:tcPr>
            <w:tcW w:w="880" w:type="pct"/>
            <w:vAlign w:val="center"/>
          </w:tcPr>
          <w:p w14:paraId="128CA77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28.646966</w:t>
            </w:r>
          </w:p>
        </w:tc>
        <w:tc>
          <w:tcPr>
            <w:tcW w:w="558" w:type="pct"/>
            <w:vAlign w:val="center"/>
          </w:tcPr>
          <w:p w14:paraId="710161A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1</w:t>
            </w:r>
          </w:p>
        </w:tc>
      </w:tr>
      <w:tr w14:paraId="5DD6209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94" w:type="pct"/>
            <w:vAlign w:val="center"/>
          </w:tcPr>
          <w:p w14:paraId="6BD909B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highlight w:val="none"/>
                <w:vertAlign w:val="baseline"/>
                <w:lang w:val="en-US" w:eastAsia="zh-CN"/>
              </w:rPr>
            </w:pPr>
            <w:r>
              <w:rPr>
                <w:rFonts w:hint="default" w:ascii="Times New Roman" w:hAnsi="Times New Roman" w:cs="Times New Roman"/>
                <w:sz w:val="21"/>
                <w:szCs w:val="21"/>
                <w:highlight w:val="none"/>
                <w:vertAlign w:val="baseline"/>
                <w:lang w:val="en-US" w:eastAsia="zh-CN"/>
              </w:rPr>
              <w:t>南尧村2#废渣堆</w:t>
            </w:r>
            <w:r>
              <w:rPr>
                <w:rFonts w:hint="default" w:ascii="Times New Roman" w:hAnsi="Times New Roman" w:eastAsia="微软雅黑" w:cs="Times New Roman"/>
                <w:sz w:val="21"/>
                <w:szCs w:val="21"/>
                <w:highlight w:val="none"/>
                <w:vertAlign w:val="baseline"/>
                <w:lang w:val="en-US" w:eastAsia="zh-CN"/>
              </w:rPr>
              <w:t>Ⅴ</w:t>
            </w:r>
            <w:r>
              <w:rPr>
                <w:rFonts w:hint="default" w:ascii="Times New Roman" w:hAnsi="Times New Roman" w:cs="Times New Roman"/>
                <w:sz w:val="21"/>
                <w:szCs w:val="21"/>
                <w:highlight w:val="none"/>
                <w:vertAlign w:val="baseline"/>
                <w:lang w:val="en-US" w:eastAsia="zh-CN"/>
              </w:rPr>
              <w:t>区</w:t>
            </w:r>
          </w:p>
        </w:tc>
        <w:tc>
          <w:tcPr>
            <w:tcW w:w="753" w:type="pct"/>
            <w:vAlign w:val="center"/>
          </w:tcPr>
          <w:p w14:paraId="77ACB2D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ZK2-6</w:t>
            </w:r>
          </w:p>
        </w:tc>
        <w:tc>
          <w:tcPr>
            <w:tcW w:w="733" w:type="pct"/>
            <w:vAlign w:val="center"/>
          </w:tcPr>
          <w:p w14:paraId="3825A69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6.1</w:t>
            </w:r>
          </w:p>
        </w:tc>
        <w:tc>
          <w:tcPr>
            <w:tcW w:w="879" w:type="pct"/>
            <w:vAlign w:val="center"/>
          </w:tcPr>
          <w:p w14:paraId="0605485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vertAlign w:val="baseline"/>
                <w:lang w:val="en-US" w:eastAsia="zh-CN"/>
              </w:rPr>
            </w:pPr>
            <w:r>
              <w:rPr>
                <w:rFonts w:hint="eastAsia"/>
                <w:sz w:val="21"/>
                <w:szCs w:val="21"/>
                <w:highlight w:val="none"/>
                <w:vertAlign w:val="baseline"/>
                <w:lang w:val="en-US" w:eastAsia="zh-CN"/>
              </w:rPr>
              <w:t>113.551392</w:t>
            </w:r>
          </w:p>
        </w:tc>
        <w:tc>
          <w:tcPr>
            <w:tcW w:w="880" w:type="pct"/>
            <w:vAlign w:val="center"/>
          </w:tcPr>
          <w:p w14:paraId="6668D3E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vertAlign w:val="baseline"/>
                <w:lang w:val="en-US" w:eastAsia="zh-CN"/>
              </w:rPr>
            </w:pPr>
            <w:r>
              <w:rPr>
                <w:rFonts w:hint="eastAsia"/>
                <w:sz w:val="21"/>
                <w:szCs w:val="21"/>
                <w:highlight w:val="none"/>
                <w:vertAlign w:val="baseline"/>
                <w:lang w:val="en-US" w:eastAsia="zh-CN"/>
              </w:rPr>
              <w:t>28.646767</w:t>
            </w:r>
          </w:p>
        </w:tc>
        <w:tc>
          <w:tcPr>
            <w:tcW w:w="558" w:type="pct"/>
            <w:vAlign w:val="center"/>
          </w:tcPr>
          <w:p w14:paraId="6308693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1</w:t>
            </w:r>
          </w:p>
        </w:tc>
      </w:tr>
      <w:tr w14:paraId="3617279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94" w:type="pct"/>
            <w:vMerge w:val="restart"/>
            <w:vAlign w:val="center"/>
          </w:tcPr>
          <w:p w14:paraId="1E4B774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vertAlign w:val="baseline"/>
                <w:lang w:val="en-US" w:eastAsia="zh-CN"/>
              </w:rPr>
            </w:pPr>
            <w:r>
              <w:rPr>
                <w:rFonts w:hint="default" w:ascii="Times New Roman" w:hAnsi="Times New Roman" w:cs="Times New Roman"/>
                <w:sz w:val="21"/>
                <w:szCs w:val="21"/>
                <w:highlight w:val="none"/>
                <w:vertAlign w:val="baseline"/>
                <w:lang w:val="en-US" w:eastAsia="zh-CN"/>
              </w:rPr>
              <w:t>南尧村2#废渣堆</w:t>
            </w:r>
            <w:r>
              <w:rPr>
                <w:rFonts w:hint="default" w:ascii="Times New Roman" w:hAnsi="Times New Roman" w:eastAsia="宋体" w:cs="Times New Roman"/>
                <w:sz w:val="21"/>
                <w:szCs w:val="21"/>
                <w:highlight w:val="none"/>
                <w:vertAlign w:val="baseline"/>
                <w:lang w:val="en-US" w:eastAsia="zh-CN"/>
              </w:rPr>
              <w:t>Ⅵ</w:t>
            </w:r>
            <w:r>
              <w:rPr>
                <w:rFonts w:hint="default" w:ascii="Times New Roman" w:hAnsi="Times New Roman" w:cs="Times New Roman"/>
                <w:sz w:val="21"/>
                <w:szCs w:val="21"/>
                <w:highlight w:val="none"/>
                <w:vertAlign w:val="baseline"/>
                <w:lang w:val="en-US" w:eastAsia="zh-CN"/>
              </w:rPr>
              <w:t>区</w:t>
            </w:r>
          </w:p>
        </w:tc>
        <w:tc>
          <w:tcPr>
            <w:tcW w:w="753" w:type="pct"/>
            <w:vAlign w:val="center"/>
          </w:tcPr>
          <w:p w14:paraId="3EBF66E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ZK2-2</w:t>
            </w:r>
          </w:p>
        </w:tc>
        <w:tc>
          <w:tcPr>
            <w:tcW w:w="733" w:type="pct"/>
            <w:vAlign w:val="center"/>
          </w:tcPr>
          <w:p w14:paraId="7A1EBF5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5.0</w:t>
            </w:r>
          </w:p>
        </w:tc>
        <w:tc>
          <w:tcPr>
            <w:tcW w:w="879" w:type="pct"/>
            <w:vAlign w:val="center"/>
          </w:tcPr>
          <w:p w14:paraId="07C8DA4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113.551317</w:t>
            </w:r>
          </w:p>
        </w:tc>
        <w:tc>
          <w:tcPr>
            <w:tcW w:w="880" w:type="pct"/>
            <w:vAlign w:val="center"/>
          </w:tcPr>
          <w:p w14:paraId="3322318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28.646784</w:t>
            </w:r>
          </w:p>
        </w:tc>
        <w:tc>
          <w:tcPr>
            <w:tcW w:w="558" w:type="pct"/>
            <w:vAlign w:val="center"/>
          </w:tcPr>
          <w:p w14:paraId="19135A2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1</w:t>
            </w:r>
          </w:p>
        </w:tc>
      </w:tr>
      <w:tr w14:paraId="6161742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94" w:type="pct"/>
            <w:vMerge w:val="continue"/>
            <w:vAlign w:val="center"/>
          </w:tcPr>
          <w:p w14:paraId="7E4FA71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vertAlign w:val="baseline"/>
                <w:lang w:val="en-US" w:eastAsia="zh-CN"/>
              </w:rPr>
            </w:pPr>
          </w:p>
        </w:tc>
        <w:tc>
          <w:tcPr>
            <w:tcW w:w="753" w:type="pct"/>
            <w:vAlign w:val="center"/>
          </w:tcPr>
          <w:p w14:paraId="62E95E1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ZK2-4</w:t>
            </w:r>
          </w:p>
        </w:tc>
        <w:tc>
          <w:tcPr>
            <w:tcW w:w="733" w:type="pct"/>
            <w:vAlign w:val="center"/>
          </w:tcPr>
          <w:p w14:paraId="099D1D7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9.5</w:t>
            </w:r>
          </w:p>
        </w:tc>
        <w:tc>
          <w:tcPr>
            <w:tcW w:w="879" w:type="pct"/>
            <w:vAlign w:val="center"/>
          </w:tcPr>
          <w:p w14:paraId="3D7BC74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vertAlign w:val="baseline"/>
                <w:lang w:val="en-US" w:eastAsia="zh-CN"/>
              </w:rPr>
            </w:pPr>
            <w:r>
              <w:rPr>
                <w:rFonts w:hint="eastAsia"/>
                <w:sz w:val="21"/>
                <w:szCs w:val="21"/>
                <w:highlight w:val="none"/>
                <w:vertAlign w:val="baseline"/>
                <w:lang w:val="en-US" w:eastAsia="zh-CN"/>
              </w:rPr>
              <w:t>113.550967</w:t>
            </w:r>
          </w:p>
        </w:tc>
        <w:tc>
          <w:tcPr>
            <w:tcW w:w="880" w:type="pct"/>
            <w:vAlign w:val="center"/>
          </w:tcPr>
          <w:p w14:paraId="659EE6D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vertAlign w:val="baseline"/>
                <w:lang w:val="en-US" w:eastAsia="zh-CN"/>
              </w:rPr>
            </w:pPr>
            <w:r>
              <w:rPr>
                <w:rFonts w:hint="eastAsia"/>
                <w:sz w:val="21"/>
                <w:szCs w:val="21"/>
                <w:highlight w:val="none"/>
                <w:vertAlign w:val="baseline"/>
                <w:lang w:val="en-US" w:eastAsia="zh-CN"/>
              </w:rPr>
              <w:t>28.646781</w:t>
            </w:r>
          </w:p>
        </w:tc>
        <w:tc>
          <w:tcPr>
            <w:tcW w:w="558" w:type="pct"/>
            <w:vAlign w:val="center"/>
          </w:tcPr>
          <w:p w14:paraId="7349DA4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1</w:t>
            </w:r>
          </w:p>
        </w:tc>
      </w:tr>
      <w:tr w14:paraId="22968AF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94" w:type="pct"/>
            <w:vMerge w:val="continue"/>
            <w:vAlign w:val="center"/>
          </w:tcPr>
          <w:p w14:paraId="25C4D4C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vertAlign w:val="baseline"/>
                <w:lang w:val="en-US" w:eastAsia="zh-CN"/>
              </w:rPr>
            </w:pPr>
          </w:p>
        </w:tc>
        <w:tc>
          <w:tcPr>
            <w:tcW w:w="753" w:type="pct"/>
            <w:vAlign w:val="center"/>
          </w:tcPr>
          <w:p w14:paraId="44D31C2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ZK2-5</w:t>
            </w:r>
          </w:p>
        </w:tc>
        <w:tc>
          <w:tcPr>
            <w:tcW w:w="733" w:type="pct"/>
            <w:vAlign w:val="center"/>
          </w:tcPr>
          <w:p w14:paraId="069380E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9.9</w:t>
            </w:r>
          </w:p>
        </w:tc>
        <w:tc>
          <w:tcPr>
            <w:tcW w:w="879" w:type="pct"/>
            <w:vAlign w:val="center"/>
          </w:tcPr>
          <w:p w14:paraId="3AD1DB1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vertAlign w:val="baseline"/>
                <w:lang w:val="en-US" w:eastAsia="zh-CN"/>
              </w:rPr>
            </w:pPr>
            <w:r>
              <w:rPr>
                <w:rFonts w:hint="eastAsia"/>
                <w:sz w:val="21"/>
                <w:szCs w:val="21"/>
                <w:highlight w:val="none"/>
                <w:vertAlign w:val="baseline"/>
                <w:lang w:val="en-US" w:eastAsia="zh-CN"/>
              </w:rPr>
              <w:t>113.551369</w:t>
            </w:r>
          </w:p>
        </w:tc>
        <w:tc>
          <w:tcPr>
            <w:tcW w:w="880" w:type="pct"/>
            <w:vAlign w:val="center"/>
          </w:tcPr>
          <w:p w14:paraId="2ED2CDD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vertAlign w:val="baseline"/>
                <w:lang w:val="en-US" w:eastAsia="zh-CN"/>
              </w:rPr>
            </w:pPr>
            <w:r>
              <w:rPr>
                <w:rFonts w:hint="eastAsia"/>
                <w:sz w:val="21"/>
                <w:szCs w:val="21"/>
                <w:highlight w:val="none"/>
                <w:vertAlign w:val="baseline"/>
                <w:lang w:val="en-US" w:eastAsia="zh-CN"/>
              </w:rPr>
              <w:t>28.646816</w:t>
            </w:r>
          </w:p>
        </w:tc>
        <w:tc>
          <w:tcPr>
            <w:tcW w:w="558" w:type="pct"/>
            <w:vAlign w:val="center"/>
          </w:tcPr>
          <w:p w14:paraId="0C833BF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1</w:t>
            </w:r>
          </w:p>
        </w:tc>
      </w:tr>
      <w:tr w14:paraId="69531E1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94" w:type="pct"/>
            <w:vMerge w:val="continue"/>
            <w:vAlign w:val="center"/>
          </w:tcPr>
          <w:p w14:paraId="6136B35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vertAlign w:val="baseline"/>
                <w:lang w:val="en-US" w:eastAsia="zh-CN"/>
              </w:rPr>
            </w:pPr>
          </w:p>
        </w:tc>
        <w:tc>
          <w:tcPr>
            <w:tcW w:w="753" w:type="pct"/>
            <w:vAlign w:val="center"/>
          </w:tcPr>
          <w:p w14:paraId="72F603A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ZK2-7</w:t>
            </w:r>
          </w:p>
        </w:tc>
        <w:tc>
          <w:tcPr>
            <w:tcW w:w="733" w:type="pct"/>
            <w:vAlign w:val="center"/>
          </w:tcPr>
          <w:p w14:paraId="1C90605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6.4</w:t>
            </w:r>
          </w:p>
        </w:tc>
        <w:tc>
          <w:tcPr>
            <w:tcW w:w="879" w:type="pct"/>
            <w:vAlign w:val="center"/>
          </w:tcPr>
          <w:p w14:paraId="2A395A0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vertAlign w:val="baseline"/>
                <w:lang w:val="en-US" w:eastAsia="zh-CN"/>
              </w:rPr>
            </w:pPr>
            <w:r>
              <w:rPr>
                <w:rFonts w:hint="eastAsia"/>
                <w:sz w:val="21"/>
                <w:szCs w:val="21"/>
                <w:highlight w:val="none"/>
                <w:vertAlign w:val="baseline"/>
                <w:lang w:val="en-US" w:eastAsia="zh-CN"/>
              </w:rPr>
              <w:t>113.551061</w:t>
            </w:r>
          </w:p>
        </w:tc>
        <w:tc>
          <w:tcPr>
            <w:tcW w:w="880" w:type="pct"/>
            <w:vAlign w:val="center"/>
          </w:tcPr>
          <w:p w14:paraId="3A233B5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vertAlign w:val="baseline"/>
                <w:lang w:val="en-US" w:eastAsia="zh-CN"/>
              </w:rPr>
            </w:pPr>
            <w:r>
              <w:rPr>
                <w:rFonts w:hint="eastAsia"/>
                <w:sz w:val="21"/>
                <w:szCs w:val="21"/>
                <w:highlight w:val="none"/>
                <w:vertAlign w:val="baseline"/>
                <w:lang w:val="en-US" w:eastAsia="zh-CN"/>
              </w:rPr>
              <w:t>28.646717</w:t>
            </w:r>
          </w:p>
        </w:tc>
        <w:tc>
          <w:tcPr>
            <w:tcW w:w="558" w:type="pct"/>
            <w:vAlign w:val="center"/>
          </w:tcPr>
          <w:p w14:paraId="4EBD567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1</w:t>
            </w:r>
          </w:p>
        </w:tc>
      </w:tr>
      <w:tr w14:paraId="3AB1F1E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94" w:type="pct"/>
            <w:vMerge w:val="continue"/>
            <w:vAlign w:val="center"/>
          </w:tcPr>
          <w:p w14:paraId="5012C0B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vertAlign w:val="baseline"/>
                <w:lang w:val="en-US" w:eastAsia="zh-CN"/>
              </w:rPr>
            </w:pPr>
          </w:p>
        </w:tc>
        <w:tc>
          <w:tcPr>
            <w:tcW w:w="753" w:type="pct"/>
            <w:vAlign w:val="center"/>
          </w:tcPr>
          <w:p w14:paraId="2EAB6AF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ZK2-8</w:t>
            </w:r>
          </w:p>
        </w:tc>
        <w:tc>
          <w:tcPr>
            <w:tcW w:w="733" w:type="pct"/>
            <w:vAlign w:val="center"/>
          </w:tcPr>
          <w:p w14:paraId="4C3893D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10.8</w:t>
            </w:r>
          </w:p>
        </w:tc>
        <w:tc>
          <w:tcPr>
            <w:tcW w:w="879" w:type="pct"/>
            <w:vAlign w:val="center"/>
          </w:tcPr>
          <w:p w14:paraId="4558F9D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113.551058</w:t>
            </w:r>
          </w:p>
        </w:tc>
        <w:tc>
          <w:tcPr>
            <w:tcW w:w="880" w:type="pct"/>
            <w:vAlign w:val="center"/>
          </w:tcPr>
          <w:p w14:paraId="413663A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28.646643</w:t>
            </w:r>
          </w:p>
        </w:tc>
        <w:tc>
          <w:tcPr>
            <w:tcW w:w="558" w:type="pct"/>
            <w:vAlign w:val="center"/>
          </w:tcPr>
          <w:p w14:paraId="6EEAED2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1</w:t>
            </w:r>
          </w:p>
        </w:tc>
      </w:tr>
      <w:tr w14:paraId="61AEEC2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94" w:type="pct"/>
            <w:vMerge w:val="continue"/>
            <w:vAlign w:val="center"/>
          </w:tcPr>
          <w:p w14:paraId="38B1B84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vertAlign w:val="baseline"/>
                <w:lang w:val="en-US" w:eastAsia="zh-CN"/>
              </w:rPr>
            </w:pPr>
          </w:p>
        </w:tc>
        <w:tc>
          <w:tcPr>
            <w:tcW w:w="753" w:type="pct"/>
            <w:vAlign w:val="center"/>
          </w:tcPr>
          <w:p w14:paraId="23ADD6D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ZK2-9</w:t>
            </w:r>
          </w:p>
        </w:tc>
        <w:tc>
          <w:tcPr>
            <w:tcW w:w="733" w:type="pct"/>
            <w:vAlign w:val="center"/>
          </w:tcPr>
          <w:p w14:paraId="549DC7E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8.5</w:t>
            </w:r>
          </w:p>
        </w:tc>
        <w:tc>
          <w:tcPr>
            <w:tcW w:w="879" w:type="pct"/>
            <w:vAlign w:val="center"/>
          </w:tcPr>
          <w:p w14:paraId="1354EE5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113.550830</w:t>
            </w:r>
          </w:p>
        </w:tc>
        <w:tc>
          <w:tcPr>
            <w:tcW w:w="880" w:type="pct"/>
            <w:vAlign w:val="center"/>
          </w:tcPr>
          <w:p w14:paraId="617D275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28.646241</w:t>
            </w:r>
          </w:p>
        </w:tc>
        <w:tc>
          <w:tcPr>
            <w:tcW w:w="558" w:type="pct"/>
            <w:vAlign w:val="center"/>
          </w:tcPr>
          <w:p w14:paraId="5D48B6C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1</w:t>
            </w:r>
          </w:p>
        </w:tc>
      </w:tr>
      <w:tr w14:paraId="6C85FCF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94" w:type="pct"/>
            <w:vMerge w:val="continue"/>
            <w:vAlign w:val="center"/>
          </w:tcPr>
          <w:p w14:paraId="50A8533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vertAlign w:val="baseline"/>
                <w:lang w:val="en-US" w:eastAsia="zh-CN"/>
              </w:rPr>
            </w:pPr>
          </w:p>
        </w:tc>
        <w:tc>
          <w:tcPr>
            <w:tcW w:w="753" w:type="pct"/>
            <w:vAlign w:val="center"/>
          </w:tcPr>
          <w:p w14:paraId="75CA755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ZK2-11</w:t>
            </w:r>
          </w:p>
        </w:tc>
        <w:tc>
          <w:tcPr>
            <w:tcW w:w="733" w:type="pct"/>
            <w:vAlign w:val="center"/>
          </w:tcPr>
          <w:p w14:paraId="079114D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7.2</w:t>
            </w:r>
          </w:p>
        </w:tc>
        <w:tc>
          <w:tcPr>
            <w:tcW w:w="879" w:type="pct"/>
            <w:vAlign w:val="center"/>
          </w:tcPr>
          <w:p w14:paraId="4BCEBE6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113.550694</w:t>
            </w:r>
          </w:p>
        </w:tc>
        <w:tc>
          <w:tcPr>
            <w:tcW w:w="880" w:type="pct"/>
            <w:vAlign w:val="center"/>
          </w:tcPr>
          <w:p w14:paraId="6DD5953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28.646053</w:t>
            </w:r>
          </w:p>
        </w:tc>
        <w:tc>
          <w:tcPr>
            <w:tcW w:w="558" w:type="pct"/>
            <w:vAlign w:val="center"/>
          </w:tcPr>
          <w:p w14:paraId="7ACB81C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1</w:t>
            </w:r>
          </w:p>
        </w:tc>
      </w:tr>
    </w:tbl>
    <w:p w14:paraId="0B9C9248">
      <w:pPr>
        <w:ind w:left="0" w:leftChars="0" w:firstLine="0" w:firstLineChars="0"/>
        <w:jc w:val="center"/>
        <w:rPr>
          <w:rFonts w:hint="eastAsia"/>
          <w:b/>
          <w:bCs/>
          <w:sz w:val="21"/>
          <w:szCs w:val="21"/>
          <w:highlight w:val="yellow"/>
          <w:lang w:val="en-US" w:eastAsia="zh-CN"/>
        </w:rPr>
      </w:pPr>
      <w:r>
        <w:drawing>
          <wp:inline distT="0" distB="0" distL="114300" distR="114300">
            <wp:extent cx="5721350" cy="3347720"/>
            <wp:effectExtent l="0" t="0" r="12700" b="5080"/>
            <wp:docPr id="22" name="图片 24"/>
            <wp:cNvGraphicFramePr/>
            <a:graphic xmlns:a="http://schemas.openxmlformats.org/drawingml/2006/main">
              <a:graphicData uri="http://schemas.openxmlformats.org/drawingml/2006/picture">
                <pic:pic xmlns:pic="http://schemas.openxmlformats.org/drawingml/2006/picture">
                  <pic:nvPicPr>
                    <pic:cNvPr id="22" name="图片 24"/>
                    <pic:cNvPicPr/>
                  </pic:nvPicPr>
                  <pic:blipFill>
                    <a:blip r:embed="rId23"/>
                    <a:stretch>
                      <a:fillRect/>
                    </a:stretch>
                  </pic:blipFill>
                  <pic:spPr>
                    <a:xfrm>
                      <a:off x="0" y="0"/>
                      <a:ext cx="5721350" cy="3347720"/>
                    </a:xfrm>
                    <a:prstGeom prst="rect">
                      <a:avLst/>
                    </a:prstGeom>
                    <a:noFill/>
                    <a:ln>
                      <a:noFill/>
                    </a:ln>
                  </pic:spPr>
                </pic:pic>
              </a:graphicData>
            </a:graphic>
          </wp:inline>
        </w:drawing>
      </w:r>
    </w:p>
    <w:p w14:paraId="3B17A0D5">
      <w:pPr>
        <w:ind w:left="0" w:leftChars="0" w:firstLine="0" w:firstLineChars="0"/>
        <w:jc w:val="center"/>
        <w:rPr>
          <w:rFonts w:hint="eastAsia"/>
          <w:b/>
          <w:bCs/>
          <w:sz w:val="21"/>
          <w:szCs w:val="21"/>
          <w:highlight w:val="none"/>
          <w:lang w:val="en-US" w:eastAsia="zh-CN"/>
        </w:rPr>
      </w:pPr>
      <w:r>
        <w:rPr>
          <w:rFonts w:hint="eastAsia"/>
          <w:b/>
          <w:bCs/>
          <w:sz w:val="21"/>
          <w:szCs w:val="21"/>
          <w:highlight w:val="none"/>
          <w:lang w:val="en-US" w:eastAsia="zh-CN"/>
        </w:rPr>
        <w:t>图3.1-7  南尧村2#废渣堆采样布点图（1）</w:t>
      </w:r>
    </w:p>
    <w:p w14:paraId="34A1D7C0">
      <w:pPr>
        <w:ind w:left="0" w:leftChars="0" w:firstLine="0" w:firstLineChars="0"/>
        <w:jc w:val="center"/>
        <w:rPr>
          <w:rFonts w:hint="eastAsia"/>
          <w:b/>
          <w:bCs/>
          <w:sz w:val="21"/>
          <w:szCs w:val="21"/>
          <w:highlight w:val="yellow"/>
          <w:lang w:val="en-US" w:eastAsia="zh-CN"/>
        </w:rPr>
      </w:pPr>
      <w:r>
        <w:drawing>
          <wp:inline distT="0" distB="0" distL="114300" distR="114300">
            <wp:extent cx="5687695" cy="3131820"/>
            <wp:effectExtent l="0" t="0" r="8255" b="11430"/>
            <wp:docPr id="39" name="图片 25"/>
            <wp:cNvGraphicFramePr/>
            <a:graphic xmlns:a="http://schemas.openxmlformats.org/drawingml/2006/main">
              <a:graphicData uri="http://schemas.openxmlformats.org/drawingml/2006/picture">
                <pic:pic xmlns:pic="http://schemas.openxmlformats.org/drawingml/2006/picture">
                  <pic:nvPicPr>
                    <pic:cNvPr id="39" name="图片 25"/>
                    <pic:cNvPicPr/>
                  </pic:nvPicPr>
                  <pic:blipFill>
                    <a:blip r:embed="rId24"/>
                    <a:stretch>
                      <a:fillRect/>
                    </a:stretch>
                  </pic:blipFill>
                  <pic:spPr>
                    <a:xfrm>
                      <a:off x="0" y="0"/>
                      <a:ext cx="5687695" cy="3131820"/>
                    </a:xfrm>
                    <a:prstGeom prst="rect">
                      <a:avLst/>
                    </a:prstGeom>
                    <a:noFill/>
                    <a:ln>
                      <a:noFill/>
                    </a:ln>
                  </pic:spPr>
                </pic:pic>
              </a:graphicData>
            </a:graphic>
          </wp:inline>
        </w:drawing>
      </w:r>
    </w:p>
    <w:p w14:paraId="059F6FA1">
      <w:pPr>
        <w:ind w:left="0" w:leftChars="0" w:firstLine="0" w:firstLineChars="0"/>
        <w:jc w:val="center"/>
        <w:rPr>
          <w:rFonts w:hint="eastAsia"/>
          <w:b/>
          <w:bCs/>
          <w:sz w:val="21"/>
          <w:szCs w:val="21"/>
          <w:highlight w:val="none"/>
          <w:lang w:val="en-US" w:eastAsia="zh-CN"/>
        </w:rPr>
      </w:pPr>
      <w:r>
        <w:rPr>
          <w:rFonts w:hint="eastAsia"/>
          <w:b/>
          <w:bCs/>
          <w:sz w:val="21"/>
          <w:szCs w:val="21"/>
          <w:highlight w:val="none"/>
          <w:lang w:val="en-US" w:eastAsia="zh-CN"/>
        </w:rPr>
        <w:t>图3.1-8  南尧村2#废渣堆采样布点图（2）</w:t>
      </w:r>
    </w:p>
    <w:p w14:paraId="2EC2008C">
      <w:pPr>
        <w:ind w:left="0" w:leftChars="0" w:firstLine="0" w:firstLineChars="0"/>
        <w:jc w:val="center"/>
        <w:rPr>
          <w:rFonts w:hint="default"/>
          <w:b/>
          <w:bCs/>
          <w:sz w:val="21"/>
          <w:szCs w:val="21"/>
          <w:highlight w:val="none"/>
          <w:lang w:val="en-US" w:eastAsia="zh-CN"/>
        </w:rPr>
        <w:sectPr>
          <w:pgSz w:w="11850" w:h="16783"/>
          <w:pgMar w:top="1417" w:right="1417" w:bottom="1417" w:left="1417" w:header="851" w:footer="992" w:gutter="0"/>
          <w:pgNumType w:fmt="decimal"/>
          <w:cols w:space="425" w:num="1"/>
          <w:docGrid w:type="lines" w:linePitch="312" w:charSpace="0"/>
        </w:sectPr>
      </w:pPr>
    </w:p>
    <w:p w14:paraId="7BA3C378">
      <w:pPr>
        <w:bidi w:val="0"/>
        <w:rPr>
          <w:rFonts w:hint="eastAsia"/>
          <w:lang w:val="en-US" w:eastAsia="zh-CN"/>
        </w:rPr>
      </w:pPr>
      <w:r>
        <w:rPr>
          <w:rFonts w:hint="eastAsia"/>
        </w:rPr>
        <w:t>各渣堆分区危险废物鉴别检测情况见表3.1-7。</w:t>
      </w:r>
    </w:p>
    <w:p w14:paraId="4E16C4EE">
      <w:pPr>
        <w:ind w:left="0" w:leftChars="0" w:firstLine="0" w:firstLineChars="0"/>
        <w:jc w:val="center"/>
        <w:rPr>
          <w:rFonts w:hint="default"/>
          <w:b/>
          <w:bCs/>
          <w:sz w:val="21"/>
          <w:szCs w:val="21"/>
          <w:highlight w:val="none"/>
          <w:lang w:val="en-US" w:eastAsia="zh-CN"/>
        </w:rPr>
      </w:pPr>
      <w:r>
        <w:rPr>
          <w:rFonts w:hint="eastAsia"/>
          <w:b/>
          <w:bCs/>
          <w:sz w:val="21"/>
          <w:szCs w:val="21"/>
          <w:highlight w:val="none"/>
          <w:lang w:val="en-US" w:eastAsia="zh-CN"/>
        </w:rPr>
        <w:t>表3.1-7  固体废物（废渣）检测结果（酸浸）    单位：mg/L，腐蚀性无量纲</w:t>
      </w:r>
    </w:p>
    <w:tbl>
      <w:tblPr>
        <w:tblStyle w:val="36"/>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861"/>
        <w:gridCol w:w="764"/>
        <w:gridCol w:w="1500"/>
        <w:gridCol w:w="904"/>
        <w:gridCol w:w="904"/>
        <w:gridCol w:w="904"/>
        <w:gridCol w:w="904"/>
        <w:gridCol w:w="904"/>
        <w:gridCol w:w="904"/>
        <w:gridCol w:w="904"/>
        <w:gridCol w:w="904"/>
        <w:gridCol w:w="904"/>
        <w:gridCol w:w="904"/>
      </w:tblGrid>
      <w:tr w14:paraId="7B24080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861" w:type="dxa"/>
            <w:vMerge w:val="restart"/>
            <w:vAlign w:val="center"/>
          </w:tcPr>
          <w:p w14:paraId="1D07362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bCs/>
                <w:sz w:val="21"/>
                <w:szCs w:val="21"/>
                <w:highlight w:val="none"/>
                <w:vertAlign w:val="baseline"/>
                <w:lang w:val="en-US" w:eastAsia="zh-CN"/>
              </w:rPr>
            </w:pPr>
            <w:r>
              <w:rPr>
                <w:rFonts w:hint="eastAsia"/>
                <w:b/>
                <w:bCs/>
                <w:sz w:val="21"/>
                <w:szCs w:val="21"/>
                <w:highlight w:val="none"/>
                <w:vertAlign w:val="baseline"/>
                <w:lang w:val="en-US" w:eastAsia="zh-CN"/>
              </w:rPr>
              <w:t>采样点位</w:t>
            </w:r>
          </w:p>
        </w:tc>
        <w:tc>
          <w:tcPr>
            <w:tcW w:w="764" w:type="dxa"/>
            <w:vMerge w:val="restart"/>
            <w:vAlign w:val="center"/>
          </w:tcPr>
          <w:p w14:paraId="0A22361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bCs/>
                <w:sz w:val="21"/>
                <w:szCs w:val="21"/>
                <w:highlight w:val="none"/>
                <w:vertAlign w:val="baseline"/>
                <w:lang w:val="en-US" w:eastAsia="zh-CN"/>
              </w:rPr>
            </w:pPr>
            <w:r>
              <w:rPr>
                <w:rFonts w:hint="eastAsia"/>
                <w:b/>
                <w:bCs/>
                <w:sz w:val="21"/>
                <w:szCs w:val="21"/>
                <w:highlight w:val="none"/>
                <w:vertAlign w:val="baseline"/>
                <w:lang w:val="en-US" w:eastAsia="zh-CN"/>
              </w:rPr>
              <w:t>采样日期</w:t>
            </w:r>
          </w:p>
        </w:tc>
        <w:tc>
          <w:tcPr>
            <w:tcW w:w="1500" w:type="dxa"/>
            <w:vMerge w:val="restart"/>
            <w:vAlign w:val="center"/>
          </w:tcPr>
          <w:p w14:paraId="0F9188D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bCs/>
                <w:sz w:val="21"/>
                <w:szCs w:val="21"/>
                <w:highlight w:val="none"/>
                <w:vertAlign w:val="baseline"/>
                <w:lang w:val="en-US" w:eastAsia="zh-CN"/>
              </w:rPr>
            </w:pPr>
            <w:r>
              <w:rPr>
                <w:rFonts w:hint="eastAsia"/>
                <w:b/>
                <w:bCs/>
                <w:sz w:val="21"/>
                <w:szCs w:val="21"/>
                <w:highlight w:val="none"/>
                <w:vertAlign w:val="baseline"/>
                <w:lang w:val="en-US" w:eastAsia="zh-CN"/>
              </w:rPr>
              <w:t>样品状态</w:t>
            </w:r>
          </w:p>
        </w:tc>
        <w:tc>
          <w:tcPr>
            <w:tcW w:w="9040" w:type="dxa"/>
            <w:gridSpan w:val="10"/>
            <w:vAlign w:val="center"/>
          </w:tcPr>
          <w:p w14:paraId="491FBF1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bCs/>
                <w:sz w:val="21"/>
                <w:szCs w:val="21"/>
                <w:highlight w:val="none"/>
                <w:vertAlign w:val="baseline"/>
                <w:lang w:val="en-US" w:eastAsia="zh-CN"/>
              </w:rPr>
            </w:pPr>
            <w:r>
              <w:rPr>
                <w:rFonts w:hint="eastAsia"/>
                <w:b/>
                <w:bCs/>
                <w:sz w:val="21"/>
                <w:szCs w:val="21"/>
                <w:highlight w:val="none"/>
                <w:vertAlign w:val="baseline"/>
                <w:lang w:val="en-US" w:eastAsia="zh-CN"/>
              </w:rPr>
              <w:t>检测项目及检测结果</w:t>
            </w:r>
          </w:p>
        </w:tc>
      </w:tr>
      <w:tr w14:paraId="7523178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861" w:type="dxa"/>
            <w:vMerge w:val="continue"/>
            <w:vAlign w:val="center"/>
          </w:tcPr>
          <w:p w14:paraId="162A8C6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bCs/>
                <w:sz w:val="21"/>
                <w:szCs w:val="21"/>
                <w:highlight w:val="none"/>
                <w:vertAlign w:val="baseline"/>
                <w:lang w:val="en-US" w:eastAsia="zh-CN"/>
              </w:rPr>
            </w:pPr>
          </w:p>
        </w:tc>
        <w:tc>
          <w:tcPr>
            <w:tcW w:w="764" w:type="dxa"/>
            <w:vMerge w:val="continue"/>
            <w:vAlign w:val="center"/>
          </w:tcPr>
          <w:p w14:paraId="39F6F49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bCs/>
                <w:sz w:val="21"/>
                <w:szCs w:val="21"/>
                <w:highlight w:val="none"/>
                <w:vertAlign w:val="baseline"/>
                <w:lang w:val="en-US" w:eastAsia="zh-CN"/>
              </w:rPr>
            </w:pPr>
          </w:p>
        </w:tc>
        <w:tc>
          <w:tcPr>
            <w:tcW w:w="1500" w:type="dxa"/>
            <w:vMerge w:val="continue"/>
            <w:vAlign w:val="center"/>
          </w:tcPr>
          <w:p w14:paraId="45F89ED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bCs/>
                <w:sz w:val="21"/>
                <w:szCs w:val="21"/>
                <w:highlight w:val="none"/>
                <w:vertAlign w:val="baseline"/>
                <w:lang w:val="en-US" w:eastAsia="zh-CN"/>
              </w:rPr>
            </w:pPr>
          </w:p>
        </w:tc>
        <w:tc>
          <w:tcPr>
            <w:tcW w:w="904" w:type="dxa"/>
            <w:vAlign w:val="center"/>
          </w:tcPr>
          <w:p w14:paraId="03A727F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bCs/>
                <w:sz w:val="21"/>
                <w:szCs w:val="21"/>
                <w:highlight w:val="none"/>
                <w:vertAlign w:val="baseline"/>
                <w:lang w:val="en-US" w:eastAsia="zh-CN"/>
              </w:rPr>
            </w:pPr>
            <w:r>
              <w:rPr>
                <w:rFonts w:hint="eastAsia"/>
                <w:b/>
                <w:bCs/>
                <w:sz w:val="21"/>
                <w:szCs w:val="21"/>
                <w:highlight w:val="none"/>
                <w:vertAlign w:val="baseline"/>
                <w:lang w:val="en-US" w:eastAsia="zh-CN"/>
              </w:rPr>
              <w:t>总铬</w:t>
            </w:r>
          </w:p>
        </w:tc>
        <w:tc>
          <w:tcPr>
            <w:tcW w:w="904" w:type="dxa"/>
            <w:vAlign w:val="center"/>
          </w:tcPr>
          <w:p w14:paraId="2DAA981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bCs/>
                <w:sz w:val="21"/>
                <w:szCs w:val="21"/>
                <w:highlight w:val="none"/>
                <w:vertAlign w:val="baseline"/>
                <w:lang w:val="en-US" w:eastAsia="zh-CN"/>
              </w:rPr>
            </w:pPr>
            <w:r>
              <w:rPr>
                <w:rFonts w:hint="eastAsia"/>
                <w:b/>
                <w:bCs/>
                <w:sz w:val="21"/>
                <w:szCs w:val="21"/>
                <w:highlight w:val="none"/>
                <w:vertAlign w:val="baseline"/>
                <w:lang w:val="en-US" w:eastAsia="zh-CN"/>
              </w:rPr>
              <w:t>总镍</w:t>
            </w:r>
          </w:p>
        </w:tc>
        <w:tc>
          <w:tcPr>
            <w:tcW w:w="904" w:type="dxa"/>
            <w:vAlign w:val="center"/>
          </w:tcPr>
          <w:p w14:paraId="7A06B83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bCs/>
                <w:sz w:val="21"/>
                <w:szCs w:val="21"/>
                <w:highlight w:val="none"/>
                <w:vertAlign w:val="baseline"/>
                <w:lang w:val="en-US" w:eastAsia="zh-CN"/>
              </w:rPr>
            </w:pPr>
            <w:r>
              <w:rPr>
                <w:rFonts w:hint="eastAsia"/>
                <w:b/>
                <w:bCs/>
                <w:sz w:val="21"/>
                <w:szCs w:val="21"/>
                <w:highlight w:val="none"/>
                <w:vertAlign w:val="baseline"/>
                <w:lang w:val="en-US" w:eastAsia="zh-CN"/>
              </w:rPr>
              <w:t>总铜</w:t>
            </w:r>
          </w:p>
        </w:tc>
        <w:tc>
          <w:tcPr>
            <w:tcW w:w="904" w:type="dxa"/>
            <w:vAlign w:val="center"/>
          </w:tcPr>
          <w:p w14:paraId="69C2940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bCs/>
                <w:sz w:val="21"/>
                <w:szCs w:val="21"/>
                <w:highlight w:val="none"/>
                <w:vertAlign w:val="baseline"/>
                <w:lang w:val="en-US" w:eastAsia="zh-CN"/>
              </w:rPr>
            </w:pPr>
            <w:r>
              <w:rPr>
                <w:rFonts w:hint="eastAsia"/>
                <w:b/>
                <w:bCs/>
                <w:sz w:val="21"/>
                <w:szCs w:val="21"/>
                <w:highlight w:val="none"/>
                <w:vertAlign w:val="baseline"/>
                <w:lang w:val="en-US" w:eastAsia="zh-CN"/>
              </w:rPr>
              <w:t>总锌</w:t>
            </w:r>
          </w:p>
        </w:tc>
        <w:tc>
          <w:tcPr>
            <w:tcW w:w="904" w:type="dxa"/>
            <w:vAlign w:val="center"/>
          </w:tcPr>
          <w:p w14:paraId="5A121B0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bCs/>
                <w:sz w:val="21"/>
                <w:szCs w:val="21"/>
                <w:highlight w:val="none"/>
                <w:vertAlign w:val="baseline"/>
                <w:lang w:val="en-US" w:eastAsia="zh-CN"/>
              </w:rPr>
            </w:pPr>
            <w:r>
              <w:rPr>
                <w:rFonts w:hint="eastAsia"/>
                <w:b/>
                <w:bCs/>
                <w:sz w:val="21"/>
                <w:szCs w:val="21"/>
                <w:highlight w:val="none"/>
                <w:vertAlign w:val="baseline"/>
                <w:lang w:val="en-US" w:eastAsia="zh-CN"/>
              </w:rPr>
              <w:t>总砷</w:t>
            </w:r>
          </w:p>
        </w:tc>
        <w:tc>
          <w:tcPr>
            <w:tcW w:w="904" w:type="dxa"/>
            <w:vAlign w:val="center"/>
          </w:tcPr>
          <w:p w14:paraId="2169404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bCs/>
                <w:sz w:val="21"/>
                <w:szCs w:val="21"/>
                <w:highlight w:val="none"/>
                <w:vertAlign w:val="baseline"/>
                <w:lang w:val="en-US" w:eastAsia="zh-CN"/>
              </w:rPr>
            </w:pPr>
            <w:r>
              <w:rPr>
                <w:rFonts w:hint="eastAsia"/>
                <w:b/>
                <w:bCs/>
                <w:sz w:val="21"/>
                <w:szCs w:val="21"/>
                <w:highlight w:val="none"/>
                <w:vertAlign w:val="baseline"/>
                <w:lang w:val="en-US" w:eastAsia="zh-CN"/>
              </w:rPr>
              <w:t>总镉</w:t>
            </w:r>
          </w:p>
        </w:tc>
        <w:tc>
          <w:tcPr>
            <w:tcW w:w="904" w:type="dxa"/>
            <w:vAlign w:val="center"/>
          </w:tcPr>
          <w:p w14:paraId="209D3B1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bCs/>
                <w:sz w:val="21"/>
                <w:szCs w:val="21"/>
                <w:highlight w:val="none"/>
                <w:vertAlign w:val="baseline"/>
                <w:lang w:val="en-US" w:eastAsia="zh-CN"/>
              </w:rPr>
            </w:pPr>
            <w:r>
              <w:rPr>
                <w:rFonts w:hint="eastAsia"/>
                <w:b/>
                <w:bCs/>
                <w:sz w:val="21"/>
                <w:szCs w:val="21"/>
                <w:highlight w:val="none"/>
                <w:vertAlign w:val="baseline"/>
                <w:lang w:val="en-US" w:eastAsia="zh-CN"/>
              </w:rPr>
              <w:t>总铅</w:t>
            </w:r>
          </w:p>
        </w:tc>
        <w:tc>
          <w:tcPr>
            <w:tcW w:w="904" w:type="dxa"/>
            <w:vAlign w:val="center"/>
          </w:tcPr>
          <w:p w14:paraId="59B5AD5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bCs/>
                <w:sz w:val="21"/>
                <w:szCs w:val="21"/>
                <w:highlight w:val="none"/>
                <w:vertAlign w:val="baseline"/>
                <w:lang w:val="en-US" w:eastAsia="zh-CN"/>
              </w:rPr>
            </w:pPr>
            <w:r>
              <w:rPr>
                <w:rFonts w:hint="eastAsia"/>
                <w:b/>
                <w:bCs/>
                <w:sz w:val="21"/>
                <w:szCs w:val="21"/>
                <w:highlight w:val="none"/>
                <w:vertAlign w:val="baseline"/>
                <w:lang w:val="en-US" w:eastAsia="zh-CN"/>
              </w:rPr>
              <w:t>总汞</w:t>
            </w:r>
          </w:p>
        </w:tc>
        <w:tc>
          <w:tcPr>
            <w:tcW w:w="904" w:type="dxa"/>
            <w:vAlign w:val="center"/>
          </w:tcPr>
          <w:p w14:paraId="6E05A1E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bCs/>
                <w:sz w:val="21"/>
                <w:szCs w:val="21"/>
                <w:highlight w:val="none"/>
                <w:vertAlign w:val="baseline"/>
                <w:lang w:val="en-US" w:eastAsia="zh-CN"/>
              </w:rPr>
            </w:pPr>
            <w:r>
              <w:rPr>
                <w:rFonts w:hint="eastAsia"/>
                <w:b/>
                <w:bCs/>
                <w:sz w:val="21"/>
                <w:szCs w:val="21"/>
                <w:highlight w:val="none"/>
                <w:vertAlign w:val="baseline"/>
                <w:lang w:val="en-US" w:eastAsia="zh-CN"/>
              </w:rPr>
              <w:t>六价铬</w:t>
            </w:r>
          </w:p>
        </w:tc>
        <w:tc>
          <w:tcPr>
            <w:tcW w:w="904" w:type="dxa"/>
            <w:vAlign w:val="center"/>
          </w:tcPr>
          <w:p w14:paraId="6158974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bCs/>
                <w:sz w:val="21"/>
                <w:szCs w:val="21"/>
                <w:highlight w:val="none"/>
                <w:vertAlign w:val="baseline"/>
                <w:lang w:val="en-US" w:eastAsia="zh-CN"/>
              </w:rPr>
            </w:pPr>
            <w:r>
              <w:rPr>
                <w:rFonts w:hint="eastAsia"/>
                <w:b/>
                <w:bCs/>
                <w:sz w:val="21"/>
                <w:szCs w:val="21"/>
                <w:highlight w:val="none"/>
                <w:vertAlign w:val="baseline"/>
                <w:lang w:val="en-US" w:eastAsia="zh-CN"/>
              </w:rPr>
              <w:t>氰化物</w:t>
            </w:r>
          </w:p>
        </w:tc>
      </w:tr>
      <w:tr w14:paraId="2B37445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23" w:hRule="atLeast"/>
        </w:trPr>
        <w:tc>
          <w:tcPr>
            <w:tcW w:w="2861" w:type="dxa"/>
            <w:vAlign w:val="center"/>
          </w:tcPr>
          <w:p w14:paraId="79A2492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default" w:ascii="Times New Roman" w:hAnsi="Times New Roman" w:cs="Times New Roman"/>
                <w:sz w:val="21"/>
                <w:szCs w:val="21"/>
                <w:highlight w:val="none"/>
                <w:vertAlign w:val="baseline"/>
                <w:lang w:val="en-US" w:eastAsia="zh-CN"/>
              </w:rPr>
              <w:t>南尧村1</w:t>
            </w:r>
            <w:r>
              <w:rPr>
                <w:rFonts w:hint="eastAsia" w:cs="Times New Roman"/>
                <w:sz w:val="21"/>
                <w:szCs w:val="21"/>
                <w:highlight w:val="none"/>
                <w:vertAlign w:val="baseline"/>
                <w:lang w:val="en-US" w:eastAsia="zh-CN"/>
              </w:rPr>
              <w:t>#</w:t>
            </w:r>
            <w:r>
              <w:rPr>
                <w:rFonts w:hint="default" w:ascii="Times New Roman" w:hAnsi="Times New Roman" w:cs="Times New Roman"/>
                <w:sz w:val="21"/>
                <w:szCs w:val="21"/>
                <w:highlight w:val="none"/>
                <w:vertAlign w:val="baseline"/>
                <w:lang w:val="en-US" w:eastAsia="zh-CN"/>
              </w:rPr>
              <w:t>废渣堆</w:t>
            </w:r>
            <w:r>
              <w:rPr>
                <w:rFonts w:hint="default" w:ascii="Times New Roman" w:hAnsi="Times New Roman" w:eastAsia="宋体" w:cs="Times New Roman"/>
                <w:sz w:val="21"/>
                <w:szCs w:val="21"/>
                <w:highlight w:val="none"/>
                <w:vertAlign w:val="baseline"/>
                <w:lang w:val="en-US" w:eastAsia="zh-CN"/>
              </w:rPr>
              <w:t>Ⅱ</w:t>
            </w:r>
            <w:r>
              <w:rPr>
                <w:rFonts w:hint="default" w:ascii="Times New Roman" w:hAnsi="Times New Roman" w:cs="Times New Roman"/>
                <w:sz w:val="21"/>
                <w:szCs w:val="21"/>
                <w:highlight w:val="none"/>
                <w:vertAlign w:val="baseline"/>
                <w:lang w:val="en-US" w:eastAsia="zh-CN"/>
              </w:rPr>
              <w:t>区</w:t>
            </w:r>
            <w:r>
              <w:rPr>
                <w:rFonts w:hint="eastAsia"/>
                <w:sz w:val="21"/>
                <w:szCs w:val="21"/>
                <w:highlight w:val="none"/>
                <w:vertAlign w:val="baseline"/>
                <w:lang w:val="en-US" w:eastAsia="zh-CN"/>
              </w:rPr>
              <w:t>ZK1-1</w:t>
            </w:r>
          </w:p>
        </w:tc>
        <w:tc>
          <w:tcPr>
            <w:tcW w:w="764" w:type="dxa"/>
            <w:vMerge w:val="restart"/>
            <w:vAlign w:val="center"/>
          </w:tcPr>
          <w:p w14:paraId="07D3951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2022.6.27</w:t>
            </w:r>
          </w:p>
        </w:tc>
        <w:tc>
          <w:tcPr>
            <w:tcW w:w="1500" w:type="dxa"/>
            <w:vAlign w:val="center"/>
          </w:tcPr>
          <w:p w14:paraId="10604EA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黄棕色、固态</w:t>
            </w:r>
          </w:p>
        </w:tc>
        <w:tc>
          <w:tcPr>
            <w:tcW w:w="904" w:type="dxa"/>
            <w:vAlign w:val="center"/>
          </w:tcPr>
          <w:p w14:paraId="186BE2C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0.28</w:t>
            </w:r>
          </w:p>
        </w:tc>
        <w:tc>
          <w:tcPr>
            <w:tcW w:w="904" w:type="dxa"/>
            <w:vAlign w:val="center"/>
          </w:tcPr>
          <w:p w14:paraId="25A582B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0.15</w:t>
            </w:r>
          </w:p>
        </w:tc>
        <w:tc>
          <w:tcPr>
            <w:tcW w:w="904" w:type="dxa"/>
            <w:vAlign w:val="center"/>
          </w:tcPr>
          <w:p w14:paraId="248009B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0.30</w:t>
            </w:r>
          </w:p>
        </w:tc>
        <w:tc>
          <w:tcPr>
            <w:tcW w:w="904" w:type="dxa"/>
            <w:vAlign w:val="center"/>
          </w:tcPr>
          <w:p w14:paraId="6F2836A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22.5</w:t>
            </w:r>
          </w:p>
        </w:tc>
        <w:tc>
          <w:tcPr>
            <w:tcW w:w="904" w:type="dxa"/>
            <w:vAlign w:val="center"/>
          </w:tcPr>
          <w:p w14:paraId="1FA18B4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1.99</w:t>
            </w:r>
          </w:p>
        </w:tc>
        <w:tc>
          <w:tcPr>
            <w:tcW w:w="904" w:type="dxa"/>
            <w:vAlign w:val="center"/>
          </w:tcPr>
          <w:p w14:paraId="5407EF2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0.0156</w:t>
            </w:r>
          </w:p>
        </w:tc>
        <w:tc>
          <w:tcPr>
            <w:tcW w:w="904" w:type="dxa"/>
            <w:vAlign w:val="center"/>
          </w:tcPr>
          <w:p w14:paraId="1F473CC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0.221</w:t>
            </w:r>
          </w:p>
        </w:tc>
        <w:tc>
          <w:tcPr>
            <w:tcW w:w="904" w:type="dxa"/>
            <w:vAlign w:val="center"/>
          </w:tcPr>
          <w:p w14:paraId="1254AD1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0.00007</w:t>
            </w:r>
          </w:p>
        </w:tc>
        <w:tc>
          <w:tcPr>
            <w:tcW w:w="904" w:type="dxa"/>
            <w:vAlign w:val="center"/>
          </w:tcPr>
          <w:p w14:paraId="6443E8B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0.007</w:t>
            </w:r>
          </w:p>
        </w:tc>
        <w:tc>
          <w:tcPr>
            <w:tcW w:w="904" w:type="dxa"/>
            <w:vAlign w:val="center"/>
          </w:tcPr>
          <w:p w14:paraId="1E7EE5B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ND</w:t>
            </w:r>
          </w:p>
        </w:tc>
      </w:tr>
      <w:tr w14:paraId="61D8624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861" w:type="dxa"/>
            <w:vAlign w:val="center"/>
          </w:tcPr>
          <w:p w14:paraId="00960F7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default" w:ascii="Times New Roman" w:hAnsi="Times New Roman" w:cs="Times New Roman"/>
                <w:sz w:val="21"/>
                <w:szCs w:val="21"/>
                <w:highlight w:val="none"/>
                <w:vertAlign w:val="baseline"/>
                <w:lang w:val="en-US" w:eastAsia="zh-CN"/>
              </w:rPr>
              <w:t>南尧村1</w:t>
            </w:r>
            <w:r>
              <w:rPr>
                <w:rFonts w:hint="eastAsia" w:cs="Times New Roman"/>
                <w:sz w:val="21"/>
                <w:szCs w:val="21"/>
                <w:highlight w:val="none"/>
                <w:vertAlign w:val="baseline"/>
                <w:lang w:val="en-US" w:eastAsia="zh-CN"/>
              </w:rPr>
              <w:t>#</w:t>
            </w:r>
            <w:r>
              <w:rPr>
                <w:rFonts w:hint="default" w:ascii="Times New Roman" w:hAnsi="Times New Roman" w:cs="Times New Roman"/>
                <w:sz w:val="21"/>
                <w:szCs w:val="21"/>
                <w:highlight w:val="none"/>
                <w:vertAlign w:val="baseline"/>
                <w:lang w:val="en-US" w:eastAsia="zh-CN"/>
              </w:rPr>
              <w:t>废渣堆</w:t>
            </w:r>
            <w:r>
              <w:rPr>
                <w:rFonts w:hint="default" w:ascii="Times New Roman" w:hAnsi="Times New Roman" w:eastAsia="宋体" w:cs="Times New Roman"/>
                <w:sz w:val="21"/>
                <w:szCs w:val="21"/>
                <w:highlight w:val="none"/>
                <w:vertAlign w:val="baseline"/>
                <w:lang w:val="en-US" w:eastAsia="zh-CN"/>
              </w:rPr>
              <w:t>Ⅱ</w:t>
            </w:r>
            <w:r>
              <w:rPr>
                <w:rFonts w:hint="default" w:ascii="Times New Roman" w:hAnsi="Times New Roman" w:cs="Times New Roman"/>
                <w:sz w:val="21"/>
                <w:szCs w:val="21"/>
                <w:highlight w:val="none"/>
                <w:vertAlign w:val="baseline"/>
                <w:lang w:val="en-US" w:eastAsia="zh-CN"/>
              </w:rPr>
              <w:t>区</w:t>
            </w:r>
            <w:r>
              <w:rPr>
                <w:rFonts w:hint="eastAsia"/>
                <w:sz w:val="21"/>
                <w:szCs w:val="21"/>
                <w:highlight w:val="none"/>
                <w:vertAlign w:val="baseline"/>
                <w:lang w:val="en-US" w:eastAsia="zh-CN"/>
              </w:rPr>
              <w:t>ZK1-2</w:t>
            </w:r>
          </w:p>
        </w:tc>
        <w:tc>
          <w:tcPr>
            <w:tcW w:w="764" w:type="dxa"/>
            <w:vMerge w:val="continue"/>
            <w:vAlign w:val="center"/>
          </w:tcPr>
          <w:p w14:paraId="43C63AC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p>
        </w:tc>
        <w:tc>
          <w:tcPr>
            <w:tcW w:w="1500" w:type="dxa"/>
            <w:vAlign w:val="center"/>
          </w:tcPr>
          <w:p w14:paraId="7BC2D69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灰色、固态</w:t>
            </w:r>
          </w:p>
        </w:tc>
        <w:tc>
          <w:tcPr>
            <w:tcW w:w="904" w:type="dxa"/>
            <w:vAlign w:val="center"/>
          </w:tcPr>
          <w:p w14:paraId="2545D75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0.21</w:t>
            </w:r>
          </w:p>
        </w:tc>
        <w:tc>
          <w:tcPr>
            <w:tcW w:w="904" w:type="dxa"/>
            <w:vAlign w:val="center"/>
          </w:tcPr>
          <w:p w14:paraId="0D1B9E7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0.51</w:t>
            </w:r>
          </w:p>
        </w:tc>
        <w:tc>
          <w:tcPr>
            <w:tcW w:w="904" w:type="dxa"/>
            <w:vAlign w:val="center"/>
          </w:tcPr>
          <w:p w14:paraId="230EA96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1.08</w:t>
            </w:r>
          </w:p>
        </w:tc>
        <w:tc>
          <w:tcPr>
            <w:tcW w:w="904" w:type="dxa"/>
            <w:vAlign w:val="center"/>
          </w:tcPr>
          <w:p w14:paraId="262304A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1.63</w:t>
            </w:r>
          </w:p>
        </w:tc>
        <w:tc>
          <w:tcPr>
            <w:tcW w:w="904" w:type="dxa"/>
            <w:vAlign w:val="center"/>
          </w:tcPr>
          <w:p w14:paraId="7F0A10B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2.50</w:t>
            </w:r>
          </w:p>
        </w:tc>
        <w:tc>
          <w:tcPr>
            <w:tcW w:w="904" w:type="dxa"/>
            <w:vAlign w:val="center"/>
          </w:tcPr>
          <w:p w14:paraId="7248EBE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0.0066</w:t>
            </w:r>
          </w:p>
        </w:tc>
        <w:tc>
          <w:tcPr>
            <w:tcW w:w="904" w:type="dxa"/>
            <w:vAlign w:val="center"/>
          </w:tcPr>
          <w:p w14:paraId="39193A7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0.792</w:t>
            </w:r>
          </w:p>
        </w:tc>
        <w:tc>
          <w:tcPr>
            <w:tcW w:w="904" w:type="dxa"/>
            <w:vAlign w:val="center"/>
          </w:tcPr>
          <w:p w14:paraId="48AC9DE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0.00009</w:t>
            </w:r>
          </w:p>
        </w:tc>
        <w:tc>
          <w:tcPr>
            <w:tcW w:w="904" w:type="dxa"/>
            <w:vAlign w:val="center"/>
          </w:tcPr>
          <w:p w14:paraId="2967052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0.006</w:t>
            </w:r>
          </w:p>
        </w:tc>
        <w:tc>
          <w:tcPr>
            <w:tcW w:w="904" w:type="dxa"/>
            <w:vAlign w:val="center"/>
          </w:tcPr>
          <w:p w14:paraId="2233243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ND</w:t>
            </w:r>
          </w:p>
        </w:tc>
      </w:tr>
      <w:tr w14:paraId="096E7EF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861" w:type="dxa"/>
            <w:vAlign w:val="center"/>
          </w:tcPr>
          <w:p w14:paraId="36637CE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default" w:ascii="Times New Roman" w:hAnsi="Times New Roman" w:cs="Times New Roman"/>
                <w:sz w:val="21"/>
                <w:szCs w:val="21"/>
                <w:highlight w:val="none"/>
                <w:vertAlign w:val="baseline"/>
                <w:lang w:val="en-US" w:eastAsia="zh-CN"/>
              </w:rPr>
              <w:t>南尧村1</w:t>
            </w:r>
            <w:r>
              <w:rPr>
                <w:rFonts w:hint="eastAsia" w:cs="Times New Roman"/>
                <w:sz w:val="21"/>
                <w:szCs w:val="21"/>
                <w:highlight w:val="none"/>
                <w:vertAlign w:val="baseline"/>
                <w:lang w:val="en-US" w:eastAsia="zh-CN"/>
              </w:rPr>
              <w:t>#</w:t>
            </w:r>
            <w:r>
              <w:rPr>
                <w:rFonts w:hint="default" w:ascii="Times New Roman" w:hAnsi="Times New Roman" w:cs="Times New Roman"/>
                <w:sz w:val="21"/>
                <w:szCs w:val="21"/>
                <w:highlight w:val="none"/>
                <w:vertAlign w:val="baseline"/>
                <w:lang w:val="en-US" w:eastAsia="zh-CN"/>
              </w:rPr>
              <w:t>废渣堆</w:t>
            </w:r>
            <w:r>
              <w:rPr>
                <w:rFonts w:hint="default" w:ascii="Times New Roman" w:hAnsi="Times New Roman" w:eastAsia="宋体" w:cs="Times New Roman"/>
                <w:sz w:val="21"/>
                <w:szCs w:val="21"/>
                <w:highlight w:val="none"/>
                <w:vertAlign w:val="baseline"/>
                <w:lang w:val="en-US" w:eastAsia="zh-CN"/>
              </w:rPr>
              <w:t>Ⅱ</w:t>
            </w:r>
            <w:r>
              <w:rPr>
                <w:rFonts w:hint="default" w:ascii="Times New Roman" w:hAnsi="Times New Roman" w:cs="Times New Roman"/>
                <w:sz w:val="21"/>
                <w:szCs w:val="21"/>
                <w:highlight w:val="none"/>
                <w:vertAlign w:val="baseline"/>
                <w:lang w:val="en-US" w:eastAsia="zh-CN"/>
              </w:rPr>
              <w:t>区</w:t>
            </w:r>
            <w:r>
              <w:rPr>
                <w:rFonts w:hint="eastAsia"/>
                <w:sz w:val="21"/>
                <w:szCs w:val="21"/>
                <w:highlight w:val="none"/>
                <w:vertAlign w:val="baseline"/>
                <w:lang w:val="en-US" w:eastAsia="zh-CN"/>
              </w:rPr>
              <w:t>ZK1-3</w:t>
            </w:r>
          </w:p>
        </w:tc>
        <w:tc>
          <w:tcPr>
            <w:tcW w:w="764" w:type="dxa"/>
            <w:vMerge w:val="continue"/>
            <w:vAlign w:val="center"/>
          </w:tcPr>
          <w:p w14:paraId="18A39D5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p>
        </w:tc>
        <w:tc>
          <w:tcPr>
            <w:tcW w:w="1500" w:type="dxa"/>
            <w:vAlign w:val="center"/>
          </w:tcPr>
          <w:p w14:paraId="7DED886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灰色、固态</w:t>
            </w:r>
          </w:p>
        </w:tc>
        <w:tc>
          <w:tcPr>
            <w:tcW w:w="904" w:type="dxa"/>
            <w:vAlign w:val="center"/>
          </w:tcPr>
          <w:p w14:paraId="19C408B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0.25</w:t>
            </w:r>
          </w:p>
        </w:tc>
        <w:tc>
          <w:tcPr>
            <w:tcW w:w="904" w:type="dxa"/>
            <w:vAlign w:val="center"/>
          </w:tcPr>
          <w:p w14:paraId="099E3B1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0.59</w:t>
            </w:r>
          </w:p>
        </w:tc>
        <w:tc>
          <w:tcPr>
            <w:tcW w:w="904" w:type="dxa"/>
            <w:vAlign w:val="center"/>
          </w:tcPr>
          <w:p w14:paraId="31C6E41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1.12</w:t>
            </w:r>
          </w:p>
        </w:tc>
        <w:tc>
          <w:tcPr>
            <w:tcW w:w="904" w:type="dxa"/>
            <w:vAlign w:val="center"/>
          </w:tcPr>
          <w:p w14:paraId="22784BA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1.75</w:t>
            </w:r>
          </w:p>
        </w:tc>
        <w:tc>
          <w:tcPr>
            <w:tcW w:w="904" w:type="dxa"/>
            <w:vAlign w:val="center"/>
          </w:tcPr>
          <w:p w14:paraId="2A09FB1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4.37</w:t>
            </w:r>
          </w:p>
        </w:tc>
        <w:tc>
          <w:tcPr>
            <w:tcW w:w="904" w:type="dxa"/>
            <w:vAlign w:val="center"/>
          </w:tcPr>
          <w:p w14:paraId="7487819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0.0044</w:t>
            </w:r>
          </w:p>
        </w:tc>
        <w:tc>
          <w:tcPr>
            <w:tcW w:w="904" w:type="dxa"/>
            <w:vAlign w:val="center"/>
          </w:tcPr>
          <w:p w14:paraId="45FB9AC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0.354</w:t>
            </w:r>
          </w:p>
        </w:tc>
        <w:tc>
          <w:tcPr>
            <w:tcW w:w="904" w:type="dxa"/>
            <w:vAlign w:val="center"/>
          </w:tcPr>
          <w:p w14:paraId="1797CC4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0.00010</w:t>
            </w:r>
          </w:p>
        </w:tc>
        <w:tc>
          <w:tcPr>
            <w:tcW w:w="904" w:type="dxa"/>
            <w:vAlign w:val="center"/>
          </w:tcPr>
          <w:p w14:paraId="20ADA78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0.007</w:t>
            </w:r>
          </w:p>
        </w:tc>
        <w:tc>
          <w:tcPr>
            <w:tcW w:w="904" w:type="dxa"/>
            <w:vAlign w:val="center"/>
          </w:tcPr>
          <w:p w14:paraId="23A63C8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ND</w:t>
            </w:r>
          </w:p>
        </w:tc>
      </w:tr>
      <w:tr w14:paraId="7F396E4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861" w:type="dxa"/>
            <w:vAlign w:val="center"/>
          </w:tcPr>
          <w:p w14:paraId="5AEA9D0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default" w:ascii="Times New Roman" w:hAnsi="Times New Roman" w:cs="Times New Roman"/>
                <w:sz w:val="21"/>
                <w:szCs w:val="21"/>
                <w:highlight w:val="none"/>
                <w:vertAlign w:val="baseline"/>
                <w:lang w:val="en-US" w:eastAsia="zh-CN"/>
              </w:rPr>
              <w:t>南尧村1</w:t>
            </w:r>
            <w:r>
              <w:rPr>
                <w:rFonts w:hint="eastAsia" w:cs="Times New Roman"/>
                <w:sz w:val="21"/>
                <w:szCs w:val="21"/>
                <w:highlight w:val="none"/>
                <w:vertAlign w:val="baseline"/>
                <w:lang w:val="en-US" w:eastAsia="zh-CN"/>
              </w:rPr>
              <w:t>#</w:t>
            </w:r>
            <w:r>
              <w:rPr>
                <w:rFonts w:hint="default" w:ascii="Times New Roman" w:hAnsi="Times New Roman" w:cs="Times New Roman"/>
                <w:sz w:val="21"/>
                <w:szCs w:val="21"/>
                <w:highlight w:val="none"/>
                <w:vertAlign w:val="baseline"/>
                <w:lang w:val="en-US" w:eastAsia="zh-CN"/>
              </w:rPr>
              <w:t>废渣堆</w:t>
            </w:r>
            <w:r>
              <w:rPr>
                <w:rFonts w:hint="default" w:ascii="Times New Roman" w:hAnsi="Times New Roman" w:eastAsia="宋体" w:cs="Times New Roman"/>
                <w:sz w:val="21"/>
                <w:szCs w:val="21"/>
                <w:highlight w:val="none"/>
                <w:vertAlign w:val="baseline"/>
                <w:lang w:val="en-US" w:eastAsia="zh-CN"/>
              </w:rPr>
              <w:t>Ⅱ</w:t>
            </w:r>
            <w:r>
              <w:rPr>
                <w:rFonts w:hint="default" w:ascii="Times New Roman" w:hAnsi="Times New Roman" w:cs="Times New Roman"/>
                <w:sz w:val="21"/>
                <w:szCs w:val="21"/>
                <w:highlight w:val="none"/>
                <w:vertAlign w:val="baseline"/>
                <w:lang w:val="en-US" w:eastAsia="zh-CN"/>
              </w:rPr>
              <w:t>区</w:t>
            </w:r>
            <w:r>
              <w:rPr>
                <w:rFonts w:hint="eastAsia"/>
                <w:sz w:val="21"/>
                <w:szCs w:val="21"/>
                <w:highlight w:val="none"/>
                <w:vertAlign w:val="baseline"/>
                <w:lang w:val="en-US" w:eastAsia="zh-CN"/>
              </w:rPr>
              <w:t>ZK1-4</w:t>
            </w:r>
          </w:p>
        </w:tc>
        <w:tc>
          <w:tcPr>
            <w:tcW w:w="764" w:type="dxa"/>
            <w:vMerge w:val="continue"/>
            <w:vAlign w:val="center"/>
          </w:tcPr>
          <w:p w14:paraId="00FF556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p>
        </w:tc>
        <w:tc>
          <w:tcPr>
            <w:tcW w:w="1500" w:type="dxa"/>
            <w:vAlign w:val="center"/>
          </w:tcPr>
          <w:p w14:paraId="6A1B4DB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灰色、固态</w:t>
            </w:r>
          </w:p>
        </w:tc>
        <w:tc>
          <w:tcPr>
            <w:tcW w:w="904" w:type="dxa"/>
            <w:vAlign w:val="center"/>
          </w:tcPr>
          <w:p w14:paraId="627BAD6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0.43</w:t>
            </w:r>
          </w:p>
        </w:tc>
        <w:tc>
          <w:tcPr>
            <w:tcW w:w="904" w:type="dxa"/>
            <w:vAlign w:val="center"/>
          </w:tcPr>
          <w:p w14:paraId="35408CF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0.60</w:t>
            </w:r>
          </w:p>
        </w:tc>
        <w:tc>
          <w:tcPr>
            <w:tcW w:w="904" w:type="dxa"/>
            <w:vAlign w:val="center"/>
          </w:tcPr>
          <w:p w14:paraId="1DBA8E2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0.91</w:t>
            </w:r>
          </w:p>
        </w:tc>
        <w:tc>
          <w:tcPr>
            <w:tcW w:w="904" w:type="dxa"/>
            <w:vAlign w:val="center"/>
          </w:tcPr>
          <w:p w14:paraId="6914B54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2.26</w:t>
            </w:r>
          </w:p>
        </w:tc>
        <w:tc>
          <w:tcPr>
            <w:tcW w:w="904" w:type="dxa"/>
            <w:vAlign w:val="center"/>
          </w:tcPr>
          <w:p w14:paraId="0CE5B2F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1.73</w:t>
            </w:r>
          </w:p>
        </w:tc>
        <w:tc>
          <w:tcPr>
            <w:tcW w:w="904" w:type="dxa"/>
            <w:vAlign w:val="center"/>
          </w:tcPr>
          <w:p w14:paraId="529230B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0.0026</w:t>
            </w:r>
          </w:p>
        </w:tc>
        <w:tc>
          <w:tcPr>
            <w:tcW w:w="904" w:type="dxa"/>
            <w:vAlign w:val="center"/>
          </w:tcPr>
          <w:p w14:paraId="6727943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0.143</w:t>
            </w:r>
          </w:p>
        </w:tc>
        <w:tc>
          <w:tcPr>
            <w:tcW w:w="904" w:type="dxa"/>
            <w:vAlign w:val="center"/>
          </w:tcPr>
          <w:p w14:paraId="7EAD4B2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0.00007</w:t>
            </w:r>
          </w:p>
        </w:tc>
        <w:tc>
          <w:tcPr>
            <w:tcW w:w="904" w:type="dxa"/>
            <w:vAlign w:val="center"/>
          </w:tcPr>
          <w:p w14:paraId="7C1C3C7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0.012</w:t>
            </w:r>
          </w:p>
        </w:tc>
        <w:tc>
          <w:tcPr>
            <w:tcW w:w="904" w:type="dxa"/>
            <w:vAlign w:val="center"/>
          </w:tcPr>
          <w:p w14:paraId="63D040E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ND</w:t>
            </w:r>
          </w:p>
        </w:tc>
      </w:tr>
      <w:tr w14:paraId="1506748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861" w:type="dxa"/>
            <w:vAlign w:val="center"/>
          </w:tcPr>
          <w:p w14:paraId="1593ED7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default" w:ascii="Times New Roman" w:hAnsi="Times New Roman" w:cs="Times New Roman"/>
                <w:sz w:val="21"/>
                <w:szCs w:val="21"/>
                <w:highlight w:val="none"/>
                <w:vertAlign w:val="baseline"/>
                <w:lang w:val="en-US" w:eastAsia="zh-CN"/>
              </w:rPr>
              <w:t>南尧村1</w:t>
            </w:r>
            <w:r>
              <w:rPr>
                <w:rFonts w:hint="eastAsia" w:cs="Times New Roman"/>
                <w:sz w:val="21"/>
                <w:szCs w:val="21"/>
                <w:highlight w:val="none"/>
                <w:vertAlign w:val="baseline"/>
                <w:lang w:val="en-US" w:eastAsia="zh-CN"/>
              </w:rPr>
              <w:t>#</w:t>
            </w:r>
            <w:r>
              <w:rPr>
                <w:rFonts w:hint="default" w:ascii="Times New Roman" w:hAnsi="Times New Roman" w:cs="Times New Roman"/>
                <w:sz w:val="21"/>
                <w:szCs w:val="21"/>
                <w:highlight w:val="none"/>
                <w:vertAlign w:val="baseline"/>
                <w:lang w:val="en-US" w:eastAsia="zh-CN"/>
              </w:rPr>
              <w:t>废渣堆</w:t>
            </w:r>
            <w:r>
              <w:rPr>
                <w:rFonts w:hint="default" w:ascii="Times New Roman" w:hAnsi="Times New Roman" w:eastAsia="宋体" w:cs="Times New Roman"/>
                <w:sz w:val="21"/>
                <w:szCs w:val="21"/>
                <w:highlight w:val="none"/>
                <w:vertAlign w:val="baseline"/>
                <w:lang w:val="en-US" w:eastAsia="zh-CN"/>
              </w:rPr>
              <w:t>Ⅰ</w:t>
            </w:r>
            <w:r>
              <w:rPr>
                <w:rFonts w:hint="default" w:ascii="Times New Roman" w:hAnsi="Times New Roman" w:cs="Times New Roman"/>
                <w:sz w:val="21"/>
                <w:szCs w:val="21"/>
                <w:highlight w:val="none"/>
                <w:vertAlign w:val="baseline"/>
                <w:lang w:val="en-US" w:eastAsia="zh-CN"/>
              </w:rPr>
              <w:t>区</w:t>
            </w:r>
            <w:r>
              <w:rPr>
                <w:rFonts w:hint="eastAsia"/>
                <w:sz w:val="21"/>
                <w:szCs w:val="21"/>
                <w:highlight w:val="none"/>
                <w:vertAlign w:val="baseline"/>
                <w:lang w:val="en-US" w:eastAsia="zh-CN"/>
              </w:rPr>
              <w:t>ZK1-5</w:t>
            </w:r>
          </w:p>
        </w:tc>
        <w:tc>
          <w:tcPr>
            <w:tcW w:w="764" w:type="dxa"/>
            <w:vMerge w:val="continue"/>
            <w:vAlign w:val="center"/>
          </w:tcPr>
          <w:p w14:paraId="19A0C48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p>
        </w:tc>
        <w:tc>
          <w:tcPr>
            <w:tcW w:w="1500" w:type="dxa"/>
            <w:vAlign w:val="center"/>
          </w:tcPr>
          <w:p w14:paraId="4D32B7D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黄棕色、固态</w:t>
            </w:r>
          </w:p>
        </w:tc>
        <w:tc>
          <w:tcPr>
            <w:tcW w:w="904" w:type="dxa"/>
            <w:vAlign w:val="center"/>
          </w:tcPr>
          <w:p w14:paraId="56779C2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0.26</w:t>
            </w:r>
          </w:p>
        </w:tc>
        <w:tc>
          <w:tcPr>
            <w:tcW w:w="904" w:type="dxa"/>
            <w:vAlign w:val="center"/>
          </w:tcPr>
          <w:p w14:paraId="6B44811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0.18</w:t>
            </w:r>
          </w:p>
        </w:tc>
        <w:tc>
          <w:tcPr>
            <w:tcW w:w="904" w:type="dxa"/>
            <w:vAlign w:val="center"/>
          </w:tcPr>
          <w:p w14:paraId="347E3C2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0.49</w:t>
            </w:r>
          </w:p>
        </w:tc>
        <w:tc>
          <w:tcPr>
            <w:tcW w:w="904" w:type="dxa"/>
            <w:vAlign w:val="center"/>
          </w:tcPr>
          <w:p w14:paraId="7FFAF32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11.7</w:t>
            </w:r>
          </w:p>
        </w:tc>
        <w:tc>
          <w:tcPr>
            <w:tcW w:w="904" w:type="dxa"/>
            <w:vAlign w:val="center"/>
          </w:tcPr>
          <w:p w14:paraId="1D57B9F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2.82</w:t>
            </w:r>
          </w:p>
        </w:tc>
        <w:tc>
          <w:tcPr>
            <w:tcW w:w="904" w:type="dxa"/>
            <w:vAlign w:val="center"/>
          </w:tcPr>
          <w:p w14:paraId="2EAF420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0.0064</w:t>
            </w:r>
          </w:p>
        </w:tc>
        <w:tc>
          <w:tcPr>
            <w:tcW w:w="904" w:type="dxa"/>
            <w:vAlign w:val="center"/>
          </w:tcPr>
          <w:p w14:paraId="6E0025B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0.0701</w:t>
            </w:r>
          </w:p>
        </w:tc>
        <w:tc>
          <w:tcPr>
            <w:tcW w:w="904" w:type="dxa"/>
            <w:vAlign w:val="center"/>
          </w:tcPr>
          <w:p w14:paraId="1BCA0C2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0.00008</w:t>
            </w:r>
          </w:p>
        </w:tc>
        <w:tc>
          <w:tcPr>
            <w:tcW w:w="904" w:type="dxa"/>
            <w:vAlign w:val="center"/>
          </w:tcPr>
          <w:p w14:paraId="0A738F0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0.009</w:t>
            </w:r>
          </w:p>
        </w:tc>
        <w:tc>
          <w:tcPr>
            <w:tcW w:w="904" w:type="dxa"/>
            <w:vAlign w:val="center"/>
          </w:tcPr>
          <w:p w14:paraId="5A1F4DC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ND</w:t>
            </w:r>
          </w:p>
        </w:tc>
      </w:tr>
      <w:tr w14:paraId="0D7877D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861" w:type="dxa"/>
            <w:vAlign w:val="center"/>
          </w:tcPr>
          <w:p w14:paraId="34EE0B9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highlight w:val="none"/>
                <w:vertAlign w:val="baseline"/>
                <w:lang w:val="en-US" w:eastAsia="zh-CN"/>
              </w:rPr>
            </w:pPr>
            <w:r>
              <w:rPr>
                <w:rFonts w:hint="default" w:ascii="Times New Roman" w:hAnsi="Times New Roman" w:cs="Times New Roman"/>
                <w:sz w:val="21"/>
                <w:szCs w:val="21"/>
                <w:highlight w:val="none"/>
                <w:vertAlign w:val="baseline"/>
                <w:lang w:val="en-US" w:eastAsia="zh-CN"/>
              </w:rPr>
              <w:t>南尧村2#废渣堆</w:t>
            </w:r>
            <w:r>
              <w:rPr>
                <w:rFonts w:hint="default" w:ascii="Times New Roman" w:hAnsi="Times New Roman" w:eastAsia="宋体" w:cs="Times New Roman"/>
                <w:sz w:val="21"/>
                <w:szCs w:val="21"/>
                <w:highlight w:val="none"/>
                <w:vertAlign w:val="baseline"/>
                <w:lang w:val="en-US" w:eastAsia="zh-CN"/>
              </w:rPr>
              <w:t>Ⅳ</w:t>
            </w:r>
            <w:r>
              <w:rPr>
                <w:rFonts w:hint="default" w:ascii="Times New Roman" w:hAnsi="Times New Roman" w:cs="Times New Roman"/>
                <w:sz w:val="21"/>
                <w:szCs w:val="21"/>
                <w:highlight w:val="none"/>
                <w:vertAlign w:val="baseline"/>
                <w:lang w:val="en-US" w:eastAsia="zh-CN"/>
              </w:rPr>
              <w:t>区ZK2-1</w:t>
            </w:r>
          </w:p>
        </w:tc>
        <w:tc>
          <w:tcPr>
            <w:tcW w:w="764" w:type="dxa"/>
            <w:vMerge w:val="restart"/>
            <w:vAlign w:val="center"/>
          </w:tcPr>
          <w:p w14:paraId="4B706B1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2022.7.1</w:t>
            </w:r>
          </w:p>
        </w:tc>
        <w:tc>
          <w:tcPr>
            <w:tcW w:w="1500" w:type="dxa"/>
            <w:vAlign w:val="center"/>
          </w:tcPr>
          <w:p w14:paraId="427F762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红棕色、固态</w:t>
            </w:r>
          </w:p>
        </w:tc>
        <w:tc>
          <w:tcPr>
            <w:tcW w:w="904" w:type="dxa"/>
            <w:vAlign w:val="center"/>
          </w:tcPr>
          <w:p w14:paraId="6544DEF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0.21</w:t>
            </w:r>
          </w:p>
        </w:tc>
        <w:tc>
          <w:tcPr>
            <w:tcW w:w="904" w:type="dxa"/>
            <w:vAlign w:val="center"/>
          </w:tcPr>
          <w:p w14:paraId="1A0F609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0.04</w:t>
            </w:r>
          </w:p>
        </w:tc>
        <w:tc>
          <w:tcPr>
            <w:tcW w:w="904" w:type="dxa"/>
            <w:vAlign w:val="center"/>
          </w:tcPr>
          <w:p w14:paraId="751707D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ND</w:t>
            </w:r>
          </w:p>
        </w:tc>
        <w:tc>
          <w:tcPr>
            <w:tcW w:w="904" w:type="dxa"/>
            <w:vAlign w:val="center"/>
          </w:tcPr>
          <w:p w14:paraId="751BE07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2.72</w:t>
            </w:r>
          </w:p>
        </w:tc>
        <w:tc>
          <w:tcPr>
            <w:tcW w:w="904" w:type="dxa"/>
            <w:vAlign w:val="center"/>
          </w:tcPr>
          <w:p w14:paraId="2FA6D3F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3.73</w:t>
            </w:r>
          </w:p>
        </w:tc>
        <w:tc>
          <w:tcPr>
            <w:tcW w:w="904" w:type="dxa"/>
            <w:vAlign w:val="center"/>
          </w:tcPr>
          <w:p w14:paraId="0913EAB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0.0021</w:t>
            </w:r>
          </w:p>
        </w:tc>
        <w:tc>
          <w:tcPr>
            <w:tcW w:w="904" w:type="dxa"/>
            <w:vAlign w:val="center"/>
          </w:tcPr>
          <w:p w14:paraId="35B7542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ND</w:t>
            </w:r>
          </w:p>
        </w:tc>
        <w:tc>
          <w:tcPr>
            <w:tcW w:w="904" w:type="dxa"/>
            <w:vAlign w:val="center"/>
          </w:tcPr>
          <w:p w14:paraId="5DA5A29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0.00010</w:t>
            </w:r>
          </w:p>
        </w:tc>
        <w:tc>
          <w:tcPr>
            <w:tcW w:w="904" w:type="dxa"/>
            <w:vAlign w:val="center"/>
          </w:tcPr>
          <w:p w14:paraId="2C20846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0.009</w:t>
            </w:r>
          </w:p>
        </w:tc>
        <w:tc>
          <w:tcPr>
            <w:tcW w:w="904" w:type="dxa"/>
            <w:vAlign w:val="center"/>
          </w:tcPr>
          <w:p w14:paraId="0A1DC9D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ND</w:t>
            </w:r>
          </w:p>
        </w:tc>
      </w:tr>
      <w:tr w14:paraId="15DA3AD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861" w:type="dxa"/>
            <w:vAlign w:val="center"/>
          </w:tcPr>
          <w:p w14:paraId="0CD48FB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highlight w:val="none"/>
                <w:vertAlign w:val="baseline"/>
                <w:lang w:val="en-US" w:eastAsia="zh-CN"/>
              </w:rPr>
            </w:pPr>
            <w:r>
              <w:rPr>
                <w:rFonts w:hint="default" w:ascii="Times New Roman" w:hAnsi="Times New Roman" w:cs="Times New Roman"/>
                <w:sz w:val="21"/>
                <w:szCs w:val="21"/>
                <w:highlight w:val="none"/>
                <w:vertAlign w:val="baseline"/>
                <w:lang w:val="en-US" w:eastAsia="zh-CN"/>
              </w:rPr>
              <w:t>南尧村2#废渣堆</w:t>
            </w:r>
            <w:r>
              <w:rPr>
                <w:rFonts w:hint="default" w:ascii="Times New Roman" w:hAnsi="Times New Roman" w:eastAsia="宋体" w:cs="Times New Roman"/>
                <w:sz w:val="21"/>
                <w:szCs w:val="21"/>
                <w:highlight w:val="none"/>
                <w:vertAlign w:val="baseline"/>
                <w:lang w:val="en-US" w:eastAsia="zh-CN"/>
              </w:rPr>
              <w:t>Ⅵ</w:t>
            </w:r>
            <w:r>
              <w:rPr>
                <w:rFonts w:hint="default" w:ascii="Times New Roman" w:hAnsi="Times New Roman" w:cs="Times New Roman"/>
                <w:sz w:val="21"/>
                <w:szCs w:val="21"/>
                <w:highlight w:val="none"/>
                <w:vertAlign w:val="baseline"/>
                <w:lang w:val="en-US" w:eastAsia="zh-CN"/>
              </w:rPr>
              <w:t>区ZK2-2</w:t>
            </w:r>
          </w:p>
        </w:tc>
        <w:tc>
          <w:tcPr>
            <w:tcW w:w="764" w:type="dxa"/>
            <w:vMerge w:val="continue"/>
            <w:vAlign w:val="center"/>
          </w:tcPr>
          <w:p w14:paraId="5FE06A5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p>
        </w:tc>
        <w:tc>
          <w:tcPr>
            <w:tcW w:w="1500" w:type="dxa"/>
            <w:vAlign w:val="center"/>
          </w:tcPr>
          <w:p w14:paraId="39758C8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灰色、固态</w:t>
            </w:r>
          </w:p>
        </w:tc>
        <w:tc>
          <w:tcPr>
            <w:tcW w:w="904" w:type="dxa"/>
            <w:vAlign w:val="center"/>
          </w:tcPr>
          <w:p w14:paraId="7ADA787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0.28</w:t>
            </w:r>
          </w:p>
        </w:tc>
        <w:tc>
          <w:tcPr>
            <w:tcW w:w="904" w:type="dxa"/>
            <w:vAlign w:val="center"/>
          </w:tcPr>
          <w:p w14:paraId="3CFD6B3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1.24</w:t>
            </w:r>
          </w:p>
        </w:tc>
        <w:tc>
          <w:tcPr>
            <w:tcW w:w="904" w:type="dxa"/>
            <w:vAlign w:val="center"/>
          </w:tcPr>
          <w:p w14:paraId="02C36AE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0.12</w:t>
            </w:r>
          </w:p>
        </w:tc>
        <w:tc>
          <w:tcPr>
            <w:tcW w:w="904" w:type="dxa"/>
            <w:vAlign w:val="center"/>
          </w:tcPr>
          <w:p w14:paraId="5FAB398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2.42</w:t>
            </w:r>
          </w:p>
        </w:tc>
        <w:tc>
          <w:tcPr>
            <w:tcW w:w="904" w:type="dxa"/>
            <w:vAlign w:val="center"/>
          </w:tcPr>
          <w:p w14:paraId="137E820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1.21</w:t>
            </w:r>
          </w:p>
        </w:tc>
        <w:tc>
          <w:tcPr>
            <w:tcW w:w="904" w:type="dxa"/>
            <w:vAlign w:val="center"/>
          </w:tcPr>
          <w:p w14:paraId="318EB64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0.0019</w:t>
            </w:r>
          </w:p>
        </w:tc>
        <w:tc>
          <w:tcPr>
            <w:tcW w:w="904" w:type="dxa"/>
            <w:vAlign w:val="center"/>
          </w:tcPr>
          <w:p w14:paraId="1C9D830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ND</w:t>
            </w:r>
          </w:p>
        </w:tc>
        <w:tc>
          <w:tcPr>
            <w:tcW w:w="904" w:type="dxa"/>
            <w:vAlign w:val="center"/>
          </w:tcPr>
          <w:p w14:paraId="1D0175F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0.00010</w:t>
            </w:r>
          </w:p>
        </w:tc>
        <w:tc>
          <w:tcPr>
            <w:tcW w:w="904" w:type="dxa"/>
            <w:shd w:val="clear" w:color="auto" w:fill="auto"/>
            <w:vAlign w:val="center"/>
          </w:tcPr>
          <w:p w14:paraId="244CD02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eastAsia"/>
                <w:sz w:val="21"/>
                <w:szCs w:val="21"/>
                <w:highlight w:val="none"/>
                <w:vertAlign w:val="baseline"/>
                <w:lang w:val="en-US" w:eastAsia="zh-CN"/>
              </w:rPr>
              <w:t>ND</w:t>
            </w:r>
          </w:p>
        </w:tc>
        <w:tc>
          <w:tcPr>
            <w:tcW w:w="904" w:type="dxa"/>
            <w:shd w:val="clear" w:color="auto" w:fill="auto"/>
            <w:vAlign w:val="center"/>
          </w:tcPr>
          <w:p w14:paraId="775D76B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kern w:val="2"/>
                <w:sz w:val="21"/>
                <w:szCs w:val="21"/>
                <w:highlight w:val="none"/>
                <w:vertAlign w:val="baseline"/>
                <w:lang w:val="en-US" w:eastAsia="zh-CN" w:bidi="ar-SA"/>
              </w:rPr>
            </w:pPr>
            <w:r>
              <w:rPr>
                <w:rFonts w:hint="eastAsia"/>
                <w:sz w:val="21"/>
                <w:szCs w:val="21"/>
                <w:highlight w:val="none"/>
                <w:vertAlign w:val="baseline"/>
                <w:lang w:val="en-US" w:eastAsia="zh-CN"/>
              </w:rPr>
              <w:t>ND</w:t>
            </w:r>
          </w:p>
        </w:tc>
      </w:tr>
      <w:tr w14:paraId="1A9520D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861" w:type="dxa"/>
            <w:vAlign w:val="center"/>
          </w:tcPr>
          <w:p w14:paraId="2D0F82E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highlight w:val="none"/>
                <w:vertAlign w:val="baseline"/>
                <w:lang w:val="en-US" w:eastAsia="zh-CN"/>
              </w:rPr>
            </w:pPr>
            <w:r>
              <w:rPr>
                <w:rFonts w:hint="default" w:ascii="Times New Roman" w:hAnsi="Times New Roman" w:cs="Times New Roman"/>
                <w:sz w:val="21"/>
                <w:szCs w:val="21"/>
                <w:highlight w:val="none"/>
                <w:vertAlign w:val="baseline"/>
                <w:lang w:val="en-US" w:eastAsia="zh-CN"/>
              </w:rPr>
              <w:t>南尧村2#废渣堆</w:t>
            </w:r>
            <w:r>
              <w:rPr>
                <w:rFonts w:hint="default" w:ascii="Times New Roman" w:hAnsi="Times New Roman" w:eastAsia="宋体" w:cs="Times New Roman"/>
                <w:sz w:val="21"/>
                <w:szCs w:val="21"/>
                <w:highlight w:val="none"/>
                <w:vertAlign w:val="baseline"/>
                <w:lang w:val="en-US" w:eastAsia="zh-CN"/>
              </w:rPr>
              <w:t>Ⅲ</w:t>
            </w:r>
            <w:r>
              <w:rPr>
                <w:rFonts w:hint="default" w:ascii="Times New Roman" w:hAnsi="Times New Roman" w:cs="Times New Roman"/>
                <w:sz w:val="21"/>
                <w:szCs w:val="21"/>
                <w:highlight w:val="none"/>
                <w:vertAlign w:val="baseline"/>
                <w:lang w:val="en-US" w:eastAsia="zh-CN"/>
              </w:rPr>
              <w:t>区ZK2-3</w:t>
            </w:r>
          </w:p>
        </w:tc>
        <w:tc>
          <w:tcPr>
            <w:tcW w:w="764" w:type="dxa"/>
            <w:vMerge w:val="continue"/>
            <w:vAlign w:val="center"/>
          </w:tcPr>
          <w:p w14:paraId="39C9DBB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p>
        </w:tc>
        <w:tc>
          <w:tcPr>
            <w:tcW w:w="1500" w:type="dxa"/>
            <w:vAlign w:val="center"/>
          </w:tcPr>
          <w:p w14:paraId="4AE7C19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红棕色、固态</w:t>
            </w:r>
          </w:p>
        </w:tc>
        <w:tc>
          <w:tcPr>
            <w:tcW w:w="904" w:type="dxa"/>
            <w:vAlign w:val="center"/>
          </w:tcPr>
          <w:p w14:paraId="5D64E10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0.25</w:t>
            </w:r>
          </w:p>
        </w:tc>
        <w:tc>
          <w:tcPr>
            <w:tcW w:w="904" w:type="dxa"/>
            <w:vAlign w:val="center"/>
          </w:tcPr>
          <w:p w14:paraId="149A73F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0.05</w:t>
            </w:r>
          </w:p>
        </w:tc>
        <w:tc>
          <w:tcPr>
            <w:tcW w:w="904" w:type="dxa"/>
            <w:vAlign w:val="center"/>
          </w:tcPr>
          <w:p w14:paraId="57F4944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ND</w:t>
            </w:r>
          </w:p>
        </w:tc>
        <w:tc>
          <w:tcPr>
            <w:tcW w:w="904" w:type="dxa"/>
            <w:vAlign w:val="center"/>
          </w:tcPr>
          <w:p w14:paraId="5B4C30D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1.65</w:t>
            </w:r>
          </w:p>
        </w:tc>
        <w:tc>
          <w:tcPr>
            <w:tcW w:w="904" w:type="dxa"/>
            <w:vAlign w:val="center"/>
          </w:tcPr>
          <w:p w14:paraId="1597821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3.19</w:t>
            </w:r>
          </w:p>
        </w:tc>
        <w:tc>
          <w:tcPr>
            <w:tcW w:w="904" w:type="dxa"/>
            <w:vAlign w:val="center"/>
          </w:tcPr>
          <w:p w14:paraId="646C5FB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0.0013</w:t>
            </w:r>
          </w:p>
        </w:tc>
        <w:tc>
          <w:tcPr>
            <w:tcW w:w="904" w:type="dxa"/>
            <w:vAlign w:val="center"/>
          </w:tcPr>
          <w:p w14:paraId="4FCC96E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ND</w:t>
            </w:r>
          </w:p>
        </w:tc>
        <w:tc>
          <w:tcPr>
            <w:tcW w:w="904" w:type="dxa"/>
            <w:vAlign w:val="center"/>
          </w:tcPr>
          <w:p w14:paraId="3B3D7DE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0.00005</w:t>
            </w:r>
          </w:p>
        </w:tc>
        <w:tc>
          <w:tcPr>
            <w:tcW w:w="904" w:type="dxa"/>
            <w:shd w:val="clear" w:color="auto" w:fill="auto"/>
            <w:vAlign w:val="center"/>
          </w:tcPr>
          <w:p w14:paraId="0D07E06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eastAsia"/>
                <w:sz w:val="21"/>
                <w:szCs w:val="21"/>
                <w:highlight w:val="none"/>
                <w:vertAlign w:val="baseline"/>
                <w:lang w:val="en-US" w:eastAsia="zh-CN"/>
              </w:rPr>
              <w:t>ND</w:t>
            </w:r>
          </w:p>
        </w:tc>
        <w:tc>
          <w:tcPr>
            <w:tcW w:w="904" w:type="dxa"/>
            <w:shd w:val="clear" w:color="auto" w:fill="auto"/>
            <w:vAlign w:val="center"/>
          </w:tcPr>
          <w:p w14:paraId="7474E92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kern w:val="2"/>
                <w:sz w:val="21"/>
                <w:szCs w:val="21"/>
                <w:highlight w:val="none"/>
                <w:vertAlign w:val="baseline"/>
                <w:lang w:val="en-US" w:eastAsia="zh-CN" w:bidi="ar-SA"/>
              </w:rPr>
            </w:pPr>
            <w:r>
              <w:rPr>
                <w:rFonts w:hint="eastAsia"/>
                <w:sz w:val="21"/>
                <w:szCs w:val="21"/>
                <w:highlight w:val="none"/>
                <w:vertAlign w:val="baseline"/>
                <w:lang w:val="en-US" w:eastAsia="zh-CN"/>
              </w:rPr>
              <w:t>ND</w:t>
            </w:r>
          </w:p>
        </w:tc>
      </w:tr>
      <w:tr w14:paraId="4C8B12E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861" w:type="dxa"/>
            <w:vAlign w:val="center"/>
          </w:tcPr>
          <w:p w14:paraId="1ED6FBC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default" w:ascii="Times New Roman" w:hAnsi="Times New Roman" w:cs="Times New Roman"/>
                <w:sz w:val="21"/>
                <w:szCs w:val="21"/>
                <w:highlight w:val="none"/>
                <w:vertAlign w:val="baseline"/>
                <w:lang w:val="en-US" w:eastAsia="zh-CN"/>
              </w:rPr>
              <w:t>南尧村</w:t>
            </w:r>
            <w:r>
              <w:rPr>
                <w:rFonts w:hint="eastAsia" w:ascii="Times New Roman" w:hAnsi="Times New Roman" w:cs="Times New Roman"/>
                <w:sz w:val="21"/>
                <w:szCs w:val="21"/>
                <w:highlight w:val="none"/>
                <w:vertAlign w:val="baseline"/>
                <w:lang w:val="en-US" w:eastAsia="zh-CN"/>
              </w:rPr>
              <w:t>2</w:t>
            </w:r>
            <w:r>
              <w:rPr>
                <w:rFonts w:hint="eastAsia" w:cs="Times New Roman"/>
                <w:sz w:val="21"/>
                <w:szCs w:val="21"/>
                <w:highlight w:val="none"/>
                <w:vertAlign w:val="baseline"/>
                <w:lang w:val="en-US" w:eastAsia="zh-CN"/>
              </w:rPr>
              <w:t>#</w:t>
            </w:r>
            <w:r>
              <w:rPr>
                <w:rFonts w:hint="default" w:ascii="Times New Roman" w:hAnsi="Times New Roman" w:cs="Times New Roman"/>
                <w:sz w:val="21"/>
                <w:szCs w:val="21"/>
                <w:highlight w:val="none"/>
                <w:vertAlign w:val="baseline"/>
                <w:lang w:val="en-US" w:eastAsia="zh-CN"/>
              </w:rPr>
              <w:t>废渣堆</w:t>
            </w:r>
            <w:r>
              <w:rPr>
                <w:rFonts w:hint="default" w:ascii="Times New Roman" w:hAnsi="Times New Roman" w:eastAsia="宋体" w:cs="Times New Roman"/>
                <w:sz w:val="21"/>
                <w:szCs w:val="21"/>
                <w:highlight w:val="none"/>
                <w:vertAlign w:val="baseline"/>
                <w:lang w:val="en-US" w:eastAsia="zh-CN"/>
              </w:rPr>
              <w:t>Ⅵ</w:t>
            </w:r>
            <w:r>
              <w:rPr>
                <w:rFonts w:hint="default" w:ascii="Times New Roman" w:hAnsi="Times New Roman" w:cs="Times New Roman"/>
                <w:sz w:val="21"/>
                <w:szCs w:val="21"/>
                <w:highlight w:val="none"/>
                <w:vertAlign w:val="baseline"/>
                <w:lang w:val="en-US" w:eastAsia="zh-CN"/>
              </w:rPr>
              <w:t>区</w:t>
            </w:r>
            <w:r>
              <w:rPr>
                <w:rFonts w:hint="eastAsia"/>
                <w:sz w:val="21"/>
                <w:szCs w:val="21"/>
                <w:highlight w:val="none"/>
                <w:vertAlign w:val="baseline"/>
                <w:lang w:val="en-US" w:eastAsia="zh-CN"/>
              </w:rPr>
              <w:t>ZK2-4</w:t>
            </w:r>
          </w:p>
        </w:tc>
        <w:tc>
          <w:tcPr>
            <w:tcW w:w="764" w:type="dxa"/>
            <w:vMerge w:val="continue"/>
            <w:vAlign w:val="center"/>
          </w:tcPr>
          <w:p w14:paraId="0F836EC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p>
        </w:tc>
        <w:tc>
          <w:tcPr>
            <w:tcW w:w="1500" w:type="dxa"/>
            <w:vAlign w:val="center"/>
          </w:tcPr>
          <w:p w14:paraId="412D1E9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红棕色、固态</w:t>
            </w:r>
          </w:p>
        </w:tc>
        <w:tc>
          <w:tcPr>
            <w:tcW w:w="904" w:type="dxa"/>
            <w:vAlign w:val="center"/>
          </w:tcPr>
          <w:p w14:paraId="56D95F6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0.20</w:t>
            </w:r>
          </w:p>
        </w:tc>
        <w:tc>
          <w:tcPr>
            <w:tcW w:w="904" w:type="dxa"/>
            <w:vAlign w:val="center"/>
          </w:tcPr>
          <w:p w14:paraId="43C68D2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ND</w:t>
            </w:r>
          </w:p>
        </w:tc>
        <w:tc>
          <w:tcPr>
            <w:tcW w:w="904" w:type="dxa"/>
            <w:vAlign w:val="center"/>
          </w:tcPr>
          <w:p w14:paraId="000D121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ND</w:t>
            </w:r>
          </w:p>
        </w:tc>
        <w:tc>
          <w:tcPr>
            <w:tcW w:w="904" w:type="dxa"/>
            <w:vAlign w:val="center"/>
          </w:tcPr>
          <w:p w14:paraId="795FCD2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0.69</w:t>
            </w:r>
          </w:p>
        </w:tc>
        <w:tc>
          <w:tcPr>
            <w:tcW w:w="904" w:type="dxa"/>
            <w:vAlign w:val="center"/>
          </w:tcPr>
          <w:p w14:paraId="7D11D54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1.59</w:t>
            </w:r>
          </w:p>
        </w:tc>
        <w:tc>
          <w:tcPr>
            <w:tcW w:w="904" w:type="dxa"/>
            <w:vAlign w:val="center"/>
          </w:tcPr>
          <w:p w14:paraId="6E5E357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ND</w:t>
            </w:r>
          </w:p>
        </w:tc>
        <w:tc>
          <w:tcPr>
            <w:tcW w:w="904" w:type="dxa"/>
            <w:vAlign w:val="center"/>
          </w:tcPr>
          <w:p w14:paraId="0BF2F67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ND</w:t>
            </w:r>
          </w:p>
        </w:tc>
        <w:tc>
          <w:tcPr>
            <w:tcW w:w="904" w:type="dxa"/>
            <w:vAlign w:val="center"/>
          </w:tcPr>
          <w:p w14:paraId="1A9FEB5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0.00008</w:t>
            </w:r>
          </w:p>
        </w:tc>
        <w:tc>
          <w:tcPr>
            <w:tcW w:w="904" w:type="dxa"/>
            <w:shd w:val="clear" w:color="auto" w:fill="auto"/>
            <w:vAlign w:val="center"/>
          </w:tcPr>
          <w:p w14:paraId="7308ABD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eastAsia"/>
                <w:sz w:val="21"/>
                <w:szCs w:val="21"/>
                <w:highlight w:val="none"/>
                <w:vertAlign w:val="baseline"/>
                <w:lang w:val="en-US" w:eastAsia="zh-CN"/>
              </w:rPr>
              <w:t>ND</w:t>
            </w:r>
          </w:p>
        </w:tc>
        <w:tc>
          <w:tcPr>
            <w:tcW w:w="904" w:type="dxa"/>
            <w:shd w:val="clear" w:color="auto" w:fill="auto"/>
            <w:vAlign w:val="center"/>
          </w:tcPr>
          <w:p w14:paraId="275B134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kern w:val="2"/>
                <w:sz w:val="21"/>
                <w:szCs w:val="21"/>
                <w:highlight w:val="none"/>
                <w:vertAlign w:val="baseline"/>
                <w:lang w:val="en-US" w:eastAsia="zh-CN" w:bidi="ar-SA"/>
              </w:rPr>
            </w:pPr>
            <w:r>
              <w:rPr>
                <w:rFonts w:hint="eastAsia"/>
                <w:sz w:val="21"/>
                <w:szCs w:val="21"/>
                <w:highlight w:val="none"/>
                <w:vertAlign w:val="baseline"/>
                <w:lang w:val="en-US" w:eastAsia="zh-CN"/>
              </w:rPr>
              <w:t>ND</w:t>
            </w:r>
          </w:p>
        </w:tc>
      </w:tr>
      <w:tr w14:paraId="60168B9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861" w:type="dxa"/>
            <w:vAlign w:val="center"/>
          </w:tcPr>
          <w:p w14:paraId="526B0BC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default" w:ascii="Times New Roman" w:hAnsi="Times New Roman" w:cs="Times New Roman"/>
                <w:sz w:val="21"/>
                <w:szCs w:val="21"/>
                <w:highlight w:val="none"/>
                <w:vertAlign w:val="baseline"/>
                <w:lang w:val="en-US" w:eastAsia="zh-CN"/>
              </w:rPr>
              <w:t>南尧村</w:t>
            </w:r>
            <w:r>
              <w:rPr>
                <w:rFonts w:hint="eastAsia" w:ascii="Times New Roman" w:hAnsi="Times New Roman" w:cs="Times New Roman"/>
                <w:sz w:val="21"/>
                <w:szCs w:val="21"/>
                <w:highlight w:val="none"/>
                <w:vertAlign w:val="baseline"/>
                <w:lang w:val="en-US" w:eastAsia="zh-CN"/>
              </w:rPr>
              <w:t>2</w:t>
            </w:r>
            <w:r>
              <w:rPr>
                <w:rFonts w:hint="eastAsia" w:cs="Times New Roman"/>
                <w:sz w:val="21"/>
                <w:szCs w:val="21"/>
                <w:highlight w:val="none"/>
                <w:vertAlign w:val="baseline"/>
                <w:lang w:val="en-US" w:eastAsia="zh-CN"/>
              </w:rPr>
              <w:t>#</w:t>
            </w:r>
            <w:r>
              <w:rPr>
                <w:rFonts w:hint="default" w:ascii="Times New Roman" w:hAnsi="Times New Roman" w:cs="Times New Roman"/>
                <w:sz w:val="21"/>
                <w:szCs w:val="21"/>
                <w:highlight w:val="none"/>
                <w:vertAlign w:val="baseline"/>
                <w:lang w:val="en-US" w:eastAsia="zh-CN"/>
              </w:rPr>
              <w:t>废渣堆</w:t>
            </w:r>
            <w:r>
              <w:rPr>
                <w:rFonts w:hint="default" w:ascii="Times New Roman" w:hAnsi="Times New Roman" w:eastAsia="宋体" w:cs="Times New Roman"/>
                <w:sz w:val="21"/>
                <w:szCs w:val="21"/>
                <w:highlight w:val="none"/>
                <w:vertAlign w:val="baseline"/>
                <w:lang w:val="en-US" w:eastAsia="zh-CN"/>
              </w:rPr>
              <w:t>Ⅵ</w:t>
            </w:r>
            <w:r>
              <w:rPr>
                <w:rFonts w:hint="default" w:ascii="Times New Roman" w:hAnsi="Times New Roman" w:cs="Times New Roman"/>
                <w:sz w:val="21"/>
                <w:szCs w:val="21"/>
                <w:highlight w:val="none"/>
                <w:vertAlign w:val="baseline"/>
                <w:lang w:val="en-US" w:eastAsia="zh-CN"/>
              </w:rPr>
              <w:t>区</w:t>
            </w:r>
            <w:r>
              <w:rPr>
                <w:rFonts w:hint="eastAsia"/>
                <w:sz w:val="21"/>
                <w:szCs w:val="21"/>
                <w:highlight w:val="none"/>
                <w:vertAlign w:val="baseline"/>
                <w:lang w:val="en-US" w:eastAsia="zh-CN"/>
              </w:rPr>
              <w:t>ZK2-5</w:t>
            </w:r>
          </w:p>
        </w:tc>
        <w:tc>
          <w:tcPr>
            <w:tcW w:w="764" w:type="dxa"/>
            <w:vMerge w:val="continue"/>
            <w:vAlign w:val="center"/>
          </w:tcPr>
          <w:p w14:paraId="78619DF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p>
        </w:tc>
        <w:tc>
          <w:tcPr>
            <w:tcW w:w="1500" w:type="dxa"/>
            <w:vAlign w:val="center"/>
          </w:tcPr>
          <w:p w14:paraId="2910385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灰色、固态</w:t>
            </w:r>
          </w:p>
        </w:tc>
        <w:tc>
          <w:tcPr>
            <w:tcW w:w="904" w:type="dxa"/>
            <w:vAlign w:val="center"/>
          </w:tcPr>
          <w:p w14:paraId="0442A12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0.20</w:t>
            </w:r>
          </w:p>
        </w:tc>
        <w:tc>
          <w:tcPr>
            <w:tcW w:w="904" w:type="dxa"/>
            <w:vAlign w:val="center"/>
          </w:tcPr>
          <w:p w14:paraId="7303B38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1.23</w:t>
            </w:r>
          </w:p>
        </w:tc>
        <w:tc>
          <w:tcPr>
            <w:tcW w:w="904" w:type="dxa"/>
            <w:vAlign w:val="center"/>
          </w:tcPr>
          <w:p w14:paraId="01CBA14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0.11</w:t>
            </w:r>
          </w:p>
        </w:tc>
        <w:tc>
          <w:tcPr>
            <w:tcW w:w="904" w:type="dxa"/>
            <w:vAlign w:val="center"/>
          </w:tcPr>
          <w:p w14:paraId="1F6F722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2.25</w:t>
            </w:r>
          </w:p>
        </w:tc>
        <w:tc>
          <w:tcPr>
            <w:tcW w:w="904" w:type="dxa"/>
            <w:vAlign w:val="center"/>
          </w:tcPr>
          <w:p w14:paraId="53E6AAB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0.814</w:t>
            </w:r>
          </w:p>
        </w:tc>
        <w:tc>
          <w:tcPr>
            <w:tcW w:w="904" w:type="dxa"/>
            <w:vAlign w:val="center"/>
          </w:tcPr>
          <w:p w14:paraId="0434991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0.0013</w:t>
            </w:r>
          </w:p>
        </w:tc>
        <w:tc>
          <w:tcPr>
            <w:tcW w:w="904" w:type="dxa"/>
            <w:vAlign w:val="center"/>
          </w:tcPr>
          <w:p w14:paraId="2078EF3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ND</w:t>
            </w:r>
          </w:p>
        </w:tc>
        <w:tc>
          <w:tcPr>
            <w:tcW w:w="904" w:type="dxa"/>
            <w:vAlign w:val="center"/>
          </w:tcPr>
          <w:p w14:paraId="3E92A53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0.00007</w:t>
            </w:r>
          </w:p>
        </w:tc>
        <w:tc>
          <w:tcPr>
            <w:tcW w:w="904" w:type="dxa"/>
            <w:shd w:val="clear" w:color="auto" w:fill="auto"/>
            <w:vAlign w:val="center"/>
          </w:tcPr>
          <w:p w14:paraId="45D95C1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eastAsia"/>
                <w:sz w:val="21"/>
                <w:szCs w:val="21"/>
                <w:highlight w:val="none"/>
                <w:vertAlign w:val="baseline"/>
                <w:lang w:val="en-US" w:eastAsia="zh-CN"/>
              </w:rPr>
              <w:t>ND</w:t>
            </w:r>
          </w:p>
        </w:tc>
        <w:tc>
          <w:tcPr>
            <w:tcW w:w="904" w:type="dxa"/>
            <w:shd w:val="clear" w:color="auto" w:fill="auto"/>
            <w:vAlign w:val="center"/>
          </w:tcPr>
          <w:p w14:paraId="712804A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kern w:val="2"/>
                <w:sz w:val="21"/>
                <w:szCs w:val="21"/>
                <w:highlight w:val="none"/>
                <w:vertAlign w:val="baseline"/>
                <w:lang w:val="en-US" w:eastAsia="zh-CN" w:bidi="ar-SA"/>
              </w:rPr>
            </w:pPr>
            <w:r>
              <w:rPr>
                <w:rFonts w:hint="eastAsia"/>
                <w:sz w:val="21"/>
                <w:szCs w:val="21"/>
                <w:highlight w:val="none"/>
                <w:vertAlign w:val="baseline"/>
                <w:lang w:val="en-US" w:eastAsia="zh-CN"/>
              </w:rPr>
              <w:t>ND</w:t>
            </w:r>
          </w:p>
        </w:tc>
      </w:tr>
      <w:tr w14:paraId="76F690A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861" w:type="dxa"/>
            <w:vAlign w:val="center"/>
          </w:tcPr>
          <w:p w14:paraId="44ADBC5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default" w:ascii="Times New Roman" w:hAnsi="Times New Roman" w:cs="Times New Roman"/>
                <w:sz w:val="21"/>
                <w:szCs w:val="21"/>
                <w:highlight w:val="none"/>
                <w:vertAlign w:val="baseline"/>
                <w:lang w:val="en-US" w:eastAsia="zh-CN"/>
              </w:rPr>
              <w:t>南尧村</w:t>
            </w:r>
            <w:r>
              <w:rPr>
                <w:rFonts w:hint="eastAsia" w:ascii="Times New Roman" w:hAnsi="Times New Roman" w:cs="Times New Roman"/>
                <w:sz w:val="21"/>
                <w:szCs w:val="21"/>
                <w:highlight w:val="none"/>
                <w:vertAlign w:val="baseline"/>
                <w:lang w:val="en-US" w:eastAsia="zh-CN"/>
              </w:rPr>
              <w:t>2</w:t>
            </w:r>
            <w:r>
              <w:rPr>
                <w:rFonts w:hint="eastAsia" w:cs="Times New Roman"/>
                <w:sz w:val="21"/>
                <w:szCs w:val="21"/>
                <w:highlight w:val="none"/>
                <w:vertAlign w:val="baseline"/>
                <w:lang w:val="en-US" w:eastAsia="zh-CN"/>
              </w:rPr>
              <w:t>#</w:t>
            </w:r>
            <w:r>
              <w:rPr>
                <w:rFonts w:hint="default" w:ascii="Times New Roman" w:hAnsi="Times New Roman" w:cs="Times New Roman"/>
                <w:sz w:val="21"/>
                <w:szCs w:val="21"/>
                <w:highlight w:val="none"/>
                <w:vertAlign w:val="baseline"/>
                <w:lang w:val="en-US" w:eastAsia="zh-CN"/>
              </w:rPr>
              <w:t>废渣堆</w:t>
            </w:r>
            <w:r>
              <w:rPr>
                <w:rFonts w:hint="default" w:ascii="Times New Roman" w:hAnsi="Times New Roman" w:eastAsia="微软雅黑" w:cs="Times New Roman"/>
                <w:sz w:val="21"/>
                <w:szCs w:val="21"/>
                <w:highlight w:val="none"/>
                <w:vertAlign w:val="baseline"/>
                <w:lang w:val="en-US" w:eastAsia="zh-CN"/>
              </w:rPr>
              <w:t>Ⅴ</w:t>
            </w:r>
            <w:r>
              <w:rPr>
                <w:rFonts w:hint="default" w:ascii="Times New Roman" w:hAnsi="Times New Roman" w:cs="Times New Roman"/>
                <w:sz w:val="21"/>
                <w:szCs w:val="21"/>
                <w:highlight w:val="none"/>
                <w:vertAlign w:val="baseline"/>
                <w:lang w:val="en-US" w:eastAsia="zh-CN"/>
              </w:rPr>
              <w:t>区</w:t>
            </w:r>
            <w:r>
              <w:rPr>
                <w:rFonts w:hint="eastAsia"/>
                <w:sz w:val="21"/>
                <w:szCs w:val="21"/>
                <w:highlight w:val="none"/>
                <w:vertAlign w:val="baseline"/>
                <w:lang w:val="en-US" w:eastAsia="zh-CN"/>
              </w:rPr>
              <w:t>ZK2-6</w:t>
            </w:r>
          </w:p>
        </w:tc>
        <w:tc>
          <w:tcPr>
            <w:tcW w:w="764" w:type="dxa"/>
            <w:vMerge w:val="continue"/>
            <w:vAlign w:val="center"/>
          </w:tcPr>
          <w:p w14:paraId="4D1D11B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p>
        </w:tc>
        <w:tc>
          <w:tcPr>
            <w:tcW w:w="1500" w:type="dxa"/>
            <w:vAlign w:val="center"/>
          </w:tcPr>
          <w:p w14:paraId="5FBC294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灰色、固态</w:t>
            </w:r>
          </w:p>
        </w:tc>
        <w:tc>
          <w:tcPr>
            <w:tcW w:w="904" w:type="dxa"/>
            <w:vAlign w:val="center"/>
          </w:tcPr>
          <w:p w14:paraId="1FE316A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0.23</w:t>
            </w:r>
          </w:p>
        </w:tc>
        <w:tc>
          <w:tcPr>
            <w:tcW w:w="904" w:type="dxa"/>
            <w:vAlign w:val="center"/>
          </w:tcPr>
          <w:p w14:paraId="5DE0963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0.70</w:t>
            </w:r>
          </w:p>
        </w:tc>
        <w:tc>
          <w:tcPr>
            <w:tcW w:w="904" w:type="dxa"/>
            <w:vAlign w:val="center"/>
          </w:tcPr>
          <w:p w14:paraId="56F728F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0.16</w:t>
            </w:r>
          </w:p>
        </w:tc>
        <w:tc>
          <w:tcPr>
            <w:tcW w:w="904" w:type="dxa"/>
            <w:vAlign w:val="center"/>
          </w:tcPr>
          <w:p w14:paraId="4DBB41A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2.52</w:t>
            </w:r>
          </w:p>
        </w:tc>
        <w:tc>
          <w:tcPr>
            <w:tcW w:w="904" w:type="dxa"/>
            <w:vAlign w:val="center"/>
          </w:tcPr>
          <w:p w14:paraId="648DFD6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1.22</w:t>
            </w:r>
          </w:p>
        </w:tc>
        <w:tc>
          <w:tcPr>
            <w:tcW w:w="904" w:type="dxa"/>
            <w:vAlign w:val="center"/>
          </w:tcPr>
          <w:p w14:paraId="7BA3461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0.0053</w:t>
            </w:r>
          </w:p>
        </w:tc>
        <w:tc>
          <w:tcPr>
            <w:tcW w:w="904" w:type="dxa"/>
            <w:vAlign w:val="center"/>
          </w:tcPr>
          <w:p w14:paraId="78E4AFE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ND</w:t>
            </w:r>
          </w:p>
        </w:tc>
        <w:tc>
          <w:tcPr>
            <w:tcW w:w="904" w:type="dxa"/>
            <w:vAlign w:val="center"/>
          </w:tcPr>
          <w:p w14:paraId="54E802F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0.00007</w:t>
            </w:r>
          </w:p>
        </w:tc>
        <w:tc>
          <w:tcPr>
            <w:tcW w:w="904" w:type="dxa"/>
            <w:shd w:val="clear" w:color="auto" w:fill="auto"/>
            <w:vAlign w:val="center"/>
          </w:tcPr>
          <w:p w14:paraId="2EC5778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eastAsia"/>
                <w:sz w:val="21"/>
                <w:szCs w:val="21"/>
                <w:highlight w:val="none"/>
                <w:vertAlign w:val="baseline"/>
                <w:lang w:val="en-US" w:eastAsia="zh-CN"/>
              </w:rPr>
              <w:t>ND</w:t>
            </w:r>
          </w:p>
        </w:tc>
        <w:tc>
          <w:tcPr>
            <w:tcW w:w="904" w:type="dxa"/>
            <w:shd w:val="clear" w:color="auto" w:fill="auto"/>
            <w:vAlign w:val="center"/>
          </w:tcPr>
          <w:p w14:paraId="1C394FE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kern w:val="2"/>
                <w:sz w:val="21"/>
                <w:szCs w:val="21"/>
                <w:highlight w:val="none"/>
                <w:vertAlign w:val="baseline"/>
                <w:lang w:val="en-US" w:eastAsia="zh-CN" w:bidi="ar-SA"/>
              </w:rPr>
            </w:pPr>
            <w:r>
              <w:rPr>
                <w:rFonts w:hint="eastAsia"/>
                <w:sz w:val="21"/>
                <w:szCs w:val="21"/>
                <w:highlight w:val="none"/>
                <w:vertAlign w:val="baseline"/>
                <w:lang w:val="en-US" w:eastAsia="zh-CN"/>
              </w:rPr>
              <w:t>ND</w:t>
            </w:r>
          </w:p>
        </w:tc>
      </w:tr>
      <w:tr w14:paraId="64C70AA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861" w:type="dxa"/>
            <w:vAlign w:val="center"/>
          </w:tcPr>
          <w:p w14:paraId="7D6631C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default" w:ascii="Times New Roman" w:hAnsi="Times New Roman" w:cs="Times New Roman"/>
                <w:sz w:val="21"/>
                <w:szCs w:val="21"/>
                <w:highlight w:val="none"/>
                <w:vertAlign w:val="baseline"/>
                <w:lang w:val="en-US" w:eastAsia="zh-CN"/>
              </w:rPr>
              <w:t>南尧村</w:t>
            </w:r>
            <w:r>
              <w:rPr>
                <w:rFonts w:hint="eastAsia" w:ascii="Times New Roman" w:hAnsi="Times New Roman" w:cs="Times New Roman"/>
                <w:sz w:val="21"/>
                <w:szCs w:val="21"/>
                <w:highlight w:val="none"/>
                <w:vertAlign w:val="baseline"/>
                <w:lang w:val="en-US" w:eastAsia="zh-CN"/>
              </w:rPr>
              <w:t>2</w:t>
            </w:r>
            <w:r>
              <w:rPr>
                <w:rFonts w:hint="eastAsia" w:cs="Times New Roman"/>
                <w:sz w:val="21"/>
                <w:szCs w:val="21"/>
                <w:highlight w:val="none"/>
                <w:vertAlign w:val="baseline"/>
                <w:lang w:val="en-US" w:eastAsia="zh-CN"/>
              </w:rPr>
              <w:t>#</w:t>
            </w:r>
            <w:r>
              <w:rPr>
                <w:rFonts w:hint="default" w:ascii="Times New Roman" w:hAnsi="Times New Roman" w:cs="Times New Roman"/>
                <w:sz w:val="21"/>
                <w:szCs w:val="21"/>
                <w:highlight w:val="none"/>
                <w:vertAlign w:val="baseline"/>
                <w:lang w:val="en-US" w:eastAsia="zh-CN"/>
              </w:rPr>
              <w:t>废渣堆</w:t>
            </w:r>
            <w:r>
              <w:rPr>
                <w:rFonts w:hint="default" w:ascii="Times New Roman" w:hAnsi="Times New Roman" w:eastAsia="宋体" w:cs="Times New Roman"/>
                <w:sz w:val="21"/>
                <w:szCs w:val="21"/>
                <w:highlight w:val="none"/>
                <w:vertAlign w:val="baseline"/>
                <w:lang w:val="en-US" w:eastAsia="zh-CN"/>
              </w:rPr>
              <w:t>Ⅵ</w:t>
            </w:r>
            <w:r>
              <w:rPr>
                <w:rFonts w:hint="default" w:ascii="Times New Roman" w:hAnsi="Times New Roman" w:cs="Times New Roman"/>
                <w:sz w:val="21"/>
                <w:szCs w:val="21"/>
                <w:highlight w:val="none"/>
                <w:vertAlign w:val="baseline"/>
                <w:lang w:val="en-US" w:eastAsia="zh-CN"/>
              </w:rPr>
              <w:t>区</w:t>
            </w:r>
            <w:r>
              <w:rPr>
                <w:rFonts w:hint="eastAsia"/>
                <w:sz w:val="21"/>
                <w:szCs w:val="21"/>
                <w:highlight w:val="none"/>
                <w:vertAlign w:val="baseline"/>
                <w:lang w:val="en-US" w:eastAsia="zh-CN"/>
              </w:rPr>
              <w:t>ZK2-7</w:t>
            </w:r>
          </w:p>
        </w:tc>
        <w:tc>
          <w:tcPr>
            <w:tcW w:w="764" w:type="dxa"/>
            <w:vMerge w:val="continue"/>
            <w:vAlign w:val="center"/>
          </w:tcPr>
          <w:p w14:paraId="262B30B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p>
        </w:tc>
        <w:tc>
          <w:tcPr>
            <w:tcW w:w="1500" w:type="dxa"/>
            <w:vAlign w:val="center"/>
          </w:tcPr>
          <w:p w14:paraId="7D67A99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灰色、固态</w:t>
            </w:r>
          </w:p>
        </w:tc>
        <w:tc>
          <w:tcPr>
            <w:tcW w:w="904" w:type="dxa"/>
            <w:vAlign w:val="center"/>
          </w:tcPr>
          <w:p w14:paraId="53056F9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0.20</w:t>
            </w:r>
          </w:p>
        </w:tc>
        <w:tc>
          <w:tcPr>
            <w:tcW w:w="904" w:type="dxa"/>
            <w:vAlign w:val="center"/>
          </w:tcPr>
          <w:p w14:paraId="5A2CDD1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0.27</w:t>
            </w:r>
          </w:p>
        </w:tc>
        <w:tc>
          <w:tcPr>
            <w:tcW w:w="904" w:type="dxa"/>
            <w:vAlign w:val="center"/>
          </w:tcPr>
          <w:p w14:paraId="6723C6B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1.23</w:t>
            </w:r>
          </w:p>
        </w:tc>
        <w:tc>
          <w:tcPr>
            <w:tcW w:w="904" w:type="dxa"/>
            <w:vAlign w:val="center"/>
          </w:tcPr>
          <w:p w14:paraId="4F20C73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11.1</w:t>
            </w:r>
          </w:p>
        </w:tc>
        <w:tc>
          <w:tcPr>
            <w:tcW w:w="904" w:type="dxa"/>
            <w:vAlign w:val="center"/>
          </w:tcPr>
          <w:p w14:paraId="558475A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1.46</w:t>
            </w:r>
          </w:p>
        </w:tc>
        <w:tc>
          <w:tcPr>
            <w:tcW w:w="904" w:type="dxa"/>
            <w:vAlign w:val="center"/>
          </w:tcPr>
          <w:p w14:paraId="2A6BE5B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0.0047</w:t>
            </w:r>
          </w:p>
        </w:tc>
        <w:tc>
          <w:tcPr>
            <w:tcW w:w="904" w:type="dxa"/>
            <w:vAlign w:val="center"/>
          </w:tcPr>
          <w:p w14:paraId="606912E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0.150</w:t>
            </w:r>
          </w:p>
        </w:tc>
        <w:tc>
          <w:tcPr>
            <w:tcW w:w="904" w:type="dxa"/>
            <w:vAlign w:val="center"/>
          </w:tcPr>
          <w:p w14:paraId="372C468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0.00009</w:t>
            </w:r>
          </w:p>
        </w:tc>
        <w:tc>
          <w:tcPr>
            <w:tcW w:w="904" w:type="dxa"/>
            <w:shd w:val="clear" w:color="auto" w:fill="auto"/>
            <w:vAlign w:val="center"/>
          </w:tcPr>
          <w:p w14:paraId="317A6C3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eastAsia"/>
                <w:sz w:val="21"/>
                <w:szCs w:val="21"/>
                <w:highlight w:val="none"/>
                <w:vertAlign w:val="baseline"/>
                <w:lang w:val="en-US" w:eastAsia="zh-CN"/>
              </w:rPr>
              <w:t>ND</w:t>
            </w:r>
          </w:p>
        </w:tc>
        <w:tc>
          <w:tcPr>
            <w:tcW w:w="904" w:type="dxa"/>
            <w:shd w:val="clear" w:color="auto" w:fill="auto"/>
            <w:vAlign w:val="center"/>
          </w:tcPr>
          <w:p w14:paraId="59FFAB6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kern w:val="2"/>
                <w:sz w:val="21"/>
                <w:szCs w:val="21"/>
                <w:highlight w:val="none"/>
                <w:vertAlign w:val="baseline"/>
                <w:lang w:val="en-US" w:eastAsia="zh-CN" w:bidi="ar-SA"/>
              </w:rPr>
            </w:pPr>
            <w:r>
              <w:rPr>
                <w:rFonts w:hint="eastAsia"/>
                <w:sz w:val="21"/>
                <w:szCs w:val="21"/>
                <w:highlight w:val="none"/>
                <w:vertAlign w:val="baseline"/>
                <w:lang w:val="en-US" w:eastAsia="zh-CN"/>
              </w:rPr>
              <w:t>ND</w:t>
            </w:r>
          </w:p>
        </w:tc>
      </w:tr>
      <w:tr w14:paraId="4EFACA9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861" w:type="dxa"/>
            <w:vAlign w:val="center"/>
          </w:tcPr>
          <w:p w14:paraId="7938F3F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default" w:ascii="Times New Roman" w:hAnsi="Times New Roman" w:cs="Times New Roman"/>
                <w:sz w:val="21"/>
                <w:szCs w:val="21"/>
                <w:highlight w:val="none"/>
                <w:vertAlign w:val="baseline"/>
                <w:lang w:val="en-US" w:eastAsia="zh-CN"/>
              </w:rPr>
              <w:t>南尧村</w:t>
            </w:r>
            <w:r>
              <w:rPr>
                <w:rFonts w:hint="eastAsia" w:ascii="Times New Roman" w:hAnsi="Times New Roman" w:cs="Times New Roman"/>
                <w:sz w:val="21"/>
                <w:szCs w:val="21"/>
                <w:highlight w:val="none"/>
                <w:vertAlign w:val="baseline"/>
                <w:lang w:val="en-US" w:eastAsia="zh-CN"/>
              </w:rPr>
              <w:t>2</w:t>
            </w:r>
            <w:r>
              <w:rPr>
                <w:rFonts w:hint="eastAsia" w:cs="Times New Roman"/>
                <w:sz w:val="21"/>
                <w:szCs w:val="21"/>
                <w:highlight w:val="none"/>
                <w:vertAlign w:val="baseline"/>
                <w:lang w:val="en-US" w:eastAsia="zh-CN"/>
              </w:rPr>
              <w:t>#</w:t>
            </w:r>
            <w:r>
              <w:rPr>
                <w:rFonts w:hint="default" w:ascii="Times New Roman" w:hAnsi="Times New Roman" w:cs="Times New Roman"/>
                <w:sz w:val="21"/>
                <w:szCs w:val="21"/>
                <w:highlight w:val="none"/>
                <w:vertAlign w:val="baseline"/>
                <w:lang w:val="en-US" w:eastAsia="zh-CN"/>
              </w:rPr>
              <w:t>废渣堆</w:t>
            </w:r>
            <w:r>
              <w:rPr>
                <w:rFonts w:hint="default" w:ascii="Times New Roman" w:hAnsi="Times New Roman" w:eastAsia="宋体" w:cs="Times New Roman"/>
                <w:sz w:val="21"/>
                <w:szCs w:val="21"/>
                <w:highlight w:val="none"/>
                <w:vertAlign w:val="baseline"/>
                <w:lang w:val="en-US" w:eastAsia="zh-CN"/>
              </w:rPr>
              <w:t>Ⅵ</w:t>
            </w:r>
            <w:r>
              <w:rPr>
                <w:rFonts w:hint="default" w:ascii="Times New Roman" w:hAnsi="Times New Roman" w:cs="Times New Roman"/>
                <w:sz w:val="21"/>
                <w:szCs w:val="21"/>
                <w:highlight w:val="none"/>
                <w:vertAlign w:val="baseline"/>
                <w:lang w:val="en-US" w:eastAsia="zh-CN"/>
              </w:rPr>
              <w:t>区</w:t>
            </w:r>
            <w:r>
              <w:rPr>
                <w:rFonts w:hint="eastAsia"/>
                <w:sz w:val="21"/>
                <w:szCs w:val="21"/>
                <w:highlight w:val="none"/>
                <w:vertAlign w:val="baseline"/>
                <w:lang w:val="en-US" w:eastAsia="zh-CN"/>
              </w:rPr>
              <w:t>ZK2-8</w:t>
            </w:r>
          </w:p>
        </w:tc>
        <w:tc>
          <w:tcPr>
            <w:tcW w:w="764" w:type="dxa"/>
            <w:vMerge w:val="continue"/>
            <w:vAlign w:val="center"/>
          </w:tcPr>
          <w:p w14:paraId="4EFCCB7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p>
        </w:tc>
        <w:tc>
          <w:tcPr>
            <w:tcW w:w="1500" w:type="dxa"/>
            <w:vAlign w:val="center"/>
          </w:tcPr>
          <w:p w14:paraId="698988B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灰色、固态</w:t>
            </w:r>
          </w:p>
        </w:tc>
        <w:tc>
          <w:tcPr>
            <w:tcW w:w="904" w:type="dxa"/>
            <w:vAlign w:val="center"/>
          </w:tcPr>
          <w:p w14:paraId="59FCE5C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0.26</w:t>
            </w:r>
          </w:p>
        </w:tc>
        <w:tc>
          <w:tcPr>
            <w:tcW w:w="904" w:type="dxa"/>
            <w:vAlign w:val="center"/>
          </w:tcPr>
          <w:p w14:paraId="757BFC4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1.08</w:t>
            </w:r>
          </w:p>
        </w:tc>
        <w:tc>
          <w:tcPr>
            <w:tcW w:w="904" w:type="dxa"/>
            <w:vAlign w:val="center"/>
          </w:tcPr>
          <w:p w14:paraId="02B7A20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0.88</w:t>
            </w:r>
          </w:p>
        </w:tc>
        <w:tc>
          <w:tcPr>
            <w:tcW w:w="904" w:type="dxa"/>
            <w:vAlign w:val="center"/>
          </w:tcPr>
          <w:p w14:paraId="311027A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3.93</w:t>
            </w:r>
          </w:p>
        </w:tc>
        <w:tc>
          <w:tcPr>
            <w:tcW w:w="904" w:type="dxa"/>
            <w:vAlign w:val="center"/>
          </w:tcPr>
          <w:p w14:paraId="4D20A0F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4.53</w:t>
            </w:r>
          </w:p>
        </w:tc>
        <w:tc>
          <w:tcPr>
            <w:tcW w:w="904" w:type="dxa"/>
            <w:vAlign w:val="center"/>
          </w:tcPr>
          <w:p w14:paraId="2415700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0.0077</w:t>
            </w:r>
          </w:p>
        </w:tc>
        <w:tc>
          <w:tcPr>
            <w:tcW w:w="904" w:type="dxa"/>
            <w:vAlign w:val="center"/>
          </w:tcPr>
          <w:p w14:paraId="19EC875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0.0231</w:t>
            </w:r>
          </w:p>
        </w:tc>
        <w:tc>
          <w:tcPr>
            <w:tcW w:w="904" w:type="dxa"/>
            <w:vAlign w:val="center"/>
          </w:tcPr>
          <w:p w14:paraId="316E222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0.00008</w:t>
            </w:r>
          </w:p>
        </w:tc>
        <w:tc>
          <w:tcPr>
            <w:tcW w:w="904" w:type="dxa"/>
            <w:shd w:val="clear" w:color="auto" w:fill="auto"/>
            <w:vAlign w:val="center"/>
          </w:tcPr>
          <w:p w14:paraId="7BBDC3D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eastAsia"/>
                <w:sz w:val="21"/>
                <w:szCs w:val="21"/>
                <w:highlight w:val="none"/>
                <w:vertAlign w:val="baseline"/>
                <w:lang w:val="en-US" w:eastAsia="zh-CN"/>
              </w:rPr>
              <w:t>ND</w:t>
            </w:r>
          </w:p>
        </w:tc>
        <w:tc>
          <w:tcPr>
            <w:tcW w:w="904" w:type="dxa"/>
            <w:shd w:val="clear" w:color="auto" w:fill="auto"/>
            <w:vAlign w:val="center"/>
          </w:tcPr>
          <w:p w14:paraId="56E34C3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kern w:val="2"/>
                <w:sz w:val="21"/>
                <w:szCs w:val="21"/>
                <w:highlight w:val="none"/>
                <w:vertAlign w:val="baseline"/>
                <w:lang w:val="en-US" w:eastAsia="zh-CN" w:bidi="ar-SA"/>
              </w:rPr>
            </w:pPr>
            <w:r>
              <w:rPr>
                <w:rFonts w:hint="eastAsia"/>
                <w:sz w:val="21"/>
                <w:szCs w:val="21"/>
                <w:highlight w:val="none"/>
                <w:vertAlign w:val="baseline"/>
                <w:lang w:val="en-US" w:eastAsia="zh-CN"/>
              </w:rPr>
              <w:t>ND</w:t>
            </w:r>
          </w:p>
        </w:tc>
      </w:tr>
      <w:tr w14:paraId="1237DA2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861" w:type="dxa"/>
            <w:vAlign w:val="center"/>
          </w:tcPr>
          <w:p w14:paraId="6B669F3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default" w:ascii="Times New Roman" w:hAnsi="Times New Roman" w:cs="Times New Roman"/>
                <w:sz w:val="21"/>
                <w:szCs w:val="21"/>
                <w:highlight w:val="none"/>
                <w:vertAlign w:val="baseline"/>
                <w:lang w:val="en-US" w:eastAsia="zh-CN"/>
              </w:rPr>
              <w:t>南尧村</w:t>
            </w:r>
            <w:r>
              <w:rPr>
                <w:rFonts w:hint="eastAsia" w:ascii="Times New Roman" w:hAnsi="Times New Roman" w:cs="Times New Roman"/>
                <w:sz w:val="21"/>
                <w:szCs w:val="21"/>
                <w:highlight w:val="none"/>
                <w:vertAlign w:val="baseline"/>
                <w:lang w:val="en-US" w:eastAsia="zh-CN"/>
              </w:rPr>
              <w:t>2</w:t>
            </w:r>
            <w:r>
              <w:rPr>
                <w:rFonts w:hint="eastAsia" w:cs="Times New Roman"/>
                <w:sz w:val="21"/>
                <w:szCs w:val="21"/>
                <w:highlight w:val="none"/>
                <w:vertAlign w:val="baseline"/>
                <w:lang w:val="en-US" w:eastAsia="zh-CN"/>
              </w:rPr>
              <w:t>#</w:t>
            </w:r>
            <w:r>
              <w:rPr>
                <w:rFonts w:hint="default" w:ascii="Times New Roman" w:hAnsi="Times New Roman" w:cs="Times New Roman"/>
                <w:sz w:val="21"/>
                <w:szCs w:val="21"/>
                <w:highlight w:val="none"/>
                <w:vertAlign w:val="baseline"/>
                <w:lang w:val="en-US" w:eastAsia="zh-CN"/>
              </w:rPr>
              <w:t>废渣堆</w:t>
            </w:r>
            <w:r>
              <w:rPr>
                <w:rFonts w:hint="default" w:ascii="Times New Roman" w:hAnsi="Times New Roman" w:eastAsia="宋体" w:cs="Times New Roman"/>
                <w:sz w:val="21"/>
                <w:szCs w:val="21"/>
                <w:highlight w:val="none"/>
                <w:vertAlign w:val="baseline"/>
                <w:lang w:val="en-US" w:eastAsia="zh-CN"/>
              </w:rPr>
              <w:t>Ⅵ</w:t>
            </w:r>
            <w:r>
              <w:rPr>
                <w:rFonts w:hint="default" w:ascii="Times New Roman" w:hAnsi="Times New Roman" w:cs="Times New Roman"/>
                <w:sz w:val="21"/>
                <w:szCs w:val="21"/>
                <w:highlight w:val="none"/>
                <w:vertAlign w:val="baseline"/>
                <w:lang w:val="en-US" w:eastAsia="zh-CN"/>
              </w:rPr>
              <w:t>区</w:t>
            </w:r>
            <w:r>
              <w:rPr>
                <w:rFonts w:hint="eastAsia"/>
                <w:sz w:val="21"/>
                <w:szCs w:val="21"/>
                <w:highlight w:val="none"/>
                <w:vertAlign w:val="baseline"/>
                <w:lang w:val="en-US" w:eastAsia="zh-CN"/>
              </w:rPr>
              <w:t>ZK2-9</w:t>
            </w:r>
          </w:p>
        </w:tc>
        <w:tc>
          <w:tcPr>
            <w:tcW w:w="764" w:type="dxa"/>
            <w:vMerge w:val="continue"/>
            <w:vAlign w:val="center"/>
          </w:tcPr>
          <w:p w14:paraId="373B549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p>
        </w:tc>
        <w:tc>
          <w:tcPr>
            <w:tcW w:w="1500" w:type="dxa"/>
            <w:vAlign w:val="center"/>
          </w:tcPr>
          <w:p w14:paraId="7CE53B4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灰色、固态</w:t>
            </w:r>
          </w:p>
        </w:tc>
        <w:tc>
          <w:tcPr>
            <w:tcW w:w="904" w:type="dxa"/>
            <w:vAlign w:val="center"/>
          </w:tcPr>
          <w:p w14:paraId="189A3EB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0.37</w:t>
            </w:r>
          </w:p>
        </w:tc>
        <w:tc>
          <w:tcPr>
            <w:tcW w:w="904" w:type="dxa"/>
            <w:vAlign w:val="center"/>
          </w:tcPr>
          <w:p w14:paraId="2C45B03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1.06</w:t>
            </w:r>
          </w:p>
        </w:tc>
        <w:tc>
          <w:tcPr>
            <w:tcW w:w="904" w:type="dxa"/>
            <w:vAlign w:val="center"/>
          </w:tcPr>
          <w:p w14:paraId="4DBCEE5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1.01</w:t>
            </w:r>
          </w:p>
        </w:tc>
        <w:tc>
          <w:tcPr>
            <w:tcW w:w="904" w:type="dxa"/>
            <w:vAlign w:val="center"/>
          </w:tcPr>
          <w:p w14:paraId="158A2E2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3.71</w:t>
            </w:r>
          </w:p>
        </w:tc>
        <w:tc>
          <w:tcPr>
            <w:tcW w:w="904" w:type="dxa"/>
            <w:vAlign w:val="center"/>
          </w:tcPr>
          <w:p w14:paraId="5CC66CE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3.88</w:t>
            </w:r>
          </w:p>
        </w:tc>
        <w:tc>
          <w:tcPr>
            <w:tcW w:w="904" w:type="dxa"/>
            <w:vAlign w:val="center"/>
          </w:tcPr>
          <w:p w14:paraId="52B7A87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0.0064</w:t>
            </w:r>
          </w:p>
        </w:tc>
        <w:tc>
          <w:tcPr>
            <w:tcW w:w="904" w:type="dxa"/>
            <w:vAlign w:val="center"/>
          </w:tcPr>
          <w:p w14:paraId="502C202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0.152</w:t>
            </w:r>
          </w:p>
        </w:tc>
        <w:tc>
          <w:tcPr>
            <w:tcW w:w="904" w:type="dxa"/>
            <w:vAlign w:val="center"/>
          </w:tcPr>
          <w:p w14:paraId="1E83C4E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0.00010</w:t>
            </w:r>
          </w:p>
        </w:tc>
        <w:tc>
          <w:tcPr>
            <w:tcW w:w="904" w:type="dxa"/>
            <w:shd w:val="clear" w:color="auto" w:fill="auto"/>
            <w:vAlign w:val="center"/>
          </w:tcPr>
          <w:p w14:paraId="5130747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eastAsia"/>
                <w:sz w:val="21"/>
                <w:szCs w:val="21"/>
                <w:highlight w:val="none"/>
                <w:vertAlign w:val="baseline"/>
                <w:lang w:val="en-US" w:eastAsia="zh-CN"/>
              </w:rPr>
              <w:t>ND</w:t>
            </w:r>
          </w:p>
        </w:tc>
        <w:tc>
          <w:tcPr>
            <w:tcW w:w="904" w:type="dxa"/>
            <w:shd w:val="clear" w:color="auto" w:fill="auto"/>
            <w:vAlign w:val="center"/>
          </w:tcPr>
          <w:p w14:paraId="683D8F7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kern w:val="2"/>
                <w:sz w:val="21"/>
                <w:szCs w:val="21"/>
                <w:highlight w:val="none"/>
                <w:vertAlign w:val="baseline"/>
                <w:lang w:val="en-US" w:eastAsia="zh-CN" w:bidi="ar-SA"/>
              </w:rPr>
            </w:pPr>
            <w:r>
              <w:rPr>
                <w:rFonts w:hint="eastAsia"/>
                <w:sz w:val="21"/>
                <w:szCs w:val="21"/>
                <w:highlight w:val="none"/>
                <w:vertAlign w:val="baseline"/>
                <w:lang w:val="en-US" w:eastAsia="zh-CN"/>
              </w:rPr>
              <w:t>ND</w:t>
            </w:r>
          </w:p>
        </w:tc>
      </w:tr>
      <w:tr w14:paraId="24278E0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861" w:type="dxa"/>
            <w:vAlign w:val="center"/>
          </w:tcPr>
          <w:p w14:paraId="772CF66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highlight w:val="none"/>
                <w:vertAlign w:val="baseline"/>
                <w:lang w:val="en-US" w:eastAsia="zh-CN"/>
              </w:rPr>
            </w:pPr>
            <w:r>
              <w:rPr>
                <w:rFonts w:hint="default" w:ascii="Times New Roman" w:hAnsi="Times New Roman" w:cs="Times New Roman"/>
                <w:sz w:val="21"/>
                <w:szCs w:val="21"/>
                <w:highlight w:val="none"/>
                <w:vertAlign w:val="baseline"/>
                <w:lang w:val="en-US" w:eastAsia="zh-CN"/>
              </w:rPr>
              <w:t>南尧村2#废渣堆</w:t>
            </w:r>
            <w:r>
              <w:rPr>
                <w:rFonts w:hint="default" w:ascii="Times New Roman" w:hAnsi="Times New Roman" w:eastAsia="宋体" w:cs="Times New Roman"/>
                <w:sz w:val="21"/>
                <w:szCs w:val="21"/>
                <w:highlight w:val="none"/>
                <w:vertAlign w:val="baseline"/>
                <w:lang w:val="en-US" w:eastAsia="zh-CN"/>
              </w:rPr>
              <w:t>Ⅱ</w:t>
            </w:r>
            <w:r>
              <w:rPr>
                <w:rFonts w:hint="default" w:ascii="Times New Roman" w:hAnsi="Times New Roman" w:cs="Times New Roman"/>
                <w:sz w:val="21"/>
                <w:szCs w:val="21"/>
                <w:highlight w:val="none"/>
                <w:vertAlign w:val="baseline"/>
                <w:lang w:val="en-US" w:eastAsia="zh-CN"/>
              </w:rPr>
              <w:t>区ZK2-10</w:t>
            </w:r>
          </w:p>
        </w:tc>
        <w:tc>
          <w:tcPr>
            <w:tcW w:w="764" w:type="dxa"/>
            <w:vMerge w:val="continue"/>
            <w:vAlign w:val="center"/>
          </w:tcPr>
          <w:p w14:paraId="1AAB33A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p>
        </w:tc>
        <w:tc>
          <w:tcPr>
            <w:tcW w:w="1500" w:type="dxa"/>
            <w:shd w:val="clear" w:color="auto" w:fill="auto"/>
            <w:vAlign w:val="center"/>
          </w:tcPr>
          <w:p w14:paraId="61390E7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eastAsia"/>
                <w:sz w:val="21"/>
                <w:szCs w:val="21"/>
                <w:highlight w:val="none"/>
                <w:vertAlign w:val="baseline"/>
                <w:lang w:val="en-US" w:eastAsia="zh-CN"/>
              </w:rPr>
              <w:t>灰色、固态</w:t>
            </w:r>
          </w:p>
        </w:tc>
        <w:tc>
          <w:tcPr>
            <w:tcW w:w="904" w:type="dxa"/>
            <w:vAlign w:val="center"/>
          </w:tcPr>
          <w:p w14:paraId="23EEFC7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0.37</w:t>
            </w:r>
          </w:p>
        </w:tc>
        <w:tc>
          <w:tcPr>
            <w:tcW w:w="904" w:type="dxa"/>
            <w:vAlign w:val="center"/>
          </w:tcPr>
          <w:p w14:paraId="40FCEBF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1.03</w:t>
            </w:r>
          </w:p>
        </w:tc>
        <w:tc>
          <w:tcPr>
            <w:tcW w:w="904" w:type="dxa"/>
            <w:vAlign w:val="center"/>
          </w:tcPr>
          <w:p w14:paraId="34E0CE1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0.88</w:t>
            </w:r>
          </w:p>
        </w:tc>
        <w:tc>
          <w:tcPr>
            <w:tcW w:w="904" w:type="dxa"/>
            <w:vAlign w:val="center"/>
          </w:tcPr>
          <w:p w14:paraId="3E8C760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3.87</w:t>
            </w:r>
          </w:p>
        </w:tc>
        <w:tc>
          <w:tcPr>
            <w:tcW w:w="904" w:type="dxa"/>
            <w:vAlign w:val="center"/>
          </w:tcPr>
          <w:p w14:paraId="0190308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3.38</w:t>
            </w:r>
          </w:p>
        </w:tc>
        <w:tc>
          <w:tcPr>
            <w:tcW w:w="904" w:type="dxa"/>
            <w:vAlign w:val="center"/>
          </w:tcPr>
          <w:p w14:paraId="20B73F7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0.0093</w:t>
            </w:r>
          </w:p>
        </w:tc>
        <w:tc>
          <w:tcPr>
            <w:tcW w:w="904" w:type="dxa"/>
            <w:vAlign w:val="center"/>
          </w:tcPr>
          <w:p w14:paraId="6583FFE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0.0919</w:t>
            </w:r>
          </w:p>
        </w:tc>
        <w:tc>
          <w:tcPr>
            <w:tcW w:w="904" w:type="dxa"/>
            <w:vAlign w:val="center"/>
          </w:tcPr>
          <w:p w14:paraId="1BB5D60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0.00006</w:t>
            </w:r>
          </w:p>
        </w:tc>
        <w:tc>
          <w:tcPr>
            <w:tcW w:w="904" w:type="dxa"/>
            <w:shd w:val="clear" w:color="auto" w:fill="auto"/>
            <w:vAlign w:val="center"/>
          </w:tcPr>
          <w:p w14:paraId="3A02E5B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eastAsia"/>
                <w:sz w:val="21"/>
                <w:szCs w:val="21"/>
                <w:highlight w:val="none"/>
                <w:vertAlign w:val="baseline"/>
                <w:lang w:val="en-US" w:eastAsia="zh-CN"/>
              </w:rPr>
              <w:t>ND</w:t>
            </w:r>
          </w:p>
        </w:tc>
        <w:tc>
          <w:tcPr>
            <w:tcW w:w="904" w:type="dxa"/>
            <w:shd w:val="clear" w:color="auto" w:fill="auto"/>
            <w:vAlign w:val="center"/>
          </w:tcPr>
          <w:p w14:paraId="2DEDC47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kern w:val="2"/>
                <w:sz w:val="21"/>
                <w:szCs w:val="21"/>
                <w:highlight w:val="none"/>
                <w:vertAlign w:val="baseline"/>
                <w:lang w:val="en-US" w:eastAsia="zh-CN" w:bidi="ar-SA"/>
              </w:rPr>
            </w:pPr>
            <w:r>
              <w:rPr>
                <w:rFonts w:hint="eastAsia"/>
                <w:sz w:val="21"/>
                <w:szCs w:val="21"/>
                <w:highlight w:val="none"/>
                <w:vertAlign w:val="baseline"/>
                <w:lang w:val="en-US" w:eastAsia="zh-CN"/>
              </w:rPr>
              <w:t>ND</w:t>
            </w:r>
          </w:p>
        </w:tc>
      </w:tr>
      <w:tr w14:paraId="67D2619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861" w:type="dxa"/>
            <w:vAlign w:val="center"/>
          </w:tcPr>
          <w:p w14:paraId="1E97566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highlight w:val="none"/>
                <w:vertAlign w:val="baseline"/>
                <w:lang w:val="en-US" w:eastAsia="zh-CN"/>
              </w:rPr>
            </w:pPr>
            <w:r>
              <w:rPr>
                <w:rFonts w:hint="default" w:ascii="Times New Roman" w:hAnsi="Times New Roman" w:cs="Times New Roman"/>
                <w:sz w:val="21"/>
                <w:szCs w:val="21"/>
                <w:highlight w:val="none"/>
                <w:vertAlign w:val="baseline"/>
                <w:lang w:val="en-US" w:eastAsia="zh-CN"/>
              </w:rPr>
              <w:t>南尧村2#废渣堆</w:t>
            </w:r>
            <w:r>
              <w:rPr>
                <w:rFonts w:hint="default" w:ascii="Times New Roman" w:hAnsi="Times New Roman" w:eastAsia="宋体" w:cs="Times New Roman"/>
                <w:sz w:val="21"/>
                <w:szCs w:val="21"/>
                <w:highlight w:val="none"/>
                <w:vertAlign w:val="baseline"/>
                <w:lang w:val="en-US" w:eastAsia="zh-CN"/>
              </w:rPr>
              <w:t>Ⅵ</w:t>
            </w:r>
            <w:r>
              <w:rPr>
                <w:rFonts w:hint="default" w:ascii="Times New Roman" w:hAnsi="Times New Roman" w:cs="Times New Roman"/>
                <w:sz w:val="21"/>
                <w:szCs w:val="21"/>
                <w:highlight w:val="none"/>
                <w:vertAlign w:val="baseline"/>
                <w:lang w:val="en-US" w:eastAsia="zh-CN"/>
              </w:rPr>
              <w:t>区ZK2-11</w:t>
            </w:r>
          </w:p>
        </w:tc>
        <w:tc>
          <w:tcPr>
            <w:tcW w:w="764" w:type="dxa"/>
            <w:vMerge w:val="continue"/>
            <w:vAlign w:val="center"/>
          </w:tcPr>
          <w:p w14:paraId="1D975AF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p>
        </w:tc>
        <w:tc>
          <w:tcPr>
            <w:tcW w:w="1500" w:type="dxa"/>
            <w:shd w:val="clear" w:color="auto" w:fill="auto"/>
            <w:vAlign w:val="center"/>
          </w:tcPr>
          <w:p w14:paraId="6112254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eastAsia"/>
                <w:sz w:val="21"/>
                <w:szCs w:val="21"/>
                <w:highlight w:val="none"/>
                <w:vertAlign w:val="baseline"/>
                <w:lang w:val="en-US" w:eastAsia="zh-CN"/>
              </w:rPr>
              <w:t>灰色、固态</w:t>
            </w:r>
          </w:p>
        </w:tc>
        <w:tc>
          <w:tcPr>
            <w:tcW w:w="904" w:type="dxa"/>
            <w:vAlign w:val="center"/>
          </w:tcPr>
          <w:p w14:paraId="7D5A6FA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0.20</w:t>
            </w:r>
          </w:p>
        </w:tc>
        <w:tc>
          <w:tcPr>
            <w:tcW w:w="904" w:type="dxa"/>
            <w:vAlign w:val="center"/>
          </w:tcPr>
          <w:p w14:paraId="0B2219B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0.73</w:t>
            </w:r>
          </w:p>
        </w:tc>
        <w:tc>
          <w:tcPr>
            <w:tcW w:w="904" w:type="dxa"/>
            <w:vAlign w:val="center"/>
          </w:tcPr>
          <w:p w14:paraId="693DC89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0.48</w:t>
            </w:r>
          </w:p>
        </w:tc>
        <w:tc>
          <w:tcPr>
            <w:tcW w:w="904" w:type="dxa"/>
            <w:vAlign w:val="center"/>
          </w:tcPr>
          <w:p w14:paraId="6719629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3.59</w:t>
            </w:r>
          </w:p>
        </w:tc>
        <w:tc>
          <w:tcPr>
            <w:tcW w:w="904" w:type="dxa"/>
            <w:vAlign w:val="center"/>
          </w:tcPr>
          <w:p w14:paraId="273D976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1.12</w:t>
            </w:r>
          </w:p>
        </w:tc>
        <w:tc>
          <w:tcPr>
            <w:tcW w:w="904" w:type="dxa"/>
            <w:vAlign w:val="center"/>
          </w:tcPr>
          <w:p w14:paraId="7D76530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0.0099</w:t>
            </w:r>
          </w:p>
        </w:tc>
        <w:tc>
          <w:tcPr>
            <w:tcW w:w="904" w:type="dxa"/>
            <w:vAlign w:val="center"/>
          </w:tcPr>
          <w:p w14:paraId="5F36885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0.0068</w:t>
            </w:r>
          </w:p>
        </w:tc>
        <w:tc>
          <w:tcPr>
            <w:tcW w:w="904" w:type="dxa"/>
            <w:vAlign w:val="center"/>
          </w:tcPr>
          <w:p w14:paraId="1D0CEAB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0.00007</w:t>
            </w:r>
          </w:p>
        </w:tc>
        <w:tc>
          <w:tcPr>
            <w:tcW w:w="904" w:type="dxa"/>
            <w:shd w:val="clear" w:color="auto" w:fill="auto"/>
            <w:vAlign w:val="center"/>
          </w:tcPr>
          <w:p w14:paraId="687152C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eastAsia"/>
                <w:sz w:val="21"/>
                <w:szCs w:val="21"/>
                <w:highlight w:val="none"/>
                <w:vertAlign w:val="baseline"/>
                <w:lang w:val="en-US" w:eastAsia="zh-CN"/>
              </w:rPr>
              <w:t>ND</w:t>
            </w:r>
          </w:p>
        </w:tc>
        <w:tc>
          <w:tcPr>
            <w:tcW w:w="904" w:type="dxa"/>
            <w:shd w:val="clear" w:color="auto" w:fill="auto"/>
            <w:vAlign w:val="center"/>
          </w:tcPr>
          <w:p w14:paraId="4D0D9F4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kern w:val="2"/>
                <w:sz w:val="21"/>
                <w:szCs w:val="21"/>
                <w:highlight w:val="none"/>
                <w:vertAlign w:val="baseline"/>
                <w:lang w:val="en-US" w:eastAsia="zh-CN" w:bidi="ar-SA"/>
              </w:rPr>
            </w:pPr>
            <w:r>
              <w:rPr>
                <w:rFonts w:hint="eastAsia"/>
                <w:sz w:val="21"/>
                <w:szCs w:val="21"/>
                <w:highlight w:val="none"/>
                <w:vertAlign w:val="baseline"/>
                <w:lang w:val="en-US" w:eastAsia="zh-CN"/>
              </w:rPr>
              <w:t>ND</w:t>
            </w:r>
          </w:p>
        </w:tc>
      </w:tr>
      <w:tr w14:paraId="1E05097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861" w:type="dxa"/>
            <w:vAlign w:val="center"/>
          </w:tcPr>
          <w:p w14:paraId="1F80D0D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highlight w:val="none"/>
                <w:vertAlign w:val="baseline"/>
                <w:lang w:val="en-US" w:eastAsia="zh-CN"/>
              </w:rPr>
            </w:pPr>
            <w:r>
              <w:rPr>
                <w:rFonts w:hint="default" w:ascii="Times New Roman" w:hAnsi="Times New Roman" w:cs="Times New Roman"/>
                <w:sz w:val="21"/>
                <w:szCs w:val="21"/>
                <w:highlight w:val="none"/>
                <w:vertAlign w:val="baseline"/>
                <w:lang w:val="en-US" w:eastAsia="zh-CN"/>
              </w:rPr>
              <w:t>南尧村2#废渣堆</w:t>
            </w:r>
            <w:r>
              <w:rPr>
                <w:rFonts w:hint="default" w:ascii="Times New Roman" w:hAnsi="Times New Roman" w:eastAsia="宋体" w:cs="Times New Roman"/>
                <w:sz w:val="21"/>
                <w:szCs w:val="21"/>
                <w:highlight w:val="none"/>
                <w:vertAlign w:val="baseline"/>
                <w:lang w:val="en-US" w:eastAsia="zh-CN"/>
              </w:rPr>
              <w:t>Ⅰ</w:t>
            </w:r>
            <w:r>
              <w:rPr>
                <w:rFonts w:hint="default" w:ascii="Times New Roman" w:hAnsi="Times New Roman" w:cs="Times New Roman"/>
                <w:sz w:val="21"/>
                <w:szCs w:val="21"/>
                <w:highlight w:val="none"/>
                <w:vertAlign w:val="baseline"/>
                <w:lang w:val="en-US" w:eastAsia="zh-CN"/>
              </w:rPr>
              <w:t>区ZK2-12</w:t>
            </w:r>
          </w:p>
        </w:tc>
        <w:tc>
          <w:tcPr>
            <w:tcW w:w="764" w:type="dxa"/>
            <w:vMerge w:val="continue"/>
            <w:vAlign w:val="center"/>
          </w:tcPr>
          <w:p w14:paraId="6BF6A00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p>
        </w:tc>
        <w:tc>
          <w:tcPr>
            <w:tcW w:w="1500" w:type="dxa"/>
            <w:shd w:val="clear" w:color="auto" w:fill="auto"/>
            <w:vAlign w:val="center"/>
          </w:tcPr>
          <w:p w14:paraId="608B83B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eastAsia"/>
                <w:sz w:val="21"/>
                <w:szCs w:val="21"/>
                <w:highlight w:val="none"/>
                <w:vertAlign w:val="baseline"/>
                <w:lang w:val="en-US" w:eastAsia="zh-CN"/>
              </w:rPr>
              <w:t>灰色、固态</w:t>
            </w:r>
          </w:p>
        </w:tc>
        <w:tc>
          <w:tcPr>
            <w:tcW w:w="904" w:type="dxa"/>
            <w:vAlign w:val="center"/>
          </w:tcPr>
          <w:p w14:paraId="4A89D16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0.40</w:t>
            </w:r>
          </w:p>
        </w:tc>
        <w:tc>
          <w:tcPr>
            <w:tcW w:w="904" w:type="dxa"/>
            <w:vAlign w:val="center"/>
          </w:tcPr>
          <w:p w14:paraId="7C7F3D2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0.65</w:t>
            </w:r>
          </w:p>
        </w:tc>
        <w:tc>
          <w:tcPr>
            <w:tcW w:w="904" w:type="dxa"/>
            <w:vAlign w:val="center"/>
          </w:tcPr>
          <w:p w14:paraId="0E18FAD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0.95</w:t>
            </w:r>
          </w:p>
        </w:tc>
        <w:tc>
          <w:tcPr>
            <w:tcW w:w="904" w:type="dxa"/>
            <w:vAlign w:val="center"/>
          </w:tcPr>
          <w:p w14:paraId="20D1D3B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1.83</w:t>
            </w:r>
          </w:p>
        </w:tc>
        <w:tc>
          <w:tcPr>
            <w:tcW w:w="904" w:type="dxa"/>
            <w:vAlign w:val="center"/>
          </w:tcPr>
          <w:p w14:paraId="4BDCB4F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0.519</w:t>
            </w:r>
          </w:p>
        </w:tc>
        <w:tc>
          <w:tcPr>
            <w:tcW w:w="904" w:type="dxa"/>
            <w:vAlign w:val="center"/>
          </w:tcPr>
          <w:p w14:paraId="63EC269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0.0022</w:t>
            </w:r>
          </w:p>
        </w:tc>
        <w:tc>
          <w:tcPr>
            <w:tcW w:w="904" w:type="dxa"/>
            <w:vAlign w:val="center"/>
          </w:tcPr>
          <w:p w14:paraId="4166AEA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0.146</w:t>
            </w:r>
          </w:p>
        </w:tc>
        <w:tc>
          <w:tcPr>
            <w:tcW w:w="904" w:type="dxa"/>
            <w:vAlign w:val="center"/>
          </w:tcPr>
          <w:p w14:paraId="495489B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0.00008</w:t>
            </w:r>
          </w:p>
        </w:tc>
        <w:tc>
          <w:tcPr>
            <w:tcW w:w="904" w:type="dxa"/>
            <w:shd w:val="clear" w:color="auto" w:fill="auto"/>
            <w:vAlign w:val="center"/>
          </w:tcPr>
          <w:p w14:paraId="197316A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eastAsia"/>
                <w:sz w:val="21"/>
                <w:szCs w:val="21"/>
                <w:highlight w:val="none"/>
                <w:vertAlign w:val="baseline"/>
                <w:lang w:val="en-US" w:eastAsia="zh-CN"/>
              </w:rPr>
              <w:t>ND</w:t>
            </w:r>
          </w:p>
        </w:tc>
        <w:tc>
          <w:tcPr>
            <w:tcW w:w="904" w:type="dxa"/>
            <w:shd w:val="clear" w:color="auto" w:fill="auto"/>
            <w:vAlign w:val="center"/>
          </w:tcPr>
          <w:p w14:paraId="1A60CCB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kern w:val="2"/>
                <w:sz w:val="21"/>
                <w:szCs w:val="21"/>
                <w:highlight w:val="none"/>
                <w:vertAlign w:val="baseline"/>
                <w:lang w:val="en-US" w:eastAsia="zh-CN" w:bidi="ar-SA"/>
              </w:rPr>
            </w:pPr>
            <w:r>
              <w:rPr>
                <w:rFonts w:hint="eastAsia"/>
                <w:sz w:val="21"/>
                <w:szCs w:val="21"/>
                <w:highlight w:val="none"/>
                <w:vertAlign w:val="baseline"/>
                <w:lang w:val="en-US" w:eastAsia="zh-CN"/>
              </w:rPr>
              <w:t>ND</w:t>
            </w:r>
          </w:p>
        </w:tc>
      </w:tr>
      <w:tr w14:paraId="47DE47F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125" w:type="dxa"/>
            <w:gridSpan w:val="3"/>
            <w:vAlign w:val="center"/>
          </w:tcPr>
          <w:p w14:paraId="028041B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bCs/>
                <w:sz w:val="21"/>
                <w:szCs w:val="21"/>
                <w:highlight w:val="none"/>
                <w:vertAlign w:val="baseline"/>
                <w:lang w:val="en-US" w:eastAsia="zh-CN"/>
              </w:rPr>
            </w:pPr>
            <w:r>
              <w:rPr>
                <w:rFonts w:hint="eastAsia"/>
                <w:b/>
                <w:bCs/>
                <w:sz w:val="21"/>
                <w:szCs w:val="21"/>
                <w:highlight w:val="none"/>
                <w:vertAlign w:val="baseline"/>
                <w:lang w:val="en-US" w:eastAsia="zh-CN"/>
              </w:rPr>
              <w:t>限值</w:t>
            </w:r>
          </w:p>
        </w:tc>
        <w:tc>
          <w:tcPr>
            <w:tcW w:w="904" w:type="dxa"/>
            <w:vAlign w:val="center"/>
          </w:tcPr>
          <w:p w14:paraId="770B719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bCs/>
                <w:sz w:val="21"/>
                <w:szCs w:val="21"/>
                <w:highlight w:val="none"/>
                <w:vertAlign w:val="baseline"/>
                <w:lang w:val="en-US" w:eastAsia="zh-CN"/>
              </w:rPr>
            </w:pPr>
            <w:r>
              <w:rPr>
                <w:rFonts w:hint="eastAsia"/>
                <w:b/>
                <w:bCs/>
                <w:sz w:val="21"/>
                <w:szCs w:val="21"/>
                <w:highlight w:val="none"/>
                <w:vertAlign w:val="baseline"/>
                <w:lang w:val="en-US" w:eastAsia="zh-CN"/>
              </w:rPr>
              <w:t>15</w:t>
            </w:r>
          </w:p>
        </w:tc>
        <w:tc>
          <w:tcPr>
            <w:tcW w:w="904" w:type="dxa"/>
            <w:vAlign w:val="center"/>
          </w:tcPr>
          <w:p w14:paraId="0E05C56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bCs/>
                <w:sz w:val="21"/>
                <w:szCs w:val="21"/>
                <w:highlight w:val="none"/>
                <w:vertAlign w:val="baseline"/>
                <w:lang w:val="en-US" w:eastAsia="zh-CN"/>
              </w:rPr>
            </w:pPr>
            <w:r>
              <w:rPr>
                <w:rFonts w:hint="eastAsia"/>
                <w:b/>
                <w:bCs/>
                <w:sz w:val="21"/>
                <w:szCs w:val="21"/>
                <w:highlight w:val="none"/>
                <w:vertAlign w:val="baseline"/>
                <w:lang w:val="en-US" w:eastAsia="zh-CN"/>
              </w:rPr>
              <w:t>5</w:t>
            </w:r>
          </w:p>
        </w:tc>
        <w:tc>
          <w:tcPr>
            <w:tcW w:w="904" w:type="dxa"/>
            <w:vAlign w:val="center"/>
          </w:tcPr>
          <w:p w14:paraId="055F1FC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bCs/>
                <w:sz w:val="21"/>
                <w:szCs w:val="21"/>
                <w:highlight w:val="none"/>
                <w:vertAlign w:val="baseline"/>
                <w:lang w:val="en-US" w:eastAsia="zh-CN"/>
              </w:rPr>
            </w:pPr>
            <w:r>
              <w:rPr>
                <w:rFonts w:hint="eastAsia"/>
                <w:b/>
                <w:bCs/>
                <w:sz w:val="21"/>
                <w:szCs w:val="21"/>
                <w:highlight w:val="none"/>
                <w:vertAlign w:val="baseline"/>
                <w:lang w:val="en-US" w:eastAsia="zh-CN"/>
              </w:rPr>
              <w:t>100</w:t>
            </w:r>
          </w:p>
        </w:tc>
        <w:tc>
          <w:tcPr>
            <w:tcW w:w="904" w:type="dxa"/>
            <w:vAlign w:val="center"/>
          </w:tcPr>
          <w:p w14:paraId="2424B69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bCs/>
                <w:sz w:val="21"/>
                <w:szCs w:val="21"/>
                <w:highlight w:val="none"/>
                <w:vertAlign w:val="baseline"/>
                <w:lang w:val="en-US" w:eastAsia="zh-CN"/>
              </w:rPr>
            </w:pPr>
            <w:r>
              <w:rPr>
                <w:rFonts w:hint="eastAsia"/>
                <w:b/>
                <w:bCs/>
                <w:sz w:val="21"/>
                <w:szCs w:val="21"/>
                <w:highlight w:val="none"/>
                <w:vertAlign w:val="baseline"/>
                <w:lang w:val="en-US" w:eastAsia="zh-CN"/>
              </w:rPr>
              <w:t>100</w:t>
            </w:r>
          </w:p>
        </w:tc>
        <w:tc>
          <w:tcPr>
            <w:tcW w:w="904" w:type="dxa"/>
            <w:vAlign w:val="center"/>
          </w:tcPr>
          <w:p w14:paraId="751D8DE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bCs/>
                <w:sz w:val="21"/>
                <w:szCs w:val="21"/>
                <w:highlight w:val="none"/>
                <w:vertAlign w:val="baseline"/>
                <w:lang w:val="en-US" w:eastAsia="zh-CN"/>
              </w:rPr>
            </w:pPr>
            <w:r>
              <w:rPr>
                <w:rFonts w:hint="eastAsia"/>
                <w:b/>
                <w:bCs/>
                <w:sz w:val="21"/>
                <w:szCs w:val="21"/>
                <w:highlight w:val="none"/>
                <w:vertAlign w:val="baseline"/>
                <w:lang w:val="en-US" w:eastAsia="zh-CN"/>
              </w:rPr>
              <w:t>5</w:t>
            </w:r>
          </w:p>
        </w:tc>
        <w:tc>
          <w:tcPr>
            <w:tcW w:w="904" w:type="dxa"/>
            <w:vAlign w:val="center"/>
          </w:tcPr>
          <w:p w14:paraId="0EBFA72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bCs/>
                <w:sz w:val="21"/>
                <w:szCs w:val="21"/>
                <w:highlight w:val="none"/>
                <w:vertAlign w:val="baseline"/>
                <w:lang w:val="en-US" w:eastAsia="zh-CN"/>
              </w:rPr>
            </w:pPr>
            <w:r>
              <w:rPr>
                <w:rFonts w:hint="eastAsia"/>
                <w:b/>
                <w:bCs/>
                <w:sz w:val="21"/>
                <w:szCs w:val="21"/>
                <w:highlight w:val="none"/>
                <w:vertAlign w:val="baseline"/>
                <w:lang w:val="en-US" w:eastAsia="zh-CN"/>
              </w:rPr>
              <w:t>1</w:t>
            </w:r>
          </w:p>
        </w:tc>
        <w:tc>
          <w:tcPr>
            <w:tcW w:w="904" w:type="dxa"/>
            <w:vAlign w:val="center"/>
          </w:tcPr>
          <w:p w14:paraId="519FE3D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bCs/>
                <w:sz w:val="21"/>
                <w:szCs w:val="21"/>
                <w:highlight w:val="none"/>
                <w:vertAlign w:val="baseline"/>
                <w:lang w:val="en-US" w:eastAsia="zh-CN"/>
              </w:rPr>
            </w:pPr>
            <w:r>
              <w:rPr>
                <w:rFonts w:hint="eastAsia"/>
                <w:b/>
                <w:bCs/>
                <w:sz w:val="21"/>
                <w:szCs w:val="21"/>
                <w:highlight w:val="none"/>
                <w:vertAlign w:val="baseline"/>
                <w:lang w:val="en-US" w:eastAsia="zh-CN"/>
              </w:rPr>
              <w:t>5</w:t>
            </w:r>
          </w:p>
        </w:tc>
        <w:tc>
          <w:tcPr>
            <w:tcW w:w="904" w:type="dxa"/>
            <w:vAlign w:val="center"/>
          </w:tcPr>
          <w:p w14:paraId="23FCF87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bCs/>
                <w:sz w:val="21"/>
                <w:szCs w:val="21"/>
                <w:highlight w:val="none"/>
                <w:vertAlign w:val="baseline"/>
                <w:lang w:val="en-US" w:eastAsia="zh-CN"/>
              </w:rPr>
            </w:pPr>
            <w:r>
              <w:rPr>
                <w:rFonts w:hint="eastAsia"/>
                <w:b/>
                <w:bCs/>
                <w:sz w:val="21"/>
                <w:szCs w:val="21"/>
                <w:highlight w:val="none"/>
                <w:vertAlign w:val="baseline"/>
                <w:lang w:val="en-US" w:eastAsia="zh-CN"/>
              </w:rPr>
              <w:t>0.1</w:t>
            </w:r>
          </w:p>
        </w:tc>
        <w:tc>
          <w:tcPr>
            <w:tcW w:w="904" w:type="dxa"/>
            <w:vAlign w:val="center"/>
          </w:tcPr>
          <w:p w14:paraId="7CECE2E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bCs/>
                <w:sz w:val="21"/>
                <w:szCs w:val="21"/>
                <w:highlight w:val="none"/>
                <w:vertAlign w:val="baseline"/>
                <w:lang w:val="en-US" w:eastAsia="zh-CN"/>
              </w:rPr>
            </w:pPr>
            <w:r>
              <w:rPr>
                <w:rFonts w:hint="eastAsia"/>
                <w:b/>
                <w:bCs/>
                <w:sz w:val="21"/>
                <w:szCs w:val="21"/>
                <w:highlight w:val="none"/>
                <w:vertAlign w:val="baseline"/>
                <w:lang w:val="en-US" w:eastAsia="zh-CN"/>
              </w:rPr>
              <w:t>5</w:t>
            </w:r>
          </w:p>
        </w:tc>
        <w:tc>
          <w:tcPr>
            <w:tcW w:w="904" w:type="dxa"/>
            <w:vAlign w:val="center"/>
          </w:tcPr>
          <w:p w14:paraId="302C90E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bCs/>
                <w:sz w:val="21"/>
                <w:szCs w:val="21"/>
                <w:highlight w:val="none"/>
                <w:vertAlign w:val="baseline"/>
                <w:lang w:val="en-US" w:eastAsia="zh-CN"/>
              </w:rPr>
            </w:pPr>
            <w:r>
              <w:rPr>
                <w:rFonts w:hint="eastAsia"/>
                <w:b/>
                <w:bCs/>
                <w:sz w:val="21"/>
                <w:szCs w:val="21"/>
                <w:highlight w:val="none"/>
                <w:vertAlign w:val="baseline"/>
                <w:lang w:val="en-US" w:eastAsia="zh-CN"/>
              </w:rPr>
              <w:t>5</w:t>
            </w:r>
          </w:p>
        </w:tc>
      </w:tr>
      <w:tr w14:paraId="3C7A15E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4165" w:type="dxa"/>
            <w:gridSpan w:val="13"/>
            <w:vAlign w:val="center"/>
          </w:tcPr>
          <w:p w14:paraId="51C05365">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b/>
                <w:bCs/>
                <w:sz w:val="21"/>
                <w:szCs w:val="21"/>
                <w:highlight w:val="none"/>
                <w:vertAlign w:val="baseline"/>
                <w:lang w:val="en-US" w:eastAsia="zh-CN"/>
              </w:rPr>
            </w:pPr>
            <w:r>
              <w:rPr>
                <w:rFonts w:hint="eastAsia"/>
                <w:b/>
                <w:bCs/>
                <w:sz w:val="21"/>
                <w:szCs w:val="21"/>
                <w:highlight w:val="none"/>
                <w:vertAlign w:val="baseline"/>
                <w:lang w:val="en-US" w:eastAsia="zh-CN"/>
              </w:rPr>
              <w:t>注：“ND”表示未检出。</w:t>
            </w:r>
          </w:p>
        </w:tc>
      </w:tr>
    </w:tbl>
    <w:p w14:paraId="6BD031BB">
      <w:pPr>
        <w:bidi w:val="0"/>
        <w:rPr>
          <w:rFonts w:hint="default"/>
          <w:lang w:val="en-US" w:eastAsia="zh-CN"/>
        </w:rPr>
      </w:pPr>
      <w:r>
        <w:rPr>
          <w:rFonts w:hint="default"/>
          <w:lang w:val="en-US" w:eastAsia="zh-CN"/>
        </w:rPr>
        <w:t>由</w:t>
      </w:r>
      <w:r>
        <w:rPr>
          <w:rFonts w:hint="eastAsia"/>
          <w:lang w:val="en-US" w:eastAsia="zh-CN"/>
        </w:rPr>
        <w:t>上表</w:t>
      </w:r>
      <w:r>
        <w:rPr>
          <w:rFonts w:hint="default"/>
          <w:lang w:val="en-US" w:eastAsia="zh-CN"/>
        </w:rPr>
        <w:t>可知：</w:t>
      </w:r>
      <w:r>
        <w:rPr>
          <w:rFonts w:hint="eastAsia"/>
          <w:lang w:val="en-US" w:eastAsia="zh-CN"/>
        </w:rPr>
        <w:t>南尧村</w:t>
      </w:r>
      <w:r>
        <w:rPr>
          <w:rFonts w:hint="eastAsia"/>
        </w:rPr>
        <w:t>1#废渣堆和2#废渣堆的遗留废渣</w:t>
      </w:r>
      <w:r>
        <w:t>浸出液中</w:t>
      </w:r>
      <w:r>
        <w:rPr>
          <w:rFonts w:hint="eastAsia"/>
        </w:rPr>
        <w:t>总</w:t>
      </w:r>
      <w:r>
        <w:t>砷、总铬、</w:t>
      </w:r>
      <w:r>
        <w:rPr>
          <w:rFonts w:hint="eastAsia"/>
        </w:rPr>
        <w:t>总</w:t>
      </w:r>
      <w:r>
        <w:t>镍、</w:t>
      </w:r>
      <w:r>
        <w:rPr>
          <w:rFonts w:hint="eastAsia"/>
        </w:rPr>
        <w:t>总</w:t>
      </w:r>
      <w:r>
        <w:t>铜、</w:t>
      </w:r>
      <w:r>
        <w:rPr>
          <w:rFonts w:hint="eastAsia"/>
        </w:rPr>
        <w:t>总</w:t>
      </w:r>
      <w:r>
        <w:t>锌、</w:t>
      </w:r>
      <w:r>
        <w:rPr>
          <w:rFonts w:hint="eastAsia"/>
        </w:rPr>
        <w:t>总</w:t>
      </w:r>
      <w:r>
        <w:t>镉、</w:t>
      </w:r>
      <w:r>
        <w:rPr>
          <w:rFonts w:hint="eastAsia"/>
        </w:rPr>
        <w:t>总</w:t>
      </w:r>
      <w:r>
        <w:t>铅、</w:t>
      </w:r>
      <w:r>
        <w:rPr>
          <w:rFonts w:hint="eastAsia"/>
        </w:rPr>
        <w:t>总</w:t>
      </w:r>
      <w:r>
        <w:t>汞、六价铬、氰化物的浓度均低于《危险废物鉴别标准</w:t>
      </w:r>
      <w:r>
        <w:rPr>
          <w:rFonts w:hint="eastAsia"/>
        </w:rPr>
        <w:t xml:space="preserve"> </w:t>
      </w:r>
      <w:r>
        <w:t>浸出毒性鉴别》（GB5085.3-2007）表1的浓度限值</w:t>
      </w:r>
      <w:r>
        <w:rPr>
          <w:rFonts w:hint="eastAsia"/>
        </w:rPr>
        <w:t>。因此，1#废渣堆和2#废渣堆的遗留废渣不具有浸出毒性，同时根据污染状况调查报告结论，本项目1#废渣堆和2#废渣堆的遗留废渣</w:t>
      </w:r>
      <w:r>
        <w:t>不</w:t>
      </w:r>
      <w:r>
        <w:rPr>
          <w:rFonts w:hint="eastAsia"/>
        </w:rPr>
        <w:t>属于危险废物</w:t>
      </w:r>
      <w:r>
        <w:rPr>
          <w:rFonts w:hint="default"/>
          <w:lang w:val="en-US" w:eastAsia="zh-CN"/>
        </w:rPr>
        <w:t>。</w:t>
      </w:r>
    </w:p>
    <w:p w14:paraId="4820416C">
      <w:pPr>
        <w:bidi w:val="0"/>
        <w:rPr>
          <w:rFonts w:hint="eastAsia"/>
          <w:lang w:val="en-US" w:eastAsia="zh-CN"/>
        </w:rPr>
      </w:pPr>
      <w:r>
        <w:rPr>
          <w:rFonts w:hint="eastAsia"/>
          <w:lang w:val="en-US" w:eastAsia="zh-CN"/>
        </w:rPr>
        <w:t>各渣堆分区一般固废判定检测情况见表3.1-8。</w:t>
      </w:r>
    </w:p>
    <w:p w14:paraId="5F7D757B">
      <w:pPr>
        <w:ind w:left="0" w:leftChars="0" w:firstLine="0" w:firstLineChars="0"/>
        <w:jc w:val="center"/>
        <w:rPr>
          <w:rFonts w:hint="default"/>
          <w:b/>
          <w:bCs/>
          <w:sz w:val="21"/>
          <w:szCs w:val="21"/>
          <w:highlight w:val="none"/>
          <w:lang w:val="en-US" w:eastAsia="zh-CN"/>
        </w:rPr>
      </w:pPr>
      <w:r>
        <w:rPr>
          <w:rFonts w:hint="eastAsia"/>
          <w:b/>
          <w:bCs/>
          <w:sz w:val="21"/>
          <w:szCs w:val="21"/>
          <w:highlight w:val="none"/>
          <w:lang w:val="en-US" w:eastAsia="zh-CN"/>
        </w:rPr>
        <w:t>表3.1-8  固体废物（废渣）检测结果（水浸）    单位：mg/L，pH无量纲</w:t>
      </w:r>
    </w:p>
    <w:tbl>
      <w:tblPr>
        <w:tblStyle w:val="36"/>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3039"/>
        <w:gridCol w:w="732"/>
        <w:gridCol w:w="1520"/>
        <w:gridCol w:w="892"/>
        <w:gridCol w:w="702"/>
        <w:gridCol w:w="702"/>
        <w:gridCol w:w="703"/>
        <w:gridCol w:w="703"/>
        <w:gridCol w:w="794"/>
        <w:gridCol w:w="855"/>
        <w:gridCol w:w="794"/>
        <w:gridCol w:w="970"/>
        <w:gridCol w:w="880"/>
        <w:gridCol w:w="879"/>
      </w:tblGrid>
      <w:tr w14:paraId="2405667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blHeader/>
        </w:trPr>
        <w:tc>
          <w:tcPr>
            <w:tcW w:w="3039" w:type="dxa"/>
            <w:vMerge w:val="restart"/>
            <w:vAlign w:val="center"/>
          </w:tcPr>
          <w:p w14:paraId="49C8447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bCs/>
                <w:sz w:val="21"/>
                <w:szCs w:val="21"/>
                <w:highlight w:val="none"/>
                <w:vertAlign w:val="baseline"/>
                <w:lang w:val="en-US" w:eastAsia="zh-CN"/>
              </w:rPr>
            </w:pPr>
            <w:r>
              <w:rPr>
                <w:rFonts w:hint="eastAsia"/>
                <w:b/>
                <w:bCs/>
                <w:sz w:val="21"/>
                <w:szCs w:val="21"/>
                <w:highlight w:val="none"/>
                <w:vertAlign w:val="baseline"/>
                <w:lang w:val="en-US" w:eastAsia="zh-CN"/>
              </w:rPr>
              <w:t>采样点位</w:t>
            </w:r>
          </w:p>
        </w:tc>
        <w:tc>
          <w:tcPr>
            <w:tcW w:w="732" w:type="dxa"/>
            <w:vMerge w:val="restart"/>
            <w:vAlign w:val="center"/>
          </w:tcPr>
          <w:p w14:paraId="3D2EDD5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bCs/>
                <w:sz w:val="21"/>
                <w:szCs w:val="21"/>
                <w:highlight w:val="none"/>
                <w:vertAlign w:val="baseline"/>
                <w:lang w:val="en-US" w:eastAsia="zh-CN"/>
              </w:rPr>
            </w:pPr>
            <w:r>
              <w:rPr>
                <w:rFonts w:hint="eastAsia"/>
                <w:b/>
                <w:bCs/>
                <w:sz w:val="21"/>
                <w:szCs w:val="21"/>
                <w:highlight w:val="none"/>
                <w:vertAlign w:val="baseline"/>
                <w:lang w:val="en-US" w:eastAsia="zh-CN"/>
              </w:rPr>
              <w:t>采样日期</w:t>
            </w:r>
          </w:p>
        </w:tc>
        <w:tc>
          <w:tcPr>
            <w:tcW w:w="1520" w:type="dxa"/>
            <w:vMerge w:val="restart"/>
            <w:vAlign w:val="center"/>
          </w:tcPr>
          <w:p w14:paraId="11DA331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bCs/>
                <w:sz w:val="21"/>
                <w:szCs w:val="21"/>
                <w:highlight w:val="none"/>
                <w:vertAlign w:val="baseline"/>
                <w:lang w:val="en-US" w:eastAsia="zh-CN"/>
              </w:rPr>
            </w:pPr>
            <w:r>
              <w:rPr>
                <w:rFonts w:hint="eastAsia"/>
                <w:b/>
                <w:bCs/>
                <w:sz w:val="21"/>
                <w:szCs w:val="21"/>
                <w:highlight w:val="none"/>
                <w:vertAlign w:val="baseline"/>
                <w:lang w:val="en-US" w:eastAsia="zh-CN"/>
              </w:rPr>
              <w:t>样品状态</w:t>
            </w:r>
          </w:p>
        </w:tc>
        <w:tc>
          <w:tcPr>
            <w:tcW w:w="8874" w:type="dxa"/>
            <w:gridSpan w:val="11"/>
            <w:vAlign w:val="center"/>
          </w:tcPr>
          <w:p w14:paraId="0154913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bCs/>
                <w:sz w:val="21"/>
                <w:szCs w:val="21"/>
                <w:highlight w:val="none"/>
                <w:vertAlign w:val="baseline"/>
                <w:lang w:val="en-US" w:eastAsia="zh-CN"/>
              </w:rPr>
            </w:pPr>
            <w:r>
              <w:rPr>
                <w:rFonts w:hint="eastAsia"/>
                <w:b/>
                <w:bCs/>
                <w:sz w:val="21"/>
                <w:szCs w:val="21"/>
                <w:highlight w:val="none"/>
                <w:vertAlign w:val="baseline"/>
                <w:lang w:val="en-US" w:eastAsia="zh-CN"/>
              </w:rPr>
              <w:t>检测项目及检测结果</w:t>
            </w:r>
          </w:p>
        </w:tc>
      </w:tr>
      <w:tr w14:paraId="16D5CB9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blHeader/>
        </w:trPr>
        <w:tc>
          <w:tcPr>
            <w:tcW w:w="3039" w:type="dxa"/>
            <w:vMerge w:val="continue"/>
            <w:vAlign w:val="center"/>
          </w:tcPr>
          <w:p w14:paraId="712BC97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bCs/>
                <w:sz w:val="21"/>
                <w:szCs w:val="21"/>
                <w:highlight w:val="none"/>
                <w:vertAlign w:val="baseline"/>
                <w:lang w:val="en-US" w:eastAsia="zh-CN"/>
              </w:rPr>
            </w:pPr>
          </w:p>
        </w:tc>
        <w:tc>
          <w:tcPr>
            <w:tcW w:w="732" w:type="dxa"/>
            <w:vMerge w:val="continue"/>
            <w:vAlign w:val="center"/>
          </w:tcPr>
          <w:p w14:paraId="30A158D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bCs/>
                <w:sz w:val="21"/>
                <w:szCs w:val="21"/>
                <w:highlight w:val="none"/>
                <w:vertAlign w:val="baseline"/>
                <w:lang w:val="en-US" w:eastAsia="zh-CN"/>
              </w:rPr>
            </w:pPr>
          </w:p>
        </w:tc>
        <w:tc>
          <w:tcPr>
            <w:tcW w:w="1520" w:type="dxa"/>
            <w:vMerge w:val="continue"/>
            <w:vAlign w:val="center"/>
          </w:tcPr>
          <w:p w14:paraId="069BFEC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bCs/>
                <w:sz w:val="21"/>
                <w:szCs w:val="21"/>
                <w:highlight w:val="none"/>
                <w:vertAlign w:val="baseline"/>
                <w:lang w:val="en-US" w:eastAsia="zh-CN"/>
              </w:rPr>
            </w:pPr>
          </w:p>
        </w:tc>
        <w:tc>
          <w:tcPr>
            <w:tcW w:w="892" w:type="dxa"/>
            <w:vAlign w:val="center"/>
          </w:tcPr>
          <w:p w14:paraId="6085B81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bCs/>
                <w:sz w:val="21"/>
                <w:szCs w:val="21"/>
                <w:highlight w:val="none"/>
                <w:vertAlign w:val="baseline"/>
                <w:lang w:val="en-US" w:eastAsia="zh-CN"/>
              </w:rPr>
            </w:pPr>
            <w:r>
              <w:rPr>
                <w:rFonts w:hint="eastAsia"/>
                <w:b/>
                <w:bCs/>
                <w:sz w:val="21"/>
                <w:szCs w:val="21"/>
                <w:highlight w:val="none"/>
                <w:vertAlign w:val="baseline"/>
                <w:lang w:val="en-US" w:eastAsia="zh-CN"/>
              </w:rPr>
              <w:t>pH</w:t>
            </w:r>
          </w:p>
        </w:tc>
        <w:tc>
          <w:tcPr>
            <w:tcW w:w="702" w:type="dxa"/>
            <w:vAlign w:val="center"/>
          </w:tcPr>
          <w:p w14:paraId="62AAF53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bCs/>
                <w:sz w:val="21"/>
                <w:szCs w:val="21"/>
                <w:highlight w:val="none"/>
                <w:vertAlign w:val="baseline"/>
                <w:lang w:val="en-US" w:eastAsia="zh-CN"/>
              </w:rPr>
            </w:pPr>
            <w:r>
              <w:rPr>
                <w:rFonts w:hint="eastAsia"/>
                <w:b/>
                <w:bCs/>
                <w:sz w:val="21"/>
                <w:szCs w:val="21"/>
                <w:highlight w:val="none"/>
                <w:vertAlign w:val="baseline"/>
                <w:lang w:val="en-US" w:eastAsia="zh-CN"/>
              </w:rPr>
              <w:t>总铬</w:t>
            </w:r>
          </w:p>
        </w:tc>
        <w:tc>
          <w:tcPr>
            <w:tcW w:w="702" w:type="dxa"/>
            <w:vAlign w:val="center"/>
          </w:tcPr>
          <w:p w14:paraId="2E50744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bCs/>
                <w:sz w:val="21"/>
                <w:szCs w:val="21"/>
                <w:highlight w:val="none"/>
                <w:vertAlign w:val="baseline"/>
                <w:lang w:val="en-US" w:eastAsia="zh-CN"/>
              </w:rPr>
            </w:pPr>
            <w:r>
              <w:rPr>
                <w:rFonts w:hint="eastAsia"/>
                <w:b/>
                <w:bCs/>
                <w:sz w:val="21"/>
                <w:szCs w:val="21"/>
                <w:highlight w:val="none"/>
                <w:vertAlign w:val="baseline"/>
                <w:lang w:val="en-US" w:eastAsia="zh-CN"/>
              </w:rPr>
              <w:t>总镍</w:t>
            </w:r>
          </w:p>
        </w:tc>
        <w:tc>
          <w:tcPr>
            <w:tcW w:w="703" w:type="dxa"/>
            <w:vAlign w:val="center"/>
          </w:tcPr>
          <w:p w14:paraId="4716C59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bCs/>
                <w:sz w:val="21"/>
                <w:szCs w:val="21"/>
                <w:highlight w:val="none"/>
                <w:vertAlign w:val="baseline"/>
                <w:lang w:val="en-US" w:eastAsia="zh-CN"/>
              </w:rPr>
            </w:pPr>
            <w:r>
              <w:rPr>
                <w:rFonts w:hint="eastAsia"/>
                <w:b/>
                <w:bCs/>
                <w:sz w:val="21"/>
                <w:szCs w:val="21"/>
                <w:highlight w:val="none"/>
                <w:vertAlign w:val="baseline"/>
                <w:lang w:val="en-US" w:eastAsia="zh-CN"/>
              </w:rPr>
              <w:t>总铜</w:t>
            </w:r>
          </w:p>
        </w:tc>
        <w:tc>
          <w:tcPr>
            <w:tcW w:w="703" w:type="dxa"/>
            <w:vAlign w:val="center"/>
          </w:tcPr>
          <w:p w14:paraId="3A056D9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bCs/>
                <w:sz w:val="21"/>
                <w:szCs w:val="21"/>
                <w:highlight w:val="none"/>
                <w:vertAlign w:val="baseline"/>
                <w:lang w:val="en-US" w:eastAsia="zh-CN"/>
              </w:rPr>
            </w:pPr>
            <w:r>
              <w:rPr>
                <w:rFonts w:hint="eastAsia"/>
                <w:b/>
                <w:bCs/>
                <w:sz w:val="21"/>
                <w:szCs w:val="21"/>
                <w:highlight w:val="none"/>
                <w:vertAlign w:val="baseline"/>
                <w:lang w:val="en-US" w:eastAsia="zh-CN"/>
              </w:rPr>
              <w:t>总锌</w:t>
            </w:r>
          </w:p>
        </w:tc>
        <w:tc>
          <w:tcPr>
            <w:tcW w:w="794" w:type="dxa"/>
            <w:vAlign w:val="center"/>
          </w:tcPr>
          <w:p w14:paraId="0A62AFD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bCs/>
                <w:sz w:val="21"/>
                <w:szCs w:val="21"/>
                <w:highlight w:val="none"/>
                <w:vertAlign w:val="baseline"/>
                <w:lang w:val="en-US" w:eastAsia="zh-CN"/>
              </w:rPr>
            </w:pPr>
            <w:r>
              <w:rPr>
                <w:rFonts w:hint="eastAsia"/>
                <w:b/>
                <w:bCs/>
                <w:sz w:val="21"/>
                <w:szCs w:val="21"/>
                <w:highlight w:val="none"/>
                <w:vertAlign w:val="baseline"/>
                <w:lang w:val="en-US" w:eastAsia="zh-CN"/>
              </w:rPr>
              <w:t>总砷</w:t>
            </w:r>
          </w:p>
        </w:tc>
        <w:tc>
          <w:tcPr>
            <w:tcW w:w="855" w:type="dxa"/>
            <w:vAlign w:val="center"/>
          </w:tcPr>
          <w:p w14:paraId="47CCB12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bCs/>
                <w:sz w:val="21"/>
                <w:szCs w:val="21"/>
                <w:highlight w:val="none"/>
                <w:vertAlign w:val="baseline"/>
                <w:lang w:val="en-US" w:eastAsia="zh-CN"/>
              </w:rPr>
            </w:pPr>
            <w:r>
              <w:rPr>
                <w:rFonts w:hint="eastAsia"/>
                <w:b/>
                <w:bCs/>
                <w:sz w:val="21"/>
                <w:szCs w:val="21"/>
                <w:highlight w:val="none"/>
                <w:vertAlign w:val="baseline"/>
                <w:lang w:val="en-US" w:eastAsia="zh-CN"/>
              </w:rPr>
              <w:t>总镉</w:t>
            </w:r>
          </w:p>
        </w:tc>
        <w:tc>
          <w:tcPr>
            <w:tcW w:w="794" w:type="dxa"/>
            <w:vAlign w:val="center"/>
          </w:tcPr>
          <w:p w14:paraId="0924A2D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bCs/>
                <w:sz w:val="21"/>
                <w:szCs w:val="21"/>
                <w:highlight w:val="none"/>
                <w:vertAlign w:val="baseline"/>
                <w:lang w:val="en-US" w:eastAsia="zh-CN"/>
              </w:rPr>
            </w:pPr>
            <w:r>
              <w:rPr>
                <w:rFonts w:hint="eastAsia"/>
                <w:b/>
                <w:bCs/>
                <w:sz w:val="21"/>
                <w:szCs w:val="21"/>
                <w:highlight w:val="none"/>
                <w:vertAlign w:val="baseline"/>
                <w:lang w:val="en-US" w:eastAsia="zh-CN"/>
              </w:rPr>
              <w:t>总铅</w:t>
            </w:r>
          </w:p>
        </w:tc>
        <w:tc>
          <w:tcPr>
            <w:tcW w:w="970" w:type="dxa"/>
            <w:vAlign w:val="center"/>
          </w:tcPr>
          <w:p w14:paraId="603885E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bCs/>
                <w:sz w:val="21"/>
                <w:szCs w:val="21"/>
                <w:highlight w:val="none"/>
                <w:vertAlign w:val="baseline"/>
                <w:lang w:val="en-US" w:eastAsia="zh-CN"/>
              </w:rPr>
            </w:pPr>
            <w:r>
              <w:rPr>
                <w:rFonts w:hint="eastAsia"/>
                <w:b/>
                <w:bCs/>
                <w:sz w:val="21"/>
                <w:szCs w:val="21"/>
                <w:highlight w:val="none"/>
                <w:vertAlign w:val="baseline"/>
                <w:lang w:val="en-US" w:eastAsia="zh-CN"/>
              </w:rPr>
              <w:t>总汞</w:t>
            </w:r>
          </w:p>
        </w:tc>
        <w:tc>
          <w:tcPr>
            <w:tcW w:w="880" w:type="dxa"/>
            <w:vAlign w:val="center"/>
          </w:tcPr>
          <w:p w14:paraId="1DFF440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bCs/>
                <w:sz w:val="21"/>
                <w:szCs w:val="21"/>
                <w:highlight w:val="none"/>
                <w:vertAlign w:val="baseline"/>
                <w:lang w:val="en-US" w:eastAsia="zh-CN"/>
              </w:rPr>
            </w:pPr>
            <w:r>
              <w:rPr>
                <w:rFonts w:hint="eastAsia"/>
                <w:b/>
                <w:bCs/>
                <w:sz w:val="21"/>
                <w:szCs w:val="21"/>
                <w:highlight w:val="none"/>
                <w:vertAlign w:val="baseline"/>
                <w:lang w:val="en-US" w:eastAsia="zh-CN"/>
              </w:rPr>
              <w:t>六价铬</w:t>
            </w:r>
          </w:p>
        </w:tc>
        <w:tc>
          <w:tcPr>
            <w:tcW w:w="879" w:type="dxa"/>
            <w:vAlign w:val="center"/>
          </w:tcPr>
          <w:p w14:paraId="56185D2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bCs/>
                <w:sz w:val="21"/>
                <w:szCs w:val="21"/>
                <w:highlight w:val="none"/>
                <w:vertAlign w:val="baseline"/>
                <w:lang w:val="en-US" w:eastAsia="zh-CN"/>
              </w:rPr>
            </w:pPr>
            <w:r>
              <w:rPr>
                <w:rFonts w:hint="eastAsia"/>
                <w:b/>
                <w:bCs/>
                <w:sz w:val="21"/>
                <w:szCs w:val="21"/>
                <w:highlight w:val="none"/>
                <w:vertAlign w:val="baseline"/>
                <w:lang w:val="en-US" w:eastAsia="zh-CN"/>
              </w:rPr>
              <w:t>氰化物</w:t>
            </w:r>
          </w:p>
        </w:tc>
      </w:tr>
      <w:tr w14:paraId="40FB704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039" w:type="dxa"/>
            <w:shd w:val="clear" w:color="auto" w:fill="auto"/>
            <w:vAlign w:val="center"/>
          </w:tcPr>
          <w:p w14:paraId="2A0647D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default" w:ascii="Times New Roman" w:hAnsi="Times New Roman" w:cs="Times New Roman"/>
                <w:sz w:val="21"/>
                <w:szCs w:val="21"/>
                <w:highlight w:val="none"/>
                <w:vertAlign w:val="baseline"/>
                <w:lang w:val="en-US" w:eastAsia="zh-CN"/>
              </w:rPr>
              <w:t>南尧村1</w:t>
            </w:r>
            <w:r>
              <w:rPr>
                <w:rFonts w:hint="eastAsia" w:cs="Times New Roman"/>
                <w:sz w:val="21"/>
                <w:szCs w:val="21"/>
                <w:highlight w:val="none"/>
                <w:vertAlign w:val="baseline"/>
                <w:lang w:val="en-US" w:eastAsia="zh-CN"/>
              </w:rPr>
              <w:t>#</w:t>
            </w:r>
            <w:r>
              <w:rPr>
                <w:rFonts w:hint="default" w:ascii="Times New Roman" w:hAnsi="Times New Roman" w:cs="Times New Roman"/>
                <w:sz w:val="21"/>
                <w:szCs w:val="21"/>
                <w:highlight w:val="none"/>
                <w:vertAlign w:val="baseline"/>
                <w:lang w:val="en-US" w:eastAsia="zh-CN"/>
              </w:rPr>
              <w:t>废渣堆</w:t>
            </w:r>
            <w:r>
              <w:rPr>
                <w:rFonts w:hint="default" w:ascii="Times New Roman" w:hAnsi="Times New Roman" w:eastAsia="宋体" w:cs="Times New Roman"/>
                <w:sz w:val="21"/>
                <w:szCs w:val="21"/>
                <w:highlight w:val="none"/>
                <w:vertAlign w:val="baseline"/>
                <w:lang w:val="en-US" w:eastAsia="zh-CN"/>
              </w:rPr>
              <w:t>Ⅱ</w:t>
            </w:r>
            <w:r>
              <w:rPr>
                <w:rFonts w:hint="default" w:ascii="Times New Roman" w:hAnsi="Times New Roman" w:cs="Times New Roman"/>
                <w:sz w:val="21"/>
                <w:szCs w:val="21"/>
                <w:highlight w:val="none"/>
                <w:vertAlign w:val="baseline"/>
                <w:lang w:val="en-US" w:eastAsia="zh-CN"/>
              </w:rPr>
              <w:t>区</w:t>
            </w:r>
            <w:r>
              <w:rPr>
                <w:rFonts w:hint="eastAsia"/>
                <w:sz w:val="21"/>
                <w:szCs w:val="21"/>
                <w:highlight w:val="none"/>
                <w:vertAlign w:val="baseline"/>
                <w:lang w:val="en-US" w:eastAsia="zh-CN"/>
              </w:rPr>
              <w:t>ZK1-1</w:t>
            </w:r>
          </w:p>
        </w:tc>
        <w:tc>
          <w:tcPr>
            <w:tcW w:w="732" w:type="dxa"/>
            <w:vMerge w:val="restart"/>
            <w:vAlign w:val="center"/>
          </w:tcPr>
          <w:p w14:paraId="7B360CC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2022.6.27</w:t>
            </w:r>
          </w:p>
        </w:tc>
        <w:tc>
          <w:tcPr>
            <w:tcW w:w="1520" w:type="dxa"/>
            <w:vAlign w:val="center"/>
          </w:tcPr>
          <w:p w14:paraId="634A9B9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黄棕色、固态</w:t>
            </w:r>
          </w:p>
        </w:tc>
        <w:tc>
          <w:tcPr>
            <w:tcW w:w="892" w:type="dxa"/>
            <w:vAlign w:val="center"/>
          </w:tcPr>
          <w:p w14:paraId="4A54DEE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8.28</w:t>
            </w:r>
          </w:p>
        </w:tc>
        <w:tc>
          <w:tcPr>
            <w:tcW w:w="702" w:type="dxa"/>
            <w:vAlign w:val="center"/>
          </w:tcPr>
          <w:p w14:paraId="7F07D99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ND</w:t>
            </w:r>
          </w:p>
        </w:tc>
        <w:tc>
          <w:tcPr>
            <w:tcW w:w="702" w:type="dxa"/>
            <w:vAlign w:val="center"/>
          </w:tcPr>
          <w:p w14:paraId="0AE0D77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ND</w:t>
            </w:r>
          </w:p>
        </w:tc>
        <w:tc>
          <w:tcPr>
            <w:tcW w:w="703" w:type="dxa"/>
            <w:vAlign w:val="center"/>
          </w:tcPr>
          <w:p w14:paraId="252A729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ND</w:t>
            </w:r>
          </w:p>
        </w:tc>
        <w:tc>
          <w:tcPr>
            <w:tcW w:w="703" w:type="dxa"/>
            <w:vAlign w:val="center"/>
          </w:tcPr>
          <w:p w14:paraId="65D7502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0.27</w:t>
            </w:r>
          </w:p>
        </w:tc>
        <w:tc>
          <w:tcPr>
            <w:tcW w:w="794" w:type="dxa"/>
            <w:vAlign w:val="center"/>
          </w:tcPr>
          <w:p w14:paraId="5D8C5C6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bCs/>
                <w:sz w:val="21"/>
                <w:szCs w:val="21"/>
                <w:highlight w:val="none"/>
                <w:vertAlign w:val="baseline"/>
                <w:lang w:val="en-US" w:eastAsia="zh-CN"/>
              </w:rPr>
            </w:pPr>
            <w:r>
              <w:rPr>
                <w:rFonts w:hint="eastAsia"/>
                <w:b/>
                <w:bCs/>
                <w:sz w:val="21"/>
                <w:szCs w:val="21"/>
                <w:highlight w:val="none"/>
                <w:vertAlign w:val="baseline"/>
                <w:lang w:val="en-US" w:eastAsia="zh-CN"/>
              </w:rPr>
              <w:t>0.844</w:t>
            </w:r>
          </w:p>
        </w:tc>
        <w:tc>
          <w:tcPr>
            <w:tcW w:w="855" w:type="dxa"/>
            <w:vAlign w:val="center"/>
          </w:tcPr>
          <w:p w14:paraId="6919EDB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ND</w:t>
            </w:r>
          </w:p>
        </w:tc>
        <w:tc>
          <w:tcPr>
            <w:tcW w:w="794" w:type="dxa"/>
            <w:vAlign w:val="center"/>
          </w:tcPr>
          <w:p w14:paraId="03A614B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0.0190</w:t>
            </w:r>
          </w:p>
        </w:tc>
        <w:tc>
          <w:tcPr>
            <w:tcW w:w="970" w:type="dxa"/>
            <w:vAlign w:val="center"/>
          </w:tcPr>
          <w:p w14:paraId="5F0DB83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0.00002</w:t>
            </w:r>
          </w:p>
        </w:tc>
        <w:tc>
          <w:tcPr>
            <w:tcW w:w="880" w:type="dxa"/>
            <w:vAlign w:val="center"/>
          </w:tcPr>
          <w:p w14:paraId="293931A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ND</w:t>
            </w:r>
          </w:p>
        </w:tc>
        <w:tc>
          <w:tcPr>
            <w:tcW w:w="879" w:type="dxa"/>
            <w:vAlign w:val="center"/>
          </w:tcPr>
          <w:p w14:paraId="1E1BC4E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ND</w:t>
            </w:r>
          </w:p>
        </w:tc>
      </w:tr>
      <w:tr w14:paraId="5EC1230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039" w:type="dxa"/>
            <w:shd w:val="clear" w:color="auto" w:fill="auto"/>
            <w:vAlign w:val="center"/>
          </w:tcPr>
          <w:p w14:paraId="3AD584B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default" w:ascii="Times New Roman" w:hAnsi="Times New Roman" w:cs="Times New Roman"/>
                <w:sz w:val="21"/>
                <w:szCs w:val="21"/>
                <w:highlight w:val="none"/>
                <w:vertAlign w:val="baseline"/>
                <w:lang w:val="en-US" w:eastAsia="zh-CN"/>
              </w:rPr>
              <w:t>南尧村1</w:t>
            </w:r>
            <w:r>
              <w:rPr>
                <w:rFonts w:hint="eastAsia" w:cs="Times New Roman"/>
                <w:sz w:val="21"/>
                <w:szCs w:val="21"/>
                <w:highlight w:val="none"/>
                <w:vertAlign w:val="baseline"/>
                <w:lang w:val="en-US" w:eastAsia="zh-CN"/>
              </w:rPr>
              <w:t>#</w:t>
            </w:r>
            <w:r>
              <w:rPr>
                <w:rFonts w:hint="default" w:ascii="Times New Roman" w:hAnsi="Times New Roman" w:cs="Times New Roman"/>
                <w:sz w:val="21"/>
                <w:szCs w:val="21"/>
                <w:highlight w:val="none"/>
                <w:vertAlign w:val="baseline"/>
                <w:lang w:val="en-US" w:eastAsia="zh-CN"/>
              </w:rPr>
              <w:t>废渣堆</w:t>
            </w:r>
            <w:r>
              <w:rPr>
                <w:rFonts w:hint="default" w:ascii="Times New Roman" w:hAnsi="Times New Roman" w:eastAsia="宋体" w:cs="Times New Roman"/>
                <w:sz w:val="21"/>
                <w:szCs w:val="21"/>
                <w:highlight w:val="none"/>
                <w:vertAlign w:val="baseline"/>
                <w:lang w:val="en-US" w:eastAsia="zh-CN"/>
              </w:rPr>
              <w:t>Ⅱ</w:t>
            </w:r>
            <w:r>
              <w:rPr>
                <w:rFonts w:hint="default" w:ascii="Times New Roman" w:hAnsi="Times New Roman" w:cs="Times New Roman"/>
                <w:sz w:val="21"/>
                <w:szCs w:val="21"/>
                <w:highlight w:val="none"/>
                <w:vertAlign w:val="baseline"/>
                <w:lang w:val="en-US" w:eastAsia="zh-CN"/>
              </w:rPr>
              <w:t>区</w:t>
            </w:r>
            <w:r>
              <w:rPr>
                <w:rFonts w:hint="eastAsia"/>
                <w:sz w:val="21"/>
                <w:szCs w:val="21"/>
                <w:highlight w:val="none"/>
                <w:vertAlign w:val="baseline"/>
                <w:lang w:val="en-US" w:eastAsia="zh-CN"/>
              </w:rPr>
              <w:t>ZK1-2</w:t>
            </w:r>
          </w:p>
        </w:tc>
        <w:tc>
          <w:tcPr>
            <w:tcW w:w="732" w:type="dxa"/>
            <w:vMerge w:val="continue"/>
            <w:vAlign w:val="center"/>
          </w:tcPr>
          <w:p w14:paraId="5D53214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p>
        </w:tc>
        <w:tc>
          <w:tcPr>
            <w:tcW w:w="1520" w:type="dxa"/>
            <w:vAlign w:val="center"/>
          </w:tcPr>
          <w:p w14:paraId="72882E5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灰色、固态</w:t>
            </w:r>
          </w:p>
        </w:tc>
        <w:tc>
          <w:tcPr>
            <w:tcW w:w="892" w:type="dxa"/>
            <w:vAlign w:val="center"/>
          </w:tcPr>
          <w:p w14:paraId="4556B19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7.67</w:t>
            </w:r>
          </w:p>
        </w:tc>
        <w:tc>
          <w:tcPr>
            <w:tcW w:w="702" w:type="dxa"/>
            <w:vAlign w:val="center"/>
          </w:tcPr>
          <w:p w14:paraId="030B7E2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ND</w:t>
            </w:r>
          </w:p>
        </w:tc>
        <w:tc>
          <w:tcPr>
            <w:tcW w:w="702" w:type="dxa"/>
            <w:vAlign w:val="center"/>
          </w:tcPr>
          <w:p w14:paraId="5E5AD92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ND</w:t>
            </w:r>
          </w:p>
        </w:tc>
        <w:tc>
          <w:tcPr>
            <w:tcW w:w="703" w:type="dxa"/>
            <w:vAlign w:val="center"/>
          </w:tcPr>
          <w:p w14:paraId="4CF7633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0.05</w:t>
            </w:r>
          </w:p>
        </w:tc>
        <w:tc>
          <w:tcPr>
            <w:tcW w:w="703" w:type="dxa"/>
            <w:vAlign w:val="center"/>
          </w:tcPr>
          <w:p w14:paraId="14DFE95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0.06</w:t>
            </w:r>
          </w:p>
        </w:tc>
        <w:tc>
          <w:tcPr>
            <w:tcW w:w="794" w:type="dxa"/>
            <w:vAlign w:val="center"/>
          </w:tcPr>
          <w:p w14:paraId="6279B7F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bCs/>
                <w:sz w:val="21"/>
                <w:szCs w:val="21"/>
                <w:highlight w:val="none"/>
                <w:vertAlign w:val="baseline"/>
                <w:lang w:val="en-US" w:eastAsia="zh-CN"/>
              </w:rPr>
            </w:pPr>
            <w:r>
              <w:rPr>
                <w:rFonts w:hint="eastAsia"/>
                <w:b/>
                <w:bCs/>
                <w:sz w:val="21"/>
                <w:szCs w:val="21"/>
                <w:highlight w:val="none"/>
                <w:vertAlign w:val="baseline"/>
                <w:lang w:val="en-US" w:eastAsia="zh-CN"/>
              </w:rPr>
              <w:t>0.973</w:t>
            </w:r>
          </w:p>
        </w:tc>
        <w:tc>
          <w:tcPr>
            <w:tcW w:w="855" w:type="dxa"/>
            <w:vAlign w:val="center"/>
          </w:tcPr>
          <w:p w14:paraId="6F6AA83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ND</w:t>
            </w:r>
          </w:p>
        </w:tc>
        <w:tc>
          <w:tcPr>
            <w:tcW w:w="794" w:type="dxa"/>
            <w:vAlign w:val="center"/>
          </w:tcPr>
          <w:p w14:paraId="67B4A2F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0.0396</w:t>
            </w:r>
          </w:p>
        </w:tc>
        <w:tc>
          <w:tcPr>
            <w:tcW w:w="970" w:type="dxa"/>
            <w:vAlign w:val="center"/>
          </w:tcPr>
          <w:p w14:paraId="0071BE6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0.00002</w:t>
            </w:r>
          </w:p>
        </w:tc>
        <w:tc>
          <w:tcPr>
            <w:tcW w:w="880" w:type="dxa"/>
            <w:vAlign w:val="center"/>
          </w:tcPr>
          <w:p w14:paraId="2876556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ND</w:t>
            </w:r>
          </w:p>
        </w:tc>
        <w:tc>
          <w:tcPr>
            <w:tcW w:w="879" w:type="dxa"/>
            <w:vAlign w:val="center"/>
          </w:tcPr>
          <w:p w14:paraId="40A3202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ND</w:t>
            </w:r>
          </w:p>
        </w:tc>
      </w:tr>
      <w:tr w14:paraId="45E8FD8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039" w:type="dxa"/>
            <w:shd w:val="clear" w:color="auto" w:fill="auto"/>
            <w:vAlign w:val="center"/>
          </w:tcPr>
          <w:p w14:paraId="43305E7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default" w:ascii="Times New Roman" w:hAnsi="Times New Roman" w:cs="Times New Roman"/>
                <w:sz w:val="21"/>
                <w:szCs w:val="21"/>
                <w:highlight w:val="none"/>
                <w:vertAlign w:val="baseline"/>
                <w:lang w:val="en-US" w:eastAsia="zh-CN"/>
              </w:rPr>
              <w:t>南尧村1</w:t>
            </w:r>
            <w:r>
              <w:rPr>
                <w:rFonts w:hint="eastAsia" w:cs="Times New Roman"/>
                <w:sz w:val="21"/>
                <w:szCs w:val="21"/>
                <w:highlight w:val="none"/>
                <w:vertAlign w:val="baseline"/>
                <w:lang w:val="en-US" w:eastAsia="zh-CN"/>
              </w:rPr>
              <w:t>#</w:t>
            </w:r>
            <w:r>
              <w:rPr>
                <w:rFonts w:hint="default" w:ascii="Times New Roman" w:hAnsi="Times New Roman" w:cs="Times New Roman"/>
                <w:sz w:val="21"/>
                <w:szCs w:val="21"/>
                <w:highlight w:val="none"/>
                <w:vertAlign w:val="baseline"/>
                <w:lang w:val="en-US" w:eastAsia="zh-CN"/>
              </w:rPr>
              <w:t>废渣堆</w:t>
            </w:r>
            <w:r>
              <w:rPr>
                <w:rFonts w:hint="default" w:ascii="Times New Roman" w:hAnsi="Times New Roman" w:eastAsia="宋体" w:cs="Times New Roman"/>
                <w:sz w:val="21"/>
                <w:szCs w:val="21"/>
                <w:highlight w:val="none"/>
                <w:vertAlign w:val="baseline"/>
                <w:lang w:val="en-US" w:eastAsia="zh-CN"/>
              </w:rPr>
              <w:t>Ⅱ</w:t>
            </w:r>
            <w:r>
              <w:rPr>
                <w:rFonts w:hint="default" w:ascii="Times New Roman" w:hAnsi="Times New Roman" w:cs="Times New Roman"/>
                <w:sz w:val="21"/>
                <w:szCs w:val="21"/>
                <w:highlight w:val="none"/>
                <w:vertAlign w:val="baseline"/>
                <w:lang w:val="en-US" w:eastAsia="zh-CN"/>
              </w:rPr>
              <w:t>区</w:t>
            </w:r>
            <w:r>
              <w:rPr>
                <w:rFonts w:hint="eastAsia"/>
                <w:sz w:val="21"/>
                <w:szCs w:val="21"/>
                <w:highlight w:val="none"/>
                <w:vertAlign w:val="baseline"/>
                <w:lang w:val="en-US" w:eastAsia="zh-CN"/>
              </w:rPr>
              <w:t>ZK1-3</w:t>
            </w:r>
          </w:p>
        </w:tc>
        <w:tc>
          <w:tcPr>
            <w:tcW w:w="732" w:type="dxa"/>
            <w:vMerge w:val="continue"/>
            <w:vAlign w:val="center"/>
          </w:tcPr>
          <w:p w14:paraId="3431E1B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p>
        </w:tc>
        <w:tc>
          <w:tcPr>
            <w:tcW w:w="1520" w:type="dxa"/>
            <w:vAlign w:val="center"/>
          </w:tcPr>
          <w:p w14:paraId="460E3C5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灰色、固态</w:t>
            </w:r>
          </w:p>
        </w:tc>
        <w:tc>
          <w:tcPr>
            <w:tcW w:w="892" w:type="dxa"/>
            <w:vAlign w:val="center"/>
          </w:tcPr>
          <w:p w14:paraId="1EAD2F3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7.89</w:t>
            </w:r>
          </w:p>
        </w:tc>
        <w:tc>
          <w:tcPr>
            <w:tcW w:w="702" w:type="dxa"/>
            <w:vAlign w:val="center"/>
          </w:tcPr>
          <w:p w14:paraId="287ABB2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ND</w:t>
            </w:r>
          </w:p>
        </w:tc>
        <w:tc>
          <w:tcPr>
            <w:tcW w:w="702" w:type="dxa"/>
            <w:vAlign w:val="center"/>
          </w:tcPr>
          <w:p w14:paraId="7F54254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ND</w:t>
            </w:r>
          </w:p>
        </w:tc>
        <w:tc>
          <w:tcPr>
            <w:tcW w:w="703" w:type="dxa"/>
            <w:vAlign w:val="center"/>
          </w:tcPr>
          <w:p w14:paraId="7A4E772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0.07</w:t>
            </w:r>
          </w:p>
        </w:tc>
        <w:tc>
          <w:tcPr>
            <w:tcW w:w="703" w:type="dxa"/>
            <w:vAlign w:val="center"/>
          </w:tcPr>
          <w:p w14:paraId="69D2FD1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0.05</w:t>
            </w:r>
          </w:p>
        </w:tc>
        <w:tc>
          <w:tcPr>
            <w:tcW w:w="794" w:type="dxa"/>
            <w:vAlign w:val="center"/>
          </w:tcPr>
          <w:p w14:paraId="1B8CECC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bCs/>
                <w:sz w:val="21"/>
                <w:szCs w:val="21"/>
                <w:highlight w:val="none"/>
                <w:vertAlign w:val="baseline"/>
                <w:lang w:val="en-US" w:eastAsia="zh-CN"/>
              </w:rPr>
            </w:pPr>
            <w:r>
              <w:rPr>
                <w:rFonts w:hint="eastAsia"/>
                <w:b/>
                <w:bCs/>
                <w:sz w:val="21"/>
                <w:szCs w:val="21"/>
                <w:highlight w:val="none"/>
                <w:vertAlign w:val="baseline"/>
                <w:lang w:val="en-US" w:eastAsia="zh-CN"/>
              </w:rPr>
              <w:t>1.12</w:t>
            </w:r>
          </w:p>
        </w:tc>
        <w:tc>
          <w:tcPr>
            <w:tcW w:w="855" w:type="dxa"/>
            <w:vAlign w:val="center"/>
          </w:tcPr>
          <w:p w14:paraId="1B1CD1C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ND</w:t>
            </w:r>
          </w:p>
        </w:tc>
        <w:tc>
          <w:tcPr>
            <w:tcW w:w="794" w:type="dxa"/>
            <w:vAlign w:val="center"/>
          </w:tcPr>
          <w:p w14:paraId="29404D2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0.0237</w:t>
            </w:r>
          </w:p>
        </w:tc>
        <w:tc>
          <w:tcPr>
            <w:tcW w:w="970" w:type="dxa"/>
            <w:vAlign w:val="center"/>
          </w:tcPr>
          <w:p w14:paraId="2411238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ND</w:t>
            </w:r>
          </w:p>
        </w:tc>
        <w:tc>
          <w:tcPr>
            <w:tcW w:w="880" w:type="dxa"/>
            <w:vAlign w:val="center"/>
          </w:tcPr>
          <w:p w14:paraId="1CECC39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ND</w:t>
            </w:r>
          </w:p>
        </w:tc>
        <w:tc>
          <w:tcPr>
            <w:tcW w:w="879" w:type="dxa"/>
            <w:vAlign w:val="center"/>
          </w:tcPr>
          <w:p w14:paraId="204B97A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ND</w:t>
            </w:r>
          </w:p>
        </w:tc>
      </w:tr>
      <w:tr w14:paraId="7779452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039" w:type="dxa"/>
            <w:shd w:val="clear" w:color="auto" w:fill="auto"/>
            <w:vAlign w:val="center"/>
          </w:tcPr>
          <w:p w14:paraId="74D182D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default" w:ascii="Times New Roman" w:hAnsi="Times New Roman" w:cs="Times New Roman"/>
                <w:sz w:val="21"/>
                <w:szCs w:val="21"/>
                <w:highlight w:val="none"/>
                <w:vertAlign w:val="baseline"/>
                <w:lang w:val="en-US" w:eastAsia="zh-CN"/>
              </w:rPr>
              <w:t>南尧村1</w:t>
            </w:r>
            <w:r>
              <w:rPr>
                <w:rFonts w:hint="eastAsia" w:cs="Times New Roman"/>
                <w:sz w:val="21"/>
                <w:szCs w:val="21"/>
                <w:highlight w:val="none"/>
                <w:vertAlign w:val="baseline"/>
                <w:lang w:val="en-US" w:eastAsia="zh-CN"/>
              </w:rPr>
              <w:t>#</w:t>
            </w:r>
            <w:r>
              <w:rPr>
                <w:rFonts w:hint="default" w:ascii="Times New Roman" w:hAnsi="Times New Roman" w:cs="Times New Roman"/>
                <w:sz w:val="21"/>
                <w:szCs w:val="21"/>
                <w:highlight w:val="none"/>
                <w:vertAlign w:val="baseline"/>
                <w:lang w:val="en-US" w:eastAsia="zh-CN"/>
              </w:rPr>
              <w:t>废渣堆</w:t>
            </w:r>
            <w:r>
              <w:rPr>
                <w:rFonts w:hint="default" w:ascii="Times New Roman" w:hAnsi="Times New Roman" w:eastAsia="宋体" w:cs="Times New Roman"/>
                <w:sz w:val="21"/>
                <w:szCs w:val="21"/>
                <w:highlight w:val="none"/>
                <w:vertAlign w:val="baseline"/>
                <w:lang w:val="en-US" w:eastAsia="zh-CN"/>
              </w:rPr>
              <w:t>Ⅱ</w:t>
            </w:r>
            <w:r>
              <w:rPr>
                <w:rFonts w:hint="default" w:ascii="Times New Roman" w:hAnsi="Times New Roman" w:cs="Times New Roman"/>
                <w:sz w:val="21"/>
                <w:szCs w:val="21"/>
                <w:highlight w:val="none"/>
                <w:vertAlign w:val="baseline"/>
                <w:lang w:val="en-US" w:eastAsia="zh-CN"/>
              </w:rPr>
              <w:t>区</w:t>
            </w:r>
            <w:r>
              <w:rPr>
                <w:rFonts w:hint="eastAsia"/>
                <w:sz w:val="21"/>
                <w:szCs w:val="21"/>
                <w:highlight w:val="none"/>
                <w:vertAlign w:val="baseline"/>
                <w:lang w:val="en-US" w:eastAsia="zh-CN"/>
              </w:rPr>
              <w:t>ZK1-4</w:t>
            </w:r>
          </w:p>
        </w:tc>
        <w:tc>
          <w:tcPr>
            <w:tcW w:w="732" w:type="dxa"/>
            <w:vMerge w:val="continue"/>
            <w:vAlign w:val="center"/>
          </w:tcPr>
          <w:p w14:paraId="2E937E7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p>
        </w:tc>
        <w:tc>
          <w:tcPr>
            <w:tcW w:w="1520" w:type="dxa"/>
            <w:vAlign w:val="center"/>
          </w:tcPr>
          <w:p w14:paraId="088F9A5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灰色、固态</w:t>
            </w:r>
          </w:p>
        </w:tc>
        <w:tc>
          <w:tcPr>
            <w:tcW w:w="892" w:type="dxa"/>
            <w:vAlign w:val="center"/>
          </w:tcPr>
          <w:p w14:paraId="04D6E6C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7.64</w:t>
            </w:r>
          </w:p>
        </w:tc>
        <w:tc>
          <w:tcPr>
            <w:tcW w:w="702" w:type="dxa"/>
            <w:vAlign w:val="center"/>
          </w:tcPr>
          <w:p w14:paraId="40C3500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ND</w:t>
            </w:r>
          </w:p>
        </w:tc>
        <w:tc>
          <w:tcPr>
            <w:tcW w:w="702" w:type="dxa"/>
            <w:vAlign w:val="center"/>
          </w:tcPr>
          <w:p w14:paraId="6457782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ND</w:t>
            </w:r>
          </w:p>
        </w:tc>
        <w:tc>
          <w:tcPr>
            <w:tcW w:w="703" w:type="dxa"/>
            <w:vAlign w:val="center"/>
          </w:tcPr>
          <w:p w14:paraId="29A2AD8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0.03</w:t>
            </w:r>
          </w:p>
        </w:tc>
        <w:tc>
          <w:tcPr>
            <w:tcW w:w="703" w:type="dxa"/>
            <w:vAlign w:val="center"/>
          </w:tcPr>
          <w:p w14:paraId="12A3C4E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0.06</w:t>
            </w:r>
          </w:p>
        </w:tc>
        <w:tc>
          <w:tcPr>
            <w:tcW w:w="794" w:type="dxa"/>
            <w:vAlign w:val="center"/>
          </w:tcPr>
          <w:p w14:paraId="43201DB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bCs/>
                <w:sz w:val="21"/>
                <w:szCs w:val="21"/>
                <w:highlight w:val="none"/>
                <w:vertAlign w:val="baseline"/>
                <w:lang w:val="en-US" w:eastAsia="zh-CN"/>
              </w:rPr>
            </w:pPr>
            <w:r>
              <w:rPr>
                <w:rFonts w:hint="eastAsia"/>
                <w:b/>
                <w:bCs/>
                <w:sz w:val="21"/>
                <w:szCs w:val="21"/>
                <w:highlight w:val="none"/>
                <w:vertAlign w:val="baseline"/>
                <w:lang w:val="en-US" w:eastAsia="zh-CN"/>
              </w:rPr>
              <w:t>0.607</w:t>
            </w:r>
          </w:p>
        </w:tc>
        <w:tc>
          <w:tcPr>
            <w:tcW w:w="855" w:type="dxa"/>
            <w:vAlign w:val="center"/>
          </w:tcPr>
          <w:p w14:paraId="78DFB67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ND</w:t>
            </w:r>
          </w:p>
        </w:tc>
        <w:tc>
          <w:tcPr>
            <w:tcW w:w="794" w:type="dxa"/>
            <w:vAlign w:val="center"/>
          </w:tcPr>
          <w:p w14:paraId="4527E3D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0.0099</w:t>
            </w:r>
          </w:p>
        </w:tc>
        <w:tc>
          <w:tcPr>
            <w:tcW w:w="970" w:type="dxa"/>
            <w:vAlign w:val="center"/>
          </w:tcPr>
          <w:p w14:paraId="6CE472E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ND</w:t>
            </w:r>
          </w:p>
        </w:tc>
        <w:tc>
          <w:tcPr>
            <w:tcW w:w="880" w:type="dxa"/>
            <w:vAlign w:val="center"/>
          </w:tcPr>
          <w:p w14:paraId="479128F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ND</w:t>
            </w:r>
          </w:p>
        </w:tc>
        <w:tc>
          <w:tcPr>
            <w:tcW w:w="879" w:type="dxa"/>
            <w:vAlign w:val="center"/>
          </w:tcPr>
          <w:p w14:paraId="0F4F754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ND</w:t>
            </w:r>
          </w:p>
        </w:tc>
      </w:tr>
      <w:tr w14:paraId="33ABFA9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039" w:type="dxa"/>
            <w:shd w:val="clear" w:color="auto" w:fill="auto"/>
            <w:vAlign w:val="center"/>
          </w:tcPr>
          <w:p w14:paraId="7A70AA3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default" w:ascii="Times New Roman" w:hAnsi="Times New Roman" w:cs="Times New Roman"/>
                <w:sz w:val="21"/>
                <w:szCs w:val="21"/>
                <w:highlight w:val="none"/>
                <w:vertAlign w:val="baseline"/>
                <w:lang w:val="en-US" w:eastAsia="zh-CN"/>
              </w:rPr>
              <w:t>南尧村1</w:t>
            </w:r>
            <w:r>
              <w:rPr>
                <w:rFonts w:hint="eastAsia" w:cs="Times New Roman"/>
                <w:sz w:val="21"/>
                <w:szCs w:val="21"/>
                <w:highlight w:val="none"/>
                <w:vertAlign w:val="baseline"/>
                <w:lang w:val="en-US" w:eastAsia="zh-CN"/>
              </w:rPr>
              <w:t>#</w:t>
            </w:r>
            <w:r>
              <w:rPr>
                <w:rFonts w:hint="default" w:ascii="Times New Roman" w:hAnsi="Times New Roman" w:cs="Times New Roman"/>
                <w:sz w:val="21"/>
                <w:szCs w:val="21"/>
                <w:highlight w:val="none"/>
                <w:vertAlign w:val="baseline"/>
                <w:lang w:val="en-US" w:eastAsia="zh-CN"/>
              </w:rPr>
              <w:t>废渣堆</w:t>
            </w:r>
            <w:r>
              <w:rPr>
                <w:rFonts w:hint="default" w:ascii="Times New Roman" w:hAnsi="Times New Roman" w:eastAsia="宋体" w:cs="Times New Roman"/>
                <w:sz w:val="21"/>
                <w:szCs w:val="21"/>
                <w:highlight w:val="none"/>
                <w:vertAlign w:val="baseline"/>
                <w:lang w:val="en-US" w:eastAsia="zh-CN"/>
              </w:rPr>
              <w:t>Ⅰ</w:t>
            </w:r>
            <w:r>
              <w:rPr>
                <w:rFonts w:hint="default" w:ascii="Times New Roman" w:hAnsi="Times New Roman" w:cs="Times New Roman"/>
                <w:sz w:val="21"/>
                <w:szCs w:val="21"/>
                <w:highlight w:val="none"/>
                <w:vertAlign w:val="baseline"/>
                <w:lang w:val="en-US" w:eastAsia="zh-CN"/>
              </w:rPr>
              <w:t>区</w:t>
            </w:r>
            <w:r>
              <w:rPr>
                <w:rFonts w:hint="eastAsia"/>
                <w:sz w:val="21"/>
                <w:szCs w:val="21"/>
                <w:highlight w:val="none"/>
                <w:vertAlign w:val="baseline"/>
                <w:lang w:val="en-US" w:eastAsia="zh-CN"/>
              </w:rPr>
              <w:t>ZK1-5</w:t>
            </w:r>
          </w:p>
        </w:tc>
        <w:tc>
          <w:tcPr>
            <w:tcW w:w="732" w:type="dxa"/>
            <w:vMerge w:val="continue"/>
            <w:vAlign w:val="center"/>
          </w:tcPr>
          <w:p w14:paraId="1D7F1D1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p>
        </w:tc>
        <w:tc>
          <w:tcPr>
            <w:tcW w:w="1520" w:type="dxa"/>
            <w:vAlign w:val="center"/>
          </w:tcPr>
          <w:p w14:paraId="15AF754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黄棕色、固态</w:t>
            </w:r>
          </w:p>
        </w:tc>
        <w:tc>
          <w:tcPr>
            <w:tcW w:w="892" w:type="dxa"/>
            <w:vAlign w:val="center"/>
          </w:tcPr>
          <w:p w14:paraId="284AED4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8.10</w:t>
            </w:r>
          </w:p>
        </w:tc>
        <w:tc>
          <w:tcPr>
            <w:tcW w:w="702" w:type="dxa"/>
            <w:vAlign w:val="center"/>
          </w:tcPr>
          <w:p w14:paraId="5FB4516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ND</w:t>
            </w:r>
          </w:p>
        </w:tc>
        <w:tc>
          <w:tcPr>
            <w:tcW w:w="702" w:type="dxa"/>
            <w:vAlign w:val="center"/>
          </w:tcPr>
          <w:p w14:paraId="362CAAA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ND</w:t>
            </w:r>
          </w:p>
        </w:tc>
        <w:tc>
          <w:tcPr>
            <w:tcW w:w="703" w:type="dxa"/>
            <w:vAlign w:val="center"/>
          </w:tcPr>
          <w:p w14:paraId="4C2AFE1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ND</w:t>
            </w:r>
          </w:p>
        </w:tc>
        <w:tc>
          <w:tcPr>
            <w:tcW w:w="703" w:type="dxa"/>
            <w:vAlign w:val="center"/>
          </w:tcPr>
          <w:p w14:paraId="561DAD6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0.21</w:t>
            </w:r>
          </w:p>
        </w:tc>
        <w:tc>
          <w:tcPr>
            <w:tcW w:w="794" w:type="dxa"/>
            <w:vAlign w:val="center"/>
          </w:tcPr>
          <w:p w14:paraId="5666309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bCs/>
                <w:sz w:val="21"/>
                <w:szCs w:val="21"/>
                <w:highlight w:val="none"/>
                <w:vertAlign w:val="baseline"/>
                <w:lang w:val="en-US" w:eastAsia="zh-CN"/>
              </w:rPr>
            </w:pPr>
            <w:r>
              <w:rPr>
                <w:rFonts w:hint="eastAsia"/>
                <w:b/>
                <w:bCs/>
                <w:sz w:val="21"/>
                <w:szCs w:val="21"/>
                <w:highlight w:val="none"/>
                <w:vertAlign w:val="baseline"/>
                <w:lang w:val="en-US" w:eastAsia="zh-CN"/>
              </w:rPr>
              <w:t>0.753</w:t>
            </w:r>
          </w:p>
        </w:tc>
        <w:tc>
          <w:tcPr>
            <w:tcW w:w="855" w:type="dxa"/>
            <w:vAlign w:val="center"/>
          </w:tcPr>
          <w:p w14:paraId="3B558C6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ND</w:t>
            </w:r>
          </w:p>
        </w:tc>
        <w:tc>
          <w:tcPr>
            <w:tcW w:w="794" w:type="dxa"/>
            <w:vAlign w:val="center"/>
          </w:tcPr>
          <w:p w14:paraId="17A7166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0.0054</w:t>
            </w:r>
          </w:p>
        </w:tc>
        <w:tc>
          <w:tcPr>
            <w:tcW w:w="970" w:type="dxa"/>
            <w:vAlign w:val="center"/>
          </w:tcPr>
          <w:p w14:paraId="37D3DF5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0.00002</w:t>
            </w:r>
          </w:p>
        </w:tc>
        <w:tc>
          <w:tcPr>
            <w:tcW w:w="880" w:type="dxa"/>
            <w:vAlign w:val="center"/>
          </w:tcPr>
          <w:p w14:paraId="7764A08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ND</w:t>
            </w:r>
          </w:p>
        </w:tc>
        <w:tc>
          <w:tcPr>
            <w:tcW w:w="879" w:type="dxa"/>
            <w:vAlign w:val="center"/>
          </w:tcPr>
          <w:p w14:paraId="51E1B43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ND</w:t>
            </w:r>
          </w:p>
        </w:tc>
      </w:tr>
      <w:tr w14:paraId="6E31074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039" w:type="dxa"/>
            <w:shd w:val="clear" w:color="auto" w:fill="auto"/>
            <w:vAlign w:val="center"/>
          </w:tcPr>
          <w:p w14:paraId="6FF4573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default" w:ascii="Times New Roman" w:hAnsi="Times New Roman" w:cs="Times New Roman"/>
                <w:sz w:val="21"/>
                <w:szCs w:val="21"/>
                <w:highlight w:val="none"/>
                <w:vertAlign w:val="baseline"/>
                <w:lang w:val="en-US" w:eastAsia="zh-CN"/>
              </w:rPr>
              <w:t>南尧村2#废渣堆</w:t>
            </w:r>
            <w:r>
              <w:rPr>
                <w:rFonts w:hint="default" w:ascii="Times New Roman" w:hAnsi="Times New Roman" w:eastAsia="宋体" w:cs="Times New Roman"/>
                <w:sz w:val="21"/>
                <w:szCs w:val="21"/>
                <w:highlight w:val="none"/>
                <w:vertAlign w:val="baseline"/>
                <w:lang w:val="en-US" w:eastAsia="zh-CN"/>
              </w:rPr>
              <w:t>Ⅳ</w:t>
            </w:r>
            <w:r>
              <w:rPr>
                <w:rFonts w:hint="default" w:ascii="Times New Roman" w:hAnsi="Times New Roman" w:cs="Times New Roman"/>
                <w:sz w:val="21"/>
                <w:szCs w:val="21"/>
                <w:highlight w:val="none"/>
                <w:vertAlign w:val="baseline"/>
                <w:lang w:val="en-US" w:eastAsia="zh-CN"/>
              </w:rPr>
              <w:t>区ZK2-1</w:t>
            </w:r>
          </w:p>
        </w:tc>
        <w:tc>
          <w:tcPr>
            <w:tcW w:w="732" w:type="dxa"/>
            <w:vMerge w:val="restart"/>
            <w:vAlign w:val="center"/>
          </w:tcPr>
          <w:p w14:paraId="39C48C1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2022.7.1</w:t>
            </w:r>
          </w:p>
        </w:tc>
        <w:tc>
          <w:tcPr>
            <w:tcW w:w="1520" w:type="dxa"/>
            <w:vAlign w:val="center"/>
          </w:tcPr>
          <w:p w14:paraId="622E96E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红棕色、固态</w:t>
            </w:r>
          </w:p>
        </w:tc>
        <w:tc>
          <w:tcPr>
            <w:tcW w:w="892" w:type="dxa"/>
            <w:vAlign w:val="center"/>
          </w:tcPr>
          <w:p w14:paraId="436130A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8.86</w:t>
            </w:r>
          </w:p>
        </w:tc>
        <w:tc>
          <w:tcPr>
            <w:tcW w:w="702" w:type="dxa"/>
            <w:vAlign w:val="center"/>
          </w:tcPr>
          <w:p w14:paraId="383C22A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ND</w:t>
            </w:r>
          </w:p>
        </w:tc>
        <w:tc>
          <w:tcPr>
            <w:tcW w:w="702" w:type="dxa"/>
            <w:vAlign w:val="center"/>
          </w:tcPr>
          <w:p w14:paraId="6500397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ND</w:t>
            </w:r>
          </w:p>
        </w:tc>
        <w:tc>
          <w:tcPr>
            <w:tcW w:w="703" w:type="dxa"/>
            <w:vAlign w:val="center"/>
          </w:tcPr>
          <w:p w14:paraId="7D92EA0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ND</w:t>
            </w:r>
          </w:p>
        </w:tc>
        <w:tc>
          <w:tcPr>
            <w:tcW w:w="703" w:type="dxa"/>
            <w:vAlign w:val="center"/>
          </w:tcPr>
          <w:p w14:paraId="124B908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0.06</w:t>
            </w:r>
          </w:p>
        </w:tc>
        <w:tc>
          <w:tcPr>
            <w:tcW w:w="794" w:type="dxa"/>
            <w:vAlign w:val="center"/>
          </w:tcPr>
          <w:p w14:paraId="4E06C8B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bCs/>
                <w:sz w:val="21"/>
                <w:szCs w:val="21"/>
                <w:highlight w:val="none"/>
                <w:vertAlign w:val="baseline"/>
                <w:lang w:val="en-US" w:eastAsia="zh-CN"/>
              </w:rPr>
            </w:pPr>
            <w:r>
              <w:rPr>
                <w:rFonts w:hint="eastAsia"/>
                <w:b/>
                <w:bCs/>
                <w:sz w:val="21"/>
                <w:szCs w:val="21"/>
                <w:highlight w:val="none"/>
                <w:vertAlign w:val="baseline"/>
                <w:lang w:val="en-US" w:eastAsia="zh-CN"/>
              </w:rPr>
              <w:t>2.48</w:t>
            </w:r>
          </w:p>
        </w:tc>
        <w:tc>
          <w:tcPr>
            <w:tcW w:w="855" w:type="dxa"/>
            <w:vAlign w:val="center"/>
          </w:tcPr>
          <w:p w14:paraId="566AC57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ND</w:t>
            </w:r>
          </w:p>
        </w:tc>
        <w:tc>
          <w:tcPr>
            <w:tcW w:w="794" w:type="dxa"/>
            <w:vAlign w:val="center"/>
          </w:tcPr>
          <w:p w14:paraId="62FCA12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ND</w:t>
            </w:r>
          </w:p>
        </w:tc>
        <w:tc>
          <w:tcPr>
            <w:tcW w:w="970" w:type="dxa"/>
            <w:vAlign w:val="center"/>
          </w:tcPr>
          <w:p w14:paraId="6E98158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ND</w:t>
            </w:r>
          </w:p>
        </w:tc>
        <w:tc>
          <w:tcPr>
            <w:tcW w:w="880" w:type="dxa"/>
            <w:vAlign w:val="center"/>
          </w:tcPr>
          <w:p w14:paraId="0C124CD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ND</w:t>
            </w:r>
          </w:p>
        </w:tc>
        <w:tc>
          <w:tcPr>
            <w:tcW w:w="879" w:type="dxa"/>
            <w:vAlign w:val="center"/>
          </w:tcPr>
          <w:p w14:paraId="4FF752E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ND</w:t>
            </w:r>
          </w:p>
        </w:tc>
      </w:tr>
      <w:tr w14:paraId="2234743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039" w:type="dxa"/>
            <w:shd w:val="clear" w:color="auto" w:fill="auto"/>
            <w:vAlign w:val="center"/>
          </w:tcPr>
          <w:p w14:paraId="4A27674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default" w:ascii="Times New Roman" w:hAnsi="Times New Roman" w:cs="Times New Roman"/>
                <w:sz w:val="21"/>
                <w:szCs w:val="21"/>
                <w:highlight w:val="none"/>
                <w:vertAlign w:val="baseline"/>
                <w:lang w:val="en-US" w:eastAsia="zh-CN"/>
              </w:rPr>
              <w:t>南尧村2#废渣堆</w:t>
            </w:r>
            <w:r>
              <w:rPr>
                <w:rFonts w:hint="default" w:ascii="Times New Roman" w:hAnsi="Times New Roman" w:eastAsia="宋体" w:cs="Times New Roman"/>
                <w:sz w:val="21"/>
                <w:szCs w:val="21"/>
                <w:highlight w:val="none"/>
                <w:vertAlign w:val="baseline"/>
                <w:lang w:val="en-US" w:eastAsia="zh-CN"/>
              </w:rPr>
              <w:t>Ⅵ</w:t>
            </w:r>
            <w:r>
              <w:rPr>
                <w:rFonts w:hint="default" w:ascii="Times New Roman" w:hAnsi="Times New Roman" w:cs="Times New Roman"/>
                <w:sz w:val="21"/>
                <w:szCs w:val="21"/>
                <w:highlight w:val="none"/>
                <w:vertAlign w:val="baseline"/>
                <w:lang w:val="en-US" w:eastAsia="zh-CN"/>
              </w:rPr>
              <w:t>区ZK2-2</w:t>
            </w:r>
          </w:p>
        </w:tc>
        <w:tc>
          <w:tcPr>
            <w:tcW w:w="732" w:type="dxa"/>
            <w:vMerge w:val="continue"/>
            <w:vAlign w:val="center"/>
          </w:tcPr>
          <w:p w14:paraId="6BDFF2F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p>
        </w:tc>
        <w:tc>
          <w:tcPr>
            <w:tcW w:w="1520" w:type="dxa"/>
            <w:vAlign w:val="center"/>
          </w:tcPr>
          <w:p w14:paraId="2FD438A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灰色、固态</w:t>
            </w:r>
          </w:p>
        </w:tc>
        <w:tc>
          <w:tcPr>
            <w:tcW w:w="892" w:type="dxa"/>
            <w:vAlign w:val="center"/>
          </w:tcPr>
          <w:p w14:paraId="61DA1E0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4.16</w:t>
            </w:r>
          </w:p>
        </w:tc>
        <w:tc>
          <w:tcPr>
            <w:tcW w:w="702" w:type="dxa"/>
            <w:vAlign w:val="center"/>
          </w:tcPr>
          <w:p w14:paraId="4574778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ND</w:t>
            </w:r>
          </w:p>
        </w:tc>
        <w:tc>
          <w:tcPr>
            <w:tcW w:w="702" w:type="dxa"/>
            <w:vAlign w:val="center"/>
          </w:tcPr>
          <w:p w14:paraId="4D39BC8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ND</w:t>
            </w:r>
          </w:p>
        </w:tc>
        <w:tc>
          <w:tcPr>
            <w:tcW w:w="703" w:type="dxa"/>
            <w:vAlign w:val="center"/>
          </w:tcPr>
          <w:p w14:paraId="5674B76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ND</w:t>
            </w:r>
          </w:p>
        </w:tc>
        <w:tc>
          <w:tcPr>
            <w:tcW w:w="703" w:type="dxa"/>
            <w:vAlign w:val="center"/>
          </w:tcPr>
          <w:p w14:paraId="44A57FB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0.06</w:t>
            </w:r>
          </w:p>
        </w:tc>
        <w:tc>
          <w:tcPr>
            <w:tcW w:w="794" w:type="dxa"/>
            <w:vAlign w:val="center"/>
          </w:tcPr>
          <w:p w14:paraId="789A4EF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bCs/>
                <w:sz w:val="21"/>
                <w:szCs w:val="21"/>
                <w:highlight w:val="none"/>
                <w:vertAlign w:val="baseline"/>
                <w:lang w:val="en-US" w:eastAsia="zh-CN"/>
              </w:rPr>
            </w:pPr>
            <w:r>
              <w:rPr>
                <w:rFonts w:hint="eastAsia"/>
                <w:b/>
                <w:bCs/>
                <w:sz w:val="21"/>
                <w:szCs w:val="21"/>
                <w:highlight w:val="none"/>
                <w:vertAlign w:val="baseline"/>
                <w:lang w:val="en-US" w:eastAsia="zh-CN"/>
              </w:rPr>
              <w:t>0.662</w:t>
            </w:r>
          </w:p>
        </w:tc>
        <w:tc>
          <w:tcPr>
            <w:tcW w:w="855" w:type="dxa"/>
            <w:vAlign w:val="center"/>
          </w:tcPr>
          <w:p w14:paraId="0029450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ND</w:t>
            </w:r>
          </w:p>
        </w:tc>
        <w:tc>
          <w:tcPr>
            <w:tcW w:w="794" w:type="dxa"/>
            <w:vAlign w:val="center"/>
          </w:tcPr>
          <w:p w14:paraId="19FD4AA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ND</w:t>
            </w:r>
          </w:p>
        </w:tc>
        <w:tc>
          <w:tcPr>
            <w:tcW w:w="970" w:type="dxa"/>
            <w:vAlign w:val="center"/>
          </w:tcPr>
          <w:p w14:paraId="7454F7F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ND</w:t>
            </w:r>
          </w:p>
        </w:tc>
        <w:tc>
          <w:tcPr>
            <w:tcW w:w="880" w:type="dxa"/>
            <w:shd w:val="clear" w:color="auto" w:fill="auto"/>
            <w:vAlign w:val="center"/>
          </w:tcPr>
          <w:p w14:paraId="1DA32E3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eastAsia" w:cs="Times New Roman"/>
                <w:kern w:val="2"/>
                <w:sz w:val="21"/>
                <w:szCs w:val="21"/>
                <w:highlight w:val="none"/>
                <w:vertAlign w:val="baseline"/>
                <w:lang w:val="en-US" w:eastAsia="zh-CN" w:bidi="ar-SA"/>
              </w:rPr>
              <w:t>ND</w:t>
            </w:r>
          </w:p>
        </w:tc>
        <w:tc>
          <w:tcPr>
            <w:tcW w:w="879" w:type="dxa"/>
            <w:shd w:val="clear" w:color="auto" w:fill="auto"/>
            <w:vAlign w:val="center"/>
          </w:tcPr>
          <w:p w14:paraId="040A870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eastAsia" w:cs="Times New Roman"/>
                <w:kern w:val="2"/>
                <w:sz w:val="21"/>
                <w:szCs w:val="21"/>
                <w:highlight w:val="none"/>
                <w:vertAlign w:val="baseline"/>
                <w:lang w:val="en-US" w:eastAsia="zh-CN" w:bidi="ar-SA"/>
              </w:rPr>
              <w:t>ND</w:t>
            </w:r>
          </w:p>
        </w:tc>
      </w:tr>
      <w:tr w14:paraId="0A42996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039" w:type="dxa"/>
            <w:shd w:val="clear" w:color="auto" w:fill="auto"/>
            <w:vAlign w:val="center"/>
          </w:tcPr>
          <w:p w14:paraId="00C40C2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default" w:ascii="Times New Roman" w:hAnsi="Times New Roman" w:cs="Times New Roman"/>
                <w:sz w:val="21"/>
                <w:szCs w:val="21"/>
                <w:highlight w:val="none"/>
                <w:vertAlign w:val="baseline"/>
                <w:lang w:val="en-US" w:eastAsia="zh-CN"/>
              </w:rPr>
              <w:t>南尧村2#废渣堆</w:t>
            </w:r>
            <w:r>
              <w:rPr>
                <w:rFonts w:hint="default" w:ascii="Times New Roman" w:hAnsi="Times New Roman" w:eastAsia="宋体" w:cs="Times New Roman"/>
                <w:sz w:val="21"/>
                <w:szCs w:val="21"/>
                <w:highlight w:val="none"/>
                <w:vertAlign w:val="baseline"/>
                <w:lang w:val="en-US" w:eastAsia="zh-CN"/>
              </w:rPr>
              <w:t>Ⅲ</w:t>
            </w:r>
            <w:r>
              <w:rPr>
                <w:rFonts w:hint="default" w:ascii="Times New Roman" w:hAnsi="Times New Roman" w:cs="Times New Roman"/>
                <w:sz w:val="21"/>
                <w:szCs w:val="21"/>
                <w:highlight w:val="none"/>
                <w:vertAlign w:val="baseline"/>
                <w:lang w:val="en-US" w:eastAsia="zh-CN"/>
              </w:rPr>
              <w:t>区ZK2-3</w:t>
            </w:r>
          </w:p>
        </w:tc>
        <w:tc>
          <w:tcPr>
            <w:tcW w:w="732" w:type="dxa"/>
            <w:vMerge w:val="continue"/>
            <w:vAlign w:val="center"/>
          </w:tcPr>
          <w:p w14:paraId="760D6A9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p>
        </w:tc>
        <w:tc>
          <w:tcPr>
            <w:tcW w:w="1520" w:type="dxa"/>
            <w:vAlign w:val="center"/>
          </w:tcPr>
          <w:p w14:paraId="447CAFD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红棕色、固态</w:t>
            </w:r>
          </w:p>
        </w:tc>
        <w:tc>
          <w:tcPr>
            <w:tcW w:w="892" w:type="dxa"/>
            <w:vAlign w:val="center"/>
          </w:tcPr>
          <w:p w14:paraId="7900DC8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8.60</w:t>
            </w:r>
          </w:p>
        </w:tc>
        <w:tc>
          <w:tcPr>
            <w:tcW w:w="702" w:type="dxa"/>
            <w:vAlign w:val="center"/>
          </w:tcPr>
          <w:p w14:paraId="4E03AF2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ND</w:t>
            </w:r>
          </w:p>
        </w:tc>
        <w:tc>
          <w:tcPr>
            <w:tcW w:w="702" w:type="dxa"/>
            <w:vAlign w:val="center"/>
          </w:tcPr>
          <w:p w14:paraId="19FD2D5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ND</w:t>
            </w:r>
          </w:p>
        </w:tc>
        <w:tc>
          <w:tcPr>
            <w:tcW w:w="703" w:type="dxa"/>
            <w:vAlign w:val="center"/>
          </w:tcPr>
          <w:p w14:paraId="7A49DEF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ND</w:t>
            </w:r>
          </w:p>
        </w:tc>
        <w:tc>
          <w:tcPr>
            <w:tcW w:w="703" w:type="dxa"/>
            <w:vAlign w:val="center"/>
          </w:tcPr>
          <w:p w14:paraId="6A8F2F9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0.04</w:t>
            </w:r>
          </w:p>
        </w:tc>
        <w:tc>
          <w:tcPr>
            <w:tcW w:w="794" w:type="dxa"/>
            <w:vAlign w:val="center"/>
          </w:tcPr>
          <w:p w14:paraId="36682A3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bCs/>
                <w:sz w:val="21"/>
                <w:szCs w:val="21"/>
                <w:highlight w:val="none"/>
                <w:vertAlign w:val="baseline"/>
                <w:lang w:val="en-US" w:eastAsia="zh-CN"/>
              </w:rPr>
            </w:pPr>
            <w:r>
              <w:rPr>
                <w:rFonts w:hint="eastAsia"/>
                <w:b/>
                <w:bCs/>
                <w:sz w:val="21"/>
                <w:szCs w:val="21"/>
                <w:highlight w:val="none"/>
                <w:vertAlign w:val="baseline"/>
                <w:lang w:val="en-US" w:eastAsia="zh-CN"/>
              </w:rPr>
              <w:t>0.722</w:t>
            </w:r>
          </w:p>
        </w:tc>
        <w:tc>
          <w:tcPr>
            <w:tcW w:w="855" w:type="dxa"/>
            <w:vAlign w:val="center"/>
          </w:tcPr>
          <w:p w14:paraId="5E41CF0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ND</w:t>
            </w:r>
          </w:p>
        </w:tc>
        <w:tc>
          <w:tcPr>
            <w:tcW w:w="794" w:type="dxa"/>
            <w:vAlign w:val="center"/>
          </w:tcPr>
          <w:p w14:paraId="34FAEA4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ND</w:t>
            </w:r>
          </w:p>
        </w:tc>
        <w:tc>
          <w:tcPr>
            <w:tcW w:w="970" w:type="dxa"/>
            <w:vAlign w:val="center"/>
          </w:tcPr>
          <w:p w14:paraId="6811785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ND</w:t>
            </w:r>
          </w:p>
        </w:tc>
        <w:tc>
          <w:tcPr>
            <w:tcW w:w="880" w:type="dxa"/>
            <w:shd w:val="clear" w:color="auto" w:fill="auto"/>
            <w:vAlign w:val="center"/>
          </w:tcPr>
          <w:p w14:paraId="3ED68DF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eastAsia" w:cs="Times New Roman"/>
                <w:kern w:val="2"/>
                <w:sz w:val="21"/>
                <w:szCs w:val="21"/>
                <w:highlight w:val="none"/>
                <w:vertAlign w:val="baseline"/>
                <w:lang w:val="en-US" w:eastAsia="zh-CN" w:bidi="ar-SA"/>
              </w:rPr>
              <w:t>ND</w:t>
            </w:r>
          </w:p>
        </w:tc>
        <w:tc>
          <w:tcPr>
            <w:tcW w:w="879" w:type="dxa"/>
            <w:shd w:val="clear" w:color="auto" w:fill="auto"/>
            <w:vAlign w:val="center"/>
          </w:tcPr>
          <w:p w14:paraId="15BF5C2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eastAsia" w:cs="Times New Roman"/>
                <w:kern w:val="2"/>
                <w:sz w:val="21"/>
                <w:szCs w:val="21"/>
                <w:highlight w:val="none"/>
                <w:vertAlign w:val="baseline"/>
                <w:lang w:val="en-US" w:eastAsia="zh-CN" w:bidi="ar-SA"/>
              </w:rPr>
              <w:t>ND</w:t>
            </w:r>
          </w:p>
        </w:tc>
      </w:tr>
      <w:tr w14:paraId="1E917E6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039" w:type="dxa"/>
            <w:shd w:val="clear" w:color="auto" w:fill="auto"/>
            <w:vAlign w:val="center"/>
          </w:tcPr>
          <w:p w14:paraId="61B55AF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default" w:ascii="Times New Roman" w:hAnsi="Times New Roman" w:cs="Times New Roman"/>
                <w:sz w:val="21"/>
                <w:szCs w:val="21"/>
                <w:highlight w:val="none"/>
                <w:vertAlign w:val="baseline"/>
                <w:lang w:val="en-US" w:eastAsia="zh-CN"/>
              </w:rPr>
              <w:t>南尧村</w:t>
            </w:r>
            <w:r>
              <w:rPr>
                <w:rFonts w:hint="eastAsia" w:ascii="Times New Roman" w:hAnsi="Times New Roman" w:cs="Times New Roman"/>
                <w:sz w:val="21"/>
                <w:szCs w:val="21"/>
                <w:highlight w:val="none"/>
                <w:vertAlign w:val="baseline"/>
                <w:lang w:val="en-US" w:eastAsia="zh-CN"/>
              </w:rPr>
              <w:t>2</w:t>
            </w:r>
            <w:r>
              <w:rPr>
                <w:rFonts w:hint="eastAsia" w:cs="Times New Roman"/>
                <w:sz w:val="21"/>
                <w:szCs w:val="21"/>
                <w:highlight w:val="none"/>
                <w:vertAlign w:val="baseline"/>
                <w:lang w:val="en-US" w:eastAsia="zh-CN"/>
              </w:rPr>
              <w:t>#</w:t>
            </w:r>
            <w:r>
              <w:rPr>
                <w:rFonts w:hint="default" w:ascii="Times New Roman" w:hAnsi="Times New Roman" w:cs="Times New Roman"/>
                <w:sz w:val="21"/>
                <w:szCs w:val="21"/>
                <w:highlight w:val="none"/>
                <w:vertAlign w:val="baseline"/>
                <w:lang w:val="en-US" w:eastAsia="zh-CN"/>
              </w:rPr>
              <w:t>废渣堆</w:t>
            </w:r>
            <w:r>
              <w:rPr>
                <w:rFonts w:hint="default" w:ascii="Times New Roman" w:hAnsi="Times New Roman" w:eastAsia="宋体" w:cs="Times New Roman"/>
                <w:sz w:val="21"/>
                <w:szCs w:val="21"/>
                <w:highlight w:val="none"/>
                <w:vertAlign w:val="baseline"/>
                <w:lang w:val="en-US" w:eastAsia="zh-CN"/>
              </w:rPr>
              <w:t>Ⅵ</w:t>
            </w:r>
            <w:r>
              <w:rPr>
                <w:rFonts w:hint="default" w:ascii="Times New Roman" w:hAnsi="Times New Roman" w:cs="Times New Roman"/>
                <w:sz w:val="21"/>
                <w:szCs w:val="21"/>
                <w:highlight w:val="none"/>
                <w:vertAlign w:val="baseline"/>
                <w:lang w:val="en-US" w:eastAsia="zh-CN"/>
              </w:rPr>
              <w:t>区</w:t>
            </w:r>
            <w:r>
              <w:rPr>
                <w:rFonts w:hint="eastAsia"/>
                <w:sz w:val="21"/>
                <w:szCs w:val="21"/>
                <w:highlight w:val="none"/>
                <w:vertAlign w:val="baseline"/>
                <w:lang w:val="en-US" w:eastAsia="zh-CN"/>
              </w:rPr>
              <w:t>ZK2-4</w:t>
            </w:r>
          </w:p>
        </w:tc>
        <w:tc>
          <w:tcPr>
            <w:tcW w:w="732" w:type="dxa"/>
            <w:vMerge w:val="continue"/>
            <w:vAlign w:val="center"/>
          </w:tcPr>
          <w:p w14:paraId="6A063F2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p>
        </w:tc>
        <w:tc>
          <w:tcPr>
            <w:tcW w:w="1520" w:type="dxa"/>
            <w:vAlign w:val="center"/>
          </w:tcPr>
          <w:p w14:paraId="3D3B47C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红棕色、固态</w:t>
            </w:r>
          </w:p>
        </w:tc>
        <w:tc>
          <w:tcPr>
            <w:tcW w:w="892" w:type="dxa"/>
            <w:vAlign w:val="center"/>
          </w:tcPr>
          <w:p w14:paraId="63B95B8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9.07</w:t>
            </w:r>
          </w:p>
        </w:tc>
        <w:tc>
          <w:tcPr>
            <w:tcW w:w="702" w:type="dxa"/>
            <w:vAlign w:val="center"/>
          </w:tcPr>
          <w:p w14:paraId="0F6953E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ND</w:t>
            </w:r>
          </w:p>
        </w:tc>
        <w:tc>
          <w:tcPr>
            <w:tcW w:w="702" w:type="dxa"/>
            <w:vAlign w:val="center"/>
          </w:tcPr>
          <w:p w14:paraId="7F15419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ND</w:t>
            </w:r>
          </w:p>
        </w:tc>
        <w:tc>
          <w:tcPr>
            <w:tcW w:w="703" w:type="dxa"/>
            <w:vAlign w:val="center"/>
          </w:tcPr>
          <w:p w14:paraId="55094F5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ND</w:t>
            </w:r>
          </w:p>
        </w:tc>
        <w:tc>
          <w:tcPr>
            <w:tcW w:w="703" w:type="dxa"/>
            <w:vAlign w:val="center"/>
          </w:tcPr>
          <w:p w14:paraId="68B5AFA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ND</w:t>
            </w:r>
          </w:p>
        </w:tc>
        <w:tc>
          <w:tcPr>
            <w:tcW w:w="794" w:type="dxa"/>
            <w:vAlign w:val="center"/>
          </w:tcPr>
          <w:p w14:paraId="79337C8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bCs/>
                <w:sz w:val="21"/>
                <w:szCs w:val="21"/>
                <w:highlight w:val="none"/>
                <w:vertAlign w:val="baseline"/>
                <w:lang w:val="en-US" w:eastAsia="zh-CN"/>
              </w:rPr>
            </w:pPr>
            <w:r>
              <w:rPr>
                <w:rFonts w:hint="eastAsia"/>
                <w:b/>
                <w:bCs/>
                <w:sz w:val="21"/>
                <w:szCs w:val="21"/>
                <w:highlight w:val="none"/>
                <w:vertAlign w:val="baseline"/>
                <w:lang w:val="en-US" w:eastAsia="zh-CN"/>
              </w:rPr>
              <w:t>0.634</w:t>
            </w:r>
          </w:p>
        </w:tc>
        <w:tc>
          <w:tcPr>
            <w:tcW w:w="855" w:type="dxa"/>
            <w:vAlign w:val="center"/>
          </w:tcPr>
          <w:p w14:paraId="42E9F93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ND</w:t>
            </w:r>
          </w:p>
        </w:tc>
        <w:tc>
          <w:tcPr>
            <w:tcW w:w="794" w:type="dxa"/>
            <w:vAlign w:val="center"/>
          </w:tcPr>
          <w:p w14:paraId="44B2DCD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ND</w:t>
            </w:r>
          </w:p>
        </w:tc>
        <w:tc>
          <w:tcPr>
            <w:tcW w:w="970" w:type="dxa"/>
            <w:vAlign w:val="center"/>
          </w:tcPr>
          <w:p w14:paraId="3468A03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ND</w:t>
            </w:r>
          </w:p>
        </w:tc>
        <w:tc>
          <w:tcPr>
            <w:tcW w:w="880" w:type="dxa"/>
            <w:shd w:val="clear" w:color="auto" w:fill="auto"/>
            <w:vAlign w:val="center"/>
          </w:tcPr>
          <w:p w14:paraId="619B58F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eastAsia" w:cs="Times New Roman"/>
                <w:kern w:val="2"/>
                <w:sz w:val="21"/>
                <w:szCs w:val="21"/>
                <w:highlight w:val="none"/>
                <w:vertAlign w:val="baseline"/>
                <w:lang w:val="en-US" w:eastAsia="zh-CN" w:bidi="ar-SA"/>
              </w:rPr>
              <w:t>ND</w:t>
            </w:r>
          </w:p>
        </w:tc>
        <w:tc>
          <w:tcPr>
            <w:tcW w:w="879" w:type="dxa"/>
            <w:shd w:val="clear" w:color="auto" w:fill="auto"/>
            <w:vAlign w:val="center"/>
          </w:tcPr>
          <w:p w14:paraId="4CFFC16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eastAsia" w:cs="Times New Roman"/>
                <w:kern w:val="2"/>
                <w:sz w:val="21"/>
                <w:szCs w:val="21"/>
                <w:highlight w:val="none"/>
                <w:vertAlign w:val="baseline"/>
                <w:lang w:val="en-US" w:eastAsia="zh-CN" w:bidi="ar-SA"/>
              </w:rPr>
              <w:t>ND</w:t>
            </w:r>
          </w:p>
        </w:tc>
      </w:tr>
      <w:tr w14:paraId="4803D3F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039" w:type="dxa"/>
            <w:shd w:val="clear" w:color="auto" w:fill="auto"/>
            <w:vAlign w:val="center"/>
          </w:tcPr>
          <w:p w14:paraId="5F4A8AB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default" w:ascii="Times New Roman" w:hAnsi="Times New Roman" w:cs="Times New Roman"/>
                <w:sz w:val="21"/>
                <w:szCs w:val="21"/>
                <w:highlight w:val="none"/>
                <w:vertAlign w:val="baseline"/>
                <w:lang w:val="en-US" w:eastAsia="zh-CN"/>
              </w:rPr>
              <w:t>南尧村</w:t>
            </w:r>
            <w:r>
              <w:rPr>
                <w:rFonts w:hint="eastAsia" w:ascii="Times New Roman" w:hAnsi="Times New Roman" w:cs="Times New Roman"/>
                <w:sz w:val="21"/>
                <w:szCs w:val="21"/>
                <w:highlight w:val="none"/>
                <w:vertAlign w:val="baseline"/>
                <w:lang w:val="en-US" w:eastAsia="zh-CN"/>
              </w:rPr>
              <w:t>2</w:t>
            </w:r>
            <w:r>
              <w:rPr>
                <w:rFonts w:hint="eastAsia" w:cs="Times New Roman"/>
                <w:sz w:val="21"/>
                <w:szCs w:val="21"/>
                <w:highlight w:val="none"/>
                <w:vertAlign w:val="baseline"/>
                <w:lang w:val="en-US" w:eastAsia="zh-CN"/>
              </w:rPr>
              <w:t>#</w:t>
            </w:r>
            <w:r>
              <w:rPr>
                <w:rFonts w:hint="default" w:ascii="Times New Roman" w:hAnsi="Times New Roman" w:cs="Times New Roman"/>
                <w:sz w:val="21"/>
                <w:szCs w:val="21"/>
                <w:highlight w:val="none"/>
                <w:vertAlign w:val="baseline"/>
                <w:lang w:val="en-US" w:eastAsia="zh-CN"/>
              </w:rPr>
              <w:t>废渣堆</w:t>
            </w:r>
            <w:r>
              <w:rPr>
                <w:rFonts w:hint="default" w:ascii="Times New Roman" w:hAnsi="Times New Roman" w:eastAsia="宋体" w:cs="Times New Roman"/>
                <w:sz w:val="21"/>
                <w:szCs w:val="21"/>
                <w:highlight w:val="none"/>
                <w:vertAlign w:val="baseline"/>
                <w:lang w:val="en-US" w:eastAsia="zh-CN"/>
              </w:rPr>
              <w:t>Ⅵ</w:t>
            </w:r>
            <w:r>
              <w:rPr>
                <w:rFonts w:hint="default" w:ascii="Times New Roman" w:hAnsi="Times New Roman" w:cs="Times New Roman"/>
                <w:sz w:val="21"/>
                <w:szCs w:val="21"/>
                <w:highlight w:val="none"/>
                <w:vertAlign w:val="baseline"/>
                <w:lang w:val="en-US" w:eastAsia="zh-CN"/>
              </w:rPr>
              <w:t>区</w:t>
            </w:r>
            <w:r>
              <w:rPr>
                <w:rFonts w:hint="eastAsia"/>
                <w:sz w:val="21"/>
                <w:szCs w:val="21"/>
                <w:highlight w:val="none"/>
                <w:vertAlign w:val="baseline"/>
                <w:lang w:val="en-US" w:eastAsia="zh-CN"/>
              </w:rPr>
              <w:t>ZK2-5</w:t>
            </w:r>
          </w:p>
        </w:tc>
        <w:tc>
          <w:tcPr>
            <w:tcW w:w="732" w:type="dxa"/>
            <w:vMerge w:val="continue"/>
            <w:vAlign w:val="center"/>
          </w:tcPr>
          <w:p w14:paraId="6F2D2E6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p>
        </w:tc>
        <w:tc>
          <w:tcPr>
            <w:tcW w:w="1520" w:type="dxa"/>
            <w:vAlign w:val="center"/>
          </w:tcPr>
          <w:p w14:paraId="667EF47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灰色、固态</w:t>
            </w:r>
          </w:p>
        </w:tc>
        <w:tc>
          <w:tcPr>
            <w:tcW w:w="892" w:type="dxa"/>
            <w:vAlign w:val="center"/>
          </w:tcPr>
          <w:p w14:paraId="76F38DE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7.68</w:t>
            </w:r>
          </w:p>
        </w:tc>
        <w:tc>
          <w:tcPr>
            <w:tcW w:w="702" w:type="dxa"/>
            <w:vAlign w:val="center"/>
          </w:tcPr>
          <w:p w14:paraId="22FFBE5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ND</w:t>
            </w:r>
          </w:p>
        </w:tc>
        <w:tc>
          <w:tcPr>
            <w:tcW w:w="702" w:type="dxa"/>
            <w:vAlign w:val="center"/>
          </w:tcPr>
          <w:p w14:paraId="508AC86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ND</w:t>
            </w:r>
          </w:p>
        </w:tc>
        <w:tc>
          <w:tcPr>
            <w:tcW w:w="703" w:type="dxa"/>
            <w:vAlign w:val="center"/>
          </w:tcPr>
          <w:p w14:paraId="44E25D2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ND</w:t>
            </w:r>
          </w:p>
        </w:tc>
        <w:tc>
          <w:tcPr>
            <w:tcW w:w="703" w:type="dxa"/>
            <w:vAlign w:val="center"/>
          </w:tcPr>
          <w:p w14:paraId="08BDA9F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0.05</w:t>
            </w:r>
          </w:p>
        </w:tc>
        <w:tc>
          <w:tcPr>
            <w:tcW w:w="794" w:type="dxa"/>
            <w:vAlign w:val="center"/>
          </w:tcPr>
          <w:p w14:paraId="3B9D839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bCs/>
                <w:sz w:val="21"/>
                <w:szCs w:val="21"/>
                <w:highlight w:val="none"/>
                <w:vertAlign w:val="baseline"/>
                <w:lang w:val="en-US" w:eastAsia="zh-CN"/>
              </w:rPr>
            </w:pPr>
            <w:r>
              <w:rPr>
                <w:rFonts w:hint="eastAsia"/>
                <w:b w:val="0"/>
                <w:bCs w:val="0"/>
                <w:sz w:val="21"/>
                <w:szCs w:val="21"/>
                <w:highlight w:val="none"/>
                <w:vertAlign w:val="baseline"/>
                <w:lang w:val="en-US" w:eastAsia="zh-CN"/>
              </w:rPr>
              <w:t>0.199</w:t>
            </w:r>
          </w:p>
        </w:tc>
        <w:tc>
          <w:tcPr>
            <w:tcW w:w="855" w:type="dxa"/>
            <w:vAlign w:val="center"/>
          </w:tcPr>
          <w:p w14:paraId="4C2BA85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ND</w:t>
            </w:r>
          </w:p>
        </w:tc>
        <w:tc>
          <w:tcPr>
            <w:tcW w:w="794" w:type="dxa"/>
            <w:vAlign w:val="center"/>
          </w:tcPr>
          <w:p w14:paraId="76FCA18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ND</w:t>
            </w:r>
          </w:p>
        </w:tc>
        <w:tc>
          <w:tcPr>
            <w:tcW w:w="970" w:type="dxa"/>
            <w:vAlign w:val="center"/>
          </w:tcPr>
          <w:p w14:paraId="0ADE94A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ND</w:t>
            </w:r>
          </w:p>
        </w:tc>
        <w:tc>
          <w:tcPr>
            <w:tcW w:w="880" w:type="dxa"/>
            <w:shd w:val="clear" w:color="auto" w:fill="auto"/>
            <w:vAlign w:val="center"/>
          </w:tcPr>
          <w:p w14:paraId="4C0C073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eastAsia" w:cs="Times New Roman"/>
                <w:kern w:val="2"/>
                <w:sz w:val="21"/>
                <w:szCs w:val="21"/>
                <w:highlight w:val="none"/>
                <w:vertAlign w:val="baseline"/>
                <w:lang w:val="en-US" w:eastAsia="zh-CN" w:bidi="ar-SA"/>
              </w:rPr>
              <w:t>ND</w:t>
            </w:r>
          </w:p>
        </w:tc>
        <w:tc>
          <w:tcPr>
            <w:tcW w:w="879" w:type="dxa"/>
            <w:shd w:val="clear" w:color="auto" w:fill="auto"/>
            <w:vAlign w:val="center"/>
          </w:tcPr>
          <w:p w14:paraId="519EB1A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eastAsia" w:cs="Times New Roman"/>
                <w:kern w:val="2"/>
                <w:sz w:val="21"/>
                <w:szCs w:val="21"/>
                <w:highlight w:val="none"/>
                <w:vertAlign w:val="baseline"/>
                <w:lang w:val="en-US" w:eastAsia="zh-CN" w:bidi="ar-SA"/>
              </w:rPr>
              <w:t>ND</w:t>
            </w:r>
          </w:p>
        </w:tc>
      </w:tr>
      <w:tr w14:paraId="652F38C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039" w:type="dxa"/>
            <w:shd w:val="clear" w:color="auto" w:fill="auto"/>
            <w:vAlign w:val="center"/>
          </w:tcPr>
          <w:p w14:paraId="59DAF5C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default" w:ascii="Times New Roman" w:hAnsi="Times New Roman" w:cs="Times New Roman"/>
                <w:sz w:val="21"/>
                <w:szCs w:val="21"/>
                <w:highlight w:val="none"/>
                <w:vertAlign w:val="baseline"/>
                <w:lang w:val="en-US" w:eastAsia="zh-CN"/>
              </w:rPr>
              <w:t>南尧村</w:t>
            </w:r>
            <w:r>
              <w:rPr>
                <w:rFonts w:hint="eastAsia" w:ascii="Times New Roman" w:hAnsi="Times New Roman" w:cs="Times New Roman"/>
                <w:sz w:val="21"/>
                <w:szCs w:val="21"/>
                <w:highlight w:val="none"/>
                <w:vertAlign w:val="baseline"/>
                <w:lang w:val="en-US" w:eastAsia="zh-CN"/>
              </w:rPr>
              <w:t>2</w:t>
            </w:r>
            <w:r>
              <w:rPr>
                <w:rFonts w:hint="eastAsia" w:cs="Times New Roman"/>
                <w:sz w:val="21"/>
                <w:szCs w:val="21"/>
                <w:highlight w:val="none"/>
                <w:vertAlign w:val="baseline"/>
                <w:lang w:val="en-US" w:eastAsia="zh-CN"/>
              </w:rPr>
              <w:t>#</w:t>
            </w:r>
            <w:r>
              <w:rPr>
                <w:rFonts w:hint="default" w:ascii="Times New Roman" w:hAnsi="Times New Roman" w:cs="Times New Roman"/>
                <w:sz w:val="21"/>
                <w:szCs w:val="21"/>
                <w:highlight w:val="none"/>
                <w:vertAlign w:val="baseline"/>
                <w:lang w:val="en-US" w:eastAsia="zh-CN"/>
              </w:rPr>
              <w:t>废渣堆</w:t>
            </w:r>
            <w:r>
              <w:rPr>
                <w:rFonts w:hint="default" w:ascii="Times New Roman" w:hAnsi="Times New Roman" w:eastAsia="微软雅黑" w:cs="Times New Roman"/>
                <w:sz w:val="21"/>
                <w:szCs w:val="21"/>
                <w:highlight w:val="none"/>
                <w:vertAlign w:val="baseline"/>
                <w:lang w:val="en-US" w:eastAsia="zh-CN"/>
              </w:rPr>
              <w:t>Ⅴ</w:t>
            </w:r>
            <w:r>
              <w:rPr>
                <w:rFonts w:hint="default" w:ascii="Times New Roman" w:hAnsi="Times New Roman" w:cs="Times New Roman"/>
                <w:sz w:val="21"/>
                <w:szCs w:val="21"/>
                <w:highlight w:val="none"/>
                <w:vertAlign w:val="baseline"/>
                <w:lang w:val="en-US" w:eastAsia="zh-CN"/>
              </w:rPr>
              <w:t>区</w:t>
            </w:r>
            <w:r>
              <w:rPr>
                <w:rFonts w:hint="eastAsia"/>
                <w:sz w:val="21"/>
                <w:szCs w:val="21"/>
                <w:highlight w:val="none"/>
                <w:vertAlign w:val="baseline"/>
                <w:lang w:val="en-US" w:eastAsia="zh-CN"/>
              </w:rPr>
              <w:t>ZK2-6</w:t>
            </w:r>
          </w:p>
        </w:tc>
        <w:tc>
          <w:tcPr>
            <w:tcW w:w="732" w:type="dxa"/>
            <w:vMerge w:val="continue"/>
            <w:vAlign w:val="center"/>
          </w:tcPr>
          <w:p w14:paraId="377B511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p>
        </w:tc>
        <w:tc>
          <w:tcPr>
            <w:tcW w:w="1520" w:type="dxa"/>
            <w:vAlign w:val="center"/>
          </w:tcPr>
          <w:p w14:paraId="46BCE9E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灰色、固态</w:t>
            </w:r>
          </w:p>
        </w:tc>
        <w:tc>
          <w:tcPr>
            <w:tcW w:w="892" w:type="dxa"/>
            <w:vAlign w:val="center"/>
          </w:tcPr>
          <w:p w14:paraId="546FC6E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7.50</w:t>
            </w:r>
          </w:p>
        </w:tc>
        <w:tc>
          <w:tcPr>
            <w:tcW w:w="702" w:type="dxa"/>
            <w:vAlign w:val="center"/>
          </w:tcPr>
          <w:p w14:paraId="1B05434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ND</w:t>
            </w:r>
          </w:p>
        </w:tc>
        <w:tc>
          <w:tcPr>
            <w:tcW w:w="702" w:type="dxa"/>
            <w:vAlign w:val="center"/>
          </w:tcPr>
          <w:p w14:paraId="7CF1BC2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ND</w:t>
            </w:r>
          </w:p>
        </w:tc>
        <w:tc>
          <w:tcPr>
            <w:tcW w:w="703" w:type="dxa"/>
            <w:vAlign w:val="center"/>
          </w:tcPr>
          <w:p w14:paraId="36CF061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ND</w:t>
            </w:r>
          </w:p>
        </w:tc>
        <w:tc>
          <w:tcPr>
            <w:tcW w:w="703" w:type="dxa"/>
            <w:vAlign w:val="center"/>
          </w:tcPr>
          <w:p w14:paraId="0FC2EA3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0.07</w:t>
            </w:r>
          </w:p>
        </w:tc>
        <w:tc>
          <w:tcPr>
            <w:tcW w:w="794" w:type="dxa"/>
            <w:vAlign w:val="center"/>
          </w:tcPr>
          <w:p w14:paraId="12800A7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bCs/>
                <w:sz w:val="21"/>
                <w:szCs w:val="21"/>
                <w:highlight w:val="none"/>
                <w:vertAlign w:val="baseline"/>
                <w:lang w:val="en-US" w:eastAsia="zh-CN"/>
              </w:rPr>
            </w:pPr>
            <w:r>
              <w:rPr>
                <w:rFonts w:hint="eastAsia"/>
                <w:b/>
                <w:bCs/>
                <w:sz w:val="21"/>
                <w:szCs w:val="21"/>
                <w:highlight w:val="none"/>
                <w:vertAlign w:val="baseline"/>
                <w:lang w:val="en-US" w:eastAsia="zh-CN"/>
              </w:rPr>
              <w:t>0.615</w:t>
            </w:r>
          </w:p>
        </w:tc>
        <w:tc>
          <w:tcPr>
            <w:tcW w:w="855" w:type="dxa"/>
            <w:vAlign w:val="center"/>
          </w:tcPr>
          <w:p w14:paraId="23F4193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ND</w:t>
            </w:r>
          </w:p>
        </w:tc>
        <w:tc>
          <w:tcPr>
            <w:tcW w:w="794" w:type="dxa"/>
            <w:vAlign w:val="center"/>
          </w:tcPr>
          <w:p w14:paraId="0D4B3A4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ND</w:t>
            </w:r>
          </w:p>
        </w:tc>
        <w:tc>
          <w:tcPr>
            <w:tcW w:w="970" w:type="dxa"/>
            <w:vAlign w:val="center"/>
          </w:tcPr>
          <w:p w14:paraId="2359BC1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ND</w:t>
            </w:r>
          </w:p>
        </w:tc>
        <w:tc>
          <w:tcPr>
            <w:tcW w:w="880" w:type="dxa"/>
            <w:shd w:val="clear" w:color="auto" w:fill="auto"/>
            <w:vAlign w:val="center"/>
          </w:tcPr>
          <w:p w14:paraId="45B2B68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eastAsia" w:cs="Times New Roman"/>
                <w:kern w:val="2"/>
                <w:sz w:val="21"/>
                <w:szCs w:val="21"/>
                <w:highlight w:val="none"/>
                <w:vertAlign w:val="baseline"/>
                <w:lang w:val="en-US" w:eastAsia="zh-CN" w:bidi="ar-SA"/>
              </w:rPr>
              <w:t>ND</w:t>
            </w:r>
          </w:p>
        </w:tc>
        <w:tc>
          <w:tcPr>
            <w:tcW w:w="879" w:type="dxa"/>
            <w:shd w:val="clear" w:color="auto" w:fill="auto"/>
            <w:vAlign w:val="center"/>
          </w:tcPr>
          <w:p w14:paraId="7348AE4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eastAsia" w:cs="Times New Roman"/>
                <w:kern w:val="2"/>
                <w:sz w:val="21"/>
                <w:szCs w:val="21"/>
                <w:highlight w:val="none"/>
                <w:vertAlign w:val="baseline"/>
                <w:lang w:val="en-US" w:eastAsia="zh-CN" w:bidi="ar-SA"/>
              </w:rPr>
              <w:t>ND</w:t>
            </w:r>
          </w:p>
        </w:tc>
      </w:tr>
      <w:tr w14:paraId="5148883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039" w:type="dxa"/>
            <w:shd w:val="clear" w:color="auto" w:fill="auto"/>
            <w:vAlign w:val="center"/>
          </w:tcPr>
          <w:p w14:paraId="0BCD9E6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default" w:ascii="Times New Roman" w:hAnsi="Times New Roman" w:cs="Times New Roman"/>
                <w:sz w:val="21"/>
                <w:szCs w:val="21"/>
                <w:highlight w:val="none"/>
                <w:vertAlign w:val="baseline"/>
                <w:lang w:val="en-US" w:eastAsia="zh-CN"/>
              </w:rPr>
              <w:t>南尧村</w:t>
            </w:r>
            <w:r>
              <w:rPr>
                <w:rFonts w:hint="eastAsia" w:ascii="Times New Roman" w:hAnsi="Times New Roman" w:cs="Times New Roman"/>
                <w:sz w:val="21"/>
                <w:szCs w:val="21"/>
                <w:highlight w:val="none"/>
                <w:vertAlign w:val="baseline"/>
                <w:lang w:val="en-US" w:eastAsia="zh-CN"/>
              </w:rPr>
              <w:t>2</w:t>
            </w:r>
            <w:r>
              <w:rPr>
                <w:rFonts w:hint="eastAsia" w:cs="Times New Roman"/>
                <w:sz w:val="21"/>
                <w:szCs w:val="21"/>
                <w:highlight w:val="none"/>
                <w:vertAlign w:val="baseline"/>
                <w:lang w:val="en-US" w:eastAsia="zh-CN"/>
              </w:rPr>
              <w:t>#</w:t>
            </w:r>
            <w:r>
              <w:rPr>
                <w:rFonts w:hint="default" w:ascii="Times New Roman" w:hAnsi="Times New Roman" w:cs="Times New Roman"/>
                <w:sz w:val="21"/>
                <w:szCs w:val="21"/>
                <w:highlight w:val="none"/>
                <w:vertAlign w:val="baseline"/>
                <w:lang w:val="en-US" w:eastAsia="zh-CN"/>
              </w:rPr>
              <w:t>废渣堆</w:t>
            </w:r>
            <w:r>
              <w:rPr>
                <w:rFonts w:hint="default" w:ascii="Times New Roman" w:hAnsi="Times New Roman" w:eastAsia="宋体" w:cs="Times New Roman"/>
                <w:sz w:val="21"/>
                <w:szCs w:val="21"/>
                <w:highlight w:val="none"/>
                <w:vertAlign w:val="baseline"/>
                <w:lang w:val="en-US" w:eastAsia="zh-CN"/>
              </w:rPr>
              <w:t>Ⅵ</w:t>
            </w:r>
            <w:r>
              <w:rPr>
                <w:rFonts w:hint="default" w:ascii="Times New Roman" w:hAnsi="Times New Roman" w:cs="Times New Roman"/>
                <w:sz w:val="21"/>
                <w:szCs w:val="21"/>
                <w:highlight w:val="none"/>
                <w:vertAlign w:val="baseline"/>
                <w:lang w:val="en-US" w:eastAsia="zh-CN"/>
              </w:rPr>
              <w:t>区</w:t>
            </w:r>
            <w:r>
              <w:rPr>
                <w:rFonts w:hint="eastAsia"/>
                <w:sz w:val="21"/>
                <w:szCs w:val="21"/>
                <w:highlight w:val="none"/>
                <w:vertAlign w:val="baseline"/>
                <w:lang w:val="en-US" w:eastAsia="zh-CN"/>
              </w:rPr>
              <w:t>ZK2-7</w:t>
            </w:r>
          </w:p>
        </w:tc>
        <w:tc>
          <w:tcPr>
            <w:tcW w:w="732" w:type="dxa"/>
            <w:vMerge w:val="continue"/>
            <w:vAlign w:val="center"/>
          </w:tcPr>
          <w:p w14:paraId="600AED6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p>
        </w:tc>
        <w:tc>
          <w:tcPr>
            <w:tcW w:w="1520" w:type="dxa"/>
            <w:vAlign w:val="center"/>
          </w:tcPr>
          <w:p w14:paraId="7B6B0CA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灰色、固态</w:t>
            </w:r>
          </w:p>
        </w:tc>
        <w:tc>
          <w:tcPr>
            <w:tcW w:w="892" w:type="dxa"/>
            <w:vAlign w:val="center"/>
          </w:tcPr>
          <w:p w14:paraId="75D0075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6.80</w:t>
            </w:r>
          </w:p>
        </w:tc>
        <w:tc>
          <w:tcPr>
            <w:tcW w:w="702" w:type="dxa"/>
            <w:vAlign w:val="center"/>
          </w:tcPr>
          <w:p w14:paraId="7CE1CF4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ND</w:t>
            </w:r>
          </w:p>
        </w:tc>
        <w:tc>
          <w:tcPr>
            <w:tcW w:w="702" w:type="dxa"/>
            <w:vAlign w:val="center"/>
          </w:tcPr>
          <w:p w14:paraId="2F31641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ND</w:t>
            </w:r>
          </w:p>
        </w:tc>
        <w:tc>
          <w:tcPr>
            <w:tcW w:w="703" w:type="dxa"/>
            <w:vAlign w:val="center"/>
          </w:tcPr>
          <w:p w14:paraId="3AB1A0E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0.11</w:t>
            </w:r>
          </w:p>
        </w:tc>
        <w:tc>
          <w:tcPr>
            <w:tcW w:w="703" w:type="dxa"/>
            <w:vAlign w:val="center"/>
          </w:tcPr>
          <w:p w14:paraId="1BE04AA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0.19</w:t>
            </w:r>
          </w:p>
        </w:tc>
        <w:tc>
          <w:tcPr>
            <w:tcW w:w="794" w:type="dxa"/>
            <w:vAlign w:val="center"/>
          </w:tcPr>
          <w:p w14:paraId="6AABCED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bCs/>
                <w:sz w:val="21"/>
                <w:szCs w:val="21"/>
                <w:highlight w:val="none"/>
                <w:vertAlign w:val="baseline"/>
                <w:lang w:val="en-US" w:eastAsia="zh-CN"/>
              </w:rPr>
            </w:pPr>
            <w:r>
              <w:rPr>
                <w:rFonts w:hint="eastAsia"/>
                <w:b/>
                <w:bCs/>
                <w:sz w:val="21"/>
                <w:szCs w:val="21"/>
                <w:highlight w:val="none"/>
                <w:vertAlign w:val="baseline"/>
                <w:lang w:val="en-US" w:eastAsia="zh-CN"/>
              </w:rPr>
              <w:t>0.626</w:t>
            </w:r>
          </w:p>
        </w:tc>
        <w:tc>
          <w:tcPr>
            <w:tcW w:w="855" w:type="dxa"/>
            <w:vAlign w:val="center"/>
          </w:tcPr>
          <w:p w14:paraId="32FDC44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ND</w:t>
            </w:r>
          </w:p>
        </w:tc>
        <w:tc>
          <w:tcPr>
            <w:tcW w:w="794" w:type="dxa"/>
            <w:vAlign w:val="center"/>
          </w:tcPr>
          <w:p w14:paraId="69F7DBC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0.0073</w:t>
            </w:r>
          </w:p>
        </w:tc>
        <w:tc>
          <w:tcPr>
            <w:tcW w:w="970" w:type="dxa"/>
            <w:vAlign w:val="center"/>
          </w:tcPr>
          <w:p w14:paraId="1032DB8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ND</w:t>
            </w:r>
          </w:p>
        </w:tc>
        <w:tc>
          <w:tcPr>
            <w:tcW w:w="880" w:type="dxa"/>
            <w:shd w:val="clear" w:color="auto" w:fill="auto"/>
            <w:vAlign w:val="center"/>
          </w:tcPr>
          <w:p w14:paraId="3AF877A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eastAsia" w:cs="Times New Roman"/>
                <w:kern w:val="2"/>
                <w:sz w:val="21"/>
                <w:szCs w:val="21"/>
                <w:highlight w:val="none"/>
                <w:vertAlign w:val="baseline"/>
                <w:lang w:val="en-US" w:eastAsia="zh-CN" w:bidi="ar-SA"/>
              </w:rPr>
              <w:t>ND</w:t>
            </w:r>
          </w:p>
        </w:tc>
        <w:tc>
          <w:tcPr>
            <w:tcW w:w="879" w:type="dxa"/>
            <w:shd w:val="clear" w:color="auto" w:fill="auto"/>
            <w:vAlign w:val="center"/>
          </w:tcPr>
          <w:p w14:paraId="253771B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eastAsia" w:cs="Times New Roman"/>
                <w:kern w:val="2"/>
                <w:sz w:val="21"/>
                <w:szCs w:val="21"/>
                <w:highlight w:val="none"/>
                <w:vertAlign w:val="baseline"/>
                <w:lang w:val="en-US" w:eastAsia="zh-CN" w:bidi="ar-SA"/>
              </w:rPr>
              <w:t>ND</w:t>
            </w:r>
          </w:p>
        </w:tc>
      </w:tr>
      <w:tr w14:paraId="4993BD7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039" w:type="dxa"/>
            <w:shd w:val="clear" w:color="auto" w:fill="auto"/>
            <w:vAlign w:val="center"/>
          </w:tcPr>
          <w:p w14:paraId="4F18E13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default" w:ascii="Times New Roman" w:hAnsi="Times New Roman" w:cs="Times New Roman"/>
                <w:sz w:val="21"/>
                <w:szCs w:val="21"/>
                <w:highlight w:val="none"/>
                <w:vertAlign w:val="baseline"/>
                <w:lang w:val="en-US" w:eastAsia="zh-CN"/>
              </w:rPr>
              <w:t>南尧村</w:t>
            </w:r>
            <w:r>
              <w:rPr>
                <w:rFonts w:hint="eastAsia" w:ascii="Times New Roman" w:hAnsi="Times New Roman" w:cs="Times New Roman"/>
                <w:sz w:val="21"/>
                <w:szCs w:val="21"/>
                <w:highlight w:val="none"/>
                <w:vertAlign w:val="baseline"/>
                <w:lang w:val="en-US" w:eastAsia="zh-CN"/>
              </w:rPr>
              <w:t>2</w:t>
            </w:r>
            <w:r>
              <w:rPr>
                <w:rFonts w:hint="eastAsia" w:cs="Times New Roman"/>
                <w:sz w:val="21"/>
                <w:szCs w:val="21"/>
                <w:highlight w:val="none"/>
                <w:vertAlign w:val="baseline"/>
                <w:lang w:val="en-US" w:eastAsia="zh-CN"/>
              </w:rPr>
              <w:t>#</w:t>
            </w:r>
            <w:r>
              <w:rPr>
                <w:rFonts w:hint="default" w:ascii="Times New Roman" w:hAnsi="Times New Roman" w:cs="Times New Roman"/>
                <w:sz w:val="21"/>
                <w:szCs w:val="21"/>
                <w:highlight w:val="none"/>
                <w:vertAlign w:val="baseline"/>
                <w:lang w:val="en-US" w:eastAsia="zh-CN"/>
              </w:rPr>
              <w:t>废渣堆</w:t>
            </w:r>
            <w:r>
              <w:rPr>
                <w:rFonts w:hint="default" w:ascii="Times New Roman" w:hAnsi="Times New Roman" w:eastAsia="宋体" w:cs="Times New Roman"/>
                <w:sz w:val="21"/>
                <w:szCs w:val="21"/>
                <w:highlight w:val="none"/>
                <w:vertAlign w:val="baseline"/>
                <w:lang w:val="en-US" w:eastAsia="zh-CN"/>
              </w:rPr>
              <w:t>Ⅵ</w:t>
            </w:r>
            <w:r>
              <w:rPr>
                <w:rFonts w:hint="default" w:ascii="Times New Roman" w:hAnsi="Times New Roman" w:cs="Times New Roman"/>
                <w:sz w:val="21"/>
                <w:szCs w:val="21"/>
                <w:highlight w:val="none"/>
                <w:vertAlign w:val="baseline"/>
                <w:lang w:val="en-US" w:eastAsia="zh-CN"/>
              </w:rPr>
              <w:t>区</w:t>
            </w:r>
            <w:r>
              <w:rPr>
                <w:rFonts w:hint="eastAsia"/>
                <w:sz w:val="21"/>
                <w:szCs w:val="21"/>
                <w:highlight w:val="none"/>
                <w:vertAlign w:val="baseline"/>
                <w:lang w:val="en-US" w:eastAsia="zh-CN"/>
              </w:rPr>
              <w:t>ZK2-8</w:t>
            </w:r>
          </w:p>
        </w:tc>
        <w:tc>
          <w:tcPr>
            <w:tcW w:w="732" w:type="dxa"/>
            <w:vMerge w:val="continue"/>
            <w:vAlign w:val="center"/>
          </w:tcPr>
          <w:p w14:paraId="29E77B3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p>
        </w:tc>
        <w:tc>
          <w:tcPr>
            <w:tcW w:w="1520" w:type="dxa"/>
            <w:vAlign w:val="center"/>
          </w:tcPr>
          <w:p w14:paraId="131DF93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灰色、固态</w:t>
            </w:r>
          </w:p>
        </w:tc>
        <w:tc>
          <w:tcPr>
            <w:tcW w:w="892" w:type="dxa"/>
            <w:vAlign w:val="center"/>
          </w:tcPr>
          <w:p w14:paraId="57A1E09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7.42</w:t>
            </w:r>
          </w:p>
        </w:tc>
        <w:tc>
          <w:tcPr>
            <w:tcW w:w="702" w:type="dxa"/>
            <w:vAlign w:val="center"/>
          </w:tcPr>
          <w:p w14:paraId="1A2CE5C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ND</w:t>
            </w:r>
          </w:p>
        </w:tc>
        <w:tc>
          <w:tcPr>
            <w:tcW w:w="702" w:type="dxa"/>
            <w:vAlign w:val="center"/>
          </w:tcPr>
          <w:p w14:paraId="5E00B43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ND</w:t>
            </w:r>
          </w:p>
        </w:tc>
        <w:tc>
          <w:tcPr>
            <w:tcW w:w="703" w:type="dxa"/>
            <w:vAlign w:val="center"/>
          </w:tcPr>
          <w:p w14:paraId="47A28AD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0.03</w:t>
            </w:r>
          </w:p>
        </w:tc>
        <w:tc>
          <w:tcPr>
            <w:tcW w:w="703" w:type="dxa"/>
            <w:vAlign w:val="center"/>
          </w:tcPr>
          <w:p w14:paraId="106951D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0.11</w:t>
            </w:r>
          </w:p>
        </w:tc>
        <w:tc>
          <w:tcPr>
            <w:tcW w:w="794" w:type="dxa"/>
            <w:vAlign w:val="center"/>
          </w:tcPr>
          <w:p w14:paraId="20ED3A6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bCs/>
                <w:sz w:val="21"/>
                <w:szCs w:val="21"/>
                <w:highlight w:val="none"/>
                <w:vertAlign w:val="baseline"/>
                <w:lang w:val="en-US" w:eastAsia="zh-CN"/>
              </w:rPr>
            </w:pPr>
            <w:r>
              <w:rPr>
                <w:rFonts w:hint="eastAsia"/>
                <w:b/>
                <w:bCs/>
                <w:sz w:val="21"/>
                <w:szCs w:val="21"/>
                <w:highlight w:val="none"/>
                <w:vertAlign w:val="baseline"/>
                <w:lang w:val="en-US" w:eastAsia="zh-CN"/>
              </w:rPr>
              <w:t>1.30</w:t>
            </w:r>
          </w:p>
        </w:tc>
        <w:tc>
          <w:tcPr>
            <w:tcW w:w="855" w:type="dxa"/>
            <w:vAlign w:val="center"/>
          </w:tcPr>
          <w:p w14:paraId="142E11A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ND</w:t>
            </w:r>
          </w:p>
        </w:tc>
        <w:tc>
          <w:tcPr>
            <w:tcW w:w="794" w:type="dxa"/>
            <w:vAlign w:val="center"/>
          </w:tcPr>
          <w:p w14:paraId="6A57632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ND</w:t>
            </w:r>
          </w:p>
        </w:tc>
        <w:tc>
          <w:tcPr>
            <w:tcW w:w="970" w:type="dxa"/>
            <w:vAlign w:val="center"/>
          </w:tcPr>
          <w:p w14:paraId="3195CC5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ND</w:t>
            </w:r>
          </w:p>
        </w:tc>
        <w:tc>
          <w:tcPr>
            <w:tcW w:w="880" w:type="dxa"/>
            <w:shd w:val="clear" w:color="auto" w:fill="auto"/>
            <w:vAlign w:val="center"/>
          </w:tcPr>
          <w:p w14:paraId="755639B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eastAsia" w:cs="Times New Roman"/>
                <w:kern w:val="2"/>
                <w:sz w:val="21"/>
                <w:szCs w:val="21"/>
                <w:highlight w:val="none"/>
                <w:vertAlign w:val="baseline"/>
                <w:lang w:val="en-US" w:eastAsia="zh-CN" w:bidi="ar-SA"/>
              </w:rPr>
              <w:t>ND</w:t>
            </w:r>
          </w:p>
        </w:tc>
        <w:tc>
          <w:tcPr>
            <w:tcW w:w="879" w:type="dxa"/>
            <w:shd w:val="clear" w:color="auto" w:fill="auto"/>
            <w:vAlign w:val="center"/>
          </w:tcPr>
          <w:p w14:paraId="0E2C4CC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eastAsia" w:cs="Times New Roman"/>
                <w:kern w:val="2"/>
                <w:sz w:val="21"/>
                <w:szCs w:val="21"/>
                <w:highlight w:val="none"/>
                <w:vertAlign w:val="baseline"/>
                <w:lang w:val="en-US" w:eastAsia="zh-CN" w:bidi="ar-SA"/>
              </w:rPr>
              <w:t>ND</w:t>
            </w:r>
          </w:p>
        </w:tc>
      </w:tr>
      <w:tr w14:paraId="3F3E83D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039" w:type="dxa"/>
            <w:shd w:val="clear" w:color="auto" w:fill="auto"/>
            <w:vAlign w:val="center"/>
          </w:tcPr>
          <w:p w14:paraId="10AEBFC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default" w:ascii="Times New Roman" w:hAnsi="Times New Roman" w:cs="Times New Roman"/>
                <w:sz w:val="21"/>
                <w:szCs w:val="21"/>
                <w:highlight w:val="none"/>
                <w:vertAlign w:val="baseline"/>
                <w:lang w:val="en-US" w:eastAsia="zh-CN"/>
              </w:rPr>
              <w:t>南尧村</w:t>
            </w:r>
            <w:r>
              <w:rPr>
                <w:rFonts w:hint="eastAsia" w:ascii="Times New Roman" w:hAnsi="Times New Roman" w:cs="Times New Roman"/>
                <w:sz w:val="21"/>
                <w:szCs w:val="21"/>
                <w:highlight w:val="none"/>
                <w:vertAlign w:val="baseline"/>
                <w:lang w:val="en-US" w:eastAsia="zh-CN"/>
              </w:rPr>
              <w:t>2</w:t>
            </w:r>
            <w:r>
              <w:rPr>
                <w:rFonts w:hint="eastAsia" w:cs="Times New Roman"/>
                <w:sz w:val="21"/>
                <w:szCs w:val="21"/>
                <w:highlight w:val="none"/>
                <w:vertAlign w:val="baseline"/>
                <w:lang w:val="en-US" w:eastAsia="zh-CN"/>
              </w:rPr>
              <w:t>#</w:t>
            </w:r>
            <w:r>
              <w:rPr>
                <w:rFonts w:hint="default" w:ascii="Times New Roman" w:hAnsi="Times New Roman" w:cs="Times New Roman"/>
                <w:sz w:val="21"/>
                <w:szCs w:val="21"/>
                <w:highlight w:val="none"/>
                <w:vertAlign w:val="baseline"/>
                <w:lang w:val="en-US" w:eastAsia="zh-CN"/>
              </w:rPr>
              <w:t>废渣堆</w:t>
            </w:r>
            <w:r>
              <w:rPr>
                <w:rFonts w:hint="default" w:ascii="Times New Roman" w:hAnsi="Times New Roman" w:eastAsia="宋体" w:cs="Times New Roman"/>
                <w:sz w:val="21"/>
                <w:szCs w:val="21"/>
                <w:highlight w:val="none"/>
                <w:vertAlign w:val="baseline"/>
                <w:lang w:val="en-US" w:eastAsia="zh-CN"/>
              </w:rPr>
              <w:t>Ⅵ</w:t>
            </w:r>
            <w:r>
              <w:rPr>
                <w:rFonts w:hint="default" w:ascii="Times New Roman" w:hAnsi="Times New Roman" w:cs="Times New Roman"/>
                <w:sz w:val="21"/>
                <w:szCs w:val="21"/>
                <w:highlight w:val="none"/>
                <w:vertAlign w:val="baseline"/>
                <w:lang w:val="en-US" w:eastAsia="zh-CN"/>
              </w:rPr>
              <w:t>区</w:t>
            </w:r>
            <w:r>
              <w:rPr>
                <w:rFonts w:hint="eastAsia"/>
                <w:sz w:val="21"/>
                <w:szCs w:val="21"/>
                <w:highlight w:val="none"/>
                <w:vertAlign w:val="baseline"/>
                <w:lang w:val="en-US" w:eastAsia="zh-CN"/>
              </w:rPr>
              <w:t>ZK2-9</w:t>
            </w:r>
          </w:p>
        </w:tc>
        <w:tc>
          <w:tcPr>
            <w:tcW w:w="732" w:type="dxa"/>
            <w:vMerge w:val="continue"/>
            <w:vAlign w:val="center"/>
          </w:tcPr>
          <w:p w14:paraId="42E965A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p>
        </w:tc>
        <w:tc>
          <w:tcPr>
            <w:tcW w:w="1520" w:type="dxa"/>
            <w:vAlign w:val="center"/>
          </w:tcPr>
          <w:p w14:paraId="4A81042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灰色、固态</w:t>
            </w:r>
          </w:p>
        </w:tc>
        <w:tc>
          <w:tcPr>
            <w:tcW w:w="892" w:type="dxa"/>
            <w:vAlign w:val="center"/>
          </w:tcPr>
          <w:p w14:paraId="5642935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7.21</w:t>
            </w:r>
          </w:p>
        </w:tc>
        <w:tc>
          <w:tcPr>
            <w:tcW w:w="702" w:type="dxa"/>
            <w:vAlign w:val="center"/>
          </w:tcPr>
          <w:p w14:paraId="4FB0CDB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ND</w:t>
            </w:r>
          </w:p>
        </w:tc>
        <w:tc>
          <w:tcPr>
            <w:tcW w:w="702" w:type="dxa"/>
            <w:vAlign w:val="center"/>
          </w:tcPr>
          <w:p w14:paraId="15D215E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ND</w:t>
            </w:r>
          </w:p>
        </w:tc>
        <w:tc>
          <w:tcPr>
            <w:tcW w:w="703" w:type="dxa"/>
            <w:vAlign w:val="center"/>
          </w:tcPr>
          <w:p w14:paraId="5CD1180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0.07</w:t>
            </w:r>
          </w:p>
        </w:tc>
        <w:tc>
          <w:tcPr>
            <w:tcW w:w="703" w:type="dxa"/>
            <w:vAlign w:val="center"/>
          </w:tcPr>
          <w:p w14:paraId="77AE360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0.11</w:t>
            </w:r>
          </w:p>
        </w:tc>
        <w:tc>
          <w:tcPr>
            <w:tcW w:w="794" w:type="dxa"/>
            <w:vAlign w:val="center"/>
          </w:tcPr>
          <w:p w14:paraId="358806D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bCs/>
                <w:sz w:val="21"/>
                <w:szCs w:val="21"/>
                <w:highlight w:val="none"/>
                <w:vertAlign w:val="baseline"/>
                <w:lang w:val="en-US" w:eastAsia="zh-CN"/>
              </w:rPr>
            </w:pPr>
            <w:r>
              <w:rPr>
                <w:rFonts w:hint="eastAsia"/>
                <w:b/>
                <w:bCs/>
                <w:sz w:val="21"/>
                <w:szCs w:val="21"/>
                <w:highlight w:val="none"/>
                <w:vertAlign w:val="baseline"/>
                <w:lang w:val="en-US" w:eastAsia="zh-CN"/>
              </w:rPr>
              <w:t>1.21</w:t>
            </w:r>
          </w:p>
        </w:tc>
        <w:tc>
          <w:tcPr>
            <w:tcW w:w="855" w:type="dxa"/>
            <w:vAlign w:val="center"/>
          </w:tcPr>
          <w:p w14:paraId="7650792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ND</w:t>
            </w:r>
          </w:p>
        </w:tc>
        <w:tc>
          <w:tcPr>
            <w:tcW w:w="794" w:type="dxa"/>
            <w:vAlign w:val="center"/>
          </w:tcPr>
          <w:p w14:paraId="139D792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0.0139</w:t>
            </w:r>
          </w:p>
        </w:tc>
        <w:tc>
          <w:tcPr>
            <w:tcW w:w="970" w:type="dxa"/>
            <w:vAlign w:val="center"/>
          </w:tcPr>
          <w:p w14:paraId="4403F7B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ND</w:t>
            </w:r>
          </w:p>
        </w:tc>
        <w:tc>
          <w:tcPr>
            <w:tcW w:w="880" w:type="dxa"/>
            <w:shd w:val="clear" w:color="auto" w:fill="auto"/>
            <w:vAlign w:val="center"/>
          </w:tcPr>
          <w:p w14:paraId="1DF8905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eastAsia" w:cs="Times New Roman"/>
                <w:kern w:val="2"/>
                <w:sz w:val="21"/>
                <w:szCs w:val="21"/>
                <w:highlight w:val="none"/>
                <w:vertAlign w:val="baseline"/>
                <w:lang w:val="en-US" w:eastAsia="zh-CN" w:bidi="ar-SA"/>
              </w:rPr>
              <w:t>ND</w:t>
            </w:r>
          </w:p>
        </w:tc>
        <w:tc>
          <w:tcPr>
            <w:tcW w:w="879" w:type="dxa"/>
            <w:shd w:val="clear" w:color="auto" w:fill="auto"/>
            <w:vAlign w:val="center"/>
          </w:tcPr>
          <w:p w14:paraId="42DF970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eastAsia" w:cs="Times New Roman"/>
                <w:kern w:val="2"/>
                <w:sz w:val="21"/>
                <w:szCs w:val="21"/>
                <w:highlight w:val="none"/>
                <w:vertAlign w:val="baseline"/>
                <w:lang w:val="en-US" w:eastAsia="zh-CN" w:bidi="ar-SA"/>
              </w:rPr>
              <w:t>ND</w:t>
            </w:r>
          </w:p>
        </w:tc>
      </w:tr>
      <w:tr w14:paraId="66E495A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039" w:type="dxa"/>
            <w:shd w:val="clear" w:color="auto" w:fill="auto"/>
            <w:vAlign w:val="center"/>
          </w:tcPr>
          <w:p w14:paraId="74128AA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default" w:ascii="Times New Roman" w:hAnsi="Times New Roman" w:cs="Times New Roman"/>
                <w:sz w:val="21"/>
                <w:szCs w:val="21"/>
                <w:highlight w:val="none"/>
                <w:vertAlign w:val="baseline"/>
                <w:lang w:val="en-US" w:eastAsia="zh-CN"/>
              </w:rPr>
              <w:t>南尧村2#废渣堆</w:t>
            </w:r>
            <w:r>
              <w:rPr>
                <w:rFonts w:hint="default" w:ascii="Times New Roman" w:hAnsi="Times New Roman" w:eastAsia="宋体" w:cs="Times New Roman"/>
                <w:sz w:val="21"/>
                <w:szCs w:val="21"/>
                <w:highlight w:val="none"/>
                <w:vertAlign w:val="baseline"/>
                <w:lang w:val="en-US" w:eastAsia="zh-CN"/>
              </w:rPr>
              <w:t>Ⅱ</w:t>
            </w:r>
            <w:r>
              <w:rPr>
                <w:rFonts w:hint="default" w:ascii="Times New Roman" w:hAnsi="Times New Roman" w:cs="Times New Roman"/>
                <w:sz w:val="21"/>
                <w:szCs w:val="21"/>
                <w:highlight w:val="none"/>
                <w:vertAlign w:val="baseline"/>
                <w:lang w:val="en-US" w:eastAsia="zh-CN"/>
              </w:rPr>
              <w:t>区ZK2-10</w:t>
            </w:r>
          </w:p>
        </w:tc>
        <w:tc>
          <w:tcPr>
            <w:tcW w:w="732" w:type="dxa"/>
            <w:vMerge w:val="continue"/>
            <w:vAlign w:val="center"/>
          </w:tcPr>
          <w:p w14:paraId="7A9AD20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p>
        </w:tc>
        <w:tc>
          <w:tcPr>
            <w:tcW w:w="1520" w:type="dxa"/>
            <w:shd w:val="clear" w:color="auto" w:fill="auto"/>
            <w:vAlign w:val="center"/>
          </w:tcPr>
          <w:p w14:paraId="5B14513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eastAsia"/>
                <w:sz w:val="21"/>
                <w:szCs w:val="21"/>
                <w:highlight w:val="none"/>
                <w:vertAlign w:val="baseline"/>
                <w:lang w:val="en-US" w:eastAsia="zh-CN"/>
              </w:rPr>
              <w:t>灰色、固态</w:t>
            </w:r>
          </w:p>
        </w:tc>
        <w:tc>
          <w:tcPr>
            <w:tcW w:w="892" w:type="dxa"/>
            <w:vAlign w:val="center"/>
          </w:tcPr>
          <w:p w14:paraId="152A12F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7.71</w:t>
            </w:r>
          </w:p>
        </w:tc>
        <w:tc>
          <w:tcPr>
            <w:tcW w:w="702" w:type="dxa"/>
            <w:vAlign w:val="center"/>
          </w:tcPr>
          <w:p w14:paraId="2A728B0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ND</w:t>
            </w:r>
          </w:p>
        </w:tc>
        <w:tc>
          <w:tcPr>
            <w:tcW w:w="702" w:type="dxa"/>
            <w:vAlign w:val="center"/>
          </w:tcPr>
          <w:p w14:paraId="79FEB7D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ND</w:t>
            </w:r>
          </w:p>
        </w:tc>
        <w:tc>
          <w:tcPr>
            <w:tcW w:w="703" w:type="dxa"/>
            <w:vAlign w:val="center"/>
          </w:tcPr>
          <w:p w14:paraId="46517E8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0.05</w:t>
            </w:r>
          </w:p>
        </w:tc>
        <w:tc>
          <w:tcPr>
            <w:tcW w:w="703" w:type="dxa"/>
            <w:vAlign w:val="center"/>
          </w:tcPr>
          <w:p w14:paraId="0793AAF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0.09</w:t>
            </w:r>
          </w:p>
        </w:tc>
        <w:tc>
          <w:tcPr>
            <w:tcW w:w="794" w:type="dxa"/>
            <w:vAlign w:val="center"/>
          </w:tcPr>
          <w:p w14:paraId="7848593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bCs/>
                <w:sz w:val="21"/>
                <w:szCs w:val="21"/>
                <w:highlight w:val="none"/>
                <w:vertAlign w:val="baseline"/>
                <w:lang w:val="en-US" w:eastAsia="zh-CN"/>
              </w:rPr>
            </w:pPr>
            <w:r>
              <w:rPr>
                <w:rFonts w:hint="eastAsia"/>
                <w:b/>
                <w:bCs/>
                <w:sz w:val="21"/>
                <w:szCs w:val="21"/>
                <w:highlight w:val="none"/>
                <w:vertAlign w:val="baseline"/>
                <w:lang w:val="en-US" w:eastAsia="zh-CN"/>
              </w:rPr>
              <w:t>0.646</w:t>
            </w:r>
          </w:p>
        </w:tc>
        <w:tc>
          <w:tcPr>
            <w:tcW w:w="855" w:type="dxa"/>
            <w:vAlign w:val="center"/>
          </w:tcPr>
          <w:p w14:paraId="1880E13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ND</w:t>
            </w:r>
          </w:p>
        </w:tc>
        <w:tc>
          <w:tcPr>
            <w:tcW w:w="794" w:type="dxa"/>
            <w:vAlign w:val="center"/>
          </w:tcPr>
          <w:p w14:paraId="49821A9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0.0086</w:t>
            </w:r>
          </w:p>
        </w:tc>
        <w:tc>
          <w:tcPr>
            <w:tcW w:w="970" w:type="dxa"/>
            <w:vAlign w:val="center"/>
          </w:tcPr>
          <w:p w14:paraId="09EF6EB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ND</w:t>
            </w:r>
          </w:p>
        </w:tc>
        <w:tc>
          <w:tcPr>
            <w:tcW w:w="880" w:type="dxa"/>
            <w:shd w:val="clear" w:color="auto" w:fill="auto"/>
            <w:vAlign w:val="center"/>
          </w:tcPr>
          <w:p w14:paraId="3EE6B12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eastAsia" w:cs="Times New Roman"/>
                <w:kern w:val="2"/>
                <w:sz w:val="21"/>
                <w:szCs w:val="21"/>
                <w:highlight w:val="none"/>
                <w:vertAlign w:val="baseline"/>
                <w:lang w:val="en-US" w:eastAsia="zh-CN" w:bidi="ar-SA"/>
              </w:rPr>
              <w:t>ND</w:t>
            </w:r>
          </w:p>
        </w:tc>
        <w:tc>
          <w:tcPr>
            <w:tcW w:w="879" w:type="dxa"/>
            <w:shd w:val="clear" w:color="auto" w:fill="auto"/>
            <w:vAlign w:val="center"/>
          </w:tcPr>
          <w:p w14:paraId="46EC08E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eastAsia" w:cs="Times New Roman"/>
                <w:kern w:val="2"/>
                <w:sz w:val="21"/>
                <w:szCs w:val="21"/>
                <w:highlight w:val="none"/>
                <w:vertAlign w:val="baseline"/>
                <w:lang w:val="en-US" w:eastAsia="zh-CN" w:bidi="ar-SA"/>
              </w:rPr>
              <w:t>ND</w:t>
            </w:r>
          </w:p>
        </w:tc>
      </w:tr>
      <w:tr w14:paraId="7426306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039" w:type="dxa"/>
            <w:shd w:val="clear" w:color="auto" w:fill="auto"/>
            <w:vAlign w:val="center"/>
          </w:tcPr>
          <w:p w14:paraId="2C918AF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default" w:ascii="Times New Roman" w:hAnsi="Times New Roman" w:cs="Times New Roman"/>
                <w:sz w:val="21"/>
                <w:szCs w:val="21"/>
                <w:highlight w:val="none"/>
                <w:vertAlign w:val="baseline"/>
                <w:lang w:val="en-US" w:eastAsia="zh-CN"/>
              </w:rPr>
              <w:t>南尧村2#废渣堆</w:t>
            </w:r>
            <w:r>
              <w:rPr>
                <w:rFonts w:hint="default" w:ascii="Times New Roman" w:hAnsi="Times New Roman" w:eastAsia="宋体" w:cs="Times New Roman"/>
                <w:sz w:val="21"/>
                <w:szCs w:val="21"/>
                <w:highlight w:val="none"/>
                <w:vertAlign w:val="baseline"/>
                <w:lang w:val="en-US" w:eastAsia="zh-CN"/>
              </w:rPr>
              <w:t>Ⅵ</w:t>
            </w:r>
            <w:r>
              <w:rPr>
                <w:rFonts w:hint="default" w:ascii="Times New Roman" w:hAnsi="Times New Roman" w:cs="Times New Roman"/>
                <w:sz w:val="21"/>
                <w:szCs w:val="21"/>
                <w:highlight w:val="none"/>
                <w:vertAlign w:val="baseline"/>
                <w:lang w:val="en-US" w:eastAsia="zh-CN"/>
              </w:rPr>
              <w:t>区ZK2-11</w:t>
            </w:r>
          </w:p>
        </w:tc>
        <w:tc>
          <w:tcPr>
            <w:tcW w:w="732" w:type="dxa"/>
            <w:vMerge w:val="continue"/>
            <w:vAlign w:val="center"/>
          </w:tcPr>
          <w:p w14:paraId="6CBE11A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p>
        </w:tc>
        <w:tc>
          <w:tcPr>
            <w:tcW w:w="1520" w:type="dxa"/>
            <w:shd w:val="clear" w:color="auto" w:fill="auto"/>
            <w:vAlign w:val="center"/>
          </w:tcPr>
          <w:p w14:paraId="6767AC5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eastAsia"/>
                <w:sz w:val="21"/>
                <w:szCs w:val="21"/>
                <w:highlight w:val="none"/>
                <w:vertAlign w:val="baseline"/>
                <w:lang w:val="en-US" w:eastAsia="zh-CN"/>
              </w:rPr>
              <w:t>灰色、固态</w:t>
            </w:r>
          </w:p>
        </w:tc>
        <w:tc>
          <w:tcPr>
            <w:tcW w:w="892" w:type="dxa"/>
            <w:vAlign w:val="center"/>
          </w:tcPr>
          <w:p w14:paraId="7FAA3BF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7.46</w:t>
            </w:r>
          </w:p>
        </w:tc>
        <w:tc>
          <w:tcPr>
            <w:tcW w:w="702" w:type="dxa"/>
            <w:vAlign w:val="center"/>
          </w:tcPr>
          <w:p w14:paraId="6A1C5A4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ND</w:t>
            </w:r>
          </w:p>
        </w:tc>
        <w:tc>
          <w:tcPr>
            <w:tcW w:w="702" w:type="dxa"/>
            <w:vAlign w:val="center"/>
          </w:tcPr>
          <w:p w14:paraId="0C881B9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ND</w:t>
            </w:r>
          </w:p>
        </w:tc>
        <w:tc>
          <w:tcPr>
            <w:tcW w:w="703" w:type="dxa"/>
            <w:vAlign w:val="center"/>
          </w:tcPr>
          <w:p w14:paraId="3A2C2D7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ND</w:t>
            </w:r>
          </w:p>
        </w:tc>
        <w:tc>
          <w:tcPr>
            <w:tcW w:w="703" w:type="dxa"/>
            <w:vAlign w:val="center"/>
          </w:tcPr>
          <w:p w14:paraId="547DF27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0.08</w:t>
            </w:r>
          </w:p>
        </w:tc>
        <w:tc>
          <w:tcPr>
            <w:tcW w:w="794" w:type="dxa"/>
            <w:vAlign w:val="center"/>
          </w:tcPr>
          <w:p w14:paraId="16C2134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bCs/>
                <w:sz w:val="21"/>
                <w:szCs w:val="21"/>
                <w:highlight w:val="none"/>
                <w:vertAlign w:val="baseline"/>
                <w:lang w:val="en-US" w:eastAsia="zh-CN"/>
              </w:rPr>
            </w:pPr>
            <w:r>
              <w:rPr>
                <w:rFonts w:hint="eastAsia"/>
                <w:b/>
                <w:bCs/>
                <w:sz w:val="21"/>
                <w:szCs w:val="21"/>
                <w:highlight w:val="none"/>
                <w:vertAlign w:val="baseline"/>
                <w:lang w:val="en-US" w:eastAsia="zh-CN"/>
              </w:rPr>
              <w:t>0.744</w:t>
            </w:r>
          </w:p>
        </w:tc>
        <w:tc>
          <w:tcPr>
            <w:tcW w:w="855" w:type="dxa"/>
            <w:vAlign w:val="center"/>
          </w:tcPr>
          <w:p w14:paraId="1CA955F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ND</w:t>
            </w:r>
          </w:p>
        </w:tc>
        <w:tc>
          <w:tcPr>
            <w:tcW w:w="794" w:type="dxa"/>
            <w:vAlign w:val="center"/>
          </w:tcPr>
          <w:p w14:paraId="6449898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ND</w:t>
            </w:r>
          </w:p>
        </w:tc>
        <w:tc>
          <w:tcPr>
            <w:tcW w:w="970" w:type="dxa"/>
            <w:vAlign w:val="center"/>
          </w:tcPr>
          <w:p w14:paraId="6EB0D93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ND</w:t>
            </w:r>
          </w:p>
        </w:tc>
        <w:tc>
          <w:tcPr>
            <w:tcW w:w="880" w:type="dxa"/>
            <w:shd w:val="clear" w:color="auto" w:fill="auto"/>
            <w:vAlign w:val="center"/>
          </w:tcPr>
          <w:p w14:paraId="250C7EC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eastAsia" w:cs="Times New Roman"/>
                <w:kern w:val="2"/>
                <w:sz w:val="21"/>
                <w:szCs w:val="21"/>
                <w:highlight w:val="none"/>
                <w:vertAlign w:val="baseline"/>
                <w:lang w:val="en-US" w:eastAsia="zh-CN" w:bidi="ar-SA"/>
              </w:rPr>
              <w:t>ND</w:t>
            </w:r>
          </w:p>
        </w:tc>
        <w:tc>
          <w:tcPr>
            <w:tcW w:w="879" w:type="dxa"/>
            <w:shd w:val="clear" w:color="auto" w:fill="auto"/>
            <w:vAlign w:val="center"/>
          </w:tcPr>
          <w:p w14:paraId="40BBB57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eastAsia" w:cs="Times New Roman"/>
                <w:kern w:val="2"/>
                <w:sz w:val="21"/>
                <w:szCs w:val="21"/>
                <w:highlight w:val="none"/>
                <w:vertAlign w:val="baseline"/>
                <w:lang w:val="en-US" w:eastAsia="zh-CN" w:bidi="ar-SA"/>
              </w:rPr>
              <w:t>ND</w:t>
            </w:r>
          </w:p>
        </w:tc>
      </w:tr>
      <w:tr w14:paraId="4478A99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039" w:type="dxa"/>
            <w:shd w:val="clear" w:color="auto" w:fill="auto"/>
            <w:vAlign w:val="center"/>
          </w:tcPr>
          <w:p w14:paraId="2F2AEE9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default" w:ascii="Times New Roman" w:hAnsi="Times New Roman" w:cs="Times New Roman"/>
                <w:sz w:val="21"/>
                <w:szCs w:val="21"/>
                <w:highlight w:val="none"/>
                <w:vertAlign w:val="baseline"/>
                <w:lang w:val="en-US" w:eastAsia="zh-CN"/>
              </w:rPr>
              <w:t>南尧村2#废渣堆</w:t>
            </w:r>
            <w:r>
              <w:rPr>
                <w:rFonts w:hint="default" w:ascii="Times New Roman" w:hAnsi="Times New Roman" w:eastAsia="宋体" w:cs="Times New Roman"/>
                <w:sz w:val="21"/>
                <w:szCs w:val="21"/>
                <w:highlight w:val="none"/>
                <w:vertAlign w:val="baseline"/>
                <w:lang w:val="en-US" w:eastAsia="zh-CN"/>
              </w:rPr>
              <w:t>Ⅰ</w:t>
            </w:r>
            <w:r>
              <w:rPr>
                <w:rFonts w:hint="default" w:ascii="Times New Roman" w:hAnsi="Times New Roman" w:cs="Times New Roman"/>
                <w:sz w:val="21"/>
                <w:szCs w:val="21"/>
                <w:highlight w:val="none"/>
                <w:vertAlign w:val="baseline"/>
                <w:lang w:val="en-US" w:eastAsia="zh-CN"/>
              </w:rPr>
              <w:t>区ZK2-12</w:t>
            </w:r>
          </w:p>
        </w:tc>
        <w:tc>
          <w:tcPr>
            <w:tcW w:w="732" w:type="dxa"/>
            <w:vMerge w:val="continue"/>
            <w:vAlign w:val="center"/>
          </w:tcPr>
          <w:p w14:paraId="6AEA695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p>
        </w:tc>
        <w:tc>
          <w:tcPr>
            <w:tcW w:w="1520" w:type="dxa"/>
            <w:shd w:val="clear" w:color="auto" w:fill="auto"/>
            <w:vAlign w:val="center"/>
          </w:tcPr>
          <w:p w14:paraId="21C8B9C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eastAsia"/>
                <w:sz w:val="21"/>
                <w:szCs w:val="21"/>
                <w:highlight w:val="none"/>
                <w:vertAlign w:val="baseline"/>
                <w:lang w:val="en-US" w:eastAsia="zh-CN"/>
              </w:rPr>
              <w:t>灰色、固态</w:t>
            </w:r>
          </w:p>
        </w:tc>
        <w:tc>
          <w:tcPr>
            <w:tcW w:w="892" w:type="dxa"/>
            <w:vAlign w:val="center"/>
          </w:tcPr>
          <w:p w14:paraId="51F0104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7.68</w:t>
            </w:r>
          </w:p>
        </w:tc>
        <w:tc>
          <w:tcPr>
            <w:tcW w:w="702" w:type="dxa"/>
            <w:vAlign w:val="center"/>
          </w:tcPr>
          <w:p w14:paraId="203BE8A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ND</w:t>
            </w:r>
          </w:p>
        </w:tc>
        <w:tc>
          <w:tcPr>
            <w:tcW w:w="702" w:type="dxa"/>
            <w:vAlign w:val="center"/>
          </w:tcPr>
          <w:p w14:paraId="6C2EC5E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ND</w:t>
            </w:r>
          </w:p>
        </w:tc>
        <w:tc>
          <w:tcPr>
            <w:tcW w:w="703" w:type="dxa"/>
            <w:vAlign w:val="center"/>
          </w:tcPr>
          <w:p w14:paraId="1875B81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0.07</w:t>
            </w:r>
          </w:p>
        </w:tc>
        <w:tc>
          <w:tcPr>
            <w:tcW w:w="703" w:type="dxa"/>
            <w:vAlign w:val="center"/>
          </w:tcPr>
          <w:p w14:paraId="7A9E89B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0.03</w:t>
            </w:r>
          </w:p>
        </w:tc>
        <w:tc>
          <w:tcPr>
            <w:tcW w:w="794" w:type="dxa"/>
            <w:vAlign w:val="center"/>
          </w:tcPr>
          <w:p w14:paraId="4ECB821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0.0176</w:t>
            </w:r>
          </w:p>
        </w:tc>
        <w:tc>
          <w:tcPr>
            <w:tcW w:w="855" w:type="dxa"/>
            <w:vAlign w:val="center"/>
          </w:tcPr>
          <w:p w14:paraId="0D80E38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ND</w:t>
            </w:r>
          </w:p>
        </w:tc>
        <w:tc>
          <w:tcPr>
            <w:tcW w:w="794" w:type="dxa"/>
            <w:vAlign w:val="center"/>
          </w:tcPr>
          <w:p w14:paraId="30E0DDD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ND</w:t>
            </w:r>
          </w:p>
        </w:tc>
        <w:tc>
          <w:tcPr>
            <w:tcW w:w="970" w:type="dxa"/>
            <w:vAlign w:val="center"/>
          </w:tcPr>
          <w:p w14:paraId="0956E9B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ND</w:t>
            </w:r>
          </w:p>
        </w:tc>
        <w:tc>
          <w:tcPr>
            <w:tcW w:w="880" w:type="dxa"/>
            <w:shd w:val="clear" w:color="auto" w:fill="auto"/>
            <w:vAlign w:val="center"/>
          </w:tcPr>
          <w:p w14:paraId="0415833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eastAsia" w:cs="Times New Roman"/>
                <w:kern w:val="2"/>
                <w:sz w:val="21"/>
                <w:szCs w:val="21"/>
                <w:highlight w:val="none"/>
                <w:vertAlign w:val="baseline"/>
                <w:lang w:val="en-US" w:eastAsia="zh-CN" w:bidi="ar-SA"/>
              </w:rPr>
              <w:t>ND</w:t>
            </w:r>
          </w:p>
        </w:tc>
        <w:tc>
          <w:tcPr>
            <w:tcW w:w="879" w:type="dxa"/>
            <w:shd w:val="clear" w:color="auto" w:fill="auto"/>
            <w:vAlign w:val="center"/>
          </w:tcPr>
          <w:p w14:paraId="4084D14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eastAsia" w:cs="Times New Roman"/>
                <w:kern w:val="2"/>
                <w:sz w:val="21"/>
                <w:szCs w:val="21"/>
                <w:highlight w:val="none"/>
                <w:vertAlign w:val="baseline"/>
                <w:lang w:val="en-US" w:eastAsia="zh-CN" w:bidi="ar-SA"/>
              </w:rPr>
              <w:t>ND</w:t>
            </w:r>
          </w:p>
        </w:tc>
      </w:tr>
      <w:tr w14:paraId="1FEE673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291" w:type="dxa"/>
            <w:gridSpan w:val="3"/>
            <w:vAlign w:val="center"/>
          </w:tcPr>
          <w:p w14:paraId="06D10BA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bCs/>
                <w:sz w:val="21"/>
                <w:szCs w:val="21"/>
                <w:highlight w:val="none"/>
                <w:vertAlign w:val="baseline"/>
                <w:lang w:val="en-US" w:eastAsia="zh-CN"/>
              </w:rPr>
            </w:pPr>
            <w:r>
              <w:rPr>
                <w:rFonts w:hint="eastAsia"/>
                <w:b/>
                <w:bCs/>
                <w:sz w:val="21"/>
                <w:szCs w:val="21"/>
                <w:highlight w:val="none"/>
                <w:vertAlign w:val="baseline"/>
                <w:lang w:val="en-US" w:eastAsia="zh-CN"/>
              </w:rPr>
              <w:t>限值</w:t>
            </w:r>
          </w:p>
        </w:tc>
        <w:tc>
          <w:tcPr>
            <w:tcW w:w="892" w:type="dxa"/>
            <w:vAlign w:val="center"/>
          </w:tcPr>
          <w:p w14:paraId="098FBD6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bCs/>
                <w:sz w:val="21"/>
                <w:szCs w:val="21"/>
                <w:highlight w:val="none"/>
                <w:vertAlign w:val="baseline"/>
                <w:lang w:val="en-US" w:eastAsia="zh-CN"/>
              </w:rPr>
            </w:pPr>
            <w:r>
              <w:rPr>
                <w:rFonts w:hint="eastAsia"/>
                <w:b/>
                <w:bCs/>
                <w:sz w:val="21"/>
                <w:szCs w:val="21"/>
                <w:highlight w:val="none"/>
                <w:vertAlign w:val="baseline"/>
                <w:lang w:val="en-US" w:eastAsia="zh-CN"/>
              </w:rPr>
              <w:t>6~9</w:t>
            </w:r>
          </w:p>
        </w:tc>
        <w:tc>
          <w:tcPr>
            <w:tcW w:w="702" w:type="dxa"/>
            <w:vAlign w:val="center"/>
          </w:tcPr>
          <w:p w14:paraId="6391293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bCs/>
                <w:sz w:val="21"/>
                <w:szCs w:val="21"/>
                <w:highlight w:val="none"/>
                <w:vertAlign w:val="baseline"/>
                <w:lang w:val="en-US" w:eastAsia="zh-CN"/>
              </w:rPr>
            </w:pPr>
            <w:r>
              <w:rPr>
                <w:rFonts w:hint="eastAsia"/>
                <w:b/>
                <w:bCs/>
                <w:sz w:val="21"/>
                <w:szCs w:val="21"/>
                <w:highlight w:val="none"/>
                <w:vertAlign w:val="baseline"/>
                <w:lang w:val="en-US" w:eastAsia="zh-CN"/>
              </w:rPr>
              <w:t>1.5</w:t>
            </w:r>
          </w:p>
        </w:tc>
        <w:tc>
          <w:tcPr>
            <w:tcW w:w="702" w:type="dxa"/>
            <w:vAlign w:val="center"/>
          </w:tcPr>
          <w:p w14:paraId="4233029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bCs/>
                <w:sz w:val="21"/>
                <w:szCs w:val="21"/>
                <w:highlight w:val="none"/>
                <w:vertAlign w:val="baseline"/>
                <w:lang w:val="en-US" w:eastAsia="zh-CN"/>
              </w:rPr>
            </w:pPr>
            <w:r>
              <w:rPr>
                <w:rFonts w:hint="eastAsia"/>
                <w:b/>
                <w:bCs/>
                <w:sz w:val="21"/>
                <w:szCs w:val="21"/>
                <w:highlight w:val="none"/>
                <w:vertAlign w:val="baseline"/>
                <w:lang w:val="en-US" w:eastAsia="zh-CN"/>
              </w:rPr>
              <w:t>1.0</w:t>
            </w:r>
          </w:p>
        </w:tc>
        <w:tc>
          <w:tcPr>
            <w:tcW w:w="703" w:type="dxa"/>
            <w:vAlign w:val="center"/>
          </w:tcPr>
          <w:p w14:paraId="0EEE6FB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bCs/>
                <w:sz w:val="21"/>
                <w:szCs w:val="21"/>
                <w:highlight w:val="none"/>
                <w:vertAlign w:val="baseline"/>
                <w:lang w:val="en-US" w:eastAsia="zh-CN"/>
              </w:rPr>
            </w:pPr>
            <w:r>
              <w:rPr>
                <w:rFonts w:hint="eastAsia"/>
                <w:b/>
                <w:bCs/>
                <w:sz w:val="21"/>
                <w:szCs w:val="21"/>
                <w:highlight w:val="none"/>
                <w:vertAlign w:val="baseline"/>
                <w:lang w:val="en-US" w:eastAsia="zh-CN"/>
              </w:rPr>
              <w:t>0.5</w:t>
            </w:r>
          </w:p>
        </w:tc>
        <w:tc>
          <w:tcPr>
            <w:tcW w:w="703" w:type="dxa"/>
            <w:vAlign w:val="center"/>
          </w:tcPr>
          <w:p w14:paraId="1A3DAE8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bCs/>
                <w:sz w:val="21"/>
                <w:szCs w:val="21"/>
                <w:highlight w:val="none"/>
                <w:vertAlign w:val="baseline"/>
                <w:lang w:val="en-US" w:eastAsia="zh-CN"/>
              </w:rPr>
            </w:pPr>
            <w:r>
              <w:rPr>
                <w:rFonts w:hint="eastAsia"/>
                <w:b/>
                <w:bCs/>
                <w:sz w:val="21"/>
                <w:szCs w:val="21"/>
                <w:highlight w:val="none"/>
                <w:vertAlign w:val="baseline"/>
                <w:lang w:val="en-US" w:eastAsia="zh-CN"/>
              </w:rPr>
              <w:t>2.0</w:t>
            </w:r>
          </w:p>
        </w:tc>
        <w:tc>
          <w:tcPr>
            <w:tcW w:w="794" w:type="dxa"/>
            <w:vAlign w:val="center"/>
          </w:tcPr>
          <w:p w14:paraId="5E3D504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bCs/>
                <w:sz w:val="21"/>
                <w:szCs w:val="21"/>
                <w:highlight w:val="none"/>
                <w:vertAlign w:val="baseline"/>
                <w:lang w:val="en-US" w:eastAsia="zh-CN"/>
              </w:rPr>
            </w:pPr>
            <w:r>
              <w:rPr>
                <w:rFonts w:hint="eastAsia"/>
                <w:b/>
                <w:bCs/>
                <w:sz w:val="21"/>
                <w:szCs w:val="21"/>
                <w:highlight w:val="none"/>
                <w:vertAlign w:val="baseline"/>
                <w:lang w:val="en-US" w:eastAsia="zh-CN"/>
              </w:rPr>
              <w:t>0.5</w:t>
            </w:r>
          </w:p>
        </w:tc>
        <w:tc>
          <w:tcPr>
            <w:tcW w:w="855" w:type="dxa"/>
            <w:vAlign w:val="center"/>
          </w:tcPr>
          <w:p w14:paraId="2D1F365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bCs/>
                <w:sz w:val="21"/>
                <w:szCs w:val="21"/>
                <w:highlight w:val="none"/>
                <w:vertAlign w:val="baseline"/>
                <w:lang w:val="en-US" w:eastAsia="zh-CN"/>
              </w:rPr>
            </w:pPr>
            <w:r>
              <w:rPr>
                <w:rFonts w:hint="eastAsia"/>
                <w:b/>
                <w:bCs/>
                <w:sz w:val="21"/>
                <w:szCs w:val="21"/>
                <w:highlight w:val="none"/>
                <w:vertAlign w:val="baseline"/>
                <w:lang w:val="en-US" w:eastAsia="zh-CN"/>
              </w:rPr>
              <w:t>0.1</w:t>
            </w:r>
          </w:p>
        </w:tc>
        <w:tc>
          <w:tcPr>
            <w:tcW w:w="794" w:type="dxa"/>
            <w:vAlign w:val="center"/>
          </w:tcPr>
          <w:p w14:paraId="17B3A37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bCs/>
                <w:sz w:val="21"/>
                <w:szCs w:val="21"/>
                <w:highlight w:val="none"/>
                <w:vertAlign w:val="baseline"/>
                <w:lang w:val="en-US" w:eastAsia="zh-CN"/>
              </w:rPr>
            </w:pPr>
            <w:r>
              <w:rPr>
                <w:rFonts w:hint="eastAsia"/>
                <w:b/>
                <w:bCs/>
                <w:sz w:val="21"/>
                <w:szCs w:val="21"/>
                <w:highlight w:val="none"/>
                <w:vertAlign w:val="baseline"/>
                <w:lang w:val="en-US" w:eastAsia="zh-CN"/>
              </w:rPr>
              <w:t>1.0</w:t>
            </w:r>
          </w:p>
        </w:tc>
        <w:tc>
          <w:tcPr>
            <w:tcW w:w="970" w:type="dxa"/>
            <w:vAlign w:val="center"/>
          </w:tcPr>
          <w:p w14:paraId="38538BE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bCs/>
                <w:sz w:val="21"/>
                <w:szCs w:val="21"/>
                <w:highlight w:val="none"/>
                <w:vertAlign w:val="baseline"/>
                <w:lang w:val="en-US" w:eastAsia="zh-CN"/>
              </w:rPr>
            </w:pPr>
            <w:r>
              <w:rPr>
                <w:rFonts w:hint="eastAsia"/>
                <w:b/>
                <w:bCs/>
                <w:sz w:val="21"/>
                <w:szCs w:val="21"/>
                <w:highlight w:val="none"/>
                <w:vertAlign w:val="baseline"/>
                <w:lang w:val="en-US" w:eastAsia="zh-CN"/>
              </w:rPr>
              <w:t>0.05</w:t>
            </w:r>
          </w:p>
        </w:tc>
        <w:tc>
          <w:tcPr>
            <w:tcW w:w="880" w:type="dxa"/>
            <w:vAlign w:val="center"/>
          </w:tcPr>
          <w:p w14:paraId="4309B32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bCs/>
                <w:sz w:val="21"/>
                <w:szCs w:val="21"/>
                <w:highlight w:val="none"/>
                <w:vertAlign w:val="baseline"/>
                <w:lang w:val="en-US" w:eastAsia="zh-CN"/>
              </w:rPr>
            </w:pPr>
            <w:r>
              <w:rPr>
                <w:rFonts w:hint="eastAsia"/>
                <w:b/>
                <w:bCs/>
                <w:sz w:val="21"/>
                <w:szCs w:val="21"/>
                <w:highlight w:val="none"/>
                <w:vertAlign w:val="baseline"/>
                <w:lang w:val="en-US" w:eastAsia="zh-CN"/>
              </w:rPr>
              <w:t>0.5</w:t>
            </w:r>
          </w:p>
        </w:tc>
        <w:tc>
          <w:tcPr>
            <w:tcW w:w="879" w:type="dxa"/>
            <w:vAlign w:val="center"/>
          </w:tcPr>
          <w:p w14:paraId="0616318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bCs/>
                <w:sz w:val="21"/>
                <w:szCs w:val="21"/>
                <w:highlight w:val="none"/>
                <w:vertAlign w:val="baseline"/>
                <w:lang w:val="en-US" w:eastAsia="zh-CN"/>
              </w:rPr>
            </w:pPr>
            <w:r>
              <w:rPr>
                <w:rFonts w:hint="eastAsia"/>
                <w:b/>
                <w:bCs/>
                <w:sz w:val="21"/>
                <w:szCs w:val="21"/>
                <w:highlight w:val="none"/>
                <w:vertAlign w:val="baseline"/>
                <w:lang w:val="en-US" w:eastAsia="zh-CN"/>
              </w:rPr>
              <w:t>0.5</w:t>
            </w:r>
          </w:p>
        </w:tc>
      </w:tr>
      <w:tr w14:paraId="7FF8B17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4165" w:type="dxa"/>
            <w:gridSpan w:val="14"/>
            <w:vAlign w:val="center"/>
          </w:tcPr>
          <w:p w14:paraId="697953DA">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b/>
                <w:bCs/>
                <w:sz w:val="21"/>
                <w:szCs w:val="21"/>
                <w:highlight w:val="none"/>
                <w:vertAlign w:val="baseline"/>
                <w:lang w:val="en-US" w:eastAsia="zh-CN"/>
              </w:rPr>
            </w:pPr>
            <w:r>
              <w:rPr>
                <w:rFonts w:hint="eastAsia"/>
                <w:b/>
                <w:bCs/>
                <w:sz w:val="21"/>
                <w:szCs w:val="21"/>
                <w:highlight w:val="none"/>
                <w:vertAlign w:val="baseline"/>
                <w:lang w:val="en-US" w:eastAsia="zh-CN"/>
              </w:rPr>
              <w:t>注：“ND”表示未检出。</w:t>
            </w:r>
          </w:p>
        </w:tc>
      </w:tr>
    </w:tbl>
    <w:p w14:paraId="4FEB048F">
      <w:pPr>
        <w:bidi w:val="0"/>
        <w:rPr>
          <w:rFonts w:hint="default" w:ascii="Times New Roman" w:hAnsi="Times New Roman" w:cs="Times New Roman"/>
          <w:lang w:val="en-US" w:eastAsia="zh-CN"/>
        </w:rPr>
        <w:sectPr>
          <w:pgSz w:w="16783" w:h="11850" w:orient="landscape"/>
          <w:pgMar w:top="1134" w:right="1417" w:bottom="1134" w:left="1417" w:header="851" w:footer="992" w:gutter="0"/>
          <w:pgNumType w:fmt="decimal"/>
          <w:cols w:space="425" w:num="1"/>
          <w:docGrid w:type="lines" w:linePitch="312" w:charSpace="0"/>
        </w:sectPr>
      </w:pPr>
      <w:r>
        <w:rPr>
          <w:rFonts w:hint="default" w:ascii="Times New Roman" w:hAnsi="Times New Roman" w:cs="Times New Roman"/>
          <w:lang w:val="en-US" w:eastAsia="zh-CN"/>
        </w:rPr>
        <w:t>由上表可知：</w:t>
      </w:r>
      <w:r>
        <w:rPr>
          <w:rFonts w:hint="default" w:ascii="Times New Roman" w:hAnsi="Times New Roman" w:cs="Times New Roman"/>
        </w:rPr>
        <w:t>南尧村1#废渣堆所有废渣样品水浸溶液的砷检测结果均超过《污水综合排放标准》（GB8978-1996）最高允许排放浓度，其余检测指标的检测结果均未超过《污水综合排放标准》（GB8978-1996）最高允许排放浓度；南尧村2#废渣堆12个废渣样品中有10个废渣样品水浸溶液的砷检测结果超过《污水综合排放标准》（GB8978-1996）最高允许排放浓度，其余检测指标的检测结果未超过《污水综合排放标准》（GB8978-1996）最高允许排放浓度。因此，</w:t>
      </w:r>
      <w:r>
        <w:rPr>
          <w:rFonts w:hint="default" w:ascii="Times New Roman" w:hAnsi="Times New Roman" w:cs="Times New Roman"/>
          <w:lang w:val="en-US" w:eastAsia="zh-CN"/>
        </w:rPr>
        <w:t>南尧村1#废渣堆</w:t>
      </w:r>
      <w:r>
        <w:rPr>
          <w:rFonts w:hint="default" w:ascii="Times New Roman" w:hAnsi="Times New Roman" w:cs="Times New Roman"/>
          <w:sz w:val="24"/>
          <w:szCs w:val="24"/>
          <w:lang w:val="en-US" w:eastAsia="zh-CN"/>
        </w:rPr>
        <w:t>Ⅰ区、</w:t>
      </w:r>
      <w:r>
        <w:rPr>
          <w:rFonts w:hint="default" w:ascii="Times New Roman" w:hAnsi="Times New Roman" w:eastAsia="宋体" w:cs="Times New Roman"/>
          <w:sz w:val="24"/>
          <w:szCs w:val="24"/>
          <w:highlight w:val="none"/>
          <w:vertAlign w:val="baseline"/>
          <w:lang w:val="en-US" w:eastAsia="zh-CN"/>
        </w:rPr>
        <w:t>Ⅱ</w:t>
      </w:r>
      <w:r>
        <w:rPr>
          <w:rFonts w:hint="default" w:ascii="Times New Roman" w:hAnsi="Times New Roman" w:cs="Times New Roman"/>
          <w:sz w:val="24"/>
          <w:szCs w:val="24"/>
          <w:lang w:val="en-US" w:eastAsia="zh-CN"/>
        </w:rPr>
        <w:t>区及南尧村2#废渣堆Ⅱ区、Ⅲ区、Ⅳ区、Ⅴ区、Ⅵ区存在Ⅱ类一般工业固废，南尧村2#废渣堆Ⅰ区、Ⅵ区存在Ⅰ类一般工业固废</w:t>
      </w:r>
      <w:r>
        <w:rPr>
          <w:rFonts w:hint="default" w:ascii="Times New Roman" w:hAnsi="Times New Roman" w:cs="Times New Roman"/>
          <w:lang w:val="en-US" w:eastAsia="zh-CN"/>
        </w:rPr>
        <w:t>。</w:t>
      </w:r>
    </w:p>
    <w:p w14:paraId="0CD79AD6">
      <w:pPr>
        <w:ind w:firstLine="480"/>
      </w:pPr>
      <w:r>
        <w:t>为</w:t>
      </w:r>
      <w:r>
        <w:rPr>
          <w:rFonts w:hint="eastAsia"/>
        </w:rPr>
        <w:t>进一步</w:t>
      </w:r>
      <w:r>
        <w:t>明确南尧村1#废渣堆、2#废渣堆</w:t>
      </w:r>
      <w:r>
        <w:rPr>
          <w:rFonts w:hint="eastAsia"/>
        </w:rPr>
        <w:t>的</w:t>
      </w:r>
      <w:r>
        <w:t>Ⅰ类固废、Ⅱ类固废分布情况，</w:t>
      </w:r>
      <w:r>
        <w:rPr>
          <w:rFonts w:hint="eastAsia"/>
        </w:rPr>
        <w:t>同时</w:t>
      </w:r>
      <w:r>
        <w:t>确定废渣堆红线范围，</w:t>
      </w:r>
      <w:r>
        <w:rPr>
          <w:rFonts w:hint="eastAsia"/>
        </w:rPr>
        <w:t>2022年7月31日，湖南安博检测有限公司对遗留废渣进行了补充采样监测，设置了31个采样点位。</w:t>
      </w:r>
    </w:p>
    <w:p w14:paraId="3BBD4C44">
      <w:pPr>
        <w:rPr>
          <w:rFonts w:hint="eastAsia"/>
          <w:highlight w:val="none"/>
          <w:lang w:val="en-US" w:eastAsia="zh-CN"/>
        </w:rPr>
      </w:pPr>
      <w:r>
        <w:rPr>
          <w:rFonts w:hint="eastAsia"/>
        </w:rPr>
        <w:t>各补充检测点位布设和采样情况见表3.1-9~10，</w:t>
      </w:r>
      <w:r>
        <w:t>补充</w:t>
      </w:r>
      <w:r>
        <w:rPr>
          <w:rFonts w:hint="eastAsia"/>
        </w:rPr>
        <w:t>采样</w:t>
      </w:r>
      <w:r>
        <w:t>检测</w:t>
      </w:r>
      <w:r>
        <w:rPr>
          <w:rFonts w:hint="eastAsia"/>
        </w:rPr>
        <w:t>结果见表3.1-11</w:t>
      </w:r>
      <w:r>
        <w:rPr>
          <w:rFonts w:hint="default" w:ascii="Times New Roman" w:hAnsi="Times New Roman" w:cs="Times New Roman"/>
          <w:highlight w:val="none"/>
          <w:lang w:val="en-US" w:eastAsia="zh-CN"/>
        </w:rPr>
        <w:t xml:space="preserve">。 </w:t>
      </w:r>
    </w:p>
    <w:p w14:paraId="49E26C90">
      <w:pPr>
        <w:ind w:left="0" w:leftChars="0" w:firstLine="0" w:firstLineChars="0"/>
        <w:jc w:val="center"/>
        <w:rPr>
          <w:rFonts w:hint="default"/>
          <w:b/>
          <w:bCs/>
          <w:sz w:val="21"/>
          <w:szCs w:val="21"/>
          <w:highlight w:val="none"/>
          <w:lang w:val="en-US" w:eastAsia="zh-CN"/>
        </w:rPr>
      </w:pPr>
      <w:r>
        <w:rPr>
          <w:rFonts w:hint="eastAsia"/>
          <w:b/>
          <w:bCs/>
          <w:sz w:val="21"/>
          <w:szCs w:val="21"/>
          <w:highlight w:val="none"/>
          <w:lang w:val="en-US" w:eastAsia="zh-CN"/>
        </w:rPr>
        <w:t>表3.1-9  南尧村1#废渣堆固废补充监测布点方案</w:t>
      </w:r>
    </w:p>
    <w:tbl>
      <w:tblPr>
        <w:tblStyle w:val="36"/>
        <w:tblW w:w="4996"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2498"/>
        <w:gridCol w:w="1364"/>
        <w:gridCol w:w="1710"/>
        <w:gridCol w:w="1410"/>
        <w:gridCol w:w="1335"/>
        <w:gridCol w:w="908"/>
      </w:tblGrid>
      <w:tr w14:paraId="5A629DB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blHeader/>
        </w:trPr>
        <w:tc>
          <w:tcPr>
            <w:tcW w:w="1353" w:type="pct"/>
            <w:vAlign w:val="center"/>
          </w:tcPr>
          <w:p w14:paraId="0CFDDF5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bCs/>
                <w:sz w:val="21"/>
                <w:szCs w:val="21"/>
                <w:highlight w:val="none"/>
                <w:vertAlign w:val="baseline"/>
                <w:lang w:val="en-US" w:eastAsia="zh-CN"/>
              </w:rPr>
            </w:pPr>
            <w:r>
              <w:rPr>
                <w:rFonts w:hint="eastAsia"/>
                <w:b/>
                <w:bCs/>
                <w:sz w:val="21"/>
                <w:szCs w:val="21"/>
                <w:highlight w:val="none"/>
                <w:vertAlign w:val="baseline"/>
                <w:lang w:val="en-US" w:eastAsia="zh-CN"/>
              </w:rPr>
              <w:t>区域</w:t>
            </w:r>
          </w:p>
        </w:tc>
        <w:tc>
          <w:tcPr>
            <w:tcW w:w="739" w:type="pct"/>
            <w:vAlign w:val="center"/>
          </w:tcPr>
          <w:p w14:paraId="6643447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bCs/>
                <w:sz w:val="21"/>
                <w:szCs w:val="21"/>
                <w:highlight w:val="none"/>
                <w:vertAlign w:val="baseline"/>
                <w:lang w:val="en-US" w:eastAsia="zh-CN"/>
              </w:rPr>
            </w:pPr>
            <w:r>
              <w:rPr>
                <w:rFonts w:hint="eastAsia"/>
                <w:b/>
                <w:bCs/>
                <w:sz w:val="21"/>
                <w:szCs w:val="21"/>
                <w:highlight w:val="none"/>
                <w:vertAlign w:val="baseline"/>
                <w:lang w:val="en-US" w:eastAsia="zh-CN"/>
              </w:rPr>
              <w:t>对应点位号</w:t>
            </w:r>
          </w:p>
        </w:tc>
        <w:tc>
          <w:tcPr>
            <w:tcW w:w="926" w:type="pct"/>
            <w:vAlign w:val="center"/>
          </w:tcPr>
          <w:p w14:paraId="37A9C7A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bCs/>
                <w:sz w:val="21"/>
                <w:szCs w:val="21"/>
                <w:highlight w:val="none"/>
                <w:vertAlign w:val="baseline"/>
                <w:lang w:val="en-US" w:eastAsia="zh-CN"/>
              </w:rPr>
            </w:pPr>
            <w:r>
              <w:rPr>
                <w:rFonts w:hint="eastAsia"/>
                <w:b/>
                <w:bCs/>
                <w:sz w:val="21"/>
                <w:szCs w:val="21"/>
                <w:highlight w:val="none"/>
                <w:vertAlign w:val="baseline"/>
                <w:lang w:val="en-US" w:eastAsia="zh-CN"/>
              </w:rPr>
              <w:t>采样深度（m）</w:t>
            </w:r>
          </w:p>
        </w:tc>
        <w:tc>
          <w:tcPr>
            <w:tcW w:w="764" w:type="pct"/>
            <w:vAlign w:val="center"/>
          </w:tcPr>
          <w:p w14:paraId="4F1B830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bCs/>
                <w:sz w:val="21"/>
                <w:szCs w:val="21"/>
                <w:highlight w:val="none"/>
                <w:vertAlign w:val="baseline"/>
                <w:lang w:val="en-US" w:eastAsia="zh-CN"/>
              </w:rPr>
            </w:pPr>
            <w:r>
              <w:rPr>
                <w:rFonts w:hint="default" w:ascii="Times New Roman" w:hAnsi="Times New Roman" w:cs="Times New Roman"/>
                <w:b/>
                <w:bCs/>
                <w:sz w:val="21"/>
                <w:szCs w:val="21"/>
                <w:highlight w:val="none"/>
                <w:vertAlign w:val="baseline"/>
                <w:lang w:val="en-US" w:eastAsia="zh-CN"/>
              </w:rPr>
              <w:t>经度（°）</w:t>
            </w:r>
          </w:p>
        </w:tc>
        <w:tc>
          <w:tcPr>
            <w:tcW w:w="723" w:type="pct"/>
            <w:vAlign w:val="center"/>
          </w:tcPr>
          <w:p w14:paraId="4E7F9473">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cs="Times New Roman"/>
                <w:b/>
                <w:bCs/>
                <w:sz w:val="21"/>
                <w:szCs w:val="21"/>
                <w:highlight w:val="none"/>
                <w:vertAlign w:val="baseline"/>
                <w:lang w:val="en-US" w:eastAsia="zh-CN"/>
              </w:rPr>
            </w:pPr>
            <w:r>
              <w:rPr>
                <w:rFonts w:hint="default" w:ascii="Times New Roman" w:hAnsi="Times New Roman" w:cs="Times New Roman"/>
                <w:b/>
                <w:bCs/>
                <w:sz w:val="21"/>
                <w:szCs w:val="21"/>
                <w:highlight w:val="none"/>
                <w:vertAlign w:val="baseline"/>
                <w:lang w:val="en-US" w:eastAsia="zh-CN"/>
              </w:rPr>
              <w:t>纬度（°）</w:t>
            </w:r>
          </w:p>
        </w:tc>
        <w:tc>
          <w:tcPr>
            <w:tcW w:w="492" w:type="pct"/>
            <w:vAlign w:val="center"/>
          </w:tcPr>
          <w:p w14:paraId="6E9CB90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bCs/>
                <w:sz w:val="21"/>
                <w:szCs w:val="21"/>
                <w:highlight w:val="none"/>
                <w:vertAlign w:val="baseline"/>
                <w:lang w:val="en-US" w:eastAsia="zh-CN"/>
              </w:rPr>
            </w:pPr>
            <w:r>
              <w:rPr>
                <w:rFonts w:hint="eastAsia"/>
                <w:b/>
                <w:bCs/>
                <w:sz w:val="21"/>
                <w:szCs w:val="21"/>
                <w:highlight w:val="none"/>
                <w:vertAlign w:val="baseline"/>
                <w:lang w:val="en-US" w:eastAsia="zh-CN"/>
              </w:rPr>
              <w:t>样品数</w:t>
            </w:r>
          </w:p>
        </w:tc>
      </w:tr>
      <w:tr w14:paraId="1BB9B96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353" w:type="pct"/>
            <w:vMerge w:val="restart"/>
            <w:vAlign w:val="center"/>
          </w:tcPr>
          <w:p w14:paraId="13976B8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南尧村1#废渣堆Ⅰ</w:t>
            </w:r>
            <w:r>
              <w:rPr>
                <w:rFonts w:hint="default" w:ascii="Times New Roman" w:hAnsi="Times New Roman" w:cs="Times New Roman"/>
                <w:sz w:val="21"/>
                <w:szCs w:val="21"/>
                <w:highlight w:val="none"/>
                <w:vertAlign w:val="baseline"/>
                <w:lang w:val="en-US" w:eastAsia="zh-CN"/>
              </w:rPr>
              <w:t>区</w:t>
            </w:r>
          </w:p>
        </w:tc>
        <w:tc>
          <w:tcPr>
            <w:tcW w:w="739" w:type="pct"/>
            <w:vAlign w:val="center"/>
          </w:tcPr>
          <w:p w14:paraId="555379D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ZK1-6</w:t>
            </w:r>
          </w:p>
        </w:tc>
        <w:tc>
          <w:tcPr>
            <w:tcW w:w="926" w:type="pct"/>
            <w:vAlign w:val="center"/>
          </w:tcPr>
          <w:p w14:paraId="58FB936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1.6</w:t>
            </w:r>
          </w:p>
        </w:tc>
        <w:tc>
          <w:tcPr>
            <w:tcW w:w="764" w:type="pct"/>
            <w:vAlign w:val="center"/>
          </w:tcPr>
          <w:p w14:paraId="5125742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eastAsia"/>
                <w:sz w:val="21"/>
                <w:szCs w:val="21"/>
                <w:highlight w:val="none"/>
                <w:vertAlign w:val="baseline"/>
                <w:lang w:val="en-US" w:eastAsia="zh-CN"/>
              </w:rPr>
              <w:t>113.549179</w:t>
            </w:r>
          </w:p>
        </w:tc>
        <w:tc>
          <w:tcPr>
            <w:tcW w:w="723" w:type="pct"/>
            <w:vAlign w:val="center"/>
          </w:tcPr>
          <w:p w14:paraId="15A2E63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eastAsia"/>
                <w:sz w:val="21"/>
                <w:szCs w:val="21"/>
                <w:highlight w:val="none"/>
                <w:vertAlign w:val="baseline"/>
                <w:lang w:val="en-US" w:eastAsia="zh-CN"/>
              </w:rPr>
              <w:t>28.648735</w:t>
            </w:r>
          </w:p>
        </w:tc>
        <w:tc>
          <w:tcPr>
            <w:tcW w:w="492" w:type="pct"/>
            <w:vAlign w:val="center"/>
          </w:tcPr>
          <w:p w14:paraId="59A11A6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1</w:t>
            </w:r>
          </w:p>
        </w:tc>
      </w:tr>
      <w:tr w14:paraId="34F79C5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353" w:type="pct"/>
            <w:vMerge w:val="continue"/>
            <w:vAlign w:val="center"/>
          </w:tcPr>
          <w:p w14:paraId="239AD13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highlight w:val="none"/>
                <w:vertAlign w:val="baseline"/>
                <w:lang w:val="en-US" w:eastAsia="zh-CN"/>
              </w:rPr>
            </w:pPr>
          </w:p>
        </w:tc>
        <w:tc>
          <w:tcPr>
            <w:tcW w:w="739" w:type="pct"/>
            <w:vAlign w:val="center"/>
          </w:tcPr>
          <w:p w14:paraId="3930011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ZK1-9</w:t>
            </w:r>
          </w:p>
        </w:tc>
        <w:tc>
          <w:tcPr>
            <w:tcW w:w="926" w:type="pct"/>
            <w:vAlign w:val="center"/>
          </w:tcPr>
          <w:p w14:paraId="4CF920B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1.6</w:t>
            </w:r>
          </w:p>
        </w:tc>
        <w:tc>
          <w:tcPr>
            <w:tcW w:w="764" w:type="pct"/>
            <w:vAlign w:val="center"/>
          </w:tcPr>
          <w:p w14:paraId="61FF141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113.548920</w:t>
            </w:r>
          </w:p>
        </w:tc>
        <w:tc>
          <w:tcPr>
            <w:tcW w:w="723" w:type="pct"/>
            <w:vAlign w:val="center"/>
          </w:tcPr>
          <w:p w14:paraId="4152AC4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28.648923</w:t>
            </w:r>
          </w:p>
        </w:tc>
        <w:tc>
          <w:tcPr>
            <w:tcW w:w="492" w:type="pct"/>
            <w:vAlign w:val="center"/>
          </w:tcPr>
          <w:p w14:paraId="7649E23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1</w:t>
            </w:r>
          </w:p>
        </w:tc>
      </w:tr>
      <w:tr w14:paraId="0685921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353" w:type="pct"/>
            <w:vAlign w:val="center"/>
          </w:tcPr>
          <w:p w14:paraId="5127A4E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南尧村1#废渣堆Ⅱ</w:t>
            </w:r>
            <w:r>
              <w:rPr>
                <w:rFonts w:hint="default" w:ascii="Times New Roman" w:hAnsi="Times New Roman" w:cs="Times New Roman"/>
                <w:sz w:val="21"/>
                <w:szCs w:val="21"/>
                <w:highlight w:val="none"/>
                <w:vertAlign w:val="baseline"/>
                <w:lang w:val="en-US" w:eastAsia="zh-CN"/>
              </w:rPr>
              <w:t>区</w:t>
            </w:r>
          </w:p>
        </w:tc>
        <w:tc>
          <w:tcPr>
            <w:tcW w:w="739" w:type="pct"/>
            <w:vAlign w:val="center"/>
          </w:tcPr>
          <w:p w14:paraId="7E33197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ZK1-13</w:t>
            </w:r>
          </w:p>
        </w:tc>
        <w:tc>
          <w:tcPr>
            <w:tcW w:w="926" w:type="pct"/>
            <w:vAlign w:val="center"/>
          </w:tcPr>
          <w:p w14:paraId="3239B67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1.8</w:t>
            </w:r>
          </w:p>
        </w:tc>
        <w:tc>
          <w:tcPr>
            <w:tcW w:w="764" w:type="pct"/>
            <w:vAlign w:val="center"/>
          </w:tcPr>
          <w:p w14:paraId="0DC20C1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113.552316</w:t>
            </w:r>
          </w:p>
        </w:tc>
        <w:tc>
          <w:tcPr>
            <w:tcW w:w="723" w:type="pct"/>
            <w:vAlign w:val="center"/>
          </w:tcPr>
          <w:p w14:paraId="7BBBA7F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28.649215</w:t>
            </w:r>
          </w:p>
        </w:tc>
        <w:tc>
          <w:tcPr>
            <w:tcW w:w="492" w:type="pct"/>
            <w:vAlign w:val="center"/>
          </w:tcPr>
          <w:p w14:paraId="690B05C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1</w:t>
            </w:r>
          </w:p>
        </w:tc>
      </w:tr>
      <w:tr w14:paraId="340E509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353" w:type="pct"/>
            <w:vMerge w:val="restart"/>
            <w:vAlign w:val="center"/>
          </w:tcPr>
          <w:p w14:paraId="1070DBD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南尧村1#废渣堆Ⅲ</w:t>
            </w:r>
            <w:r>
              <w:rPr>
                <w:rFonts w:hint="default" w:ascii="Times New Roman" w:hAnsi="Times New Roman" w:cs="Times New Roman"/>
                <w:sz w:val="21"/>
                <w:szCs w:val="21"/>
                <w:highlight w:val="none"/>
                <w:vertAlign w:val="baseline"/>
                <w:lang w:val="en-US" w:eastAsia="zh-CN"/>
              </w:rPr>
              <w:t>区</w:t>
            </w:r>
          </w:p>
        </w:tc>
        <w:tc>
          <w:tcPr>
            <w:tcW w:w="739" w:type="pct"/>
            <w:vAlign w:val="center"/>
          </w:tcPr>
          <w:p w14:paraId="79ECDD0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ZK1-7</w:t>
            </w:r>
          </w:p>
        </w:tc>
        <w:tc>
          <w:tcPr>
            <w:tcW w:w="926" w:type="pct"/>
            <w:vAlign w:val="center"/>
          </w:tcPr>
          <w:p w14:paraId="38F3A08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3.67</w:t>
            </w:r>
          </w:p>
        </w:tc>
        <w:tc>
          <w:tcPr>
            <w:tcW w:w="764" w:type="pct"/>
            <w:vAlign w:val="center"/>
          </w:tcPr>
          <w:p w14:paraId="7DD76BD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default"/>
                <w:sz w:val="21"/>
                <w:szCs w:val="21"/>
                <w:highlight w:val="none"/>
                <w:vertAlign w:val="baseline"/>
                <w:lang w:val="en-US" w:eastAsia="zh-CN"/>
              </w:rPr>
              <w:t>113.549346</w:t>
            </w:r>
          </w:p>
        </w:tc>
        <w:tc>
          <w:tcPr>
            <w:tcW w:w="723" w:type="pct"/>
            <w:vAlign w:val="center"/>
          </w:tcPr>
          <w:p w14:paraId="5164A58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28.648679</w:t>
            </w:r>
          </w:p>
        </w:tc>
        <w:tc>
          <w:tcPr>
            <w:tcW w:w="492" w:type="pct"/>
            <w:vAlign w:val="center"/>
          </w:tcPr>
          <w:p w14:paraId="44CCDF3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1</w:t>
            </w:r>
          </w:p>
        </w:tc>
      </w:tr>
      <w:tr w14:paraId="4B3C252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353" w:type="pct"/>
            <w:vMerge w:val="continue"/>
            <w:vAlign w:val="center"/>
          </w:tcPr>
          <w:p w14:paraId="1CA0587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vertAlign w:val="baseline"/>
                <w:lang w:val="en-US" w:eastAsia="zh-CN"/>
              </w:rPr>
            </w:pPr>
          </w:p>
        </w:tc>
        <w:tc>
          <w:tcPr>
            <w:tcW w:w="739" w:type="pct"/>
            <w:vAlign w:val="center"/>
          </w:tcPr>
          <w:p w14:paraId="09A6264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ZK1-12</w:t>
            </w:r>
          </w:p>
        </w:tc>
        <w:tc>
          <w:tcPr>
            <w:tcW w:w="926" w:type="pct"/>
            <w:vAlign w:val="center"/>
          </w:tcPr>
          <w:p w14:paraId="2394C7E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3.67</w:t>
            </w:r>
          </w:p>
        </w:tc>
        <w:tc>
          <w:tcPr>
            <w:tcW w:w="764" w:type="pct"/>
            <w:vAlign w:val="center"/>
          </w:tcPr>
          <w:p w14:paraId="6E768D9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113.548967</w:t>
            </w:r>
          </w:p>
        </w:tc>
        <w:tc>
          <w:tcPr>
            <w:tcW w:w="723" w:type="pct"/>
            <w:vAlign w:val="center"/>
          </w:tcPr>
          <w:p w14:paraId="30A5790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28.648321</w:t>
            </w:r>
          </w:p>
        </w:tc>
        <w:tc>
          <w:tcPr>
            <w:tcW w:w="492" w:type="pct"/>
            <w:vAlign w:val="center"/>
          </w:tcPr>
          <w:p w14:paraId="1759837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1</w:t>
            </w:r>
          </w:p>
        </w:tc>
      </w:tr>
      <w:tr w14:paraId="1F2EEE5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353" w:type="pct"/>
            <w:vMerge w:val="continue"/>
            <w:vAlign w:val="center"/>
          </w:tcPr>
          <w:p w14:paraId="2B1E29A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vertAlign w:val="baseline"/>
                <w:lang w:val="en-US" w:eastAsia="zh-CN"/>
              </w:rPr>
            </w:pPr>
          </w:p>
        </w:tc>
        <w:tc>
          <w:tcPr>
            <w:tcW w:w="739" w:type="pct"/>
            <w:vAlign w:val="center"/>
          </w:tcPr>
          <w:p w14:paraId="28DCAFD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ZK1-15</w:t>
            </w:r>
          </w:p>
        </w:tc>
        <w:tc>
          <w:tcPr>
            <w:tcW w:w="926" w:type="pct"/>
            <w:vAlign w:val="center"/>
          </w:tcPr>
          <w:p w14:paraId="4843DF6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3.67</w:t>
            </w:r>
          </w:p>
        </w:tc>
        <w:tc>
          <w:tcPr>
            <w:tcW w:w="764" w:type="pct"/>
            <w:vAlign w:val="center"/>
          </w:tcPr>
          <w:p w14:paraId="088E6CC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113.549389</w:t>
            </w:r>
          </w:p>
        </w:tc>
        <w:tc>
          <w:tcPr>
            <w:tcW w:w="723" w:type="pct"/>
            <w:vAlign w:val="center"/>
          </w:tcPr>
          <w:p w14:paraId="470E807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28.648864</w:t>
            </w:r>
          </w:p>
        </w:tc>
        <w:tc>
          <w:tcPr>
            <w:tcW w:w="492" w:type="pct"/>
            <w:vAlign w:val="center"/>
          </w:tcPr>
          <w:p w14:paraId="514BF89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1</w:t>
            </w:r>
          </w:p>
        </w:tc>
      </w:tr>
      <w:tr w14:paraId="1DA475C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353" w:type="pct"/>
            <w:vMerge w:val="restart"/>
            <w:vAlign w:val="center"/>
          </w:tcPr>
          <w:p w14:paraId="2247096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南尧村1#废渣堆红线外1m内</w:t>
            </w:r>
          </w:p>
        </w:tc>
        <w:tc>
          <w:tcPr>
            <w:tcW w:w="739" w:type="pct"/>
            <w:vAlign w:val="center"/>
          </w:tcPr>
          <w:p w14:paraId="491E5E9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ZK1-8</w:t>
            </w:r>
          </w:p>
        </w:tc>
        <w:tc>
          <w:tcPr>
            <w:tcW w:w="926" w:type="pct"/>
            <w:vAlign w:val="center"/>
          </w:tcPr>
          <w:p w14:paraId="06F882E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0~0.2</w:t>
            </w:r>
          </w:p>
        </w:tc>
        <w:tc>
          <w:tcPr>
            <w:tcW w:w="764" w:type="pct"/>
            <w:vAlign w:val="center"/>
          </w:tcPr>
          <w:p w14:paraId="7520AE0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113.549210</w:t>
            </w:r>
          </w:p>
        </w:tc>
        <w:tc>
          <w:tcPr>
            <w:tcW w:w="723" w:type="pct"/>
            <w:vAlign w:val="center"/>
          </w:tcPr>
          <w:p w14:paraId="3CC9FCB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28.648613</w:t>
            </w:r>
          </w:p>
        </w:tc>
        <w:tc>
          <w:tcPr>
            <w:tcW w:w="492" w:type="pct"/>
            <w:vAlign w:val="center"/>
          </w:tcPr>
          <w:p w14:paraId="1D38DD8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1</w:t>
            </w:r>
          </w:p>
        </w:tc>
      </w:tr>
      <w:tr w14:paraId="0CE1CF3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353" w:type="pct"/>
            <w:vMerge w:val="continue"/>
            <w:vAlign w:val="center"/>
          </w:tcPr>
          <w:p w14:paraId="5F9FD60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vertAlign w:val="baseline"/>
                <w:lang w:val="en-US" w:eastAsia="zh-CN"/>
              </w:rPr>
            </w:pPr>
          </w:p>
        </w:tc>
        <w:tc>
          <w:tcPr>
            <w:tcW w:w="739" w:type="pct"/>
            <w:vAlign w:val="center"/>
          </w:tcPr>
          <w:p w14:paraId="0894A6A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ZK1-10</w:t>
            </w:r>
          </w:p>
        </w:tc>
        <w:tc>
          <w:tcPr>
            <w:tcW w:w="926" w:type="pct"/>
            <w:vAlign w:val="center"/>
          </w:tcPr>
          <w:p w14:paraId="655AACE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vertAlign w:val="baseline"/>
                <w:lang w:val="en-US" w:eastAsia="zh-CN"/>
              </w:rPr>
            </w:pPr>
            <w:r>
              <w:rPr>
                <w:rFonts w:hint="eastAsia"/>
                <w:sz w:val="21"/>
                <w:szCs w:val="21"/>
                <w:highlight w:val="none"/>
                <w:vertAlign w:val="baseline"/>
                <w:lang w:val="en-US" w:eastAsia="zh-CN"/>
              </w:rPr>
              <w:t>0~0.2</w:t>
            </w:r>
          </w:p>
        </w:tc>
        <w:tc>
          <w:tcPr>
            <w:tcW w:w="764" w:type="pct"/>
            <w:vAlign w:val="center"/>
          </w:tcPr>
          <w:p w14:paraId="23CEC4B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113.549107</w:t>
            </w:r>
          </w:p>
        </w:tc>
        <w:tc>
          <w:tcPr>
            <w:tcW w:w="723" w:type="pct"/>
            <w:vAlign w:val="center"/>
          </w:tcPr>
          <w:p w14:paraId="0B947EE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28.648975</w:t>
            </w:r>
          </w:p>
        </w:tc>
        <w:tc>
          <w:tcPr>
            <w:tcW w:w="492" w:type="pct"/>
            <w:vAlign w:val="center"/>
          </w:tcPr>
          <w:p w14:paraId="1B6F0DB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1</w:t>
            </w:r>
          </w:p>
        </w:tc>
      </w:tr>
      <w:tr w14:paraId="7D1CF5E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353" w:type="pct"/>
            <w:vMerge w:val="continue"/>
            <w:vAlign w:val="center"/>
          </w:tcPr>
          <w:p w14:paraId="7C7DB8F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vertAlign w:val="baseline"/>
                <w:lang w:val="en-US" w:eastAsia="zh-CN"/>
              </w:rPr>
            </w:pPr>
          </w:p>
        </w:tc>
        <w:tc>
          <w:tcPr>
            <w:tcW w:w="739" w:type="pct"/>
            <w:vAlign w:val="center"/>
          </w:tcPr>
          <w:p w14:paraId="3F78134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ZK1-11</w:t>
            </w:r>
          </w:p>
        </w:tc>
        <w:tc>
          <w:tcPr>
            <w:tcW w:w="926" w:type="pct"/>
            <w:vAlign w:val="center"/>
          </w:tcPr>
          <w:p w14:paraId="3EA4D43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vertAlign w:val="baseline"/>
                <w:lang w:val="en-US" w:eastAsia="zh-CN"/>
              </w:rPr>
            </w:pPr>
            <w:r>
              <w:rPr>
                <w:rFonts w:hint="eastAsia"/>
                <w:sz w:val="21"/>
                <w:szCs w:val="21"/>
                <w:highlight w:val="none"/>
                <w:vertAlign w:val="baseline"/>
                <w:lang w:val="en-US" w:eastAsia="zh-CN"/>
              </w:rPr>
              <w:t>0~0.2</w:t>
            </w:r>
          </w:p>
        </w:tc>
        <w:tc>
          <w:tcPr>
            <w:tcW w:w="764" w:type="pct"/>
            <w:vAlign w:val="center"/>
          </w:tcPr>
          <w:p w14:paraId="5074A24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113.549102</w:t>
            </w:r>
          </w:p>
        </w:tc>
        <w:tc>
          <w:tcPr>
            <w:tcW w:w="723" w:type="pct"/>
            <w:vAlign w:val="center"/>
          </w:tcPr>
          <w:p w14:paraId="5A511E8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28.648297</w:t>
            </w:r>
          </w:p>
        </w:tc>
        <w:tc>
          <w:tcPr>
            <w:tcW w:w="492" w:type="pct"/>
            <w:vAlign w:val="center"/>
          </w:tcPr>
          <w:p w14:paraId="3D002D7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1</w:t>
            </w:r>
          </w:p>
        </w:tc>
      </w:tr>
      <w:tr w14:paraId="108E7B6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353" w:type="pct"/>
            <w:vMerge w:val="continue"/>
            <w:vAlign w:val="center"/>
          </w:tcPr>
          <w:p w14:paraId="31CF14C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vertAlign w:val="baseline"/>
                <w:lang w:val="en-US" w:eastAsia="zh-CN"/>
              </w:rPr>
            </w:pPr>
          </w:p>
        </w:tc>
        <w:tc>
          <w:tcPr>
            <w:tcW w:w="739" w:type="pct"/>
            <w:vAlign w:val="center"/>
          </w:tcPr>
          <w:p w14:paraId="53B96BC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ZK1-14</w:t>
            </w:r>
          </w:p>
        </w:tc>
        <w:tc>
          <w:tcPr>
            <w:tcW w:w="926" w:type="pct"/>
            <w:vAlign w:val="center"/>
          </w:tcPr>
          <w:p w14:paraId="7288C1E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vertAlign w:val="baseline"/>
                <w:lang w:val="en-US" w:eastAsia="zh-CN"/>
              </w:rPr>
            </w:pPr>
            <w:r>
              <w:rPr>
                <w:rFonts w:hint="eastAsia"/>
                <w:sz w:val="21"/>
                <w:szCs w:val="21"/>
                <w:highlight w:val="none"/>
                <w:vertAlign w:val="baseline"/>
                <w:lang w:val="en-US" w:eastAsia="zh-CN"/>
              </w:rPr>
              <w:t>0~0.2</w:t>
            </w:r>
          </w:p>
        </w:tc>
        <w:tc>
          <w:tcPr>
            <w:tcW w:w="764" w:type="pct"/>
            <w:vAlign w:val="center"/>
          </w:tcPr>
          <w:p w14:paraId="23D5729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113.549314</w:t>
            </w:r>
          </w:p>
        </w:tc>
        <w:tc>
          <w:tcPr>
            <w:tcW w:w="723" w:type="pct"/>
            <w:vAlign w:val="center"/>
          </w:tcPr>
          <w:p w14:paraId="422DFF5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28.648892</w:t>
            </w:r>
          </w:p>
        </w:tc>
        <w:tc>
          <w:tcPr>
            <w:tcW w:w="492" w:type="pct"/>
            <w:vAlign w:val="center"/>
          </w:tcPr>
          <w:p w14:paraId="5236540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1</w:t>
            </w:r>
          </w:p>
        </w:tc>
      </w:tr>
      <w:tr w14:paraId="3E8DFA5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353" w:type="pct"/>
            <w:vMerge w:val="continue"/>
            <w:vAlign w:val="center"/>
          </w:tcPr>
          <w:p w14:paraId="3FE389A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vertAlign w:val="baseline"/>
                <w:lang w:val="en-US" w:eastAsia="zh-CN"/>
              </w:rPr>
            </w:pPr>
          </w:p>
        </w:tc>
        <w:tc>
          <w:tcPr>
            <w:tcW w:w="739" w:type="pct"/>
            <w:vAlign w:val="center"/>
          </w:tcPr>
          <w:p w14:paraId="7FC2CE0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ZK1-16</w:t>
            </w:r>
          </w:p>
        </w:tc>
        <w:tc>
          <w:tcPr>
            <w:tcW w:w="926" w:type="pct"/>
            <w:vAlign w:val="center"/>
          </w:tcPr>
          <w:p w14:paraId="355D995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vertAlign w:val="baseline"/>
                <w:lang w:val="en-US" w:eastAsia="zh-CN"/>
              </w:rPr>
            </w:pPr>
            <w:r>
              <w:rPr>
                <w:rFonts w:hint="eastAsia"/>
                <w:sz w:val="21"/>
                <w:szCs w:val="21"/>
                <w:highlight w:val="none"/>
                <w:vertAlign w:val="baseline"/>
                <w:lang w:val="en-US" w:eastAsia="zh-CN"/>
              </w:rPr>
              <w:t>0~0.2</w:t>
            </w:r>
          </w:p>
        </w:tc>
        <w:tc>
          <w:tcPr>
            <w:tcW w:w="764" w:type="pct"/>
            <w:vAlign w:val="center"/>
          </w:tcPr>
          <w:p w14:paraId="1290638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113.549217</w:t>
            </w:r>
          </w:p>
        </w:tc>
        <w:tc>
          <w:tcPr>
            <w:tcW w:w="723" w:type="pct"/>
            <w:vAlign w:val="center"/>
          </w:tcPr>
          <w:p w14:paraId="40D0DC9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28.648753</w:t>
            </w:r>
          </w:p>
        </w:tc>
        <w:tc>
          <w:tcPr>
            <w:tcW w:w="492" w:type="pct"/>
            <w:vAlign w:val="center"/>
          </w:tcPr>
          <w:p w14:paraId="0377FA1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1</w:t>
            </w:r>
          </w:p>
        </w:tc>
      </w:tr>
      <w:tr w14:paraId="6F8F16C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353" w:type="pct"/>
            <w:vMerge w:val="continue"/>
            <w:vAlign w:val="center"/>
          </w:tcPr>
          <w:p w14:paraId="4CE20DD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vertAlign w:val="baseline"/>
                <w:lang w:val="en-US" w:eastAsia="zh-CN"/>
              </w:rPr>
            </w:pPr>
          </w:p>
        </w:tc>
        <w:tc>
          <w:tcPr>
            <w:tcW w:w="739" w:type="pct"/>
            <w:vAlign w:val="center"/>
          </w:tcPr>
          <w:p w14:paraId="04A07BA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ZK1-17</w:t>
            </w:r>
          </w:p>
        </w:tc>
        <w:tc>
          <w:tcPr>
            <w:tcW w:w="926" w:type="pct"/>
            <w:vAlign w:val="center"/>
          </w:tcPr>
          <w:p w14:paraId="632B209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vertAlign w:val="baseline"/>
                <w:lang w:val="en-US" w:eastAsia="zh-CN"/>
              </w:rPr>
            </w:pPr>
            <w:r>
              <w:rPr>
                <w:rFonts w:hint="eastAsia"/>
                <w:sz w:val="21"/>
                <w:szCs w:val="21"/>
                <w:highlight w:val="none"/>
                <w:vertAlign w:val="baseline"/>
                <w:lang w:val="en-US" w:eastAsia="zh-CN"/>
              </w:rPr>
              <w:t>0~0.2</w:t>
            </w:r>
          </w:p>
        </w:tc>
        <w:tc>
          <w:tcPr>
            <w:tcW w:w="764" w:type="pct"/>
            <w:vAlign w:val="center"/>
          </w:tcPr>
          <w:p w14:paraId="74FA60B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113.549313</w:t>
            </w:r>
          </w:p>
        </w:tc>
        <w:tc>
          <w:tcPr>
            <w:tcW w:w="723" w:type="pct"/>
            <w:vAlign w:val="center"/>
          </w:tcPr>
          <w:p w14:paraId="39006B1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28.648666</w:t>
            </w:r>
          </w:p>
        </w:tc>
        <w:tc>
          <w:tcPr>
            <w:tcW w:w="492" w:type="pct"/>
            <w:vAlign w:val="center"/>
          </w:tcPr>
          <w:p w14:paraId="7E82F9F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1</w:t>
            </w:r>
          </w:p>
        </w:tc>
      </w:tr>
      <w:tr w14:paraId="5D9E878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353" w:type="pct"/>
            <w:vMerge w:val="continue"/>
            <w:vAlign w:val="center"/>
          </w:tcPr>
          <w:p w14:paraId="01784E1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vertAlign w:val="baseline"/>
                <w:lang w:val="en-US" w:eastAsia="zh-CN"/>
              </w:rPr>
            </w:pPr>
          </w:p>
        </w:tc>
        <w:tc>
          <w:tcPr>
            <w:tcW w:w="739" w:type="pct"/>
            <w:vAlign w:val="center"/>
          </w:tcPr>
          <w:p w14:paraId="2BC0B25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ZK1-18</w:t>
            </w:r>
          </w:p>
        </w:tc>
        <w:tc>
          <w:tcPr>
            <w:tcW w:w="926" w:type="pct"/>
            <w:vAlign w:val="center"/>
          </w:tcPr>
          <w:p w14:paraId="7664699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vertAlign w:val="baseline"/>
                <w:lang w:val="en-US" w:eastAsia="zh-CN"/>
              </w:rPr>
            </w:pPr>
            <w:r>
              <w:rPr>
                <w:rFonts w:hint="eastAsia"/>
                <w:sz w:val="21"/>
                <w:szCs w:val="21"/>
                <w:highlight w:val="none"/>
                <w:vertAlign w:val="baseline"/>
                <w:lang w:val="en-US" w:eastAsia="zh-CN"/>
              </w:rPr>
              <w:t>0~0.2</w:t>
            </w:r>
          </w:p>
        </w:tc>
        <w:tc>
          <w:tcPr>
            <w:tcW w:w="764" w:type="pct"/>
            <w:vAlign w:val="center"/>
          </w:tcPr>
          <w:p w14:paraId="3D6893A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113.549217</w:t>
            </w:r>
          </w:p>
        </w:tc>
        <w:tc>
          <w:tcPr>
            <w:tcW w:w="723" w:type="pct"/>
            <w:vAlign w:val="center"/>
          </w:tcPr>
          <w:p w14:paraId="231C8C8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28.648623</w:t>
            </w:r>
          </w:p>
        </w:tc>
        <w:tc>
          <w:tcPr>
            <w:tcW w:w="492" w:type="pct"/>
            <w:vAlign w:val="center"/>
          </w:tcPr>
          <w:p w14:paraId="321BC33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1</w:t>
            </w:r>
          </w:p>
        </w:tc>
      </w:tr>
      <w:tr w14:paraId="14F1DD1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353" w:type="pct"/>
            <w:vMerge w:val="continue"/>
            <w:vAlign w:val="center"/>
          </w:tcPr>
          <w:p w14:paraId="3960F4E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vertAlign w:val="baseline"/>
                <w:lang w:val="en-US" w:eastAsia="zh-CN"/>
              </w:rPr>
            </w:pPr>
          </w:p>
        </w:tc>
        <w:tc>
          <w:tcPr>
            <w:tcW w:w="739" w:type="pct"/>
            <w:vAlign w:val="center"/>
          </w:tcPr>
          <w:p w14:paraId="48C7A72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ZK1-19</w:t>
            </w:r>
          </w:p>
        </w:tc>
        <w:tc>
          <w:tcPr>
            <w:tcW w:w="926" w:type="pct"/>
            <w:vAlign w:val="center"/>
          </w:tcPr>
          <w:p w14:paraId="4424523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vertAlign w:val="baseline"/>
                <w:lang w:val="en-US" w:eastAsia="zh-CN"/>
              </w:rPr>
            </w:pPr>
            <w:r>
              <w:rPr>
                <w:rFonts w:hint="eastAsia"/>
                <w:sz w:val="21"/>
                <w:szCs w:val="21"/>
                <w:highlight w:val="none"/>
                <w:vertAlign w:val="baseline"/>
                <w:lang w:val="en-US" w:eastAsia="zh-CN"/>
              </w:rPr>
              <w:t>0~0.2</w:t>
            </w:r>
          </w:p>
        </w:tc>
        <w:tc>
          <w:tcPr>
            <w:tcW w:w="764" w:type="pct"/>
            <w:vAlign w:val="center"/>
          </w:tcPr>
          <w:p w14:paraId="44E5780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113.548928</w:t>
            </w:r>
          </w:p>
        </w:tc>
        <w:tc>
          <w:tcPr>
            <w:tcW w:w="723" w:type="pct"/>
            <w:vAlign w:val="center"/>
          </w:tcPr>
          <w:p w14:paraId="1774C10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28.648496</w:t>
            </w:r>
          </w:p>
        </w:tc>
        <w:tc>
          <w:tcPr>
            <w:tcW w:w="492" w:type="pct"/>
            <w:vAlign w:val="center"/>
          </w:tcPr>
          <w:p w14:paraId="5B9A8B5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1</w:t>
            </w:r>
          </w:p>
        </w:tc>
      </w:tr>
      <w:tr w14:paraId="6983838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353" w:type="pct"/>
            <w:vMerge w:val="continue"/>
            <w:vAlign w:val="center"/>
          </w:tcPr>
          <w:p w14:paraId="06A0FC2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vertAlign w:val="baseline"/>
                <w:lang w:val="en-US" w:eastAsia="zh-CN"/>
              </w:rPr>
            </w:pPr>
          </w:p>
        </w:tc>
        <w:tc>
          <w:tcPr>
            <w:tcW w:w="739" w:type="pct"/>
            <w:vAlign w:val="center"/>
          </w:tcPr>
          <w:p w14:paraId="0BA8465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ZK1-20</w:t>
            </w:r>
          </w:p>
        </w:tc>
        <w:tc>
          <w:tcPr>
            <w:tcW w:w="926" w:type="pct"/>
            <w:vAlign w:val="center"/>
          </w:tcPr>
          <w:p w14:paraId="2F72989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vertAlign w:val="baseline"/>
                <w:lang w:val="en-US" w:eastAsia="zh-CN"/>
              </w:rPr>
            </w:pPr>
            <w:r>
              <w:rPr>
                <w:rFonts w:hint="eastAsia"/>
                <w:sz w:val="21"/>
                <w:szCs w:val="21"/>
                <w:highlight w:val="none"/>
                <w:vertAlign w:val="baseline"/>
                <w:lang w:val="en-US" w:eastAsia="zh-CN"/>
              </w:rPr>
              <w:t>0~0.2</w:t>
            </w:r>
          </w:p>
        </w:tc>
        <w:tc>
          <w:tcPr>
            <w:tcW w:w="764" w:type="pct"/>
            <w:vAlign w:val="center"/>
          </w:tcPr>
          <w:p w14:paraId="0150766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113.549135</w:t>
            </w:r>
          </w:p>
        </w:tc>
        <w:tc>
          <w:tcPr>
            <w:tcW w:w="723" w:type="pct"/>
            <w:vAlign w:val="center"/>
          </w:tcPr>
          <w:p w14:paraId="46A42C2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28.648544</w:t>
            </w:r>
          </w:p>
        </w:tc>
        <w:tc>
          <w:tcPr>
            <w:tcW w:w="492" w:type="pct"/>
            <w:vAlign w:val="center"/>
          </w:tcPr>
          <w:p w14:paraId="4A103B4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1</w:t>
            </w:r>
          </w:p>
        </w:tc>
      </w:tr>
    </w:tbl>
    <w:p w14:paraId="44DC4415">
      <w:pPr>
        <w:ind w:left="0" w:leftChars="0" w:firstLine="0" w:firstLineChars="0"/>
        <w:jc w:val="center"/>
        <w:rPr>
          <w:rFonts w:hint="eastAsia"/>
          <w:b/>
          <w:bCs/>
          <w:sz w:val="21"/>
          <w:szCs w:val="21"/>
          <w:highlight w:val="none"/>
          <w:lang w:val="en-US" w:eastAsia="zh-CN"/>
        </w:rPr>
      </w:pPr>
      <w:r>
        <w:drawing>
          <wp:inline distT="0" distB="0" distL="114300" distR="114300">
            <wp:extent cx="5507990" cy="3528060"/>
            <wp:effectExtent l="0" t="0" r="16510" b="15240"/>
            <wp:docPr id="14" name="图片 21"/>
            <wp:cNvGraphicFramePr/>
            <a:graphic xmlns:a="http://schemas.openxmlformats.org/drawingml/2006/main">
              <a:graphicData uri="http://schemas.openxmlformats.org/drawingml/2006/picture">
                <pic:pic xmlns:pic="http://schemas.openxmlformats.org/drawingml/2006/picture">
                  <pic:nvPicPr>
                    <pic:cNvPr id="14" name="图片 21"/>
                    <pic:cNvPicPr/>
                  </pic:nvPicPr>
                  <pic:blipFill>
                    <a:blip r:embed="rId25"/>
                    <a:stretch>
                      <a:fillRect/>
                    </a:stretch>
                  </pic:blipFill>
                  <pic:spPr>
                    <a:xfrm>
                      <a:off x="0" y="0"/>
                      <a:ext cx="5507990" cy="3528060"/>
                    </a:xfrm>
                    <a:prstGeom prst="rect">
                      <a:avLst/>
                    </a:prstGeom>
                    <a:noFill/>
                    <a:ln>
                      <a:noFill/>
                    </a:ln>
                  </pic:spPr>
                </pic:pic>
              </a:graphicData>
            </a:graphic>
          </wp:inline>
        </w:drawing>
      </w:r>
    </w:p>
    <w:p w14:paraId="4BB91B49">
      <w:pPr>
        <w:ind w:left="0" w:leftChars="0" w:firstLine="0" w:firstLineChars="0"/>
        <w:jc w:val="center"/>
        <w:rPr>
          <w:rFonts w:hint="eastAsia"/>
          <w:b/>
          <w:bCs/>
          <w:sz w:val="21"/>
          <w:szCs w:val="21"/>
          <w:highlight w:val="none"/>
          <w:lang w:val="en-US" w:eastAsia="zh-CN"/>
        </w:rPr>
      </w:pPr>
      <w:r>
        <w:rPr>
          <w:rFonts w:hint="eastAsia"/>
          <w:b/>
          <w:bCs/>
          <w:sz w:val="21"/>
          <w:szCs w:val="21"/>
          <w:highlight w:val="none"/>
          <w:lang w:val="en-US" w:eastAsia="zh-CN"/>
        </w:rPr>
        <w:t>图3.1-6  南尧村1#废渣堆补充采样布点图</w:t>
      </w:r>
    </w:p>
    <w:p w14:paraId="22A98D87">
      <w:pPr>
        <w:ind w:left="0" w:leftChars="0" w:firstLine="0" w:firstLineChars="0"/>
        <w:jc w:val="center"/>
        <w:rPr>
          <w:rFonts w:hint="eastAsia"/>
          <w:b/>
          <w:bCs/>
          <w:sz w:val="21"/>
          <w:szCs w:val="21"/>
          <w:highlight w:val="none"/>
          <w:lang w:val="en-US" w:eastAsia="zh-CN"/>
        </w:rPr>
      </w:pPr>
      <w:r>
        <w:rPr>
          <w:rFonts w:hint="eastAsia"/>
          <w:b/>
          <w:bCs/>
          <w:sz w:val="21"/>
          <w:szCs w:val="21"/>
          <w:highlight w:val="none"/>
          <w:lang w:val="en-US" w:eastAsia="zh-CN"/>
        </w:rPr>
        <w:t>表3.1-10  南尧村2#废渣堆固废补充监测布点方案</w:t>
      </w:r>
    </w:p>
    <w:tbl>
      <w:tblPr>
        <w:tblStyle w:val="36"/>
        <w:tblW w:w="4996"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2229"/>
        <w:gridCol w:w="1301"/>
        <w:gridCol w:w="1713"/>
        <w:gridCol w:w="1475"/>
        <w:gridCol w:w="1477"/>
        <w:gridCol w:w="1030"/>
      </w:tblGrid>
      <w:tr w14:paraId="1003C61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blHeader/>
        </w:trPr>
        <w:tc>
          <w:tcPr>
            <w:tcW w:w="1208" w:type="pct"/>
            <w:vAlign w:val="center"/>
          </w:tcPr>
          <w:p w14:paraId="5D7AA10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bCs/>
                <w:sz w:val="21"/>
                <w:szCs w:val="21"/>
                <w:highlight w:val="none"/>
                <w:vertAlign w:val="baseline"/>
                <w:lang w:val="en-US" w:eastAsia="zh-CN"/>
              </w:rPr>
            </w:pPr>
            <w:r>
              <w:rPr>
                <w:rFonts w:hint="eastAsia"/>
                <w:b/>
                <w:bCs/>
                <w:sz w:val="21"/>
                <w:szCs w:val="21"/>
                <w:highlight w:val="none"/>
                <w:vertAlign w:val="baseline"/>
                <w:lang w:val="en-US" w:eastAsia="zh-CN"/>
              </w:rPr>
              <w:t>区域</w:t>
            </w:r>
          </w:p>
        </w:tc>
        <w:tc>
          <w:tcPr>
            <w:tcW w:w="705" w:type="pct"/>
            <w:vAlign w:val="center"/>
          </w:tcPr>
          <w:p w14:paraId="3BCAB53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bCs/>
                <w:sz w:val="21"/>
                <w:szCs w:val="21"/>
                <w:highlight w:val="none"/>
                <w:vertAlign w:val="baseline"/>
                <w:lang w:val="en-US" w:eastAsia="zh-CN"/>
              </w:rPr>
            </w:pPr>
            <w:r>
              <w:rPr>
                <w:rFonts w:hint="eastAsia"/>
                <w:b/>
                <w:bCs/>
                <w:sz w:val="21"/>
                <w:szCs w:val="21"/>
                <w:highlight w:val="none"/>
                <w:vertAlign w:val="baseline"/>
                <w:lang w:val="en-US" w:eastAsia="zh-CN"/>
              </w:rPr>
              <w:t>对应点位号</w:t>
            </w:r>
          </w:p>
        </w:tc>
        <w:tc>
          <w:tcPr>
            <w:tcW w:w="928" w:type="pct"/>
            <w:vAlign w:val="center"/>
          </w:tcPr>
          <w:p w14:paraId="04828E2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bCs/>
                <w:sz w:val="21"/>
                <w:szCs w:val="21"/>
                <w:highlight w:val="none"/>
                <w:vertAlign w:val="baseline"/>
                <w:lang w:val="en-US" w:eastAsia="zh-CN"/>
              </w:rPr>
            </w:pPr>
            <w:r>
              <w:rPr>
                <w:rFonts w:hint="eastAsia"/>
                <w:b/>
                <w:bCs/>
                <w:sz w:val="21"/>
                <w:szCs w:val="21"/>
                <w:highlight w:val="none"/>
                <w:vertAlign w:val="baseline"/>
                <w:lang w:val="en-US" w:eastAsia="zh-CN"/>
              </w:rPr>
              <w:t>采样深度（m）</w:t>
            </w:r>
          </w:p>
        </w:tc>
        <w:tc>
          <w:tcPr>
            <w:tcW w:w="799" w:type="pct"/>
            <w:vAlign w:val="center"/>
          </w:tcPr>
          <w:p w14:paraId="7F91D3A9">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b/>
                <w:bCs/>
                <w:sz w:val="21"/>
                <w:szCs w:val="21"/>
                <w:highlight w:val="none"/>
                <w:vertAlign w:val="baseline"/>
                <w:lang w:val="en-US" w:eastAsia="zh-CN"/>
              </w:rPr>
            </w:pPr>
            <w:r>
              <w:rPr>
                <w:rFonts w:hint="eastAsia"/>
                <w:b/>
                <w:bCs/>
                <w:sz w:val="21"/>
                <w:szCs w:val="21"/>
                <w:highlight w:val="none"/>
                <w:vertAlign w:val="baseline"/>
                <w:lang w:val="en-US" w:eastAsia="zh-CN"/>
              </w:rPr>
              <w:t>经度</w:t>
            </w:r>
          </w:p>
        </w:tc>
        <w:tc>
          <w:tcPr>
            <w:tcW w:w="800" w:type="pct"/>
            <w:vAlign w:val="center"/>
          </w:tcPr>
          <w:p w14:paraId="2128927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bCs/>
                <w:sz w:val="21"/>
                <w:szCs w:val="21"/>
                <w:highlight w:val="none"/>
                <w:vertAlign w:val="baseline"/>
                <w:lang w:val="en-US" w:eastAsia="zh-CN"/>
              </w:rPr>
            </w:pPr>
            <w:r>
              <w:rPr>
                <w:rFonts w:hint="eastAsia"/>
                <w:b/>
                <w:bCs/>
                <w:sz w:val="21"/>
                <w:szCs w:val="21"/>
                <w:highlight w:val="none"/>
                <w:vertAlign w:val="baseline"/>
                <w:lang w:val="en-US" w:eastAsia="zh-CN"/>
              </w:rPr>
              <w:t>纬度</w:t>
            </w:r>
          </w:p>
        </w:tc>
        <w:tc>
          <w:tcPr>
            <w:tcW w:w="558" w:type="pct"/>
            <w:vAlign w:val="center"/>
          </w:tcPr>
          <w:p w14:paraId="7C3EE07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bCs/>
                <w:sz w:val="21"/>
                <w:szCs w:val="21"/>
                <w:highlight w:val="none"/>
                <w:vertAlign w:val="baseline"/>
                <w:lang w:val="en-US" w:eastAsia="zh-CN"/>
              </w:rPr>
            </w:pPr>
            <w:r>
              <w:rPr>
                <w:rFonts w:hint="eastAsia"/>
                <w:b/>
                <w:bCs/>
                <w:sz w:val="21"/>
                <w:szCs w:val="21"/>
                <w:highlight w:val="none"/>
                <w:vertAlign w:val="baseline"/>
                <w:lang w:val="en-US" w:eastAsia="zh-CN"/>
              </w:rPr>
              <w:t>样品数</w:t>
            </w:r>
          </w:p>
        </w:tc>
      </w:tr>
      <w:tr w14:paraId="1296705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208" w:type="pct"/>
            <w:vAlign w:val="center"/>
          </w:tcPr>
          <w:p w14:paraId="4C85B93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highlight w:val="none"/>
                <w:vertAlign w:val="baseline"/>
                <w:lang w:val="en-US" w:eastAsia="zh-CN"/>
              </w:rPr>
            </w:pPr>
            <w:r>
              <w:rPr>
                <w:rFonts w:hint="default" w:ascii="Times New Roman" w:hAnsi="Times New Roman" w:cs="Times New Roman"/>
                <w:sz w:val="21"/>
                <w:szCs w:val="21"/>
                <w:highlight w:val="none"/>
                <w:vertAlign w:val="baseline"/>
                <w:lang w:val="en-US" w:eastAsia="zh-CN"/>
              </w:rPr>
              <w:t>南尧村2#废渣堆</w:t>
            </w:r>
            <w:r>
              <w:rPr>
                <w:rFonts w:hint="default" w:ascii="Times New Roman" w:hAnsi="Times New Roman" w:eastAsia="宋体" w:cs="Times New Roman"/>
                <w:sz w:val="21"/>
                <w:szCs w:val="21"/>
                <w:highlight w:val="none"/>
                <w:vertAlign w:val="baseline"/>
                <w:lang w:val="en-US" w:eastAsia="zh-CN"/>
              </w:rPr>
              <w:t>Ⅲ</w:t>
            </w:r>
            <w:r>
              <w:rPr>
                <w:rFonts w:hint="default" w:ascii="Times New Roman" w:hAnsi="Times New Roman" w:cs="Times New Roman"/>
                <w:sz w:val="21"/>
                <w:szCs w:val="21"/>
                <w:highlight w:val="none"/>
                <w:vertAlign w:val="baseline"/>
                <w:lang w:val="en-US" w:eastAsia="zh-CN"/>
              </w:rPr>
              <w:t>区</w:t>
            </w:r>
          </w:p>
        </w:tc>
        <w:tc>
          <w:tcPr>
            <w:tcW w:w="705" w:type="pct"/>
            <w:vAlign w:val="center"/>
          </w:tcPr>
          <w:p w14:paraId="406762B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ZK2-16</w:t>
            </w:r>
          </w:p>
        </w:tc>
        <w:tc>
          <w:tcPr>
            <w:tcW w:w="928" w:type="pct"/>
            <w:vAlign w:val="center"/>
          </w:tcPr>
          <w:p w14:paraId="6756178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1.6</w:t>
            </w:r>
          </w:p>
        </w:tc>
        <w:tc>
          <w:tcPr>
            <w:tcW w:w="799" w:type="pct"/>
            <w:vAlign w:val="center"/>
          </w:tcPr>
          <w:p w14:paraId="458B94F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113.550579</w:t>
            </w:r>
          </w:p>
        </w:tc>
        <w:tc>
          <w:tcPr>
            <w:tcW w:w="800" w:type="pct"/>
            <w:vAlign w:val="center"/>
          </w:tcPr>
          <w:p w14:paraId="392FE59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28.647203</w:t>
            </w:r>
          </w:p>
        </w:tc>
        <w:tc>
          <w:tcPr>
            <w:tcW w:w="558" w:type="pct"/>
            <w:vAlign w:val="center"/>
          </w:tcPr>
          <w:p w14:paraId="35708C2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1</w:t>
            </w:r>
          </w:p>
        </w:tc>
      </w:tr>
      <w:tr w14:paraId="3140DAF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208" w:type="pct"/>
            <w:vMerge w:val="restart"/>
            <w:vAlign w:val="center"/>
          </w:tcPr>
          <w:p w14:paraId="11F2B16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vertAlign w:val="baseline"/>
                <w:lang w:val="en-US" w:eastAsia="zh-CN"/>
              </w:rPr>
            </w:pPr>
            <w:r>
              <w:rPr>
                <w:rFonts w:hint="default" w:ascii="Times New Roman" w:hAnsi="Times New Roman" w:cs="Times New Roman"/>
                <w:sz w:val="21"/>
                <w:szCs w:val="21"/>
                <w:highlight w:val="none"/>
                <w:vertAlign w:val="baseline"/>
                <w:lang w:val="en-US" w:eastAsia="zh-CN"/>
              </w:rPr>
              <w:t>南尧村2#废渣堆</w:t>
            </w:r>
            <w:r>
              <w:rPr>
                <w:rFonts w:hint="default" w:ascii="Times New Roman" w:hAnsi="Times New Roman" w:eastAsia="宋体" w:cs="Times New Roman"/>
                <w:sz w:val="21"/>
                <w:szCs w:val="21"/>
                <w:highlight w:val="none"/>
                <w:vertAlign w:val="baseline"/>
                <w:lang w:val="en-US" w:eastAsia="zh-CN"/>
              </w:rPr>
              <w:t>Ⅵ</w:t>
            </w:r>
            <w:r>
              <w:rPr>
                <w:rFonts w:hint="default" w:ascii="Times New Roman" w:hAnsi="Times New Roman" w:cs="Times New Roman"/>
                <w:sz w:val="21"/>
                <w:szCs w:val="21"/>
                <w:highlight w:val="none"/>
                <w:vertAlign w:val="baseline"/>
                <w:lang w:val="en-US" w:eastAsia="zh-CN"/>
              </w:rPr>
              <w:t>区</w:t>
            </w:r>
          </w:p>
        </w:tc>
        <w:tc>
          <w:tcPr>
            <w:tcW w:w="705" w:type="pct"/>
            <w:vAlign w:val="center"/>
          </w:tcPr>
          <w:p w14:paraId="31761B0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ZK2-21</w:t>
            </w:r>
          </w:p>
        </w:tc>
        <w:tc>
          <w:tcPr>
            <w:tcW w:w="928" w:type="pct"/>
            <w:vAlign w:val="center"/>
          </w:tcPr>
          <w:p w14:paraId="7D75389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1.6</w:t>
            </w:r>
          </w:p>
        </w:tc>
        <w:tc>
          <w:tcPr>
            <w:tcW w:w="799" w:type="pct"/>
            <w:vAlign w:val="center"/>
          </w:tcPr>
          <w:p w14:paraId="5B4BF08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113.550415</w:t>
            </w:r>
          </w:p>
        </w:tc>
        <w:tc>
          <w:tcPr>
            <w:tcW w:w="800" w:type="pct"/>
            <w:vAlign w:val="center"/>
          </w:tcPr>
          <w:p w14:paraId="047F739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28.647013</w:t>
            </w:r>
          </w:p>
        </w:tc>
        <w:tc>
          <w:tcPr>
            <w:tcW w:w="558" w:type="pct"/>
            <w:vAlign w:val="center"/>
          </w:tcPr>
          <w:p w14:paraId="7355AAD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1</w:t>
            </w:r>
          </w:p>
        </w:tc>
      </w:tr>
      <w:tr w14:paraId="609CB4D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208" w:type="pct"/>
            <w:vMerge w:val="continue"/>
            <w:vAlign w:val="center"/>
          </w:tcPr>
          <w:p w14:paraId="73B2B97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vertAlign w:val="baseline"/>
                <w:lang w:val="en-US" w:eastAsia="zh-CN"/>
              </w:rPr>
            </w:pPr>
          </w:p>
        </w:tc>
        <w:tc>
          <w:tcPr>
            <w:tcW w:w="705" w:type="pct"/>
            <w:vAlign w:val="center"/>
          </w:tcPr>
          <w:p w14:paraId="39E8D39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ZK2-22</w:t>
            </w:r>
          </w:p>
        </w:tc>
        <w:tc>
          <w:tcPr>
            <w:tcW w:w="928" w:type="pct"/>
            <w:vAlign w:val="center"/>
          </w:tcPr>
          <w:p w14:paraId="04C6651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1.6</w:t>
            </w:r>
          </w:p>
        </w:tc>
        <w:tc>
          <w:tcPr>
            <w:tcW w:w="799" w:type="pct"/>
            <w:vAlign w:val="center"/>
          </w:tcPr>
          <w:p w14:paraId="532F7AA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113.551392</w:t>
            </w:r>
          </w:p>
        </w:tc>
        <w:tc>
          <w:tcPr>
            <w:tcW w:w="800" w:type="pct"/>
            <w:vAlign w:val="center"/>
          </w:tcPr>
          <w:p w14:paraId="25E1738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28.648891</w:t>
            </w:r>
          </w:p>
        </w:tc>
        <w:tc>
          <w:tcPr>
            <w:tcW w:w="558" w:type="pct"/>
            <w:vAlign w:val="center"/>
          </w:tcPr>
          <w:p w14:paraId="299C6A1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1</w:t>
            </w:r>
          </w:p>
        </w:tc>
      </w:tr>
      <w:tr w14:paraId="7B509F8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208" w:type="pct"/>
            <w:vMerge w:val="restart"/>
            <w:vAlign w:val="center"/>
          </w:tcPr>
          <w:p w14:paraId="6CCB2DB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南尧村2#废渣堆红线外1m内</w:t>
            </w:r>
          </w:p>
        </w:tc>
        <w:tc>
          <w:tcPr>
            <w:tcW w:w="705" w:type="pct"/>
            <w:vAlign w:val="center"/>
          </w:tcPr>
          <w:p w14:paraId="598B6D7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ZK2-13</w:t>
            </w:r>
          </w:p>
        </w:tc>
        <w:tc>
          <w:tcPr>
            <w:tcW w:w="928" w:type="pct"/>
            <w:vAlign w:val="center"/>
          </w:tcPr>
          <w:p w14:paraId="3AF8121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0~0.2</w:t>
            </w:r>
          </w:p>
        </w:tc>
        <w:tc>
          <w:tcPr>
            <w:tcW w:w="799" w:type="pct"/>
            <w:vAlign w:val="center"/>
          </w:tcPr>
          <w:p w14:paraId="43CAA69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113.550745</w:t>
            </w:r>
          </w:p>
        </w:tc>
        <w:tc>
          <w:tcPr>
            <w:tcW w:w="800" w:type="pct"/>
            <w:vAlign w:val="center"/>
          </w:tcPr>
          <w:p w14:paraId="1008B0C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28.647196</w:t>
            </w:r>
          </w:p>
        </w:tc>
        <w:tc>
          <w:tcPr>
            <w:tcW w:w="558" w:type="pct"/>
            <w:vAlign w:val="center"/>
          </w:tcPr>
          <w:p w14:paraId="030666A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1</w:t>
            </w:r>
          </w:p>
        </w:tc>
      </w:tr>
      <w:tr w14:paraId="6B4311F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208" w:type="pct"/>
            <w:vMerge w:val="continue"/>
            <w:vAlign w:val="center"/>
          </w:tcPr>
          <w:p w14:paraId="5ED3380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vertAlign w:val="baseline"/>
                <w:lang w:val="en-US" w:eastAsia="zh-CN"/>
              </w:rPr>
            </w:pPr>
          </w:p>
        </w:tc>
        <w:tc>
          <w:tcPr>
            <w:tcW w:w="705" w:type="pct"/>
            <w:vAlign w:val="center"/>
          </w:tcPr>
          <w:p w14:paraId="3DBE4E6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ZK2-14</w:t>
            </w:r>
          </w:p>
        </w:tc>
        <w:tc>
          <w:tcPr>
            <w:tcW w:w="928" w:type="pct"/>
            <w:vAlign w:val="center"/>
          </w:tcPr>
          <w:p w14:paraId="253EEDE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vertAlign w:val="baseline"/>
                <w:lang w:val="en-US" w:eastAsia="zh-CN"/>
              </w:rPr>
            </w:pPr>
            <w:r>
              <w:rPr>
                <w:rFonts w:hint="eastAsia"/>
                <w:sz w:val="21"/>
                <w:szCs w:val="21"/>
                <w:highlight w:val="none"/>
                <w:vertAlign w:val="baseline"/>
                <w:lang w:val="en-US" w:eastAsia="zh-CN"/>
              </w:rPr>
              <w:t>0~0.2</w:t>
            </w:r>
          </w:p>
        </w:tc>
        <w:tc>
          <w:tcPr>
            <w:tcW w:w="799" w:type="pct"/>
            <w:vAlign w:val="center"/>
          </w:tcPr>
          <w:p w14:paraId="54365FD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113.550617</w:t>
            </w:r>
          </w:p>
        </w:tc>
        <w:tc>
          <w:tcPr>
            <w:tcW w:w="800" w:type="pct"/>
            <w:vAlign w:val="center"/>
          </w:tcPr>
          <w:p w14:paraId="2FA7218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28.647145</w:t>
            </w:r>
          </w:p>
        </w:tc>
        <w:tc>
          <w:tcPr>
            <w:tcW w:w="558" w:type="pct"/>
            <w:vAlign w:val="center"/>
          </w:tcPr>
          <w:p w14:paraId="39093B5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1</w:t>
            </w:r>
          </w:p>
        </w:tc>
      </w:tr>
      <w:tr w14:paraId="162243D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208" w:type="pct"/>
            <w:vMerge w:val="continue"/>
            <w:vAlign w:val="center"/>
          </w:tcPr>
          <w:p w14:paraId="584457D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vertAlign w:val="baseline"/>
                <w:lang w:val="en-US" w:eastAsia="zh-CN"/>
              </w:rPr>
            </w:pPr>
          </w:p>
        </w:tc>
        <w:tc>
          <w:tcPr>
            <w:tcW w:w="705" w:type="pct"/>
            <w:vAlign w:val="center"/>
          </w:tcPr>
          <w:p w14:paraId="5FC93CC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ZK2-15</w:t>
            </w:r>
          </w:p>
        </w:tc>
        <w:tc>
          <w:tcPr>
            <w:tcW w:w="928" w:type="pct"/>
            <w:vAlign w:val="center"/>
          </w:tcPr>
          <w:p w14:paraId="208BB1E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vertAlign w:val="baseline"/>
                <w:lang w:val="en-US" w:eastAsia="zh-CN"/>
              </w:rPr>
            </w:pPr>
            <w:r>
              <w:rPr>
                <w:rFonts w:hint="eastAsia"/>
                <w:sz w:val="21"/>
                <w:szCs w:val="21"/>
                <w:highlight w:val="none"/>
                <w:vertAlign w:val="baseline"/>
                <w:lang w:val="en-US" w:eastAsia="zh-CN"/>
              </w:rPr>
              <w:t>0~0.2</w:t>
            </w:r>
          </w:p>
        </w:tc>
        <w:tc>
          <w:tcPr>
            <w:tcW w:w="799" w:type="pct"/>
            <w:vAlign w:val="center"/>
          </w:tcPr>
          <w:p w14:paraId="383BFF3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113.550623</w:t>
            </w:r>
          </w:p>
        </w:tc>
        <w:tc>
          <w:tcPr>
            <w:tcW w:w="800" w:type="pct"/>
            <w:vAlign w:val="center"/>
          </w:tcPr>
          <w:p w14:paraId="1346CBD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28.647198</w:t>
            </w:r>
          </w:p>
        </w:tc>
        <w:tc>
          <w:tcPr>
            <w:tcW w:w="558" w:type="pct"/>
            <w:vAlign w:val="center"/>
          </w:tcPr>
          <w:p w14:paraId="6349D7E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1</w:t>
            </w:r>
          </w:p>
        </w:tc>
      </w:tr>
      <w:tr w14:paraId="6CCD5F6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208" w:type="pct"/>
            <w:vMerge w:val="continue"/>
            <w:vAlign w:val="center"/>
          </w:tcPr>
          <w:p w14:paraId="2D6FD98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vertAlign w:val="baseline"/>
                <w:lang w:val="en-US" w:eastAsia="zh-CN"/>
              </w:rPr>
            </w:pPr>
          </w:p>
        </w:tc>
        <w:tc>
          <w:tcPr>
            <w:tcW w:w="705" w:type="pct"/>
            <w:vAlign w:val="center"/>
          </w:tcPr>
          <w:p w14:paraId="54DC654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ZK2-17</w:t>
            </w:r>
          </w:p>
        </w:tc>
        <w:tc>
          <w:tcPr>
            <w:tcW w:w="928" w:type="pct"/>
            <w:vAlign w:val="center"/>
          </w:tcPr>
          <w:p w14:paraId="4253DDD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vertAlign w:val="baseline"/>
                <w:lang w:val="en-US" w:eastAsia="zh-CN"/>
              </w:rPr>
            </w:pPr>
            <w:r>
              <w:rPr>
                <w:rFonts w:hint="eastAsia"/>
                <w:sz w:val="21"/>
                <w:szCs w:val="21"/>
                <w:highlight w:val="none"/>
                <w:vertAlign w:val="baseline"/>
                <w:lang w:val="en-US" w:eastAsia="zh-CN"/>
              </w:rPr>
              <w:t>0~0.2</w:t>
            </w:r>
          </w:p>
        </w:tc>
        <w:tc>
          <w:tcPr>
            <w:tcW w:w="799" w:type="pct"/>
            <w:vAlign w:val="center"/>
          </w:tcPr>
          <w:p w14:paraId="18BB9A5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113.550623</w:t>
            </w:r>
          </w:p>
        </w:tc>
        <w:tc>
          <w:tcPr>
            <w:tcW w:w="800" w:type="pct"/>
            <w:vAlign w:val="center"/>
          </w:tcPr>
          <w:p w14:paraId="0F2C074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28.647154</w:t>
            </w:r>
          </w:p>
        </w:tc>
        <w:tc>
          <w:tcPr>
            <w:tcW w:w="558" w:type="pct"/>
            <w:vAlign w:val="center"/>
          </w:tcPr>
          <w:p w14:paraId="5810079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1</w:t>
            </w:r>
          </w:p>
        </w:tc>
      </w:tr>
      <w:tr w14:paraId="33ACAF4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208" w:type="pct"/>
            <w:vMerge w:val="continue"/>
            <w:vAlign w:val="center"/>
          </w:tcPr>
          <w:p w14:paraId="648CED4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vertAlign w:val="baseline"/>
                <w:lang w:val="en-US" w:eastAsia="zh-CN"/>
              </w:rPr>
            </w:pPr>
          </w:p>
        </w:tc>
        <w:tc>
          <w:tcPr>
            <w:tcW w:w="705" w:type="pct"/>
            <w:vAlign w:val="center"/>
          </w:tcPr>
          <w:p w14:paraId="77756FB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ZK2-18</w:t>
            </w:r>
          </w:p>
        </w:tc>
        <w:tc>
          <w:tcPr>
            <w:tcW w:w="928" w:type="pct"/>
            <w:vAlign w:val="center"/>
          </w:tcPr>
          <w:p w14:paraId="63AC136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vertAlign w:val="baseline"/>
                <w:lang w:val="en-US" w:eastAsia="zh-CN"/>
              </w:rPr>
            </w:pPr>
            <w:r>
              <w:rPr>
                <w:rFonts w:hint="eastAsia"/>
                <w:sz w:val="21"/>
                <w:szCs w:val="21"/>
                <w:highlight w:val="none"/>
                <w:vertAlign w:val="baseline"/>
                <w:lang w:val="en-US" w:eastAsia="zh-CN"/>
              </w:rPr>
              <w:t>0~0.2</w:t>
            </w:r>
          </w:p>
        </w:tc>
        <w:tc>
          <w:tcPr>
            <w:tcW w:w="799" w:type="pct"/>
            <w:vAlign w:val="center"/>
          </w:tcPr>
          <w:p w14:paraId="690DAB7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113.550534</w:t>
            </w:r>
          </w:p>
        </w:tc>
        <w:tc>
          <w:tcPr>
            <w:tcW w:w="800" w:type="pct"/>
            <w:vAlign w:val="center"/>
          </w:tcPr>
          <w:p w14:paraId="45A774D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28.647102</w:t>
            </w:r>
          </w:p>
        </w:tc>
        <w:tc>
          <w:tcPr>
            <w:tcW w:w="558" w:type="pct"/>
            <w:vAlign w:val="center"/>
          </w:tcPr>
          <w:p w14:paraId="51B9F22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1</w:t>
            </w:r>
          </w:p>
        </w:tc>
      </w:tr>
      <w:tr w14:paraId="391AD4E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208" w:type="pct"/>
            <w:vMerge w:val="continue"/>
            <w:vAlign w:val="center"/>
          </w:tcPr>
          <w:p w14:paraId="1CD1AFF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vertAlign w:val="baseline"/>
                <w:lang w:val="en-US" w:eastAsia="zh-CN"/>
              </w:rPr>
            </w:pPr>
          </w:p>
        </w:tc>
        <w:tc>
          <w:tcPr>
            <w:tcW w:w="705" w:type="pct"/>
            <w:vAlign w:val="center"/>
          </w:tcPr>
          <w:p w14:paraId="414CBE9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ZK2-19</w:t>
            </w:r>
          </w:p>
        </w:tc>
        <w:tc>
          <w:tcPr>
            <w:tcW w:w="928" w:type="pct"/>
            <w:vAlign w:val="center"/>
          </w:tcPr>
          <w:p w14:paraId="6A1D8C3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vertAlign w:val="baseline"/>
                <w:lang w:val="en-US" w:eastAsia="zh-CN"/>
              </w:rPr>
            </w:pPr>
            <w:r>
              <w:rPr>
                <w:rFonts w:hint="eastAsia"/>
                <w:sz w:val="21"/>
                <w:szCs w:val="21"/>
                <w:highlight w:val="none"/>
                <w:vertAlign w:val="baseline"/>
                <w:lang w:val="en-US" w:eastAsia="zh-CN"/>
              </w:rPr>
              <w:t>0~0.2</w:t>
            </w:r>
          </w:p>
        </w:tc>
        <w:tc>
          <w:tcPr>
            <w:tcW w:w="799" w:type="pct"/>
            <w:vAlign w:val="center"/>
          </w:tcPr>
          <w:p w14:paraId="3C6F60F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113.550479</w:t>
            </w:r>
          </w:p>
        </w:tc>
        <w:tc>
          <w:tcPr>
            <w:tcW w:w="800" w:type="pct"/>
            <w:vAlign w:val="center"/>
          </w:tcPr>
          <w:p w14:paraId="44F345C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28.647091</w:t>
            </w:r>
          </w:p>
        </w:tc>
        <w:tc>
          <w:tcPr>
            <w:tcW w:w="558" w:type="pct"/>
            <w:vAlign w:val="center"/>
          </w:tcPr>
          <w:p w14:paraId="63E1AB1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1</w:t>
            </w:r>
          </w:p>
        </w:tc>
      </w:tr>
      <w:tr w14:paraId="55FE75F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208" w:type="pct"/>
            <w:vMerge w:val="continue"/>
            <w:vAlign w:val="center"/>
          </w:tcPr>
          <w:p w14:paraId="40C1F92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vertAlign w:val="baseline"/>
                <w:lang w:val="en-US" w:eastAsia="zh-CN"/>
              </w:rPr>
            </w:pPr>
          </w:p>
        </w:tc>
        <w:tc>
          <w:tcPr>
            <w:tcW w:w="705" w:type="pct"/>
            <w:vAlign w:val="center"/>
          </w:tcPr>
          <w:p w14:paraId="314A027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ZK2-20</w:t>
            </w:r>
          </w:p>
        </w:tc>
        <w:tc>
          <w:tcPr>
            <w:tcW w:w="928" w:type="pct"/>
            <w:vAlign w:val="center"/>
          </w:tcPr>
          <w:p w14:paraId="4E935EE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vertAlign w:val="baseline"/>
                <w:lang w:val="en-US" w:eastAsia="zh-CN"/>
              </w:rPr>
            </w:pPr>
            <w:r>
              <w:rPr>
                <w:rFonts w:hint="eastAsia"/>
                <w:sz w:val="21"/>
                <w:szCs w:val="21"/>
                <w:highlight w:val="none"/>
                <w:vertAlign w:val="baseline"/>
                <w:lang w:val="en-US" w:eastAsia="zh-CN"/>
              </w:rPr>
              <w:t>0~0.2</w:t>
            </w:r>
          </w:p>
        </w:tc>
        <w:tc>
          <w:tcPr>
            <w:tcW w:w="799" w:type="pct"/>
            <w:vAlign w:val="center"/>
          </w:tcPr>
          <w:p w14:paraId="1A163EA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113.550384</w:t>
            </w:r>
          </w:p>
        </w:tc>
        <w:tc>
          <w:tcPr>
            <w:tcW w:w="800" w:type="pct"/>
            <w:vAlign w:val="center"/>
          </w:tcPr>
          <w:p w14:paraId="5AD38BE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28.646982</w:t>
            </w:r>
          </w:p>
        </w:tc>
        <w:tc>
          <w:tcPr>
            <w:tcW w:w="558" w:type="pct"/>
            <w:vAlign w:val="center"/>
          </w:tcPr>
          <w:p w14:paraId="38FBB44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1</w:t>
            </w:r>
          </w:p>
        </w:tc>
      </w:tr>
      <w:tr w14:paraId="354CC17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208" w:type="pct"/>
            <w:vMerge w:val="continue"/>
            <w:vAlign w:val="center"/>
          </w:tcPr>
          <w:p w14:paraId="6104380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vertAlign w:val="baseline"/>
                <w:lang w:val="en-US" w:eastAsia="zh-CN"/>
              </w:rPr>
            </w:pPr>
          </w:p>
        </w:tc>
        <w:tc>
          <w:tcPr>
            <w:tcW w:w="705" w:type="pct"/>
            <w:vAlign w:val="center"/>
          </w:tcPr>
          <w:p w14:paraId="1D81C67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ZK2-23</w:t>
            </w:r>
          </w:p>
        </w:tc>
        <w:tc>
          <w:tcPr>
            <w:tcW w:w="928" w:type="pct"/>
            <w:vAlign w:val="center"/>
          </w:tcPr>
          <w:p w14:paraId="05A4A10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vertAlign w:val="baseline"/>
                <w:lang w:val="en-US" w:eastAsia="zh-CN"/>
              </w:rPr>
            </w:pPr>
            <w:r>
              <w:rPr>
                <w:rFonts w:hint="eastAsia"/>
                <w:sz w:val="21"/>
                <w:szCs w:val="21"/>
                <w:highlight w:val="none"/>
                <w:vertAlign w:val="baseline"/>
                <w:lang w:val="en-US" w:eastAsia="zh-CN"/>
              </w:rPr>
              <w:t>0~0.2</w:t>
            </w:r>
          </w:p>
        </w:tc>
        <w:tc>
          <w:tcPr>
            <w:tcW w:w="799" w:type="pct"/>
            <w:vAlign w:val="center"/>
          </w:tcPr>
          <w:p w14:paraId="26242B1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113.551300</w:t>
            </w:r>
          </w:p>
        </w:tc>
        <w:tc>
          <w:tcPr>
            <w:tcW w:w="800" w:type="pct"/>
            <w:vAlign w:val="center"/>
          </w:tcPr>
          <w:p w14:paraId="6D6B55F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28.646792</w:t>
            </w:r>
          </w:p>
        </w:tc>
        <w:tc>
          <w:tcPr>
            <w:tcW w:w="558" w:type="pct"/>
            <w:vAlign w:val="center"/>
          </w:tcPr>
          <w:p w14:paraId="44390E4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1</w:t>
            </w:r>
          </w:p>
        </w:tc>
      </w:tr>
      <w:tr w14:paraId="19AE1C7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208" w:type="pct"/>
            <w:vMerge w:val="continue"/>
            <w:vAlign w:val="center"/>
          </w:tcPr>
          <w:p w14:paraId="187D7D0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vertAlign w:val="baseline"/>
                <w:lang w:val="en-US" w:eastAsia="zh-CN"/>
              </w:rPr>
            </w:pPr>
          </w:p>
        </w:tc>
        <w:tc>
          <w:tcPr>
            <w:tcW w:w="705" w:type="pct"/>
            <w:vAlign w:val="center"/>
          </w:tcPr>
          <w:p w14:paraId="20424BF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ZK2-24</w:t>
            </w:r>
          </w:p>
        </w:tc>
        <w:tc>
          <w:tcPr>
            <w:tcW w:w="928" w:type="pct"/>
            <w:vAlign w:val="center"/>
          </w:tcPr>
          <w:p w14:paraId="1969D7E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vertAlign w:val="baseline"/>
                <w:lang w:val="en-US" w:eastAsia="zh-CN"/>
              </w:rPr>
            </w:pPr>
            <w:r>
              <w:rPr>
                <w:rFonts w:hint="eastAsia"/>
                <w:sz w:val="21"/>
                <w:szCs w:val="21"/>
                <w:highlight w:val="none"/>
                <w:vertAlign w:val="baseline"/>
                <w:lang w:val="en-US" w:eastAsia="zh-CN"/>
              </w:rPr>
              <w:t>0~0.2</w:t>
            </w:r>
          </w:p>
        </w:tc>
        <w:tc>
          <w:tcPr>
            <w:tcW w:w="799" w:type="pct"/>
            <w:vAlign w:val="center"/>
          </w:tcPr>
          <w:p w14:paraId="5BF8068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113.551263</w:t>
            </w:r>
          </w:p>
        </w:tc>
        <w:tc>
          <w:tcPr>
            <w:tcW w:w="800" w:type="pct"/>
            <w:vAlign w:val="center"/>
          </w:tcPr>
          <w:p w14:paraId="0083855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28.646884</w:t>
            </w:r>
          </w:p>
        </w:tc>
        <w:tc>
          <w:tcPr>
            <w:tcW w:w="558" w:type="pct"/>
            <w:vAlign w:val="center"/>
          </w:tcPr>
          <w:p w14:paraId="6A942A7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1</w:t>
            </w:r>
          </w:p>
        </w:tc>
      </w:tr>
      <w:tr w14:paraId="6D4923F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208" w:type="pct"/>
            <w:vMerge w:val="continue"/>
            <w:vAlign w:val="center"/>
          </w:tcPr>
          <w:p w14:paraId="55E59CD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vertAlign w:val="baseline"/>
                <w:lang w:val="en-US" w:eastAsia="zh-CN"/>
              </w:rPr>
            </w:pPr>
          </w:p>
        </w:tc>
        <w:tc>
          <w:tcPr>
            <w:tcW w:w="705" w:type="pct"/>
            <w:vAlign w:val="center"/>
          </w:tcPr>
          <w:p w14:paraId="7C9222A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ZK2-25</w:t>
            </w:r>
          </w:p>
        </w:tc>
        <w:tc>
          <w:tcPr>
            <w:tcW w:w="928" w:type="pct"/>
            <w:vAlign w:val="center"/>
          </w:tcPr>
          <w:p w14:paraId="11EC7F0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vertAlign w:val="baseline"/>
                <w:lang w:val="en-US" w:eastAsia="zh-CN"/>
              </w:rPr>
            </w:pPr>
            <w:r>
              <w:rPr>
                <w:rFonts w:hint="eastAsia"/>
                <w:sz w:val="21"/>
                <w:szCs w:val="21"/>
                <w:highlight w:val="none"/>
                <w:vertAlign w:val="baseline"/>
                <w:lang w:val="en-US" w:eastAsia="zh-CN"/>
              </w:rPr>
              <w:t>0~0.2</w:t>
            </w:r>
          </w:p>
        </w:tc>
        <w:tc>
          <w:tcPr>
            <w:tcW w:w="799" w:type="pct"/>
            <w:vAlign w:val="center"/>
          </w:tcPr>
          <w:p w14:paraId="15A6B69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113.551215</w:t>
            </w:r>
          </w:p>
        </w:tc>
        <w:tc>
          <w:tcPr>
            <w:tcW w:w="800" w:type="pct"/>
            <w:vAlign w:val="center"/>
          </w:tcPr>
          <w:p w14:paraId="1FF9EC5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38.646815</w:t>
            </w:r>
          </w:p>
        </w:tc>
        <w:tc>
          <w:tcPr>
            <w:tcW w:w="558" w:type="pct"/>
            <w:vAlign w:val="center"/>
          </w:tcPr>
          <w:p w14:paraId="60DDD0A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1</w:t>
            </w:r>
          </w:p>
        </w:tc>
      </w:tr>
      <w:tr w14:paraId="00E5E53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208" w:type="pct"/>
            <w:vMerge w:val="continue"/>
            <w:vAlign w:val="center"/>
          </w:tcPr>
          <w:p w14:paraId="4217A6C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vertAlign w:val="baseline"/>
                <w:lang w:val="en-US" w:eastAsia="zh-CN"/>
              </w:rPr>
            </w:pPr>
          </w:p>
        </w:tc>
        <w:tc>
          <w:tcPr>
            <w:tcW w:w="705" w:type="pct"/>
            <w:vAlign w:val="center"/>
          </w:tcPr>
          <w:p w14:paraId="3912541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ZK2-26</w:t>
            </w:r>
          </w:p>
        </w:tc>
        <w:tc>
          <w:tcPr>
            <w:tcW w:w="928" w:type="pct"/>
            <w:vAlign w:val="center"/>
          </w:tcPr>
          <w:p w14:paraId="60F909C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0~0.2</w:t>
            </w:r>
          </w:p>
        </w:tc>
        <w:tc>
          <w:tcPr>
            <w:tcW w:w="799" w:type="pct"/>
            <w:vAlign w:val="center"/>
          </w:tcPr>
          <w:p w14:paraId="715D3FC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113.551124</w:t>
            </w:r>
          </w:p>
        </w:tc>
        <w:tc>
          <w:tcPr>
            <w:tcW w:w="800" w:type="pct"/>
            <w:vAlign w:val="center"/>
          </w:tcPr>
          <w:p w14:paraId="773A2AC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28.646719</w:t>
            </w:r>
          </w:p>
        </w:tc>
        <w:tc>
          <w:tcPr>
            <w:tcW w:w="558" w:type="pct"/>
            <w:vAlign w:val="center"/>
          </w:tcPr>
          <w:p w14:paraId="276E401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1</w:t>
            </w:r>
          </w:p>
        </w:tc>
      </w:tr>
      <w:tr w14:paraId="162AECF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208" w:type="pct"/>
            <w:vMerge w:val="continue"/>
            <w:vAlign w:val="center"/>
          </w:tcPr>
          <w:p w14:paraId="122AFEC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vertAlign w:val="baseline"/>
                <w:lang w:val="en-US" w:eastAsia="zh-CN"/>
              </w:rPr>
            </w:pPr>
          </w:p>
        </w:tc>
        <w:tc>
          <w:tcPr>
            <w:tcW w:w="705" w:type="pct"/>
            <w:vAlign w:val="center"/>
          </w:tcPr>
          <w:p w14:paraId="3B4FD6D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ZK2-27</w:t>
            </w:r>
          </w:p>
        </w:tc>
        <w:tc>
          <w:tcPr>
            <w:tcW w:w="928" w:type="pct"/>
            <w:vAlign w:val="center"/>
          </w:tcPr>
          <w:p w14:paraId="037A24D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0~0.2</w:t>
            </w:r>
          </w:p>
        </w:tc>
        <w:tc>
          <w:tcPr>
            <w:tcW w:w="799" w:type="pct"/>
            <w:vAlign w:val="center"/>
          </w:tcPr>
          <w:p w14:paraId="2665FF0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113.549987</w:t>
            </w:r>
          </w:p>
        </w:tc>
        <w:tc>
          <w:tcPr>
            <w:tcW w:w="800" w:type="pct"/>
            <w:vAlign w:val="center"/>
          </w:tcPr>
          <w:p w14:paraId="67B78C6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28.647052</w:t>
            </w:r>
          </w:p>
        </w:tc>
        <w:tc>
          <w:tcPr>
            <w:tcW w:w="558" w:type="pct"/>
            <w:vAlign w:val="center"/>
          </w:tcPr>
          <w:p w14:paraId="40BA0DF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1</w:t>
            </w:r>
          </w:p>
        </w:tc>
      </w:tr>
      <w:tr w14:paraId="4328433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208" w:type="pct"/>
            <w:vMerge w:val="continue"/>
            <w:vAlign w:val="center"/>
          </w:tcPr>
          <w:p w14:paraId="5B7BAC8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vertAlign w:val="baseline"/>
                <w:lang w:val="en-US" w:eastAsia="zh-CN"/>
              </w:rPr>
            </w:pPr>
          </w:p>
        </w:tc>
        <w:tc>
          <w:tcPr>
            <w:tcW w:w="705" w:type="pct"/>
            <w:vAlign w:val="center"/>
          </w:tcPr>
          <w:p w14:paraId="06B6BD2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ZK2-28</w:t>
            </w:r>
          </w:p>
        </w:tc>
        <w:tc>
          <w:tcPr>
            <w:tcW w:w="928" w:type="pct"/>
            <w:vAlign w:val="center"/>
          </w:tcPr>
          <w:p w14:paraId="745F158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0~0.2</w:t>
            </w:r>
          </w:p>
        </w:tc>
        <w:tc>
          <w:tcPr>
            <w:tcW w:w="799" w:type="pct"/>
            <w:vAlign w:val="center"/>
          </w:tcPr>
          <w:p w14:paraId="739E74A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113.549976</w:t>
            </w:r>
          </w:p>
        </w:tc>
        <w:tc>
          <w:tcPr>
            <w:tcW w:w="800" w:type="pct"/>
            <w:vAlign w:val="center"/>
          </w:tcPr>
          <w:p w14:paraId="5750B9C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28.647219</w:t>
            </w:r>
          </w:p>
        </w:tc>
        <w:tc>
          <w:tcPr>
            <w:tcW w:w="558" w:type="pct"/>
            <w:vAlign w:val="center"/>
          </w:tcPr>
          <w:p w14:paraId="3402C16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1</w:t>
            </w:r>
          </w:p>
        </w:tc>
      </w:tr>
    </w:tbl>
    <w:p w14:paraId="00CC8E6F">
      <w:pPr>
        <w:ind w:left="0" w:leftChars="0" w:firstLine="0" w:firstLineChars="0"/>
        <w:jc w:val="center"/>
        <w:rPr>
          <w:rFonts w:hint="eastAsia"/>
          <w:b/>
          <w:bCs/>
          <w:sz w:val="21"/>
          <w:szCs w:val="21"/>
          <w:highlight w:val="yellow"/>
          <w:lang w:val="en-US" w:eastAsia="zh-CN"/>
        </w:rPr>
      </w:pPr>
      <w:r>
        <w:drawing>
          <wp:inline distT="0" distB="0" distL="114300" distR="114300">
            <wp:extent cx="5721985" cy="2736215"/>
            <wp:effectExtent l="0" t="0" r="12065" b="6985"/>
            <wp:docPr id="46" name="图片 27"/>
            <wp:cNvGraphicFramePr/>
            <a:graphic xmlns:a="http://schemas.openxmlformats.org/drawingml/2006/main">
              <a:graphicData uri="http://schemas.openxmlformats.org/drawingml/2006/picture">
                <pic:pic xmlns:pic="http://schemas.openxmlformats.org/drawingml/2006/picture">
                  <pic:nvPicPr>
                    <pic:cNvPr id="46" name="图片 27"/>
                    <pic:cNvPicPr/>
                  </pic:nvPicPr>
                  <pic:blipFill>
                    <a:blip r:embed="rId26"/>
                    <a:stretch>
                      <a:fillRect/>
                    </a:stretch>
                  </pic:blipFill>
                  <pic:spPr>
                    <a:xfrm>
                      <a:off x="0" y="0"/>
                      <a:ext cx="5721985" cy="2736215"/>
                    </a:xfrm>
                    <a:prstGeom prst="rect">
                      <a:avLst/>
                    </a:prstGeom>
                    <a:noFill/>
                    <a:ln>
                      <a:noFill/>
                    </a:ln>
                  </pic:spPr>
                </pic:pic>
              </a:graphicData>
            </a:graphic>
          </wp:inline>
        </w:drawing>
      </w:r>
    </w:p>
    <w:p w14:paraId="2814DE02">
      <w:pPr>
        <w:ind w:left="0" w:leftChars="0" w:firstLine="0" w:firstLineChars="0"/>
        <w:jc w:val="center"/>
        <w:rPr>
          <w:rFonts w:hint="eastAsia"/>
          <w:b/>
          <w:bCs/>
          <w:sz w:val="21"/>
          <w:szCs w:val="21"/>
          <w:highlight w:val="none"/>
          <w:lang w:val="en-US" w:eastAsia="zh-CN"/>
        </w:rPr>
      </w:pPr>
      <w:r>
        <w:rPr>
          <w:rFonts w:hint="eastAsia"/>
          <w:b/>
          <w:bCs/>
          <w:sz w:val="21"/>
          <w:szCs w:val="21"/>
          <w:highlight w:val="none"/>
          <w:lang w:val="en-US" w:eastAsia="zh-CN"/>
        </w:rPr>
        <w:t>图3.1-7  南尧村2#废渣堆采样布点图（1）</w:t>
      </w:r>
    </w:p>
    <w:p w14:paraId="674D0082">
      <w:pPr>
        <w:ind w:left="0" w:leftChars="0" w:firstLine="0" w:firstLineChars="0"/>
        <w:jc w:val="center"/>
        <w:rPr>
          <w:rFonts w:hint="eastAsia"/>
          <w:b/>
          <w:bCs/>
          <w:sz w:val="21"/>
          <w:szCs w:val="21"/>
          <w:highlight w:val="none"/>
          <w:lang w:val="en-US" w:eastAsia="zh-CN"/>
        </w:rPr>
      </w:pPr>
      <w:r>
        <w:rPr>
          <w:sz w:val="24"/>
        </w:rPr>
        <mc:AlternateContent>
          <mc:Choice Requires="wps">
            <w:drawing>
              <wp:anchor distT="0" distB="0" distL="114300" distR="114300" simplePos="0" relativeHeight="251665408" behindDoc="0" locked="0" layoutInCell="1" allowOverlap="1">
                <wp:simplePos x="0" y="0"/>
                <wp:positionH relativeFrom="column">
                  <wp:posOffset>920750</wp:posOffset>
                </wp:positionH>
                <wp:positionV relativeFrom="paragraph">
                  <wp:posOffset>1001395</wp:posOffset>
                </wp:positionV>
                <wp:extent cx="584200" cy="316865"/>
                <wp:effectExtent l="0" t="0" r="0" b="0"/>
                <wp:wrapNone/>
                <wp:docPr id="55" name="文本框 55"/>
                <wp:cNvGraphicFramePr/>
                <a:graphic xmlns:a="http://schemas.openxmlformats.org/drawingml/2006/main">
                  <a:graphicData uri="http://schemas.microsoft.com/office/word/2010/wordprocessingShape">
                    <wps:wsp>
                      <wps:cNvSpPr txBox="1"/>
                      <wps:spPr>
                        <a:xfrm>
                          <a:off x="2040890" y="8942070"/>
                          <a:ext cx="584200" cy="31686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6EC0192">
                            <w:pPr>
                              <w:spacing w:line="240" w:lineRule="auto"/>
                              <w:ind w:left="0" w:leftChars="0" w:firstLine="0" w:firstLineChars="0"/>
                              <w:rPr>
                                <w:rFonts w:hint="default" w:eastAsia="宋体"/>
                                <w:color w:val="FFFFFF" w:themeColor="background1"/>
                                <w:sz w:val="16"/>
                                <w:szCs w:val="16"/>
                                <w:lang w:val="en-US" w:eastAsia="zh-CN"/>
                                <w14:textFill>
                                  <w14:solidFill>
                                    <w14:schemeClr w14:val="bg1"/>
                                  </w14:solidFill>
                                </w14:textFill>
                              </w:rPr>
                            </w:pPr>
                            <w:r>
                              <w:rPr>
                                <w:rFonts w:hint="eastAsia"/>
                                <w:color w:val="FFFFFF" w:themeColor="background1"/>
                                <w:sz w:val="16"/>
                                <w:szCs w:val="16"/>
                                <w:lang w:val="en-US" w:eastAsia="zh-CN"/>
                                <w14:textFill>
                                  <w14:solidFill>
                                    <w14:schemeClr w14:val="bg1"/>
                                  </w14:solidFill>
                                </w14:textFill>
                              </w:rPr>
                              <w:t>ZK2-24</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2.5pt;margin-top:78.85pt;height:24.95pt;width:46pt;z-index:251665408;mso-width-relative:page;mso-height-relative:page;" filled="f" stroked="f" coordsize="21600,21600" o:gfxdata="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Lh0BxzaAAAACwEAAA8AAAAAAAAA&#10;AQAgAAAAIgAAAGRycy9kb3ducmV2LnhtbFBLAQIUABQAAAAIAIdO4kDWDLv3SAIAAHMEAAAOAAAA&#10;AAAAAAEAIAAAACkBAABkcnMvZTJvRG9jLnhtbFBLBQYAAAAABgAGAFkBAADjBQAAAAA=&#10;">
                <v:fill on="f" focussize="0,0"/>
                <v:stroke on="f" weight="0.5pt"/>
                <v:imagedata o:title=""/>
                <o:lock v:ext="edit" aspectratio="f"/>
                <v:textbox>
                  <w:txbxContent>
                    <w:p w14:paraId="26EC0192">
                      <w:pPr>
                        <w:spacing w:line="240" w:lineRule="auto"/>
                        <w:ind w:left="0" w:leftChars="0" w:firstLine="0" w:firstLineChars="0"/>
                        <w:rPr>
                          <w:rFonts w:hint="default" w:eastAsia="宋体"/>
                          <w:color w:val="FFFFFF" w:themeColor="background1"/>
                          <w:sz w:val="16"/>
                          <w:szCs w:val="16"/>
                          <w:lang w:val="en-US" w:eastAsia="zh-CN"/>
                          <w14:textFill>
                            <w14:solidFill>
                              <w14:schemeClr w14:val="bg1"/>
                            </w14:solidFill>
                          </w14:textFill>
                        </w:rPr>
                      </w:pPr>
                      <w:r>
                        <w:rPr>
                          <w:rFonts w:hint="eastAsia"/>
                          <w:color w:val="FFFFFF" w:themeColor="background1"/>
                          <w:sz w:val="16"/>
                          <w:szCs w:val="16"/>
                          <w:lang w:val="en-US" w:eastAsia="zh-CN"/>
                          <w14:textFill>
                            <w14:solidFill>
                              <w14:schemeClr w14:val="bg1"/>
                            </w14:solidFill>
                          </w14:textFill>
                        </w:rPr>
                        <w:t>ZK2-24</w:t>
                      </w:r>
                    </w:p>
                  </w:txbxContent>
                </v:textbox>
              </v:shape>
            </w:pict>
          </mc:Fallback>
        </mc:AlternateContent>
      </w:r>
      <w:r>
        <w:rPr>
          <w:sz w:val="24"/>
        </w:rPr>
        <mc:AlternateContent>
          <mc:Choice Requires="wps">
            <w:drawing>
              <wp:anchor distT="0" distB="0" distL="114300" distR="114300" simplePos="0" relativeHeight="251664384" behindDoc="0" locked="0" layoutInCell="1" allowOverlap="1">
                <wp:simplePos x="0" y="0"/>
                <wp:positionH relativeFrom="column">
                  <wp:posOffset>983615</wp:posOffset>
                </wp:positionH>
                <wp:positionV relativeFrom="paragraph">
                  <wp:posOffset>1016000</wp:posOffset>
                </wp:positionV>
                <wp:extent cx="76200" cy="76200"/>
                <wp:effectExtent l="6350" t="6350" r="12700" b="12700"/>
                <wp:wrapNone/>
                <wp:docPr id="54" name="椭圆 54"/>
                <wp:cNvGraphicFramePr/>
                <a:graphic xmlns:a="http://schemas.openxmlformats.org/drawingml/2006/main">
                  <a:graphicData uri="http://schemas.microsoft.com/office/word/2010/wordprocessingShape">
                    <wps:wsp>
                      <wps:cNvSpPr/>
                      <wps:spPr>
                        <a:xfrm>
                          <a:off x="1864360" y="8890635"/>
                          <a:ext cx="76200" cy="76200"/>
                        </a:xfrm>
                        <a:prstGeom prst="ellipse">
                          <a:avLst/>
                        </a:prstGeom>
                        <a:noFill/>
                        <a:ln>
                          <a:solidFill>
                            <a:schemeClr val="bg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77.45pt;margin-top:80pt;height:6pt;width:6pt;z-index:251664384;v-text-anchor:middle;mso-width-relative:page;mso-height-relative:page;" filled="f" stroked="t" coordsize="21600,21600" o:gfxdata="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AAAA&#10;AGRycy9QSwECFAAUAAAACACHTuJAvcW7K9YAAAALAQAADwAAAAAAAAABACAAAAAiAAAAZHJzL2Rv&#10;d25yZXYueG1sUEsBAhQAFAAAAAgAh07iQPxi7t91AgAA2QQAAA4AAAAAAAAAAQAgAAAAJQEAAGRy&#10;cy9lMm9Eb2MueG1sUEsFBgAAAAAGAAYAWQEAAAwGAAAAAA==&#10;">
                <v:fill on="f" focussize="0,0"/>
                <v:stroke weight="1pt" color="#FFFFFF [3212]" miterlimit="8" joinstyle="miter"/>
                <v:imagedata o:title=""/>
                <o:lock v:ext="edit" aspectratio="f"/>
              </v:shape>
            </w:pict>
          </mc:Fallback>
        </mc:AlternateContent>
      </w:r>
      <w:r>
        <w:drawing>
          <wp:inline distT="0" distB="0" distL="114300" distR="114300">
            <wp:extent cx="5718810" cy="1548130"/>
            <wp:effectExtent l="0" t="0" r="15240" b="13970"/>
            <wp:docPr id="47" name="图片 28"/>
            <wp:cNvGraphicFramePr/>
            <a:graphic xmlns:a="http://schemas.openxmlformats.org/drawingml/2006/main">
              <a:graphicData uri="http://schemas.openxmlformats.org/drawingml/2006/picture">
                <pic:pic xmlns:pic="http://schemas.openxmlformats.org/drawingml/2006/picture">
                  <pic:nvPicPr>
                    <pic:cNvPr id="47" name="图片 28"/>
                    <pic:cNvPicPr/>
                  </pic:nvPicPr>
                  <pic:blipFill>
                    <a:blip r:embed="rId27"/>
                    <a:stretch>
                      <a:fillRect/>
                    </a:stretch>
                  </pic:blipFill>
                  <pic:spPr>
                    <a:xfrm>
                      <a:off x="0" y="0"/>
                      <a:ext cx="5718810" cy="1548130"/>
                    </a:xfrm>
                    <a:prstGeom prst="rect">
                      <a:avLst/>
                    </a:prstGeom>
                    <a:noFill/>
                    <a:ln>
                      <a:noFill/>
                    </a:ln>
                  </pic:spPr>
                </pic:pic>
              </a:graphicData>
            </a:graphic>
          </wp:inline>
        </w:drawing>
      </w:r>
    </w:p>
    <w:p w14:paraId="0F0B2D79">
      <w:pPr>
        <w:ind w:left="0" w:leftChars="0" w:firstLine="0" w:firstLineChars="0"/>
        <w:jc w:val="center"/>
        <w:rPr>
          <w:rFonts w:hint="eastAsia"/>
          <w:b/>
          <w:bCs/>
          <w:sz w:val="21"/>
          <w:szCs w:val="21"/>
          <w:highlight w:val="none"/>
          <w:lang w:val="en-US" w:eastAsia="zh-CN"/>
        </w:rPr>
      </w:pPr>
      <w:r>
        <w:rPr>
          <w:rFonts w:hint="eastAsia"/>
          <w:b/>
          <w:bCs/>
          <w:sz w:val="21"/>
          <w:szCs w:val="21"/>
          <w:highlight w:val="none"/>
          <w:lang w:val="en-US" w:eastAsia="zh-CN"/>
        </w:rPr>
        <w:t>图3.1-8  南尧村2#废渣堆采样布点图（2）</w:t>
      </w:r>
    </w:p>
    <w:p w14:paraId="279EB92D">
      <w:pPr>
        <w:ind w:left="0" w:leftChars="0" w:firstLine="0" w:firstLineChars="0"/>
        <w:jc w:val="center"/>
        <w:rPr>
          <w:rFonts w:hint="default"/>
          <w:b/>
          <w:bCs/>
          <w:sz w:val="21"/>
          <w:szCs w:val="21"/>
          <w:highlight w:val="none"/>
          <w:lang w:val="en-US" w:eastAsia="zh-CN"/>
        </w:rPr>
      </w:pPr>
      <w:r>
        <w:rPr>
          <w:rFonts w:hint="eastAsia"/>
          <w:b/>
          <w:bCs/>
          <w:sz w:val="21"/>
          <w:szCs w:val="21"/>
          <w:highlight w:val="none"/>
          <w:lang w:val="en-US" w:eastAsia="zh-CN"/>
        </w:rPr>
        <w:t>表3.1-11  固体废物（废渣）补充监测结果    单位：mg/L</w:t>
      </w:r>
    </w:p>
    <w:tbl>
      <w:tblPr>
        <w:tblStyle w:val="36"/>
        <w:tblW w:w="4996"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2272"/>
        <w:gridCol w:w="1133"/>
        <w:gridCol w:w="1442"/>
        <w:gridCol w:w="1720"/>
        <w:gridCol w:w="1691"/>
        <w:gridCol w:w="967"/>
      </w:tblGrid>
      <w:tr w14:paraId="7047C0F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04" w:hRule="atLeast"/>
        </w:trPr>
        <w:tc>
          <w:tcPr>
            <w:tcW w:w="1845" w:type="pct"/>
            <w:gridSpan w:val="2"/>
            <w:vAlign w:val="center"/>
          </w:tcPr>
          <w:p w14:paraId="5482826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bCs/>
                <w:sz w:val="21"/>
                <w:szCs w:val="21"/>
                <w:highlight w:val="none"/>
                <w:vertAlign w:val="baseline"/>
                <w:lang w:val="en-US" w:eastAsia="zh-CN"/>
              </w:rPr>
            </w:pPr>
            <w:r>
              <w:rPr>
                <w:rFonts w:hint="eastAsia"/>
                <w:b/>
                <w:bCs/>
                <w:sz w:val="21"/>
                <w:szCs w:val="21"/>
                <w:highlight w:val="none"/>
                <w:vertAlign w:val="baseline"/>
                <w:lang w:val="en-US" w:eastAsia="zh-CN"/>
              </w:rPr>
              <w:t>采样点位</w:t>
            </w:r>
          </w:p>
        </w:tc>
        <w:tc>
          <w:tcPr>
            <w:tcW w:w="781" w:type="pct"/>
            <w:vAlign w:val="center"/>
          </w:tcPr>
          <w:p w14:paraId="57B2955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bCs/>
                <w:sz w:val="21"/>
                <w:szCs w:val="21"/>
                <w:highlight w:val="none"/>
                <w:vertAlign w:val="baseline"/>
                <w:lang w:val="en-US" w:eastAsia="zh-CN"/>
              </w:rPr>
            </w:pPr>
            <w:r>
              <w:rPr>
                <w:rFonts w:hint="eastAsia"/>
                <w:b/>
                <w:bCs/>
                <w:sz w:val="21"/>
                <w:szCs w:val="21"/>
                <w:highlight w:val="none"/>
                <w:vertAlign w:val="baseline"/>
                <w:lang w:val="en-US" w:eastAsia="zh-CN"/>
              </w:rPr>
              <w:t>采样日期</w:t>
            </w:r>
          </w:p>
        </w:tc>
        <w:tc>
          <w:tcPr>
            <w:tcW w:w="932" w:type="pct"/>
            <w:vAlign w:val="center"/>
          </w:tcPr>
          <w:p w14:paraId="6C381DD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bCs/>
                <w:sz w:val="21"/>
                <w:szCs w:val="21"/>
                <w:highlight w:val="none"/>
                <w:vertAlign w:val="baseline"/>
                <w:lang w:val="en-US" w:eastAsia="zh-CN"/>
              </w:rPr>
            </w:pPr>
            <w:r>
              <w:rPr>
                <w:rFonts w:hint="eastAsia"/>
                <w:b/>
                <w:bCs/>
                <w:sz w:val="21"/>
                <w:szCs w:val="21"/>
                <w:highlight w:val="none"/>
                <w:vertAlign w:val="baseline"/>
                <w:lang w:val="en-US" w:eastAsia="zh-CN"/>
              </w:rPr>
              <w:t>样品状态</w:t>
            </w:r>
          </w:p>
        </w:tc>
        <w:tc>
          <w:tcPr>
            <w:tcW w:w="916" w:type="pct"/>
            <w:vAlign w:val="center"/>
          </w:tcPr>
          <w:p w14:paraId="18319F8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b/>
                <w:bCs/>
                <w:sz w:val="21"/>
                <w:szCs w:val="21"/>
                <w:highlight w:val="none"/>
                <w:vertAlign w:val="baseline"/>
                <w:lang w:val="en-US" w:eastAsia="zh-CN"/>
              </w:rPr>
            </w:pPr>
            <w:r>
              <w:rPr>
                <w:rFonts w:hint="eastAsia"/>
                <w:b/>
                <w:bCs/>
                <w:sz w:val="21"/>
                <w:szCs w:val="21"/>
                <w:highlight w:val="none"/>
                <w:vertAlign w:val="baseline"/>
                <w:lang w:val="en-US" w:eastAsia="zh-CN"/>
              </w:rPr>
              <w:t>总砷检测结果</w:t>
            </w:r>
          </w:p>
          <w:p w14:paraId="3F80F40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bCs/>
                <w:sz w:val="21"/>
                <w:szCs w:val="21"/>
                <w:highlight w:val="none"/>
                <w:vertAlign w:val="baseline"/>
                <w:lang w:val="en-US" w:eastAsia="zh-CN"/>
              </w:rPr>
            </w:pPr>
            <w:r>
              <w:rPr>
                <w:rFonts w:hint="eastAsia"/>
                <w:b/>
                <w:bCs/>
                <w:sz w:val="21"/>
                <w:szCs w:val="21"/>
                <w:highlight w:val="none"/>
                <w:vertAlign w:val="baseline"/>
                <w:lang w:val="en-US" w:eastAsia="zh-CN"/>
              </w:rPr>
              <w:t>（水浸）</w:t>
            </w:r>
          </w:p>
        </w:tc>
        <w:tc>
          <w:tcPr>
            <w:tcW w:w="524" w:type="pct"/>
            <w:vAlign w:val="center"/>
          </w:tcPr>
          <w:p w14:paraId="7BC5611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bCs/>
                <w:sz w:val="21"/>
                <w:szCs w:val="21"/>
                <w:highlight w:val="none"/>
                <w:vertAlign w:val="baseline"/>
                <w:lang w:val="en-US" w:eastAsia="zh-CN"/>
              </w:rPr>
            </w:pPr>
            <w:r>
              <w:rPr>
                <w:rFonts w:hint="eastAsia"/>
                <w:b/>
                <w:bCs/>
                <w:sz w:val="21"/>
                <w:szCs w:val="21"/>
                <w:highlight w:val="none"/>
                <w:vertAlign w:val="baseline"/>
                <w:lang w:val="en-US" w:eastAsia="zh-CN"/>
              </w:rPr>
              <w:t>限值</w:t>
            </w:r>
          </w:p>
        </w:tc>
      </w:tr>
      <w:tr w14:paraId="383A453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231" w:type="pct"/>
            <w:vAlign w:val="center"/>
          </w:tcPr>
          <w:p w14:paraId="411B278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default" w:ascii="Times New Roman" w:hAnsi="Times New Roman" w:cs="Times New Roman"/>
                <w:sz w:val="21"/>
                <w:szCs w:val="21"/>
                <w:highlight w:val="none"/>
                <w:vertAlign w:val="baseline"/>
                <w:lang w:val="en-US" w:eastAsia="zh-CN"/>
              </w:rPr>
              <w:t>南尧村</w:t>
            </w:r>
            <w:r>
              <w:rPr>
                <w:rFonts w:hint="eastAsia" w:ascii="Times New Roman" w:hAnsi="Times New Roman" w:cs="Times New Roman"/>
                <w:sz w:val="21"/>
                <w:szCs w:val="21"/>
                <w:highlight w:val="none"/>
                <w:vertAlign w:val="baseline"/>
                <w:lang w:val="en-US" w:eastAsia="zh-CN"/>
              </w:rPr>
              <w:t>1</w:t>
            </w:r>
            <w:r>
              <w:rPr>
                <w:rFonts w:hint="eastAsia" w:cs="Times New Roman"/>
                <w:sz w:val="21"/>
                <w:szCs w:val="21"/>
                <w:highlight w:val="none"/>
                <w:vertAlign w:val="baseline"/>
                <w:lang w:val="en-US" w:eastAsia="zh-CN"/>
              </w:rPr>
              <w:t>#</w:t>
            </w:r>
            <w:r>
              <w:rPr>
                <w:rFonts w:hint="eastAsia"/>
                <w:sz w:val="21"/>
                <w:szCs w:val="21"/>
                <w:highlight w:val="none"/>
                <w:vertAlign w:val="baseline"/>
                <w:lang w:val="en-US" w:eastAsia="zh-CN"/>
              </w:rPr>
              <w:t>废渣堆</w:t>
            </w:r>
            <w:r>
              <w:rPr>
                <w:sz w:val="21"/>
                <w:szCs w:val="21"/>
              </w:rPr>
              <w:t>Ⅰ区</w:t>
            </w:r>
          </w:p>
        </w:tc>
        <w:tc>
          <w:tcPr>
            <w:tcW w:w="614" w:type="pct"/>
            <w:vAlign w:val="center"/>
          </w:tcPr>
          <w:p w14:paraId="50E4FFF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ZK1-6</w:t>
            </w:r>
          </w:p>
        </w:tc>
        <w:tc>
          <w:tcPr>
            <w:tcW w:w="781" w:type="pct"/>
            <w:vMerge w:val="restart"/>
            <w:vAlign w:val="center"/>
          </w:tcPr>
          <w:p w14:paraId="7F32235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2022.7.31</w:t>
            </w:r>
          </w:p>
        </w:tc>
        <w:tc>
          <w:tcPr>
            <w:tcW w:w="932" w:type="pct"/>
            <w:vAlign w:val="center"/>
          </w:tcPr>
          <w:p w14:paraId="6165A38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灰白色、固态</w:t>
            </w:r>
          </w:p>
        </w:tc>
        <w:tc>
          <w:tcPr>
            <w:tcW w:w="916" w:type="pct"/>
            <w:vAlign w:val="center"/>
          </w:tcPr>
          <w:p w14:paraId="7FBAF7B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bCs/>
                <w:sz w:val="21"/>
                <w:szCs w:val="21"/>
                <w:highlight w:val="none"/>
                <w:vertAlign w:val="baseline"/>
                <w:lang w:val="en-US" w:eastAsia="zh-CN"/>
              </w:rPr>
            </w:pPr>
            <w:r>
              <w:rPr>
                <w:rFonts w:hint="eastAsia"/>
                <w:b/>
                <w:bCs/>
                <w:sz w:val="21"/>
                <w:szCs w:val="21"/>
                <w:highlight w:val="none"/>
                <w:vertAlign w:val="baseline"/>
                <w:lang w:val="en-US" w:eastAsia="zh-CN"/>
              </w:rPr>
              <w:t>0.771</w:t>
            </w:r>
          </w:p>
        </w:tc>
        <w:tc>
          <w:tcPr>
            <w:tcW w:w="524" w:type="pct"/>
            <w:vAlign w:val="center"/>
          </w:tcPr>
          <w:p w14:paraId="208816B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0.5</w:t>
            </w:r>
          </w:p>
        </w:tc>
      </w:tr>
      <w:tr w14:paraId="1CCA84F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231" w:type="pct"/>
            <w:vAlign w:val="center"/>
          </w:tcPr>
          <w:p w14:paraId="37FC4E0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sz w:val="21"/>
                <w:szCs w:val="21"/>
              </w:rPr>
              <w:t>南尧村1#废渣堆Ⅲ区</w:t>
            </w:r>
          </w:p>
        </w:tc>
        <w:tc>
          <w:tcPr>
            <w:tcW w:w="614" w:type="pct"/>
            <w:vAlign w:val="center"/>
          </w:tcPr>
          <w:p w14:paraId="15A9E07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ZK1-7</w:t>
            </w:r>
          </w:p>
        </w:tc>
        <w:tc>
          <w:tcPr>
            <w:tcW w:w="781" w:type="pct"/>
            <w:vMerge w:val="continue"/>
            <w:vAlign w:val="center"/>
          </w:tcPr>
          <w:p w14:paraId="4591EDE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p>
        </w:tc>
        <w:tc>
          <w:tcPr>
            <w:tcW w:w="932" w:type="pct"/>
            <w:vAlign w:val="center"/>
          </w:tcPr>
          <w:p w14:paraId="7CE3D13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灰白色、固态</w:t>
            </w:r>
          </w:p>
        </w:tc>
        <w:tc>
          <w:tcPr>
            <w:tcW w:w="916" w:type="pct"/>
            <w:vAlign w:val="center"/>
          </w:tcPr>
          <w:p w14:paraId="3F77492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bCs/>
                <w:sz w:val="21"/>
                <w:szCs w:val="21"/>
                <w:highlight w:val="none"/>
                <w:vertAlign w:val="baseline"/>
                <w:lang w:val="en-US" w:eastAsia="zh-CN"/>
              </w:rPr>
            </w:pPr>
            <w:r>
              <w:rPr>
                <w:rFonts w:hint="eastAsia"/>
                <w:b/>
                <w:bCs/>
                <w:sz w:val="21"/>
                <w:szCs w:val="21"/>
                <w:highlight w:val="none"/>
                <w:vertAlign w:val="baseline"/>
                <w:lang w:val="en-US" w:eastAsia="zh-CN"/>
              </w:rPr>
              <w:t>0.623</w:t>
            </w:r>
          </w:p>
        </w:tc>
        <w:tc>
          <w:tcPr>
            <w:tcW w:w="524" w:type="pct"/>
            <w:vAlign w:val="center"/>
          </w:tcPr>
          <w:p w14:paraId="14224E7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0.5</w:t>
            </w:r>
          </w:p>
        </w:tc>
      </w:tr>
      <w:tr w14:paraId="75C16D3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231" w:type="pct"/>
            <w:vAlign w:val="center"/>
          </w:tcPr>
          <w:p w14:paraId="139F0AA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default" w:ascii="Times New Roman" w:hAnsi="Times New Roman" w:cs="Times New Roman"/>
                <w:sz w:val="21"/>
                <w:szCs w:val="21"/>
                <w:highlight w:val="none"/>
                <w:vertAlign w:val="baseline"/>
                <w:lang w:val="en-US" w:eastAsia="zh-CN"/>
              </w:rPr>
              <w:t>南尧村</w:t>
            </w:r>
            <w:r>
              <w:rPr>
                <w:rFonts w:hint="eastAsia" w:ascii="Times New Roman" w:hAnsi="Times New Roman" w:cs="Times New Roman"/>
                <w:sz w:val="21"/>
                <w:szCs w:val="21"/>
                <w:highlight w:val="none"/>
                <w:vertAlign w:val="baseline"/>
                <w:lang w:val="en-US" w:eastAsia="zh-CN"/>
              </w:rPr>
              <w:t>1</w:t>
            </w:r>
            <w:r>
              <w:rPr>
                <w:rFonts w:hint="eastAsia" w:cs="Times New Roman"/>
                <w:sz w:val="21"/>
                <w:szCs w:val="21"/>
                <w:highlight w:val="none"/>
                <w:vertAlign w:val="baseline"/>
                <w:lang w:val="en-US" w:eastAsia="zh-CN"/>
              </w:rPr>
              <w:t>#</w:t>
            </w:r>
            <w:r>
              <w:rPr>
                <w:rFonts w:hint="eastAsia"/>
                <w:sz w:val="21"/>
                <w:szCs w:val="21"/>
                <w:highlight w:val="none"/>
                <w:vertAlign w:val="baseline"/>
                <w:lang w:val="en-US" w:eastAsia="zh-CN"/>
              </w:rPr>
              <w:t>废渣堆</w:t>
            </w:r>
            <w:r>
              <w:rPr>
                <w:sz w:val="21"/>
                <w:szCs w:val="21"/>
              </w:rPr>
              <w:t>Ⅰ区</w:t>
            </w:r>
          </w:p>
        </w:tc>
        <w:tc>
          <w:tcPr>
            <w:tcW w:w="614" w:type="pct"/>
            <w:vAlign w:val="center"/>
          </w:tcPr>
          <w:p w14:paraId="45F06A0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ZK1-9</w:t>
            </w:r>
          </w:p>
        </w:tc>
        <w:tc>
          <w:tcPr>
            <w:tcW w:w="781" w:type="pct"/>
            <w:vMerge w:val="continue"/>
            <w:vAlign w:val="center"/>
          </w:tcPr>
          <w:p w14:paraId="2ECA9CB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p>
        </w:tc>
        <w:tc>
          <w:tcPr>
            <w:tcW w:w="932" w:type="pct"/>
            <w:vAlign w:val="center"/>
          </w:tcPr>
          <w:p w14:paraId="16682D6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灰白色、固态</w:t>
            </w:r>
          </w:p>
        </w:tc>
        <w:tc>
          <w:tcPr>
            <w:tcW w:w="916" w:type="pct"/>
            <w:vAlign w:val="center"/>
          </w:tcPr>
          <w:p w14:paraId="3DC6CD4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bCs/>
                <w:sz w:val="21"/>
                <w:szCs w:val="21"/>
                <w:highlight w:val="none"/>
                <w:vertAlign w:val="baseline"/>
                <w:lang w:val="en-US" w:eastAsia="zh-CN"/>
              </w:rPr>
            </w:pPr>
            <w:r>
              <w:rPr>
                <w:rFonts w:hint="eastAsia"/>
                <w:b/>
                <w:bCs/>
                <w:sz w:val="21"/>
                <w:szCs w:val="21"/>
                <w:highlight w:val="none"/>
                <w:vertAlign w:val="baseline"/>
                <w:lang w:val="en-US" w:eastAsia="zh-CN"/>
              </w:rPr>
              <w:t>0.718</w:t>
            </w:r>
          </w:p>
        </w:tc>
        <w:tc>
          <w:tcPr>
            <w:tcW w:w="524" w:type="pct"/>
            <w:shd w:val="clear" w:color="auto" w:fill="auto"/>
            <w:vAlign w:val="center"/>
          </w:tcPr>
          <w:p w14:paraId="42702A2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eastAsia"/>
                <w:sz w:val="21"/>
                <w:szCs w:val="21"/>
                <w:highlight w:val="none"/>
                <w:vertAlign w:val="baseline"/>
                <w:lang w:val="en-US" w:eastAsia="zh-CN"/>
              </w:rPr>
              <w:t>0.5</w:t>
            </w:r>
          </w:p>
        </w:tc>
      </w:tr>
      <w:tr w14:paraId="22A2921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231" w:type="pct"/>
            <w:vAlign w:val="center"/>
          </w:tcPr>
          <w:p w14:paraId="20624A3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sz w:val="21"/>
                <w:szCs w:val="21"/>
              </w:rPr>
              <w:t>南尧村1#废渣堆Ⅲ区</w:t>
            </w:r>
          </w:p>
        </w:tc>
        <w:tc>
          <w:tcPr>
            <w:tcW w:w="614" w:type="pct"/>
            <w:vAlign w:val="center"/>
          </w:tcPr>
          <w:p w14:paraId="30F7BE0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ZK1-12</w:t>
            </w:r>
          </w:p>
        </w:tc>
        <w:tc>
          <w:tcPr>
            <w:tcW w:w="781" w:type="pct"/>
            <w:vMerge w:val="continue"/>
            <w:vAlign w:val="center"/>
          </w:tcPr>
          <w:p w14:paraId="7926EF4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p>
        </w:tc>
        <w:tc>
          <w:tcPr>
            <w:tcW w:w="932" w:type="pct"/>
            <w:vAlign w:val="center"/>
          </w:tcPr>
          <w:p w14:paraId="435AEBC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灰白色、固态</w:t>
            </w:r>
          </w:p>
        </w:tc>
        <w:tc>
          <w:tcPr>
            <w:tcW w:w="916" w:type="pct"/>
            <w:vAlign w:val="center"/>
          </w:tcPr>
          <w:p w14:paraId="4338E0A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bCs/>
                <w:sz w:val="21"/>
                <w:szCs w:val="21"/>
                <w:highlight w:val="none"/>
                <w:vertAlign w:val="baseline"/>
                <w:lang w:val="en-US" w:eastAsia="zh-CN"/>
              </w:rPr>
            </w:pPr>
            <w:r>
              <w:rPr>
                <w:rFonts w:hint="eastAsia"/>
                <w:b/>
                <w:bCs/>
                <w:sz w:val="21"/>
                <w:szCs w:val="21"/>
                <w:highlight w:val="none"/>
                <w:vertAlign w:val="baseline"/>
                <w:lang w:val="en-US" w:eastAsia="zh-CN"/>
              </w:rPr>
              <w:t>0.848</w:t>
            </w:r>
          </w:p>
        </w:tc>
        <w:tc>
          <w:tcPr>
            <w:tcW w:w="524" w:type="pct"/>
            <w:shd w:val="clear" w:color="auto" w:fill="auto"/>
            <w:vAlign w:val="center"/>
          </w:tcPr>
          <w:p w14:paraId="298863A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eastAsia"/>
                <w:sz w:val="21"/>
                <w:szCs w:val="21"/>
                <w:highlight w:val="none"/>
                <w:vertAlign w:val="baseline"/>
                <w:lang w:val="en-US" w:eastAsia="zh-CN"/>
              </w:rPr>
              <w:t>0.5</w:t>
            </w:r>
          </w:p>
        </w:tc>
      </w:tr>
      <w:tr w14:paraId="14F460F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231" w:type="pct"/>
            <w:vAlign w:val="center"/>
          </w:tcPr>
          <w:p w14:paraId="322F9F8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sz w:val="21"/>
                <w:szCs w:val="21"/>
              </w:rPr>
              <w:t>南尧村1#废渣堆Ⅱ区</w:t>
            </w:r>
          </w:p>
        </w:tc>
        <w:tc>
          <w:tcPr>
            <w:tcW w:w="614" w:type="pct"/>
            <w:vAlign w:val="center"/>
          </w:tcPr>
          <w:p w14:paraId="5485E57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ZK1-13</w:t>
            </w:r>
          </w:p>
        </w:tc>
        <w:tc>
          <w:tcPr>
            <w:tcW w:w="781" w:type="pct"/>
            <w:vMerge w:val="continue"/>
            <w:vAlign w:val="center"/>
          </w:tcPr>
          <w:p w14:paraId="00400E4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p>
        </w:tc>
        <w:tc>
          <w:tcPr>
            <w:tcW w:w="932" w:type="pct"/>
            <w:vAlign w:val="center"/>
          </w:tcPr>
          <w:p w14:paraId="575484E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灰白色、固态</w:t>
            </w:r>
          </w:p>
        </w:tc>
        <w:tc>
          <w:tcPr>
            <w:tcW w:w="916" w:type="pct"/>
            <w:vAlign w:val="center"/>
          </w:tcPr>
          <w:p w14:paraId="64052B8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bCs/>
                <w:sz w:val="21"/>
                <w:szCs w:val="21"/>
                <w:highlight w:val="none"/>
                <w:vertAlign w:val="baseline"/>
                <w:lang w:val="en-US" w:eastAsia="zh-CN"/>
              </w:rPr>
            </w:pPr>
            <w:r>
              <w:rPr>
                <w:rFonts w:hint="eastAsia"/>
                <w:b/>
                <w:bCs/>
                <w:sz w:val="21"/>
                <w:szCs w:val="21"/>
                <w:highlight w:val="none"/>
                <w:vertAlign w:val="baseline"/>
                <w:lang w:val="en-US" w:eastAsia="zh-CN"/>
              </w:rPr>
              <w:t>0.540</w:t>
            </w:r>
          </w:p>
        </w:tc>
        <w:tc>
          <w:tcPr>
            <w:tcW w:w="524" w:type="pct"/>
            <w:shd w:val="clear" w:color="auto" w:fill="auto"/>
            <w:vAlign w:val="center"/>
          </w:tcPr>
          <w:p w14:paraId="581BF91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eastAsia"/>
                <w:sz w:val="21"/>
                <w:szCs w:val="21"/>
                <w:highlight w:val="none"/>
                <w:vertAlign w:val="baseline"/>
                <w:lang w:val="en-US" w:eastAsia="zh-CN"/>
              </w:rPr>
              <w:t>0.5</w:t>
            </w:r>
          </w:p>
        </w:tc>
      </w:tr>
      <w:tr w14:paraId="02EED8F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231" w:type="pct"/>
            <w:vAlign w:val="center"/>
          </w:tcPr>
          <w:p w14:paraId="057E59A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highlight w:val="none"/>
                <w:vertAlign w:val="baseline"/>
                <w:lang w:val="en-US" w:eastAsia="zh-CN"/>
              </w:rPr>
            </w:pPr>
            <w:r>
              <w:rPr>
                <w:sz w:val="21"/>
                <w:szCs w:val="21"/>
              </w:rPr>
              <w:t>南尧村1#废渣堆Ⅲ区</w:t>
            </w:r>
          </w:p>
        </w:tc>
        <w:tc>
          <w:tcPr>
            <w:tcW w:w="614" w:type="pct"/>
            <w:vAlign w:val="center"/>
          </w:tcPr>
          <w:p w14:paraId="65DCD85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highlight w:val="none"/>
                <w:vertAlign w:val="baseline"/>
                <w:lang w:val="en-US" w:eastAsia="zh-CN"/>
              </w:rPr>
            </w:pPr>
            <w:r>
              <w:rPr>
                <w:rFonts w:hint="eastAsia"/>
                <w:sz w:val="21"/>
                <w:szCs w:val="21"/>
                <w:highlight w:val="none"/>
                <w:vertAlign w:val="baseline"/>
                <w:lang w:val="en-US" w:eastAsia="zh-CN"/>
              </w:rPr>
              <w:t>ZK1-15</w:t>
            </w:r>
          </w:p>
        </w:tc>
        <w:tc>
          <w:tcPr>
            <w:tcW w:w="781" w:type="pct"/>
            <w:vMerge w:val="continue"/>
            <w:vAlign w:val="center"/>
          </w:tcPr>
          <w:p w14:paraId="5861166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p>
        </w:tc>
        <w:tc>
          <w:tcPr>
            <w:tcW w:w="932" w:type="pct"/>
            <w:vAlign w:val="center"/>
          </w:tcPr>
          <w:p w14:paraId="17E2A25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vertAlign w:val="baseline"/>
                <w:lang w:val="en-US" w:eastAsia="zh-CN"/>
              </w:rPr>
            </w:pPr>
            <w:r>
              <w:rPr>
                <w:rFonts w:hint="eastAsia"/>
                <w:sz w:val="21"/>
                <w:szCs w:val="21"/>
                <w:highlight w:val="none"/>
                <w:vertAlign w:val="baseline"/>
                <w:lang w:val="en-US" w:eastAsia="zh-CN"/>
              </w:rPr>
              <w:t>灰白色、固态</w:t>
            </w:r>
          </w:p>
        </w:tc>
        <w:tc>
          <w:tcPr>
            <w:tcW w:w="916" w:type="pct"/>
            <w:vAlign w:val="center"/>
          </w:tcPr>
          <w:p w14:paraId="75F8EA0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bCs/>
                <w:sz w:val="21"/>
                <w:szCs w:val="21"/>
                <w:highlight w:val="none"/>
                <w:vertAlign w:val="baseline"/>
                <w:lang w:val="en-US" w:eastAsia="zh-CN"/>
              </w:rPr>
            </w:pPr>
            <w:r>
              <w:rPr>
                <w:rFonts w:hint="eastAsia"/>
                <w:b/>
                <w:bCs/>
                <w:sz w:val="21"/>
                <w:szCs w:val="21"/>
                <w:highlight w:val="none"/>
                <w:vertAlign w:val="baseline"/>
                <w:lang w:val="en-US" w:eastAsia="zh-CN"/>
              </w:rPr>
              <w:t>0.699</w:t>
            </w:r>
          </w:p>
        </w:tc>
        <w:tc>
          <w:tcPr>
            <w:tcW w:w="524" w:type="pct"/>
            <w:shd w:val="clear" w:color="auto" w:fill="auto"/>
            <w:vAlign w:val="center"/>
          </w:tcPr>
          <w:p w14:paraId="3197446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eastAsia"/>
                <w:sz w:val="21"/>
                <w:szCs w:val="21"/>
                <w:highlight w:val="none"/>
                <w:vertAlign w:val="baseline"/>
                <w:lang w:val="en-US" w:eastAsia="zh-CN"/>
              </w:rPr>
              <w:t>0.5</w:t>
            </w:r>
          </w:p>
        </w:tc>
      </w:tr>
      <w:tr w14:paraId="3B9AC78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231" w:type="pct"/>
            <w:vMerge w:val="restart"/>
            <w:vAlign w:val="center"/>
          </w:tcPr>
          <w:p w14:paraId="67D9043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highlight w:val="none"/>
                <w:vertAlign w:val="baseline"/>
                <w:lang w:val="en-US" w:eastAsia="zh-CN"/>
              </w:rPr>
            </w:pPr>
            <w:r>
              <w:rPr>
                <w:rFonts w:hint="default" w:ascii="Times New Roman" w:hAnsi="Times New Roman" w:cs="Times New Roman"/>
                <w:sz w:val="21"/>
                <w:szCs w:val="21"/>
                <w:highlight w:val="none"/>
                <w:vertAlign w:val="baseline"/>
                <w:lang w:val="en-US" w:eastAsia="zh-CN"/>
              </w:rPr>
              <w:t>南尧村</w:t>
            </w:r>
            <w:r>
              <w:rPr>
                <w:rFonts w:hint="eastAsia" w:ascii="Times New Roman" w:hAnsi="Times New Roman" w:cs="Times New Roman"/>
                <w:sz w:val="21"/>
                <w:szCs w:val="21"/>
                <w:highlight w:val="none"/>
                <w:vertAlign w:val="baseline"/>
                <w:lang w:val="en-US" w:eastAsia="zh-CN"/>
              </w:rPr>
              <w:t>1</w:t>
            </w:r>
            <w:r>
              <w:rPr>
                <w:rFonts w:hint="eastAsia" w:cs="Times New Roman"/>
                <w:sz w:val="21"/>
                <w:szCs w:val="21"/>
                <w:highlight w:val="none"/>
                <w:vertAlign w:val="baseline"/>
                <w:lang w:val="en-US" w:eastAsia="zh-CN"/>
              </w:rPr>
              <w:t>#</w:t>
            </w:r>
            <w:r>
              <w:rPr>
                <w:rFonts w:hint="eastAsia"/>
                <w:sz w:val="21"/>
                <w:szCs w:val="21"/>
                <w:highlight w:val="none"/>
                <w:vertAlign w:val="baseline"/>
                <w:lang w:val="en-US" w:eastAsia="zh-CN"/>
              </w:rPr>
              <w:t>废渣堆红线外1m</w:t>
            </w:r>
          </w:p>
        </w:tc>
        <w:tc>
          <w:tcPr>
            <w:tcW w:w="614" w:type="pct"/>
            <w:shd w:val="clear" w:color="auto" w:fill="auto"/>
            <w:vAlign w:val="center"/>
          </w:tcPr>
          <w:p w14:paraId="3D42008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eastAsia"/>
                <w:sz w:val="21"/>
                <w:szCs w:val="21"/>
                <w:highlight w:val="none"/>
                <w:vertAlign w:val="baseline"/>
                <w:lang w:val="en-US" w:eastAsia="zh-CN"/>
              </w:rPr>
              <w:t>ZK1-8</w:t>
            </w:r>
          </w:p>
        </w:tc>
        <w:tc>
          <w:tcPr>
            <w:tcW w:w="781" w:type="pct"/>
            <w:vMerge w:val="continue"/>
            <w:vAlign w:val="center"/>
          </w:tcPr>
          <w:p w14:paraId="04A5F14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p>
        </w:tc>
        <w:tc>
          <w:tcPr>
            <w:tcW w:w="932" w:type="pct"/>
            <w:vAlign w:val="center"/>
          </w:tcPr>
          <w:p w14:paraId="0F930DA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棕色、固态</w:t>
            </w:r>
          </w:p>
        </w:tc>
        <w:tc>
          <w:tcPr>
            <w:tcW w:w="916" w:type="pct"/>
            <w:vAlign w:val="center"/>
          </w:tcPr>
          <w:p w14:paraId="6F07829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0.0413</w:t>
            </w:r>
          </w:p>
        </w:tc>
        <w:tc>
          <w:tcPr>
            <w:tcW w:w="524" w:type="pct"/>
            <w:shd w:val="clear" w:color="auto" w:fill="auto"/>
            <w:vAlign w:val="center"/>
          </w:tcPr>
          <w:p w14:paraId="3BFAAD3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eastAsia"/>
                <w:sz w:val="21"/>
                <w:szCs w:val="21"/>
                <w:highlight w:val="none"/>
                <w:vertAlign w:val="baseline"/>
                <w:lang w:val="en-US" w:eastAsia="zh-CN"/>
              </w:rPr>
              <w:t>0.5</w:t>
            </w:r>
          </w:p>
        </w:tc>
      </w:tr>
      <w:tr w14:paraId="0811C5B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231" w:type="pct"/>
            <w:vMerge w:val="continue"/>
            <w:vAlign w:val="center"/>
          </w:tcPr>
          <w:p w14:paraId="7199C9A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highlight w:val="none"/>
                <w:vertAlign w:val="baseline"/>
                <w:lang w:val="en-US" w:eastAsia="zh-CN"/>
              </w:rPr>
            </w:pPr>
          </w:p>
        </w:tc>
        <w:tc>
          <w:tcPr>
            <w:tcW w:w="0" w:type="auto"/>
            <w:shd w:val="clear" w:color="auto" w:fill="auto"/>
            <w:vAlign w:val="center"/>
          </w:tcPr>
          <w:p w14:paraId="03DD994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eastAsia"/>
                <w:sz w:val="21"/>
                <w:szCs w:val="21"/>
                <w:highlight w:val="none"/>
                <w:vertAlign w:val="baseline"/>
                <w:lang w:val="en-US" w:eastAsia="zh-CN"/>
              </w:rPr>
              <w:t>ZK1-10</w:t>
            </w:r>
          </w:p>
        </w:tc>
        <w:tc>
          <w:tcPr>
            <w:tcW w:w="781" w:type="pct"/>
            <w:vMerge w:val="continue"/>
            <w:vAlign w:val="center"/>
          </w:tcPr>
          <w:p w14:paraId="5AABB99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p>
        </w:tc>
        <w:tc>
          <w:tcPr>
            <w:tcW w:w="0" w:type="auto"/>
            <w:vAlign w:val="center"/>
          </w:tcPr>
          <w:p w14:paraId="273EBC5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黄棕色、固态</w:t>
            </w:r>
          </w:p>
        </w:tc>
        <w:tc>
          <w:tcPr>
            <w:tcW w:w="0" w:type="auto"/>
            <w:vAlign w:val="center"/>
          </w:tcPr>
          <w:p w14:paraId="3DEF8BC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0.0316</w:t>
            </w:r>
          </w:p>
        </w:tc>
        <w:tc>
          <w:tcPr>
            <w:tcW w:w="0" w:type="auto"/>
            <w:shd w:val="clear" w:color="auto" w:fill="auto"/>
            <w:vAlign w:val="center"/>
          </w:tcPr>
          <w:p w14:paraId="5F3B178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eastAsia"/>
                <w:sz w:val="21"/>
                <w:szCs w:val="21"/>
                <w:highlight w:val="none"/>
                <w:vertAlign w:val="baseline"/>
                <w:lang w:val="en-US" w:eastAsia="zh-CN"/>
              </w:rPr>
              <w:t>0.5</w:t>
            </w:r>
          </w:p>
        </w:tc>
      </w:tr>
      <w:tr w14:paraId="260AB9F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231" w:type="pct"/>
            <w:vMerge w:val="continue"/>
            <w:vAlign w:val="center"/>
          </w:tcPr>
          <w:p w14:paraId="284FCC1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highlight w:val="none"/>
                <w:vertAlign w:val="baseline"/>
                <w:lang w:val="en-US" w:eastAsia="zh-CN"/>
              </w:rPr>
            </w:pPr>
          </w:p>
        </w:tc>
        <w:tc>
          <w:tcPr>
            <w:tcW w:w="0" w:type="auto"/>
            <w:shd w:val="clear" w:color="auto" w:fill="auto"/>
            <w:vAlign w:val="center"/>
          </w:tcPr>
          <w:p w14:paraId="4510CB6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eastAsia"/>
                <w:sz w:val="21"/>
                <w:szCs w:val="21"/>
                <w:highlight w:val="none"/>
                <w:vertAlign w:val="baseline"/>
                <w:lang w:val="en-US" w:eastAsia="zh-CN"/>
              </w:rPr>
              <w:t>ZK1-11</w:t>
            </w:r>
          </w:p>
        </w:tc>
        <w:tc>
          <w:tcPr>
            <w:tcW w:w="781" w:type="pct"/>
            <w:vMerge w:val="continue"/>
            <w:vAlign w:val="center"/>
          </w:tcPr>
          <w:p w14:paraId="7EA410E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p>
        </w:tc>
        <w:tc>
          <w:tcPr>
            <w:tcW w:w="0" w:type="auto"/>
            <w:vAlign w:val="center"/>
          </w:tcPr>
          <w:p w14:paraId="566FEAB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褐色、固态</w:t>
            </w:r>
          </w:p>
        </w:tc>
        <w:tc>
          <w:tcPr>
            <w:tcW w:w="0" w:type="auto"/>
            <w:vAlign w:val="center"/>
          </w:tcPr>
          <w:p w14:paraId="1D2BCE2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0.0266</w:t>
            </w:r>
          </w:p>
        </w:tc>
        <w:tc>
          <w:tcPr>
            <w:tcW w:w="0" w:type="auto"/>
            <w:shd w:val="clear" w:color="auto" w:fill="auto"/>
            <w:vAlign w:val="center"/>
          </w:tcPr>
          <w:p w14:paraId="4EFF1B3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eastAsia"/>
                <w:sz w:val="21"/>
                <w:szCs w:val="21"/>
                <w:highlight w:val="none"/>
                <w:vertAlign w:val="baseline"/>
                <w:lang w:val="en-US" w:eastAsia="zh-CN"/>
              </w:rPr>
              <w:t>0.5</w:t>
            </w:r>
          </w:p>
        </w:tc>
      </w:tr>
      <w:tr w14:paraId="3FDC62A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231" w:type="pct"/>
            <w:vMerge w:val="continue"/>
            <w:vAlign w:val="center"/>
          </w:tcPr>
          <w:p w14:paraId="31BC6F7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highlight w:val="none"/>
                <w:vertAlign w:val="baseline"/>
                <w:lang w:val="en-US" w:eastAsia="zh-CN"/>
              </w:rPr>
            </w:pPr>
          </w:p>
        </w:tc>
        <w:tc>
          <w:tcPr>
            <w:tcW w:w="0" w:type="auto"/>
            <w:shd w:val="clear" w:color="auto" w:fill="auto"/>
            <w:vAlign w:val="center"/>
          </w:tcPr>
          <w:p w14:paraId="4F5F24A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eastAsia"/>
                <w:sz w:val="21"/>
                <w:szCs w:val="21"/>
                <w:highlight w:val="none"/>
                <w:vertAlign w:val="baseline"/>
                <w:lang w:val="en-US" w:eastAsia="zh-CN"/>
              </w:rPr>
              <w:t>ZK1-14</w:t>
            </w:r>
          </w:p>
        </w:tc>
        <w:tc>
          <w:tcPr>
            <w:tcW w:w="781" w:type="pct"/>
            <w:vMerge w:val="continue"/>
            <w:vAlign w:val="center"/>
          </w:tcPr>
          <w:p w14:paraId="00E2FDB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p>
        </w:tc>
        <w:tc>
          <w:tcPr>
            <w:tcW w:w="0" w:type="auto"/>
            <w:vAlign w:val="center"/>
          </w:tcPr>
          <w:p w14:paraId="55A9671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vertAlign w:val="baseline"/>
                <w:lang w:val="en-US" w:eastAsia="zh-CN"/>
              </w:rPr>
            </w:pPr>
            <w:r>
              <w:rPr>
                <w:rFonts w:hint="eastAsia"/>
                <w:sz w:val="21"/>
                <w:szCs w:val="21"/>
                <w:highlight w:val="none"/>
                <w:vertAlign w:val="baseline"/>
                <w:lang w:val="en-US" w:eastAsia="zh-CN"/>
              </w:rPr>
              <w:t>棕色、固态</w:t>
            </w:r>
          </w:p>
        </w:tc>
        <w:tc>
          <w:tcPr>
            <w:tcW w:w="0" w:type="auto"/>
            <w:vAlign w:val="center"/>
          </w:tcPr>
          <w:p w14:paraId="5904AF3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0.00047</w:t>
            </w:r>
          </w:p>
        </w:tc>
        <w:tc>
          <w:tcPr>
            <w:tcW w:w="0" w:type="auto"/>
            <w:shd w:val="clear" w:color="auto" w:fill="auto"/>
            <w:vAlign w:val="center"/>
          </w:tcPr>
          <w:p w14:paraId="05032A9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eastAsia"/>
                <w:sz w:val="21"/>
                <w:szCs w:val="21"/>
                <w:highlight w:val="none"/>
                <w:vertAlign w:val="baseline"/>
                <w:lang w:val="en-US" w:eastAsia="zh-CN"/>
              </w:rPr>
              <w:t>0.5</w:t>
            </w:r>
          </w:p>
        </w:tc>
      </w:tr>
      <w:tr w14:paraId="2118AF4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231" w:type="pct"/>
            <w:vMerge w:val="continue"/>
            <w:vAlign w:val="center"/>
          </w:tcPr>
          <w:p w14:paraId="6A400C6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highlight w:val="none"/>
                <w:vertAlign w:val="baseline"/>
                <w:lang w:val="en-US" w:eastAsia="zh-CN"/>
              </w:rPr>
            </w:pPr>
          </w:p>
        </w:tc>
        <w:tc>
          <w:tcPr>
            <w:tcW w:w="0" w:type="auto"/>
            <w:shd w:val="clear" w:color="auto" w:fill="auto"/>
            <w:vAlign w:val="center"/>
          </w:tcPr>
          <w:p w14:paraId="0265531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eastAsia"/>
                <w:sz w:val="21"/>
                <w:szCs w:val="21"/>
                <w:highlight w:val="none"/>
                <w:vertAlign w:val="baseline"/>
                <w:lang w:val="en-US" w:eastAsia="zh-CN"/>
              </w:rPr>
              <w:t>ZK1-16</w:t>
            </w:r>
          </w:p>
        </w:tc>
        <w:tc>
          <w:tcPr>
            <w:tcW w:w="781" w:type="pct"/>
            <w:vMerge w:val="continue"/>
            <w:vAlign w:val="center"/>
          </w:tcPr>
          <w:p w14:paraId="039E09C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p>
        </w:tc>
        <w:tc>
          <w:tcPr>
            <w:tcW w:w="0" w:type="auto"/>
            <w:vAlign w:val="center"/>
          </w:tcPr>
          <w:p w14:paraId="5868498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vertAlign w:val="baseline"/>
                <w:lang w:val="en-US" w:eastAsia="zh-CN"/>
              </w:rPr>
            </w:pPr>
            <w:r>
              <w:rPr>
                <w:rFonts w:hint="eastAsia"/>
                <w:sz w:val="21"/>
                <w:szCs w:val="21"/>
                <w:highlight w:val="none"/>
                <w:vertAlign w:val="baseline"/>
                <w:lang w:val="en-US" w:eastAsia="zh-CN"/>
              </w:rPr>
              <w:t>棕色、固态</w:t>
            </w:r>
          </w:p>
        </w:tc>
        <w:tc>
          <w:tcPr>
            <w:tcW w:w="0" w:type="auto"/>
            <w:vAlign w:val="center"/>
          </w:tcPr>
          <w:p w14:paraId="4974407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0.00064</w:t>
            </w:r>
          </w:p>
        </w:tc>
        <w:tc>
          <w:tcPr>
            <w:tcW w:w="0" w:type="auto"/>
            <w:shd w:val="clear" w:color="auto" w:fill="auto"/>
            <w:vAlign w:val="center"/>
          </w:tcPr>
          <w:p w14:paraId="4029D69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eastAsia"/>
                <w:sz w:val="21"/>
                <w:szCs w:val="21"/>
                <w:highlight w:val="none"/>
                <w:vertAlign w:val="baseline"/>
                <w:lang w:val="en-US" w:eastAsia="zh-CN"/>
              </w:rPr>
              <w:t>0.5</w:t>
            </w:r>
          </w:p>
        </w:tc>
      </w:tr>
      <w:tr w14:paraId="070B917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231" w:type="pct"/>
            <w:vMerge w:val="continue"/>
            <w:vAlign w:val="center"/>
          </w:tcPr>
          <w:p w14:paraId="55B892C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highlight w:val="none"/>
                <w:vertAlign w:val="baseline"/>
                <w:lang w:val="en-US" w:eastAsia="zh-CN"/>
              </w:rPr>
            </w:pPr>
          </w:p>
        </w:tc>
        <w:tc>
          <w:tcPr>
            <w:tcW w:w="0" w:type="auto"/>
            <w:shd w:val="clear" w:color="auto" w:fill="auto"/>
            <w:vAlign w:val="center"/>
          </w:tcPr>
          <w:p w14:paraId="2FBAB54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eastAsia"/>
                <w:sz w:val="21"/>
                <w:szCs w:val="21"/>
                <w:highlight w:val="none"/>
                <w:vertAlign w:val="baseline"/>
                <w:lang w:val="en-US" w:eastAsia="zh-CN"/>
              </w:rPr>
              <w:t>ZK1-17</w:t>
            </w:r>
          </w:p>
        </w:tc>
        <w:tc>
          <w:tcPr>
            <w:tcW w:w="781" w:type="pct"/>
            <w:vMerge w:val="continue"/>
            <w:vAlign w:val="center"/>
          </w:tcPr>
          <w:p w14:paraId="297B709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p>
        </w:tc>
        <w:tc>
          <w:tcPr>
            <w:tcW w:w="0" w:type="auto"/>
            <w:vAlign w:val="center"/>
          </w:tcPr>
          <w:p w14:paraId="1900415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vertAlign w:val="baseline"/>
                <w:lang w:val="en-US" w:eastAsia="zh-CN"/>
              </w:rPr>
            </w:pPr>
            <w:r>
              <w:rPr>
                <w:rFonts w:hint="eastAsia"/>
                <w:sz w:val="21"/>
                <w:szCs w:val="21"/>
                <w:highlight w:val="none"/>
                <w:vertAlign w:val="baseline"/>
                <w:lang w:val="en-US" w:eastAsia="zh-CN"/>
              </w:rPr>
              <w:t>黄棕色、固态</w:t>
            </w:r>
          </w:p>
        </w:tc>
        <w:tc>
          <w:tcPr>
            <w:tcW w:w="0" w:type="auto"/>
            <w:vAlign w:val="center"/>
          </w:tcPr>
          <w:p w14:paraId="13D31AF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0.00857</w:t>
            </w:r>
          </w:p>
        </w:tc>
        <w:tc>
          <w:tcPr>
            <w:tcW w:w="0" w:type="auto"/>
            <w:shd w:val="clear" w:color="auto" w:fill="auto"/>
            <w:vAlign w:val="center"/>
          </w:tcPr>
          <w:p w14:paraId="4075B2B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eastAsia"/>
                <w:sz w:val="21"/>
                <w:szCs w:val="21"/>
                <w:highlight w:val="none"/>
                <w:vertAlign w:val="baseline"/>
                <w:lang w:val="en-US" w:eastAsia="zh-CN"/>
              </w:rPr>
              <w:t>0.5</w:t>
            </w:r>
          </w:p>
        </w:tc>
      </w:tr>
      <w:tr w14:paraId="36B4DE9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231" w:type="pct"/>
            <w:vMerge w:val="continue"/>
            <w:vAlign w:val="center"/>
          </w:tcPr>
          <w:p w14:paraId="6E2E064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highlight w:val="none"/>
                <w:vertAlign w:val="baseline"/>
                <w:lang w:val="en-US" w:eastAsia="zh-CN"/>
              </w:rPr>
            </w:pPr>
          </w:p>
        </w:tc>
        <w:tc>
          <w:tcPr>
            <w:tcW w:w="0" w:type="auto"/>
            <w:shd w:val="clear" w:color="auto" w:fill="auto"/>
            <w:vAlign w:val="center"/>
          </w:tcPr>
          <w:p w14:paraId="51D58D9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eastAsia"/>
                <w:sz w:val="21"/>
                <w:szCs w:val="21"/>
                <w:highlight w:val="none"/>
                <w:vertAlign w:val="baseline"/>
                <w:lang w:val="en-US" w:eastAsia="zh-CN"/>
              </w:rPr>
              <w:t>ZK1-18</w:t>
            </w:r>
          </w:p>
        </w:tc>
        <w:tc>
          <w:tcPr>
            <w:tcW w:w="781" w:type="pct"/>
            <w:vMerge w:val="continue"/>
            <w:vAlign w:val="center"/>
          </w:tcPr>
          <w:p w14:paraId="105AE28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p>
        </w:tc>
        <w:tc>
          <w:tcPr>
            <w:tcW w:w="0" w:type="auto"/>
            <w:vAlign w:val="center"/>
          </w:tcPr>
          <w:p w14:paraId="4403ABC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vertAlign w:val="baseline"/>
                <w:lang w:val="en-US" w:eastAsia="zh-CN"/>
              </w:rPr>
            </w:pPr>
            <w:r>
              <w:rPr>
                <w:rFonts w:hint="eastAsia"/>
                <w:sz w:val="21"/>
                <w:szCs w:val="21"/>
                <w:highlight w:val="none"/>
                <w:vertAlign w:val="baseline"/>
                <w:lang w:val="en-US" w:eastAsia="zh-CN"/>
              </w:rPr>
              <w:t>灰色、固态</w:t>
            </w:r>
          </w:p>
        </w:tc>
        <w:tc>
          <w:tcPr>
            <w:tcW w:w="0" w:type="auto"/>
            <w:vAlign w:val="center"/>
          </w:tcPr>
          <w:p w14:paraId="5BD4D0F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0.0328</w:t>
            </w:r>
          </w:p>
        </w:tc>
        <w:tc>
          <w:tcPr>
            <w:tcW w:w="0" w:type="auto"/>
            <w:shd w:val="clear" w:color="auto" w:fill="auto"/>
            <w:vAlign w:val="center"/>
          </w:tcPr>
          <w:p w14:paraId="465D6D0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eastAsia"/>
                <w:sz w:val="21"/>
                <w:szCs w:val="21"/>
                <w:highlight w:val="none"/>
                <w:vertAlign w:val="baseline"/>
                <w:lang w:val="en-US" w:eastAsia="zh-CN"/>
              </w:rPr>
              <w:t>0.5</w:t>
            </w:r>
          </w:p>
        </w:tc>
      </w:tr>
      <w:tr w14:paraId="109FF98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231" w:type="pct"/>
            <w:vMerge w:val="continue"/>
            <w:vAlign w:val="center"/>
          </w:tcPr>
          <w:p w14:paraId="5E49869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highlight w:val="none"/>
                <w:vertAlign w:val="baseline"/>
                <w:lang w:val="en-US" w:eastAsia="zh-CN"/>
              </w:rPr>
            </w:pPr>
          </w:p>
        </w:tc>
        <w:tc>
          <w:tcPr>
            <w:tcW w:w="0" w:type="auto"/>
            <w:shd w:val="clear" w:color="auto" w:fill="auto"/>
            <w:vAlign w:val="center"/>
          </w:tcPr>
          <w:p w14:paraId="5A7B65D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eastAsia"/>
                <w:sz w:val="21"/>
                <w:szCs w:val="21"/>
                <w:highlight w:val="none"/>
                <w:vertAlign w:val="baseline"/>
                <w:lang w:val="en-US" w:eastAsia="zh-CN"/>
              </w:rPr>
              <w:t>ZK1-19</w:t>
            </w:r>
          </w:p>
        </w:tc>
        <w:tc>
          <w:tcPr>
            <w:tcW w:w="781" w:type="pct"/>
            <w:vMerge w:val="continue"/>
            <w:vAlign w:val="center"/>
          </w:tcPr>
          <w:p w14:paraId="0D4A72C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p>
        </w:tc>
        <w:tc>
          <w:tcPr>
            <w:tcW w:w="0" w:type="auto"/>
            <w:vAlign w:val="center"/>
          </w:tcPr>
          <w:p w14:paraId="1F67376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vertAlign w:val="baseline"/>
                <w:lang w:val="en-US" w:eastAsia="zh-CN"/>
              </w:rPr>
            </w:pPr>
            <w:r>
              <w:rPr>
                <w:rFonts w:hint="eastAsia"/>
                <w:sz w:val="21"/>
                <w:szCs w:val="21"/>
                <w:highlight w:val="none"/>
                <w:vertAlign w:val="baseline"/>
                <w:lang w:val="en-US" w:eastAsia="zh-CN"/>
              </w:rPr>
              <w:t>灰褐色、固态</w:t>
            </w:r>
          </w:p>
        </w:tc>
        <w:tc>
          <w:tcPr>
            <w:tcW w:w="0" w:type="auto"/>
            <w:vAlign w:val="center"/>
          </w:tcPr>
          <w:p w14:paraId="3C7991F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0.0412</w:t>
            </w:r>
          </w:p>
        </w:tc>
        <w:tc>
          <w:tcPr>
            <w:tcW w:w="0" w:type="auto"/>
            <w:shd w:val="clear" w:color="auto" w:fill="auto"/>
            <w:vAlign w:val="center"/>
          </w:tcPr>
          <w:p w14:paraId="4750A3D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eastAsia"/>
                <w:sz w:val="21"/>
                <w:szCs w:val="21"/>
                <w:highlight w:val="none"/>
                <w:vertAlign w:val="baseline"/>
                <w:lang w:val="en-US" w:eastAsia="zh-CN"/>
              </w:rPr>
              <w:t>0.5</w:t>
            </w:r>
          </w:p>
        </w:tc>
      </w:tr>
      <w:tr w14:paraId="0AF6775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231" w:type="pct"/>
            <w:vMerge w:val="continue"/>
            <w:vAlign w:val="center"/>
          </w:tcPr>
          <w:p w14:paraId="2351ACC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highlight w:val="none"/>
                <w:vertAlign w:val="baseline"/>
                <w:lang w:val="en-US" w:eastAsia="zh-CN"/>
              </w:rPr>
            </w:pPr>
          </w:p>
        </w:tc>
        <w:tc>
          <w:tcPr>
            <w:tcW w:w="0" w:type="auto"/>
            <w:shd w:val="clear" w:color="auto" w:fill="auto"/>
            <w:vAlign w:val="center"/>
          </w:tcPr>
          <w:p w14:paraId="1006B2C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eastAsia"/>
                <w:sz w:val="21"/>
                <w:szCs w:val="21"/>
                <w:highlight w:val="none"/>
                <w:vertAlign w:val="baseline"/>
                <w:lang w:val="en-US" w:eastAsia="zh-CN"/>
              </w:rPr>
              <w:t>ZK1-20</w:t>
            </w:r>
          </w:p>
        </w:tc>
        <w:tc>
          <w:tcPr>
            <w:tcW w:w="781" w:type="pct"/>
            <w:vMerge w:val="continue"/>
            <w:vAlign w:val="center"/>
          </w:tcPr>
          <w:p w14:paraId="5998845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p>
        </w:tc>
        <w:tc>
          <w:tcPr>
            <w:tcW w:w="0" w:type="auto"/>
            <w:vAlign w:val="center"/>
          </w:tcPr>
          <w:p w14:paraId="2EEA204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vertAlign w:val="baseline"/>
                <w:lang w:val="en-US" w:eastAsia="zh-CN"/>
              </w:rPr>
            </w:pPr>
            <w:r>
              <w:rPr>
                <w:rFonts w:hint="eastAsia"/>
                <w:sz w:val="21"/>
                <w:szCs w:val="21"/>
                <w:highlight w:val="none"/>
                <w:vertAlign w:val="baseline"/>
                <w:lang w:val="en-US" w:eastAsia="zh-CN"/>
              </w:rPr>
              <w:t>棕色、固态</w:t>
            </w:r>
          </w:p>
        </w:tc>
        <w:tc>
          <w:tcPr>
            <w:tcW w:w="0" w:type="auto"/>
            <w:vAlign w:val="center"/>
          </w:tcPr>
          <w:p w14:paraId="23996FF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0.0787</w:t>
            </w:r>
          </w:p>
        </w:tc>
        <w:tc>
          <w:tcPr>
            <w:tcW w:w="0" w:type="auto"/>
            <w:shd w:val="clear" w:color="auto" w:fill="auto"/>
            <w:vAlign w:val="center"/>
          </w:tcPr>
          <w:p w14:paraId="5396B92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eastAsia"/>
                <w:sz w:val="21"/>
                <w:szCs w:val="21"/>
                <w:highlight w:val="none"/>
                <w:vertAlign w:val="baseline"/>
                <w:lang w:val="en-US" w:eastAsia="zh-CN"/>
              </w:rPr>
              <w:t>0.5</w:t>
            </w:r>
          </w:p>
        </w:tc>
      </w:tr>
      <w:tr w14:paraId="0DC2A29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231" w:type="pct"/>
            <w:vAlign w:val="center"/>
          </w:tcPr>
          <w:p w14:paraId="557D672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highlight w:val="none"/>
                <w:vertAlign w:val="baseline"/>
                <w:lang w:val="en-US" w:eastAsia="zh-CN"/>
              </w:rPr>
            </w:pPr>
            <w:r>
              <w:rPr>
                <w:sz w:val="21"/>
                <w:szCs w:val="21"/>
              </w:rPr>
              <w:t>南尧村2#废渣堆Ⅲ区</w:t>
            </w:r>
          </w:p>
        </w:tc>
        <w:tc>
          <w:tcPr>
            <w:tcW w:w="0" w:type="auto"/>
            <w:shd w:val="clear" w:color="auto" w:fill="auto"/>
            <w:vAlign w:val="center"/>
          </w:tcPr>
          <w:p w14:paraId="29C2F71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ZK2-16</w:t>
            </w:r>
          </w:p>
        </w:tc>
        <w:tc>
          <w:tcPr>
            <w:tcW w:w="781" w:type="pct"/>
            <w:vMerge w:val="continue"/>
            <w:vAlign w:val="center"/>
          </w:tcPr>
          <w:p w14:paraId="5A3E1D0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p>
        </w:tc>
        <w:tc>
          <w:tcPr>
            <w:tcW w:w="0" w:type="auto"/>
            <w:shd w:val="clear" w:color="auto" w:fill="auto"/>
            <w:vAlign w:val="center"/>
          </w:tcPr>
          <w:p w14:paraId="7A92795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kern w:val="2"/>
                <w:sz w:val="21"/>
                <w:szCs w:val="21"/>
                <w:highlight w:val="none"/>
                <w:vertAlign w:val="baseline"/>
                <w:lang w:val="en-US" w:eastAsia="zh-CN" w:bidi="ar-SA"/>
              </w:rPr>
            </w:pPr>
            <w:r>
              <w:rPr>
                <w:rFonts w:hint="eastAsia"/>
                <w:sz w:val="21"/>
                <w:szCs w:val="21"/>
                <w:highlight w:val="none"/>
                <w:vertAlign w:val="baseline"/>
                <w:lang w:val="en-US" w:eastAsia="zh-CN"/>
              </w:rPr>
              <w:t>灰白色、固态</w:t>
            </w:r>
          </w:p>
        </w:tc>
        <w:tc>
          <w:tcPr>
            <w:tcW w:w="0" w:type="auto"/>
            <w:vAlign w:val="center"/>
          </w:tcPr>
          <w:p w14:paraId="53A73A8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bCs/>
                <w:sz w:val="21"/>
                <w:szCs w:val="21"/>
                <w:highlight w:val="none"/>
                <w:vertAlign w:val="baseline"/>
                <w:lang w:val="en-US" w:eastAsia="zh-CN"/>
              </w:rPr>
            </w:pPr>
            <w:r>
              <w:rPr>
                <w:rFonts w:hint="eastAsia"/>
                <w:b/>
                <w:bCs/>
                <w:sz w:val="21"/>
                <w:szCs w:val="21"/>
                <w:highlight w:val="none"/>
                <w:vertAlign w:val="baseline"/>
                <w:lang w:val="en-US" w:eastAsia="zh-CN"/>
              </w:rPr>
              <w:t>0.765</w:t>
            </w:r>
          </w:p>
        </w:tc>
        <w:tc>
          <w:tcPr>
            <w:tcW w:w="0" w:type="auto"/>
            <w:shd w:val="clear" w:color="auto" w:fill="auto"/>
            <w:vAlign w:val="center"/>
          </w:tcPr>
          <w:p w14:paraId="638EEC8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eastAsia"/>
                <w:sz w:val="21"/>
                <w:szCs w:val="21"/>
                <w:highlight w:val="none"/>
                <w:vertAlign w:val="baseline"/>
                <w:lang w:val="en-US" w:eastAsia="zh-CN"/>
              </w:rPr>
              <w:t>0.5</w:t>
            </w:r>
          </w:p>
        </w:tc>
      </w:tr>
      <w:tr w14:paraId="51DC477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231" w:type="pct"/>
            <w:vAlign w:val="center"/>
          </w:tcPr>
          <w:p w14:paraId="42E7B91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highlight w:val="none"/>
                <w:vertAlign w:val="baseline"/>
                <w:lang w:val="en-US" w:eastAsia="zh-CN"/>
              </w:rPr>
            </w:pPr>
            <w:r>
              <w:rPr>
                <w:sz w:val="21"/>
                <w:szCs w:val="21"/>
              </w:rPr>
              <w:t>南尧村2#废渣堆Ⅵ区</w:t>
            </w:r>
          </w:p>
        </w:tc>
        <w:tc>
          <w:tcPr>
            <w:tcW w:w="0" w:type="auto"/>
            <w:shd w:val="clear" w:color="auto" w:fill="auto"/>
            <w:vAlign w:val="center"/>
          </w:tcPr>
          <w:p w14:paraId="2C8F3F7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ZK2-21</w:t>
            </w:r>
          </w:p>
        </w:tc>
        <w:tc>
          <w:tcPr>
            <w:tcW w:w="781" w:type="pct"/>
            <w:vMerge w:val="continue"/>
            <w:vAlign w:val="center"/>
          </w:tcPr>
          <w:p w14:paraId="6371B15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p>
        </w:tc>
        <w:tc>
          <w:tcPr>
            <w:tcW w:w="0" w:type="auto"/>
            <w:shd w:val="clear" w:color="auto" w:fill="auto"/>
            <w:vAlign w:val="center"/>
          </w:tcPr>
          <w:p w14:paraId="6F14201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kern w:val="2"/>
                <w:sz w:val="21"/>
                <w:szCs w:val="21"/>
                <w:highlight w:val="none"/>
                <w:vertAlign w:val="baseline"/>
                <w:lang w:val="en-US" w:eastAsia="zh-CN" w:bidi="ar-SA"/>
              </w:rPr>
            </w:pPr>
            <w:r>
              <w:rPr>
                <w:rFonts w:hint="eastAsia"/>
                <w:sz w:val="21"/>
                <w:szCs w:val="21"/>
                <w:highlight w:val="none"/>
                <w:vertAlign w:val="baseline"/>
                <w:lang w:val="en-US" w:eastAsia="zh-CN"/>
              </w:rPr>
              <w:t>灰白色、固态</w:t>
            </w:r>
          </w:p>
        </w:tc>
        <w:tc>
          <w:tcPr>
            <w:tcW w:w="0" w:type="auto"/>
            <w:vAlign w:val="center"/>
          </w:tcPr>
          <w:p w14:paraId="5DDAFE6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bCs/>
                <w:sz w:val="21"/>
                <w:szCs w:val="21"/>
                <w:highlight w:val="none"/>
                <w:vertAlign w:val="baseline"/>
                <w:lang w:val="en-US" w:eastAsia="zh-CN"/>
              </w:rPr>
            </w:pPr>
            <w:r>
              <w:rPr>
                <w:rFonts w:hint="eastAsia"/>
                <w:b/>
                <w:bCs/>
                <w:sz w:val="21"/>
                <w:szCs w:val="21"/>
                <w:highlight w:val="none"/>
                <w:vertAlign w:val="baseline"/>
                <w:lang w:val="en-US" w:eastAsia="zh-CN"/>
              </w:rPr>
              <w:t>1.15</w:t>
            </w:r>
          </w:p>
        </w:tc>
        <w:tc>
          <w:tcPr>
            <w:tcW w:w="0" w:type="auto"/>
            <w:shd w:val="clear" w:color="auto" w:fill="auto"/>
            <w:vAlign w:val="center"/>
          </w:tcPr>
          <w:p w14:paraId="66D0597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eastAsia"/>
                <w:sz w:val="21"/>
                <w:szCs w:val="21"/>
                <w:highlight w:val="none"/>
                <w:vertAlign w:val="baseline"/>
                <w:lang w:val="en-US" w:eastAsia="zh-CN"/>
              </w:rPr>
              <w:t>0.5</w:t>
            </w:r>
          </w:p>
        </w:tc>
      </w:tr>
      <w:tr w14:paraId="36FB07A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231" w:type="pct"/>
            <w:vAlign w:val="center"/>
          </w:tcPr>
          <w:p w14:paraId="119749B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highlight w:val="none"/>
                <w:vertAlign w:val="baseline"/>
                <w:lang w:val="en-US" w:eastAsia="zh-CN"/>
              </w:rPr>
            </w:pPr>
            <w:r>
              <w:rPr>
                <w:sz w:val="21"/>
                <w:szCs w:val="21"/>
              </w:rPr>
              <w:t>南尧村2#废渣堆Ⅵ区</w:t>
            </w:r>
          </w:p>
        </w:tc>
        <w:tc>
          <w:tcPr>
            <w:tcW w:w="0" w:type="auto"/>
            <w:shd w:val="clear" w:color="auto" w:fill="auto"/>
            <w:vAlign w:val="center"/>
          </w:tcPr>
          <w:p w14:paraId="2BA1067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ZK2-22</w:t>
            </w:r>
          </w:p>
        </w:tc>
        <w:tc>
          <w:tcPr>
            <w:tcW w:w="781" w:type="pct"/>
            <w:vMerge w:val="continue"/>
            <w:vAlign w:val="center"/>
          </w:tcPr>
          <w:p w14:paraId="6E34F7A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p>
        </w:tc>
        <w:tc>
          <w:tcPr>
            <w:tcW w:w="0" w:type="auto"/>
            <w:shd w:val="clear" w:color="auto" w:fill="auto"/>
            <w:vAlign w:val="center"/>
          </w:tcPr>
          <w:p w14:paraId="717BBA9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kern w:val="2"/>
                <w:sz w:val="21"/>
                <w:szCs w:val="21"/>
                <w:highlight w:val="none"/>
                <w:vertAlign w:val="baseline"/>
                <w:lang w:val="en-US" w:eastAsia="zh-CN" w:bidi="ar-SA"/>
              </w:rPr>
            </w:pPr>
            <w:r>
              <w:rPr>
                <w:rFonts w:hint="eastAsia"/>
                <w:sz w:val="21"/>
                <w:szCs w:val="21"/>
                <w:highlight w:val="none"/>
                <w:vertAlign w:val="baseline"/>
                <w:lang w:val="en-US" w:eastAsia="zh-CN"/>
              </w:rPr>
              <w:t>灰白色、固态</w:t>
            </w:r>
          </w:p>
        </w:tc>
        <w:tc>
          <w:tcPr>
            <w:tcW w:w="0" w:type="auto"/>
            <w:vAlign w:val="center"/>
          </w:tcPr>
          <w:p w14:paraId="79391FD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bCs/>
                <w:sz w:val="21"/>
                <w:szCs w:val="21"/>
                <w:highlight w:val="none"/>
                <w:vertAlign w:val="baseline"/>
                <w:lang w:val="en-US" w:eastAsia="zh-CN"/>
              </w:rPr>
            </w:pPr>
            <w:r>
              <w:rPr>
                <w:rFonts w:hint="eastAsia"/>
                <w:b/>
                <w:bCs/>
                <w:sz w:val="21"/>
                <w:szCs w:val="21"/>
                <w:highlight w:val="none"/>
                <w:vertAlign w:val="baseline"/>
                <w:lang w:val="en-US" w:eastAsia="zh-CN"/>
              </w:rPr>
              <w:t>0.842</w:t>
            </w:r>
          </w:p>
        </w:tc>
        <w:tc>
          <w:tcPr>
            <w:tcW w:w="0" w:type="auto"/>
            <w:shd w:val="clear" w:color="auto" w:fill="auto"/>
            <w:vAlign w:val="center"/>
          </w:tcPr>
          <w:p w14:paraId="64EDD94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eastAsia"/>
                <w:sz w:val="21"/>
                <w:szCs w:val="21"/>
                <w:highlight w:val="none"/>
                <w:vertAlign w:val="baseline"/>
                <w:lang w:val="en-US" w:eastAsia="zh-CN"/>
              </w:rPr>
              <w:t>0.5</w:t>
            </w:r>
          </w:p>
        </w:tc>
      </w:tr>
      <w:tr w14:paraId="6B470DB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231" w:type="pct"/>
            <w:vMerge w:val="restart"/>
            <w:vAlign w:val="center"/>
          </w:tcPr>
          <w:p w14:paraId="4871FE1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highlight w:val="none"/>
                <w:vertAlign w:val="baseline"/>
                <w:lang w:val="en-US" w:eastAsia="zh-CN"/>
              </w:rPr>
            </w:pPr>
            <w:r>
              <w:rPr>
                <w:rFonts w:hint="default" w:ascii="Times New Roman" w:hAnsi="Times New Roman" w:cs="Times New Roman"/>
                <w:sz w:val="21"/>
                <w:szCs w:val="21"/>
                <w:highlight w:val="none"/>
                <w:vertAlign w:val="baseline"/>
                <w:lang w:val="en-US" w:eastAsia="zh-CN"/>
              </w:rPr>
              <w:t>南尧村</w:t>
            </w:r>
            <w:r>
              <w:rPr>
                <w:rFonts w:hint="eastAsia" w:ascii="Times New Roman" w:hAnsi="Times New Roman" w:cs="Times New Roman"/>
                <w:sz w:val="21"/>
                <w:szCs w:val="21"/>
                <w:highlight w:val="none"/>
                <w:vertAlign w:val="baseline"/>
                <w:lang w:val="en-US" w:eastAsia="zh-CN"/>
              </w:rPr>
              <w:t>2</w:t>
            </w:r>
            <w:r>
              <w:rPr>
                <w:rFonts w:hint="eastAsia" w:cs="Times New Roman"/>
                <w:sz w:val="21"/>
                <w:szCs w:val="21"/>
                <w:highlight w:val="none"/>
                <w:vertAlign w:val="baseline"/>
                <w:lang w:val="en-US" w:eastAsia="zh-CN"/>
              </w:rPr>
              <w:t>#</w:t>
            </w:r>
            <w:r>
              <w:rPr>
                <w:rFonts w:hint="eastAsia"/>
                <w:sz w:val="21"/>
                <w:szCs w:val="21"/>
                <w:highlight w:val="none"/>
                <w:vertAlign w:val="baseline"/>
                <w:lang w:val="en-US" w:eastAsia="zh-CN"/>
              </w:rPr>
              <w:t>废渣堆红线外1m</w:t>
            </w:r>
          </w:p>
        </w:tc>
        <w:tc>
          <w:tcPr>
            <w:tcW w:w="0" w:type="auto"/>
            <w:shd w:val="clear" w:color="auto" w:fill="auto"/>
            <w:vAlign w:val="center"/>
          </w:tcPr>
          <w:p w14:paraId="7386F57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kern w:val="2"/>
                <w:sz w:val="21"/>
                <w:szCs w:val="21"/>
                <w:highlight w:val="none"/>
                <w:vertAlign w:val="baseline"/>
                <w:lang w:val="en-US" w:eastAsia="zh-CN" w:bidi="ar-SA"/>
              </w:rPr>
            </w:pPr>
            <w:r>
              <w:rPr>
                <w:rFonts w:hint="eastAsia"/>
                <w:sz w:val="21"/>
                <w:szCs w:val="21"/>
                <w:highlight w:val="none"/>
                <w:vertAlign w:val="baseline"/>
                <w:lang w:val="en-US" w:eastAsia="zh-CN"/>
              </w:rPr>
              <w:t>ZK2-13</w:t>
            </w:r>
          </w:p>
        </w:tc>
        <w:tc>
          <w:tcPr>
            <w:tcW w:w="781" w:type="pct"/>
            <w:vMerge w:val="continue"/>
            <w:vAlign w:val="center"/>
          </w:tcPr>
          <w:p w14:paraId="200A9BE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p>
        </w:tc>
        <w:tc>
          <w:tcPr>
            <w:tcW w:w="0" w:type="auto"/>
            <w:vAlign w:val="center"/>
          </w:tcPr>
          <w:p w14:paraId="3248F57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vertAlign w:val="baseline"/>
                <w:lang w:val="en-US" w:eastAsia="zh-CN"/>
              </w:rPr>
            </w:pPr>
            <w:r>
              <w:rPr>
                <w:rFonts w:hint="eastAsia"/>
                <w:sz w:val="21"/>
                <w:szCs w:val="21"/>
                <w:highlight w:val="none"/>
                <w:vertAlign w:val="baseline"/>
                <w:lang w:val="en-US" w:eastAsia="zh-CN"/>
              </w:rPr>
              <w:t>棕色、固态</w:t>
            </w:r>
          </w:p>
        </w:tc>
        <w:tc>
          <w:tcPr>
            <w:tcW w:w="0" w:type="auto"/>
            <w:vAlign w:val="center"/>
          </w:tcPr>
          <w:p w14:paraId="0FD8D5A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0.00371</w:t>
            </w:r>
          </w:p>
        </w:tc>
        <w:tc>
          <w:tcPr>
            <w:tcW w:w="524" w:type="pct"/>
            <w:shd w:val="clear" w:color="auto" w:fill="auto"/>
            <w:vAlign w:val="center"/>
          </w:tcPr>
          <w:p w14:paraId="46BB617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eastAsia"/>
                <w:sz w:val="21"/>
                <w:szCs w:val="21"/>
                <w:highlight w:val="none"/>
                <w:vertAlign w:val="baseline"/>
                <w:lang w:val="en-US" w:eastAsia="zh-CN"/>
              </w:rPr>
              <w:t>0.5</w:t>
            </w:r>
          </w:p>
        </w:tc>
      </w:tr>
      <w:tr w14:paraId="7B22DF2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231" w:type="pct"/>
            <w:vMerge w:val="continue"/>
            <w:vAlign w:val="center"/>
          </w:tcPr>
          <w:p w14:paraId="1E3A713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highlight w:val="none"/>
                <w:vertAlign w:val="baseline"/>
                <w:lang w:val="en-US" w:eastAsia="zh-CN"/>
              </w:rPr>
            </w:pPr>
          </w:p>
        </w:tc>
        <w:tc>
          <w:tcPr>
            <w:tcW w:w="0" w:type="auto"/>
            <w:shd w:val="clear" w:color="auto" w:fill="auto"/>
            <w:vAlign w:val="center"/>
          </w:tcPr>
          <w:p w14:paraId="0BCA79A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kern w:val="2"/>
                <w:sz w:val="21"/>
                <w:szCs w:val="21"/>
                <w:highlight w:val="none"/>
                <w:vertAlign w:val="baseline"/>
                <w:lang w:val="en-US" w:eastAsia="zh-CN" w:bidi="ar-SA"/>
              </w:rPr>
            </w:pPr>
            <w:r>
              <w:rPr>
                <w:rFonts w:hint="eastAsia"/>
                <w:sz w:val="21"/>
                <w:szCs w:val="21"/>
                <w:highlight w:val="none"/>
                <w:vertAlign w:val="baseline"/>
                <w:lang w:val="en-US" w:eastAsia="zh-CN"/>
              </w:rPr>
              <w:t>ZK2-14</w:t>
            </w:r>
          </w:p>
        </w:tc>
        <w:tc>
          <w:tcPr>
            <w:tcW w:w="781" w:type="pct"/>
            <w:vMerge w:val="continue"/>
            <w:vAlign w:val="center"/>
          </w:tcPr>
          <w:p w14:paraId="7916FF4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p>
        </w:tc>
        <w:tc>
          <w:tcPr>
            <w:tcW w:w="0" w:type="auto"/>
            <w:vAlign w:val="center"/>
          </w:tcPr>
          <w:p w14:paraId="71B6E7B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vertAlign w:val="baseline"/>
                <w:lang w:val="en-US" w:eastAsia="zh-CN"/>
              </w:rPr>
            </w:pPr>
            <w:r>
              <w:rPr>
                <w:rFonts w:hint="eastAsia"/>
                <w:sz w:val="21"/>
                <w:szCs w:val="21"/>
                <w:highlight w:val="none"/>
                <w:vertAlign w:val="baseline"/>
                <w:lang w:val="en-US" w:eastAsia="zh-CN"/>
              </w:rPr>
              <w:t>棕色、固态</w:t>
            </w:r>
          </w:p>
        </w:tc>
        <w:tc>
          <w:tcPr>
            <w:tcW w:w="0" w:type="auto"/>
            <w:vAlign w:val="center"/>
          </w:tcPr>
          <w:p w14:paraId="04B1E47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0.00170</w:t>
            </w:r>
          </w:p>
        </w:tc>
        <w:tc>
          <w:tcPr>
            <w:tcW w:w="524" w:type="pct"/>
            <w:shd w:val="clear" w:color="auto" w:fill="auto"/>
            <w:vAlign w:val="center"/>
          </w:tcPr>
          <w:p w14:paraId="1433481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eastAsia"/>
                <w:sz w:val="21"/>
                <w:szCs w:val="21"/>
                <w:highlight w:val="none"/>
                <w:vertAlign w:val="baseline"/>
                <w:lang w:val="en-US" w:eastAsia="zh-CN"/>
              </w:rPr>
              <w:t>0.5</w:t>
            </w:r>
          </w:p>
        </w:tc>
      </w:tr>
      <w:tr w14:paraId="1A2740A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231" w:type="pct"/>
            <w:vMerge w:val="continue"/>
            <w:vAlign w:val="center"/>
          </w:tcPr>
          <w:p w14:paraId="3ABB94B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highlight w:val="none"/>
                <w:vertAlign w:val="baseline"/>
                <w:lang w:val="en-US" w:eastAsia="zh-CN"/>
              </w:rPr>
            </w:pPr>
          </w:p>
        </w:tc>
        <w:tc>
          <w:tcPr>
            <w:tcW w:w="0" w:type="auto"/>
            <w:shd w:val="clear" w:color="auto" w:fill="auto"/>
            <w:vAlign w:val="center"/>
          </w:tcPr>
          <w:p w14:paraId="769D3EA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kern w:val="2"/>
                <w:sz w:val="21"/>
                <w:szCs w:val="21"/>
                <w:highlight w:val="none"/>
                <w:vertAlign w:val="baseline"/>
                <w:lang w:val="en-US" w:eastAsia="zh-CN" w:bidi="ar-SA"/>
              </w:rPr>
            </w:pPr>
            <w:r>
              <w:rPr>
                <w:rFonts w:hint="eastAsia"/>
                <w:sz w:val="21"/>
                <w:szCs w:val="21"/>
                <w:highlight w:val="none"/>
                <w:vertAlign w:val="baseline"/>
                <w:lang w:val="en-US" w:eastAsia="zh-CN"/>
              </w:rPr>
              <w:t>ZK2-15</w:t>
            </w:r>
          </w:p>
        </w:tc>
        <w:tc>
          <w:tcPr>
            <w:tcW w:w="781" w:type="pct"/>
            <w:vMerge w:val="continue"/>
            <w:vAlign w:val="center"/>
          </w:tcPr>
          <w:p w14:paraId="626A5B7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p>
        </w:tc>
        <w:tc>
          <w:tcPr>
            <w:tcW w:w="0" w:type="auto"/>
            <w:vAlign w:val="center"/>
          </w:tcPr>
          <w:p w14:paraId="464A5E0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黄棕色、固态</w:t>
            </w:r>
          </w:p>
        </w:tc>
        <w:tc>
          <w:tcPr>
            <w:tcW w:w="0" w:type="auto"/>
            <w:vAlign w:val="center"/>
          </w:tcPr>
          <w:p w14:paraId="516FFA4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0.00156</w:t>
            </w:r>
          </w:p>
        </w:tc>
        <w:tc>
          <w:tcPr>
            <w:tcW w:w="524" w:type="pct"/>
            <w:shd w:val="clear" w:color="auto" w:fill="auto"/>
            <w:vAlign w:val="center"/>
          </w:tcPr>
          <w:p w14:paraId="51E8D93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eastAsia"/>
                <w:sz w:val="21"/>
                <w:szCs w:val="21"/>
                <w:highlight w:val="none"/>
                <w:vertAlign w:val="baseline"/>
                <w:lang w:val="en-US" w:eastAsia="zh-CN"/>
              </w:rPr>
              <w:t>0.5</w:t>
            </w:r>
          </w:p>
        </w:tc>
      </w:tr>
      <w:tr w14:paraId="75DE612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231" w:type="pct"/>
            <w:vMerge w:val="continue"/>
            <w:vAlign w:val="center"/>
          </w:tcPr>
          <w:p w14:paraId="43FDEDA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highlight w:val="none"/>
                <w:vertAlign w:val="baseline"/>
                <w:lang w:val="en-US" w:eastAsia="zh-CN"/>
              </w:rPr>
            </w:pPr>
          </w:p>
        </w:tc>
        <w:tc>
          <w:tcPr>
            <w:tcW w:w="0" w:type="auto"/>
            <w:shd w:val="clear" w:color="auto" w:fill="auto"/>
            <w:vAlign w:val="center"/>
          </w:tcPr>
          <w:p w14:paraId="74DC224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kern w:val="2"/>
                <w:sz w:val="21"/>
                <w:szCs w:val="21"/>
                <w:highlight w:val="none"/>
                <w:vertAlign w:val="baseline"/>
                <w:lang w:val="en-US" w:eastAsia="zh-CN" w:bidi="ar-SA"/>
              </w:rPr>
            </w:pPr>
            <w:r>
              <w:rPr>
                <w:rFonts w:hint="eastAsia"/>
                <w:sz w:val="21"/>
                <w:szCs w:val="21"/>
                <w:highlight w:val="none"/>
                <w:vertAlign w:val="baseline"/>
                <w:lang w:val="en-US" w:eastAsia="zh-CN"/>
              </w:rPr>
              <w:t>ZK2-17</w:t>
            </w:r>
          </w:p>
        </w:tc>
        <w:tc>
          <w:tcPr>
            <w:tcW w:w="781" w:type="pct"/>
            <w:vMerge w:val="continue"/>
            <w:vAlign w:val="center"/>
          </w:tcPr>
          <w:p w14:paraId="5A36496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p>
        </w:tc>
        <w:tc>
          <w:tcPr>
            <w:tcW w:w="0" w:type="auto"/>
            <w:vAlign w:val="center"/>
          </w:tcPr>
          <w:p w14:paraId="100739C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棕色、固态</w:t>
            </w:r>
          </w:p>
        </w:tc>
        <w:tc>
          <w:tcPr>
            <w:tcW w:w="0" w:type="auto"/>
            <w:vAlign w:val="center"/>
          </w:tcPr>
          <w:p w14:paraId="2B98B42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0.00081</w:t>
            </w:r>
          </w:p>
        </w:tc>
        <w:tc>
          <w:tcPr>
            <w:tcW w:w="524" w:type="pct"/>
            <w:shd w:val="clear" w:color="auto" w:fill="auto"/>
            <w:vAlign w:val="center"/>
          </w:tcPr>
          <w:p w14:paraId="488FF36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eastAsia"/>
                <w:sz w:val="21"/>
                <w:szCs w:val="21"/>
                <w:highlight w:val="none"/>
                <w:vertAlign w:val="baseline"/>
                <w:lang w:val="en-US" w:eastAsia="zh-CN"/>
              </w:rPr>
              <w:t>0.5</w:t>
            </w:r>
          </w:p>
        </w:tc>
      </w:tr>
      <w:tr w14:paraId="55BCD79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231" w:type="pct"/>
            <w:vMerge w:val="continue"/>
            <w:vAlign w:val="center"/>
          </w:tcPr>
          <w:p w14:paraId="6298D80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highlight w:val="none"/>
                <w:vertAlign w:val="baseline"/>
                <w:lang w:val="en-US" w:eastAsia="zh-CN"/>
              </w:rPr>
            </w:pPr>
          </w:p>
        </w:tc>
        <w:tc>
          <w:tcPr>
            <w:tcW w:w="0" w:type="auto"/>
            <w:shd w:val="clear" w:color="auto" w:fill="auto"/>
            <w:vAlign w:val="center"/>
          </w:tcPr>
          <w:p w14:paraId="2F47CE7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kern w:val="2"/>
                <w:sz w:val="21"/>
                <w:szCs w:val="21"/>
                <w:highlight w:val="none"/>
                <w:vertAlign w:val="baseline"/>
                <w:lang w:val="en-US" w:eastAsia="zh-CN" w:bidi="ar-SA"/>
              </w:rPr>
            </w:pPr>
            <w:r>
              <w:rPr>
                <w:rFonts w:hint="eastAsia"/>
                <w:sz w:val="21"/>
                <w:szCs w:val="21"/>
                <w:highlight w:val="none"/>
                <w:vertAlign w:val="baseline"/>
                <w:lang w:val="en-US" w:eastAsia="zh-CN"/>
              </w:rPr>
              <w:t>ZK2-18</w:t>
            </w:r>
          </w:p>
        </w:tc>
        <w:tc>
          <w:tcPr>
            <w:tcW w:w="781" w:type="pct"/>
            <w:vMerge w:val="continue"/>
            <w:vAlign w:val="center"/>
          </w:tcPr>
          <w:p w14:paraId="411D677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p>
        </w:tc>
        <w:tc>
          <w:tcPr>
            <w:tcW w:w="0" w:type="auto"/>
            <w:vAlign w:val="center"/>
          </w:tcPr>
          <w:p w14:paraId="2C3CFFA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灰色、固态</w:t>
            </w:r>
          </w:p>
        </w:tc>
        <w:tc>
          <w:tcPr>
            <w:tcW w:w="0" w:type="auto"/>
            <w:vAlign w:val="center"/>
          </w:tcPr>
          <w:p w14:paraId="59B1203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0.00076</w:t>
            </w:r>
          </w:p>
        </w:tc>
        <w:tc>
          <w:tcPr>
            <w:tcW w:w="524" w:type="pct"/>
            <w:shd w:val="clear" w:color="auto" w:fill="auto"/>
            <w:vAlign w:val="center"/>
          </w:tcPr>
          <w:p w14:paraId="165F4F3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eastAsia"/>
                <w:sz w:val="21"/>
                <w:szCs w:val="21"/>
                <w:highlight w:val="none"/>
                <w:vertAlign w:val="baseline"/>
                <w:lang w:val="en-US" w:eastAsia="zh-CN"/>
              </w:rPr>
              <w:t>0.5</w:t>
            </w:r>
          </w:p>
        </w:tc>
      </w:tr>
      <w:tr w14:paraId="24342DC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231" w:type="pct"/>
            <w:vMerge w:val="continue"/>
            <w:vAlign w:val="center"/>
          </w:tcPr>
          <w:p w14:paraId="3CAC61C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highlight w:val="none"/>
                <w:vertAlign w:val="baseline"/>
                <w:lang w:val="en-US" w:eastAsia="zh-CN"/>
              </w:rPr>
            </w:pPr>
          </w:p>
        </w:tc>
        <w:tc>
          <w:tcPr>
            <w:tcW w:w="0" w:type="auto"/>
            <w:shd w:val="clear" w:color="auto" w:fill="auto"/>
            <w:vAlign w:val="center"/>
          </w:tcPr>
          <w:p w14:paraId="0E75827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kern w:val="2"/>
                <w:sz w:val="21"/>
                <w:szCs w:val="21"/>
                <w:highlight w:val="none"/>
                <w:vertAlign w:val="baseline"/>
                <w:lang w:val="en-US" w:eastAsia="zh-CN" w:bidi="ar-SA"/>
              </w:rPr>
            </w:pPr>
            <w:r>
              <w:rPr>
                <w:rFonts w:hint="eastAsia"/>
                <w:sz w:val="21"/>
                <w:szCs w:val="21"/>
                <w:highlight w:val="none"/>
                <w:vertAlign w:val="baseline"/>
                <w:lang w:val="en-US" w:eastAsia="zh-CN"/>
              </w:rPr>
              <w:t>ZK2-19</w:t>
            </w:r>
          </w:p>
        </w:tc>
        <w:tc>
          <w:tcPr>
            <w:tcW w:w="781" w:type="pct"/>
            <w:vMerge w:val="continue"/>
            <w:vAlign w:val="center"/>
          </w:tcPr>
          <w:p w14:paraId="4A0CAC2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p>
        </w:tc>
        <w:tc>
          <w:tcPr>
            <w:tcW w:w="0" w:type="auto"/>
            <w:vAlign w:val="center"/>
          </w:tcPr>
          <w:p w14:paraId="7A29362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vertAlign w:val="baseline"/>
                <w:lang w:val="en-US" w:eastAsia="zh-CN"/>
              </w:rPr>
            </w:pPr>
            <w:r>
              <w:rPr>
                <w:rFonts w:hint="eastAsia"/>
                <w:sz w:val="21"/>
                <w:szCs w:val="21"/>
                <w:highlight w:val="none"/>
                <w:vertAlign w:val="baseline"/>
                <w:lang w:val="en-US" w:eastAsia="zh-CN"/>
              </w:rPr>
              <w:t>黄棕色、固态</w:t>
            </w:r>
          </w:p>
        </w:tc>
        <w:tc>
          <w:tcPr>
            <w:tcW w:w="0" w:type="auto"/>
            <w:vAlign w:val="center"/>
          </w:tcPr>
          <w:p w14:paraId="13D7B51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0.00067</w:t>
            </w:r>
          </w:p>
        </w:tc>
        <w:tc>
          <w:tcPr>
            <w:tcW w:w="524" w:type="pct"/>
            <w:shd w:val="clear" w:color="auto" w:fill="auto"/>
            <w:vAlign w:val="center"/>
          </w:tcPr>
          <w:p w14:paraId="3F2DAA1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eastAsia"/>
                <w:sz w:val="21"/>
                <w:szCs w:val="21"/>
                <w:highlight w:val="none"/>
                <w:vertAlign w:val="baseline"/>
                <w:lang w:val="en-US" w:eastAsia="zh-CN"/>
              </w:rPr>
              <w:t>0.5</w:t>
            </w:r>
          </w:p>
        </w:tc>
      </w:tr>
      <w:tr w14:paraId="7E37B43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231" w:type="pct"/>
            <w:vMerge w:val="continue"/>
            <w:vAlign w:val="center"/>
          </w:tcPr>
          <w:p w14:paraId="1ACCDAA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highlight w:val="none"/>
                <w:vertAlign w:val="baseline"/>
                <w:lang w:val="en-US" w:eastAsia="zh-CN"/>
              </w:rPr>
            </w:pPr>
          </w:p>
        </w:tc>
        <w:tc>
          <w:tcPr>
            <w:tcW w:w="0" w:type="auto"/>
            <w:shd w:val="clear" w:color="auto" w:fill="auto"/>
            <w:vAlign w:val="center"/>
          </w:tcPr>
          <w:p w14:paraId="58E598E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kern w:val="2"/>
                <w:sz w:val="21"/>
                <w:szCs w:val="21"/>
                <w:highlight w:val="none"/>
                <w:vertAlign w:val="baseline"/>
                <w:lang w:val="en-US" w:eastAsia="zh-CN" w:bidi="ar-SA"/>
              </w:rPr>
            </w:pPr>
            <w:r>
              <w:rPr>
                <w:rFonts w:hint="eastAsia"/>
                <w:sz w:val="21"/>
                <w:szCs w:val="21"/>
                <w:highlight w:val="none"/>
                <w:vertAlign w:val="baseline"/>
                <w:lang w:val="en-US" w:eastAsia="zh-CN"/>
              </w:rPr>
              <w:t>ZK2-20</w:t>
            </w:r>
          </w:p>
        </w:tc>
        <w:tc>
          <w:tcPr>
            <w:tcW w:w="781" w:type="pct"/>
            <w:vMerge w:val="continue"/>
            <w:vAlign w:val="center"/>
          </w:tcPr>
          <w:p w14:paraId="110831D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p>
        </w:tc>
        <w:tc>
          <w:tcPr>
            <w:tcW w:w="0" w:type="auto"/>
            <w:vAlign w:val="center"/>
          </w:tcPr>
          <w:p w14:paraId="17D5BE2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vertAlign w:val="baseline"/>
                <w:lang w:val="en-US" w:eastAsia="zh-CN"/>
              </w:rPr>
            </w:pPr>
            <w:r>
              <w:rPr>
                <w:rFonts w:hint="eastAsia"/>
                <w:sz w:val="21"/>
                <w:szCs w:val="21"/>
                <w:highlight w:val="none"/>
                <w:vertAlign w:val="baseline"/>
                <w:lang w:val="en-US" w:eastAsia="zh-CN"/>
              </w:rPr>
              <w:t>黄棕色、固态</w:t>
            </w:r>
          </w:p>
        </w:tc>
        <w:tc>
          <w:tcPr>
            <w:tcW w:w="0" w:type="auto"/>
            <w:vAlign w:val="center"/>
          </w:tcPr>
          <w:p w14:paraId="14F409F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0.00042</w:t>
            </w:r>
          </w:p>
        </w:tc>
        <w:tc>
          <w:tcPr>
            <w:tcW w:w="0" w:type="auto"/>
            <w:shd w:val="clear" w:color="auto" w:fill="auto"/>
            <w:vAlign w:val="center"/>
          </w:tcPr>
          <w:p w14:paraId="4DACCD6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eastAsia"/>
                <w:sz w:val="21"/>
                <w:szCs w:val="21"/>
                <w:highlight w:val="none"/>
                <w:vertAlign w:val="baseline"/>
                <w:lang w:val="en-US" w:eastAsia="zh-CN"/>
              </w:rPr>
              <w:t>0.5</w:t>
            </w:r>
          </w:p>
        </w:tc>
      </w:tr>
      <w:tr w14:paraId="1E2786A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231" w:type="pct"/>
            <w:vMerge w:val="continue"/>
            <w:vAlign w:val="center"/>
          </w:tcPr>
          <w:p w14:paraId="05D4B6F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highlight w:val="none"/>
                <w:vertAlign w:val="baseline"/>
                <w:lang w:val="en-US" w:eastAsia="zh-CN"/>
              </w:rPr>
            </w:pPr>
          </w:p>
        </w:tc>
        <w:tc>
          <w:tcPr>
            <w:tcW w:w="0" w:type="auto"/>
            <w:shd w:val="clear" w:color="auto" w:fill="auto"/>
            <w:vAlign w:val="center"/>
          </w:tcPr>
          <w:p w14:paraId="4B08278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kern w:val="2"/>
                <w:sz w:val="21"/>
                <w:szCs w:val="21"/>
                <w:highlight w:val="none"/>
                <w:vertAlign w:val="baseline"/>
                <w:lang w:val="en-US" w:eastAsia="zh-CN" w:bidi="ar-SA"/>
              </w:rPr>
            </w:pPr>
            <w:r>
              <w:rPr>
                <w:rFonts w:hint="eastAsia"/>
                <w:sz w:val="21"/>
                <w:szCs w:val="21"/>
                <w:highlight w:val="none"/>
                <w:vertAlign w:val="baseline"/>
                <w:lang w:val="en-US" w:eastAsia="zh-CN"/>
              </w:rPr>
              <w:t>ZK2-23</w:t>
            </w:r>
          </w:p>
        </w:tc>
        <w:tc>
          <w:tcPr>
            <w:tcW w:w="781" w:type="pct"/>
            <w:vMerge w:val="continue"/>
            <w:vAlign w:val="center"/>
          </w:tcPr>
          <w:p w14:paraId="3CF4F92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p>
        </w:tc>
        <w:tc>
          <w:tcPr>
            <w:tcW w:w="0" w:type="auto"/>
            <w:vAlign w:val="center"/>
          </w:tcPr>
          <w:p w14:paraId="5FFF65D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棕色、固态</w:t>
            </w:r>
          </w:p>
        </w:tc>
        <w:tc>
          <w:tcPr>
            <w:tcW w:w="0" w:type="auto"/>
            <w:vAlign w:val="center"/>
          </w:tcPr>
          <w:p w14:paraId="137D177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0.00025</w:t>
            </w:r>
          </w:p>
        </w:tc>
        <w:tc>
          <w:tcPr>
            <w:tcW w:w="0" w:type="auto"/>
            <w:shd w:val="clear" w:color="auto" w:fill="auto"/>
            <w:vAlign w:val="center"/>
          </w:tcPr>
          <w:p w14:paraId="7C9A892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eastAsia"/>
                <w:sz w:val="21"/>
                <w:szCs w:val="21"/>
                <w:highlight w:val="none"/>
                <w:vertAlign w:val="baseline"/>
                <w:lang w:val="en-US" w:eastAsia="zh-CN"/>
              </w:rPr>
              <w:t>0.5</w:t>
            </w:r>
          </w:p>
        </w:tc>
      </w:tr>
      <w:tr w14:paraId="35E2039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231" w:type="pct"/>
            <w:vMerge w:val="continue"/>
            <w:vAlign w:val="center"/>
          </w:tcPr>
          <w:p w14:paraId="2FF60F1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highlight w:val="none"/>
                <w:vertAlign w:val="baseline"/>
                <w:lang w:val="en-US" w:eastAsia="zh-CN"/>
              </w:rPr>
            </w:pPr>
          </w:p>
        </w:tc>
        <w:tc>
          <w:tcPr>
            <w:tcW w:w="0" w:type="auto"/>
            <w:shd w:val="clear" w:color="auto" w:fill="auto"/>
            <w:vAlign w:val="center"/>
          </w:tcPr>
          <w:p w14:paraId="230A05A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kern w:val="2"/>
                <w:sz w:val="21"/>
                <w:szCs w:val="21"/>
                <w:highlight w:val="none"/>
                <w:vertAlign w:val="baseline"/>
                <w:lang w:val="en-US" w:eastAsia="zh-CN" w:bidi="ar-SA"/>
              </w:rPr>
            </w:pPr>
            <w:r>
              <w:rPr>
                <w:rFonts w:hint="eastAsia"/>
                <w:sz w:val="21"/>
                <w:szCs w:val="21"/>
                <w:highlight w:val="none"/>
                <w:vertAlign w:val="baseline"/>
                <w:lang w:val="en-US" w:eastAsia="zh-CN"/>
              </w:rPr>
              <w:t>ZK2-24</w:t>
            </w:r>
          </w:p>
        </w:tc>
        <w:tc>
          <w:tcPr>
            <w:tcW w:w="781" w:type="pct"/>
            <w:vMerge w:val="continue"/>
            <w:vAlign w:val="center"/>
          </w:tcPr>
          <w:p w14:paraId="67D2672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p>
        </w:tc>
        <w:tc>
          <w:tcPr>
            <w:tcW w:w="0" w:type="auto"/>
            <w:vAlign w:val="center"/>
          </w:tcPr>
          <w:p w14:paraId="09A3614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灰褐色、固态</w:t>
            </w:r>
          </w:p>
        </w:tc>
        <w:tc>
          <w:tcPr>
            <w:tcW w:w="0" w:type="auto"/>
            <w:vAlign w:val="center"/>
          </w:tcPr>
          <w:p w14:paraId="4B17F08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0.00046</w:t>
            </w:r>
          </w:p>
        </w:tc>
        <w:tc>
          <w:tcPr>
            <w:tcW w:w="0" w:type="auto"/>
            <w:shd w:val="clear" w:color="auto" w:fill="auto"/>
            <w:vAlign w:val="center"/>
          </w:tcPr>
          <w:p w14:paraId="726567A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eastAsia"/>
                <w:sz w:val="21"/>
                <w:szCs w:val="21"/>
                <w:highlight w:val="none"/>
                <w:vertAlign w:val="baseline"/>
                <w:lang w:val="en-US" w:eastAsia="zh-CN"/>
              </w:rPr>
              <w:t>0.5</w:t>
            </w:r>
          </w:p>
        </w:tc>
      </w:tr>
      <w:tr w14:paraId="5A441D5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231" w:type="pct"/>
            <w:vMerge w:val="continue"/>
            <w:vAlign w:val="center"/>
          </w:tcPr>
          <w:p w14:paraId="7F8935F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highlight w:val="none"/>
                <w:vertAlign w:val="baseline"/>
                <w:lang w:val="en-US" w:eastAsia="zh-CN"/>
              </w:rPr>
            </w:pPr>
          </w:p>
        </w:tc>
        <w:tc>
          <w:tcPr>
            <w:tcW w:w="0" w:type="auto"/>
            <w:shd w:val="clear" w:color="auto" w:fill="auto"/>
            <w:vAlign w:val="center"/>
          </w:tcPr>
          <w:p w14:paraId="7BF9B3E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kern w:val="2"/>
                <w:sz w:val="21"/>
                <w:szCs w:val="21"/>
                <w:highlight w:val="none"/>
                <w:vertAlign w:val="baseline"/>
                <w:lang w:val="en-US" w:eastAsia="zh-CN" w:bidi="ar-SA"/>
              </w:rPr>
            </w:pPr>
            <w:r>
              <w:rPr>
                <w:rFonts w:hint="eastAsia"/>
                <w:sz w:val="21"/>
                <w:szCs w:val="21"/>
                <w:highlight w:val="none"/>
                <w:vertAlign w:val="baseline"/>
                <w:lang w:val="en-US" w:eastAsia="zh-CN"/>
              </w:rPr>
              <w:t>ZK2-25</w:t>
            </w:r>
          </w:p>
        </w:tc>
        <w:tc>
          <w:tcPr>
            <w:tcW w:w="781" w:type="pct"/>
            <w:vMerge w:val="continue"/>
            <w:vAlign w:val="center"/>
          </w:tcPr>
          <w:p w14:paraId="3CDDE8D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p>
        </w:tc>
        <w:tc>
          <w:tcPr>
            <w:tcW w:w="0" w:type="auto"/>
            <w:vAlign w:val="center"/>
          </w:tcPr>
          <w:p w14:paraId="59EB169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vertAlign w:val="baseline"/>
                <w:lang w:val="en-US" w:eastAsia="zh-CN"/>
              </w:rPr>
            </w:pPr>
            <w:r>
              <w:rPr>
                <w:rFonts w:hint="eastAsia"/>
                <w:sz w:val="21"/>
                <w:szCs w:val="21"/>
                <w:highlight w:val="none"/>
                <w:vertAlign w:val="baseline"/>
                <w:lang w:val="en-US" w:eastAsia="zh-CN"/>
              </w:rPr>
              <w:t>棕色、固态</w:t>
            </w:r>
          </w:p>
        </w:tc>
        <w:tc>
          <w:tcPr>
            <w:tcW w:w="0" w:type="auto"/>
            <w:vAlign w:val="center"/>
          </w:tcPr>
          <w:p w14:paraId="357E24B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0.00058</w:t>
            </w:r>
          </w:p>
        </w:tc>
        <w:tc>
          <w:tcPr>
            <w:tcW w:w="0" w:type="auto"/>
            <w:shd w:val="clear" w:color="auto" w:fill="auto"/>
            <w:vAlign w:val="center"/>
          </w:tcPr>
          <w:p w14:paraId="562C5D1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eastAsia"/>
                <w:sz w:val="21"/>
                <w:szCs w:val="21"/>
                <w:highlight w:val="none"/>
                <w:vertAlign w:val="baseline"/>
                <w:lang w:val="en-US" w:eastAsia="zh-CN"/>
              </w:rPr>
              <w:t>0.5</w:t>
            </w:r>
          </w:p>
        </w:tc>
      </w:tr>
      <w:tr w14:paraId="447BACC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231" w:type="pct"/>
            <w:vMerge w:val="continue"/>
            <w:vAlign w:val="center"/>
          </w:tcPr>
          <w:p w14:paraId="1794D0D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highlight w:val="none"/>
                <w:vertAlign w:val="baseline"/>
                <w:lang w:val="en-US" w:eastAsia="zh-CN"/>
              </w:rPr>
            </w:pPr>
          </w:p>
        </w:tc>
        <w:tc>
          <w:tcPr>
            <w:tcW w:w="0" w:type="auto"/>
            <w:shd w:val="clear" w:color="auto" w:fill="auto"/>
            <w:vAlign w:val="center"/>
          </w:tcPr>
          <w:p w14:paraId="553AA39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kern w:val="2"/>
                <w:sz w:val="21"/>
                <w:szCs w:val="21"/>
                <w:highlight w:val="none"/>
                <w:vertAlign w:val="baseline"/>
                <w:lang w:val="en-US" w:eastAsia="zh-CN" w:bidi="ar-SA"/>
              </w:rPr>
            </w:pPr>
            <w:r>
              <w:rPr>
                <w:rFonts w:hint="eastAsia"/>
                <w:sz w:val="21"/>
                <w:szCs w:val="21"/>
                <w:highlight w:val="none"/>
                <w:vertAlign w:val="baseline"/>
                <w:lang w:val="en-US" w:eastAsia="zh-CN"/>
              </w:rPr>
              <w:t>ZK2-26</w:t>
            </w:r>
          </w:p>
        </w:tc>
        <w:tc>
          <w:tcPr>
            <w:tcW w:w="781" w:type="pct"/>
            <w:vMerge w:val="continue"/>
            <w:vAlign w:val="center"/>
          </w:tcPr>
          <w:p w14:paraId="737445F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p>
        </w:tc>
        <w:tc>
          <w:tcPr>
            <w:tcW w:w="0" w:type="auto"/>
            <w:vAlign w:val="center"/>
          </w:tcPr>
          <w:p w14:paraId="7E33BF7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vertAlign w:val="baseline"/>
                <w:lang w:val="en-US" w:eastAsia="zh-CN"/>
              </w:rPr>
            </w:pPr>
            <w:r>
              <w:rPr>
                <w:rFonts w:hint="eastAsia"/>
                <w:sz w:val="21"/>
                <w:szCs w:val="21"/>
                <w:highlight w:val="none"/>
                <w:vertAlign w:val="baseline"/>
                <w:lang w:val="en-US" w:eastAsia="zh-CN"/>
              </w:rPr>
              <w:t>棕色、固态</w:t>
            </w:r>
          </w:p>
        </w:tc>
        <w:tc>
          <w:tcPr>
            <w:tcW w:w="0" w:type="auto"/>
            <w:vAlign w:val="center"/>
          </w:tcPr>
          <w:p w14:paraId="154C680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0.00075</w:t>
            </w:r>
          </w:p>
        </w:tc>
        <w:tc>
          <w:tcPr>
            <w:tcW w:w="0" w:type="auto"/>
            <w:shd w:val="clear" w:color="auto" w:fill="auto"/>
            <w:vAlign w:val="center"/>
          </w:tcPr>
          <w:p w14:paraId="5DE37BD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eastAsia"/>
                <w:sz w:val="21"/>
                <w:szCs w:val="21"/>
                <w:highlight w:val="none"/>
                <w:vertAlign w:val="baseline"/>
                <w:lang w:val="en-US" w:eastAsia="zh-CN"/>
              </w:rPr>
              <w:t>0.5</w:t>
            </w:r>
          </w:p>
        </w:tc>
      </w:tr>
      <w:tr w14:paraId="552146A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231" w:type="pct"/>
            <w:vMerge w:val="continue"/>
            <w:vAlign w:val="center"/>
          </w:tcPr>
          <w:p w14:paraId="495FB83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highlight w:val="none"/>
                <w:vertAlign w:val="baseline"/>
                <w:lang w:val="en-US" w:eastAsia="zh-CN"/>
              </w:rPr>
            </w:pPr>
          </w:p>
        </w:tc>
        <w:tc>
          <w:tcPr>
            <w:tcW w:w="0" w:type="auto"/>
            <w:shd w:val="clear" w:color="auto" w:fill="auto"/>
            <w:vAlign w:val="center"/>
          </w:tcPr>
          <w:p w14:paraId="13E1035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kern w:val="2"/>
                <w:sz w:val="21"/>
                <w:szCs w:val="21"/>
                <w:highlight w:val="none"/>
                <w:vertAlign w:val="baseline"/>
                <w:lang w:val="en-US" w:eastAsia="zh-CN" w:bidi="ar-SA"/>
              </w:rPr>
            </w:pPr>
            <w:r>
              <w:rPr>
                <w:rFonts w:hint="eastAsia"/>
                <w:sz w:val="21"/>
                <w:szCs w:val="21"/>
                <w:highlight w:val="none"/>
                <w:vertAlign w:val="baseline"/>
                <w:lang w:val="en-US" w:eastAsia="zh-CN"/>
              </w:rPr>
              <w:t>ZK2-27</w:t>
            </w:r>
          </w:p>
        </w:tc>
        <w:tc>
          <w:tcPr>
            <w:tcW w:w="781" w:type="pct"/>
            <w:vMerge w:val="continue"/>
            <w:vAlign w:val="center"/>
          </w:tcPr>
          <w:p w14:paraId="53A6E5D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p>
        </w:tc>
        <w:tc>
          <w:tcPr>
            <w:tcW w:w="0" w:type="auto"/>
            <w:vAlign w:val="center"/>
          </w:tcPr>
          <w:p w14:paraId="4C76227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vertAlign w:val="baseline"/>
                <w:lang w:val="en-US" w:eastAsia="zh-CN"/>
              </w:rPr>
            </w:pPr>
            <w:r>
              <w:rPr>
                <w:rFonts w:hint="eastAsia"/>
                <w:sz w:val="21"/>
                <w:szCs w:val="21"/>
                <w:highlight w:val="none"/>
                <w:vertAlign w:val="baseline"/>
                <w:lang w:val="en-US" w:eastAsia="zh-CN"/>
              </w:rPr>
              <w:t>棕色、固态</w:t>
            </w:r>
          </w:p>
        </w:tc>
        <w:tc>
          <w:tcPr>
            <w:tcW w:w="0" w:type="auto"/>
            <w:vAlign w:val="center"/>
          </w:tcPr>
          <w:p w14:paraId="7A1E21E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0.00142</w:t>
            </w:r>
          </w:p>
        </w:tc>
        <w:tc>
          <w:tcPr>
            <w:tcW w:w="0" w:type="auto"/>
            <w:shd w:val="clear" w:color="auto" w:fill="auto"/>
            <w:vAlign w:val="center"/>
          </w:tcPr>
          <w:p w14:paraId="3A1CA2B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eastAsia"/>
                <w:sz w:val="21"/>
                <w:szCs w:val="21"/>
                <w:highlight w:val="none"/>
                <w:vertAlign w:val="baseline"/>
                <w:lang w:val="en-US" w:eastAsia="zh-CN"/>
              </w:rPr>
              <w:t>0.5</w:t>
            </w:r>
          </w:p>
        </w:tc>
      </w:tr>
      <w:tr w14:paraId="04FA78E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231" w:type="pct"/>
            <w:vMerge w:val="continue"/>
            <w:vAlign w:val="center"/>
          </w:tcPr>
          <w:p w14:paraId="092676B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highlight w:val="none"/>
                <w:vertAlign w:val="baseline"/>
                <w:lang w:val="en-US" w:eastAsia="zh-CN"/>
              </w:rPr>
            </w:pPr>
          </w:p>
        </w:tc>
        <w:tc>
          <w:tcPr>
            <w:tcW w:w="0" w:type="auto"/>
            <w:shd w:val="clear" w:color="auto" w:fill="auto"/>
            <w:vAlign w:val="center"/>
          </w:tcPr>
          <w:p w14:paraId="5F42A9F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kern w:val="2"/>
                <w:sz w:val="21"/>
                <w:szCs w:val="21"/>
                <w:highlight w:val="none"/>
                <w:vertAlign w:val="baseline"/>
                <w:lang w:val="en-US" w:eastAsia="zh-CN" w:bidi="ar-SA"/>
              </w:rPr>
            </w:pPr>
            <w:r>
              <w:rPr>
                <w:rFonts w:hint="eastAsia"/>
                <w:sz w:val="21"/>
                <w:szCs w:val="21"/>
                <w:highlight w:val="none"/>
                <w:vertAlign w:val="baseline"/>
                <w:lang w:val="en-US" w:eastAsia="zh-CN"/>
              </w:rPr>
              <w:t>ZK2-28</w:t>
            </w:r>
          </w:p>
        </w:tc>
        <w:tc>
          <w:tcPr>
            <w:tcW w:w="781" w:type="pct"/>
            <w:vMerge w:val="continue"/>
            <w:vAlign w:val="center"/>
          </w:tcPr>
          <w:p w14:paraId="63D3EE0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p>
        </w:tc>
        <w:tc>
          <w:tcPr>
            <w:tcW w:w="0" w:type="auto"/>
            <w:vAlign w:val="center"/>
          </w:tcPr>
          <w:p w14:paraId="785F252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灰褐色、固态</w:t>
            </w:r>
          </w:p>
        </w:tc>
        <w:tc>
          <w:tcPr>
            <w:tcW w:w="0" w:type="auto"/>
            <w:vAlign w:val="center"/>
          </w:tcPr>
          <w:p w14:paraId="2535163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0.00258</w:t>
            </w:r>
          </w:p>
        </w:tc>
        <w:tc>
          <w:tcPr>
            <w:tcW w:w="0" w:type="auto"/>
            <w:vAlign w:val="center"/>
          </w:tcPr>
          <w:p w14:paraId="06216D0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0.5</w:t>
            </w:r>
          </w:p>
        </w:tc>
      </w:tr>
    </w:tbl>
    <w:p w14:paraId="21C89936">
      <w:pPr>
        <w:ind w:firstLine="480"/>
      </w:pPr>
      <w:r>
        <w:rPr>
          <w:rFonts w:hint="eastAsia"/>
        </w:rPr>
        <w:t xml:space="preserve">结合表3.1-8和表3.1-11检测结果，对比《污水综合排放标准》（GB8978-1996）可知，本项目红线区域内采集的废渣样品重金属砷水浸浓度有不同程度超标，红线范围外采集的样品重金属砷水浸浓度没有超标。 </w:t>
      </w:r>
    </w:p>
    <w:p w14:paraId="79BE1474">
      <w:pPr>
        <w:bidi w:val="0"/>
        <w:rPr>
          <w:rFonts w:hint="default" w:ascii="Times New Roman" w:hAnsi="Times New Roman" w:cs="Times New Roman"/>
          <w:lang w:val="en-US" w:eastAsia="zh-CN"/>
        </w:rPr>
      </w:pPr>
      <w:r>
        <w:t>按《固体废物</w:t>
      </w:r>
      <w:r>
        <w:rPr>
          <w:rFonts w:hint="eastAsia"/>
        </w:rPr>
        <w:t xml:space="preserve"> </w:t>
      </w:r>
      <w:r>
        <w:t xml:space="preserve"> 浸出毒性浸出方法 </w:t>
      </w:r>
      <w:r>
        <w:rPr>
          <w:rFonts w:hint="eastAsia"/>
        </w:rPr>
        <w:t xml:space="preserve"> </w:t>
      </w:r>
      <w:r>
        <w:t>水平振荡法》（HJ557-2010）所得浸出结果根据《一般工业固体废物贮存、处置场污染控制标准》（GB18599-2020），各废渣点中主要超标因子为砷，根据项目现场勘测及检测数据，</w:t>
      </w:r>
      <w:r>
        <w:rPr>
          <w:rFonts w:hint="default" w:ascii="Times New Roman" w:hAnsi="Times New Roman" w:cs="Times New Roman"/>
          <w:lang w:val="en-US" w:eastAsia="zh-CN"/>
        </w:rPr>
        <w:t>本项目南尧村2</w:t>
      </w:r>
      <w:r>
        <w:rPr>
          <w:rFonts w:hint="eastAsia" w:cs="Times New Roman"/>
          <w:lang w:val="en-US" w:eastAsia="zh-CN"/>
        </w:rPr>
        <w:t>#</w:t>
      </w:r>
      <w:r>
        <w:rPr>
          <w:rFonts w:hint="default" w:ascii="Times New Roman" w:hAnsi="Times New Roman" w:cs="Times New Roman"/>
          <w:lang w:val="en-US" w:eastAsia="zh-CN"/>
        </w:rPr>
        <w:t>废渣堆I区所在范围内废渣为第I类一般工业固体废物，南尧村1</w:t>
      </w:r>
      <w:r>
        <w:rPr>
          <w:rFonts w:hint="eastAsia" w:cs="Times New Roman"/>
          <w:lang w:val="en-US" w:eastAsia="zh-CN"/>
        </w:rPr>
        <w:t>#</w:t>
      </w:r>
      <w:r>
        <w:rPr>
          <w:rFonts w:hint="default" w:ascii="Times New Roman" w:hAnsi="Times New Roman" w:cs="Times New Roman"/>
          <w:lang w:val="en-US" w:eastAsia="zh-CN"/>
        </w:rPr>
        <w:t>废渣堆及南尧村2</w:t>
      </w:r>
      <w:r>
        <w:rPr>
          <w:rFonts w:hint="eastAsia" w:cs="Times New Roman"/>
          <w:lang w:val="en-US" w:eastAsia="zh-CN"/>
        </w:rPr>
        <w:t>#</w:t>
      </w:r>
      <w:r>
        <w:rPr>
          <w:rFonts w:hint="default" w:ascii="Times New Roman" w:hAnsi="Times New Roman" w:cs="Times New Roman"/>
          <w:lang w:val="en-US" w:eastAsia="zh-CN"/>
        </w:rPr>
        <w:t>废渣堆其他区域范围内废渣为第Ⅱ类一般工业固体废物</w:t>
      </w:r>
      <w:r>
        <w:rPr>
          <w:rFonts w:hint="eastAsia" w:cs="Times New Roman"/>
          <w:lang w:val="en-US" w:eastAsia="zh-CN"/>
        </w:rPr>
        <w:t>，具体见表3.1-12</w:t>
      </w:r>
      <w:r>
        <w:rPr>
          <w:rFonts w:hint="default" w:ascii="Times New Roman" w:hAnsi="Times New Roman" w:cs="Times New Roman"/>
          <w:lang w:val="en-US" w:eastAsia="zh-CN"/>
        </w:rPr>
        <w:t xml:space="preserve">。 </w:t>
      </w:r>
    </w:p>
    <w:p w14:paraId="1F3B2145">
      <w:pPr>
        <w:bidi w:val="0"/>
        <w:ind w:left="0" w:leftChars="0" w:firstLine="0" w:firstLineChars="0"/>
        <w:jc w:val="center"/>
        <w:rPr>
          <w:rFonts w:hint="default"/>
          <w:b/>
          <w:bCs/>
          <w:sz w:val="21"/>
          <w:szCs w:val="21"/>
          <w:lang w:val="en-US" w:eastAsia="zh-CN"/>
        </w:rPr>
      </w:pPr>
      <w:r>
        <w:rPr>
          <w:rFonts w:hint="eastAsia"/>
          <w:b/>
          <w:bCs/>
          <w:sz w:val="21"/>
          <w:szCs w:val="21"/>
          <w:lang w:val="en-US" w:eastAsia="zh-CN"/>
        </w:rPr>
        <w:t>表3.1-12  废渣堆分区及废渣性质一览表</w:t>
      </w:r>
    </w:p>
    <w:tbl>
      <w:tblPr>
        <w:tblStyle w:val="36"/>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781"/>
        <w:gridCol w:w="1295"/>
        <w:gridCol w:w="1539"/>
        <w:gridCol w:w="1539"/>
        <w:gridCol w:w="1539"/>
        <w:gridCol w:w="1539"/>
      </w:tblGrid>
      <w:tr w14:paraId="6437CBD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7" w:hRule="atLeast"/>
        </w:trPr>
        <w:tc>
          <w:tcPr>
            <w:tcW w:w="1781" w:type="dxa"/>
            <w:vAlign w:val="center"/>
          </w:tcPr>
          <w:p w14:paraId="0F4219A5">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b/>
                <w:bCs/>
                <w:sz w:val="21"/>
                <w:szCs w:val="21"/>
                <w:highlight w:val="none"/>
                <w:vertAlign w:val="baseline"/>
                <w:lang w:val="en-US" w:eastAsia="zh-CN"/>
              </w:rPr>
            </w:pPr>
            <w:r>
              <w:rPr>
                <w:rFonts w:hint="eastAsia"/>
                <w:b/>
                <w:bCs/>
                <w:sz w:val="21"/>
                <w:szCs w:val="21"/>
                <w:highlight w:val="none"/>
                <w:vertAlign w:val="baseline"/>
                <w:lang w:val="en-US" w:eastAsia="zh-CN"/>
              </w:rPr>
              <w:t>废渣堆</w:t>
            </w:r>
          </w:p>
        </w:tc>
        <w:tc>
          <w:tcPr>
            <w:tcW w:w="1295" w:type="dxa"/>
            <w:vAlign w:val="center"/>
          </w:tcPr>
          <w:p w14:paraId="599E73A6">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b/>
                <w:bCs/>
                <w:sz w:val="21"/>
                <w:szCs w:val="21"/>
                <w:highlight w:val="none"/>
                <w:vertAlign w:val="baseline"/>
                <w:lang w:val="en-US" w:eastAsia="zh-CN"/>
              </w:rPr>
            </w:pPr>
            <w:r>
              <w:rPr>
                <w:rFonts w:hint="eastAsia"/>
                <w:b/>
                <w:bCs/>
                <w:sz w:val="21"/>
                <w:szCs w:val="21"/>
                <w:highlight w:val="none"/>
                <w:vertAlign w:val="baseline"/>
                <w:lang w:val="en-US" w:eastAsia="zh-CN"/>
              </w:rPr>
              <w:t>渣堆分区</w:t>
            </w:r>
          </w:p>
        </w:tc>
        <w:tc>
          <w:tcPr>
            <w:tcW w:w="1539" w:type="dxa"/>
            <w:vAlign w:val="center"/>
          </w:tcPr>
          <w:p w14:paraId="2A6D437D">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b/>
                <w:bCs/>
                <w:sz w:val="21"/>
                <w:szCs w:val="21"/>
                <w:highlight w:val="none"/>
                <w:vertAlign w:val="baseline"/>
                <w:lang w:val="en-US" w:eastAsia="zh-CN"/>
              </w:rPr>
            </w:pPr>
            <w:r>
              <w:rPr>
                <w:rFonts w:hint="eastAsia"/>
                <w:b/>
                <w:bCs/>
                <w:sz w:val="21"/>
                <w:szCs w:val="21"/>
                <w:highlight w:val="none"/>
                <w:vertAlign w:val="baseline"/>
                <w:lang w:val="en-US" w:eastAsia="zh-CN"/>
              </w:rPr>
              <w:t>矿渣面积（m</w:t>
            </w:r>
            <w:r>
              <w:rPr>
                <w:rFonts w:hint="eastAsia"/>
                <w:b/>
                <w:bCs/>
                <w:sz w:val="21"/>
                <w:szCs w:val="21"/>
                <w:highlight w:val="none"/>
                <w:vertAlign w:val="superscript"/>
                <w:lang w:val="en-US" w:eastAsia="zh-CN"/>
              </w:rPr>
              <w:t>2</w:t>
            </w:r>
            <w:r>
              <w:rPr>
                <w:rFonts w:hint="eastAsia"/>
                <w:b/>
                <w:bCs/>
                <w:sz w:val="21"/>
                <w:szCs w:val="21"/>
                <w:highlight w:val="none"/>
                <w:vertAlign w:val="baseline"/>
                <w:lang w:val="en-US" w:eastAsia="zh-CN"/>
              </w:rPr>
              <w:t>）</w:t>
            </w:r>
          </w:p>
        </w:tc>
        <w:tc>
          <w:tcPr>
            <w:tcW w:w="1539" w:type="dxa"/>
            <w:vAlign w:val="center"/>
          </w:tcPr>
          <w:p w14:paraId="10CBBC03">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b/>
                <w:bCs/>
                <w:sz w:val="21"/>
                <w:szCs w:val="21"/>
                <w:highlight w:val="none"/>
                <w:vertAlign w:val="baseline"/>
                <w:lang w:val="en-US" w:eastAsia="zh-CN"/>
              </w:rPr>
            </w:pPr>
            <w:r>
              <w:rPr>
                <w:rFonts w:hint="eastAsia"/>
                <w:b/>
                <w:bCs/>
                <w:sz w:val="21"/>
                <w:szCs w:val="21"/>
                <w:highlight w:val="none"/>
                <w:vertAlign w:val="baseline"/>
                <w:lang w:val="en-US" w:eastAsia="zh-CN"/>
              </w:rPr>
              <w:t>矿渣厚度（m）</w:t>
            </w:r>
          </w:p>
        </w:tc>
        <w:tc>
          <w:tcPr>
            <w:tcW w:w="1539" w:type="dxa"/>
            <w:vAlign w:val="center"/>
          </w:tcPr>
          <w:p w14:paraId="7B8A3302">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b/>
                <w:bCs/>
                <w:sz w:val="21"/>
                <w:szCs w:val="21"/>
                <w:highlight w:val="none"/>
                <w:vertAlign w:val="baseline"/>
                <w:lang w:val="en-US" w:eastAsia="zh-CN"/>
              </w:rPr>
            </w:pPr>
            <w:r>
              <w:rPr>
                <w:rFonts w:hint="eastAsia"/>
                <w:b/>
                <w:bCs/>
                <w:sz w:val="21"/>
                <w:szCs w:val="21"/>
                <w:highlight w:val="none"/>
                <w:vertAlign w:val="baseline"/>
                <w:lang w:val="en-US" w:eastAsia="zh-CN"/>
              </w:rPr>
              <w:t>矿渣方量（m</w:t>
            </w:r>
            <w:r>
              <w:rPr>
                <w:rFonts w:hint="eastAsia"/>
                <w:b/>
                <w:bCs/>
                <w:sz w:val="21"/>
                <w:szCs w:val="21"/>
                <w:highlight w:val="none"/>
                <w:vertAlign w:val="superscript"/>
                <w:lang w:val="en-US" w:eastAsia="zh-CN"/>
              </w:rPr>
              <w:t>3</w:t>
            </w:r>
            <w:r>
              <w:rPr>
                <w:rFonts w:hint="eastAsia"/>
                <w:b/>
                <w:bCs/>
                <w:sz w:val="21"/>
                <w:szCs w:val="21"/>
                <w:highlight w:val="none"/>
                <w:vertAlign w:val="baseline"/>
                <w:lang w:val="en-US" w:eastAsia="zh-CN"/>
              </w:rPr>
              <w:t>）</w:t>
            </w:r>
          </w:p>
        </w:tc>
        <w:tc>
          <w:tcPr>
            <w:tcW w:w="1539" w:type="dxa"/>
            <w:vAlign w:val="center"/>
          </w:tcPr>
          <w:p w14:paraId="5CEB0432">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b/>
                <w:bCs/>
                <w:sz w:val="21"/>
                <w:szCs w:val="21"/>
                <w:highlight w:val="none"/>
                <w:vertAlign w:val="baseline"/>
                <w:lang w:val="en-US" w:eastAsia="zh-CN"/>
              </w:rPr>
            </w:pPr>
            <w:r>
              <w:rPr>
                <w:rFonts w:hint="eastAsia"/>
                <w:b/>
                <w:bCs/>
                <w:sz w:val="21"/>
                <w:szCs w:val="21"/>
                <w:highlight w:val="none"/>
                <w:vertAlign w:val="baseline"/>
                <w:lang w:val="en-US" w:eastAsia="zh-CN"/>
              </w:rPr>
              <w:t>废渣性质</w:t>
            </w:r>
          </w:p>
        </w:tc>
      </w:tr>
      <w:tr w14:paraId="6AAD0D0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781" w:type="dxa"/>
            <w:vMerge w:val="restart"/>
            <w:vAlign w:val="center"/>
          </w:tcPr>
          <w:p w14:paraId="11062B1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default" w:ascii="Times New Roman" w:hAnsi="Times New Roman" w:cs="Times New Roman"/>
                <w:sz w:val="21"/>
                <w:szCs w:val="21"/>
                <w:highlight w:val="none"/>
                <w:vertAlign w:val="baseline"/>
                <w:lang w:val="en-US" w:eastAsia="zh-CN"/>
              </w:rPr>
              <w:t>南尧村</w:t>
            </w:r>
            <w:r>
              <w:rPr>
                <w:rFonts w:hint="eastAsia" w:ascii="Times New Roman" w:hAnsi="Times New Roman" w:cs="Times New Roman"/>
                <w:sz w:val="21"/>
                <w:szCs w:val="21"/>
                <w:highlight w:val="none"/>
                <w:vertAlign w:val="baseline"/>
                <w:lang w:val="en-US" w:eastAsia="zh-CN"/>
              </w:rPr>
              <w:t>1</w:t>
            </w:r>
            <w:r>
              <w:rPr>
                <w:rFonts w:hint="eastAsia" w:cs="Times New Roman"/>
                <w:sz w:val="21"/>
                <w:szCs w:val="21"/>
                <w:highlight w:val="none"/>
                <w:vertAlign w:val="baseline"/>
                <w:lang w:val="en-US" w:eastAsia="zh-CN"/>
              </w:rPr>
              <w:t>#</w:t>
            </w:r>
            <w:r>
              <w:rPr>
                <w:rFonts w:hint="eastAsia"/>
                <w:sz w:val="21"/>
                <w:szCs w:val="21"/>
                <w:highlight w:val="none"/>
                <w:vertAlign w:val="baseline"/>
                <w:lang w:val="en-US" w:eastAsia="zh-CN"/>
              </w:rPr>
              <w:t>废渣堆</w:t>
            </w:r>
          </w:p>
        </w:tc>
        <w:tc>
          <w:tcPr>
            <w:tcW w:w="1295" w:type="dxa"/>
            <w:vAlign w:val="center"/>
          </w:tcPr>
          <w:p w14:paraId="699A5C3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Ⅰ区</w:t>
            </w:r>
          </w:p>
        </w:tc>
        <w:tc>
          <w:tcPr>
            <w:tcW w:w="1539" w:type="dxa"/>
            <w:vAlign w:val="center"/>
          </w:tcPr>
          <w:p w14:paraId="329DBCD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420.0</w:t>
            </w:r>
          </w:p>
        </w:tc>
        <w:tc>
          <w:tcPr>
            <w:tcW w:w="1539" w:type="dxa"/>
            <w:vAlign w:val="center"/>
          </w:tcPr>
          <w:p w14:paraId="2E9E9C4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1.6</w:t>
            </w:r>
          </w:p>
        </w:tc>
        <w:tc>
          <w:tcPr>
            <w:tcW w:w="1539" w:type="dxa"/>
            <w:vAlign w:val="center"/>
          </w:tcPr>
          <w:p w14:paraId="5451857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672.0</w:t>
            </w:r>
          </w:p>
        </w:tc>
        <w:tc>
          <w:tcPr>
            <w:tcW w:w="1539" w:type="dxa"/>
            <w:vAlign w:val="center"/>
          </w:tcPr>
          <w:p w14:paraId="44E7644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Ⅱ</w:t>
            </w:r>
            <w:r>
              <w:rPr>
                <w:rFonts w:hint="eastAsia" w:cs="Times New Roman"/>
                <w:sz w:val="21"/>
                <w:szCs w:val="21"/>
                <w:highlight w:val="none"/>
                <w:vertAlign w:val="baseline"/>
                <w:lang w:val="en-US" w:eastAsia="zh-CN"/>
              </w:rPr>
              <w:t>类固废</w:t>
            </w:r>
          </w:p>
        </w:tc>
      </w:tr>
      <w:tr w14:paraId="3C60917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781" w:type="dxa"/>
            <w:vMerge w:val="continue"/>
            <w:vAlign w:val="center"/>
          </w:tcPr>
          <w:p w14:paraId="6EC2390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vertAlign w:val="baseline"/>
                <w:lang w:val="en-US" w:eastAsia="zh-CN"/>
              </w:rPr>
            </w:pPr>
          </w:p>
        </w:tc>
        <w:tc>
          <w:tcPr>
            <w:tcW w:w="1295" w:type="dxa"/>
            <w:vAlign w:val="center"/>
          </w:tcPr>
          <w:p w14:paraId="6A21938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Ⅱ区</w:t>
            </w:r>
          </w:p>
        </w:tc>
        <w:tc>
          <w:tcPr>
            <w:tcW w:w="1539" w:type="dxa"/>
            <w:vAlign w:val="center"/>
          </w:tcPr>
          <w:p w14:paraId="0E5DE0D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584.0</w:t>
            </w:r>
          </w:p>
        </w:tc>
        <w:tc>
          <w:tcPr>
            <w:tcW w:w="1539" w:type="dxa"/>
            <w:vAlign w:val="center"/>
          </w:tcPr>
          <w:p w14:paraId="272F125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1.8</w:t>
            </w:r>
          </w:p>
        </w:tc>
        <w:tc>
          <w:tcPr>
            <w:tcW w:w="1539" w:type="dxa"/>
            <w:vAlign w:val="center"/>
          </w:tcPr>
          <w:p w14:paraId="1DD2E39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1051.2</w:t>
            </w:r>
          </w:p>
        </w:tc>
        <w:tc>
          <w:tcPr>
            <w:tcW w:w="1539" w:type="dxa"/>
            <w:vAlign w:val="center"/>
          </w:tcPr>
          <w:p w14:paraId="788FEF7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Ⅱ</w:t>
            </w:r>
            <w:r>
              <w:rPr>
                <w:rFonts w:hint="eastAsia" w:cs="Times New Roman"/>
                <w:sz w:val="21"/>
                <w:szCs w:val="21"/>
                <w:highlight w:val="none"/>
                <w:vertAlign w:val="baseline"/>
                <w:lang w:val="en-US" w:eastAsia="zh-CN"/>
              </w:rPr>
              <w:t>类固废</w:t>
            </w:r>
          </w:p>
        </w:tc>
      </w:tr>
      <w:tr w14:paraId="5B8E234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781" w:type="dxa"/>
            <w:vMerge w:val="continue"/>
            <w:vAlign w:val="center"/>
          </w:tcPr>
          <w:p w14:paraId="1C9C9CD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vertAlign w:val="baseline"/>
                <w:lang w:val="en-US" w:eastAsia="zh-CN"/>
              </w:rPr>
            </w:pPr>
          </w:p>
        </w:tc>
        <w:tc>
          <w:tcPr>
            <w:tcW w:w="1295" w:type="dxa"/>
            <w:vAlign w:val="center"/>
          </w:tcPr>
          <w:p w14:paraId="7DB36F7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Ⅲ区</w:t>
            </w:r>
          </w:p>
        </w:tc>
        <w:tc>
          <w:tcPr>
            <w:tcW w:w="1539" w:type="dxa"/>
            <w:vAlign w:val="center"/>
          </w:tcPr>
          <w:p w14:paraId="4A4CD8A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1514.0</w:t>
            </w:r>
          </w:p>
        </w:tc>
        <w:tc>
          <w:tcPr>
            <w:tcW w:w="1539" w:type="dxa"/>
            <w:vAlign w:val="center"/>
          </w:tcPr>
          <w:p w14:paraId="78624E4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3.68</w:t>
            </w:r>
          </w:p>
        </w:tc>
        <w:tc>
          <w:tcPr>
            <w:tcW w:w="1539" w:type="dxa"/>
            <w:vAlign w:val="center"/>
          </w:tcPr>
          <w:p w14:paraId="50E0FD0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5571.52</w:t>
            </w:r>
          </w:p>
        </w:tc>
        <w:tc>
          <w:tcPr>
            <w:tcW w:w="1539" w:type="dxa"/>
            <w:vAlign w:val="center"/>
          </w:tcPr>
          <w:p w14:paraId="7BD767C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Ⅱ</w:t>
            </w:r>
            <w:r>
              <w:rPr>
                <w:rFonts w:hint="eastAsia" w:cs="Times New Roman"/>
                <w:sz w:val="21"/>
                <w:szCs w:val="21"/>
                <w:highlight w:val="none"/>
                <w:vertAlign w:val="baseline"/>
                <w:lang w:val="en-US" w:eastAsia="zh-CN"/>
              </w:rPr>
              <w:t>类固废</w:t>
            </w:r>
          </w:p>
        </w:tc>
      </w:tr>
      <w:tr w14:paraId="1C6985B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781" w:type="dxa"/>
            <w:vMerge w:val="restart"/>
            <w:vAlign w:val="center"/>
          </w:tcPr>
          <w:p w14:paraId="44AFA89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default" w:ascii="Times New Roman" w:hAnsi="Times New Roman" w:cs="Times New Roman"/>
                <w:sz w:val="21"/>
                <w:szCs w:val="21"/>
                <w:highlight w:val="none"/>
                <w:vertAlign w:val="baseline"/>
                <w:lang w:val="en-US" w:eastAsia="zh-CN"/>
              </w:rPr>
              <w:t>南尧村</w:t>
            </w:r>
            <w:r>
              <w:rPr>
                <w:rFonts w:hint="eastAsia" w:ascii="Times New Roman" w:hAnsi="Times New Roman" w:cs="Times New Roman"/>
                <w:sz w:val="21"/>
                <w:szCs w:val="21"/>
                <w:highlight w:val="none"/>
                <w:vertAlign w:val="baseline"/>
                <w:lang w:val="en-US" w:eastAsia="zh-CN"/>
              </w:rPr>
              <w:t>2</w:t>
            </w:r>
            <w:r>
              <w:rPr>
                <w:rFonts w:hint="eastAsia" w:cs="Times New Roman"/>
                <w:sz w:val="21"/>
                <w:szCs w:val="21"/>
                <w:highlight w:val="none"/>
                <w:vertAlign w:val="baseline"/>
                <w:lang w:val="en-US" w:eastAsia="zh-CN"/>
              </w:rPr>
              <w:t>#</w:t>
            </w:r>
            <w:r>
              <w:rPr>
                <w:rFonts w:hint="eastAsia"/>
                <w:sz w:val="21"/>
                <w:szCs w:val="21"/>
                <w:highlight w:val="none"/>
                <w:vertAlign w:val="baseline"/>
                <w:lang w:val="en-US" w:eastAsia="zh-CN"/>
              </w:rPr>
              <w:t>废渣堆</w:t>
            </w:r>
          </w:p>
        </w:tc>
        <w:tc>
          <w:tcPr>
            <w:tcW w:w="1295" w:type="dxa"/>
            <w:shd w:val="clear" w:color="auto" w:fill="auto"/>
            <w:vAlign w:val="center"/>
          </w:tcPr>
          <w:p w14:paraId="4DA0B47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default" w:ascii="Times New Roman" w:hAnsi="Times New Roman" w:eastAsia="宋体" w:cs="Times New Roman"/>
                <w:sz w:val="21"/>
                <w:szCs w:val="21"/>
                <w:highlight w:val="none"/>
                <w:vertAlign w:val="baseline"/>
                <w:lang w:val="en-US" w:eastAsia="zh-CN"/>
              </w:rPr>
              <w:t>Ⅰ区</w:t>
            </w:r>
          </w:p>
        </w:tc>
        <w:tc>
          <w:tcPr>
            <w:tcW w:w="1539" w:type="dxa"/>
            <w:vAlign w:val="center"/>
          </w:tcPr>
          <w:p w14:paraId="3C71F68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1418.0</w:t>
            </w:r>
          </w:p>
        </w:tc>
        <w:tc>
          <w:tcPr>
            <w:tcW w:w="1539" w:type="dxa"/>
            <w:vAlign w:val="center"/>
          </w:tcPr>
          <w:p w14:paraId="563FC78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4.7</w:t>
            </w:r>
          </w:p>
        </w:tc>
        <w:tc>
          <w:tcPr>
            <w:tcW w:w="1539" w:type="dxa"/>
            <w:vAlign w:val="center"/>
          </w:tcPr>
          <w:p w14:paraId="072F256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6664.6</w:t>
            </w:r>
          </w:p>
        </w:tc>
        <w:tc>
          <w:tcPr>
            <w:tcW w:w="1539" w:type="dxa"/>
            <w:vAlign w:val="center"/>
          </w:tcPr>
          <w:p w14:paraId="2363AEF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Ⅰ</w:t>
            </w:r>
            <w:r>
              <w:rPr>
                <w:rFonts w:hint="eastAsia" w:cs="Times New Roman"/>
                <w:sz w:val="21"/>
                <w:szCs w:val="21"/>
                <w:highlight w:val="none"/>
                <w:vertAlign w:val="baseline"/>
                <w:lang w:val="en-US" w:eastAsia="zh-CN"/>
              </w:rPr>
              <w:t>类固废</w:t>
            </w:r>
          </w:p>
        </w:tc>
      </w:tr>
      <w:tr w14:paraId="7A8FC84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781" w:type="dxa"/>
            <w:vMerge w:val="continue"/>
            <w:vAlign w:val="center"/>
          </w:tcPr>
          <w:p w14:paraId="6A61B0F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vertAlign w:val="baseline"/>
                <w:lang w:val="en-US" w:eastAsia="zh-CN"/>
              </w:rPr>
            </w:pPr>
          </w:p>
        </w:tc>
        <w:tc>
          <w:tcPr>
            <w:tcW w:w="1295" w:type="dxa"/>
            <w:shd w:val="clear" w:color="auto" w:fill="auto"/>
            <w:vAlign w:val="center"/>
          </w:tcPr>
          <w:p w14:paraId="77D5F74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default" w:ascii="Times New Roman" w:hAnsi="Times New Roman" w:eastAsia="宋体" w:cs="Times New Roman"/>
                <w:sz w:val="21"/>
                <w:szCs w:val="21"/>
                <w:highlight w:val="none"/>
                <w:vertAlign w:val="baseline"/>
                <w:lang w:val="en-US" w:eastAsia="zh-CN"/>
              </w:rPr>
              <w:t>Ⅱ区</w:t>
            </w:r>
          </w:p>
        </w:tc>
        <w:tc>
          <w:tcPr>
            <w:tcW w:w="1539" w:type="dxa"/>
            <w:vAlign w:val="center"/>
          </w:tcPr>
          <w:p w14:paraId="7F83818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530.0</w:t>
            </w:r>
          </w:p>
        </w:tc>
        <w:tc>
          <w:tcPr>
            <w:tcW w:w="1539" w:type="dxa"/>
            <w:vAlign w:val="center"/>
          </w:tcPr>
          <w:p w14:paraId="0BCF01F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4.1</w:t>
            </w:r>
          </w:p>
        </w:tc>
        <w:tc>
          <w:tcPr>
            <w:tcW w:w="1539" w:type="dxa"/>
            <w:vAlign w:val="center"/>
          </w:tcPr>
          <w:p w14:paraId="59F5369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2173.0</w:t>
            </w:r>
          </w:p>
        </w:tc>
        <w:tc>
          <w:tcPr>
            <w:tcW w:w="1539" w:type="dxa"/>
            <w:vAlign w:val="center"/>
          </w:tcPr>
          <w:p w14:paraId="79F9EE1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Ⅱ</w:t>
            </w:r>
            <w:r>
              <w:rPr>
                <w:rFonts w:hint="eastAsia" w:cs="Times New Roman"/>
                <w:sz w:val="21"/>
                <w:szCs w:val="21"/>
                <w:highlight w:val="none"/>
                <w:vertAlign w:val="baseline"/>
                <w:lang w:val="en-US" w:eastAsia="zh-CN"/>
              </w:rPr>
              <w:t>类固废</w:t>
            </w:r>
          </w:p>
        </w:tc>
      </w:tr>
      <w:tr w14:paraId="2C045E9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c>
          <w:tcPr>
            <w:tcW w:w="1781" w:type="dxa"/>
            <w:vMerge w:val="continue"/>
            <w:vAlign w:val="center"/>
          </w:tcPr>
          <w:p w14:paraId="7A27832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vertAlign w:val="baseline"/>
                <w:lang w:val="en-US" w:eastAsia="zh-CN"/>
              </w:rPr>
            </w:pPr>
          </w:p>
        </w:tc>
        <w:tc>
          <w:tcPr>
            <w:tcW w:w="1295" w:type="dxa"/>
            <w:shd w:val="clear" w:color="auto" w:fill="auto"/>
            <w:vAlign w:val="center"/>
          </w:tcPr>
          <w:p w14:paraId="37D8967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default" w:ascii="Times New Roman" w:hAnsi="Times New Roman" w:eastAsia="宋体" w:cs="Times New Roman"/>
                <w:sz w:val="21"/>
                <w:szCs w:val="21"/>
                <w:highlight w:val="none"/>
                <w:vertAlign w:val="baseline"/>
                <w:lang w:val="en-US" w:eastAsia="zh-CN"/>
              </w:rPr>
              <w:t>Ⅲ区</w:t>
            </w:r>
          </w:p>
        </w:tc>
        <w:tc>
          <w:tcPr>
            <w:tcW w:w="1539" w:type="dxa"/>
            <w:vAlign w:val="center"/>
          </w:tcPr>
          <w:p w14:paraId="25D5476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618.0</w:t>
            </w:r>
          </w:p>
        </w:tc>
        <w:tc>
          <w:tcPr>
            <w:tcW w:w="1539" w:type="dxa"/>
            <w:vAlign w:val="center"/>
          </w:tcPr>
          <w:p w14:paraId="2EE8D72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6.1</w:t>
            </w:r>
          </w:p>
        </w:tc>
        <w:tc>
          <w:tcPr>
            <w:tcW w:w="1539" w:type="dxa"/>
            <w:vAlign w:val="center"/>
          </w:tcPr>
          <w:p w14:paraId="2521C34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3769.8</w:t>
            </w:r>
          </w:p>
        </w:tc>
        <w:tc>
          <w:tcPr>
            <w:tcW w:w="1539" w:type="dxa"/>
            <w:vAlign w:val="center"/>
          </w:tcPr>
          <w:p w14:paraId="56BB1BA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Ⅱ</w:t>
            </w:r>
            <w:r>
              <w:rPr>
                <w:rFonts w:hint="eastAsia" w:cs="Times New Roman"/>
                <w:sz w:val="21"/>
                <w:szCs w:val="21"/>
                <w:highlight w:val="none"/>
                <w:vertAlign w:val="baseline"/>
                <w:lang w:val="en-US" w:eastAsia="zh-CN"/>
              </w:rPr>
              <w:t>类固废</w:t>
            </w:r>
          </w:p>
        </w:tc>
      </w:tr>
      <w:tr w14:paraId="0A462A7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781" w:type="dxa"/>
            <w:vMerge w:val="continue"/>
            <w:vAlign w:val="center"/>
          </w:tcPr>
          <w:p w14:paraId="380C64E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vertAlign w:val="baseline"/>
                <w:lang w:val="en-US" w:eastAsia="zh-CN"/>
              </w:rPr>
            </w:pPr>
          </w:p>
        </w:tc>
        <w:tc>
          <w:tcPr>
            <w:tcW w:w="1295" w:type="dxa"/>
            <w:vAlign w:val="center"/>
          </w:tcPr>
          <w:p w14:paraId="155D364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Ⅳ区</w:t>
            </w:r>
          </w:p>
        </w:tc>
        <w:tc>
          <w:tcPr>
            <w:tcW w:w="1539" w:type="dxa"/>
            <w:vAlign w:val="center"/>
          </w:tcPr>
          <w:p w14:paraId="5DF6976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317.0</w:t>
            </w:r>
          </w:p>
        </w:tc>
        <w:tc>
          <w:tcPr>
            <w:tcW w:w="1539" w:type="dxa"/>
            <w:vAlign w:val="center"/>
          </w:tcPr>
          <w:p w14:paraId="48DFDD9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2.7</w:t>
            </w:r>
          </w:p>
        </w:tc>
        <w:tc>
          <w:tcPr>
            <w:tcW w:w="1539" w:type="dxa"/>
            <w:vAlign w:val="center"/>
          </w:tcPr>
          <w:p w14:paraId="167F603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855.9</w:t>
            </w:r>
          </w:p>
        </w:tc>
        <w:tc>
          <w:tcPr>
            <w:tcW w:w="1539" w:type="dxa"/>
            <w:vAlign w:val="center"/>
          </w:tcPr>
          <w:p w14:paraId="5D6734D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Ⅱ</w:t>
            </w:r>
            <w:r>
              <w:rPr>
                <w:rFonts w:hint="eastAsia" w:cs="Times New Roman"/>
                <w:sz w:val="21"/>
                <w:szCs w:val="21"/>
                <w:highlight w:val="none"/>
                <w:vertAlign w:val="baseline"/>
                <w:lang w:val="en-US" w:eastAsia="zh-CN"/>
              </w:rPr>
              <w:t>类固废</w:t>
            </w:r>
          </w:p>
        </w:tc>
      </w:tr>
      <w:tr w14:paraId="719F6F6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781" w:type="dxa"/>
            <w:vMerge w:val="continue"/>
            <w:vAlign w:val="center"/>
          </w:tcPr>
          <w:p w14:paraId="1652275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vertAlign w:val="baseline"/>
                <w:lang w:val="en-US" w:eastAsia="zh-CN"/>
              </w:rPr>
            </w:pPr>
          </w:p>
        </w:tc>
        <w:tc>
          <w:tcPr>
            <w:tcW w:w="1295" w:type="dxa"/>
            <w:vAlign w:val="center"/>
          </w:tcPr>
          <w:p w14:paraId="222DF2C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Ⅴ区</w:t>
            </w:r>
          </w:p>
        </w:tc>
        <w:tc>
          <w:tcPr>
            <w:tcW w:w="1539" w:type="dxa"/>
            <w:vAlign w:val="center"/>
          </w:tcPr>
          <w:p w14:paraId="6863C72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458.0</w:t>
            </w:r>
          </w:p>
        </w:tc>
        <w:tc>
          <w:tcPr>
            <w:tcW w:w="1539" w:type="dxa"/>
            <w:vAlign w:val="center"/>
          </w:tcPr>
          <w:p w14:paraId="6A42FAF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4.5</w:t>
            </w:r>
          </w:p>
        </w:tc>
        <w:tc>
          <w:tcPr>
            <w:tcW w:w="1539" w:type="dxa"/>
            <w:vAlign w:val="center"/>
          </w:tcPr>
          <w:p w14:paraId="4FB8618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2061.0</w:t>
            </w:r>
          </w:p>
        </w:tc>
        <w:tc>
          <w:tcPr>
            <w:tcW w:w="1539" w:type="dxa"/>
            <w:vAlign w:val="center"/>
          </w:tcPr>
          <w:p w14:paraId="46E134B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Ⅱ</w:t>
            </w:r>
            <w:r>
              <w:rPr>
                <w:rFonts w:hint="eastAsia" w:cs="Times New Roman"/>
                <w:sz w:val="21"/>
                <w:szCs w:val="21"/>
                <w:highlight w:val="none"/>
                <w:vertAlign w:val="baseline"/>
                <w:lang w:val="en-US" w:eastAsia="zh-CN"/>
              </w:rPr>
              <w:t>类固废</w:t>
            </w:r>
          </w:p>
        </w:tc>
      </w:tr>
      <w:tr w14:paraId="488DE35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781" w:type="dxa"/>
            <w:vMerge w:val="continue"/>
            <w:vAlign w:val="center"/>
          </w:tcPr>
          <w:p w14:paraId="6FC6679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vertAlign w:val="baseline"/>
                <w:lang w:val="en-US" w:eastAsia="zh-CN"/>
              </w:rPr>
            </w:pPr>
          </w:p>
        </w:tc>
        <w:tc>
          <w:tcPr>
            <w:tcW w:w="1295" w:type="dxa"/>
            <w:vAlign w:val="center"/>
          </w:tcPr>
          <w:p w14:paraId="57DFF3A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Ⅵ区</w:t>
            </w:r>
          </w:p>
        </w:tc>
        <w:tc>
          <w:tcPr>
            <w:tcW w:w="1539" w:type="dxa"/>
            <w:vAlign w:val="center"/>
          </w:tcPr>
          <w:p w14:paraId="786A935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3151.0</w:t>
            </w:r>
          </w:p>
        </w:tc>
        <w:tc>
          <w:tcPr>
            <w:tcW w:w="1539" w:type="dxa"/>
            <w:vAlign w:val="center"/>
          </w:tcPr>
          <w:p w14:paraId="04C24C0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6.1</w:t>
            </w:r>
          </w:p>
        </w:tc>
        <w:tc>
          <w:tcPr>
            <w:tcW w:w="1539" w:type="dxa"/>
            <w:vAlign w:val="center"/>
          </w:tcPr>
          <w:p w14:paraId="576585A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19221.1</w:t>
            </w:r>
          </w:p>
        </w:tc>
        <w:tc>
          <w:tcPr>
            <w:tcW w:w="1539" w:type="dxa"/>
            <w:vAlign w:val="center"/>
          </w:tcPr>
          <w:p w14:paraId="59464EF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Ⅱ</w:t>
            </w:r>
            <w:r>
              <w:rPr>
                <w:rFonts w:hint="eastAsia" w:cs="Times New Roman"/>
                <w:sz w:val="21"/>
                <w:szCs w:val="21"/>
                <w:highlight w:val="none"/>
                <w:vertAlign w:val="baseline"/>
                <w:lang w:val="en-US" w:eastAsia="zh-CN"/>
              </w:rPr>
              <w:t>类固废</w:t>
            </w:r>
          </w:p>
        </w:tc>
      </w:tr>
      <w:tr w14:paraId="1299741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076" w:type="dxa"/>
            <w:gridSpan w:val="2"/>
            <w:vAlign w:val="center"/>
          </w:tcPr>
          <w:p w14:paraId="7E4271F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cs="宋体"/>
                <w:sz w:val="21"/>
                <w:szCs w:val="21"/>
                <w:highlight w:val="none"/>
                <w:vertAlign w:val="baseline"/>
                <w:lang w:val="en-US" w:eastAsia="zh-CN"/>
              </w:rPr>
            </w:pPr>
            <w:r>
              <w:rPr>
                <w:rFonts w:hint="eastAsia" w:ascii="宋体" w:hAnsi="宋体" w:eastAsia="宋体" w:cs="宋体"/>
                <w:sz w:val="21"/>
                <w:szCs w:val="21"/>
                <w:highlight w:val="none"/>
                <w:vertAlign w:val="baseline"/>
                <w:lang w:val="en-US" w:eastAsia="zh-CN"/>
              </w:rPr>
              <w:t>总计</w:t>
            </w:r>
          </w:p>
        </w:tc>
        <w:tc>
          <w:tcPr>
            <w:tcW w:w="1539" w:type="dxa"/>
            <w:vAlign w:val="center"/>
          </w:tcPr>
          <w:p w14:paraId="2915A27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9010</w:t>
            </w:r>
          </w:p>
        </w:tc>
        <w:tc>
          <w:tcPr>
            <w:tcW w:w="1539" w:type="dxa"/>
            <w:vAlign w:val="center"/>
          </w:tcPr>
          <w:p w14:paraId="4CB0C89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w:t>
            </w:r>
          </w:p>
        </w:tc>
        <w:tc>
          <w:tcPr>
            <w:tcW w:w="1539" w:type="dxa"/>
            <w:vAlign w:val="center"/>
          </w:tcPr>
          <w:p w14:paraId="4C68C13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42040.12</w:t>
            </w:r>
          </w:p>
        </w:tc>
        <w:tc>
          <w:tcPr>
            <w:tcW w:w="1539" w:type="dxa"/>
            <w:vAlign w:val="center"/>
          </w:tcPr>
          <w:p w14:paraId="4ECC2EF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w:t>
            </w:r>
          </w:p>
        </w:tc>
      </w:tr>
      <w:tr w14:paraId="70E579B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076" w:type="dxa"/>
            <w:gridSpan w:val="2"/>
            <w:vMerge w:val="restart"/>
            <w:vAlign w:val="center"/>
          </w:tcPr>
          <w:p w14:paraId="1115619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cs="宋体"/>
                <w:sz w:val="21"/>
                <w:szCs w:val="21"/>
                <w:highlight w:val="none"/>
                <w:vertAlign w:val="baseline"/>
                <w:lang w:val="en-US" w:eastAsia="zh-CN"/>
              </w:rPr>
            </w:pPr>
            <w:r>
              <w:rPr>
                <w:rFonts w:hint="eastAsia" w:ascii="宋体" w:hAnsi="宋体" w:eastAsia="宋体" w:cs="宋体"/>
                <w:sz w:val="21"/>
                <w:szCs w:val="21"/>
                <w:highlight w:val="none"/>
                <w:vertAlign w:val="baseline"/>
                <w:lang w:val="en-US" w:eastAsia="zh-CN"/>
              </w:rPr>
              <w:t>其中</w:t>
            </w:r>
          </w:p>
        </w:tc>
        <w:tc>
          <w:tcPr>
            <w:tcW w:w="1539" w:type="dxa"/>
            <w:vAlign w:val="center"/>
          </w:tcPr>
          <w:p w14:paraId="51BCC92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1418</w:t>
            </w:r>
          </w:p>
        </w:tc>
        <w:tc>
          <w:tcPr>
            <w:tcW w:w="1539" w:type="dxa"/>
            <w:vAlign w:val="center"/>
          </w:tcPr>
          <w:p w14:paraId="63F5B7B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w:t>
            </w:r>
          </w:p>
        </w:tc>
        <w:tc>
          <w:tcPr>
            <w:tcW w:w="1539" w:type="dxa"/>
            <w:vAlign w:val="center"/>
          </w:tcPr>
          <w:p w14:paraId="5944A0C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6664.6</w:t>
            </w:r>
          </w:p>
        </w:tc>
        <w:tc>
          <w:tcPr>
            <w:tcW w:w="1539" w:type="dxa"/>
            <w:shd w:val="clear" w:color="auto" w:fill="auto"/>
            <w:vAlign w:val="center"/>
          </w:tcPr>
          <w:p w14:paraId="62F7458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kern w:val="2"/>
                <w:sz w:val="21"/>
                <w:szCs w:val="21"/>
                <w:highlight w:val="none"/>
                <w:vertAlign w:val="baseline"/>
                <w:lang w:val="en-US" w:eastAsia="zh-CN" w:bidi="ar-SA"/>
              </w:rPr>
            </w:pPr>
            <w:r>
              <w:rPr>
                <w:rFonts w:hint="default" w:ascii="Times New Roman" w:hAnsi="Times New Roman" w:eastAsia="宋体" w:cs="Times New Roman"/>
                <w:sz w:val="21"/>
                <w:szCs w:val="21"/>
                <w:highlight w:val="none"/>
                <w:vertAlign w:val="baseline"/>
                <w:lang w:val="en-US" w:eastAsia="zh-CN"/>
              </w:rPr>
              <w:t>Ⅰ</w:t>
            </w:r>
            <w:r>
              <w:rPr>
                <w:rFonts w:hint="eastAsia" w:cs="Times New Roman"/>
                <w:sz w:val="21"/>
                <w:szCs w:val="21"/>
                <w:highlight w:val="none"/>
                <w:vertAlign w:val="baseline"/>
                <w:lang w:val="en-US" w:eastAsia="zh-CN"/>
              </w:rPr>
              <w:t>类固废</w:t>
            </w:r>
          </w:p>
        </w:tc>
      </w:tr>
      <w:tr w14:paraId="6A6AE7E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076" w:type="dxa"/>
            <w:gridSpan w:val="2"/>
            <w:vMerge w:val="continue"/>
            <w:vAlign w:val="center"/>
          </w:tcPr>
          <w:p w14:paraId="03ABE2E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1"/>
                <w:szCs w:val="21"/>
                <w:highlight w:val="none"/>
                <w:vertAlign w:val="baseline"/>
                <w:lang w:val="en-US" w:eastAsia="zh-CN"/>
              </w:rPr>
            </w:pPr>
          </w:p>
        </w:tc>
        <w:tc>
          <w:tcPr>
            <w:tcW w:w="1539" w:type="dxa"/>
            <w:vAlign w:val="center"/>
          </w:tcPr>
          <w:p w14:paraId="165B8DC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7592</w:t>
            </w:r>
          </w:p>
        </w:tc>
        <w:tc>
          <w:tcPr>
            <w:tcW w:w="1539" w:type="dxa"/>
            <w:vAlign w:val="center"/>
          </w:tcPr>
          <w:p w14:paraId="12BDC91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w:t>
            </w:r>
          </w:p>
        </w:tc>
        <w:tc>
          <w:tcPr>
            <w:tcW w:w="1539" w:type="dxa"/>
            <w:vAlign w:val="center"/>
          </w:tcPr>
          <w:p w14:paraId="44B7746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35375.52</w:t>
            </w:r>
          </w:p>
        </w:tc>
        <w:tc>
          <w:tcPr>
            <w:tcW w:w="1539" w:type="dxa"/>
            <w:shd w:val="clear" w:color="auto" w:fill="auto"/>
            <w:vAlign w:val="center"/>
          </w:tcPr>
          <w:p w14:paraId="720FF1C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kern w:val="2"/>
                <w:sz w:val="21"/>
                <w:szCs w:val="21"/>
                <w:highlight w:val="none"/>
                <w:vertAlign w:val="baseline"/>
                <w:lang w:val="en-US" w:eastAsia="zh-CN" w:bidi="ar-SA"/>
              </w:rPr>
            </w:pPr>
            <w:r>
              <w:rPr>
                <w:rFonts w:hint="default" w:ascii="Times New Roman" w:hAnsi="Times New Roman" w:eastAsia="宋体" w:cs="Times New Roman"/>
                <w:sz w:val="21"/>
                <w:szCs w:val="21"/>
                <w:highlight w:val="none"/>
                <w:vertAlign w:val="baseline"/>
                <w:lang w:val="en-US" w:eastAsia="zh-CN"/>
              </w:rPr>
              <w:t>Ⅱ</w:t>
            </w:r>
            <w:r>
              <w:rPr>
                <w:rFonts w:hint="eastAsia" w:cs="Times New Roman"/>
                <w:sz w:val="21"/>
                <w:szCs w:val="21"/>
                <w:highlight w:val="none"/>
                <w:vertAlign w:val="baseline"/>
                <w:lang w:val="en-US" w:eastAsia="zh-CN"/>
              </w:rPr>
              <w:t>类固废</w:t>
            </w:r>
          </w:p>
        </w:tc>
      </w:tr>
    </w:tbl>
    <w:p w14:paraId="4C6CE9CF">
      <w:pPr>
        <w:bidi w:val="0"/>
        <w:rPr>
          <w:rFonts w:hint="default"/>
          <w:b/>
          <w:bCs/>
          <w:lang w:val="en-US" w:eastAsia="zh-CN"/>
        </w:rPr>
      </w:pPr>
      <w:r>
        <w:rPr>
          <w:rFonts w:hint="eastAsia"/>
          <w:b/>
          <w:bCs/>
          <w:lang w:val="en-US" w:eastAsia="zh-CN"/>
        </w:rPr>
        <w:t>（2）区域污染现状调查</w:t>
      </w:r>
    </w:p>
    <w:p w14:paraId="29F9F0E6">
      <w:pPr>
        <w:bidi w:val="0"/>
        <w:rPr>
          <w:rFonts w:hint="default"/>
          <w:lang w:val="en-US" w:eastAsia="zh-CN"/>
        </w:rPr>
      </w:pPr>
      <w:r>
        <w:rPr>
          <w:rFonts w:hint="eastAsia"/>
          <w:lang w:val="en-US" w:eastAsia="zh-CN"/>
        </w:rPr>
        <w:t>①农田土壤检测结果</w:t>
      </w:r>
    </w:p>
    <w:p w14:paraId="50EFF14C">
      <w:pPr>
        <w:bidi w:val="0"/>
        <w:rPr>
          <w:rFonts w:hint="default"/>
          <w:lang w:val="en-US" w:eastAsia="zh-CN"/>
        </w:rPr>
      </w:pPr>
      <w:r>
        <w:rPr>
          <w:rFonts w:hint="eastAsia"/>
          <w:lang w:val="en-US" w:eastAsia="zh-CN"/>
        </w:rPr>
        <w:t>依据现场实地勘察，在南尧村布设4个与废渣堆没有直接联系的农田土壤作为本项目背景点土壤，土壤监测布点方案见表3.1-13，监测结果见表3.1-16。</w:t>
      </w:r>
    </w:p>
    <w:p w14:paraId="67C67DC7">
      <w:pPr>
        <w:bidi w:val="0"/>
        <w:ind w:left="0" w:leftChars="0" w:firstLine="0" w:firstLineChars="0"/>
        <w:jc w:val="center"/>
        <w:rPr>
          <w:rFonts w:hint="default"/>
          <w:b/>
          <w:bCs/>
          <w:sz w:val="21"/>
          <w:szCs w:val="21"/>
          <w:lang w:val="en-US" w:eastAsia="zh-CN"/>
        </w:rPr>
      </w:pPr>
      <w:r>
        <w:rPr>
          <w:rFonts w:hint="eastAsia"/>
          <w:b/>
          <w:bCs/>
          <w:sz w:val="21"/>
          <w:szCs w:val="21"/>
          <w:lang w:val="en-US" w:eastAsia="zh-CN"/>
        </w:rPr>
        <w:t>表3.1-13  土壤监测布点方案</w:t>
      </w:r>
    </w:p>
    <w:tbl>
      <w:tblPr>
        <w:tblStyle w:val="36"/>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2279"/>
        <w:gridCol w:w="791"/>
        <w:gridCol w:w="3638"/>
        <w:gridCol w:w="1125"/>
        <w:gridCol w:w="1396"/>
      </w:tblGrid>
      <w:tr w14:paraId="2E6A50C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279" w:type="dxa"/>
            <w:vAlign w:val="center"/>
          </w:tcPr>
          <w:p w14:paraId="428C9AD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bCs/>
                <w:sz w:val="21"/>
                <w:szCs w:val="21"/>
                <w:vertAlign w:val="baseline"/>
                <w:lang w:val="en-US" w:eastAsia="zh-CN"/>
              </w:rPr>
            </w:pPr>
            <w:r>
              <w:rPr>
                <w:rFonts w:hint="eastAsia"/>
                <w:b/>
                <w:bCs/>
                <w:sz w:val="21"/>
                <w:szCs w:val="21"/>
                <w:vertAlign w:val="baseline"/>
                <w:lang w:val="en-US" w:eastAsia="zh-CN"/>
              </w:rPr>
              <w:t>监测点位</w:t>
            </w:r>
          </w:p>
        </w:tc>
        <w:tc>
          <w:tcPr>
            <w:tcW w:w="791" w:type="dxa"/>
            <w:vAlign w:val="center"/>
          </w:tcPr>
          <w:p w14:paraId="1875891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bCs/>
                <w:sz w:val="21"/>
                <w:szCs w:val="21"/>
                <w:vertAlign w:val="baseline"/>
                <w:lang w:val="en-US" w:eastAsia="zh-CN"/>
              </w:rPr>
            </w:pPr>
            <w:r>
              <w:rPr>
                <w:rFonts w:hint="eastAsia"/>
                <w:b/>
                <w:bCs/>
                <w:sz w:val="21"/>
                <w:szCs w:val="21"/>
                <w:vertAlign w:val="baseline"/>
                <w:lang w:val="en-US" w:eastAsia="zh-CN"/>
              </w:rPr>
              <w:t>点位数量</w:t>
            </w:r>
          </w:p>
        </w:tc>
        <w:tc>
          <w:tcPr>
            <w:tcW w:w="3638" w:type="dxa"/>
            <w:vAlign w:val="center"/>
          </w:tcPr>
          <w:p w14:paraId="0BD3FCC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bCs/>
                <w:sz w:val="21"/>
                <w:szCs w:val="21"/>
                <w:vertAlign w:val="baseline"/>
                <w:lang w:val="en-US" w:eastAsia="zh-CN"/>
              </w:rPr>
            </w:pPr>
            <w:r>
              <w:rPr>
                <w:rFonts w:hint="eastAsia"/>
                <w:b/>
                <w:bCs/>
                <w:sz w:val="21"/>
                <w:szCs w:val="21"/>
                <w:vertAlign w:val="baseline"/>
                <w:lang w:val="en-US" w:eastAsia="zh-CN"/>
              </w:rPr>
              <w:t>监测因子</w:t>
            </w:r>
          </w:p>
        </w:tc>
        <w:tc>
          <w:tcPr>
            <w:tcW w:w="1125" w:type="dxa"/>
            <w:vAlign w:val="center"/>
          </w:tcPr>
          <w:p w14:paraId="1D93E96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bCs/>
                <w:sz w:val="21"/>
                <w:szCs w:val="21"/>
                <w:vertAlign w:val="baseline"/>
                <w:lang w:val="en-US" w:eastAsia="zh-CN"/>
              </w:rPr>
            </w:pPr>
            <w:r>
              <w:rPr>
                <w:rFonts w:hint="eastAsia"/>
                <w:b/>
                <w:bCs/>
                <w:sz w:val="21"/>
                <w:szCs w:val="21"/>
                <w:vertAlign w:val="baseline"/>
                <w:lang w:val="en-US" w:eastAsia="zh-CN"/>
              </w:rPr>
              <w:t>采样深度</w:t>
            </w:r>
          </w:p>
        </w:tc>
        <w:tc>
          <w:tcPr>
            <w:tcW w:w="1396" w:type="dxa"/>
            <w:vAlign w:val="center"/>
          </w:tcPr>
          <w:p w14:paraId="411FB9C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bCs/>
                <w:sz w:val="21"/>
                <w:szCs w:val="21"/>
                <w:vertAlign w:val="baseline"/>
                <w:lang w:val="en-US" w:eastAsia="zh-CN"/>
              </w:rPr>
            </w:pPr>
            <w:r>
              <w:rPr>
                <w:rFonts w:hint="eastAsia"/>
                <w:b/>
                <w:bCs/>
                <w:sz w:val="21"/>
                <w:szCs w:val="21"/>
                <w:vertAlign w:val="baseline"/>
                <w:lang w:val="en-US" w:eastAsia="zh-CN"/>
              </w:rPr>
              <w:t>监测频次</w:t>
            </w:r>
          </w:p>
        </w:tc>
      </w:tr>
      <w:tr w14:paraId="708C582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279" w:type="dxa"/>
            <w:vAlign w:val="center"/>
          </w:tcPr>
          <w:p w14:paraId="12A4D66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南尧村1#废渣堆周边农田土壤（</w:t>
            </w:r>
            <w:r>
              <w:rPr>
                <w:rFonts w:hint="default" w:ascii="Times New Roman" w:hAnsi="Times New Roman" w:eastAsia="微软雅黑" w:cs="Times New Roman"/>
                <w:sz w:val="21"/>
                <w:szCs w:val="21"/>
                <w:vertAlign w:val="baseline"/>
                <w:lang w:val="en-US" w:eastAsia="zh-CN"/>
              </w:rPr>
              <w:t>★</w:t>
            </w:r>
            <w:r>
              <w:rPr>
                <w:rFonts w:hint="eastAsia"/>
                <w:sz w:val="21"/>
                <w:szCs w:val="21"/>
                <w:vertAlign w:val="baseline"/>
                <w:lang w:val="en-US" w:eastAsia="zh-CN"/>
              </w:rPr>
              <w:t>18、</w:t>
            </w:r>
            <w:r>
              <w:rPr>
                <w:rFonts w:hint="default" w:ascii="Times New Roman" w:hAnsi="Times New Roman" w:eastAsia="微软雅黑" w:cs="Times New Roman"/>
                <w:sz w:val="21"/>
                <w:szCs w:val="21"/>
                <w:vertAlign w:val="baseline"/>
                <w:lang w:val="en-US" w:eastAsia="zh-CN"/>
              </w:rPr>
              <w:t>★</w:t>
            </w:r>
            <w:r>
              <w:rPr>
                <w:rFonts w:hint="eastAsia"/>
                <w:sz w:val="21"/>
                <w:szCs w:val="21"/>
                <w:vertAlign w:val="baseline"/>
                <w:lang w:val="en-US" w:eastAsia="zh-CN"/>
              </w:rPr>
              <w:t>19）</w:t>
            </w:r>
          </w:p>
        </w:tc>
        <w:tc>
          <w:tcPr>
            <w:tcW w:w="791" w:type="dxa"/>
            <w:vAlign w:val="center"/>
          </w:tcPr>
          <w:p w14:paraId="4B18EE5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2</w:t>
            </w:r>
          </w:p>
        </w:tc>
        <w:tc>
          <w:tcPr>
            <w:tcW w:w="3638" w:type="dxa"/>
            <w:vMerge w:val="restart"/>
            <w:vAlign w:val="center"/>
          </w:tcPr>
          <w:p w14:paraId="5FF68B9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pH、总铬、总镍、总铜、总锌、总砷、总镉、总铅、总汞、氰化物</w:t>
            </w:r>
          </w:p>
        </w:tc>
        <w:tc>
          <w:tcPr>
            <w:tcW w:w="1125" w:type="dxa"/>
            <w:vAlign w:val="center"/>
          </w:tcPr>
          <w:p w14:paraId="4FA4A1A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0~0.2m</w:t>
            </w:r>
          </w:p>
        </w:tc>
        <w:tc>
          <w:tcPr>
            <w:tcW w:w="1396" w:type="dxa"/>
            <w:vMerge w:val="restart"/>
            <w:vAlign w:val="center"/>
          </w:tcPr>
          <w:p w14:paraId="73FE2C0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1次/天，1天</w:t>
            </w:r>
          </w:p>
        </w:tc>
      </w:tr>
      <w:tr w14:paraId="44E7FE3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279" w:type="dxa"/>
            <w:vAlign w:val="center"/>
          </w:tcPr>
          <w:p w14:paraId="40CCFEF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南尧村2#废渣堆周边农田土壤（20★、★21）</w:t>
            </w:r>
          </w:p>
        </w:tc>
        <w:tc>
          <w:tcPr>
            <w:tcW w:w="791" w:type="dxa"/>
            <w:vAlign w:val="center"/>
          </w:tcPr>
          <w:p w14:paraId="5531963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2</w:t>
            </w:r>
          </w:p>
        </w:tc>
        <w:tc>
          <w:tcPr>
            <w:tcW w:w="3638" w:type="dxa"/>
            <w:vMerge w:val="continue"/>
            <w:vAlign w:val="center"/>
          </w:tcPr>
          <w:p w14:paraId="2EFBB4F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vertAlign w:val="baseline"/>
                <w:lang w:val="en-US" w:eastAsia="zh-CN"/>
              </w:rPr>
            </w:pPr>
          </w:p>
        </w:tc>
        <w:tc>
          <w:tcPr>
            <w:tcW w:w="1125" w:type="dxa"/>
            <w:vAlign w:val="center"/>
          </w:tcPr>
          <w:p w14:paraId="04297FF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vertAlign w:val="baseline"/>
                <w:lang w:val="en-US" w:eastAsia="zh-CN"/>
              </w:rPr>
            </w:pPr>
            <w:r>
              <w:rPr>
                <w:rFonts w:hint="eastAsia"/>
                <w:sz w:val="21"/>
                <w:szCs w:val="21"/>
                <w:vertAlign w:val="baseline"/>
                <w:lang w:val="en-US" w:eastAsia="zh-CN"/>
              </w:rPr>
              <w:t>0~0.2m</w:t>
            </w:r>
          </w:p>
        </w:tc>
        <w:tc>
          <w:tcPr>
            <w:tcW w:w="1396" w:type="dxa"/>
            <w:vMerge w:val="continue"/>
            <w:vAlign w:val="center"/>
          </w:tcPr>
          <w:p w14:paraId="5E84E2B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vertAlign w:val="baseline"/>
                <w:lang w:val="en-US" w:eastAsia="zh-CN"/>
              </w:rPr>
            </w:pPr>
          </w:p>
        </w:tc>
      </w:tr>
    </w:tbl>
    <w:p w14:paraId="77595D2C">
      <w:pPr>
        <w:bidi w:val="0"/>
        <w:rPr>
          <w:rFonts w:hint="default"/>
          <w:lang w:val="en-US" w:eastAsia="zh-CN"/>
        </w:rPr>
      </w:pPr>
      <w:r>
        <w:rPr>
          <w:rFonts w:hint="eastAsia"/>
          <w:lang w:val="en-US" w:eastAsia="zh-CN"/>
        </w:rPr>
        <w:t>②地表水检测结果</w:t>
      </w:r>
    </w:p>
    <w:p w14:paraId="1389BA97">
      <w:pPr>
        <w:rPr>
          <w:rFonts w:hint="eastAsia"/>
          <w:highlight w:val="none"/>
          <w:lang w:val="en-US" w:eastAsia="zh-CN"/>
        </w:rPr>
      </w:pPr>
      <w:r>
        <w:rPr>
          <w:rFonts w:hint="eastAsia"/>
          <w:highlight w:val="none"/>
          <w:lang w:val="en-US" w:eastAsia="zh-CN"/>
        </w:rPr>
        <w:t>依据现场实地勘察，对南尧村1#废渣堆无名小溪、南尧村1#废渣堆旁水塘及南尧村2#废渣堆无名小溪共布设3个地表水监测点位，地表水</w:t>
      </w:r>
      <w:r>
        <w:rPr>
          <w:rFonts w:hint="eastAsia"/>
          <w:lang w:val="en-US" w:eastAsia="zh-CN"/>
        </w:rPr>
        <w:t>监测布点方案见表3.1-14，监测结果见表3.1-17。</w:t>
      </w:r>
    </w:p>
    <w:p w14:paraId="423863AD">
      <w:pPr>
        <w:bidi w:val="0"/>
        <w:ind w:left="0" w:leftChars="0" w:firstLine="0" w:firstLineChars="0"/>
        <w:jc w:val="center"/>
        <w:rPr>
          <w:rFonts w:hint="eastAsia"/>
          <w:lang w:val="en-US" w:eastAsia="zh-CN"/>
        </w:rPr>
      </w:pPr>
      <w:r>
        <w:rPr>
          <w:rFonts w:hint="eastAsia"/>
          <w:b/>
          <w:bCs/>
          <w:sz w:val="21"/>
          <w:szCs w:val="21"/>
          <w:lang w:val="en-US" w:eastAsia="zh-CN"/>
        </w:rPr>
        <w:t>表3.1-14  地表水监测布点方案</w:t>
      </w:r>
    </w:p>
    <w:tbl>
      <w:tblPr>
        <w:tblStyle w:val="36"/>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3358"/>
        <w:gridCol w:w="662"/>
        <w:gridCol w:w="3454"/>
        <w:gridCol w:w="1756"/>
      </w:tblGrid>
      <w:tr w14:paraId="266D56F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blHeader/>
        </w:trPr>
        <w:tc>
          <w:tcPr>
            <w:tcW w:w="3358" w:type="dxa"/>
            <w:vAlign w:val="center"/>
          </w:tcPr>
          <w:p w14:paraId="15C13F82">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b/>
                <w:bCs/>
                <w:sz w:val="21"/>
                <w:szCs w:val="21"/>
                <w:vertAlign w:val="baseline"/>
                <w:lang w:val="en-US" w:eastAsia="zh-CN"/>
              </w:rPr>
            </w:pPr>
            <w:r>
              <w:rPr>
                <w:rFonts w:hint="eastAsia"/>
                <w:b/>
                <w:bCs/>
                <w:sz w:val="21"/>
                <w:szCs w:val="21"/>
                <w:vertAlign w:val="baseline"/>
                <w:lang w:val="en-US" w:eastAsia="zh-CN"/>
              </w:rPr>
              <w:t>监测点位</w:t>
            </w:r>
          </w:p>
        </w:tc>
        <w:tc>
          <w:tcPr>
            <w:tcW w:w="662" w:type="dxa"/>
            <w:vAlign w:val="center"/>
          </w:tcPr>
          <w:p w14:paraId="0ACB827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bCs/>
                <w:sz w:val="21"/>
                <w:szCs w:val="21"/>
                <w:vertAlign w:val="baseline"/>
                <w:lang w:val="en-US" w:eastAsia="zh-CN"/>
              </w:rPr>
            </w:pPr>
            <w:r>
              <w:rPr>
                <w:rFonts w:hint="eastAsia"/>
                <w:b/>
                <w:bCs/>
                <w:sz w:val="21"/>
                <w:szCs w:val="21"/>
                <w:vertAlign w:val="baseline"/>
                <w:lang w:val="en-US" w:eastAsia="zh-CN"/>
              </w:rPr>
              <w:t>点位数量</w:t>
            </w:r>
          </w:p>
        </w:tc>
        <w:tc>
          <w:tcPr>
            <w:tcW w:w="3454" w:type="dxa"/>
            <w:vAlign w:val="center"/>
          </w:tcPr>
          <w:p w14:paraId="5C7C73B8">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b/>
                <w:bCs/>
                <w:sz w:val="21"/>
                <w:szCs w:val="21"/>
                <w:vertAlign w:val="baseline"/>
                <w:lang w:val="en-US" w:eastAsia="zh-CN"/>
              </w:rPr>
            </w:pPr>
            <w:r>
              <w:rPr>
                <w:rFonts w:hint="eastAsia"/>
                <w:b/>
                <w:bCs/>
                <w:sz w:val="21"/>
                <w:szCs w:val="21"/>
                <w:vertAlign w:val="baseline"/>
                <w:lang w:val="en-US" w:eastAsia="zh-CN"/>
              </w:rPr>
              <w:t>监测因子</w:t>
            </w:r>
          </w:p>
        </w:tc>
        <w:tc>
          <w:tcPr>
            <w:tcW w:w="1756" w:type="dxa"/>
            <w:vAlign w:val="center"/>
          </w:tcPr>
          <w:p w14:paraId="09B8E2DC">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b/>
                <w:bCs/>
                <w:sz w:val="21"/>
                <w:szCs w:val="21"/>
                <w:vertAlign w:val="baseline"/>
                <w:lang w:val="en-US" w:eastAsia="zh-CN"/>
              </w:rPr>
            </w:pPr>
            <w:r>
              <w:rPr>
                <w:rFonts w:hint="eastAsia"/>
                <w:b/>
                <w:bCs/>
                <w:sz w:val="21"/>
                <w:szCs w:val="21"/>
                <w:vertAlign w:val="baseline"/>
                <w:lang w:val="en-US" w:eastAsia="zh-CN"/>
              </w:rPr>
              <w:t>监测频次</w:t>
            </w:r>
          </w:p>
        </w:tc>
      </w:tr>
      <w:tr w14:paraId="65E8423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358" w:type="dxa"/>
            <w:vAlign w:val="center"/>
          </w:tcPr>
          <w:p w14:paraId="40C824C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南尧村1#废渣堆无名小溪（</w:t>
            </w:r>
            <w:r>
              <w:rPr>
                <w:rFonts w:hint="default" w:ascii="Times New Roman" w:hAnsi="Times New Roman" w:eastAsia="微软雅黑" w:cs="Times New Roman"/>
                <w:sz w:val="21"/>
                <w:szCs w:val="21"/>
                <w:vertAlign w:val="baseline"/>
                <w:lang w:val="en-US" w:eastAsia="zh-CN"/>
              </w:rPr>
              <w:t>★</w:t>
            </w:r>
            <w:r>
              <w:rPr>
                <w:rFonts w:hint="eastAsia" w:ascii="Times New Roman" w:hAnsi="Times New Roman" w:eastAsia="微软雅黑" w:cs="Times New Roman"/>
                <w:sz w:val="21"/>
                <w:szCs w:val="21"/>
                <w:vertAlign w:val="baseline"/>
                <w:lang w:val="en-US" w:eastAsia="zh-CN"/>
              </w:rPr>
              <w:t>22</w:t>
            </w:r>
            <w:r>
              <w:rPr>
                <w:rFonts w:hint="eastAsia"/>
                <w:sz w:val="21"/>
                <w:szCs w:val="21"/>
                <w:vertAlign w:val="baseline"/>
                <w:lang w:val="en-US" w:eastAsia="zh-CN"/>
              </w:rPr>
              <w:t>）</w:t>
            </w:r>
          </w:p>
        </w:tc>
        <w:tc>
          <w:tcPr>
            <w:tcW w:w="662" w:type="dxa"/>
            <w:vAlign w:val="center"/>
          </w:tcPr>
          <w:p w14:paraId="19EE407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1</w:t>
            </w:r>
          </w:p>
        </w:tc>
        <w:tc>
          <w:tcPr>
            <w:tcW w:w="3454" w:type="dxa"/>
            <w:vMerge w:val="restart"/>
            <w:vAlign w:val="center"/>
          </w:tcPr>
          <w:p w14:paraId="3FC73CC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pH、总铬、镍、铜、锌、砷、镉、铅、汞、六价铬、氰化物</w:t>
            </w:r>
          </w:p>
        </w:tc>
        <w:tc>
          <w:tcPr>
            <w:tcW w:w="1756" w:type="dxa"/>
            <w:vMerge w:val="restart"/>
            <w:vAlign w:val="center"/>
          </w:tcPr>
          <w:p w14:paraId="3BF53B8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1次/天，2天</w:t>
            </w:r>
          </w:p>
        </w:tc>
      </w:tr>
      <w:tr w14:paraId="2FEADCE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358" w:type="dxa"/>
            <w:vAlign w:val="center"/>
          </w:tcPr>
          <w:p w14:paraId="45CEBB3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南尧村1#废渣堆水塘（</w:t>
            </w:r>
            <w:r>
              <w:rPr>
                <w:rFonts w:hint="default" w:ascii="Times New Roman" w:hAnsi="Times New Roman" w:eastAsia="微软雅黑" w:cs="Times New Roman"/>
                <w:sz w:val="21"/>
                <w:szCs w:val="21"/>
                <w:vertAlign w:val="baseline"/>
                <w:lang w:val="en-US" w:eastAsia="zh-CN"/>
              </w:rPr>
              <w:t>★</w:t>
            </w:r>
            <w:r>
              <w:rPr>
                <w:rFonts w:hint="eastAsia" w:ascii="Times New Roman" w:hAnsi="Times New Roman" w:eastAsia="微软雅黑" w:cs="Times New Roman"/>
                <w:sz w:val="21"/>
                <w:szCs w:val="21"/>
                <w:vertAlign w:val="baseline"/>
                <w:lang w:val="en-US" w:eastAsia="zh-CN"/>
              </w:rPr>
              <w:t>23</w:t>
            </w:r>
            <w:r>
              <w:rPr>
                <w:rFonts w:hint="eastAsia"/>
                <w:sz w:val="21"/>
                <w:szCs w:val="21"/>
                <w:vertAlign w:val="baseline"/>
                <w:lang w:val="en-US" w:eastAsia="zh-CN"/>
              </w:rPr>
              <w:t>）</w:t>
            </w:r>
          </w:p>
        </w:tc>
        <w:tc>
          <w:tcPr>
            <w:tcW w:w="662" w:type="dxa"/>
            <w:vAlign w:val="center"/>
          </w:tcPr>
          <w:p w14:paraId="637B52E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1</w:t>
            </w:r>
          </w:p>
        </w:tc>
        <w:tc>
          <w:tcPr>
            <w:tcW w:w="3454" w:type="dxa"/>
            <w:vMerge w:val="continue"/>
            <w:vAlign w:val="center"/>
          </w:tcPr>
          <w:p w14:paraId="39A70A0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vertAlign w:val="baseline"/>
                <w:lang w:val="en-US" w:eastAsia="zh-CN"/>
              </w:rPr>
            </w:pPr>
          </w:p>
        </w:tc>
        <w:tc>
          <w:tcPr>
            <w:tcW w:w="1756" w:type="dxa"/>
            <w:vMerge w:val="continue"/>
            <w:vAlign w:val="center"/>
          </w:tcPr>
          <w:p w14:paraId="75BA2C8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vertAlign w:val="baseline"/>
                <w:lang w:val="en-US" w:eastAsia="zh-CN"/>
              </w:rPr>
            </w:pPr>
          </w:p>
        </w:tc>
      </w:tr>
      <w:tr w14:paraId="3C34946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358" w:type="dxa"/>
            <w:vAlign w:val="center"/>
          </w:tcPr>
          <w:p w14:paraId="2BE0056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南尧村2#废渣堆无名小溪（</w:t>
            </w:r>
            <w:r>
              <w:rPr>
                <w:rFonts w:hint="default" w:ascii="Times New Roman" w:hAnsi="Times New Roman" w:eastAsia="微软雅黑" w:cs="Times New Roman"/>
                <w:sz w:val="21"/>
                <w:szCs w:val="21"/>
                <w:vertAlign w:val="baseline"/>
                <w:lang w:val="en-US" w:eastAsia="zh-CN"/>
              </w:rPr>
              <w:t>★</w:t>
            </w:r>
            <w:r>
              <w:rPr>
                <w:rFonts w:hint="eastAsia" w:ascii="Times New Roman" w:hAnsi="Times New Roman" w:eastAsia="微软雅黑" w:cs="Times New Roman"/>
                <w:sz w:val="21"/>
                <w:szCs w:val="21"/>
                <w:vertAlign w:val="baseline"/>
                <w:lang w:val="en-US" w:eastAsia="zh-CN"/>
              </w:rPr>
              <w:t>24</w:t>
            </w:r>
            <w:r>
              <w:rPr>
                <w:rFonts w:hint="eastAsia"/>
                <w:sz w:val="21"/>
                <w:szCs w:val="21"/>
                <w:vertAlign w:val="baseline"/>
                <w:lang w:val="en-US" w:eastAsia="zh-CN"/>
              </w:rPr>
              <w:t>）</w:t>
            </w:r>
          </w:p>
        </w:tc>
        <w:tc>
          <w:tcPr>
            <w:tcW w:w="662" w:type="dxa"/>
            <w:vAlign w:val="center"/>
          </w:tcPr>
          <w:p w14:paraId="3277F90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1</w:t>
            </w:r>
          </w:p>
        </w:tc>
        <w:tc>
          <w:tcPr>
            <w:tcW w:w="3454" w:type="dxa"/>
            <w:vMerge w:val="continue"/>
            <w:vAlign w:val="center"/>
          </w:tcPr>
          <w:p w14:paraId="224256A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vertAlign w:val="baseline"/>
                <w:lang w:val="en-US" w:eastAsia="zh-CN"/>
              </w:rPr>
            </w:pPr>
          </w:p>
        </w:tc>
        <w:tc>
          <w:tcPr>
            <w:tcW w:w="1756" w:type="dxa"/>
            <w:vMerge w:val="continue"/>
            <w:vAlign w:val="center"/>
          </w:tcPr>
          <w:p w14:paraId="7AA8F16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vertAlign w:val="baseline"/>
                <w:lang w:val="en-US" w:eastAsia="zh-CN"/>
              </w:rPr>
            </w:pPr>
          </w:p>
        </w:tc>
      </w:tr>
    </w:tbl>
    <w:p w14:paraId="2EF75979">
      <w:pPr>
        <w:bidi w:val="0"/>
        <w:rPr>
          <w:rFonts w:hint="default"/>
          <w:lang w:val="en-US" w:eastAsia="zh-CN"/>
        </w:rPr>
      </w:pPr>
      <w:r>
        <w:rPr>
          <w:rFonts w:hint="eastAsia"/>
          <w:lang w:val="en-US" w:eastAsia="zh-CN"/>
        </w:rPr>
        <w:t>③地下水检测结果</w:t>
      </w:r>
    </w:p>
    <w:p w14:paraId="17BD2963">
      <w:pPr>
        <w:rPr>
          <w:rFonts w:hint="default"/>
          <w:highlight w:val="none"/>
          <w:lang w:val="en-US" w:eastAsia="zh-CN"/>
        </w:rPr>
      </w:pPr>
      <w:r>
        <w:rPr>
          <w:rFonts w:hint="eastAsia"/>
          <w:highlight w:val="none"/>
          <w:lang w:val="en-US" w:eastAsia="zh-CN"/>
        </w:rPr>
        <w:t>依据现场实地勘察，对2个废渣堆就近居民点布设2个地下水监测点位，地下水</w:t>
      </w:r>
      <w:r>
        <w:rPr>
          <w:rFonts w:hint="eastAsia"/>
          <w:lang w:val="en-US" w:eastAsia="zh-CN"/>
        </w:rPr>
        <w:t>监测布点方案见表3.1-15，监测结果见表3.1-18。</w:t>
      </w:r>
    </w:p>
    <w:p w14:paraId="64A18F8B">
      <w:pPr>
        <w:bidi w:val="0"/>
        <w:ind w:left="0" w:leftChars="0" w:firstLine="0" w:firstLineChars="0"/>
        <w:jc w:val="center"/>
        <w:rPr>
          <w:rFonts w:hint="eastAsia"/>
          <w:b/>
          <w:bCs/>
          <w:sz w:val="21"/>
          <w:szCs w:val="21"/>
          <w:lang w:val="en-US" w:eastAsia="zh-CN"/>
        </w:rPr>
      </w:pPr>
      <w:r>
        <w:rPr>
          <w:rFonts w:hint="eastAsia"/>
          <w:b/>
          <w:bCs/>
          <w:sz w:val="21"/>
          <w:szCs w:val="21"/>
          <w:lang w:val="en-US" w:eastAsia="zh-CN"/>
        </w:rPr>
        <w:t>表3.1-15  地下水监测布点方案</w:t>
      </w:r>
    </w:p>
    <w:tbl>
      <w:tblPr>
        <w:tblStyle w:val="36"/>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2620"/>
        <w:gridCol w:w="738"/>
        <w:gridCol w:w="4116"/>
        <w:gridCol w:w="1756"/>
      </w:tblGrid>
      <w:tr w14:paraId="69AB926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620" w:type="dxa"/>
            <w:vAlign w:val="center"/>
          </w:tcPr>
          <w:p w14:paraId="4C7920A0">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b/>
                <w:bCs/>
                <w:sz w:val="21"/>
                <w:szCs w:val="21"/>
                <w:vertAlign w:val="baseline"/>
                <w:lang w:val="en-US" w:eastAsia="zh-CN"/>
              </w:rPr>
            </w:pPr>
            <w:r>
              <w:rPr>
                <w:rFonts w:hint="eastAsia"/>
                <w:b/>
                <w:bCs/>
                <w:sz w:val="21"/>
                <w:szCs w:val="21"/>
                <w:vertAlign w:val="baseline"/>
                <w:lang w:val="en-US" w:eastAsia="zh-CN"/>
              </w:rPr>
              <w:t>监测点位</w:t>
            </w:r>
          </w:p>
        </w:tc>
        <w:tc>
          <w:tcPr>
            <w:tcW w:w="738" w:type="dxa"/>
            <w:vAlign w:val="center"/>
          </w:tcPr>
          <w:p w14:paraId="6AC93A7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bCs/>
                <w:sz w:val="21"/>
                <w:szCs w:val="21"/>
                <w:vertAlign w:val="baseline"/>
                <w:lang w:val="en-US" w:eastAsia="zh-CN"/>
              </w:rPr>
            </w:pPr>
            <w:r>
              <w:rPr>
                <w:rFonts w:hint="eastAsia"/>
                <w:b/>
                <w:bCs/>
                <w:sz w:val="21"/>
                <w:szCs w:val="21"/>
                <w:vertAlign w:val="baseline"/>
                <w:lang w:val="en-US" w:eastAsia="zh-CN"/>
              </w:rPr>
              <w:t>点位数量</w:t>
            </w:r>
          </w:p>
        </w:tc>
        <w:tc>
          <w:tcPr>
            <w:tcW w:w="4116" w:type="dxa"/>
            <w:vAlign w:val="center"/>
          </w:tcPr>
          <w:p w14:paraId="26D623A0">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b/>
                <w:bCs/>
                <w:sz w:val="21"/>
                <w:szCs w:val="21"/>
                <w:vertAlign w:val="baseline"/>
                <w:lang w:val="en-US" w:eastAsia="zh-CN"/>
              </w:rPr>
            </w:pPr>
            <w:r>
              <w:rPr>
                <w:rFonts w:hint="eastAsia"/>
                <w:b/>
                <w:bCs/>
                <w:sz w:val="21"/>
                <w:szCs w:val="21"/>
                <w:vertAlign w:val="baseline"/>
                <w:lang w:val="en-US" w:eastAsia="zh-CN"/>
              </w:rPr>
              <w:t>监测因子</w:t>
            </w:r>
          </w:p>
        </w:tc>
        <w:tc>
          <w:tcPr>
            <w:tcW w:w="1756" w:type="dxa"/>
            <w:vAlign w:val="center"/>
          </w:tcPr>
          <w:p w14:paraId="5AED70A7">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b/>
                <w:bCs/>
                <w:sz w:val="21"/>
                <w:szCs w:val="21"/>
                <w:vertAlign w:val="baseline"/>
                <w:lang w:val="en-US" w:eastAsia="zh-CN"/>
              </w:rPr>
            </w:pPr>
            <w:r>
              <w:rPr>
                <w:rFonts w:hint="eastAsia"/>
                <w:b/>
                <w:bCs/>
                <w:sz w:val="21"/>
                <w:szCs w:val="21"/>
                <w:vertAlign w:val="baseline"/>
                <w:lang w:val="en-US" w:eastAsia="zh-CN"/>
              </w:rPr>
              <w:t>监测频次</w:t>
            </w:r>
          </w:p>
        </w:tc>
      </w:tr>
      <w:tr w14:paraId="6789D2E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620" w:type="dxa"/>
            <w:vAlign w:val="center"/>
          </w:tcPr>
          <w:p w14:paraId="20537AE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南尧村1#废渣堆（</w:t>
            </w:r>
            <w:r>
              <w:rPr>
                <w:rFonts w:hint="default" w:ascii="Times New Roman" w:hAnsi="Times New Roman" w:eastAsia="微软雅黑" w:cs="Times New Roman"/>
                <w:sz w:val="21"/>
                <w:szCs w:val="21"/>
                <w:vertAlign w:val="baseline"/>
                <w:lang w:val="en-US" w:eastAsia="zh-CN"/>
              </w:rPr>
              <w:t>★</w:t>
            </w:r>
            <w:r>
              <w:rPr>
                <w:rFonts w:hint="eastAsia" w:ascii="Times New Roman" w:hAnsi="Times New Roman" w:eastAsia="微软雅黑" w:cs="Times New Roman"/>
                <w:sz w:val="21"/>
                <w:szCs w:val="21"/>
                <w:vertAlign w:val="baseline"/>
                <w:lang w:val="en-US" w:eastAsia="zh-CN"/>
              </w:rPr>
              <w:t>25</w:t>
            </w:r>
            <w:r>
              <w:rPr>
                <w:rFonts w:hint="eastAsia"/>
                <w:sz w:val="21"/>
                <w:szCs w:val="21"/>
                <w:vertAlign w:val="baseline"/>
                <w:lang w:val="en-US" w:eastAsia="zh-CN"/>
              </w:rPr>
              <w:t>）</w:t>
            </w:r>
          </w:p>
        </w:tc>
        <w:tc>
          <w:tcPr>
            <w:tcW w:w="738" w:type="dxa"/>
            <w:vAlign w:val="center"/>
          </w:tcPr>
          <w:p w14:paraId="0CD134C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1</w:t>
            </w:r>
          </w:p>
        </w:tc>
        <w:tc>
          <w:tcPr>
            <w:tcW w:w="4116" w:type="dxa"/>
            <w:vMerge w:val="restart"/>
            <w:vAlign w:val="center"/>
          </w:tcPr>
          <w:p w14:paraId="5D0D5F8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pH、总铬、镍、铜、锌、砷、镉、铅、汞、六价铬、氰化物</w:t>
            </w:r>
          </w:p>
        </w:tc>
        <w:tc>
          <w:tcPr>
            <w:tcW w:w="1756" w:type="dxa"/>
            <w:vMerge w:val="restart"/>
            <w:vAlign w:val="center"/>
          </w:tcPr>
          <w:p w14:paraId="6184E07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1次/天，2天</w:t>
            </w:r>
          </w:p>
        </w:tc>
      </w:tr>
      <w:tr w14:paraId="0A8BFFF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620" w:type="dxa"/>
            <w:vAlign w:val="center"/>
          </w:tcPr>
          <w:p w14:paraId="04DDC68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南尧村2#废渣堆（</w:t>
            </w:r>
            <w:r>
              <w:rPr>
                <w:rFonts w:hint="default" w:ascii="Times New Roman" w:hAnsi="Times New Roman" w:eastAsia="微软雅黑" w:cs="Times New Roman"/>
                <w:sz w:val="21"/>
                <w:szCs w:val="21"/>
                <w:vertAlign w:val="baseline"/>
                <w:lang w:val="en-US" w:eastAsia="zh-CN"/>
              </w:rPr>
              <w:t>★</w:t>
            </w:r>
            <w:r>
              <w:rPr>
                <w:rFonts w:hint="eastAsia" w:ascii="Times New Roman" w:hAnsi="Times New Roman" w:eastAsia="微软雅黑" w:cs="Times New Roman"/>
                <w:sz w:val="21"/>
                <w:szCs w:val="21"/>
                <w:vertAlign w:val="baseline"/>
                <w:lang w:val="en-US" w:eastAsia="zh-CN"/>
              </w:rPr>
              <w:t>26</w:t>
            </w:r>
            <w:r>
              <w:rPr>
                <w:rFonts w:hint="eastAsia"/>
                <w:sz w:val="21"/>
                <w:szCs w:val="21"/>
                <w:vertAlign w:val="baseline"/>
                <w:lang w:val="en-US" w:eastAsia="zh-CN"/>
              </w:rPr>
              <w:t>）</w:t>
            </w:r>
          </w:p>
        </w:tc>
        <w:tc>
          <w:tcPr>
            <w:tcW w:w="738" w:type="dxa"/>
            <w:vAlign w:val="center"/>
          </w:tcPr>
          <w:p w14:paraId="76E715A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1</w:t>
            </w:r>
          </w:p>
        </w:tc>
        <w:tc>
          <w:tcPr>
            <w:tcW w:w="4116" w:type="dxa"/>
            <w:vMerge w:val="continue"/>
            <w:vAlign w:val="center"/>
          </w:tcPr>
          <w:p w14:paraId="44EC604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vertAlign w:val="baseline"/>
                <w:lang w:val="en-US" w:eastAsia="zh-CN"/>
              </w:rPr>
            </w:pPr>
          </w:p>
        </w:tc>
        <w:tc>
          <w:tcPr>
            <w:tcW w:w="1756" w:type="dxa"/>
            <w:vMerge w:val="continue"/>
            <w:vAlign w:val="center"/>
          </w:tcPr>
          <w:p w14:paraId="44E84EB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vertAlign w:val="baseline"/>
                <w:lang w:val="en-US" w:eastAsia="zh-CN"/>
              </w:rPr>
            </w:pPr>
          </w:p>
        </w:tc>
      </w:tr>
    </w:tbl>
    <w:p w14:paraId="7FD02E33">
      <w:pPr>
        <w:ind w:left="0" w:leftChars="0" w:firstLine="0" w:firstLineChars="0"/>
        <w:rPr>
          <w:rFonts w:hint="eastAsia"/>
          <w:highlight w:val="none"/>
          <w:lang w:val="en-US" w:eastAsia="zh-CN"/>
        </w:rPr>
      </w:pPr>
      <w:r>
        <w:rPr>
          <w:sz w:val="24"/>
        </w:rPr>
        <mc:AlternateContent>
          <mc:Choice Requires="wps">
            <w:drawing>
              <wp:anchor distT="0" distB="0" distL="114300" distR="114300" simplePos="0" relativeHeight="251663360" behindDoc="0" locked="0" layoutInCell="1" allowOverlap="1">
                <wp:simplePos x="0" y="0"/>
                <wp:positionH relativeFrom="column">
                  <wp:posOffset>3247390</wp:posOffset>
                </wp:positionH>
                <wp:positionV relativeFrom="paragraph">
                  <wp:posOffset>560070</wp:posOffset>
                </wp:positionV>
                <wp:extent cx="461645" cy="292100"/>
                <wp:effectExtent l="0" t="0" r="0" b="0"/>
                <wp:wrapNone/>
                <wp:docPr id="51" name="文本框 51"/>
                <wp:cNvGraphicFramePr/>
                <a:graphic xmlns:a="http://schemas.openxmlformats.org/drawingml/2006/main">
                  <a:graphicData uri="http://schemas.microsoft.com/office/word/2010/wordprocessingShape">
                    <wps:wsp>
                      <wps:cNvSpPr txBox="1"/>
                      <wps:spPr>
                        <a:xfrm>
                          <a:off x="0" y="0"/>
                          <a:ext cx="461645" cy="2921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1726325">
                            <w:pPr>
                              <w:spacing w:line="240" w:lineRule="auto"/>
                              <w:ind w:left="0" w:leftChars="0" w:firstLine="0" w:firstLineChars="0"/>
                              <w:rPr>
                                <w:rFonts w:hint="default"/>
                                <w:color w:val="FF0000"/>
                                <w:sz w:val="21"/>
                                <w:szCs w:val="21"/>
                                <w:lang w:val="en-US"/>
                              </w:rPr>
                            </w:pPr>
                            <w:r>
                              <w:rPr>
                                <w:rFonts w:hint="default" w:ascii="Times New Roman" w:hAnsi="Times New Roman" w:eastAsia="微软雅黑" w:cs="Times New Roman"/>
                                <w:color w:val="FF0000"/>
                                <w:sz w:val="21"/>
                                <w:szCs w:val="21"/>
                                <w:vertAlign w:val="baseline"/>
                                <w:lang w:val="en-US" w:eastAsia="zh-CN"/>
                              </w:rPr>
                              <w:t>★</w:t>
                            </w:r>
                            <w:r>
                              <w:rPr>
                                <w:rFonts w:hint="eastAsia"/>
                                <w:color w:val="FF0000"/>
                                <w:sz w:val="21"/>
                                <w:szCs w:val="21"/>
                                <w:vertAlign w:val="baseline"/>
                                <w:lang w:val="en-US" w:eastAsia="zh-CN"/>
                              </w:rPr>
                              <w:t>21</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5.7pt;margin-top:44.1pt;height:23pt;width:36.35pt;z-index:251663360;mso-width-relative:page;mso-height-relative:page;" filled="f" stroked="f" coordsize="21600,21600" o:gfxdata="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DnWAhNsAAAAKAQAADwAAAAAAAAABACAAAAAiAAAA&#10;ZHJzL2Rvd25yZXYueG1sUEsBAhQAFAAAAAgAh07iQCKpU7k9AgAAZwQAAA4AAAAAAAAAAQAgAAAA&#10;KgEAAGRycy9lMm9Eb2MueG1sUEsFBgAAAAAGAAYAWQEAANkFAAAAAA==&#10;">
                <v:fill on="f" focussize="0,0"/>
                <v:stroke on="f" weight="0.5pt"/>
                <v:imagedata o:title=""/>
                <o:lock v:ext="edit" aspectratio="f"/>
                <v:textbox>
                  <w:txbxContent>
                    <w:p w14:paraId="31726325">
                      <w:pPr>
                        <w:spacing w:line="240" w:lineRule="auto"/>
                        <w:ind w:left="0" w:leftChars="0" w:firstLine="0" w:firstLineChars="0"/>
                        <w:rPr>
                          <w:rFonts w:hint="default"/>
                          <w:color w:val="FF0000"/>
                          <w:sz w:val="21"/>
                          <w:szCs w:val="21"/>
                          <w:lang w:val="en-US"/>
                        </w:rPr>
                      </w:pPr>
                      <w:r>
                        <w:rPr>
                          <w:rFonts w:hint="default" w:ascii="Times New Roman" w:hAnsi="Times New Roman" w:eastAsia="微软雅黑" w:cs="Times New Roman"/>
                          <w:color w:val="FF0000"/>
                          <w:sz w:val="21"/>
                          <w:szCs w:val="21"/>
                          <w:vertAlign w:val="baseline"/>
                          <w:lang w:val="en-US" w:eastAsia="zh-CN"/>
                        </w:rPr>
                        <w:t>★</w:t>
                      </w:r>
                      <w:r>
                        <w:rPr>
                          <w:rFonts w:hint="eastAsia"/>
                          <w:color w:val="FF0000"/>
                          <w:sz w:val="21"/>
                          <w:szCs w:val="21"/>
                          <w:vertAlign w:val="baseline"/>
                          <w:lang w:val="en-US" w:eastAsia="zh-CN"/>
                        </w:rPr>
                        <w:t>21</w:t>
                      </w:r>
                    </w:p>
                  </w:txbxContent>
                </v:textbox>
              </v:shape>
            </w:pict>
          </mc:Fallback>
        </mc:AlternateContent>
      </w:r>
      <w:r>
        <w:rPr>
          <w:sz w:val="24"/>
        </w:rPr>
        <mc:AlternateContent>
          <mc:Choice Requires="wps">
            <w:drawing>
              <wp:anchor distT="0" distB="0" distL="114300" distR="114300" simplePos="0" relativeHeight="251662336" behindDoc="0" locked="0" layoutInCell="1" allowOverlap="1">
                <wp:simplePos x="0" y="0"/>
                <wp:positionH relativeFrom="column">
                  <wp:posOffset>3481705</wp:posOffset>
                </wp:positionH>
                <wp:positionV relativeFrom="paragraph">
                  <wp:posOffset>618490</wp:posOffset>
                </wp:positionV>
                <wp:extent cx="461645" cy="292100"/>
                <wp:effectExtent l="0" t="0" r="0" b="0"/>
                <wp:wrapNone/>
                <wp:docPr id="45" name="文本框 45"/>
                <wp:cNvGraphicFramePr/>
                <a:graphic xmlns:a="http://schemas.openxmlformats.org/drawingml/2006/main">
                  <a:graphicData uri="http://schemas.microsoft.com/office/word/2010/wordprocessingShape">
                    <wps:wsp>
                      <wps:cNvSpPr txBox="1"/>
                      <wps:spPr>
                        <a:xfrm>
                          <a:off x="0" y="0"/>
                          <a:ext cx="461645" cy="2921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67F41BD">
                            <w:pPr>
                              <w:spacing w:line="240" w:lineRule="auto"/>
                              <w:ind w:left="0" w:leftChars="0" w:firstLine="0" w:firstLineChars="0"/>
                              <w:rPr>
                                <w:rFonts w:hint="default"/>
                                <w:color w:val="FF0000"/>
                                <w:sz w:val="21"/>
                                <w:szCs w:val="21"/>
                                <w:lang w:val="en-US"/>
                              </w:rPr>
                            </w:pPr>
                            <w:r>
                              <w:rPr>
                                <w:rFonts w:hint="default" w:ascii="Times New Roman" w:hAnsi="Times New Roman" w:eastAsia="微软雅黑" w:cs="Times New Roman"/>
                                <w:color w:val="FF0000"/>
                                <w:sz w:val="21"/>
                                <w:szCs w:val="21"/>
                                <w:vertAlign w:val="baseline"/>
                                <w:lang w:val="en-US" w:eastAsia="zh-CN"/>
                              </w:rPr>
                              <w:t>★</w:t>
                            </w:r>
                            <w:r>
                              <w:rPr>
                                <w:rFonts w:hint="eastAsia"/>
                                <w:color w:val="FF0000"/>
                                <w:sz w:val="21"/>
                                <w:szCs w:val="21"/>
                                <w:vertAlign w:val="baseline"/>
                                <w:lang w:val="en-US" w:eastAsia="zh-CN"/>
                              </w:rPr>
                              <w:t>20</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74.15pt;margin-top:48.7pt;height:23pt;width:36.35pt;z-index:251662336;mso-width-relative:page;mso-height-relative:page;" filled="f" stroked="f" coordsize="21600,21600" o:gfxdata="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DQNUVQ2wAAAAoBAAAPAAAAAAAAAAEAIAAAACIAAABk&#10;cnMvZG93bnJldi54bWxQSwECFAAUAAAACACHTuJAXSPqJzwCAABnBAAADgAAAAAAAAABACAAAAAq&#10;AQAAZHJzL2Uyb0RvYy54bWxQSwUGAAAAAAYABgBZAQAA2AUAAAAA&#10;">
                <v:fill on="f" focussize="0,0"/>
                <v:stroke on="f" weight="0.5pt"/>
                <v:imagedata o:title=""/>
                <o:lock v:ext="edit" aspectratio="f"/>
                <v:textbox>
                  <w:txbxContent>
                    <w:p w14:paraId="367F41BD">
                      <w:pPr>
                        <w:spacing w:line="240" w:lineRule="auto"/>
                        <w:ind w:left="0" w:leftChars="0" w:firstLine="0" w:firstLineChars="0"/>
                        <w:rPr>
                          <w:rFonts w:hint="default"/>
                          <w:color w:val="FF0000"/>
                          <w:sz w:val="21"/>
                          <w:szCs w:val="21"/>
                          <w:lang w:val="en-US"/>
                        </w:rPr>
                      </w:pPr>
                      <w:r>
                        <w:rPr>
                          <w:rFonts w:hint="default" w:ascii="Times New Roman" w:hAnsi="Times New Roman" w:eastAsia="微软雅黑" w:cs="Times New Roman"/>
                          <w:color w:val="FF0000"/>
                          <w:sz w:val="21"/>
                          <w:szCs w:val="21"/>
                          <w:vertAlign w:val="baseline"/>
                          <w:lang w:val="en-US" w:eastAsia="zh-CN"/>
                        </w:rPr>
                        <w:t>★</w:t>
                      </w:r>
                      <w:r>
                        <w:rPr>
                          <w:rFonts w:hint="eastAsia"/>
                          <w:color w:val="FF0000"/>
                          <w:sz w:val="21"/>
                          <w:szCs w:val="21"/>
                          <w:vertAlign w:val="baseline"/>
                          <w:lang w:val="en-US" w:eastAsia="zh-CN"/>
                        </w:rPr>
                        <w:t>20</w:t>
                      </w:r>
                    </w:p>
                  </w:txbxContent>
                </v:textbox>
              </v:shape>
            </w:pict>
          </mc:Fallback>
        </mc:AlternateContent>
      </w:r>
      <w:r>
        <w:rPr>
          <w:sz w:val="24"/>
        </w:rPr>
        <mc:AlternateContent>
          <mc:Choice Requires="wps">
            <w:drawing>
              <wp:anchor distT="0" distB="0" distL="114300" distR="114300" simplePos="0" relativeHeight="251660288" behindDoc="0" locked="0" layoutInCell="1" allowOverlap="1">
                <wp:simplePos x="0" y="0"/>
                <wp:positionH relativeFrom="column">
                  <wp:posOffset>1255395</wp:posOffset>
                </wp:positionH>
                <wp:positionV relativeFrom="paragraph">
                  <wp:posOffset>495935</wp:posOffset>
                </wp:positionV>
                <wp:extent cx="461645" cy="2921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461645" cy="2921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A0E9782">
                            <w:pPr>
                              <w:spacing w:line="240" w:lineRule="auto"/>
                              <w:ind w:left="0" w:leftChars="0" w:firstLine="0" w:firstLineChars="0"/>
                              <w:rPr>
                                <w:color w:val="FF0000"/>
                                <w:sz w:val="21"/>
                                <w:szCs w:val="21"/>
                              </w:rPr>
                            </w:pPr>
                            <w:r>
                              <w:rPr>
                                <w:rFonts w:hint="default" w:ascii="Times New Roman" w:hAnsi="Times New Roman" w:eastAsia="微软雅黑" w:cs="Times New Roman"/>
                                <w:color w:val="FF0000"/>
                                <w:sz w:val="21"/>
                                <w:szCs w:val="21"/>
                                <w:vertAlign w:val="baseline"/>
                                <w:lang w:val="en-US" w:eastAsia="zh-CN"/>
                              </w:rPr>
                              <w:t>★</w:t>
                            </w:r>
                            <w:r>
                              <w:rPr>
                                <w:rFonts w:hint="eastAsia"/>
                                <w:color w:val="FF0000"/>
                                <w:sz w:val="21"/>
                                <w:szCs w:val="21"/>
                                <w:vertAlign w:val="baseline"/>
                                <w:lang w:val="en-US" w:eastAsia="zh-CN"/>
                              </w:rPr>
                              <w:t>19</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8.85pt;margin-top:39.05pt;height:23pt;width:36.35pt;z-index:251660288;mso-width-relative:page;mso-height-relative:page;" filled="f" stroked="f" coordsize="21600,21600" o:gfxdata="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B6vddPaAAAACgEAAA8AAAAAAAAAAQAgAAAAIgAAAGRy&#10;cy9kb3ducmV2LnhtbFBLAQIUABQAAAAIAIdO4kBsFm09PAIAAGUEAAAOAAAAAAAAAAEAIAAAACkB&#10;AABkcnMvZTJvRG9jLnhtbFBLBQYAAAAABgAGAFkBAADXBQAAAAA=&#10;">
                <v:fill on="f" focussize="0,0"/>
                <v:stroke on="f" weight="0.5pt"/>
                <v:imagedata o:title=""/>
                <o:lock v:ext="edit" aspectratio="f"/>
                <v:textbox>
                  <w:txbxContent>
                    <w:p w14:paraId="4A0E9782">
                      <w:pPr>
                        <w:spacing w:line="240" w:lineRule="auto"/>
                        <w:ind w:left="0" w:leftChars="0" w:firstLine="0" w:firstLineChars="0"/>
                        <w:rPr>
                          <w:color w:val="FF0000"/>
                          <w:sz w:val="21"/>
                          <w:szCs w:val="21"/>
                        </w:rPr>
                      </w:pPr>
                      <w:r>
                        <w:rPr>
                          <w:rFonts w:hint="default" w:ascii="Times New Roman" w:hAnsi="Times New Roman" w:eastAsia="微软雅黑" w:cs="Times New Roman"/>
                          <w:color w:val="FF0000"/>
                          <w:sz w:val="21"/>
                          <w:szCs w:val="21"/>
                          <w:vertAlign w:val="baseline"/>
                          <w:lang w:val="en-US" w:eastAsia="zh-CN"/>
                        </w:rPr>
                        <w:t>★</w:t>
                      </w:r>
                      <w:r>
                        <w:rPr>
                          <w:rFonts w:hint="eastAsia"/>
                          <w:color w:val="FF0000"/>
                          <w:sz w:val="21"/>
                          <w:szCs w:val="21"/>
                          <w:vertAlign w:val="baseline"/>
                          <w:lang w:val="en-US" w:eastAsia="zh-CN"/>
                        </w:rPr>
                        <w:t>19</w:t>
                      </w:r>
                    </w:p>
                  </w:txbxContent>
                </v:textbox>
              </v:shape>
            </w:pict>
          </mc:Fallback>
        </mc:AlternateContent>
      </w:r>
      <w:r>
        <w:rPr>
          <w:sz w:val="24"/>
        </w:rPr>
        <mc:AlternateContent>
          <mc:Choice Requires="wps">
            <w:drawing>
              <wp:anchor distT="0" distB="0" distL="114300" distR="114300" simplePos="0" relativeHeight="251659264" behindDoc="0" locked="0" layoutInCell="1" allowOverlap="1">
                <wp:simplePos x="0" y="0"/>
                <wp:positionH relativeFrom="column">
                  <wp:posOffset>1051560</wp:posOffset>
                </wp:positionH>
                <wp:positionV relativeFrom="paragraph">
                  <wp:posOffset>629285</wp:posOffset>
                </wp:positionV>
                <wp:extent cx="461645" cy="292100"/>
                <wp:effectExtent l="0" t="0" r="0" b="0"/>
                <wp:wrapNone/>
                <wp:docPr id="5" name="文本框 5"/>
                <wp:cNvGraphicFramePr/>
                <a:graphic xmlns:a="http://schemas.openxmlformats.org/drawingml/2006/main">
                  <a:graphicData uri="http://schemas.microsoft.com/office/word/2010/wordprocessingShape">
                    <wps:wsp>
                      <wps:cNvSpPr txBox="1"/>
                      <wps:spPr>
                        <a:xfrm>
                          <a:off x="1708150" y="5865495"/>
                          <a:ext cx="461645" cy="2921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EB1B1A7">
                            <w:pPr>
                              <w:spacing w:line="240" w:lineRule="auto"/>
                              <w:ind w:left="0" w:leftChars="0" w:firstLine="0" w:firstLineChars="0"/>
                              <w:rPr>
                                <w:color w:val="FF0000"/>
                                <w:sz w:val="21"/>
                                <w:szCs w:val="21"/>
                              </w:rPr>
                            </w:pPr>
                            <w:r>
                              <w:rPr>
                                <w:rFonts w:hint="default" w:ascii="Times New Roman" w:hAnsi="Times New Roman" w:eastAsia="微软雅黑" w:cs="Times New Roman"/>
                                <w:color w:val="FF0000"/>
                                <w:sz w:val="21"/>
                                <w:szCs w:val="21"/>
                                <w:vertAlign w:val="baseline"/>
                                <w:lang w:val="en-US" w:eastAsia="zh-CN"/>
                              </w:rPr>
                              <w:t>★</w:t>
                            </w:r>
                            <w:r>
                              <w:rPr>
                                <w:rFonts w:hint="eastAsia"/>
                                <w:color w:val="FF0000"/>
                                <w:sz w:val="21"/>
                                <w:szCs w:val="21"/>
                                <w:vertAlign w:val="baseline"/>
                                <w:lang w:val="en-US" w:eastAsia="zh-CN"/>
                              </w:rPr>
                              <w:t>18</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2.8pt;margin-top:49.55pt;height:23pt;width:36.35pt;z-index:251659264;mso-width-relative:page;mso-height-relative:page;" filled="f" stroked="f" coordsize="21600,21600" o:gfxdata="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ArwFyX2gAAAAoBAAAPAAAAAAAAAAEA&#10;IAAAACIAAABkcnMvZG93bnJldi54bWxQSwECFAAUAAAACACHTuJAEG5tlkYCAABxBAAADgAAAAAA&#10;AAABACAAAAApAQAAZHJzL2Uyb0RvYy54bWxQSwUGAAAAAAYABgBZAQAA4QUAAAAA&#10;">
                <v:fill on="f" focussize="0,0"/>
                <v:stroke on="f" weight="0.5pt"/>
                <v:imagedata o:title=""/>
                <o:lock v:ext="edit" aspectratio="f"/>
                <v:textbox>
                  <w:txbxContent>
                    <w:p w14:paraId="1EB1B1A7">
                      <w:pPr>
                        <w:spacing w:line="240" w:lineRule="auto"/>
                        <w:ind w:left="0" w:leftChars="0" w:firstLine="0" w:firstLineChars="0"/>
                        <w:rPr>
                          <w:color w:val="FF0000"/>
                          <w:sz w:val="21"/>
                          <w:szCs w:val="21"/>
                        </w:rPr>
                      </w:pPr>
                      <w:r>
                        <w:rPr>
                          <w:rFonts w:hint="default" w:ascii="Times New Roman" w:hAnsi="Times New Roman" w:eastAsia="微软雅黑" w:cs="Times New Roman"/>
                          <w:color w:val="FF0000"/>
                          <w:sz w:val="21"/>
                          <w:szCs w:val="21"/>
                          <w:vertAlign w:val="baseline"/>
                          <w:lang w:val="en-US" w:eastAsia="zh-CN"/>
                        </w:rPr>
                        <w:t>★</w:t>
                      </w:r>
                      <w:r>
                        <w:rPr>
                          <w:rFonts w:hint="eastAsia"/>
                          <w:color w:val="FF0000"/>
                          <w:sz w:val="21"/>
                          <w:szCs w:val="21"/>
                          <w:vertAlign w:val="baseline"/>
                          <w:lang w:val="en-US" w:eastAsia="zh-CN"/>
                        </w:rPr>
                        <w:t>18</w:t>
                      </w:r>
                    </w:p>
                  </w:txbxContent>
                </v:textbox>
              </v:shape>
            </w:pict>
          </mc:Fallback>
        </mc:AlternateContent>
      </w:r>
      <w:r>
        <w:drawing>
          <wp:inline distT="0" distB="0" distL="114300" distR="114300">
            <wp:extent cx="5721985" cy="3066415"/>
            <wp:effectExtent l="0" t="0" r="12065" b="635"/>
            <wp:docPr id="48"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29"/>
                    <pic:cNvPicPr>
                      <a:picLocks noChangeAspect="1"/>
                    </pic:cNvPicPr>
                  </pic:nvPicPr>
                  <pic:blipFill>
                    <a:blip r:embed="rId28"/>
                    <a:stretch>
                      <a:fillRect/>
                    </a:stretch>
                  </pic:blipFill>
                  <pic:spPr>
                    <a:xfrm>
                      <a:off x="0" y="0"/>
                      <a:ext cx="5721985" cy="3066415"/>
                    </a:xfrm>
                    <a:prstGeom prst="rect">
                      <a:avLst/>
                    </a:prstGeom>
                    <a:noFill/>
                    <a:ln>
                      <a:noFill/>
                    </a:ln>
                  </pic:spPr>
                </pic:pic>
              </a:graphicData>
            </a:graphic>
          </wp:inline>
        </w:drawing>
      </w:r>
    </w:p>
    <w:p w14:paraId="6C1E4FAB">
      <w:pPr>
        <w:ind w:left="0" w:leftChars="0" w:firstLine="0" w:firstLineChars="0"/>
        <w:jc w:val="center"/>
        <w:rPr>
          <w:rFonts w:hint="eastAsia"/>
          <w:b/>
          <w:bCs/>
          <w:sz w:val="21"/>
          <w:szCs w:val="21"/>
          <w:highlight w:val="none"/>
          <w:lang w:val="en-US" w:eastAsia="zh-CN"/>
        </w:rPr>
      </w:pPr>
      <w:r>
        <w:rPr>
          <w:rFonts w:hint="eastAsia"/>
          <w:b/>
          <w:bCs/>
          <w:sz w:val="21"/>
          <w:szCs w:val="21"/>
          <w:highlight w:val="none"/>
          <w:lang w:val="en-US" w:eastAsia="zh-CN"/>
        </w:rPr>
        <w:t>图3.1-9  区域环境质量现状监测布点图</w:t>
      </w:r>
    </w:p>
    <w:p w14:paraId="7526DF37">
      <w:pPr>
        <w:ind w:left="0" w:leftChars="0" w:firstLine="0" w:firstLineChars="0"/>
        <w:jc w:val="center"/>
        <w:rPr>
          <w:rFonts w:hint="eastAsia"/>
          <w:b/>
          <w:bCs/>
          <w:sz w:val="21"/>
          <w:szCs w:val="21"/>
          <w:highlight w:val="none"/>
          <w:lang w:val="en-US" w:eastAsia="zh-CN"/>
        </w:rPr>
        <w:sectPr>
          <w:pgSz w:w="11850" w:h="16783"/>
          <w:pgMar w:top="1417" w:right="1417" w:bottom="1417" w:left="1417" w:header="851" w:footer="992" w:gutter="0"/>
          <w:pgNumType w:fmt="decimal"/>
          <w:cols w:space="425" w:num="1"/>
          <w:docGrid w:type="lines" w:linePitch="312" w:charSpace="0"/>
        </w:sectPr>
      </w:pPr>
    </w:p>
    <w:p w14:paraId="6F883094">
      <w:pPr>
        <w:ind w:left="0" w:leftChars="0" w:firstLine="0" w:firstLineChars="0"/>
        <w:jc w:val="center"/>
        <w:rPr>
          <w:rFonts w:hint="eastAsia"/>
          <w:b/>
          <w:bCs/>
          <w:sz w:val="21"/>
          <w:szCs w:val="21"/>
          <w:highlight w:val="none"/>
          <w:lang w:val="en-US" w:eastAsia="zh-CN"/>
        </w:rPr>
      </w:pPr>
      <w:r>
        <w:rPr>
          <w:rFonts w:hint="eastAsia"/>
          <w:b/>
          <w:bCs/>
          <w:sz w:val="21"/>
          <w:szCs w:val="21"/>
          <w:highlight w:val="none"/>
          <w:lang w:val="en-US" w:eastAsia="zh-CN"/>
        </w:rPr>
        <w:t>表3.1-16  土壤检测结果一览表    单位：mg/kg，pH无量纲</w:t>
      </w:r>
    </w:p>
    <w:tbl>
      <w:tblPr>
        <w:tblStyle w:val="36"/>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162"/>
        <w:gridCol w:w="894"/>
        <w:gridCol w:w="1647"/>
        <w:gridCol w:w="1147"/>
        <w:gridCol w:w="1124"/>
        <w:gridCol w:w="699"/>
        <w:gridCol w:w="699"/>
        <w:gridCol w:w="699"/>
        <w:gridCol w:w="699"/>
        <w:gridCol w:w="699"/>
        <w:gridCol w:w="699"/>
        <w:gridCol w:w="699"/>
        <w:gridCol w:w="699"/>
        <w:gridCol w:w="702"/>
        <w:gridCol w:w="897"/>
      </w:tblGrid>
      <w:tr w14:paraId="3C31584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162" w:type="dxa"/>
            <w:vMerge w:val="restart"/>
            <w:vAlign w:val="center"/>
          </w:tcPr>
          <w:p w14:paraId="687F928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bCs/>
                <w:sz w:val="21"/>
                <w:szCs w:val="21"/>
                <w:highlight w:val="none"/>
                <w:vertAlign w:val="baseline"/>
                <w:lang w:val="en-US" w:eastAsia="zh-CN"/>
              </w:rPr>
            </w:pPr>
            <w:r>
              <w:rPr>
                <w:rFonts w:hint="eastAsia"/>
                <w:b/>
                <w:bCs/>
                <w:sz w:val="21"/>
                <w:szCs w:val="21"/>
                <w:highlight w:val="none"/>
                <w:vertAlign w:val="baseline"/>
                <w:lang w:val="en-US" w:eastAsia="zh-CN"/>
              </w:rPr>
              <w:t>采样点位</w:t>
            </w:r>
          </w:p>
        </w:tc>
        <w:tc>
          <w:tcPr>
            <w:tcW w:w="894" w:type="dxa"/>
            <w:vMerge w:val="restart"/>
            <w:shd w:val="clear" w:color="auto" w:fill="auto"/>
            <w:vAlign w:val="center"/>
          </w:tcPr>
          <w:p w14:paraId="0B2CBD6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b/>
                <w:bCs/>
                <w:sz w:val="21"/>
                <w:szCs w:val="21"/>
                <w:highlight w:val="none"/>
                <w:vertAlign w:val="baseline"/>
                <w:lang w:val="en-US" w:eastAsia="zh-CN"/>
              </w:rPr>
            </w:pPr>
            <w:r>
              <w:rPr>
                <w:rFonts w:hint="eastAsia"/>
                <w:b/>
                <w:bCs/>
                <w:sz w:val="21"/>
                <w:szCs w:val="21"/>
                <w:highlight w:val="none"/>
                <w:vertAlign w:val="baseline"/>
                <w:lang w:val="en-US" w:eastAsia="zh-CN"/>
              </w:rPr>
              <w:t>采样</w:t>
            </w:r>
          </w:p>
          <w:p w14:paraId="1EF3548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bCs/>
                <w:sz w:val="21"/>
                <w:szCs w:val="21"/>
                <w:highlight w:val="none"/>
                <w:vertAlign w:val="baseline"/>
                <w:lang w:val="en-US" w:eastAsia="zh-CN"/>
              </w:rPr>
            </w:pPr>
            <w:r>
              <w:rPr>
                <w:rFonts w:hint="eastAsia"/>
                <w:b/>
                <w:bCs/>
                <w:sz w:val="21"/>
                <w:szCs w:val="21"/>
                <w:highlight w:val="none"/>
                <w:vertAlign w:val="baseline"/>
                <w:lang w:val="en-US" w:eastAsia="zh-CN"/>
              </w:rPr>
              <w:t>日期</w:t>
            </w:r>
          </w:p>
        </w:tc>
        <w:tc>
          <w:tcPr>
            <w:tcW w:w="1647" w:type="dxa"/>
            <w:vMerge w:val="restart"/>
            <w:shd w:val="clear" w:color="auto" w:fill="auto"/>
            <w:vAlign w:val="center"/>
          </w:tcPr>
          <w:p w14:paraId="17FC5F5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bCs/>
                <w:sz w:val="21"/>
                <w:szCs w:val="21"/>
                <w:highlight w:val="none"/>
                <w:vertAlign w:val="baseline"/>
                <w:lang w:val="en-US" w:eastAsia="zh-CN"/>
              </w:rPr>
            </w:pPr>
            <w:r>
              <w:rPr>
                <w:rFonts w:hint="eastAsia"/>
                <w:b/>
                <w:bCs/>
                <w:sz w:val="21"/>
                <w:szCs w:val="21"/>
                <w:highlight w:val="none"/>
                <w:vertAlign w:val="baseline"/>
                <w:lang w:val="en-US" w:eastAsia="zh-CN"/>
              </w:rPr>
              <w:t>经纬度坐标</w:t>
            </w:r>
          </w:p>
        </w:tc>
        <w:tc>
          <w:tcPr>
            <w:tcW w:w="1147" w:type="dxa"/>
            <w:vMerge w:val="restart"/>
            <w:vAlign w:val="center"/>
          </w:tcPr>
          <w:p w14:paraId="188483C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b/>
                <w:bCs/>
                <w:sz w:val="21"/>
                <w:szCs w:val="21"/>
                <w:highlight w:val="none"/>
                <w:vertAlign w:val="baseline"/>
                <w:lang w:val="en-US" w:eastAsia="zh-CN"/>
              </w:rPr>
            </w:pPr>
            <w:r>
              <w:rPr>
                <w:rFonts w:hint="eastAsia"/>
                <w:b/>
                <w:bCs/>
                <w:sz w:val="21"/>
                <w:szCs w:val="21"/>
                <w:highlight w:val="none"/>
                <w:vertAlign w:val="baseline"/>
                <w:lang w:val="en-US" w:eastAsia="zh-CN"/>
              </w:rPr>
              <w:t>采样深度</w:t>
            </w:r>
          </w:p>
          <w:p w14:paraId="7BAA90C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bCs/>
                <w:sz w:val="21"/>
                <w:szCs w:val="21"/>
                <w:highlight w:val="none"/>
                <w:vertAlign w:val="baseline"/>
                <w:lang w:val="en-US" w:eastAsia="zh-CN"/>
              </w:rPr>
            </w:pPr>
            <w:r>
              <w:rPr>
                <w:rFonts w:hint="eastAsia"/>
                <w:b/>
                <w:bCs/>
                <w:sz w:val="21"/>
                <w:szCs w:val="21"/>
                <w:highlight w:val="none"/>
                <w:vertAlign w:val="baseline"/>
                <w:lang w:val="en-US" w:eastAsia="zh-CN"/>
              </w:rPr>
              <w:t>（m）</w:t>
            </w:r>
          </w:p>
        </w:tc>
        <w:tc>
          <w:tcPr>
            <w:tcW w:w="1124" w:type="dxa"/>
            <w:vMerge w:val="restart"/>
            <w:vAlign w:val="center"/>
          </w:tcPr>
          <w:p w14:paraId="56D456C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b/>
                <w:bCs/>
                <w:sz w:val="21"/>
                <w:szCs w:val="21"/>
                <w:highlight w:val="none"/>
                <w:vertAlign w:val="baseline"/>
                <w:lang w:val="en-US" w:eastAsia="zh-CN"/>
              </w:rPr>
            </w:pPr>
            <w:r>
              <w:rPr>
                <w:rFonts w:hint="eastAsia"/>
                <w:b/>
                <w:bCs/>
                <w:sz w:val="21"/>
                <w:szCs w:val="21"/>
                <w:highlight w:val="none"/>
                <w:vertAlign w:val="baseline"/>
                <w:lang w:val="en-US" w:eastAsia="zh-CN"/>
              </w:rPr>
              <w:t>样品状态</w:t>
            </w:r>
          </w:p>
        </w:tc>
        <w:tc>
          <w:tcPr>
            <w:tcW w:w="7191" w:type="dxa"/>
            <w:gridSpan w:val="10"/>
            <w:vAlign w:val="center"/>
          </w:tcPr>
          <w:p w14:paraId="50A3208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bCs/>
                <w:sz w:val="21"/>
                <w:szCs w:val="21"/>
                <w:highlight w:val="none"/>
                <w:vertAlign w:val="baseline"/>
                <w:lang w:val="en-US" w:eastAsia="zh-CN"/>
              </w:rPr>
            </w:pPr>
            <w:r>
              <w:rPr>
                <w:rFonts w:hint="eastAsia"/>
                <w:b/>
                <w:bCs/>
                <w:sz w:val="21"/>
                <w:szCs w:val="21"/>
                <w:highlight w:val="none"/>
                <w:vertAlign w:val="baseline"/>
                <w:lang w:val="en-US" w:eastAsia="zh-CN"/>
              </w:rPr>
              <w:t>检测项目及检测结果</w:t>
            </w:r>
          </w:p>
        </w:tc>
      </w:tr>
      <w:tr w14:paraId="3938E83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162" w:type="dxa"/>
            <w:vMerge w:val="continue"/>
            <w:vAlign w:val="center"/>
          </w:tcPr>
          <w:p w14:paraId="76C58AC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bCs/>
                <w:sz w:val="21"/>
                <w:szCs w:val="21"/>
                <w:highlight w:val="none"/>
                <w:vertAlign w:val="baseline"/>
                <w:lang w:val="en-US" w:eastAsia="zh-CN"/>
              </w:rPr>
            </w:pPr>
          </w:p>
        </w:tc>
        <w:tc>
          <w:tcPr>
            <w:tcW w:w="894" w:type="dxa"/>
            <w:vMerge w:val="continue"/>
            <w:vAlign w:val="center"/>
          </w:tcPr>
          <w:p w14:paraId="3F001A4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bCs/>
                <w:sz w:val="21"/>
                <w:szCs w:val="21"/>
                <w:highlight w:val="none"/>
                <w:vertAlign w:val="baseline"/>
                <w:lang w:val="en-US" w:eastAsia="zh-CN"/>
              </w:rPr>
            </w:pPr>
          </w:p>
        </w:tc>
        <w:tc>
          <w:tcPr>
            <w:tcW w:w="1647" w:type="dxa"/>
            <w:vMerge w:val="continue"/>
            <w:shd w:val="clear" w:color="auto" w:fill="auto"/>
            <w:vAlign w:val="center"/>
          </w:tcPr>
          <w:p w14:paraId="4F5FFED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vertAlign w:val="baseline"/>
                <w:lang w:val="en-US" w:eastAsia="zh-CN" w:bidi="ar-SA"/>
              </w:rPr>
            </w:pPr>
          </w:p>
        </w:tc>
        <w:tc>
          <w:tcPr>
            <w:tcW w:w="1147" w:type="dxa"/>
            <w:vMerge w:val="continue"/>
            <w:vAlign w:val="center"/>
          </w:tcPr>
          <w:p w14:paraId="37C4E65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bCs/>
                <w:sz w:val="21"/>
                <w:szCs w:val="21"/>
                <w:highlight w:val="none"/>
                <w:vertAlign w:val="baseline"/>
                <w:lang w:val="en-US" w:eastAsia="zh-CN"/>
              </w:rPr>
            </w:pPr>
          </w:p>
        </w:tc>
        <w:tc>
          <w:tcPr>
            <w:tcW w:w="1124" w:type="dxa"/>
            <w:vMerge w:val="continue"/>
            <w:vAlign w:val="center"/>
          </w:tcPr>
          <w:p w14:paraId="4907D28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bCs/>
                <w:sz w:val="21"/>
                <w:szCs w:val="21"/>
                <w:highlight w:val="none"/>
                <w:vertAlign w:val="baseline"/>
                <w:lang w:val="en-US" w:eastAsia="zh-CN"/>
              </w:rPr>
            </w:pPr>
          </w:p>
        </w:tc>
        <w:tc>
          <w:tcPr>
            <w:tcW w:w="699" w:type="dxa"/>
            <w:shd w:val="clear" w:color="auto" w:fill="auto"/>
            <w:vAlign w:val="center"/>
          </w:tcPr>
          <w:p w14:paraId="20C0CCC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kern w:val="2"/>
                <w:sz w:val="21"/>
                <w:szCs w:val="21"/>
                <w:highlight w:val="none"/>
                <w:vertAlign w:val="baseline"/>
                <w:lang w:val="en-US" w:eastAsia="zh-CN" w:bidi="ar-SA"/>
              </w:rPr>
            </w:pPr>
            <w:r>
              <w:rPr>
                <w:rFonts w:hint="eastAsia"/>
                <w:b/>
                <w:bCs/>
                <w:sz w:val="21"/>
                <w:szCs w:val="21"/>
                <w:highlight w:val="none"/>
                <w:vertAlign w:val="baseline"/>
                <w:lang w:val="en-US" w:eastAsia="zh-CN"/>
              </w:rPr>
              <w:t>pH</w:t>
            </w:r>
          </w:p>
        </w:tc>
        <w:tc>
          <w:tcPr>
            <w:tcW w:w="699" w:type="dxa"/>
            <w:shd w:val="clear" w:color="auto" w:fill="auto"/>
            <w:vAlign w:val="center"/>
          </w:tcPr>
          <w:p w14:paraId="248CB58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kern w:val="2"/>
                <w:sz w:val="21"/>
                <w:szCs w:val="21"/>
                <w:highlight w:val="none"/>
                <w:vertAlign w:val="baseline"/>
                <w:lang w:val="en-US" w:eastAsia="zh-CN" w:bidi="ar-SA"/>
              </w:rPr>
            </w:pPr>
            <w:r>
              <w:rPr>
                <w:rFonts w:hint="eastAsia"/>
                <w:b/>
                <w:bCs/>
                <w:sz w:val="21"/>
                <w:szCs w:val="21"/>
                <w:highlight w:val="none"/>
                <w:vertAlign w:val="baseline"/>
                <w:lang w:val="en-US" w:eastAsia="zh-CN"/>
              </w:rPr>
              <w:t>总铬</w:t>
            </w:r>
          </w:p>
        </w:tc>
        <w:tc>
          <w:tcPr>
            <w:tcW w:w="699" w:type="dxa"/>
            <w:shd w:val="clear" w:color="auto" w:fill="auto"/>
            <w:vAlign w:val="center"/>
          </w:tcPr>
          <w:p w14:paraId="0E27783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kern w:val="2"/>
                <w:sz w:val="21"/>
                <w:szCs w:val="21"/>
                <w:highlight w:val="none"/>
                <w:vertAlign w:val="baseline"/>
                <w:lang w:val="en-US" w:eastAsia="zh-CN" w:bidi="ar-SA"/>
              </w:rPr>
            </w:pPr>
            <w:r>
              <w:rPr>
                <w:rFonts w:hint="eastAsia"/>
                <w:b/>
                <w:bCs/>
                <w:sz w:val="21"/>
                <w:szCs w:val="21"/>
                <w:highlight w:val="none"/>
                <w:vertAlign w:val="baseline"/>
                <w:lang w:val="en-US" w:eastAsia="zh-CN"/>
              </w:rPr>
              <w:t>总镍</w:t>
            </w:r>
          </w:p>
        </w:tc>
        <w:tc>
          <w:tcPr>
            <w:tcW w:w="699" w:type="dxa"/>
            <w:shd w:val="clear" w:color="auto" w:fill="auto"/>
            <w:vAlign w:val="center"/>
          </w:tcPr>
          <w:p w14:paraId="48C32D8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kern w:val="2"/>
                <w:sz w:val="21"/>
                <w:szCs w:val="21"/>
                <w:highlight w:val="none"/>
                <w:vertAlign w:val="baseline"/>
                <w:lang w:val="en-US" w:eastAsia="zh-CN" w:bidi="ar-SA"/>
              </w:rPr>
            </w:pPr>
            <w:r>
              <w:rPr>
                <w:rFonts w:hint="eastAsia"/>
                <w:b/>
                <w:bCs/>
                <w:sz w:val="21"/>
                <w:szCs w:val="21"/>
                <w:highlight w:val="none"/>
                <w:vertAlign w:val="baseline"/>
                <w:lang w:val="en-US" w:eastAsia="zh-CN"/>
              </w:rPr>
              <w:t>总铜</w:t>
            </w:r>
          </w:p>
        </w:tc>
        <w:tc>
          <w:tcPr>
            <w:tcW w:w="699" w:type="dxa"/>
            <w:shd w:val="clear" w:color="auto" w:fill="auto"/>
            <w:vAlign w:val="center"/>
          </w:tcPr>
          <w:p w14:paraId="73CB094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kern w:val="2"/>
                <w:sz w:val="21"/>
                <w:szCs w:val="21"/>
                <w:highlight w:val="none"/>
                <w:vertAlign w:val="baseline"/>
                <w:lang w:val="en-US" w:eastAsia="zh-CN" w:bidi="ar-SA"/>
              </w:rPr>
            </w:pPr>
            <w:r>
              <w:rPr>
                <w:rFonts w:hint="eastAsia"/>
                <w:b/>
                <w:bCs/>
                <w:sz w:val="21"/>
                <w:szCs w:val="21"/>
                <w:highlight w:val="none"/>
                <w:vertAlign w:val="baseline"/>
                <w:lang w:val="en-US" w:eastAsia="zh-CN"/>
              </w:rPr>
              <w:t>总锌</w:t>
            </w:r>
          </w:p>
        </w:tc>
        <w:tc>
          <w:tcPr>
            <w:tcW w:w="699" w:type="dxa"/>
            <w:shd w:val="clear" w:color="auto" w:fill="auto"/>
            <w:vAlign w:val="center"/>
          </w:tcPr>
          <w:p w14:paraId="3A68A0F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kern w:val="2"/>
                <w:sz w:val="21"/>
                <w:szCs w:val="21"/>
                <w:highlight w:val="none"/>
                <w:vertAlign w:val="baseline"/>
                <w:lang w:val="en-US" w:eastAsia="zh-CN" w:bidi="ar-SA"/>
              </w:rPr>
            </w:pPr>
            <w:r>
              <w:rPr>
                <w:rFonts w:hint="eastAsia"/>
                <w:b/>
                <w:bCs/>
                <w:sz w:val="21"/>
                <w:szCs w:val="21"/>
                <w:highlight w:val="none"/>
                <w:vertAlign w:val="baseline"/>
                <w:lang w:val="en-US" w:eastAsia="zh-CN"/>
              </w:rPr>
              <w:t>总砷</w:t>
            </w:r>
          </w:p>
        </w:tc>
        <w:tc>
          <w:tcPr>
            <w:tcW w:w="699" w:type="dxa"/>
            <w:shd w:val="clear" w:color="auto" w:fill="auto"/>
            <w:vAlign w:val="center"/>
          </w:tcPr>
          <w:p w14:paraId="711D43C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kern w:val="2"/>
                <w:sz w:val="21"/>
                <w:szCs w:val="21"/>
                <w:highlight w:val="none"/>
                <w:vertAlign w:val="baseline"/>
                <w:lang w:val="en-US" w:eastAsia="zh-CN" w:bidi="ar-SA"/>
              </w:rPr>
            </w:pPr>
            <w:r>
              <w:rPr>
                <w:rFonts w:hint="eastAsia"/>
                <w:b/>
                <w:bCs/>
                <w:sz w:val="21"/>
                <w:szCs w:val="21"/>
                <w:highlight w:val="none"/>
                <w:vertAlign w:val="baseline"/>
                <w:lang w:val="en-US" w:eastAsia="zh-CN"/>
              </w:rPr>
              <w:t>总镉</w:t>
            </w:r>
          </w:p>
        </w:tc>
        <w:tc>
          <w:tcPr>
            <w:tcW w:w="699" w:type="dxa"/>
            <w:shd w:val="clear" w:color="auto" w:fill="auto"/>
            <w:vAlign w:val="center"/>
          </w:tcPr>
          <w:p w14:paraId="50EEC1E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kern w:val="2"/>
                <w:sz w:val="21"/>
                <w:szCs w:val="21"/>
                <w:highlight w:val="none"/>
                <w:vertAlign w:val="baseline"/>
                <w:lang w:val="en-US" w:eastAsia="zh-CN" w:bidi="ar-SA"/>
              </w:rPr>
            </w:pPr>
            <w:r>
              <w:rPr>
                <w:rFonts w:hint="eastAsia"/>
                <w:b/>
                <w:bCs/>
                <w:sz w:val="21"/>
                <w:szCs w:val="21"/>
                <w:highlight w:val="none"/>
                <w:vertAlign w:val="baseline"/>
                <w:lang w:val="en-US" w:eastAsia="zh-CN"/>
              </w:rPr>
              <w:t>总铅</w:t>
            </w:r>
          </w:p>
        </w:tc>
        <w:tc>
          <w:tcPr>
            <w:tcW w:w="702" w:type="dxa"/>
            <w:shd w:val="clear" w:color="auto" w:fill="auto"/>
            <w:vAlign w:val="center"/>
          </w:tcPr>
          <w:p w14:paraId="39A0926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kern w:val="2"/>
                <w:sz w:val="21"/>
                <w:szCs w:val="21"/>
                <w:highlight w:val="none"/>
                <w:vertAlign w:val="baseline"/>
                <w:lang w:val="en-US" w:eastAsia="zh-CN" w:bidi="ar-SA"/>
              </w:rPr>
            </w:pPr>
            <w:r>
              <w:rPr>
                <w:rFonts w:hint="eastAsia"/>
                <w:b/>
                <w:bCs/>
                <w:sz w:val="21"/>
                <w:szCs w:val="21"/>
                <w:highlight w:val="none"/>
                <w:vertAlign w:val="baseline"/>
                <w:lang w:val="en-US" w:eastAsia="zh-CN"/>
              </w:rPr>
              <w:t>总汞</w:t>
            </w:r>
          </w:p>
        </w:tc>
        <w:tc>
          <w:tcPr>
            <w:tcW w:w="897" w:type="dxa"/>
            <w:shd w:val="clear" w:color="auto" w:fill="auto"/>
            <w:vAlign w:val="center"/>
          </w:tcPr>
          <w:p w14:paraId="6F71ADB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kern w:val="2"/>
                <w:sz w:val="21"/>
                <w:szCs w:val="21"/>
                <w:highlight w:val="none"/>
                <w:vertAlign w:val="baseline"/>
                <w:lang w:val="en-US" w:eastAsia="zh-CN" w:bidi="ar-SA"/>
              </w:rPr>
            </w:pPr>
            <w:r>
              <w:rPr>
                <w:rFonts w:hint="eastAsia"/>
                <w:b/>
                <w:bCs/>
                <w:sz w:val="21"/>
                <w:szCs w:val="21"/>
                <w:highlight w:val="none"/>
                <w:vertAlign w:val="baseline"/>
                <w:lang w:val="en-US" w:eastAsia="zh-CN"/>
              </w:rPr>
              <w:t>氰化物</w:t>
            </w:r>
          </w:p>
        </w:tc>
      </w:tr>
      <w:tr w14:paraId="1BE9E8A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162" w:type="dxa"/>
            <w:vAlign w:val="center"/>
          </w:tcPr>
          <w:p w14:paraId="6C5189D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南尧村1#废渣堆周边农田土壤1#</w:t>
            </w:r>
          </w:p>
        </w:tc>
        <w:tc>
          <w:tcPr>
            <w:tcW w:w="894" w:type="dxa"/>
            <w:vMerge w:val="restart"/>
            <w:shd w:val="clear" w:color="auto" w:fill="auto"/>
            <w:vAlign w:val="center"/>
          </w:tcPr>
          <w:p w14:paraId="72EA912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eastAsia"/>
                <w:sz w:val="21"/>
                <w:szCs w:val="21"/>
                <w:highlight w:val="none"/>
                <w:vertAlign w:val="baseline"/>
                <w:lang w:val="en-US" w:eastAsia="zh-CN"/>
              </w:rPr>
              <w:t>2022.6.27</w:t>
            </w:r>
          </w:p>
        </w:tc>
        <w:tc>
          <w:tcPr>
            <w:tcW w:w="1647" w:type="dxa"/>
            <w:shd w:val="clear" w:color="auto" w:fill="auto"/>
            <w:vAlign w:val="center"/>
          </w:tcPr>
          <w:p w14:paraId="2508DC3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default"/>
                <w:sz w:val="21"/>
                <w:szCs w:val="21"/>
                <w:highlight w:val="none"/>
                <w:vertAlign w:val="baseline"/>
                <w:lang w:val="en-US" w:eastAsia="zh-CN"/>
              </w:rPr>
              <w:t>E</w:t>
            </w:r>
            <w:r>
              <w:rPr>
                <w:rFonts w:hint="eastAsia"/>
                <w:sz w:val="21"/>
                <w:szCs w:val="21"/>
                <w:highlight w:val="none"/>
                <w:vertAlign w:val="baseline"/>
                <w:lang w:val="en-US" w:eastAsia="zh-CN"/>
              </w:rPr>
              <w:t>：</w:t>
            </w:r>
            <w:r>
              <w:rPr>
                <w:rFonts w:hint="default"/>
                <w:sz w:val="21"/>
                <w:szCs w:val="21"/>
                <w:highlight w:val="none"/>
                <w:vertAlign w:val="baseline"/>
                <w:lang w:val="en-US" w:eastAsia="zh-CN"/>
              </w:rPr>
              <w:t>113.547338</w:t>
            </w:r>
            <w:r>
              <w:rPr>
                <w:rFonts w:hint="eastAsia"/>
                <w:sz w:val="21"/>
                <w:szCs w:val="21"/>
                <w:highlight w:val="none"/>
                <w:vertAlign w:val="baseline"/>
                <w:lang w:val="en-US" w:eastAsia="zh-CN"/>
              </w:rPr>
              <w:t>；</w:t>
            </w:r>
            <w:r>
              <w:rPr>
                <w:rFonts w:hint="default"/>
                <w:sz w:val="21"/>
                <w:szCs w:val="21"/>
                <w:highlight w:val="none"/>
                <w:vertAlign w:val="baseline"/>
                <w:lang w:val="en-US" w:eastAsia="zh-CN"/>
              </w:rPr>
              <w:t>N</w:t>
            </w:r>
            <w:r>
              <w:rPr>
                <w:rFonts w:hint="eastAsia"/>
                <w:sz w:val="21"/>
                <w:szCs w:val="21"/>
                <w:highlight w:val="none"/>
                <w:vertAlign w:val="baseline"/>
                <w:lang w:val="en-US" w:eastAsia="zh-CN"/>
              </w:rPr>
              <w:t>：</w:t>
            </w:r>
            <w:r>
              <w:rPr>
                <w:rFonts w:hint="default"/>
                <w:sz w:val="21"/>
                <w:szCs w:val="21"/>
                <w:highlight w:val="none"/>
                <w:vertAlign w:val="baseline"/>
                <w:lang w:val="en-US" w:eastAsia="zh-CN"/>
              </w:rPr>
              <w:t>28.650784</w:t>
            </w:r>
          </w:p>
        </w:tc>
        <w:tc>
          <w:tcPr>
            <w:tcW w:w="1147" w:type="dxa"/>
            <w:vAlign w:val="center"/>
          </w:tcPr>
          <w:p w14:paraId="46B2C2C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0~0.2m</w:t>
            </w:r>
          </w:p>
        </w:tc>
        <w:tc>
          <w:tcPr>
            <w:tcW w:w="1124" w:type="dxa"/>
            <w:vAlign w:val="center"/>
          </w:tcPr>
          <w:p w14:paraId="157AA53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暗棕色、砂壤土</w:t>
            </w:r>
          </w:p>
        </w:tc>
        <w:tc>
          <w:tcPr>
            <w:tcW w:w="699" w:type="dxa"/>
            <w:vAlign w:val="center"/>
          </w:tcPr>
          <w:p w14:paraId="1721612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7.22</w:t>
            </w:r>
          </w:p>
        </w:tc>
        <w:tc>
          <w:tcPr>
            <w:tcW w:w="699" w:type="dxa"/>
            <w:vAlign w:val="center"/>
          </w:tcPr>
          <w:p w14:paraId="6ADB4CE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84</w:t>
            </w:r>
          </w:p>
        </w:tc>
        <w:tc>
          <w:tcPr>
            <w:tcW w:w="699" w:type="dxa"/>
            <w:vAlign w:val="center"/>
          </w:tcPr>
          <w:p w14:paraId="2BB1C8C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30</w:t>
            </w:r>
          </w:p>
        </w:tc>
        <w:tc>
          <w:tcPr>
            <w:tcW w:w="699" w:type="dxa"/>
            <w:vAlign w:val="center"/>
          </w:tcPr>
          <w:p w14:paraId="469945D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41</w:t>
            </w:r>
          </w:p>
        </w:tc>
        <w:tc>
          <w:tcPr>
            <w:tcW w:w="699" w:type="dxa"/>
            <w:vAlign w:val="center"/>
          </w:tcPr>
          <w:p w14:paraId="3CCA300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146</w:t>
            </w:r>
          </w:p>
        </w:tc>
        <w:tc>
          <w:tcPr>
            <w:tcW w:w="699" w:type="dxa"/>
            <w:vAlign w:val="center"/>
          </w:tcPr>
          <w:p w14:paraId="1D607E2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15.3</w:t>
            </w:r>
          </w:p>
        </w:tc>
        <w:tc>
          <w:tcPr>
            <w:tcW w:w="699" w:type="dxa"/>
            <w:vAlign w:val="center"/>
          </w:tcPr>
          <w:p w14:paraId="345EE6D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0.28</w:t>
            </w:r>
          </w:p>
        </w:tc>
        <w:tc>
          <w:tcPr>
            <w:tcW w:w="699" w:type="dxa"/>
            <w:vAlign w:val="center"/>
          </w:tcPr>
          <w:p w14:paraId="5D8B52F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22</w:t>
            </w:r>
          </w:p>
        </w:tc>
        <w:tc>
          <w:tcPr>
            <w:tcW w:w="702" w:type="dxa"/>
            <w:vAlign w:val="center"/>
          </w:tcPr>
          <w:p w14:paraId="63D9461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0.138</w:t>
            </w:r>
          </w:p>
        </w:tc>
        <w:tc>
          <w:tcPr>
            <w:tcW w:w="897" w:type="dxa"/>
            <w:vAlign w:val="center"/>
          </w:tcPr>
          <w:p w14:paraId="6083175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ND</w:t>
            </w:r>
          </w:p>
        </w:tc>
      </w:tr>
      <w:tr w14:paraId="2F43F63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162" w:type="dxa"/>
            <w:vAlign w:val="center"/>
          </w:tcPr>
          <w:p w14:paraId="2FE71FF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南尧村1#废渣堆周边农田土壤2#</w:t>
            </w:r>
          </w:p>
        </w:tc>
        <w:tc>
          <w:tcPr>
            <w:tcW w:w="894" w:type="dxa"/>
            <w:vMerge w:val="continue"/>
            <w:shd w:val="clear" w:color="auto" w:fill="auto"/>
            <w:vAlign w:val="center"/>
          </w:tcPr>
          <w:p w14:paraId="3A608B2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kern w:val="2"/>
                <w:sz w:val="21"/>
                <w:szCs w:val="21"/>
                <w:highlight w:val="none"/>
                <w:vertAlign w:val="baseline"/>
                <w:lang w:val="en-US" w:eastAsia="zh-CN" w:bidi="ar-SA"/>
              </w:rPr>
            </w:pPr>
          </w:p>
        </w:tc>
        <w:tc>
          <w:tcPr>
            <w:tcW w:w="1647" w:type="dxa"/>
            <w:vAlign w:val="center"/>
          </w:tcPr>
          <w:p w14:paraId="0F96794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default"/>
                <w:sz w:val="21"/>
                <w:szCs w:val="21"/>
                <w:highlight w:val="none"/>
                <w:vertAlign w:val="baseline"/>
                <w:lang w:val="en-US" w:eastAsia="zh-CN"/>
              </w:rPr>
              <w:t>E</w:t>
            </w:r>
            <w:r>
              <w:rPr>
                <w:rFonts w:hint="eastAsia"/>
                <w:sz w:val="21"/>
                <w:szCs w:val="21"/>
                <w:highlight w:val="none"/>
                <w:vertAlign w:val="baseline"/>
                <w:lang w:val="en-US" w:eastAsia="zh-CN"/>
              </w:rPr>
              <w:t>：</w:t>
            </w:r>
            <w:r>
              <w:rPr>
                <w:rFonts w:hint="default"/>
                <w:sz w:val="21"/>
                <w:szCs w:val="21"/>
                <w:highlight w:val="none"/>
                <w:vertAlign w:val="baseline"/>
                <w:lang w:val="en-US" w:eastAsia="zh-CN"/>
              </w:rPr>
              <w:t>113.547338</w:t>
            </w:r>
            <w:r>
              <w:rPr>
                <w:rFonts w:hint="eastAsia"/>
                <w:sz w:val="21"/>
                <w:szCs w:val="21"/>
                <w:highlight w:val="none"/>
                <w:vertAlign w:val="baseline"/>
                <w:lang w:val="en-US" w:eastAsia="zh-CN"/>
              </w:rPr>
              <w:t>；</w:t>
            </w:r>
            <w:r>
              <w:rPr>
                <w:rFonts w:hint="default"/>
                <w:sz w:val="21"/>
                <w:szCs w:val="21"/>
                <w:highlight w:val="none"/>
                <w:vertAlign w:val="baseline"/>
                <w:lang w:val="en-US" w:eastAsia="zh-CN"/>
              </w:rPr>
              <w:t>N</w:t>
            </w:r>
            <w:r>
              <w:rPr>
                <w:rFonts w:hint="eastAsia"/>
                <w:sz w:val="21"/>
                <w:szCs w:val="21"/>
                <w:highlight w:val="none"/>
                <w:vertAlign w:val="baseline"/>
                <w:lang w:val="en-US" w:eastAsia="zh-CN"/>
              </w:rPr>
              <w:t>：</w:t>
            </w:r>
            <w:r>
              <w:rPr>
                <w:rFonts w:hint="default"/>
                <w:sz w:val="21"/>
                <w:szCs w:val="21"/>
                <w:highlight w:val="none"/>
                <w:vertAlign w:val="baseline"/>
                <w:lang w:val="en-US" w:eastAsia="zh-CN"/>
              </w:rPr>
              <w:t>28.650784</w:t>
            </w:r>
          </w:p>
        </w:tc>
        <w:tc>
          <w:tcPr>
            <w:tcW w:w="1147" w:type="dxa"/>
            <w:vAlign w:val="center"/>
          </w:tcPr>
          <w:p w14:paraId="3AF5759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0~0.2m</w:t>
            </w:r>
          </w:p>
        </w:tc>
        <w:tc>
          <w:tcPr>
            <w:tcW w:w="1124" w:type="dxa"/>
            <w:vAlign w:val="center"/>
          </w:tcPr>
          <w:p w14:paraId="37C38B5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暗棕色、砂壤土</w:t>
            </w:r>
          </w:p>
        </w:tc>
        <w:tc>
          <w:tcPr>
            <w:tcW w:w="699" w:type="dxa"/>
            <w:vAlign w:val="center"/>
          </w:tcPr>
          <w:p w14:paraId="7DD151C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7.44</w:t>
            </w:r>
          </w:p>
        </w:tc>
        <w:tc>
          <w:tcPr>
            <w:tcW w:w="699" w:type="dxa"/>
            <w:vAlign w:val="center"/>
          </w:tcPr>
          <w:p w14:paraId="17B1877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93</w:t>
            </w:r>
          </w:p>
        </w:tc>
        <w:tc>
          <w:tcPr>
            <w:tcW w:w="699" w:type="dxa"/>
            <w:vAlign w:val="center"/>
          </w:tcPr>
          <w:p w14:paraId="55ECD8B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33</w:t>
            </w:r>
          </w:p>
        </w:tc>
        <w:tc>
          <w:tcPr>
            <w:tcW w:w="699" w:type="dxa"/>
            <w:vAlign w:val="center"/>
          </w:tcPr>
          <w:p w14:paraId="48576C2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40</w:t>
            </w:r>
          </w:p>
        </w:tc>
        <w:tc>
          <w:tcPr>
            <w:tcW w:w="699" w:type="dxa"/>
            <w:vAlign w:val="center"/>
          </w:tcPr>
          <w:p w14:paraId="2A12DAD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173</w:t>
            </w:r>
          </w:p>
        </w:tc>
        <w:tc>
          <w:tcPr>
            <w:tcW w:w="699" w:type="dxa"/>
            <w:vAlign w:val="center"/>
          </w:tcPr>
          <w:p w14:paraId="7435EEE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16.5</w:t>
            </w:r>
          </w:p>
        </w:tc>
        <w:tc>
          <w:tcPr>
            <w:tcW w:w="699" w:type="dxa"/>
            <w:vAlign w:val="center"/>
          </w:tcPr>
          <w:p w14:paraId="0EC4EFB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0.42</w:t>
            </w:r>
          </w:p>
        </w:tc>
        <w:tc>
          <w:tcPr>
            <w:tcW w:w="699" w:type="dxa"/>
            <w:vAlign w:val="center"/>
          </w:tcPr>
          <w:p w14:paraId="017EA6E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21</w:t>
            </w:r>
          </w:p>
        </w:tc>
        <w:tc>
          <w:tcPr>
            <w:tcW w:w="702" w:type="dxa"/>
            <w:vAlign w:val="center"/>
          </w:tcPr>
          <w:p w14:paraId="0C09DDC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0.208</w:t>
            </w:r>
          </w:p>
        </w:tc>
        <w:tc>
          <w:tcPr>
            <w:tcW w:w="897" w:type="dxa"/>
            <w:vAlign w:val="center"/>
          </w:tcPr>
          <w:p w14:paraId="78AC195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ND</w:t>
            </w:r>
          </w:p>
        </w:tc>
      </w:tr>
      <w:tr w14:paraId="257F203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162" w:type="dxa"/>
            <w:shd w:val="clear" w:color="auto" w:fill="auto"/>
            <w:vAlign w:val="center"/>
          </w:tcPr>
          <w:p w14:paraId="591416E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eastAsia"/>
                <w:sz w:val="21"/>
                <w:szCs w:val="21"/>
                <w:highlight w:val="none"/>
                <w:vertAlign w:val="baseline"/>
                <w:lang w:val="en-US" w:eastAsia="zh-CN"/>
              </w:rPr>
              <w:t>南尧村2#废渣堆周边农田土壤1#</w:t>
            </w:r>
          </w:p>
        </w:tc>
        <w:tc>
          <w:tcPr>
            <w:tcW w:w="894" w:type="dxa"/>
            <w:vMerge w:val="restart"/>
            <w:vAlign w:val="center"/>
          </w:tcPr>
          <w:p w14:paraId="486606C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2022.6.29</w:t>
            </w:r>
          </w:p>
        </w:tc>
        <w:tc>
          <w:tcPr>
            <w:tcW w:w="1647" w:type="dxa"/>
            <w:vAlign w:val="center"/>
          </w:tcPr>
          <w:p w14:paraId="382752B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E：113.552690；N：28.650797</w:t>
            </w:r>
          </w:p>
        </w:tc>
        <w:tc>
          <w:tcPr>
            <w:tcW w:w="1147" w:type="dxa"/>
            <w:vAlign w:val="center"/>
          </w:tcPr>
          <w:p w14:paraId="28C2406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0~0.2m</w:t>
            </w:r>
          </w:p>
        </w:tc>
        <w:tc>
          <w:tcPr>
            <w:tcW w:w="1124" w:type="dxa"/>
            <w:vAlign w:val="center"/>
          </w:tcPr>
          <w:p w14:paraId="16C4F42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暗棕色、砂壤土</w:t>
            </w:r>
          </w:p>
        </w:tc>
        <w:tc>
          <w:tcPr>
            <w:tcW w:w="699" w:type="dxa"/>
            <w:vAlign w:val="center"/>
          </w:tcPr>
          <w:p w14:paraId="130C076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7.54</w:t>
            </w:r>
          </w:p>
        </w:tc>
        <w:tc>
          <w:tcPr>
            <w:tcW w:w="699" w:type="dxa"/>
            <w:vAlign w:val="center"/>
          </w:tcPr>
          <w:p w14:paraId="7F0BBFB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78</w:t>
            </w:r>
          </w:p>
        </w:tc>
        <w:tc>
          <w:tcPr>
            <w:tcW w:w="699" w:type="dxa"/>
            <w:vAlign w:val="center"/>
          </w:tcPr>
          <w:p w14:paraId="285A26F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30</w:t>
            </w:r>
          </w:p>
        </w:tc>
        <w:tc>
          <w:tcPr>
            <w:tcW w:w="699" w:type="dxa"/>
            <w:vAlign w:val="center"/>
          </w:tcPr>
          <w:p w14:paraId="2E63917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39</w:t>
            </w:r>
          </w:p>
        </w:tc>
        <w:tc>
          <w:tcPr>
            <w:tcW w:w="699" w:type="dxa"/>
            <w:vAlign w:val="center"/>
          </w:tcPr>
          <w:p w14:paraId="7882A98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229</w:t>
            </w:r>
          </w:p>
        </w:tc>
        <w:tc>
          <w:tcPr>
            <w:tcW w:w="699" w:type="dxa"/>
            <w:vAlign w:val="center"/>
          </w:tcPr>
          <w:p w14:paraId="31AE9E3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12.2</w:t>
            </w:r>
          </w:p>
        </w:tc>
        <w:tc>
          <w:tcPr>
            <w:tcW w:w="699" w:type="dxa"/>
            <w:vAlign w:val="center"/>
          </w:tcPr>
          <w:p w14:paraId="3E64E40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0.53</w:t>
            </w:r>
          </w:p>
        </w:tc>
        <w:tc>
          <w:tcPr>
            <w:tcW w:w="699" w:type="dxa"/>
            <w:vAlign w:val="center"/>
          </w:tcPr>
          <w:p w14:paraId="1C7E6D3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24</w:t>
            </w:r>
          </w:p>
        </w:tc>
        <w:tc>
          <w:tcPr>
            <w:tcW w:w="702" w:type="dxa"/>
            <w:vAlign w:val="center"/>
          </w:tcPr>
          <w:p w14:paraId="045DB34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0.302</w:t>
            </w:r>
          </w:p>
        </w:tc>
        <w:tc>
          <w:tcPr>
            <w:tcW w:w="897" w:type="dxa"/>
            <w:vAlign w:val="center"/>
          </w:tcPr>
          <w:p w14:paraId="1E81943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ND</w:t>
            </w:r>
          </w:p>
        </w:tc>
      </w:tr>
      <w:tr w14:paraId="36DB414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162" w:type="dxa"/>
            <w:shd w:val="clear" w:color="auto" w:fill="auto"/>
            <w:vAlign w:val="center"/>
          </w:tcPr>
          <w:p w14:paraId="41B1B00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eastAsia"/>
                <w:sz w:val="21"/>
                <w:szCs w:val="21"/>
                <w:highlight w:val="none"/>
                <w:vertAlign w:val="baseline"/>
                <w:lang w:val="en-US" w:eastAsia="zh-CN"/>
              </w:rPr>
              <w:t>南尧村2#废渣堆周边农田土壤2#</w:t>
            </w:r>
          </w:p>
        </w:tc>
        <w:tc>
          <w:tcPr>
            <w:tcW w:w="894" w:type="dxa"/>
            <w:vMerge w:val="continue"/>
            <w:shd w:val="clear" w:color="auto" w:fill="auto"/>
            <w:vAlign w:val="center"/>
          </w:tcPr>
          <w:p w14:paraId="5E9F8D1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vertAlign w:val="baseline"/>
                <w:lang w:val="en-US" w:eastAsia="zh-CN" w:bidi="ar-SA"/>
              </w:rPr>
            </w:pPr>
          </w:p>
        </w:tc>
        <w:tc>
          <w:tcPr>
            <w:tcW w:w="1647" w:type="dxa"/>
            <w:vAlign w:val="center"/>
          </w:tcPr>
          <w:p w14:paraId="3289638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E：113.552722；N：28.650849</w:t>
            </w:r>
          </w:p>
        </w:tc>
        <w:tc>
          <w:tcPr>
            <w:tcW w:w="1147" w:type="dxa"/>
            <w:vAlign w:val="center"/>
          </w:tcPr>
          <w:p w14:paraId="2A3504F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vertAlign w:val="baseline"/>
                <w:lang w:val="en-US" w:eastAsia="zh-CN"/>
              </w:rPr>
            </w:pPr>
            <w:r>
              <w:rPr>
                <w:rFonts w:hint="eastAsia"/>
                <w:sz w:val="21"/>
                <w:szCs w:val="21"/>
                <w:highlight w:val="none"/>
                <w:vertAlign w:val="baseline"/>
                <w:lang w:val="en-US" w:eastAsia="zh-CN"/>
              </w:rPr>
              <w:t>0~0.2m</w:t>
            </w:r>
          </w:p>
        </w:tc>
        <w:tc>
          <w:tcPr>
            <w:tcW w:w="1124" w:type="dxa"/>
            <w:vAlign w:val="center"/>
          </w:tcPr>
          <w:p w14:paraId="31D58A7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vertAlign w:val="baseline"/>
                <w:lang w:val="en-US" w:eastAsia="zh-CN"/>
              </w:rPr>
            </w:pPr>
            <w:r>
              <w:rPr>
                <w:rFonts w:hint="eastAsia"/>
                <w:sz w:val="21"/>
                <w:szCs w:val="21"/>
                <w:highlight w:val="none"/>
                <w:vertAlign w:val="baseline"/>
                <w:lang w:val="en-US" w:eastAsia="zh-CN"/>
              </w:rPr>
              <w:t>暗棕色、砂壤土</w:t>
            </w:r>
          </w:p>
        </w:tc>
        <w:tc>
          <w:tcPr>
            <w:tcW w:w="699" w:type="dxa"/>
            <w:vAlign w:val="center"/>
          </w:tcPr>
          <w:p w14:paraId="55F71B2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6.59</w:t>
            </w:r>
          </w:p>
        </w:tc>
        <w:tc>
          <w:tcPr>
            <w:tcW w:w="699" w:type="dxa"/>
            <w:vAlign w:val="center"/>
          </w:tcPr>
          <w:p w14:paraId="2831884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76</w:t>
            </w:r>
          </w:p>
        </w:tc>
        <w:tc>
          <w:tcPr>
            <w:tcW w:w="699" w:type="dxa"/>
            <w:vAlign w:val="center"/>
          </w:tcPr>
          <w:p w14:paraId="47B5235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30</w:t>
            </w:r>
          </w:p>
        </w:tc>
        <w:tc>
          <w:tcPr>
            <w:tcW w:w="699" w:type="dxa"/>
            <w:vAlign w:val="center"/>
          </w:tcPr>
          <w:p w14:paraId="67A0B12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50</w:t>
            </w:r>
          </w:p>
        </w:tc>
        <w:tc>
          <w:tcPr>
            <w:tcW w:w="699" w:type="dxa"/>
            <w:vAlign w:val="center"/>
          </w:tcPr>
          <w:p w14:paraId="2AF70D4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199</w:t>
            </w:r>
          </w:p>
        </w:tc>
        <w:tc>
          <w:tcPr>
            <w:tcW w:w="699" w:type="dxa"/>
            <w:vAlign w:val="center"/>
          </w:tcPr>
          <w:p w14:paraId="6EC330A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10.3</w:t>
            </w:r>
          </w:p>
        </w:tc>
        <w:tc>
          <w:tcPr>
            <w:tcW w:w="699" w:type="dxa"/>
            <w:vAlign w:val="center"/>
          </w:tcPr>
          <w:p w14:paraId="693F5B8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0.46</w:t>
            </w:r>
          </w:p>
        </w:tc>
        <w:tc>
          <w:tcPr>
            <w:tcW w:w="699" w:type="dxa"/>
            <w:vAlign w:val="center"/>
          </w:tcPr>
          <w:p w14:paraId="76CA569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23</w:t>
            </w:r>
          </w:p>
        </w:tc>
        <w:tc>
          <w:tcPr>
            <w:tcW w:w="702" w:type="dxa"/>
            <w:vAlign w:val="center"/>
          </w:tcPr>
          <w:p w14:paraId="0FAF7E2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0.366</w:t>
            </w:r>
          </w:p>
        </w:tc>
        <w:tc>
          <w:tcPr>
            <w:tcW w:w="897" w:type="dxa"/>
            <w:vAlign w:val="center"/>
          </w:tcPr>
          <w:p w14:paraId="6E4AAE5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ND</w:t>
            </w:r>
          </w:p>
        </w:tc>
      </w:tr>
      <w:tr w14:paraId="2B9CEEF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703" w:type="dxa"/>
            <w:gridSpan w:val="3"/>
            <w:vMerge w:val="restart"/>
            <w:vAlign w:val="center"/>
          </w:tcPr>
          <w:p w14:paraId="0303A4C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bCs/>
                <w:sz w:val="21"/>
                <w:szCs w:val="21"/>
                <w:highlight w:val="none"/>
                <w:vertAlign w:val="baseline"/>
                <w:lang w:val="en-US" w:eastAsia="zh-CN"/>
              </w:rPr>
            </w:pPr>
            <w:r>
              <w:rPr>
                <w:rFonts w:hint="eastAsia"/>
                <w:b/>
                <w:bCs/>
                <w:sz w:val="21"/>
                <w:szCs w:val="21"/>
                <w:highlight w:val="none"/>
                <w:vertAlign w:val="baseline"/>
                <w:lang w:val="en-US" w:eastAsia="zh-CN"/>
              </w:rPr>
              <w:t>限值</w:t>
            </w:r>
          </w:p>
        </w:tc>
        <w:tc>
          <w:tcPr>
            <w:tcW w:w="2271" w:type="dxa"/>
            <w:gridSpan w:val="2"/>
            <w:vAlign w:val="center"/>
          </w:tcPr>
          <w:p w14:paraId="5415AB7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bCs/>
                <w:sz w:val="21"/>
                <w:szCs w:val="21"/>
                <w:highlight w:val="none"/>
                <w:vertAlign w:val="baseline"/>
                <w:lang w:val="en-US" w:eastAsia="zh-CN"/>
              </w:rPr>
            </w:pPr>
            <w:r>
              <w:rPr>
                <w:rFonts w:hint="default" w:ascii="Times New Roman" w:hAnsi="Times New Roman" w:cs="Times New Roman"/>
                <w:b/>
                <w:bCs/>
                <w:sz w:val="21"/>
                <w:szCs w:val="21"/>
                <w:highlight w:val="none"/>
                <w:vertAlign w:val="baseline"/>
                <w:lang w:val="en-US" w:eastAsia="zh-CN"/>
              </w:rPr>
              <w:t>pH≤5.5</w:t>
            </w:r>
          </w:p>
        </w:tc>
        <w:tc>
          <w:tcPr>
            <w:tcW w:w="699" w:type="dxa"/>
            <w:vAlign w:val="center"/>
          </w:tcPr>
          <w:p w14:paraId="2B57A85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bCs/>
                <w:sz w:val="21"/>
                <w:szCs w:val="21"/>
                <w:highlight w:val="none"/>
                <w:vertAlign w:val="baseline"/>
                <w:lang w:val="en-US" w:eastAsia="zh-CN"/>
              </w:rPr>
            </w:pPr>
            <w:r>
              <w:rPr>
                <w:rFonts w:hint="eastAsia"/>
                <w:b/>
                <w:bCs/>
                <w:sz w:val="21"/>
                <w:szCs w:val="21"/>
                <w:highlight w:val="none"/>
                <w:vertAlign w:val="baseline"/>
                <w:lang w:val="en-US" w:eastAsia="zh-CN"/>
              </w:rPr>
              <w:t>/</w:t>
            </w:r>
          </w:p>
        </w:tc>
        <w:tc>
          <w:tcPr>
            <w:tcW w:w="699" w:type="dxa"/>
            <w:vAlign w:val="center"/>
          </w:tcPr>
          <w:p w14:paraId="4091BF1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bCs/>
                <w:sz w:val="21"/>
                <w:szCs w:val="21"/>
                <w:highlight w:val="none"/>
                <w:vertAlign w:val="baseline"/>
                <w:lang w:val="en-US" w:eastAsia="zh-CN"/>
              </w:rPr>
            </w:pPr>
            <w:r>
              <w:rPr>
                <w:rFonts w:hint="eastAsia"/>
                <w:b/>
                <w:bCs/>
                <w:sz w:val="21"/>
                <w:szCs w:val="21"/>
                <w:highlight w:val="none"/>
                <w:vertAlign w:val="baseline"/>
                <w:lang w:val="en-US" w:eastAsia="zh-CN"/>
              </w:rPr>
              <w:t>250</w:t>
            </w:r>
          </w:p>
        </w:tc>
        <w:tc>
          <w:tcPr>
            <w:tcW w:w="699" w:type="dxa"/>
            <w:vAlign w:val="center"/>
          </w:tcPr>
          <w:p w14:paraId="516FC5F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bCs/>
                <w:sz w:val="21"/>
                <w:szCs w:val="21"/>
                <w:highlight w:val="none"/>
                <w:vertAlign w:val="baseline"/>
                <w:lang w:val="en-US" w:eastAsia="zh-CN"/>
              </w:rPr>
            </w:pPr>
            <w:r>
              <w:rPr>
                <w:rFonts w:hint="eastAsia"/>
                <w:b/>
                <w:bCs/>
                <w:sz w:val="21"/>
                <w:szCs w:val="21"/>
                <w:highlight w:val="none"/>
                <w:vertAlign w:val="baseline"/>
                <w:lang w:val="en-US" w:eastAsia="zh-CN"/>
              </w:rPr>
              <w:t>60</w:t>
            </w:r>
          </w:p>
        </w:tc>
        <w:tc>
          <w:tcPr>
            <w:tcW w:w="699" w:type="dxa"/>
            <w:vAlign w:val="center"/>
          </w:tcPr>
          <w:p w14:paraId="70233FF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bCs/>
                <w:sz w:val="21"/>
                <w:szCs w:val="21"/>
                <w:highlight w:val="none"/>
                <w:vertAlign w:val="baseline"/>
                <w:lang w:val="en-US" w:eastAsia="zh-CN"/>
              </w:rPr>
            </w:pPr>
            <w:r>
              <w:rPr>
                <w:rFonts w:hint="eastAsia"/>
                <w:b/>
                <w:bCs/>
                <w:sz w:val="21"/>
                <w:szCs w:val="21"/>
                <w:highlight w:val="none"/>
                <w:vertAlign w:val="baseline"/>
                <w:lang w:val="en-US" w:eastAsia="zh-CN"/>
              </w:rPr>
              <w:t>50</w:t>
            </w:r>
          </w:p>
        </w:tc>
        <w:tc>
          <w:tcPr>
            <w:tcW w:w="699" w:type="dxa"/>
            <w:vAlign w:val="center"/>
          </w:tcPr>
          <w:p w14:paraId="1C74AAB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bCs/>
                <w:sz w:val="21"/>
                <w:szCs w:val="21"/>
                <w:highlight w:val="none"/>
                <w:vertAlign w:val="baseline"/>
                <w:lang w:val="en-US" w:eastAsia="zh-CN"/>
              </w:rPr>
            </w:pPr>
            <w:r>
              <w:rPr>
                <w:rFonts w:hint="eastAsia"/>
                <w:b/>
                <w:bCs/>
                <w:sz w:val="21"/>
                <w:szCs w:val="21"/>
                <w:highlight w:val="none"/>
                <w:vertAlign w:val="baseline"/>
                <w:lang w:val="en-US" w:eastAsia="zh-CN"/>
              </w:rPr>
              <w:t>200</w:t>
            </w:r>
          </w:p>
        </w:tc>
        <w:tc>
          <w:tcPr>
            <w:tcW w:w="699" w:type="dxa"/>
            <w:vAlign w:val="center"/>
          </w:tcPr>
          <w:p w14:paraId="7FED263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bCs/>
                <w:sz w:val="21"/>
                <w:szCs w:val="21"/>
                <w:highlight w:val="none"/>
                <w:vertAlign w:val="baseline"/>
                <w:lang w:val="en-US" w:eastAsia="zh-CN"/>
              </w:rPr>
            </w:pPr>
            <w:r>
              <w:rPr>
                <w:rFonts w:hint="eastAsia"/>
                <w:b/>
                <w:bCs/>
                <w:sz w:val="21"/>
                <w:szCs w:val="21"/>
                <w:highlight w:val="none"/>
                <w:vertAlign w:val="baseline"/>
                <w:lang w:val="en-US" w:eastAsia="zh-CN"/>
              </w:rPr>
              <w:t>30</w:t>
            </w:r>
          </w:p>
        </w:tc>
        <w:tc>
          <w:tcPr>
            <w:tcW w:w="699" w:type="dxa"/>
            <w:vAlign w:val="center"/>
          </w:tcPr>
          <w:p w14:paraId="790BE9F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bCs/>
                <w:sz w:val="21"/>
                <w:szCs w:val="21"/>
                <w:highlight w:val="none"/>
                <w:vertAlign w:val="baseline"/>
                <w:lang w:val="en-US" w:eastAsia="zh-CN"/>
              </w:rPr>
            </w:pPr>
            <w:r>
              <w:rPr>
                <w:rFonts w:hint="eastAsia"/>
                <w:b/>
                <w:bCs/>
                <w:sz w:val="21"/>
                <w:szCs w:val="21"/>
                <w:highlight w:val="none"/>
                <w:vertAlign w:val="baseline"/>
                <w:lang w:val="en-US" w:eastAsia="zh-CN"/>
              </w:rPr>
              <w:t>0.3</w:t>
            </w:r>
          </w:p>
        </w:tc>
        <w:tc>
          <w:tcPr>
            <w:tcW w:w="699" w:type="dxa"/>
            <w:vAlign w:val="center"/>
          </w:tcPr>
          <w:p w14:paraId="577E0E8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bCs/>
                <w:sz w:val="21"/>
                <w:szCs w:val="21"/>
                <w:highlight w:val="none"/>
                <w:vertAlign w:val="baseline"/>
                <w:lang w:val="en-US" w:eastAsia="zh-CN"/>
              </w:rPr>
            </w:pPr>
            <w:r>
              <w:rPr>
                <w:rFonts w:hint="eastAsia"/>
                <w:b/>
                <w:bCs/>
                <w:sz w:val="21"/>
                <w:szCs w:val="21"/>
                <w:highlight w:val="none"/>
                <w:vertAlign w:val="baseline"/>
                <w:lang w:val="en-US" w:eastAsia="zh-CN"/>
              </w:rPr>
              <w:t>80</w:t>
            </w:r>
          </w:p>
        </w:tc>
        <w:tc>
          <w:tcPr>
            <w:tcW w:w="702" w:type="dxa"/>
            <w:vAlign w:val="center"/>
          </w:tcPr>
          <w:p w14:paraId="04C4186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bCs/>
                <w:sz w:val="21"/>
                <w:szCs w:val="21"/>
                <w:highlight w:val="none"/>
                <w:vertAlign w:val="baseline"/>
                <w:lang w:val="en-US" w:eastAsia="zh-CN"/>
              </w:rPr>
            </w:pPr>
            <w:r>
              <w:rPr>
                <w:rFonts w:hint="eastAsia"/>
                <w:b/>
                <w:bCs/>
                <w:sz w:val="21"/>
                <w:szCs w:val="21"/>
                <w:highlight w:val="none"/>
                <w:vertAlign w:val="baseline"/>
                <w:lang w:val="en-US" w:eastAsia="zh-CN"/>
              </w:rPr>
              <w:t>0.5</w:t>
            </w:r>
          </w:p>
        </w:tc>
        <w:tc>
          <w:tcPr>
            <w:tcW w:w="897" w:type="dxa"/>
            <w:vAlign w:val="center"/>
          </w:tcPr>
          <w:p w14:paraId="4FE3747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bCs/>
                <w:sz w:val="21"/>
                <w:szCs w:val="21"/>
                <w:highlight w:val="none"/>
                <w:vertAlign w:val="baseline"/>
                <w:lang w:val="en-US" w:eastAsia="zh-CN"/>
              </w:rPr>
            </w:pPr>
            <w:r>
              <w:rPr>
                <w:rFonts w:hint="eastAsia"/>
                <w:b/>
                <w:bCs/>
                <w:sz w:val="21"/>
                <w:szCs w:val="21"/>
                <w:highlight w:val="none"/>
                <w:vertAlign w:val="baseline"/>
                <w:lang w:val="en-US" w:eastAsia="zh-CN"/>
              </w:rPr>
              <w:t>/</w:t>
            </w:r>
          </w:p>
        </w:tc>
      </w:tr>
      <w:tr w14:paraId="014AC6B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703" w:type="dxa"/>
            <w:gridSpan w:val="3"/>
            <w:vMerge w:val="continue"/>
            <w:vAlign w:val="center"/>
          </w:tcPr>
          <w:p w14:paraId="6399C64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b/>
                <w:bCs/>
                <w:sz w:val="21"/>
                <w:szCs w:val="21"/>
                <w:highlight w:val="none"/>
                <w:vertAlign w:val="baseline"/>
                <w:lang w:val="en-US" w:eastAsia="zh-CN"/>
              </w:rPr>
            </w:pPr>
          </w:p>
        </w:tc>
        <w:tc>
          <w:tcPr>
            <w:tcW w:w="2271" w:type="dxa"/>
            <w:gridSpan w:val="2"/>
            <w:vAlign w:val="center"/>
          </w:tcPr>
          <w:p w14:paraId="0C83168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bCs/>
                <w:sz w:val="21"/>
                <w:szCs w:val="21"/>
                <w:highlight w:val="none"/>
                <w:vertAlign w:val="baseline"/>
                <w:lang w:val="en-US" w:eastAsia="zh-CN"/>
              </w:rPr>
            </w:pPr>
            <w:r>
              <w:rPr>
                <w:rFonts w:hint="default" w:ascii="Times New Roman" w:hAnsi="Times New Roman" w:cs="Times New Roman"/>
                <w:b/>
                <w:bCs/>
                <w:sz w:val="21"/>
                <w:szCs w:val="21"/>
                <w:highlight w:val="none"/>
                <w:vertAlign w:val="baseline"/>
                <w:lang w:val="en-US" w:eastAsia="zh-CN"/>
              </w:rPr>
              <w:t>5.5˂pH≤6.5</w:t>
            </w:r>
          </w:p>
        </w:tc>
        <w:tc>
          <w:tcPr>
            <w:tcW w:w="699" w:type="dxa"/>
            <w:vAlign w:val="center"/>
          </w:tcPr>
          <w:p w14:paraId="7830AB9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bCs/>
                <w:sz w:val="21"/>
                <w:szCs w:val="21"/>
                <w:highlight w:val="none"/>
                <w:vertAlign w:val="baseline"/>
                <w:lang w:val="en-US" w:eastAsia="zh-CN"/>
              </w:rPr>
            </w:pPr>
            <w:r>
              <w:rPr>
                <w:rFonts w:hint="eastAsia"/>
                <w:b/>
                <w:bCs/>
                <w:sz w:val="21"/>
                <w:szCs w:val="21"/>
                <w:highlight w:val="none"/>
                <w:vertAlign w:val="baseline"/>
                <w:lang w:val="en-US" w:eastAsia="zh-CN"/>
              </w:rPr>
              <w:t>/</w:t>
            </w:r>
          </w:p>
        </w:tc>
        <w:tc>
          <w:tcPr>
            <w:tcW w:w="699" w:type="dxa"/>
            <w:vAlign w:val="center"/>
          </w:tcPr>
          <w:p w14:paraId="344A372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bCs/>
                <w:sz w:val="21"/>
                <w:szCs w:val="21"/>
                <w:highlight w:val="none"/>
                <w:vertAlign w:val="baseline"/>
                <w:lang w:val="en-US" w:eastAsia="zh-CN"/>
              </w:rPr>
            </w:pPr>
            <w:r>
              <w:rPr>
                <w:rFonts w:hint="eastAsia"/>
                <w:b/>
                <w:bCs/>
                <w:sz w:val="21"/>
                <w:szCs w:val="21"/>
                <w:highlight w:val="none"/>
                <w:vertAlign w:val="baseline"/>
                <w:lang w:val="en-US" w:eastAsia="zh-CN"/>
              </w:rPr>
              <w:t>250</w:t>
            </w:r>
          </w:p>
        </w:tc>
        <w:tc>
          <w:tcPr>
            <w:tcW w:w="699" w:type="dxa"/>
            <w:vAlign w:val="center"/>
          </w:tcPr>
          <w:p w14:paraId="28058C9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bCs/>
                <w:sz w:val="21"/>
                <w:szCs w:val="21"/>
                <w:highlight w:val="none"/>
                <w:vertAlign w:val="baseline"/>
                <w:lang w:val="en-US" w:eastAsia="zh-CN"/>
              </w:rPr>
            </w:pPr>
            <w:r>
              <w:rPr>
                <w:rFonts w:hint="eastAsia"/>
                <w:b/>
                <w:bCs/>
                <w:sz w:val="21"/>
                <w:szCs w:val="21"/>
                <w:highlight w:val="none"/>
                <w:vertAlign w:val="baseline"/>
                <w:lang w:val="en-US" w:eastAsia="zh-CN"/>
              </w:rPr>
              <w:t>70</w:t>
            </w:r>
          </w:p>
        </w:tc>
        <w:tc>
          <w:tcPr>
            <w:tcW w:w="699" w:type="dxa"/>
            <w:vAlign w:val="center"/>
          </w:tcPr>
          <w:p w14:paraId="650C177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bCs/>
                <w:sz w:val="21"/>
                <w:szCs w:val="21"/>
                <w:highlight w:val="none"/>
                <w:vertAlign w:val="baseline"/>
                <w:lang w:val="en-US" w:eastAsia="zh-CN"/>
              </w:rPr>
            </w:pPr>
            <w:r>
              <w:rPr>
                <w:rFonts w:hint="eastAsia"/>
                <w:b/>
                <w:bCs/>
                <w:sz w:val="21"/>
                <w:szCs w:val="21"/>
                <w:highlight w:val="none"/>
                <w:vertAlign w:val="baseline"/>
                <w:lang w:val="en-US" w:eastAsia="zh-CN"/>
              </w:rPr>
              <w:t>50</w:t>
            </w:r>
          </w:p>
        </w:tc>
        <w:tc>
          <w:tcPr>
            <w:tcW w:w="699" w:type="dxa"/>
            <w:vAlign w:val="center"/>
          </w:tcPr>
          <w:p w14:paraId="1033950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bCs/>
                <w:sz w:val="21"/>
                <w:szCs w:val="21"/>
                <w:highlight w:val="none"/>
                <w:vertAlign w:val="baseline"/>
                <w:lang w:val="en-US" w:eastAsia="zh-CN"/>
              </w:rPr>
            </w:pPr>
            <w:r>
              <w:rPr>
                <w:rFonts w:hint="eastAsia"/>
                <w:b/>
                <w:bCs/>
                <w:sz w:val="21"/>
                <w:szCs w:val="21"/>
                <w:highlight w:val="none"/>
                <w:vertAlign w:val="baseline"/>
                <w:lang w:val="en-US" w:eastAsia="zh-CN"/>
              </w:rPr>
              <w:t>200</w:t>
            </w:r>
          </w:p>
        </w:tc>
        <w:tc>
          <w:tcPr>
            <w:tcW w:w="699" w:type="dxa"/>
            <w:vAlign w:val="center"/>
          </w:tcPr>
          <w:p w14:paraId="1688B1D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bCs/>
                <w:sz w:val="21"/>
                <w:szCs w:val="21"/>
                <w:highlight w:val="none"/>
                <w:vertAlign w:val="baseline"/>
                <w:lang w:val="en-US" w:eastAsia="zh-CN"/>
              </w:rPr>
            </w:pPr>
            <w:r>
              <w:rPr>
                <w:rFonts w:hint="eastAsia"/>
                <w:b/>
                <w:bCs/>
                <w:sz w:val="21"/>
                <w:szCs w:val="21"/>
                <w:highlight w:val="none"/>
                <w:vertAlign w:val="baseline"/>
                <w:lang w:val="en-US" w:eastAsia="zh-CN"/>
              </w:rPr>
              <w:t>30</w:t>
            </w:r>
          </w:p>
        </w:tc>
        <w:tc>
          <w:tcPr>
            <w:tcW w:w="699" w:type="dxa"/>
            <w:vAlign w:val="center"/>
          </w:tcPr>
          <w:p w14:paraId="427E605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bCs/>
                <w:sz w:val="21"/>
                <w:szCs w:val="21"/>
                <w:highlight w:val="none"/>
                <w:vertAlign w:val="baseline"/>
                <w:lang w:val="en-US" w:eastAsia="zh-CN"/>
              </w:rPr>
            </w:pPr>
            <w:r>
              <w:rPr>
                <w:rFonts w:hint="eastAsia"/>
                <w:b/>
                <w:bCs/>
                <w:sz w:val="21"/>
                <w:szCs w:val="21"/>
                <w:highlight w:val="none"/>
                <w:vertAlign w:val="baseline"/>
                <w:lang w:val="en-US" w:eastAsia="zh-CN"/>
              </w:rPr>
              <w:t>0.4</w:t>
            </w:r>
          </w:p>
        </w:tc>
        <w:tc>
          <w:tcPr>
            <w:tcW w:w="699" w:type="dxa"/>
            <w:vAlign w:val="center"/>
          </w:tcPr>
          <w:p w14:paraId="2F1795F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bCs/>
                <w:sz w:val="21"/>
                <w:szCs w:val="21"/>
                <w:highlight w:val="none"/>
                <w:vertAlign w:val="baseline"/>
                <w:lang w:val="en-US" w:eastAsia="zh-CN"/>
              </w:rPr>
            </w:pPr>
            <w:r>
              <w:rPr>
                <w:rFonts w:hint="eastAsia"/>
                <w:b/>
                <w:bCs/>
                <w:sz w:val="21"/>
                <w:szCs w:val="21"/>
                <w:highlight w:val="none"/>
                <w:vertAlign w:val="baseline"/>
                <w:lang w:val="en-US" w:eastAsia="zh-CN"/>
              </w:rPr>
              <w:t>100</w:t>
            </w:r>
          </w:p>
        </w:tc>
        <w:tc>
          <w:tcPr>
            <w:tcW w:w="702" w:type="dxa"/>
            <w:vAlign w:val="center"/>
          </w:tcPr>
          <w:p w14:paraId="7B55D75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bCs/>
                <w:sz w:val="21"/>
                <w:szCs w:val="21"/>
                <w:highlight w:val="none"/>
                <w:vertAlign w:val="baseline"/>
                <w:lang w:val="en-US" w:eastAsia="zh-CN"/>
              </w:rPr>
            </w:pPr>
            <w:r>
              <w:rPr>
                <w:rFonts w:hint="eastAsia"/>
                <w:b/>
                <w:bCs/>
                <w:sz w:val="21"/>
                <w:szCs w:val="21"/>
                <w:highlight w:val="none"/>
                <w:vertAlign w:val="baseline"/>
                <w:lang w:val="en-US" w:eastAsia="zh-CN"/>
              </w:rPr>
              <w:t>0.5</w:t>
            </w:r>
          </w:p>
        </w:tc>
        <w:tc>
          <w:tcPr>
            <w:tcW w:w="897" w:type="dxa"/>
            <w:vAlign w:val="center"/>
          </w:tcPr>
          <w:p w14:paraId="56811B7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bCs/>
                <w:sz w:val="21"/>
                <w:szCs w:val="21"/>
                <w:highlight w:val="none"/>
                <w:vertAlign w:val="baseline"/>
                <w:lang w:val="en-US" w:eastAsia="zh-CN"/>
              </w:rPr>
            </w:pPr>
            <w:r>
              <w:rPr>
                <w:rFonts w:hint="eastAsia"/>
                <w:b/>
                <w:bCs/>
                <w:sz w:val="21"/>
                <w:szCs w:val="21"/>
                <w:highlight w:val="none"/>
                <w:vertAlign w:val="baseline"/>
                <w:lang w:val="en-US" w:eastAsia="zh-CN"/>
              </w:rPr>
              <w:t>/</w:t>
            </w:r>
          </w:p>
        </w:tc>
      </w:tr>
      <w:tr w14:paraId="68E2D30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703" w:type="dxa"/>
            <w:gridSpan w:val="3"/>
            <w:vMerge w:val="continue"/>
            <w:vAlign w:val="center"/>
          </w:tcPr>
          <w:p w14:paraId="046ACC6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b/>
                <w:bCs/>
                <w:sz w:val="21"/>
                <w:szCs w:val="21"/>
                <w:highlight w:val="none"/>
                <w:vertAlign w:val="baseline"/>
                <w:lang w:val="en-US" w:eastAsia="zh-CN"/>
              </w:rPr>
            </w:pPr>
          </w:p>
        </w:tc>
        <w:tc>
          <w:tcPr>
            <w:tcW w:w="2271" w:type="dxa"/>
            <w:gridSpan w:val="2"/>
            <w:vAlign w:val="center"/>
          </w:tcPr>
          <w:p w14:paraId="09C9A02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bCs/>
                <w:sz w:val="21"/>
                <w:szCs w:val="21"/>
                <w:highlight w:val="none"/>
                <w:vertAlign w:val="baseline"/>
                <w:lang w:val="en-US" w:eastAsia="zh-CN"/>
              </w:rPr>
            </w:pPr>
            <w:r>
              <w:rPr>
                <w:rFonts w:hint="default" w:ascii="Times New Roman" w:hAnsi="Times New Roman" w:cs="Times New Roman"/>
                <w:b/>
                <w:bCs/>
                <w:sz w:val="21"/>
                <w:szCs w:val="21"/>
                <w:highlight w:val="none"/>
                <w:vertAlign w:val="baseline"/>
                <w:lang w:val="en-US" w:eastAsia="zh-CN"/>
              </w:rPr>
              <w:t>6.5˂pH≤7.5</w:t>
            </w:r>
          </w:p>
        </w:tc>
        <w:tc>
          <w:tcPr>
            <w:tcW w:w="699" w:type="dxa"/>
            <w:vAlign w:val="center"/>
          </w:tcPr>
          <w:p w14:paraId="76384F5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bCs/>
                <w:sz w:val="21"/>
                <w:szCs w:val="21"/>
                <w:highlight w:val="none"/>
                <w:vertAlign w:val="baseline"/>
                <w:lang w:val="en-US" w:eastAsia="zh-CN"/>
              </w:rPr>
            </w:pPr>
            <w:r>
              <w:rPr>
                <w:rFonts w:hint="eastAsia"/>
                <w:b/>
                <w:bCs/>
                <w:sz w:val="21"/>
                <w:szCs w:val="21"/>
                <w:highlight w:val="none"/>
                <w:vertAlign w:val="baseline"/>
                <w:lang w:val="en-US" w:eastAsia="zh-CN"/>
              </w:rPr>
              <w:t>/</w:t>
            </w:r>
          </w:p>
        </w:tc>
        <w:tc>
          <w:tcPr>
            <w:tcW w:w="699" w:type="dxa"/>
            <w:vAlign w:val="center"/>
          </w:tcPr>
          <w:p w14:paraId="4BDB926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bCs/>
                <w:sz w:val="21"/>
                <w:szCs w:val="21"/>
                <w:highlight w:val="none"/>
                <w:vertAlign w:val="baseline"/>
                <w:lang w:val="en-US" w:eastAsia="zh-CN"/>
              </w:rPr>
            </w:pPr>
            <w:r>
              <w:rPr>
                <w:rFonts w:hint="eastAsia"/>
                <w:b/>
                <w:bCs/>
                <w:sz w:val="21"/>
                <w:szCs w:val="21"/>
                <w:highlight w:val="none"/>
                <w:vertAlign w:val="baseline"/>
                <w:lang w:val="en-US" w:eastAsia="zh-CN"/>
              </w:rPr>
              <w:t>300</w:t>
            </w:r>
          </w:p>
        </w:tc>
        <w:tc>
          <w:tcPr>
            <w:tcW w:w="699" w:type="dxa"/>
            <w:vAlign w:val="center"/>
          </w:tcPr>
          <w:p w14:paraId="09F9713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bCs/>
                <w:sz w:val="21"/>
                <w:szCs w:val="21"/>
                <w:highlight w:val="none"/>
                <w:vertAlign w:val="baseline"/>
                <w:lang w:val="en-US" w:eastAsia="zh-CN"/>
              </w:rPr>
            </w:pPr>
            <w:r>
              <w:rPr>
                <w:rFonts w:hint="eastAsia"/>
                <w:b/>
                <w:bCs/>
                <w:sz w:val="21"/>
                <w:szCs w:val="21"/>
                <w:highlight w:val="none"/>
                <w:vertAlign w:val="baseline"/>
                <w:lang w:val="en-US" w:eastAsia="zh-CN"/>
              </w:rPr>
              <w:t>100</w:t>
            </w:r>
          </w:p>
        </w:tc>
        <w:tc>
          <w:tcPr>
            <w:tcW w:w="699" w:type="dxa"/>
            <w:vAlign w:val="center"/>
          </w:tcPr>
          <w:p w14:paraId="6257ED6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bCs/>
                <w:sz w:val="21"/>
                <w:szCs w:val="21"/>
                <w:highlight w:val="none"/>
                <w:vertAlign w:val="baseline"/>
                <w:lang w:val="en-US" w:eastAsia="zh-CN"/>
              </w:rPr>
            </w:pPr>
            <w:r>
              <w:rPr>
                <w:rFonts w:hint="eastAsia"/>
                <w:b/>
                <w:bCs/>
                <w:sz w:val="21"/>
                <w:szCs w:val="21"/>
                <w:highlight w:val="none"/>
                <w:vertAlign w:val="baseline"/>
                <w:lang w:val="en-US" w:eastAsia="zh-CN"/>
              </w:rPr>
              <w:t>100</w:t>
            </w:r>
          </w:p>
        </w:tc>
        <w:tc>
          <w:tcPr>
            <w:tcW w:w="699" w:type="dxa"/>
            <w:vAlign w:val="center"/>
          </w:tcPr>
          <w:p w14:paraId="13C994A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bCs/>
                <w:sz w:val="21"/>
                <w:szCs w:val="21"/>
                <w:highlight w:val="none"/>
                <w:vertAlign w:val="baseline"/>
                <w:lang w:val="en-US" w:eastAsia="zh-CN"/>
              </w:rPr>
            </w:pPr>
            <w:r>
              <w:rPr>
                <w:rFonts w:hint="eastAsia"/>
                <w:b/>
                <w:bCs/>
                <w:sz w:val="21"/>
                <w:szCs w:val="21"/>
                <w:highlight w:val="none"/>
                <w:vertAlign w:val="baseline"/>
                <w:lang w:val="en-US" w:eastAsia="zh-CN"/>
              </w:rPr>
              <w:t>250</w:t>
            </w:r>
          </w:p>
        </w:tc>
        <w:tc>
          <w:tcPr>
            <w:tcW w:w="699" w:type="dxa"/>
            <w:vAlign w:val="center"/>
          </w:tcPr>
          <w:p w14:paraId="7D34ED6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bCs/>
                <w:sz w:val="21"/>
                <w:szCs w:val="21"/>
                <w:highlight w:val="none"/>
                <w:vertAlign w:val="baseline"/>
                <w:lang w:val="en-US" w:eastAsia="zh-CN"/>
              </w:rPr>
            </w:pPr>
            <w:r>
              <w:rPr>
                <w:rFonts w:hint="eastAsia"/>
                <w:b/>
                <w:bCs/>
                <w:sz w:val="21"/>
                <w:szCs w:val="21"/>
                <w:highlight w:val="none"/>
                <w:vertAlign w:val="baseline"/>
                <w:lang w:val="en-US" w:eastAsia="zh-CN"/>
              </w:rPr>
              <w:t>25</w:t>
            </w:r>
          </w:p>
        </w:tc>
        <w:tc>
          <w:tcPr>
            <w:tcW w:w="699" w:type="dxa"/>
            <w:vAlign w:val="center"/>
          </w:tcPr>
          <w:p w14:paraId="6E214DD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bCs/>
                <w:sz w:val="21"/>
                <w:szCs w:val="21"/>
                <w:highlight w:val="none"/>
                <w:vertAlign w:val="baseline"/>
                <w:lang w:val="en-US" w:eastAsia="zh-CN"/>
              </w:rPr>
            </w:pPr>
            <w:r>
              <w:rPr>
                <w:rFonts w:hint="eastAsia"/>
                <w:b/>
                <w:bCs/>
                <w:sz w:val="21"/>
                <w:szCs w:val="21"/>
                <w:highlight w:val="none"/>
                <w:vertAlign w:val="baseline"/>
                <w:lang w:val="en-US" w:eastAsia="zh-CN"/>
              </w:rPr>
              <w:t>0.6</w:t>
            </w:r>
          </w:p>
        </w:tc>
        <w:tc>
          <w:tcPr>
            <w:tcW w:w="699" w:type="dxa"/>
            <w:vAlign w:val="center"/>
          </w:tcPr>
          <w:p w14:paraId="193B9BB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bCs/>
                <w:sz w:val="21"/>
                <w:szCs w:val="21"/>
                <w:highlight w:val="none"/>
                <w:vertAlign w:val="baseline"/>
                <w:lang w:val="en-US" w:eastAsia="zh-CN"/>
              </w:rPr>
            </w:pPr>
            <w:r>
              <w:rPr>
                <w:rFonts w:hint="eastAsia"/>
                <w:b/>
                <w:bCs/>
                <w:sz w:val="21"/>
                <w:szCs w:val="21"/>
                <w:highlight w:val="none"/>
                <w:vertAlign w:val="baseline"/>
                <w:lang w:val="en-US" w:eastAsia="zh-CN"/>
              </w:rPr>
              <w:t>140</w:t>
            </w:r>
          </w:p>
        </w:tc>
        <w:tc>
          <w:tcPr>
            <w:tcW w:w="702" w:type="dxa"/>
            <w:vAlign w:val="center"/>
          </w:tcPr>
          <w:p w14:paraId="6BDFB68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bCs/>
                <w:sz w:val="21"/>
                <w:szCs w:val="21"/>
                <w:highlight w:val="none"/>
                <w:vertAlign w:val="baseline"/>
                <w:lang w:val="en-US" w:eastAsia="zh-CN"/>
              </w:rPr>
            </w:pPr>
            <w:r>
              <w:rPr>
                <w:rFonts w:hint="eastAsia"/>
                <w:b/>
                <w:bCs/>
                <w:sz w:val="21"/>
                <w:szCs w:val="21"/>
                <w:highlight w:val="none"/>
                <w:vertAlign w:val="baseline"/>
                <w:lang w:val="en-US" w:eastAsia="zh-CN"/>
              </w:rPr>
              <w:t>0.6</w:t>
            </w:r>
          </w:p>
        </w:tc>
        <w:tc>
          <w:tcPr>
            <w:tcW w:w="897" w:type="dxa"/>
            <w:vAlign w:val="center"/>
          </w:tcPr>
          <w:p w14:paraId="75B73CE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bCs/>
                <w:sz w:val="21"/>
                <w:szCs w:val="21"/>
                <w:highlight w:val="none"/>
                <w:vertAlign w:val="baseline"/>
                <w:lang w:val="en-US" w:eastAsia="zh-CN"/>
              </w:rPr>
            </w:pPr>
            <w:r>
              <w:rPr>
                <w:rFonts w:hint="eastAsia"/>
                <w:b/>
                <w:bCs/>
                <w:sz w:val="21"/>
                <w:szCs w:val="21"/>
                <w:highlight w:val="none"/>
                <w:vertAlign w:val="baseline"/>
                <w:lang w:val="en-US" w:eastAsia="zh-CN"/>
              </w:rPr>
              <w:t>/</w:t>
            </w:r>
          </w:p>
        </w:tc>
      </w:tr>
      <w:tr w14:paraId="1150043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703" w:type="dxa"/>
            <w:gridSpan w:val="3"/>
            <w:vMerge w:val="continue"/>
            <w:vAlign w:val="center"/>
          </w:tcPr>
          <w:p w14:paraId="2780C00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b/>
                <w:bCs/>
                <w:sz w:val="21"/>
                <w:szCs w:val="21"/>
                <w:highlight w:val="none"/>
                <w:vertAlign w:val="baseline"/>
                <w:lang w:val="en-US" w:eastAsia="zh-CN"/>
              </w:rPr>
            </w:pPr>
          </w:p>
        </w:tc>
        <w:tc>
          <w:tcPr>
            <w:tcW w:w="2271" w:type="dxa"/>
            <w:gridSpan w:val="2"/>
            <w:vAlign w:val="center"/>
          </w:tcPr>
          <w:p w14:paraId="3CA637D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bCs/>
                <w:sz w:val="21"/>
                <w:szCs w:val="21"/>
                <w:highlight w:val="none"/>
                <w:vertAlign w:val="baseline"/>
                <w:lang w:val="en-US" w:eastAsia="zh-CN"/>
              </w:rPr>
            </w:pPr>
            <w:r>
              <w:rPr>
                <w:rFonts w:hint="default" w:ascii="Times New Roman" w:hAnsi="Times New Roman" w:cs="Times New Roman"/>
                <w:b/>
                <w:bCs/>
                <w:sz w:val="21"/>
                <w:szCs w:val="21"/>
                <w:highlight w:val="none"/>
                <w:vertAlign w:val="baseline"/>
                <w:lang w:val="en-US" w:eastAsia="zh-CN"/>
              </w:rPr>
              <w:t>pH˃7</w:t>
            </w:r>
            <w:r>
              <w:rPr>
                <w:rFonts w:hint="eastAsia" w:cs="Times New Roman"/>
                <w:b/>
                <w:bCs/>
                <w:sz w:val="21"/>
                <w:szCs w:val="21"/>
                <w:highlight w:val="none"/>
                <w:vertAlign w:val="baseline"/>
                <w:lang w:val="en-US" w:eastAsia="zh-CN"/>
              </w:rPr>
              <w:t>.5</w:t>
            </w:r>
          </w:p>
        </w:tc>
        <w:tc>
          <w:tcPr>
            <w:tcW w:w="699" w:type="dxa"/>
            <w:vAlign w:val="center"/>
          </w:tcPr>
          <w:p w14:paraId="12C518F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bCs/>
                <w:sz w:val="21"/>
                <w:szCs w:val="21"/>
                <w:highlight w:val="none"/>
                <w:vertAlign w:val="baseline"/>
                <w:lang w:val="en-US" w:eastAsia="zh-CN"/>
              </w:rPr>
            </w:pPr>
            <w:r>
              <w:rPr>
                <w:rFonts w:hint="eastAsia"/>
                <w:b/>
                <w:bCs/>
                <w:sz w:val="21"/>
                <w:szCs w:val="21"/>
                <w:highlight w:val="none"/>
                <w:vertAlign w:val="baseline"/>
                <w:lang w:val="en-US" w:eastAsia="zh-CN"/>
              </w:rPr>
              <w:t>/</w:t>
            </w:r>
          </w:p>
        </w:tc>
        <w:tc>
          <w:tcPr>
            <w:tcW w:w="699" w:type="dxa"/>
            <w:vAlign w:val="center"/>
          </w:tcPr>
          <w:p w14:paraId="48B6DA7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bCs/>
                <w:sz w:val="21"/>
                <w:szCs w:val="21"/>
                <w:highlight w:val="none"/>
                <w:vertAlign w:val="baseline"/>
                <w:lang w:val="en-US" w:eastAsia="zh-CN"/>
              </w:rPr>
            </w:pPr>
            <w:r>
              <w:rPr>
                <w:rFonts w:hint="eastAsia"/>
                <w:b/>
                <w:bCs/>
                <w:sz w:val="21"/>
                <w:szCs w:val="21"/>
                <w:highlight w:val="none"/>
                <w:vertAlign w:val="baseline"/>
                <w:lang w:val="en-US" w:eastAsia="zh-CN"/>
              </w:rPr>
              <w:t>350</w:t>
            </w:r>
          </w:p>
        </w:tc>
        <w:tc>
          <w:tcPr>
            <w:tcW w:w="699" w:type="dxa"/>
            <w:vAlign w:val="center"/>
          </w:tcPr>
          <w:p w14:paraId="5533043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bCs/>
                <w:sz w:val="21"/>
                <w:szCs w:val="21"/>
                <w:highlight w:val="none"/>
                <w:vertAlign w:val="baseline"/>
                <w:lang w:val="en-US" w:eastAsia="zh-CN"/>
              </w:rPr>
            </w:pPr>
            <w:r>
              <w:rPr>
                <w:rFonts w:hint="eastAsia"/>
                <w:b/>
                <w:bCs/>
                <w:sz w:val="21"/>
                <w:szCs w:val="21"/>
                <w:highlight w:val="none"/>
                <w:vertAlign w:val="baseline"/>
                <w:lang w:val="en-US" w:eastAsia="zh-CN"/>
              </w:rPr>
              <w:t>190</w:t>
            </w:r>
          </w:p>
        </w:tc>
        <w:tc>
          <w:tcPr>
            <w:tcW w:w="699" w:type="dxa"/>
            <w:vAlign w:val="center"/>
          </w:tcPr>
          <w:p w14:paraId="63BA554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bCs/>
                <w:sz w:val="21"/>
                <w:szCs w:val="21"/>
                <w:highlight w:val="none"/>
                <w:vertAlign w:val="baseline"/>
                <w:lang w:val="en-US" w:eastAsia="zh-CN"/>
              </w:rPr>
            </w:pPr>
            <w:r>
              <w:rPr>
                <w:rFonts w:hint="eastAsia"/>
                <w:b/>
                <w:bCs/>
                <w:sz w:val="21"/>
                <w:szCs w:val="21"/>
                <w:highlight w:val="none"/>
                <w:vertAlign w:val="baseline"/>
                <w:lang w:val="en-US" w:eastAsia="zh-CN"/>
              </w:rPr>
              <w:t>100</w:t>
            </w:r>
          </w:p>
        </w:tc>
        <w:tc>
          <w:tcPr>
            <w:tcW w:w="699" w:type="dxa"/>
            <w:vAlign w:val="center"/>
          </w:tcPr>
          <w:p w14:paraId="713955B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bCs/>
                <w:sz w:val="21"/>
                <w:szCs w:val="21"/>
                <w:highlight w:val="none"/>
                <w:vertAlign w:val="baseline"/>
                <w:lang w:val="en-US" w:eastAsia="zh-CN"/>
              </w:rPr>
            </w:pPr>
            <w:r>
              <w:rPr>
                <w:rFonts w:hint="eastAsia"/>
                <w:b/>
                <w:bCs/>
                <w:sz w:val="21"/>
                <w:szCs w:val="21"/>
                <w:highlight w:val="none"/>
                <w:vertAlign w:val="baseline"/>
                <w:lang w:val="en-US" w:eastAsia="zh-CN"/>
              </w:rPr>
              <w:t>300</w:t>
            </w:r>
          </w:p>
        </w:tc>
        <w:tc>
          <w:tcPr>
            <w:tcW w:w="699" w:type="dxa"/>
            <w:vAlign w:val="center"/>
          </w:tcPr>
          <w:p w14:paraId="1CD7969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bCs/>
                <w:sz w:val="21"/>
                <w:szCs w:val="21"/>
                <w:highlight w:val="none"/>
                <w:vertAlign w:val="baseline"/>
                <w:lang w:val="en-US" w:eastAsia="zh-CN"/>
              </w:rPr>
            </w:pPr>
            <w:r>
              <w:rPr>
                <w:rFonts w:hint="eastAsia"/>
                <w:b/>
                <w:bCs/>
                <w:sz w:val="21"/>
                <w:szCs w:val="21"/>
                <w:highlight w:val="none"/>
                <w:vertAlign w:val="baseline"/>
                <w:lang w:val="en-US" w:eastAsia="zh-CN"/>
              </w:rPr>
              <w:t>20</w:t>
            </w:r>
          </w:p>
        </w:tc>
        <w:tc>
          <w:tcPr>
            <w:tcW w:w="699" w:type="dxa"/>
            <w:vAlign w:val="center"/>
          </w:tcPr>
          <w:p w14:paraId="4D2512F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bCs/>
                <w:sz w:val="21"/>
                <w:szCs w:val="21"/>
                <w:highlight w:val="none"/>
                <w:vertAlign w:val="baseline"/>
                <w:lang w:val="en-US" w:eastAsia="zh-CN"/>
              </w:rPr>
            </w:pPr>
            <w:r>
              <w:rPr>
                <w:rFonts w:hint="eastAsia"/>
                <w:b/>
                <w:bCs/>
                <w:sz w:val="21"/>
                <w:szCs w:val="21"/>
                <w:highlight w:val="none"/>
                <w:vertAlign w:val="baseline"/>
                <w:lang w:val="en-US" w:eastAsia="zh-CN"/>
              </w:rPr>
              <w:t>0.8</w:t>
            </w:r>
          </w:p>
        </w:tc>
        <w:tc>
          <w:tcPr>
            <w:tcW w:w="699" w:type="dxa"/>
            <w:vAlign w:val="center"/>
          </w:tcPr>
          <w:p w14:paraId="0F7483E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bCs/>
                <w:sz w:val="21"/>
                <w:szCs w:val="21"/>
                <w:highlight w:val="none"/>
                <w:vertAlign w:val="baseline"/>
                <w:lang w:val="en-US" w:eastAsia="zh-CN"/>
              </w:rPr>
            </w:pPr>
            <w:r>
              <w:rPr>
                <w:rFonts w:hint="eastAsia"/>
                <w:b/>
                <w:bCs/>
                <w:sz w:val="21"/>
                <w:szCs w:val="21"/>
                <w:highlight w:val="none"/>
                <w:vertAlign w:val="baseline"/>
                <w:lang w:val="en-US" w:eastAsia="zh-CN"/>
              </w:rPr>
              <w:t>240</w:t>
            </w:r>
          </w:p>
        </w:tc>
        <w:tc>
          <w:tcPr>
            <w:tcW w:w="702" w:type="dxa"/>
            <w:vAlign w:val="center"/>
          </w:tcPr>
          <w:p w14:paraId="1AC9713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bCs/>
                <w:sz w:val="21"/>
                <w:szCs w:val="21"/>
                <w:highlight w:val="none"/>
                <w:vertAlign w:val="baseline"/>
                <w:lang w:val="en-US" w:eastAsia="zh-CN"/>
              </w:rPr>
            </w:pPr>
            <w:r>
              <w:rPr>
                <w:rFonts w:hint="eastAsia"/>
                <w:b/>
                <w:bCs/>
                <w:sz w:val="21"/>
                <w:szCs w:val="21"/>
                <w:highlight w:val="none"/>
                <w:vertAlign w:val="baseline"/>
                <w:lang w:val="en-US" w:eastAsia="zh-CN"/>
              </w:rPr>
              <w:t>1.0</w:t>
            </w:r>
          </w:p>
        </w:tc>
        <w:tc>
          <w:tcPr>
            <w:tcW w:w="897" w:type="dxa"/>
            <w:vAlign w:val="center"/>
          </w:tcPr>
          <w:p w14:paraId="778FE6A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bCs/>
                <w:sz w:val="21"/>
                <w:szCs w:val="21"/>
                <w:highlight w:val="none"/>
                <w:vertAlign w:val="baseline"/>
                <w:lang w:val="en-US" w:eastAsia="zh-CN"/>
              </w:rPr>
            </w:pPr>
            <w:r>
              <w:rPr>
                <w:rFonts w:hint="eastAsia"/>
                <w:b/>
                <w:bCs/>
                <w:sz w:val="21"/>
                <w:szCs w:val="21"/>
                <w:highlight w:val="none"/>
                <w:vertAlign w:val="baseline"/>
                <w:lang w:val="en-US" w:eastAsia="zh-CN"/>
              </w:rPr>
              <w:t>/</w:t>
            </w:r>
          </w:p>
        </w:tc>
      </w:tr>
      <w:tr w14:paraId="47CE99F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4165" w:type="dxa"/>
            <w:gridSpan w:val="15"/>
            <w:vAlign w:val="center"/>
          </w:tcPr>
          <w:p w14:paraId="4B2F0F28">
            <w:pPr>
              <w:keepNext w:val="0"/>
              <w:keepLines w:val="0"/>
              <w:pageBreakBefore w:val="0"/>
              <w:widowControl w:val="0"/>
              <w:kinsoku/>
              <w:wordWrap/>
              <w:overflowPunct/>
              <w:topLinePunct w:val="0"/>
              <w:autoSpaceDE/>
              <w:autoSpaceDN/>
              <w:bidi w:val="0"/>
              <w:adjustRightInd/>
              <w:snapToGrid/>
              <w:spacing w:line="360" w:lineRule="auto"/>
              <w:ind w:firstLine="0" w:firstLineChars="0"/>
              <w:jc w:val="both"/>
              <w:textAlignment w:val="auto"/>
              <w:rPr>
                <w:rFonts w:hint="default"/>
                <w:b/>
                <w:bCs/>
                <w:sz w:val="21"/>
                <w:szCs w:val="21"/>
                <w:highlight w:val="none"/>
                <w:vertAlign w:val="baseline"/>
                <w:lang w:val="en-US" w:eastAsia="zh-CN"/>
              </w:rPr>
            </w:pPr>
            <w:r>
              <w:rPr>
                <w:rFonts w:hint="eastAsia"/>
                <w:b/>
                <w:bCs/>
                <w:sz w:val="21"/>
                <w:szCs w:val="21"/>
                <w:highlight w:val="none"/>
                <w:vertAlign w:val="baseline"/>
                <w:lang w:val="en-US" w:eastAsia="zh-CN"/>
              </w:rPr>
              <w:t>注：“ND”表示未检出。</w:t>
            </w:r>
          </w:p>
        </w:tc>
      </w:tr>
    </w:tbl>
    <w:p w14:paraId="457203B0">
      <w:pPr>
        <w:bidi w:val="0"/>
        <w:rPr>
          <w:rFonts w:hint="default"/>
          <w:lang w:val="en-US" w:eastAsia="zh-CN"/>
        </w:rPr>
      </w:pPr>
      <w:r>
        <w:rPr>
          <w:rFonts w:hint="default"/>
          <w:lang w:val="en-US" w:eastAsia="zh-CN"/>
        </w:rPr>
        <w:t>由表</w:t>
      </w:r>
      <w:r>
        <w:rPr>
          <w:rFonts w:hint="eastAsia"/>
          <w:lang w:val="en-US" w:eastAsia="zh-CN"/>
        </w:rPr>
        <w:t>3.1-15</w:t>
      </w:r>
      <w:r>
        <w:rPr>
          <w:rFonts w:hint="default"/>
          <w:lang w:val="en-US" w:eastAsia="zh-CN"/>
        </w:rPr>
        <w:t>可知：南尧村1</w:t>
      </w:r>
      <w:r>
        <w:rPr>
          <w:rFonts w:hint="eastAsia"/>
          <w:lang w:val="en-US" w:eastAsia="zh-CN"/>
        </w:rPr>
        <w:t>#</w:t>
      </w:r>
      <w:r>
        <w:rPr>
          <w:rFonts w:hint="default"/>
          <w:lang w:val="en-US" w:eastAsia="zh-CN"/>
        </w:rPr>
        <w:t>废渣</w:t>
      </w:r>
      <w:r>
        <w:rPr>
          <w:rFonts w:hint="eastAsia"/>
          <w:lang w:val="en-US" w:eastAsia="zh-CN"/>
        </w:rPr>
        <w:t>堆</w:t>
      </w:r>
      <w:r>
        <w:rPr>
          <w:rFonts w:hint="default"/>
          <w:lang w:val="en-US" w:eastAsia="zh-CN"/>
        </w:rPr>
        <w:t>点背景点农田土壤2个检测点位，2</w:t>
      </w:r>
      <w:r>
        <w:rPr>
          <w:rFonts w:hint="eastAsia"/>
          <w:lang w:val="en-US" w:eastAsia="zh-CN"/>
        </w:rPr>
        <w:t>#</w:t>
      </w:r>
      <w:r>
        <w:rPr>
          <w:rFonts w:hint="default"/>
          <w:lang w:val="en-US" w:eastAsia="zh-CN"/>
        </w:rPr>
        <w:t>废渣</w:t>
      </w:r>
      <w:r>
        <w:rPr>
          <w:rFonts w:hint="eastAsia"/>
          <w:lang w:val="en-US" w:eastAsia="zh-CN"/>
        </w:rPr>
        <w:t>堆</w:t>
      </w:r>
      <w:r>
        <w:rPr>
          <w:rFonts w:hint="default"/>
          <w:lang w:val="en-US" w:eastAsia="zh-CN"/>
        </w:rPr>
        <w:t>背景点农田土壤2个检测点位，所检测8项</w:t>
      </w:r>
      <w:r>
        <w:rPr>
          <w:rFonts w:hint="eastAsia"/>
          <w:lang w:val="en-US" w:eastAsia="zh-CN"/>
        </w:rPr>
        <w:t>重</w:t>
      </w:r>
      <w:r>
        <w:rPr>
          <w:rFonts w:hint="default"/>
          <w:lang w:val="en-US" w:eastAsia="zh-CN"/>
        </w:rPr>
        <w:t xml:space="preserve">金属指标中，均未超过《土壤环境质量 </w:t>
      </w:r>
      <w:r>
        <w:rPr>
          <w:rFonts w:hint="eastAsia"/>
          <w:lang w:val="en-US" w:eastAsia="zh-CN"/>
        </w:rPr>
        <w:t xml:space="preserve"> </w:t>
      </w:r>
      <w:r>
        <w:rPr>
          <w:rFonts w:hint="default"/>
          <w:lang w:val="en-US" w:eastAsia="zh-CN"/>
        </w:rPr>
        <w:t xml:space="preserve">农用地土壤污染风险管控标准》（GB15618-2018）表1筛选值，氰化物未检出。 </w:t>
      </w:r>
    </w:p>
    <w:p w14:paraId="25159D70">
      <w:pPr>
        <w:bidi w:val="0"/>
        <w:rPr>
          <w:rFonts w:hint="default"/>
          <w:lang w:val="en-US" w:eastAsia="zh-CN"/>
        </w:rPr>
      </w:pPr>
      <w:r>
        <w:rPr>
          <w:rFonts w:hint="default"/>
          <w:lang w:val="en-US" w:eastAsia="zh-CN"/>
        </w:rPr>
        <w:t>综上，废渣堆周边背景点农田土壤</w:t>
      </w:r>
      <w:r>
        <w:rPr>
          <w:rFonts w:hint="eastAsia"/>
          <w:lang w:val="en-US" w:eastAsia="zh-CN"/>
        </w:rPr>
        <w:t>满足</w:t>
      </w:r>
      <w:r>
        <w:rPr>
          <w:rFonts w:hint="default"/>
          <w:lang w:val="en-US" w:eastAsia="zh-CN"/>
        </w:rPr>
        <w:t>《土壤环境质量  农用地土壤污染风险管控标准》（GB15618-2018）表1筛选值。</w:t>
      </w:r>
    </w:p>
    <w:p w14:paraId="619A940E">
      <w:pPr>
        <w:bidi w:val="0"/>
        <w:rPr>
          <w:rFonts w:hint="eastAsia"/>
          <w:lang w:val="en-US" w:eastAsia="zh-CN"/>
        </w:rPr>
      </w:pPr>
    </w:p>
    <w:p w14:paraId="6D08E0BC">
      <w:pPr>
        <w:bidi w:val="0"/>
        <w:rPr>
          <w:rFonts w:hint="eastAsia"/>
          <w:lang w:val="en-US" w:eastAsia="zh-CN"/>
        </w:rPr>
      </w:pPr>
    </w:p>
    <w:p w14:paraId="08029E20">
      <w:pPr>
        <w:bidi w:val="0"/>
        <w:rPr>
          <w:rFonts w:hint="eastAsia"/>
          <w:lang w:val="en-US" w:eastAsia="zh-CN"/>
        </w:rPr>
      </w:pPr>
    </w:p>
    <w:p w14:paraId="29853283">
      <w:pPr>
        <w:bidi w:val="0"/>
        <w:rPr>
          <w:rFonts w:hint="eastAsia"/>
          <w:lang w:val="en-US" w:eastAsia="zh-CN"/>
        </w:rPr>
      </w:pPr>
    </w:p>
    <w:p w14:paraId="3A369F36">
      <w:pPr>
        <w:bidi w:val="0"/>
        <w:ind w:left="0" w:leftChars="0" w:firstLine="0" w:firstLineChars="0"/>
        <w:jc w:val="center"/>
        <w:rPr>
          <w:rFonts w:hint="default"/>
          <w:b/>
          <w:bCs/>
          <w:sz w:val="21"/>
          <w:szCs w:val="21"/>
          <w:lang w:val="en-US" w:eastAsia="zh-CN"/>
        </w:rPr>
      </w:pPr>
      <w:r>
        <w:rPr>
          <w:rFonts w:hint="eastAsia"/>
          <w:b/>
          <w:bCs/>
          <w:sz w:val="21"/>
          <w:szCs w:val="21"/>
          <w:lang w:val="en-US" w:eastAsia="zh-CN"/>
        </w:rPr>
        <w:t>表3.1-17  地表水检测结果一览表    单位：mg/L，pH无量纲</w:t>
      </w:r>
    </w:p>
    <w:tbl>
      <w:tblPr>
        <w:tblStyle w:val="36"/>
        <w:tblW w:w="4997"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659"/>
        <w:gridCol w:w="1073"/>
        <w:gridCol w:w="1574"/>
        <w:gridCol w:w="1120"/>
        <w:gridCol w:w="687"/>
        <w:gridCol w:w="912"/>
        <w:gridCol w:w="665"/>
        <w:gridCol w:w="665"/>
        <w:gridCol w:w="665"/>
        <w:gridCol w:w="666"/>
        <w:gridCol w:w="942"/>
        <w:gridCol w:w="838"/>
        <w:gridCol w:w="985"/>
        <w:gridCol w:w="806"/>
        <w:gridCol w:w="900"/>
      </w:tblGrid>
      <w:tr w14:paraId="62D1E87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85" w:type="pct"/>
            <w:vMerge w:val="restart"/>
            <w:vAlign w:val="center"/>
          </w:tcPr>
          <w:p w14:paraId="4DC8C06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bCs/>
                <w:sz w:val="21"/>
                <w:szCs w:val="21"/>
                <w:highlight w:val="none"/>
                <w:vertAlign w:val="baseline"/>
                <w:lang w:val="en-US" w:eastAsia="zh-CN"/>
              </w:rPr>
            </w:pPr>
            <w:r>
              <w:rPr>
                <w:rFonts w:hint="eastAsia"/>
                <w:b/>
                <w:bCs/>
                <w:sz w:val="21"/>
                <w:szCs w:val="21"/>
                <w:highlight w:val="none"/>
                <w:vertAlign w:val="baseline"/>
                <w:lang w:val="en-US" w:eastAsia="zh-CN"/>
              </w:rPr>
              <w:t>采样点位</w:t>
            </w:r>
          </w:p>
        </w:tc>
        <w:tc>
          <w:tcPr>
            <w:tcW w:w="378" w:type="pct"/>
            <w:vMerge w:val="restart"/>
            <w:shd w:val="clear" w:color="auto" w:fill="auto"/>
            <w:vAlign w:val="center"/>
          </w:tcPr>
          <w:p w14:paraId="2982CD8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bCs/>
                <w:sz w:val="21"/>
                <w:szCs w:val="21"/>
                <w:highlight w:val="none"/>
                <w:vertAlign w:val="baseline"/>
                <w:lang w:val="en-US" w:eastAsia="zh-CN"/>
              </w:rPr>
            </w:pPr>
            <w:r>
              <w:rPr>
                <w:rFonts w:hint="eastAsia"/>
                <w:b/>
                <w:bCs/>
                <w:sz w:val="21"/>
                <w:szCs w:val="21"/>
                <w:highlight w:val="none"/>
                <w:vertAlign w:val="baseline"/>
                <w:lang w:val="en-US" w:eastAsia="zh-CN"/>
              </w:rPr>
              <w:t>采样日期</w:t>
            </w:r>
          </w:p>
        </w:tc>
        <w:tc>
          <w:tcPr>
            <w:tcW w:w="555" w:type="pct"/>
            <w:vMerge w:val="restart"/>
            <w:shd w:val="clear" w:color="auto" w:fill="auto"/>
            <w:vAlign w:val="center"/>
          </w:tcPr>
          <w:p w14:paraId="6392EF5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bCs/>
                <w:sz w:val="21"/>
                <w:szCs w:val="21"/>
                <w:highlight w:val="none"/>
                <w:vertAlign w:val="baseline"/>
                <w:lang w:val="en-US" w:eastAsia="zh-CN"/>
              </w:rPr>
            </w:pPr>
            <w:r>
              <w:rPr>
                <w:rFonts w:hint="eastAsia"/>
                <w:b/>
                <w:bCs/>
                <w:sz w:val="21"/>
                <w:szCs w:val="21"/>
                <w:highlight w:val="none"/>
                <w:vertAlign w:val="baseline"/>
                <w:lang w:val="en-US" w:eastAsia="zh-CN"/>
              </w:rPr>
              <w:t>经纬度坐标</w:t>
            </w:r>
          </w:p>
        </w:tc>
        <w:tc>
          <w:tcPr>
            <w:tcW w:w="395" w:type="pct"/>
            <w:vMerge w:val="restart"/>
            <w:vAlign w:val="center"/>
          </w:tcPr>
          <w:p w14:paraId="68B0CF8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b/>
                <w:bCs/>
                <w:sz w:val="21"/>
                <w:szCs w:val="21"/>
                <w:highlight w:val="none"/>
                <w:vertAlign w:val="baseline"/>
                <w:lang w:val="en-US" w:eastAsia="zh-CN"/>
              </w:rPr>
            </w:pPr>
            <w:r>
              <w:rPr>
                <w:rFonts w:hint="eastAsia"/>
                <w:b/>
                <w:bCs/>
                <w:sz w:val="21"/>
                <w:szCs w:val="21"/>
                <w:highlight w:val="none"/>
                <w:vertAlign w:val="baseline"/>
                <w:lang w:val="en-US" w:eastAsia="zh-CN"/>
              </w:rPr>
              <w:t>样品状态</w:t>
            </w:r>
          </w:p>
        </w:tc>
        <w:tc>
          <w:tcPr>
            <w:tcW w:w="3083" w:type="pct"/>
            <w:gridSpan w:val="11"/>
            <w:vAlign w:val="center"/>
          </w:tcPr>
          <w:p w14:paraId="2BBF5A2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b/>
                <w:bCs/>
                <w:sz w:val="21"/>
                <w:szCs w:val="21"/>
                <w:highlight w:val="none"/>
                <w:vertAlign w:val="baseline"/>
                <w:lang w:val="en-US" w:eastAsia="zh-CN"/>
              </w:rPr>
            </w:pPr>
            <w:r>
              <w:rPr>
                <w:rFonts w:hint="eastAsia"/>
                <w:b/>
                <w:bCs/>
                <w:sz w:val="21"/>
                <w:szCs w:val="21"/>
                <w:highlight w:val="none"/>
                <w:vertAlign w:val="baseline"/>
                <w:lang w:val="en-US" w:eastAsia="zh-CN"/>
              </w:rPr>
              <w:t>检测项目及检测结果</w:t>
            </w:r>
          </w:p>
        </w:tc>
      </w:tr>
      <w:tr w14:paraId="569B19B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85" w:type="pct"/>
            <w:vMerge w:val="continue"/>
            <w:vAlign w:val="center"/>
          </w:tcPr>
          <w:p w14:paraId="5045847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bCs/>
                <w:sz w:val="21"/>
                <w:szCs w:val="21"/>
                <w:highlight w:val="none"/>
                <w:vertAlign w:val="baseline"/>
                <w:lang w:val="en-US" w:eastAsia="zh-CN"/>
              </w:rPr>
            </w:pPr>
          </w:p>
        </w:tc>
        <w:tc>
          <w:tcPr>
            <w:tcW w:w="378" w:type="pct"/>
            <w:vMerge w:val="continue"/>
            <w:vAlign w:val="center"/>
          </w:tcPr>
          <w:p w14:paraId="6C452EB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bCs/>
                <w:sz w:val="21"/>
                <w:szCs w:val="21"/>
                <w:highlight w:val="none"/>
                <w:vertAlign w:val="baseline"/>
                <w:lang w:val="en-US" w:eastAsia="zh-CN"/>
              </w:rPr>
            </w:pPr>
          </w:p>
        </w:tc>
        <w:tc>
          <w:tcPr>
            <w:tcW w:w="555" w:type="pct"/>
            <w:vMerge w:val="continue"/>
            <w:shd w:val="clear" w:color="auto" w:fill="auto"/>
            <w:vAlign w:val="center"/>
          </w:tcPr>
          <w:p w14:paraId="4878330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vertAlign w:val="baseline"/>
                <w:lang w:val="en-US" w:eastAsia="zh-CN" w:bidi="ar-SA"/>
              </w:rPr>
            </w:pPr>
          </w:p>
        </w:tc>
        <w:tc>
          <w:tcPr>
            <w:tcW w:w="395" w:type="pct"/>
            <w:vMerge w:val="continue"/>
            <w:vAlign w:val="center"/>
          </w:tcPr>
          <w:p w14:paraId="37F710D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bCs/>
                <w:sz w:val="21"/>
                <w:szCs w:val="21"/>
                <w:highlight w:val="none"/>
                <w:vertAlign w:val="baseline"/>
                <w:lang w:val="en-US" w:eastAsia="zh-CN"/>
              </w:rPr>
            </w:pPr>
          </w:p>
        </w:tc>
        <w:tc>
          <w:tcPr>
            <w:tcW w:w="242" w:type="pct"/>
            <w:shd w:val="clear" w:color="auto" w:fill="auto"/>
            <w:vAlign w:val="center"/>
          </w:tcPr>
          <w:p w14:paraId="53320B5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kern w:val="2"/>
                <w:sz w:val="21"/>
                <w:szCs w:val="21"/>
                <w:highlight w:val="none"/>
                <w:vertAlign w:val="baseline"/>
                <w:lang w:val="en-US" w:eastAsia="zh-CN" w:bidi="ar-SA"/>
              </w:rPr>
            </w:pPr>
            <w:r>
              <w:rPr>
                <w:rFonts w:hint="eastAsia"/>
                <w:b/>
                <w:bCs/>
                <w:sz w:val="21"/>
                <w:szCs w:val="21"/>
                <w:highlight w:val="none"/>
                <w:vertAlign w:val="baseline"/>
                <w:lang w:val="en-US" w:eastAsia="zh-CN"/>
              </w:rPr>
              <w:t>pH</w:t>
            </w:r>
          </w:p>
        </w:tc>
        <w:tc>
          <w:tcPr>
            <w:tcW w:w="322" w:type="pct"/>
            <w:shd w:val="clear" w:color="auto" w:fill="auto"/>
            <w:vAlign w:val="center"/>
          </w:tcPr>
          <w:p w14:paraId="16A0659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kern w:val="2"/>
                <w:sz w:val="21"/>
                <w:szCs w:val="21"/>
                <w:highlight w:val="none"/>
                <w:vertAlign w:val="baseline"/>
                <w:lang w:val="en-US" w:eastAsia="zh-CN" w:bidi="ar-SA"/>
              </w:rPr>
            </w:pPr>
            <w:r>
              <w:rPr>
                <w:rFonts w:hint="eastAsia"/>
                <w:b/>
                <w:bCs/>
                <w:sz w:val="21"/>
                <w:szCs w:val="21"/>
                <w:highlight w:val="none"/>
                <w:vertAlign w:val="baseline"/>
                <w:lang w:val="en-US" w:eastAsia="zh-CN"/>
              </w:rPr>
              <w:t>氰化物</w:t>
            </w:r>
          </w:p>
        </w:tc>
        <w:tc>
          <w:tcPr>
            <w:tcW w:w="234" w:type="pct"/>
            <w:shd w:val="clear" w:color="auto" w:fill="auto"/>
            <w:vAlign w:val="center"/>
          </w:tcPr>
          <w:p w14:paraId="332786D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kern w:val="2"/>
                <w:sz w:val="21"/>
                <w:szCs w:val="21"/>
                <w:highlight w:val="none"/>
                <w:vertAlign w:val="baseline"/>
                <w:lang w:val="en-US" w:eastAsia="zh-CN" w:bidi="ar-SA"/>
              </w:rPr>
            </w:pPr>
            <w:r>
              <w:rPr>
                <w:rFonts w:hint="eastAsia"/>
                <w:b/>
                <w:bCs/>
                <w:sz w:val="21"/>
                <w:szCs w:val="21"/>
                <w:highlight w:val="none"/>
                <w:vertAlign w:val="baseline"/>
                <w:lang w:val="en-US" w:eastAsia="zh-CN"/>
              </w:rPr>
              <w:t>总铬</w:t>
            </w:r>
          </w:p>
        </w:tc>
        <w:tc>
          <w:tcPr>
            <w:tcW w:w="234" w:type="pct"/>
            <w:shd w:val="clear" w:color="auto" w:fill="auto"/>
            <w:vAlign w:val="center"/>
          </w:tcPr>
          <w:p w14:paraId="74934E0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kern w:val="2"/>
                <w:sz w:val="21"/>
                <w:szCs w:val="21"/>
                <w:highlight w:val="none"/>
                <w:vertAlign w:val="baseline"/>
                <w:lang w:val="en-US" w:eastAsia="zh-CN" w:bidi="ar-SA"/>
              </w:rPr>
            </w:pPr>
            <w:r>
              <w:rPr>
                <w:rFonts w:hint="eastAsia"/>
                <w:b/>
                <w:bCs/>
                <w:sz w:val="21"/>
                <w:szCs w:val="21"/>
                <w:highlight w:val="none"/>
                <w:vertAlign w:val="baseline"/>
                <w:lang w:val="en-US" w:eastAsia="zh-CN"/>
              </w:rPr>
              <w:t>镍</w:t>
            </w:r>
          </w:p>
        </w:tc>
        <w:tc>
          <w:tcPr>
            <w:tcW w:w="234" w:type="pct"/>
            <w:shd w:val="clear" w:color="auto" w:fill="auto"/>
            <w:vAlign w:val="center"/>
          </w:tcPr>
          <w:p w14:paraId="5ED25B9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kern w:val="2"/>
                <w:sz w:val="21"/>
                <w:szCs w:val="21"/>
                <w:highlight w:val="none"/>
                <w:vertAlign w:val="baseline"/>
                <w:lang w:val="en-US" w:eastAsia="zh-CN" w:bidi="ar-SA"/>
              </w:rPr>
            </w:pPr>
            <w:r>
              <w:rPr>
                <w:rFonts w:hint="eastAsia"/>
                <w:b/>
                <w:bCs/>
                <w:sz w:val="21"/>
                <w:szCs w:val="21"/>
                <w:highlight w:val="none"/>
                <w:vertAlign w:val="baseline"/>
                <w:lang w:val="en-US" w:eastAsia="zh-CN"/>
              </w:rPr>
              <w:t>铜</w:t>
            </w:r>
          </w:p>
        </w:tc>
        <w:tc>
          <w:tcPr>
            <w:tcW w:w="235" w:type="pct"/>
            <w:shd w:val="clear" w:color="auto" w:fill="auto"/>
            <w:vAlign w:val="center"/>
          </w:tcPr>
          <w:p w14:paraId="5795042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kern w:val="2"/>
                <w:sz w:val="21"/>
                <w:szCs w:val="21"/>
                <w:highlight w:val="none"/>
                <w:vertAlign w:val="baseline"/>
                <w:lang w:val="en-US" w:eastAsia="zh-CN" w:bidi="ar-SA"/>
              </w:rPr>
            </w:pPr>
            <w:r>
              <w:rPr>
                <w:rFonts w:hint="eastAsia"/>
                <w:b/>
                <w:bCs/>
                <w:sz w:val="21"/>
                <w:szCs w:val="21"/>
                <w:highlight w:val="none"/>
                <w:vertAlign w:val="baseline"/>
                <w:lang w:val="en-US" w:eastAsia="zh-CN"/>
              </w:rPr>
              <w:t>锌</w:t>
            </w:r>
          </w:p>
        </w:tc>
        <w:tc>
          <w:tcPr>
            <w:tcW w:w="332" w:type="pct"/>
            <w:shd w:val="clear" w:color="auto" w:fill="auto"/>
            <w:vAlign w:val="center"/>
          </w:tcPr>
          <w:p w14:paraId="2DA264C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kern w:val="2"/>
                <w:sz w:val="21"/>
                <w:szCs w:val="21"/>
                <w:highlight w:val="none"/>
                <w:vertAlign w:val="baseline"/>
                <w:lang w:val="en-US" w:eastAsia="zh-CN" w:bidi="ar-SA"/>
              </w:rPr>
            </w:pPr>
            <w:r>
              <w:rPr>
                <w:rFonts w:hint="eastAsia"/>
                <w:b/>
                <w:bCs/>
                <w:sz w:val="21"/>
                <w:szCs w:val="21"/>
                <w:highlight w:val="none"/>
                <w:vertAlign w:val="baseline"/>
                <w:lang w:val="en-US" w:eastAsia="zh-CN"/>
              </w:rPr>
              <w:t>砷</w:t>
            </w:r>
          </w:p>
        </w:tc>
        <w:tc>
          <w:tcPr>
            <w:tcW w:w="295" w:type="pct"/>
            <w:shd w:val="clear" w:color="auto" w:fill="auto"/>
            <w:vAlign w:val="center"/>
          </w:tcPr>
          <w:p w14:paraId="6255B62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kern w:val="2"/>
                <w:sz w:val="21"/>
                <w:szCs w:val="21"/>
                <w:highlight w:val="none"/>
                <w:vertAlign w:val="baseline"/>
                <w:lang w:val="en-US" w:eastAsia="zh-CN" w:bidi="ar-SA"/>
              </w:rPr>
            </w:pPr>
            <w:r>
              <w:rPr>
                <w:rFonts w:hint="eastAsia"/>
                <w:b/>
                <w:bCs/>
                <w:sz w:val="21"/>
                <w:szCs w:val="21"/>
                <w:highlight w:val="none"/>
                <w:vertAlign w:val="baseline"/>
                <w:lang w:val="en-US" w:eastAsia="zh-CN"/>
              </w:rPr>
              <w:t>镉</w:t>
            </w:r>
          </w:p>
        </w:tc>
        <w:tc>
          <w:tcPr>
            <w:tcW w:w="347" w:type="pct"/>
            <w:shd w:val="clear" w:color="auto" w:fill="auto"/>
            <w:vAlign w:val="center"/>
          </w:tcPr>
          <w:p w14:paraId="7CBA05F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kern w:val="2"/>
                <w:sz w:val="21"/>
                <w:szCs w:val="21"/>
                <w:highlight w:val="none"/>
                <w:vertAlign w:val="baseline"/>
                <w:lang w:val="en-US" w:eastAsia="zh-CN" w:bidi="ar-SA"/>
              </w:rPr>
            </w:pPr>
            <w:r>
              <w:rPr>
                <w:rFonts w:hint="eastAsia"/>
                <w:b/>
                <w:bCs/>
                <w:sz w:val="21"/>
                <w:szCs w:val="21"/>
                <w:highlight w:val="none"/>
                <w:vertAlign w:val="baseline"/>
                <w:lang w:val="en-US" w:eastAsia="zh-CN"/>
              </w:rPr>
              <w:t>铅</w:t>
            </w:r>
          </w:p>
        </w:tc>
        <w:tc>
          <w:tcPr>
            <w:tcW w:w="284" w:type="pct"/>
            <w:shd w:val="clear" w:color="auto" w:fill="auto"/>
            <w:vAlign w:val="center"/>
          </w:tcPr>
          <w:p w14:paraId="66D5D04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kern w:val="2"/>
                <w:sz w:val="21"/>
                <w:szCs w:val="21"/>
                <w:highlight w:val="none"/>
                <w:vertAlign w:val="baseline"/>
                <w:lang w:val="en-US" w:eastAsia="zh-CN" w:bidi="ar-SA"/>
              </w:rPr>
            </w:pPr>
            <w:r>
              <w:rPr>
                <w:rFonts w:hint="eastAsia"/>
                <w:b/>
                <w:bCs/>
                <w:sz w:val="21"/>
                <w:szCs w:val="21"/>
                <w:highlight w:val="none"/>
                <w:vertAlign w:val="baseline"/>
                <w:lang w:val="en-US" w:eastAsia="zh-CN"/>
              </w:rPr>
              <w:t>汞</w:t>
            </w:r>
          </w:p>
        </w:tc>
        <w:tc>
          <w:tcPr>
            <w:tcW w:w="317" w:type="pct"/>
            <w:shd w:val="clear" w:color="auto" w:fill="auto"/>
            <w:vAlign w:val="center"/>
          </w:tcPr>
          <w:p w14:paraId="4623FBE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bCs/>
                <w:sz w:val="21"/>
                <w:szCs w:val="21"/>
                <w:highlight w:val="none"/>
                <w:vertAlign w:val="baseline"/>
                <w:lang w:val="en-US" w:eastAsia="zh-CN"/>
              </w:rPr>
            </w:pPr>
            <w:r>
              <w:rPr>
                <w:rFonts w:hint="eastAsia"/>
                <w:b/>
                <w:bCs/>
                <w:sz w:val="21"/>
                <w:szCs w:val="21"/>
                <w:highlight w:val="none"/>
                <w:vertAlign w:val="baseline"/>
                <w:lang w:val="en-US" w:eastAsia="zh-CN"/>
              </w:rPr>
              <w:t>六价铬</w:t>
            </w:r>
          </w:p>
        </w:tc>
      </w:tr>
      <w:tr w14:paraId="510DE54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85" w:type="pct"/>
            <w:vMerge w:val="restart"/>
            <w:vAlign w:val="center"/>
          </w:tcPr>
          <w:p w14:paraId="1D48007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南尧村1#废渣堆无名小溪</w:t>
            </w:r>
          </w:p>
        </w:tc>
        <w:tc>
          <w:tcPr>
            <w:tcW w:w="378" w:type="pct"/>
            <w:shd w:val="clear" w:color="auto" w:fill="auto"/>
            <w:vAlign w:val="center"/>
          </w:tcPr>
          <w:p w14:paraId="5DA2AE9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eastAsia"/>
                <w:sz w:val="21"/>
                <w:szCs w:val="21"/>
                <w:highlight w:val="none"/>
                <w:vertAlign w:val="baseline"/>
                <w:lang w:val="en-US" w:eastAsia="zh-CN"/>
              </w:rPr>
              <w:t>2022.6.27</w:t>
            </w:r>
          </w:p>
        </w:tc>
        <w:tc>
          <w:tcPr>
            <w:tcW w:w="555" w:type="pct"/>
            <w:vMerge w:val="restart"/>
            <w:shd w:val="clear" w:color="auto" w:fill="auto"/>
            <w:vAlign w:val="center"/>
          </w:tcPr>
          <w:p w14:paraId="3AAF4C8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default"/>
                <w:sz w:val="21"/>
                <w:szCs w:val="21"/>
                <w:highlight w:val="none"/>
                <w:vertAlign w:val="baseline"/>
                <w:lang w:val="en-US" w:eastAsia="zh-CN"/>
              </w:rPr>
              <w:t>E</w:t>
            </w:r>
            <w:r>
              <w:rPr>
                <w:rFonts w:hint="eastAsia"/>
                <w:sz w:val="21"/>
                <w:szCs w:val="21"/>
                <w:highlight w:val="none"/>
                <w:vertAlign w:val="baseline"/>
                <w:lang w:val="en-US" w:eastAsia="zh-CN"/>
              </w:rPr>
              <w:t>：113.546405；</w:t>
            </w:r>
            <w:r>
              <w:rPr>
                <w:rFonts w:hint="default"/>
                <w:sz w:val="21"/>
                <w:szCs w:val="21"/>
                <w:highlight w:val="none"/>
                <w:vertAlign w:val="baseline"/>
                <w:lang w:val="en-US" w:eastAsia="zh-CN"/>
              </w:rPr>
              <w:t>N</w:t>
            </w:r>
            <w:r>
              <w:rPr>
                <w:rFonts w:hint="eastAsia"/>
                <w:sz w:val="21"/>
                <w:szCs w:val="21"/>
                <w:highlight w:val="none"/>
                <w:vertAlign w:val="baseline"/>
                <w:lang w:val="en-US" w:eastAsia="zh-CN"/>
              </w:rPr>
              <w:t>：28.649990</w:t>
            </w:r>
          </w:p>
        </w:tc>
        <w:tc>
          <w:tcPr>
            <w:tcW w:w="395" w:type="pct"/>
            <w:vAlign w:val="center"/>
          </w:tcPr>
          <w:p w14:paraId="3B38A1B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透明、无异味</w:t>
            </w:r>
          </w:p>
        </w:tc>
        <w:tc>
          <w:tcPr>
            <w:tcW w:w="242" w:type="pct"/>
            <w:vAlign w:val="center"/>
          </w:tcPr>
          <w:p w14:paraId="0E09C0D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6.8</w:t>
            </w:r>
          </w:p>
        </w:tc>
        <w:tc>
          <w:tcPr>
            <w:tcW w:w="322" w:type="pct"/>
            <w:vAlign w:val="center"/>
          </w:tcPr>
          <w:p w14:paraId="219E9BD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ND</w:t>
            </w:r>
          </w:p>
        </w:tc>
        <w:tc>
          <w:tcPr>
            <w:tcW w:w="234" w:type="pct"/>
            <w:vAlign w:val="center"/>
          </w:tcPr>
          <w:p w14:paraId="2B75BC7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ND</w:t>
            </w:r>
          </w:p>
        </w:tc>
        <w:tc>
          <w:tcPr>
            <w:tcW w:w="234" w:type="pct"/>
            <w:vAlign w:val="center"/>
          </w:tcPr>
          <w:p w14:paraId="48A18DD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ND</w:t>
            </w:r>
          </w:p>
        </w:tc>
        <w:tc>
          <w:tcPr>
            <w:tcW w:w="234" w:type="pct"/>
            <w:vAlign w:val="center"/>
          </w:tcPr>
          <w:p w14:paraId="5E7FB91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ND</w:t>
            </w:r>
          </w:p>
        </w:tc>
        <w:tc>
          <w:tcPr>
            <w:tcW w:w="235" w:type="pct"/>
            <w:vAlign w:val="center"/>
          </w:tcPr>
          <w:p w14:paraId="29BA32F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ND</w:t>
            </w:r>
          </w:p>
        </w:tc>
        <w:tc>
          <w:tcPr>
            <w:tcW w:w="332" w:type="pct"/>
            <w:vAlign w:val="center"/>
          </w:tcPr>
          <w:p w14:paraId="7F10893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bCs/>
                <w:sz w:val="21"/>
                <w:szCs w:val="21"/>
                <w:highlight w:val="none"/>
                <w:vertAlign w:val="baseline"/>
                <w:lang w:val="en-US" w:eastAsia="zh-CN"/>
              </w:rPr>
            </w:pPr>
            <w:r>
              <w:rPr>
                <w:rFonts w:hint="eastAsia"/>
                <w:b/>
                <w:bCs/>
                <w:sz w:val="21"/>
                <w:szCs w:val="21"/>
                <w:highlight w:val="none"/>
                <w:vertAlign w:val="baseline"/>
                <w:lang w:val="en-US" w:eastAsia="zh-CN"/>
              </w:rPr>
              <w:t>0.0548</w:t>
            </w:r>
          </w:p>
        </w:tc>
        <w:tc>
          <w:tcPr>
            <w:tcW w:w="295" w:type="pct"/>
            <w:vAlign w:val="center"/>
          </w:tcPr>
          <w:p w14:paraId="3A88028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ND</w:t>
            </w:r>
          </w:p>
        </w:tc>
        <w:tc>
          <w:tcPr>
            <w:tcW w:w="347" w:type="pct"/>
            <w:vAlign w:val="center"/>
          </w:tcPr>
          <w:p w14:paraId="334978C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0.00015</w:t>
            </w:r>
          </w:p>
        </w:tc>
        <w:tc>
          <w:tcPr>
            <w:tcW w:w="284" w:type="pct"/>
            <w:vAlign w:val="center"/>
          </w:tcPr>
          <w:p w14:paraId="7A110D3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ND</w:t>
            </w:r>
          </w:p>
        </w:tc>
        <w:tc>
          <w:tcPr>
            <w:tcW w:w="317" w:type="pct"/>
            <w:vAlign w:val="center"/>
          </w:tcPr>
          <w:p w14:paraId="4F69193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ND</w:t>
            </w:r>
          </w:p>
        </w:tc>
      </w:tr>
      <w:tr w14:paraId="20A9762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85" w:type="pct"/>
            <w:vMerge w:val="continue"/>
            <w:vAlign w:val="center"/>
          </w:tcPr>
          <w:p w14:paraId="7FB22D3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p>
        </w:tc>
        <w:tc>
          <w:tcPr>
            <w:tcW w:w="378" w:type="pct"/>
            <w:shd w:val="clear" w:color="auto" w:fill="auto"/>
            <w:vAlign w:val="center"/>
          </w:tcPr>
          <w:p w14:paraId="3BB2960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kern w:val="2"/>
                <w:sz w:val="21"/>
                <w:szCs w:val="21"/>
                <w:highlight w:val="none"/>
                <w:vertAlign w:val="baseline"/>
                <w:lang w:val="en-US" w:eastAsia="zh-CN" w:bidi="ar-SA"/>
              </w:rPr>
            </w:pPr>
            <w:r>
              <w:rPr>
                <w:rFonts w:hint="eastAsia" w:cs="Times New Roman"/>
                <w:b w:val="0"/>
                <w:bCs w:val="0"/>
                <w:kern w:val="2"/>
                <w:sz w:val="21"/>
                <w:szCs w:val="21"/>
                <w:highlight w:val="none"/>
                <w:vertAlign w:val="baseline"/>
                <w:lang w:val="en-US" w:eastAsia="zh-CN" w:bidi="ar-SA"/>
              </w:rPr>
              <w:t>2022.6.28</w:t>
            </w:r>
          </w:p>
        </w:tc>
        <w:tc>
          <w:tcPr>
            <w:tcW w:w="555" w:type="pct"/>
            <w:vMerge w:val="continue"/>
            <w:vAlign w:val="center"/>
          </w:tcPr>
          <w:p w14:paraId="3B4D326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p>
        </w:tc>
        <w:tc>
          <w:tcPr>
            <w:tcW w:w="395" w:type="pct"/>
            <w:vAlign w:val="center"/>
          </w:tcPr>
          <w:p w14:paraId="4489F04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透明、无异味</w:t>
            </w:r>
          </w:p>
        </w:tc>
        <w:tc>
          <w:tcPr>
            <w:tcW w:w="242" w:type="pct"/>
            <w:vAlign w:val="center"/>
          </w:tcPr>
          <w:p w14:paraId="3BA128F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6.8</w:t>
            </w:r>
          </w:p>
        </w:tc>
        <w:tc>
          <w:tcPr>
            <w:tcW w:w="322" w:type="pct"/>
            <w:shd w:val="clear" w:color="auto" w:fill="auto"/>
            <w:vAlign w:val="center"/>
          </w:tcPr>
          <w:p w14:paraId="2D419FC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eastAsia"/>
                <w:sz w:val="21"/>
                <w:szCs w:val="21"/>
                <w:highlight w:val="none"/>
                <w:vertAlign w:val="baseline"/>
                <w:lang w:val="en-US" w:eastAsia="zh-CN"/>
              </w:rPr>
              <w:t>ND</w:t>
            </w:r>
          </w:p>
        </w:tc>
        <w:tc>
          <w:tcPr>
            <w:tcW w:w="234" w:type="pct"/>
            <w:shd w:val="clear" w:color="auto" w:fill="auto"/>
            <w:vAlign w:val="center"/>
          </w:tcPr>
          <w:p w14:paraId="6DF9FBC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eastAsia"/>
                <w:sz w:val="21"/>
                <w:szCs w:val="21"/>
                <w:highlight w:val="none"/>
                <w:vertAlign w:val="baseline"/>
                <w:lang w:val="en-US" w:eastAsia="zh-CN"/>
              </w:rPr>
              <w:t>ND</w:t>
            </w:r>
          </w:p>
        </w:tc>
        <w:tc>
          <w:tcPr>
            <w:tcW w:w="234" w:type="pct"/>
            <w:shd w:val="clear" w:color="auto" w:fill="auto"/>
            <w:vAlign w:val="center"/>
          </w:tcPr>
          <w:p w14:paraId="3110585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eastAsia"/>
                <w:sz w:val="21"/>
                <w:szCs w:val="21"/>
                <w:highlight w:val="none"/>
                <w:vertAlign w:val="baseline"/>
                <w:lang w:val="en-US" w:eastAsia="zh-CN"/>
              </w:rPr>
              <w:t>ND</w:t>
            </w:r>
          </w:p>
        </w:tc>
        <w:tc>
          <w:tcPr>
            <w:tcW w:w="234" w:type="pct"/>
            <w:shd w:val="clear" w:color="auto" w:fill="auto"/>
            <w:vAlign w:val="center"/>
          </w:tcPr>
          <w:p w14:paraId="48BA577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eastAsia"/>
                <w:sz w:val="21"/>
                <w:szCs w:val="21"/>
                <w:highlight w:val="none"/>
                <w:vertAlign w:val="baseline"/>
                <w:lang w:val="en-US" w:eastAsia="zh-CN"/>
              </w:rPr>
              <w:t>ND</w:t>
            </w:r>
          </w:p>
        </w:tc>
        <w:tc>
          <w:tcPr>
            <w:tcW w:w="235" w:type="pct"/>
            <w:shd w:val="clear" w:color="auto" w:fill="auto"/>
            <w:vAlign w:val="center"/>
          </w:tcPr>
          <w:p w14:paraId="557E3A8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eastAsia"/>
                <w:sz w:val="21"/>
                <w:szCs w:val="21"/>
                <w:highlight w:val="none"/>
                <w:vertAlign w:val="baseline"/>
                <w:lang w:val="en-US" w:eastAsia="zh-CN"/>
              </w:rPr>
              <w:t>ND</w:t>
            </w:r>
          </w:p>
        </w:tc>
        <w:tc>
          <w:tcPr>
            <w:tcW w:w="332" w:type="pct"/>
            <w:vAlign w:val="center"/>
          </w:tcPr>
          <w:p w14:paraId="7462999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bCs/>
                <w:sz w:val="21"/>
                <w:szCs w:val="21"/>
                <w:highlight w:val="none"/>
                <w:vertAlign w:val="baseline"/>
                <w:lang w:val="en-US" w:eastAsia="zh-CN"/>
              </w:rPr>
            </w:pPr>
            <w:r>
              <w:rPr>
                <w:rFonts w:hint="eastAsia"/>
                <w:b/>
                <w:bCs/>
                <w:sz w:val="21"/>
                <w:szCs w:val="21"/>
                <w:highlight w:val="none"/>
                <w:vertAlign w:val="baseline"/>
                <w:lang w:val="en-US" w:eastAsia="zh-CN"/>
              </w:rPr>
              <w:t>0.0538</w:t>
            </w:r>
          </w:p>
        </w:tc>
        <w:tc>
          <w:tcPr>
            <w:tcW w:w="295" w:type="pct"/>
            <w:vAlign w:val="center"/>
          </w:tcPr>
          <w:p w14:paraId="0FF1DC0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ND</w:t>
            </w:r>
          </w:p>
        </w:tc>
        <w:tc>
          <w:tcPr>
            <w:tcW w:w="347" w:type="pct"/>
            <w:vAlign w:val="center"/>
          </w:tcPr>
          <w:p w14:paraId="6F506B1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0.00014</w:t>
            </w:r>
          </w:p>
        </w:tc>
        <w:tc>
          <w:tcPr>
            <w:tcW w:w="284" w:type="pct"/>
            <w:vAlign w:val="center"/>
          </w:tcPr>
          <w:p w14:paraId="69924D0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ND</w:t>
            </w:r>
          </w:p>
        </w:tc>
        <w:tc>
          <w:tcPr>
            <w:tcW w:w="317" w:type="pct"/>
            <w:vAlign w:val="center"/>
          </w:tcPr>
          <w:p w14:paraId="5F6F3D3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ND</w:t>
            </w:r>
          </w:p>
        </w:tc>
      </w:tr>
      <w:tr w14:paraId="47D60F5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85" w:type="pct"/>
            <w:vMerge w:val="restart"/>
            <w:shd w:val="clear" w:color="auto" w:fill="auto"/>
            <w:vAlign w:val="center"/>
          </w:tcPr>
          <w:p w14:paraId="437A29A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eastAsia"/>
                <w:sz w:val="21"/>
                <w:szCs w:val="21"/>
                <w:highlight w:val="none"/>
                <w:vertAlign w:val="baseline"/>
                <w:lang w:val="en-US" w:eastAsia="zh-CN"/>
              </w:rPr>
              <w:t>南尧村1#废渣堆旁水塘</w:t>
            </w:r>
          </w:p>
        </w:tc>
        <w:tc>
          <w:tcPr>
            <w:tcW w:w="378" w:type="pct"/>
            <w:shd w:val="clear" w:color="auto" w:fill="auto"/>
            <w:vAlign w:val="center"/>
          </w:tcPr>
          <w:p w14:paraId="784F215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eastAsia"/>
                <w:sz w:val="21"/>
                <w:szCs w:val="21"/>
                <w:highlight w:val="none"/>
                <w:vertAlign w:val="baseline"/>
                <w:lang w:val="en-US" w:eastAsia="zh-CN"/>
              </w:rPr>
              <w:t>2022.6.27</w:t>
            </w:r>
          </w:p>
        </w:tc>
        <w:tc>
          <w:tcPr>
            <w:tcW w:w="555" w:type="pct"/>
            <w:vMerge w:val="restart"/>
            <w:vAlign w:val="center"/>
          </w:tcPr>
          <w:p w14:paraId="66F79CB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default"/>
                <w:sz w:val="21"/>
                <w:szCs w:val="21"/>
                <w:highlight w:val="none"/>
                <w:vertAlign w:val="baseline"/>
                <w:lang w:val="en-US" w:eastAsia="zh-CN"/>
              </w:rPr>
              <w:t>E</w:t>
            </w:r>
            <w:r>
              <w:rPr>
                <w:rFonts w:hint="eastAsia"/>
                <w:sz w:val="21"/>
                <w:szCs w:val="21"/>
                <w:highlight w:val="none"/>
                <w:vertAlign w:val="baseline"/>
                <w:lang w:val="en-US" w:eastAsia="zh-CN"/>
              </w:rPr>
              <w:t>：113.548220；</w:t>
            </w:r>
            <w:r>
              <w:rPr>
                <w:rFonts w:hint="default"/>
                <w:sz w:val="21"/>
                <w:szCs w:val="21"/>
                <w:highlight w:val="none"/>
                <w:vertAlign w:val="baseline"/>
                <w:lang w:val="en-US" w:eastAsia="zh-CN"/>
              </w:rPr>
              <w:t>N</w:t>
            </w:r>
            <w:r>
              <w:rPr>
                <w:rFonts w:hint="eastAsia"/>
                <w:sz w:val="21"/>
                <w:szCs w:val="21"/>
                <w:highlight w:val="none"/>
                <w:vertAlign w:val="baseline"/>
                <w:lang w:val="en-US" w:eastAsia="zh-CN"/>
              </w:rPr>
              <w:t>：28.648125</w:t>
            </w:r>
          </w:p>
        </w:tc>
        <w:tc>
          <w:tcPr>
            <w:tcW w:w="395" w:type="pct"/>
            <w:vAlign w:val="center"/>
          </w:tcPr>
          <w:p w14:paraId="6B23023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透明、无异味</w:t>
            </w:r>
          </w:p>
        </w:tc>
        <w:tc>
          <w:tcPr>
            <w:tcW w:w="242" w:type="pct"/>
            <w:vAlign w:val="center"/>
          </w:tcPr>
          <w:p w14:paraId="1D5BB9D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6.7</w:t>
            </w:r>
          </w:p>
        </w:tc>
        <w:tc>
          <w:tcPr>
            <w:tcW w:w="322" w:type="pct"/>
            <w:shd w:val="clear" w:color="auto" w:fill="auto"/>
            <w:vAlign w:val="center"/>
          </w:tcPr>
          <w:p w14:paraId="2BAF6AD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eastAsia"/>
                <w:sz w:val="21"/>
                <w:szCs w:val="21"/>
                <w:highlight w:val="none"/>
                <w:vertAlign w:val="baseline"/>
                <w:lang w:val="en-US" w:eastAsia="zh-CN"/>
              </w:rPr>
              <w:t>ND</w:t>
            </w:r>
          </w:p>
        </w:tc>
        <w:tc>
          <w:tcPr>
            <w:tcW w:w="234" w:type="pct"/>
            <w:shd w:val="clear" w:color="auto" w:fill="auto"/>
            <w:vAlign w:val="center"/>
          </w:tcPr>
          <w:p w14:paraId="258DFF0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eastAsia"/>
                <w:sz w:val="21"/>
                <w:szCs w:val="21"/>
                <w:highlight w:val="none"/>
                <w:vertAlign w:val="baseline"/>
                <w:lang w:val="en-US" w:eastAsia="zh-CN"/>
              </w:rPr>
              <w:t>ND</w:t>
            </w:r>
          </w:p>
        </w:tc>
        <w:tc>
          <w:tcPr>
            <w:tcW w:w="234" w:type="pct"/>
            <w:shd w:val="clear" w:color="auto" w:fill="auto"/>
            <w:vAlign w:val="center"/>
          </w:tcPr>
          <w:p w14:paraId="43F5C0F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eastAsia"/>
                <w:sz w:val="21"/>
                <w:szCs w:val="21"/>
                <w:highlight w:val="none"/>
                <w:vertAlign w:val="baseline"/>
                <w:lang w:val="en-US" w:eastAsia="zh-CN"/>
              </w:rPr>
              <w:t>ND</w:t>
            </w:r>
          </w:p>
        </w:tc>
        <w:tc>
          <w:tcPr>
            <w:tcW w:w="234" w:type="pct"/>
            <w:shd w:val="clear" w:color="auto" w:fill="auto"/>
            <w:vAlign w:val="center"/>
          </w:tcPr>
          <w:p w14:paraId="52DE273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eastAsia"/>
                <w:sz w:val="21"/>
                <w:szCs w:val="21"/>
                <w:highlight w:val="none"/>
                <w:vertAlign w:val="baseline"/>
                <w:lang w:val="en-US" w:eastAsia="zh-CN"/>
              </w:rPr>
              <w:t>ND</w:t>
            </w:r>
          </w:p>
        </w:tc>
        <w:tc>
          <w:tcPr>
            <w:tcW w:w="235" w:type="pct"/>
            <w:shd w:val="clear" w:color="auto" w:fill="auto"/>
            <w:vAlign w:val="center"/>
          </w:tcPr>
          <w:p w14:paraId="5BC50E9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eastAsia"/>
                <w:sz w:val="21"/>
                <w:szCs w:val="21"/>
                <w:highlight w:val="none"/>
                <w:vertAlign w:val="baseline"/>
                <w:lang w:val="en-US" w:eastAsia="zh-CN"/>
              </w:rPr>
              <w:t>ND</w:t>
            </w:r>
          </w:p>
        </w:tc>
        <w:tc>
          <w:tcPr>
            <w:tcW w:w="332" w:type="pct"/>
            <w:vAlign w:val="center"/>
          </w:tcPr>
          <w:p w14:paraId="0367D2C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0.0420</w:t>
            </w:r>
          </w:p>
        </w:tc>
        <w:tc>
          <w:tcPr>
            <w:tcW w:w="295" w:type="pct"/>
            <w:shd w:val="clear" w:color="auto" w:fill="auto"/>
            <w:vAlign w:val="center"/>
          </w:tcPr>
          <w:p w14:paraId="2DFA557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eastAsia"/>
                <w:sz w:val="21"/>
                <w:szCs w:val="21"/>
                <w:highlight w:val="none"/>
                <w:vertAlign w:val="baseline"/>
                <w:lang w:val="en-US" w:eastAsia="zh-CN"/>
              </w:rPr>
              <w:t>ND</w:t>
            </w:r>
          </w:p>
        </w:tc>
        <w:tc>
          <w:tcPr>
            <w:tcW w:w="347" w:type="pct"/>
            <w:vAlign w:val="center"/>
          </w:tcPr>
          <w:p w14:paraId="6556943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0.00017</w:t>
            </w:r>
          </w:p>
        </w:tc>
        <w:tc>
          <w:tcPr>
            <w:tcW w:w="284" w:type="pct"/>
            <w:shd w:val="clear" w:color="auto" w:fill="auto"/>
            <w:vAlign w:val="center"/>
          </w:tcPr>
          <w:p w14:paraId="40F149E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eastAsia"/>
                <w:sz w:val="21"/>
                <w:szCs w:val="21"/>
                <w:highlight w:val="none"/>
                <w:vertAlign w:val="baseline"/>
                <w:lang w:val="en-US" w:eastAsia="zh-CN"/>
              </w:rPr>
              <w:t>ND</w:t>
            </w:r>
          </w:p>
        </w:tc>
        <w:tc>
          <w:tcPr>
            <w:tcW w:w="317" w:type="pct"/>
            <w:shd w:val="clear" w:color="auto" w:fill="auto"/>
            <w:vAlign w:val="center"/>
          </w:tcPr>
          <w:p w14:paraId="39E9394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eastAsia"/>
                <w:sz w:val="21"/>
                <w:szCs w:val="21"/>
                <w:highlight w:val="none"/>
                <w:vertAlign w:val="baseline"/>
                <w:lang w:val="en-US" w:eastAsia="zh-CN"/>
              </w:rPr>
              <w:t>ND</w:t>
            </w:r>
          </w:p>
        </w:tc>
      </w:tr>
      <w:tr w14:paraId="747BEF5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85" w:type="pct"/>
            <w:vMerge w:val="continue"/>
            <w:shd w:val="clear" w:color="auto" w:fill="auto"/>
            <w:vAlign w:val="center"/>
          </w:tcPr>
          <w:p w14:paraId="37631E9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vertAlign w:val="baseline"/>
                <w:lang w:val="en-US" w:eastAsia="zh-CN" w:bidi="ar-SA"/>
              </w:rPr>
            </w:pPr>
          </w:p>
        </w:tc>
        <w:tc>
          <w:tcPr>
            <w:tcW w:w="378" w:type="pct"/>
            <w:shd w:val="clear" w:color="auto" w:fill="auto"/>
            <w:vAlign w:val="center"/>
          </w:tcPr>
          <w:p w14:paraId="55C9779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kern w:val="2"/>
                <w:sz w:val="21"/>
                <w:szCs w:val="21"/>
                <w:highlight w:val="none"/>
                <w:vertAlign w:val="baseline"/>
                <w:lang w:val="en-US" w:eastAsia="zh-CN" w:bidi="ar-SA"/>
              </w:rPr>
            </w:pPr>
            <w:r>
              <w:rPr>
                <w:rFonts w:hint="eastAsia" w:cs="Times New Roman"/>
                <w:b w:val="0"/>
                <w:bCs w:val="0"/>
                <w:kern w:val="2"/>
                <w:sz w:val="21"/>
                <w:szCs w:val="21"/>
                <w:highlight w:val="none"/>
                <w:vertAlign w:val="baseline"/>
                <w:lang w:val="en-US" w:eastAsia="zh-CN" w:bidi="ar-SA"/>
              </w:rPr>
              <w:t>2022.6.28</w:t>
            </w:r>
          </w:p>
        </w:tc>
        <w:tc>
          <w:tcPr>
            <w:tcW w:w="555" w:type="pct"/>
            <w:vMerge w:val="continue"/>
            <w:vAlign w:val="center"/>
          </w:tcPr>
          <w:p w14:paraId="79CB89D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p>
        </w:tc>
        <w:tc>
          <w:tcPr>
            <w:tcW w:w="395" w:type="pct"/>
            <w:vAlign w:val="center"/>
          </w:tcPr>
          <w:p w14:paraId="0500893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vertAlign w:val="baseline"/>
                <w:lang w:val="en-US" w:eastAsia="zh-CN"/>
              </w:rPr>
            </w:pPr>
            <w:r>
              <w:rPr>
                <w:rFonts w:hint="eastAsia"/>
                <w:sz w:val="21"/>
                <w:szCs w:val="21"/>
                <w:highlight w:val="none"/>
                <w:vertAlign w:val="baseline"/>
                <w:lang w:val="en-US" w:eastAsia="zh-CN"/>
              </w:rPr>
              <w:t>透明、无异味</w:t>
            </w:r>
          </w:p>
        </w:tc>
        <w:tc>
          <w:tcPr>
            <w:tcW w:w="242" w:type="pct"/>
            <w:vAlign w:val="center"/>
          </w:tcPr>
          <w:p w14:paraId="5C6418D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6.8</w:t>
            </w:r>
          </w:p>
        </w:tc>
        <w:tc>
          <w:tcPr>
            <w:tcW w:w="322" w:type="pct"/>
            <w:shd w:val="clear" w:color="auto" w:fill="auto"/>
            <w:vAlign w:val="center"/>
          </w:tcPr>
          <w:p w14:paraId="373E3AA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eastAsia"/>
                <w:sz w:val="21"/>
                <w:szCs w:val="21"/>
                <w:highlight w:val="none"/>
                <w:vertAlign w:val="baseline"/>
                <w:lang w:val="en-US" w:eastAsia="zh-CN"/>
              </w:rPr>
              <w:t>ND</w:t>
            </w:r>
          </w:p>
        </w:tc>
        <w:tc>
          <w:tcPr>
            <w:tcW w:w="234" w:type="pct"/>
            <w:shd w:val="clear" w:color="auto" w:fill="auto"/>
            <w:vAlign w:val="center"/>
          </w:tcPr>
          <w:p w14:paraId="1726FBC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eastAsia"/>
                <w:sz w:val="21"/>
                <w:szCs w:val="21"/>
                <w:highlight w:val="none"/>
                <w:vertAlign w:val="baseline"/>
                <w:lang w:val="en-US" w:eastAsia="zh-CN"/>
              </w:rPr>
              <w:t>ND</w:t>
            </w:r>
          </w:p>
        </w:tc>
        <w:tc>
          <w:tcPr>
            <w:tcW w:w="234" w:type="pct"/>
            <w:shd w:val="clear" w:color="auto" w:fill="auto"/>
            <w:vAlign w:val="center"/>
          </w:tcPr>
          <w:p w14:paraId="5D14E99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eastAsia"/>
                <w:sz w:val="21"/>
                <w:szCs w:val="21"/>
                <w:highlight w:val="none"/>
                <w:vertAlign w:val="baseline"/>
                <w:lang w:val="en-US" w:eastAsia="zh-CN"/>
              </w:rPr>
              <w:t>ND</w:t>
            </w:r>
          </w:p>
        </w:tc>
        <w:tc>
          <w:tcPr>
            <w:tcW w:w="234" w:type="pct"/>
            <w:shd w:val="clear" w:color="auto" w:fill="auto"/>
            <w:vAlign w:val="center"/>
          </w:tcPr>
          <w:p w14:paraId="4A92733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eastAsia"/>
                <w:sz w:val="21"/>
                <w:szCs w:val="21"/>
                <w:highlight w:val="none"/>
                <w:vertAlign w:val="baseline"/>
                <w:lang w:val="en-US" w:eastAsia="zh-CN"/>
              </w:rPr>
              <w:t>ND</w:t>
            </w:r>
          </w:p>
        </w:tc>
        <w:tc>
          <w:tcPr>
            <w:tcW w:w="235" w:type="pct"/>
            <w:shd w:val="clear" w:color="auto" w:fill="auto"/>
            <w:vAlign w:val="center"/>
          </w:tcPr>
          <w:p w14:paraId="7EAA251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eastAsia"/>
                <w:sz w:val="21"/>
                <w:szCs w:val="21"/>
                <w:highlight w:val="none"/>
                <w:vertAlign w:val="baseline"/>
                <w:lang w:val="en-US" w:eastAsia="zh-CN"/>
              </w:rPr>
              <w:t>ND</w:t>
            </w:r>
          </w:p>
        </w:tc>
        <w:tc>
          <w:tcPr>
            <w:tcW w:w="332" w:type="pct"/>
            <w:vAlign w:val="center"/>
          </w:tcPr>
          <w:p w14:paraId="30BA1E3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0.0415</w:t>
            </w:r>
          </w:p>
        </w:tc>
        <w:tc>
          <w:tcPr>
            <w:tcW w:w="295" w:type="pct"/>
            <w:shd w:val="clear" w:color="auto" w:fill="auto"/>
            <w:vAlign w:val="center"/>
          </w:tcPr>
          <w:p w14:paraId="380582E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eastAsia"/>
                <w:sz w:val="21"/>
                <w:szCs w:val="21"/>
                <w:highlight w:val="none"/>
                <w:vertAlign w:val="baseline"/>
                <w:lang w:val="en-US" w:eastAsia="zh-CN"/>
              </w:rPr>
              <w:t>ND</w:t>
            </w:r>
          </w:p>
        </w:tc>
        <w:tc>
          <w:tcPr>
            <w:tcW w:w="347" w:type="pct"/>
            <w:vAlign w:val="center"/>
          </w:tcPr>
          <w:p w14:paraId="1A596B4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0.00017</w:t>
            </w:r>
          </w:p>
        </w:tc>
        <w:tc>
          <w:tcPr>
            <w:tcW w:w="284" w:type="pct"/>
            <w:shd w:val="clear" w:color="auto" w:fill="auto"/>
            <w:vAlign w:val="center"/>
          </w:tcPr>
          <w:p w14:paraId="6FC9877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eastAsia"/>
                <w:sz w:val="21"/>
                <w:szCs w:val="21"/>
                <w:highlight w:val="none"/>
                <w:vertAlign w:val="baseline"/>
                <w:lang w:val="en-US" w:eastAsia="zh-CN"/>
              </w:rPr>
              <w:t>ND</w:t>
            </w:r>
          </w:p>
        </w:tc>
        <w:tc>
          <w:tcPr>
            <w:tcW w:w="317" w:type="pct"/>
            <w:shd w:val="clear" w:color="auto" w:fill="auto"/>
            <w:vAlign w:val="center"/>
          </w:tcPr>
          <w:p w14:paraId="77DFF51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eastAsia"/>
                <w:sz w:val="21"/>
                <w:szCs w:val="21"/>
                <w:highlight w:val="none"/>
                <w:vertAlign w:val="baseline"/>
                <w:lang w:val="en-US" w:eastAsia="zh-CN"/>
              </w:rPr>
              <w:t>ND</w:t>
            </w:r>
          </w:p>
        </w:tc>
      </w:tr>
      <w:tr w14:paraId="1868749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85" w:type="pct"/>
            <w:vMerge w:val="restart"/>
            <w:shd w:val="clear" w:color="auto" w:fill="auto"/>
            <w:vAlign w:val="center"/>
          </w:tcPr>
          <w:p w14:paraId="07E28E9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vertAlign w:val="baseline"/>
                <w:lang w:val="en-US" w:eastAsia="zh-CN"/>
              </w:rPr>
            </w:pPr>
            <w:r>
              <w:rPr>
                <w:rFonts w:hint="eastAsia"/>
                <w:sz w:val="21"/>
                <w:szCs w:val="21"/>
                <w:highlight w:val="none"/>
                <w:vertAlign w:val="baseline"/>
                <w:lang w:val="en-US" w:eastAsia="zh-CN"/>
              </w:rPr>
              <w:t>南尧村2#废渣堆无名小溪</w:t>
            </w:r>
          </w:p>
        </w:tc>
        <w:tc>
          <w:tcPr>
            <w:tcW w:w="378" w:type="pct"/>
            <w:shd w:val="clear" w:color="auto" w:fill="auto"/>
            <w:vAlign w:val="center"/>
          </w:tcPr>
          <w:p w14:paraId="052AB51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eastAsia"/>
                <w:sz w:val="21"/>
                <w:szCs w:val="21"/>
                <w:highlight w:val="none"/>
                <w:vertAlign w:val="baseline"/>
                <w:lang w:val="en-US" w:eastAsia="zh-CN"/>
              </w:rPr>
              <w:t>2022.6.27</w:t>
            </w:r>
          </w:p>
        </w:tc>
        <w:tc>
          <w:tcPr>
            <w:tcW w:w="555" w:type="pct"/>
            <w:vMerge w:val="restart"/>
            <w:vAlign w:val="center"/>
          </w:tcPr>
          <w:p w14:paraId="2F0FE77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default"/>
                <w:sz w:val="21"/>
                <w:szCs w:val="21"/>
                <w:highlight w:val="none"/>
                <w:vertAlign w:val="baseline"/>
                <w:lang w:val="en-US" w:eastAsia="zh-CN"/>
              </w:rPr>
              <w:t>E</w:t>
            </w:r>
            <w:r>
              <w:rPr>
                <w:rFonts w:hint="eastAsia"/>
                <w:sz w:val="21"/>
                <w:szCs w:val="21"/>
                <w:highlight w:val="none"/>
                <w:vertAlign w:val="baseline"/>
                <w:lang w:val="en-US" w:eastAsia="zh-CN"/>
              </w:rPr>
              <w:t>：113.553498；</w:t>
            </w:r>
            <w:r>
              <w:rPr>
                <w:rFonts w:hint="default"/>
                <w:sz w:val="21"/>
                <w:szCs w:val="21"/>
                <w:highlight w:val="none"/>
                <w:vertAlign w:val="baseline"/>
                <w:lang w:val="en-US" w:eastAsia="zh-CN"/>
              </w:rPr>
              <w:t>N</w:t>
            </w:r>
            <w:r>
              <w:rPr>
                <w:rFonts w:hint="eastAsia"/>
                <w:sz w:val="21"/>
                <w:szCs w:val="21"/>
                <w:highlight w:val="none"/>
                <w:vertAlign w:val="baseline"/>
                <w:lang w:val="en-US" w:eastAsia="zh-CN"/>
              </w:rPr>
              <w:t>：28.649839</w:t>
            </w:r>
          </w:p>
        </w:tc>
        <w:tc>
          <w:tcPr>
            <w:tcW w:w="395" w:type="pct"/>
            <w:vAlign w:val="center"/>
          </w:tcPr>
          <w:p w14:paraId="0BF709B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vertAlign w:val="baseline"/>
                <w:lang w:val="en-US" w:eastAsia="zh-CN"/>
              </w:rPr>
            </w:pPr>
            <w:r>
              <w:rPr>
                <w:rFonts w:hint="eastAsia"/>
                <w:sz w:val="21"/>
                <w:szCs w:val="21"/>
                <w:highlight w:val="none"/>
                <w:vertAlign w:val="baseline"/>
                <w:lang w:val="en-US" w:eastAsia="zh-CN"/>
              </w:rPr>
              <w:t>透明、无异味</w:t>
            </w:r>
          </w:p>
        </w:tc>
        <w:tc>
          <w:tcPr>
            <w:tcW w:w="242" w:type="pct"/>
            <w:vAlign w:val="center"/>
          </w:tcPr>
          <w:p w14:paraId="1621CE1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6.7</w:t>
            </w:r>
          </w:p>
        </w:tc>
        <w:tc>
          <w:tcPr>
            <w:tcW w:w="322" w:type="pct"/>
            <w:shd w:val="clear" w:color="auto" w:fill="auto"/>
            <w:vAlign w:val="center"/>
          </w:tcPr>
          <w:p w14:paraId="15529A5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eastAsia"/>
                <w:sz w:val="21"/>
                <w:szCs w:val="21"/>
                <w:highlight w:val="none"/>
                <w:vertAlign w:val="baseline"/>
                <w:lang w:val="en-US" w:eastAsia="zh-CN"/>
              </w:rPr>
              <w:t>ND</w:t>
            </w:r>
          </w:p>
        </w:tc>
        <w:tc>
          <w:tcPr>
            <w:tcW w:w="234" w:type="pct"/>
            <w:shd w:val="clear" w:color="auto" w:fill="auto"/>
            <w:vAlign w:val="center"/>
          </w:tcPr>
          <w:p w14:paraId="1E4066B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eastAsia"/>
                <w:sz w:val="21"/>
                <w:szCs w:val="21"/>
                <w:highlight w:val="none"/>
                <w:vertAlign w:val="baseline"/>
                <w:lang w:val="en-US" w:eastAsia="zh-CN"/>
              </w:rPr>
              <w:t>ND</w:t>
            </w:r>
          </w:p>
        </w:tc>
        <w:tc>
          <w:tcPr>
            <w:tcW w:w="234" w:type="pct"/>
            <w:shd w:val="clear" w:color="auto" w:fill="auto"/>
            <w:vAlign w:val="center"/>
          </w:tcPr>
          <w:p w14:paraId="2F31745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eastAsia"/>
                <w:sz w:val="21"/>
                <w:szCs w:val="21"/>
                <w:highlight w:val="none"/>
                <w:vertAlign w:val="baseline"/>
                <w:lang w:val="en-US" w:eastAsia="zh-CN"/>
              </w:rPr>
              <w:t>ND</w:t>
            </w:r>
          </w:p>
        </w:tc>
        <w:tc>
          <w:tcPr>
            <w:tcW w:w="234" w:type="pct"/>
            <w:shd w:val="clear" w:color="auto" w:fill="auto"/>
            <w:vAlign w:val="center"/>
          </w:tcPr>
          <w:p w14:paraId="71810CB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eastAsia"/>
                <w:sz w:val="21"/>
                <w:szCs w:val="21"/>
                <w:highlight w:val="none"/>
                <w:vertAlign w:val="baseline"/>
                <w:lang w:val="en-US" w:eastAsia="zh-CN"/>
              </w:rPr>
              <w:t>ND</w:t>
            </w:r>
          </w:p>
        </w:tc>
        <w:tc>
          <w:tcPr>
            <w:tcW w:w="235" w:type="pct"/>
            <w:shd w:val="clear" w:color="auto" w:fill="auto"/>
            <w:vAlign w:val="center"/>
          </w:tcPr>
          <w:p w14:paraId="67BA48D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eastAsia"/>
                <w:sz w:val="21"/>
                <w:szCs w:val="21"/>
                <w:highlight w:val="none"/>
                <w:vertAlign w:val="baseline"/>
                <w:lang w:val="en-US" w:eastAsia="zh-CN"/>
              </w:rPr>
              <w:t>ND</w:t>
            </w:r>
          </w:p>
        </w:tc>
        <w:tc>
          <w:tcPr>
            <w:tcW w:w="332" w:type="pct"/>
            <w:vAlign w:val="center"/>
          </w:tcPr>
          <w:p w14:paraId="5152674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bCs/>
                <w:sz w:val="21"/>
                <w:szCs w:val="21"/>
                <w:highlight w:val="none"/>
                <w:vertAlign w:val="baseline"/>
                <w:lang w:val="en-US" w:eastAsia="zh-CN"/>
              </w:rPr>
            </w:pPr>
            <w:r>
              <w:rPr>
                <w:rFonts w:hint="eastAsia"/>
                <w:b/>
                <w:bCs/>
                <w:sz w:val="21"/>
                <w:szCs w:val="21"/>
                <w:highlight w:val="none"/>
                <w:vertAlign w:val="baseline"/>
                <w:lang w:val="en-US" w:eastAsia="zh-CN"/>
              </w:rPr>
              <w:t>0.0585</w:t>
            </w:r>
          </w:p>
        </w:tc>
        <w:tc>
          <w:tcPr>
            <w:tcW w:w="295" w:type="pct"/>
            <w:shd w:val="clear" w:color="auto" w:fill="auto"/>
            <w:vAlign w:val="center"/>
          </w:tcPr>
          <w:p w14:paraId="5F58577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eastAsia"/>
                <w:sz w:val="21"/>
                <w:szCs w:val="21"/>
                <w:highlight w:val="none"/>
                <w:vertAlign w:val="baseline"/>
                <w:lang w:val="en-US" w:eastAsia="zh-CN"/>
              </w:rPr>
              <w:t>ND</w:t>
            </w:r>
          </w:p>
        </w:tc>
        <w:tc>
          <w:tcPr>
            <w:tcW w:w="347" w:type="pct"/>
            <w:vAlign w:val="center"/>
          </w:tcPr>
          <w:p w14:paraId="45438B8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0.00019</w:t>
            </w:r>
          </w:p>
        </w:tc>
        <w:tc>
          <w:tcPr>
            <w:tcW w:w="284" w:type="pct"/>
            <w:shd w:val="clear" w:color="auto" w:fill="auto"/>
            <w:vAlign w:val="center"/>
          </w:tcPr>
          <w:p w14:paraId="5E001DC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eastAsia"/>
                <w:sz w:val="21"/>
                <w:szCs w:val="21"/>
                <w:highlight w:val="none"/>
                <w:vertAlign w:val="baseline"/>
                <w:lang w:val="en-US" w:eastAsia="zh-CN"/>
              </w:rPr>
              <w:t>ND</w:t>
            </w:r>
          </w:p>
        </w:tc>
        <w:tc>
          <w:tcPr>
            <w:tcW w:w="317" w:type="pct"/>
            <w:shd w:val="clear" w:color="auto" w:fill="auto"/>
            <w:vAlign w:val="center"/>
          </w:tcPr>
          <w:p w14:paraId="1AFB448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eastAsia"/>
                <w:sz w:val="21"/>
                <w:szCs w:val="21"/>
                <w:highlight w:val="none"/>
                <w:vertAlign w:val="baseline"/>
                <w:lang w:val="en-US" w:eastAsia="zh-CN"/>
              </w:rPr>
              <w:t>ND</w:t>
            </w:r>
          </w:p>
        </w:tc>
      </w:tr>
      <w:tr w14:paraId="535A677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85" w:type="pct"/>
            <w:vMerge w:val="continue"/>
            <w:shd w:val="clear" w:color="auto" w:fill="auto"/>
            <w:vAlign w:val="center"/>
          </w:tcPr>
          <w:p w14:paraId="764DFE7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vertAlign w:val="baseline"/>
                <w:lang w:val="en-US" w:eastAsia="zh-CN"/>
              </w:rPr>
            </w:pPr>
          </w:p>
        </w:tc>
        <w:tc>
          <w:tcPr>
            <w:tcW w:w="378" w:type="pct"/>
            <w:shd w:val="clear" w:color="auto" w:fill="auto"/>
            <w:vAlign w:val="center"/>
          </w:tcPr>
          <w:p w14:paraId="434F443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kern w:val="2"/>
                <w:sz w:val="21"/>
                <w:szCs w:val="21"/>
                <w:highlight w:val="none"/>
                <w:vertAlign w:val="baseline"/>
                <w:lang w:val="en-US" w:eastAsia="zh-CN" w:bidi="ar-SA"/>
              </w:rPr>
            </w:pPr>
            <w:r>
              <w:rPr>
                <w:rFonts w:hint="eastAsia" w:cs="Times New Roman"/>
                <w:b w:val="0"/>
                <w:bCs w:val="0"/>
                <w:kern w:val="2"/>
                <w:sz w:val="21"/>
                <w:szCs w:val="21"/>
                <w:highlight w:val="none"/>
                <w:vertAlign w:val="baseline"/>
                <w:lang w:val="en-US" w:eastAsia="zh-CN" w:bidi="ar-SA"/>
              </w:rPr>
              <w:t>2022.6.28</w:t>
            </w:r>
          </w:p>
        </w:tc>
        <w:tc>
          <w:tcPr>
            <w:tcW w:w="555" w:type="pct"/>
            <w:vMerge w:val="continue"/>
            <w:vAlign w:val="center"/>
          </w:tcPr>
          <w:p w14:paraId="57572F6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p>
        </w:tc>
        <w:tc>
          <w:tcPr>
            <w:tcW w:w="395" w:type="pct"/>
            <w:vAlign w:val="center"/>
          </w:tcPr>
          <w:p w14:paraId="52FCC5A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vertAlign w:val="baseline"/>
                <w:lang w:val="en-US" w:eastAsia="zh-CN"/>
              </w:rPr>
            </w:pPr>
            <w:r>
              <w:rPr>
                <w:rFonts w:hint="eastAsia"/>
                <w:sz w:val="21"/>
                <w:szCs w:val="21"/>
                <w:highlight w:val="none"/>
                <w:vertAlign w:val="baseline"/>
                <w:lang w:val="en-US" w:eastAsia="zh-CN"/>
              </w:rPr>
              <w:t>透明、无异味</w:t>
            </w:r>
          </w:p>
        </w:tc>
        <w:tc>
          <w:tcPr>
            <w:tcW w:w="242" w:type="pct"/>
            <w:vAlign w:val="center"/>
          </w:tcPr>
          <w:p w14:paraId="0670504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6.8</w:t>
            </w:r>
          </w:p>
        </w:tc>
        <w:tc>
          <w:tcPr>
            <w:tcW w:w="322" w:type="pct"/>
            <w:shd w:val="clear" w:color="auto" w:fill="auto"/>
            <w:vAlign w:val="center"/>
          </w:tcPr>
          <w:p w14:paraId="7C63A4D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eastAsia"/>
                <w:sz w:val="21"/>
                <w:szCs w:val="21"/>
                <w:highlight w:val="none"/>
                <w:vertAlign w:val="baseline"/>
                <w:lang w:val="en-US" w:eastAsia="zh-CN"/>
              </w:rPr>
              <w:t>ND</w:t>
            </w:r>
          </w:p>
        </w:tc>
        <w:tc>
          <w:tcPr>
            <w:tcW w:w="234" w:type="pct"/>
            <w:shd w:val="clear" w:color="auto" w:fill="auto"/>
            <w:vAlign w:val="center"/>
          </w:tcPr>
          <w:p w14:paraId="6C57A1E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eastAsia"/>
                <w:sz w:val="21"/>
                <w:szCs w:val="21"/>
                <w:highlight w:val="none"/>
                <w:vertAlign w:val="baseline"/>
                <w:lang w:val="en-US" w:eastAsia="zh-CN"/>
              </w:rPr>
              <w:t>ND</w:t>
            </w:r>
          </w:p>
        </w:tc>
        <w:tc>
          <w:tcPr>
            <w:tcW w:w="234" w:type="pct"/>
            <w:shd w:val="clear" w:color="auto" w:fill="auto"/>
            <w:vAlign w:val="center"/>
          </w:tcPr>
          <w:p w14:paraId="398C513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eastAsia"/>
                <w:sz w:val="21"/>
                <w:szCs w:val="21"/>
                <w:highlight w:val="none"/>
                <w:vertAlign w:val="baseline"/>
                <w:lang w:val="en-US" w:eastAsia="zh-CN"/>
              </w:rPr>
              <w:t>ND</w:t>
            </w:r>
          </w:p>
        </w:tc>
        <w:tc>
          <w:tcPr>
            <w:tcW w:w="234" w:type="pct"/>
            <w:shd w:val="clear" w:color="auto" w:fill="auto"/>
            <w:vAlign w:val="center"/>
          </w:tcPr>
          <w:p w14:paraId="2F4E2F4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eastAsia"/>
                <w:sz w:val="21"/>
                <w:szCs w:val="21"/>
                <w:highlight w:val="none"/>
                <w:vertAlign w:val="baseline"/>
                <w:lang w:val="en-US" w:eastAsia="zh-CN"/>
              </w:rPr>
              <w:t>ND</w:t>
            </w:r>
          </w:p>
        </w:tc>
        <w:tc>
          <w:tcPr>
            <w:tcW w:w="235" w:type="pct"/>
            <w:shd w:val="clear" w:color="auto" w:fill="auto"/>
            <w:vAlign w:val="center"/>
          </w:tcPr>
          <w:p w14:paraId="055EE57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eastAsia"/>
                <w:sz w:val="21"/>
                <w:szCs w:val="21"/>
                <w:highlight w:val="none"/>
                <w:vertAlign w:val="baseline"/>
                <w:lang w:val="en-US" w:eastAsia="zh-CN"/>
              </w:rPr>
              <w:t>ND</w:t>
            </w:r>
          </w:p>
        </w:tc>
        <w:tc>
          <w:tcPr>
            <w:tcW w:w="332" w:type="pct"/>
            <w:vAlign w:val="center"/>
          </w:tcPr>
          <w:p w14:paraId="2C62955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bCs/>
                <w:sz w:val="21"/>
                <w:szCs w:val="21"/>
                <w:highlight w:val="none"/>
                <w:vertAlign w:val="baseline"/>
                <w:lang w:val="en-US" w:eastAsia="zh-CN"/>
              </w:rPr>
            </w:pPr>
            <w:r>
              <w:rPr>
                <w:rFonts w:hint="eastAsia"/>
                <w:b/>
                <w:bCs/>
                <w:sz w:val="21"/>
                <w:szCs w:val="21"/>
                <w:highlight w:val="none"/>
                <w:vertAlign w:val="baseline"/>
                <w:lang w:val="en-US" w:eastAsia="zh-CN"/>
              </w:rPr>
              <w:t>0.0588</w:t>
            </w:r>
          </w:p>
        </w:tc>
        <w:tc>
          <w:tcPr>
            <w:tcW w:w="295" w:type="pct"/>
            <w:shd w:val="clear" w:color="auto" w:fill="auto"/>
            <w:vAlign w:val="center"/>
          </w:tcPr>
          <w:p w14:paraId="592930E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eastAsia"/>
                <w:sz w:val="21"/>
                <w:szCs w:val="21"/>
                <w:highlight w:val="none"/>
                <w:vertAlign w:val="baseline"/>
                <w:lang w:val="en-US" w:eastAsia="zh-CN"/>
              </w:rPr>
              <w:t>ND</w:t>
            </w:r>
          </w:p>
        </w:tc>
        <w:tc>
          <w:tcPr>
            <w:tcW w:w="347" w:type="pct"/>
            <w:vAlign w:val="center"/>
          </w:tcPr>
          <w:p w14:paraId="47DACC7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0.00018</w:t>
            </w:r>
          </w:p>
        </w:tc>
        <w:tc>
          <w:tcPr>
            <w:tcW w:w="284" w:type="pct"/>
            <w:shd w:val="clear" w:color="auto" w:fill="auto"/>
            <w:vAlign w:val="center"/>
          </w:tcPr>
          <w:p w14:paraId="6A07A3C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eastAsia"/>
                <w:sz w:val="21"/>
                <w:szCs w:val="21"/>
                <w:highlight w:val="none"/>
                <w:vertAlign w:val="baseline"/>
                <w:lang w:val="en-US" w:eastAsia="zh-CN"/>
              </w:rPr>
              <w:t>ND</w:t>
            </w:r>
          </w:p>
        </w:tc>
        <w:tc>
          <w:tcPr>
            <w:tcW w:w="317" w:type="pct"/>
            <w:shd w:val="clear" w:color="auto" w:fill="auto"/>
            <w:vAlign w:val="center"/>
          </w:tcPr>
          <w:p w14:paraId="4C9B2AD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eastAsia"/>
                <w:sz w:val="21"/>
                <w:szCs w:val="21"/>
                <w:highlight w:val="none"/>
                <w:vertAlign w:val="baseline"/>
                <w:lang w:val="en-US" w:eastAsia="zh-CN"/>
              </w:rPr>
              <w:t>ND</w:t>
            </w:r>
          </w:p>
        </w:tc>
      </w:tr>
      <w:tr w14:paraId="403CADC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916" w:type="pct"/>
            <w:gridSpan w:val="4"/>
            <w:vAlign w:val="center"/>
          </w:tcPr>
          <w:p w14:paraId="3C42B433">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cs="Times New Roman"/>
                <w:b/>
                <w:bCs/>
                <w:sz w:val="21"/>
                <w:szCs w:val="21"/>
                <w:highlight w:val="none"/>
                <w:vertAlign w:val="baseline"/>
                <w:lang w:val="en-US" w:eastAsia="zh-CN"/>
              </w:rPr>
            </w:pPr>
            <w:r>
              <w:rPr>
                <w:rFonts w:hint="eastAsia"/>
                <w:b/>
                <w:bCs/>
                <w:sz w:val="21"/>
                <w:szCs w:val="21"/>
                <w:highlight w:val="none"/>
                <w:vertAlign w:val="baseline"/>
                <w:lang w:val="en-US" w:eastAsia="zh-CN"/>
              </w:rPr>
              <w:t>限值</w:t>
            </w:r>
          </w:p>
        </w:tc>
        <w:tc>
          <w:tcPr>
            <w:tcW w:w="242" w:type="pct"/>
            <w:vAlign w:val="center"/>
          </w:tcPr>
          <w:p w14:paraId="1339674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bCs/>
                <w:sz w:val="21"/>
                <w:szCs w:val="21"/>
                <w:highlight w:val="none"/>
                <w:vertAlign w:val="baseline"/>
                <w:lang w:val="en-US" w:eastAsia="zh-CN"/>
              </w:rPr>
            </w:pPr>
            <w:r>
              <w:rPr>
                <w:rFonts w:hint="eastAsia"/>
                <w:b/>
                <w:bCs/>
                <w:sz w:val="21"/>
                <w:szCs w:val="21"/>
                <w:highlight w:val="none"/>
                <w:vertAlign w:val="baseline"/>
                <w:lang w:val="en-US" w:eastAsia="zh-CN"/>
              </w:rPr>
              <w:t>6~9</w:t>
            </w:r>
          </w:p>
        </w:tc>
        <w:tc>
          <w:tcPr>
            <w:tcW w:w="322" w:type="pct"/>
            <w:vAlign w:val="center"/>
          </w:tcPr>
          <w:p w14:paraId="54DFEE1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bCs/>
                <w:sz w:val="21"/>
                <w:szCs w:val="21"/>
                <w:highlight w:val="none"/>
                <w:vertAlign w:val="baseline"/>
                <w:lang w:val="en-US" w:eastAsia="zh-CN"/>
              </w:rPr>
            </w:pPr>
            <w:r>
              <w:rPr>
                <w:rFonts w:hint="eastAsia"/>
                <w:b/>
                <w:bCs/>
                <w:sz w:val="21"/>
                <w:szCs w:val="21"/>
                <w:highlight w:val="none"/>
                <w:vertAlign w:val="baseline"/>
                <w:lang w:val="en-US" w:eastAsia="zh-CN"/>
              </w:rPr>
              <w:t>0.2</w:t>
            </w:r>
          </w:p>
        </w:tc>
        <w:tc>
          <w:tcPr>
            <w:tcW w:w="234" w:type="pct"/>
            <w:vAlign w:val="center"/>
          </w:tcPr>
          <w:p w14:paraId="313D1BA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bCs/>
                <w:sz w:val="21"/>
                <w:szCs w:val="21"/>
                <w:highlight w:val="none"/>
                <w:vertAlign w:val="baseline"/>
                <w:lang w:val="en-US" w:eastAsia="zh-CN"/>
              </w:rPr>
            </w:pPr>
            <w:r>
              <w:rPr>
                <w:rFonts w:hint="eastAsia"/>
                <w:b/>
                <w:bCs/>
                <w:sz w:val="21"/>
                <w:szCs w:val="21"/>
                <w:highlight w:val="none"/>
                <w:vertAlign w:val="baseline"/>
                <w:lang w:val="en-US" w:eastAsia="zh-CN"/>
              </w:rPr>
              <w:t>/</w:t>
            </w:r>
          </w:p>
        </w:tc>
        <w:tc>
          <w:tcPr>
            <w:tcW w:w="234" w:type="pct"/>
            <w:vAlign w:val="center"/>
          </w:tcPr>
          <w:p w14:paraId="3AD0EE6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bCs/>
                <w:sz w:val="21"/>
                <w:szCs w:val="21"/>
                <w:highlight w:val="none"/>
                <w:vertAlign w:val="baseline"/>
                <w:lang w:val="en-US" w:eastAsia="zh-CN"/>
              </w:rPr>
            </w:pPr>
            <w:r>
              <w:rPr>
                <w:rFonts w:hint="eastAsia"/>
                <w:b/>
                <w:bCs/>
                <w:sz w:val="21"/>
                <w:szCs w:val="21"/>
                <w:highlight w:val="none"/>
                <w:vertAlign w:val="baseline"/>
                <w:lang w:val="en-US" w:eastAsia="zh-CN"/>
              </w:rPr>
              <w:t>0.02</w:t>
            </w:r>
          </w:p>
        </w:tc>
        <w:tc>
          <w:tcPr>
            <w:tcW w:w="234" w:type="pct"/>
            <w:vAlign w:val="center"/>
          </w:tcPr>
          <w:p w14:paraId="606D227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bCs/>
                <w:sz w:val="21"/>
                <w:szCs w:val="21"/>
                <w:highlight w:val="none"/>
                <w:vertAlign w:val="baseline"/>
                <w:lang w:val="en-US" w:eastAsia="zh-CN"/>
              </w:rPr>
            </w:pPr>
            <w:r>
              <w:rPr>
                <w:rFonts w:hint="eastAsia"/>
                <w:b/>
                <w:bCs/>
                <w:sz w:val="21"/>
                <w:szCs w:val="21"/>
                <w:highlight w:val="none"/>
                <w:vertAlign w:val="baseline"/>
                <w:lang w:val="en-US" w:eastAsia="zh-CN"/>
              </w:rPr>
              <w:t>1.0</w:t>
            </w:r>
          </w:p>
        </w:tc>
        <w:tc>
          <w:tcPr>
            <w:tcW w:w="235" w:type="pct"/>
            <w:vAlign w:val="center"/>
          </w:tcPr>
          <w:p w14:paraId="6376581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bCs/>
                <w:sz w:val="21"/>
                <w:szCs w:val="21"/>
                <w:highlight w:val="none"/>
                <w:vertAlign w:val="baseline"/>
                <w:lang w:val="en-US" w:eastAsia="zh-CN"/>
              </w:rPr>
            </w:pPr>
            <w:r>
              <w:rPr>
                <w:rFonts w:hint="eastAsia"/>
                <w:b/>
                <w:bCs/>
                <w:sz w:val="21"/>
                <w:szCs w:val="21"/>
                <w:highlight w:val="none"/>
                <w:vertAlign w:val="baseline"/>
                <w:lang w:val="en-US" w:eastAsia="zh-CN"/>
              </w:rPr>
              <w:t>1.0</w:t>
            </w:r>
          </w:p>
        </w:tc>
        <w:tc>
          <w:tcPr>
            <w:tcW w:w="332" w:type="pct"/>
            <w:vAlign w:val="center"/>
          </w:tcPr>
          <w:p w14:paraId="03DD9AF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bCs/>
                <w:sz w:val="21"/>
                <w:szCs w:val="21"/>
                <w:highlight w:val="none"/>
                <w:vertAlign w:val="baseline"/>
                <w:lang w:val="en-US" w:eastAsia="zh-CN"/>
              </w:rPr>
            </w:pPr>
            <w:r>
              <w:rPr>
                <w:rFonts w:hint="eastAsia"/>
                <w:b/>
                <w:bCs/>
                <w:sz w:val="21"/>
                <w:szCs w:val="21"/>
                <w:highlight w:val="none"/>
                <w:vertAlign w:val="baseline"/>
                <w:lang w:val="en-US" w:eastAsia="zh-CN"/>
              </w:rPr>
              <w:t>0.05</w:t>
            </w:r>
          </w:p>
        </w:tc>
        <w:tc>
          <w:tcPr>
            <w:tcW w:w="295" w:type="pct"/>
            <w:vAlign w:val="center"/>
          </w:tcPr>
          <w:p w14:paraId="56A3A8F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bCs/>
                <w:sz w:val="21"/>
                <w:szCs w:val="21"/>
                <w:highlight w:val="none"/>
                <w:vertAlign w:val="baseline"/>
                <w:lang w:val="en-US" w:eastAsia="zh-CN"/>
              </w:rPr>
            </w:pPr>
            <w:r>
              <w:rPr>
                <w:rFonts w:hint="eastAsia"/>
                <w:b/>
                <w:bCs/>
                <w:sz w:val="21"/>
                <w:szCs w:val="21"/>
                <w:highlight w:val="none"/>
                <w:vertAlign w:val="baseline"/>
                <w:lang w:val="en-US" w:eastAsia="zh-CN"/>
              </w:rPr>
              <w:t>0.005</w:t>
            </w:r>
          </w:p>
        </w:tc>
        <w:tc>
          <w:tcPr>
            <w:tcW w:w="347" w:type="pct"/>
            <w:vAlign w:val="center"/>
          </w:tcPr>
          <w:p w14:paraId="3999719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bCs/>
                <w:sz w:val="21"/>
                <w:szCs w:val="21"/>
                <w:highlight w:val="none"/>
                <w:vertAlign w:val="baseline"/>
                <w:lang w:val="en-US" w:eastAsia="zh-CN"/>
              </w:rPr>
            </w:pPr>
            <w:r>
              <w:rPr>
                <w:rFonts w:hint="eastAsia"/>
                <w:b/>
                <w:bCs/>
                <w:sz w:val="21"/>
                <w:szCs w:val="21"/>
                <w:highlight w:val="none"/>
                <w:vertAlign w:val="baseline"/>
                <w:lang w:val="en-US" w:eastAsia="zh-CN"/>
              </w:rPr>
              <w:t>0.05</w:t>
            </w:r>
          </w:p>
        </w:tc>
        <w:tc>
          <w:tcPr>
            <w:tcW w:w="284" w:type="pct"/>
            <w:vAlign w:val="center"/>
          </w:tcPr>
          <w:p w14:paraId="17DBCD4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bCs/>
                <w:sz w:val="21"/>
                <w:szCs w:val="21"/>
                <w:highlight w:val="none"/>
                <w:vertAlign w:val="baseline"/>
                <w:lang w:val="en-US" w:eastAsia="zh-CN"/>
              </w:rPr>
            </w:pPr>
            <w:r>
              <w:rPr>
                <w:rFonts w:hint="eastAsia"/>
                <w:b/>
                <w:bCs/>
                <w:sz w:val="21"/>
                <w:szCs w:val="21"/>
                <w:highlight w:val="none"/>
                <w:vertAlign w:val="baseline"/>
                <w:lang w:val="en-US" w:eastAsia="zh-CN"/>
              </w:rPr>
              <w:t>0.0001</w:t>
            </w:r>
          </w:p>
        </w:tc>
        <w:tc>
          <w:tcPr>
            <w:tcW w:w="317" w:type="pct"/>
            <w:vAlign w:val="center"/>
          </w:tcPr>
          <w:p w14:paraId="3ABEEAF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bCs/>
                <w:sz w:val="21"/>
                <w:szCs w:val="21"/>
                <w:highlight w:val="none"/>
                <w:vertAlign w:val="baseline"/>
                <w:lang w:val="en-US" w:eastAsia="zh-CN"/>
              </w:rPr>
            </w:pPr>
            <w:r>
              <w:rPr>
                <w:rFonts w:hint="eastAsia"/>
                <w:b/>
                <w:bCs/>
                <w:sz w:val="21"/>
                <w:szCs w:val="21"/>
                <w:highlight w:val="none"/>
                <w:vertAlign w:val="baseline"/>
                <w:lang w:val="en-US" w:eastAsia="zh-CN"/>
              </w:rPr>
              <w:t>0.05</w:t>
            </w:r>
          </w:p>
        </w:tc>
      </w:tr>
      <w:tr w14:paraId="5AF2117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000" w:type="pct"/>
            <w:gridSpan w:val="15"/>
            <w:vAlign w:val="center"/>
          </w:tcPr>
          <w:p w14:paraId="6381CDC6">
            <w:pPr>
              <w:keepNext w:val="0"/>
              <w:keepLines w:val="0"/>
              <w:pageBreakBefore w:val="0"/>
              <w:widowControl w:val="0"/>
              <w:kinsoku/>
              <w:wordWrap/>
              <w:overflowPunct/>
              <w:topLinePunct w:val="0"/>
              <w:autoSpaceDE/>
              <w:autoSpaceDN/>
              <w:bidi w:val="0"/>
              <w:adjustRightInd/>
              <w:snapToGrid/>
              <w:spacing w:line="360" w:lineRule="auto"/>
              <w:ind w:firstLine="0" w:firstLineChars="0"/>
              <w:jc w:val="both"/>
              <w:textAlignment w:val="auto"/>
              <w:rPr>
                <w:rFonts w:hint="eastAsia"/>
                <w:b/>
                <w:bCs/>
                <w:sz w:val="21"/>
                <w:szCs w:val="21"/>
                <w:highlight w:val="none"/>
                <w:vertAlign w:val="baseline"/>
                <w:lang w:val="en-US" w:eastAsia="zh-CN"/>
              </w:rPr>
            </w:pPr>
            <w:r>
              <w:rPr>
                <w:rFonts w:hint="eastAsia"/>
                <w:b/>
                <w:bCs/>
                <w:sz w:val="21"/>
                <w:szCs w:val="21"/>
                <w:highlight w:val="none"/>
                <w:vertAlign w:val="baseline"/>
                <w:lang w:val="en-US" w:eastAsia="zh-CN"/>
              </w:rPr>
              <w:t>注：“ND”表示未检出。</w:t>
            </w:r>
          </w:p>
        </w:tc>
      </w:tr>
    </w:tbl>
    <w:p w14:paraId="7F310582">
      <w:pPr>
        <w:bidi w:val="0"/>
        <w:rPr>
          <w:rFonts w:hint="default"/>
          <w:lang w:val="en-US" w:eastAsia="zh-CN"/>
        </w:rPr>
      </w:pPr>
      <w:r>
        <w:rPr>
          <w:rFonts w:hint="default"/>
          <w:lang w:val="en-US" w:eastAsia="zh-CN"/>
        </w:rPr>
        <w:t>由表</w:t>
      </w:r>
      <w:r>
        <w:rPr>
          <w:rFonts w:hint="eastAsia"/>
          <w:lang w:val="en-US" w:eastAsia="zh-CN"/>
        </w:rPr>
        <w:t>3.1-16</w:t>
      </w:r>
      <w:r>
        <w:rPr>
          <w:rFonts w:hint="default"/>
          <w:lang w:val="en-US" w:eastAsia="zh-CN"/>
        </w:rPr>
        <w:t>可知：地表水共</w:t>
      </w:r>
      <w:r>
        <w:rPr>
          <w:rFonts w:hint="eastAsia"/>
          <w:lang w:val="en-US" w:eastAsia="zh-CN"/>
        </w:rPr>
        <w:t>布设</w:t>
      </w:r>
      <w:r>
        <w:rPr>
          <w:rFonts w:hint="default"/>
          <w:lang w:val="en-US" w:eastAsia="zh-CN"/>
        </w:rPr>
        <w:t xml:space="preserve">3个检测点位，检测指标11项，结果分析如下： </w:t>
      </w:r>
    </w:p>
    <w:p w14:paraId="78251E61">
      <w:pPr>
        <w:bidi w:val="0"/>
        <w:rPr>
          <w:rFonts w:hint="default"/>
          <w:lang w:val="en-US" w:eastAsia="zh-CN"/>
        </w:rPr>
      </w:pPr>
      <w:r>
        <w:rPr>
          <w:rFonts w:hint="default"/>
          <w:lang w:val="en-US" w:eastAsia="zh-CN"/>
        </w:rPr>
        <w:t>区域地表水检测结果表明，南尧村1</w:t>
      </w:r>
      <w:r>
        <w:rPr>
          <w:rFonts w:hint="eastAsia"/>
          <w:lang w:val="en-US" w:eastAsia="zh-CN"/>
        </w:rPr>
        <w:t>#</w:t>
      </w:r>
      <w:r>
        <w:rPr>
          <w:rFonts w:hint="default"/>
          <w:lang w:val="en-US" w:eastAsia="zh-CN"/>
        </w:rPr>
        <w:t>废渣</w:t>
      </w:r>
      <w:r>
        <w:rPr>
          <w:rFonts w:hint="eastAsia"/>
          <w:lang w:val="en-US" w:eastAsia="zh-CN"/>
        </w:rPr>
        <w:t>堆</w:t>
      </w:r>
      <w:r>
        <w:rPr>
          <w:rFonts w:hint="default"/>
          <w:lang w:val="en-US" w:eastAsia="zh-CN"/>
        </w:rPr>
        <w:t>无名小溪、1</w:t>
      </w:r>
      <w:r>
        <w:rPr>
          <w:rFonts w:hint="eastAsia"/>
          <w:lang w:val="en-US" w:eastAsia="zh-CN"/>
        </w:rPr>
        <w:t>#</w:t>
      </w:r>
      <w:r>
        <w:rPr>
          <w:rFonts w:hint="default"/>
          <w:lang w:val="en-US" w:eastAsia="zh-CN"/>
        </w:rPr>
        <w:t>废渣</w:t>
      </w:r>
      <w:r>
        <w:rPr>
          <w:rFonts w:hint="eastAsia"/>
          <w:lang w:val="en-US" w:eastAsia="zh-CN"/>
        </w:rPr>
        <w:t>堆</w:t>
      </w:r>
      <w:r>
        <w:rPr>
          <w:rFonts w:hint="default"/>
          <w:lang w:val="en-US" w:eastAsia="zh-CN"/>
        </w:rPr>
        <w:t>旁水塘中砷的含量略高于《地表水质量标准》（GB3838-2002）Ⅲ级</w:t>
      </w:r>
      <w:r>
        <w:rPr>
          <w:rFonts w:hint="eastAsia"/>
          <w:lang w:val="en-US" w:eastAsia="zh-CN"/>
        </w:rPr>
        <w:t>标准限值</w:t>
      </w:r>
      <w:r>
        <w:rPr>
          <w:rFonts w:hint="default"/>
          <w:lang w:val="en-US" w:eastAsia="zh-CN"/>
        </w:rPr>
        <w:t>，南尧村</w:t>
      </w:r>
      <w:r>
        <w:rPr>
          <w:rFonts w:hint="eastAsia"/>
          <w:lang w:val="en-US" w:eastAsia="zh-CN"/>
        </w:rPr>
        <w:t>2#</w:t>
      </w:r>
      <w:r>
        <w:rPr>
          <w:rFonts w:hint="default"/>
          <w:lang w:val="en-US" w:eastAsia="zh-CN"/>
        </w:rPr>
        <w:t>废渣</w:t>
      </w:r>
      <w:r>
        <w:rPr>
          <w:rFonts w:hint="eastAsia"/>
          <w:lang w:val="en-US" w:eastAsia="zh-CN"/>
        </w:rPr>
        <w:t>堆</w:t>
      </w:r>
      <w:r>
        <w:rPr>
          <w:rFonts w:hint="default"/>
          <w:lang w:val="en-US" w:eastAsia="zh-CN"/>
        </w:rPr>
        <w:t>无名小溪水质检测指标浓度均符合《地表水质量标准》（GB3838-2002）Ⅲ级</w:t>
      </w:r>
      <w:r>
        <w:rPr>
          <w:rFonts w:hint="eastAsia"/>
          <w:lang w:val="en-US" w:eastAsia="zh-CN"/>
        </w:rPr>
        <w:t>标准限值</w:t>
      </w:r>
      <w:r>
        <w:rPr>
          <w:rFonts w:hint="default"/>
          <w:lang w:val="en-US" w:eastAsia="zh-CN"/>
        </w:rPr>
        <w:t xml:space="preserve">。 </w:t>
      </w:r>
    </w:p>
    <w:p w14:paraId="6036AE71">
      <w:pPr>
        <w:bidi w:val="0"/>
        <w:rPr>
          <w:rFonts w:hint="default"/>
          <w:lang w:val="en-US" w:eastAsia="zh-CN"/>
        </w:rPr>
      </w:pPr>
      <w:r>
        <w:rPr>
          <w:rFonts w:hint="default"/>
          <w:lang w:val="en-US" w:eastAsia="zh-CN"/>
        </w:rPr>
        <w:t>综上，区域地表水检测结果表明，南尧村1</w:t>
      </w:r>
      <w:r>
        <w:rPr>
          <w:rFonts w:hint="eastAsia"/>
          <w:lang w:val="en-US" w:eastAsia="zh-CN"/>
        </w:rPr>
        <w:t>#</w:t>
      </w:r>
      <w:r>
        <w:rPr>
          <w:rFonts w:hint="default"/>
          <w:lang w:val="en-US" w:eastAsia="zh-CN"/>
        </w:rPr>
        <w:t>废渣</w:t>
      </w:r>
      <w:r>
        <w:rPr>
          <w:rFonts w:hint="eastAsia"/>
          <w:lang w:val="en-US" w:eastAsia="zh-CN"/>
        </w:rPr>
        <w:t>堆</w:t>
      </w:r>
      <w:r>
        <w:rPr>
          <w:rFonts w:hint="default"/>
          <w:lang w:val="en-US" w:eastAsia="zh-CN"/>
        </w:rPr>
        <w:t>无名小溪、南尧村1</w:t>
      </w:r>
      <w:r>
        <w:rPr>
          <w:rFonts w:hint="eastAsia"/>
          <w:lang w:val="en-US" w:eastAsia="zh-CN"/>
        </w:rPr>
        <w:t>#</w:t>
      </w:r>
      <w:r>
        <w:rPr>
          <w:rFonts w:hint="default"/>
          <w:lang w:val="en-US" w:eastAsia="zh-CN"/>
        </w:rPr>
        <w:t>废渣</w:t>
      </w:r>
      <w:r>
        <w:rPr>
          <w:rFonts w:hint="eastAsia"/>
          <w:lang w:val="en-US" w:eastAsia="zh-CN"/>
        </w:rPr>
        <w:t>堆</w:t>
      </w:r>
      <w:r>
        <w:rPr>
          <w:rFonts w:hint="default"/>
          <w:lang w:val="en-US" w:eastAsia="zh-CN"/>
        </w:rPr>
        <w:t xml:space="preserve">旁水塘水质检测指标砷明显有超标情况，废渣堆在常年雨水冲刷下，产生的重金属浸出液对流经废渣堆内地表径流水质有影响。 </w:t>
      </w:r>
    </w:p>
    <w:p w14:paraId="1A3633E1">
      <w:pPr>
        <w:bidi w:val="0"/>
        <w:rPr>
          <w:rFonts w:hint="default"/>
          <w:lang w:val="en-US" w:eastAsia="zh-CN"/>
        </w:rPr>
      </w:pPr>
    </w:p>
    <w:p w14:paraId="05F73E36">
      <w:pPr>
        <w:bidi w:val="0"/>
        <w:ind w:left="0" w:leftChars="0" w:firstLine="0" w:firstLineChars="0"/>
        <w:jc w:val="center"/>
        <w:rPr>
          <w:rFonts w:hint="default"/>
          <w:b/>
          <w:bCs/>
          <w:sz w:val="21"/>
          <w:szCs w:val="21"/>
          <w:lang w:val="en-US" w:eastAsia="zh-CN"/>
        </w:rPr>
      </w:pPr>
      <w:r>
        <w:rPr>
          <w:rFonts w:hint="eastAsia"/>
          <w:b/>
          <w:bCs/>
          <w:sz w:val="21"/>
          <w:szCs w:val="21"/>
          <w:lang w:val="en-US" w:eastAsia="zh-CN"/>
        </w:rPr>
        <w:t>表3.1-18  地下水检测结果一览表    单位：mg/L，pH无量纲</w:t>
      </w:r>
    </w:p>
    <w:tbl>
      <w:tblPr>
        <w:tblStyle w:val="36"/>
        <w:tblW w:w="4997"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276"/>
        <w:gridCol w:w="1162"/>
        <w:gridCol w:w="1559"/>
        <w:gridCol w:w="1429"/>
        <w:gridCol w:w="968"/>
        <w:gridCol w:w="941"/>
        <w:gridCol w:w="740"/>
        <w:gridCol w:w="642"/>
        <w:gridCol w:w="633"/>
        <w:gridCol w:w="676"/>
        <w:gridCol w:w="618"/>
        <w:gridCol w:w="941"/>
        <w:gridCol w:w="930"/>
        <w:gridCol w:w="742"/>
        <w:gridCol w:w="900"/>
      </w:tblGrid>
      <w:tr w14:paraId="48E6C0E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50" w:type="pct"/>
            <w:vMerge w:val="restart"/>
            <w:vAlign w:val="center"/>
          </w:tcPr>
          <w:p w14:paraId="366A39A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bCs/>
                <w:sz w:val="21"/>
                <w:szCs w:val="21"/>
                <w:highlight w:val="none"/>
                <w:vertAlign w:val="baseline"/>
                <w:lang w:val="en-US" w:eastAsia="zh-CN"/>
              </w:rPr>
            </w:pPr>
            <w:r>
              <w:rPr>
                <w:rFonts w:hint="eastAsia"/>
                <w:b/>
                <w:bCs/>
                <w:sz w:val="21"/>
                <w:szCs w:val="21"/>
                <w:highlight w:val="none"/>
                <w:vertAlign w:val="baseline"/>
                <w:lang w:val="en-US" w:eastAsia="zh-CN"/>
              </w:rPr>
              <w:t>采样点位</w:t>
            </w:r>
          </w:p>
        </w:tc>
        <w:tc>
          <w:tcPr>
            <w:tcW w:w="410" w:type="pct"/>
            <w:vMerge w:val="restart"/>
            <w:shd w:val="clear" w:color="auto" w:fill="auto"/>
            <w:vAlign w:val="center"/>
          </w:tcPr>
          <w:p w14:paraId="5269768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bCs/>
                <w:sz w:val="21"/>
                <w:szCs w:val="21"/>
                <w:highlight w:val="none"/>
                <w:vertAlign w:val="baseline"/>
                <w:lang w:val="en-US" w:eastAsia="zh-CN"/>
              </w:rPr>
            </w:pPr>
            <w:r>
              <w:rPr>
                <w:rFonts w:hint="eastAsia"/>
                <w:b/>
                <w:bCs/>
                <w:sz w:val="21"/>
                <w:szCs w:val="21"/>
                <w:highlight w:val="none"/>
                <w:vertAlign w:val="baseline"/>
                <w:lang w:val="en-US" w:eastAsia="zh-CN"/>
              </w:rPr>
              <w:t>采样日期</w:t>
            </w:r>
          </w:p>
        </w:tc>
        <w:tc>
          <w:tcPr>
            <w:tcW w:w="550" w:type="pct"/>
            <w:vMerge w:val="restart"/>
            <w:shd w:val="clear" w:color="auto" w:fill="auto"/>
            <w:vAlign w:val="center"/>
          </w:tcPr>
          <w:p w14:paraId="23649AC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bCs/>
                <w:sz w:val="21"/>
                <w:szCs w:val="21"/>
                <w:highlight w:val="none"/>
                <w:vertAlign w:val="baseline"/>
                <w:lang w:val="en-US" w:eastAsia="zh-CN"/>
              </w:rPr>
            </w:pPr>
            <w:r>
              <w:rPr>
                <w:rFonts w:hint="eastAsia"/>
                <w:b/>
                <w:bCs/>
                <w:sz w:val="21"/>
                <w:szCs w:val="21"/>
                <w:highlight w:val="none"/>
                <w:vertAlign w:val="baseline"/>
                <w:lang w:val="en-US" w:eastAsia="zh-CN"/>
              </w:rPr>
              <w:t>经纬度坐标</w:t>
            </w:r>
          </w:p>
        </w:tc>
        <w:tc>
          <w:tcPr>
            <w:tcW w:w="504" w:type="pct"/>
            <w:vMerge w:val="restart"/>
            <w:vAlign w:val="center"/>
          </w:tcPr>
          <w:p w14:paraId="2665723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b/>
                <w:bCs/>
                <w:sz w:val="21"/>
                <w:szCs w:val="21"/>
                <w:highlight w:val="none"/>
                <w:vertAlign w:val="baseline"/>
                <w:lang w:val="en-US" w:eastAsia="zh-CN"/>
              </w:rPr>
            </w:pPr>
            <w:r>
              <w:rPr>
                <w:rFonts w:hint="eastAsia"/>
                <w:b/>
                <w:bCs/>
                <w:sz w:val="21"/>
                <w:szCs w:val="21"/>
                <w:highlight w:val="none"/>
                <w:vertAlign w:val="baseline"/>
                <w:lang w:val="en-US" w:eastAsia="zh-CN"/>
              </w:rPr>
              <w:t>样品状态</w:t>
            </w:r>
          </w:p>
        </w:tc>
        <w:tc>
          <w:tcPr>
            <w:tcW w:w="3083" w:type="pct"/>
            <w:gridSpan w:val="11"/>
            <w:vAlign w:val="center"/>
          </w:tcPr>
          <w:p w14:paraId="2FCB614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b/>
                <w:bCs/>
                <w:sz w:val="21"/>
                <w:szCs w:val="21"/>
                <w:highlight w:val="none"/>
                <w:vertAlign w:val="baseline"/>
                <w:lang w:val="en-US" w:eastAsia="zh-CN"/>
              </w:rPr>
            </w:pPr>
            <w:r>
              <w:rPr>
                <w:rFonts w:hint="eastAsia"/>
                <w:b/>
                <w:bCs/>
                <w:sz w:val="21"/>
                <w:szCs w:val="21"/>
                <w:highlight w:val="none"/>
                <w:vertAlign w:val="baseline"/>
                <w:lang w:val="en-US" w:eastAsia="zh-CN"/>
              </w:rPr>
              <w:t>检测项目及检测结果</w:t>
            </w:r>
          </w:p>
        </w:tc>
      </w:tr>
      <w:tr w14:paraId="5AFEC38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50" w:type="pct"/>
            <w:vMerge w:val="continue"/>
            <w:vAlign w:val="center"/>
          </w:tcPr>
          <w:p w14:paraId="2A7B47A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bCs/>
                <w:sz w:val="21"/>
                <w:szCs w:val="21"/>
                <w:highlight w:val="none"/>
                <w:vertAlign w:val="baseline"/>
                <w:lang w:val="en-US" w:eastAsia="zh-CN"/>
              </w:rPr>
            </w:pPr>
          </w:p>
        </w:tc>
        <w:tc>
          <w:tcPr>
            <w:tcW w:w="410" w:type="pct"/>
            <w:vMerge w:val="continue"/>
            <w:vAlign w:val="center"/>
          </w:tcPr>
          <w:p w14:paraId="0D0197A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bCs/>
                <w:sz w:val="21"/>
                <w:szCs w:val="21"/>
                <w:highlight w:val="none"/>
                <w:vertAlign w:val="baseline"/>
                <w:lang w:val="en-US" w:eastAsia="zh-CN"/>
              </w:rPr>
            </w:pPr>
          </w:p>
        </w:tc>
        <w:tc>
          <w:tcPr>
            <w:tcW w:w="550" w:type="pct"/>
            <w:vMerge w:val="continue"/>
            <w:shd w:val="clear" w:color="auto" w:fill="auto"/>
            <w:vAlign w:val="center"/>
          </w:tcPr>
          <w:p w14:paraId="101E406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vertAlign w:val="baseline"/>
                <w:lang w:val="en-US" w:eastAsia="zh-CN" w:bidi="ar-SA"/>
              </w:rPr>
            </w:pPr>
          </w:p>
        </w:tc>
        <w:tc>
          <w:tcPr>
            <w:tcW w:w="504" w:type="pct"/>
            <w:vMerge w:val="continue"/>
            <w:vAlign w:val="center"/>
          </w:tcPr>
          <w:p w14:paraId="41C59AF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bCs/>
                <w:sz w:val="21"/>
                <w:szCs w:val="21"/>
                <w:highlight w:val="none"/>
                <w:vertAlign w:val="baseline"/>
                <w:lang w:val="en-US" w:eastAsia="zh-CN"/>
              </w:rPr>
            </w:pPr>
          </w:p>
        </w:tc>
        <w:tc>
          <w:tcPr>
            <w:tcW w:w="341" w:type="pct"/>
            <w:shd w:val="clear" w:color="auto" w:fill="auto"/>
            <w:vAlign w:val="center"/>
          </w:tcPr>
          <w:p w14:paraId="190BCAD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kern w:val="2"/>
                <w:sz w:val="21"/>
                <w:szCs w:val="21"/>
                <w:highlight w:val="none"/>
                <w:vertAlign w:val="baseline"/>
                <w:lang w:val="en-US" w:eastAsia="zh-CN" w:bidi="ar-SA"/>
              </w:rPr>
            </w:pPr>
            <w:r>
              <w:rPr>
                <w:rFonts w:hint="eastAsia"/>
                <w:b/>
                <w:bCs/>
                <w:sz w:val="21"/>
                <w:szCs w:val="21"/>
                <w:highlight w:val="none"/>
                <w:vertAlign w:val="baseline"/>
                <w:lang w:val="en-US" w:eastAsia="zh-CN"/>
              </w:rPr>
              <w:t>pH</w:t>
            </w:r>
          </w:p>
        </w:tc>
        <w:tc>
          <w:tcPr>
            <w:tcW w:w="332" w:type="pct"/>
            <w:shd w:val="clear" w:color="auto" w:fill="auto"/>
            <w:vAlign w:val="center"/>
          </w:tcPr>
          <w:p w14:paraId="46B1DA6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kern w:val="2"/>
                <w:sz w:val="21"/>
                <w:szCs w:val="21"/>
                <w:highlight w:val="none"/>
                <w:vertAlign w:val="baseline"/>
                <w:lang w:val="en-US" w:eastAsia="zh-CN" w:bidi="ar-SA"/>
              </w:rPr>
            </w:pPr>
            <w:r>
              <w:rPr>
                <w:rFonts w:hint="eastAsia"/>
                <w:b/>
                <w:bCs/>
                <w:sz w:val="21"/>
                <w:szCs w:val="21"/>
                <w:highlight w:val="none"/>
                <w:vertAlign w:val="baseline"/>
                <w:lang w:val="en-US" w:eastAsia="zh-CN"/>
              </w:rPr>
              <w:t>氰化物</w:t>
            </w:r>
          </w:p>
        </w:tc>
        <w:tc>
          <w:tcPr>
            <w:tcW w:w="261" w:type="pct"/>
            <w:shd w:val="clear" w:color="auto" w:fill="auto"/>
            <w:vAlign w:val="center"/>
          </w:tcPr>
          <w:p w14:paraId="2248198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kern w:val="2"/>
                <w:sz w:val="21"/>
                <w:szCs w:val="21"/>
                <w:highlight w:val="none"/>
                <w:vertAlign w:val="baseline"/>
                <w:lang w:val="en-US" w:eastAsia="zh-CN" w:bidi="ar-SA"/>
              </w:rPr>
            </w:pPr>
            <w:r>
              <w:rPr>
                <w:rFonts w:hint="eastAsia"/>
                <w:b/>
                <w:bCs/>
                <w:sz w:val="21"/>
                <w:szCs w:val="21"/>
                <w:highlight w:val="none"/>
                <w:vertAlign w:val="baseline"/>
                <w:lang w:val="en-US" w:eastAsia="zh-CN"/>
              </w:rPr>
              <w:t>总铬</w:t>
            </w:r>
          </w:p>
        </w:tc>
        <w:tc>
          <w:tcPr>
            <w:tcW w:w="226" w:type="pct"/>
            <w:shd w:val="clear" w:color="auto" w:fill="auto"/>
            <w:vAlign w:val="center"/>
          </w:tcPr>
          <w:p w14:paraId="1FD400C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kern w:val="2"/>
                <w:sz w:val="21"/>
                <w:szCs w:val="21"/>
                <w:highlight w:val="none"/>
                <w:vertAlign w:val="baseline"/>
                <w:lang w:val="en-US" w:eastAsia="zh-CN" w:bidi="ar-SA"/>
              </w:rPr>
            </w:pPr>
            <w:r>
              <w:rPr>
                <w:rFonts w:hint="eastAsia"/>
                <w:b/>
                <w:bCs/>
                <w:sz w:val="21"/>
                <w:szCs w:val="21"/>
                <w:highlight w:val="none"/>
                <w:vertAlign w:val="baseline"/>
                <w:lang w:val="en-US" w:eastAsia="zh-CN"/>
              </w:rPr>
              <w:t>镍</w:t>
            </w:r>
          </w:p>
        </w:tc>
        <w:tc>
          <w:tcPr>
            <w:tcW w:w="223" w:type="pct"/>
            <w:shd w:val="clear" w:color="auto" w:fill="auto"/>
            <w:vAlign w:val="center"/>
          </w:tcPr>
          <w:p w14:paraId="2143970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kern w:val="2"/>
                <w:sz w:val="21"/>
                <w:szCs w:val="21"/>
                <w:highlight w:val="none"/>
                <w:vertAlign w:val="baseline"/>
                <w:lang w:val="en-US" w:eastAsia="zh-CN" w:bidi="ar-SA"/>
              </w:rPr>
            </w:pPr>
            <w:r>
              <w:rPr>
                <w:rFonts w:hint="eastAsia"/>
                <w:b/>
                <w:bCs/>
                <w:sz w:val="21"/>
                <w:szCs w:val="21"/>
                <w:highlight w:val="none"/>
                <w:vertAlign w:val="baseline"/>
                <w:lang w:val="en-US" w:eastAsia="zh-CN"/>
              </w:rPr>
              <w:t>铜</w:t>
            </w:r>
          </w:p>
        </w:tc>
        <w:tc>
          <w:tcPr>
            <w:tcW w:w="238" w:type="pct"/>
            <w:shd w:val="clear" w:color="auto" w:fill="auto"/>
            <w:vAlign w:val="center"/>
          </w:tcPr>
          <w:p w14:paraId="0235E4C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kern w:val="2"/>
                <w:sz w:val="21"/>
                <w:szCs w:val="21"/>
                <w:highlight w:val="none"/>
                <w:vertAlign w:val="baseline"/>
                <w:lang w:val="en-US" w:eastAsia="zh-CN" w:bidi="ar-SA"/>
              </w:rPr>
            </w:pPr>
            <w:r>
              <w:rPr>
                <w:rFonts w:hint="eastAsia"/>
                <w:b/>
                <w:bCs/>
                <w:sz w:val="21"/>
                <w:szCs w:val="21"/>
                <w:highlight w:val="none"/>
                <w:vertAlign w:val="baseline"/>
                <w:lang w:val="en-US" w:eastAsia="zh-CN"/>
              </w:rPr>
              <w:t>锌</w:t>
            </w:r>
          </w:p>
        </w:tc>
        <w:tc>
          <w:tcPr>
            <w:tcW w:w="218" w:type="pct"/>
            <w:shd w:val="clear" w:color="auto" w:fill="auto"/>
            <w:vAlign w:val="center"/>
          </w:tcPr>
          <w:p w14:paraId="74B1714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kern w:val="2"/>
                <w:sz w:val="21"/>
                <w:szCs w:val="21"/>
                <w:highlight w:val="none"/>
                <w:vertAlign w:val="baseline"/>
                <w:lang w:val="en-US" w:eastAsia="zh-CN" w:bidi="ar-SA"/>
              </w:rPr>
            </w:pPr>
            <w:r>
              <w:rPr>
                <w:rFonts w:hint="eastAsia"/>
                <w:b/>
                <w:bCs/>
                <w:sz w:val="21"/>
                <w:szCs w:val="21"/>
                <w:highlight w:val="none"/>
                <w:vertAlign w:val="baseline"/>
                <w:lang w:val="en-US" w:eastAsia="zh-CN"/>
              </w:rPr>
              <w:t>砷</w:t>
            </w:r>
          </w:p>
        </w:tc>
        <w:tc>
          <w:tcPr>
            <w:tcW w:w="332" w:type="pct"/>
            <w:shd w:val="clear" w:color="auto" w:fill="auto"/>
            <w:vAlign w:val="center"/>
          </w:tcPr>
          <w:p w14:paraId="1DF20D3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kern w:val="2"/>
                <w:sz w:val="21"/>
                <w:szCs w:val="21"/>
                <w:highlight w:val="none"/>
                <w:vertAlign w:val="baseline"/>
                <w:lang w:val="en-US" w:eastAsia="zh-CN" w:bidi="ar-SA"/>
              </w:rPr>
            </w:pPr>
            <w:r>
              <w:rPr>
                <w:rFonts w:hint="eastAsia"/>
                <w:b/>
                <w:bCs/>
                <w:sz w:val="21"/>
                <w:szCs w:val="21"/>
                <w:highlight w:val="none"/>
                <w:vertAlign w:val="baseline"/>
                <w:lang w:val="en-US" w:eastAsia="zh-CN"/>
              </w:rPr>
              <w:t>镉</w:t>
            </w:r>
          </w:p>
        </w:tc>
        <w:tc>
          <w:tcPr>
            <w:tcW w:w="328" w:type="pct"/>
            <w:shd w:val="clear" w:color="auto" w:fill="auto"/>
            <w:vAlign w:val="center"/>
          </w:tcPr>
          <w:p w14:paraId="5854050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kern w:val="2"/>
                <w:sz w:val="21"/>
                <w:szCs w:val="21"/>
                <w:highlight w:val="none"/>
                <w:vertAlign w:val="baseline"/>
                <w:lang w:val="en-US" w:eastAsia="zh-CN" w:bidi="ar-SA"/>
              </w:rPr>
            </w:pPr>
            <w:r>
              <w:rPr>
                <w:rFonts w:hint="eastAsia"/>
                <w:b/>
                <w:bCs/>
                <w:sz w:val="21"/>
                <w:szCs w:val="21"/>
                <w:highlight w:val="none"/>
                <w:vertAlign w:val="baseline"/>
                <w:lang w:val="en-US" w:eastAsia="zh-CN"/>
              </w:rPr>
              <w:t>铅</w:t>
            </w:r>
          </w:p>
        </w:tc>
        <w:tc>
          <w:tcPr>
            <w:tcW w:w="262" w:type="pct"/>
            <w:shd w:val="clear" w:color="auto" w:fill="auto"/>
            <w:vAlign w:val="center"/>
          </w:tcPr>
          <w:p w14:paraId="592FBD4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kern w:val="2"/>
                <w:sz w:val="21"/>
                <w:szCs w:val="21"/>
                <w:highlight w:val="none"/>
                <w:vertAlign w:val="baseline"/>
                <w:lang w:val="en-US" w:eastAsia="zh-CN" w:bidi="ar-SA"/>
              </w:rPr>
            </w:pPr>
            <w:r>
              <w:rPr>
                <w:rFonts w:hint="eastAsia"/>
                <w:b/>
                <w:bCs/>
                <w:sz w:val="21"/>
                <w:szCs w:val="21"/>
                <w:highlight w:val="none"/>
                <w:vertAlign w:val="baseline"/>
                <w:lang w:val="en-US" w:eastAsia="zh-CN"/>
              </w:rPr>
              <w:t>汞</w:t>
            </w:r>
          </w:p>
        </w:tc>
        <w:tc>
          <w:tcPr>
            <w:tcW w:w="317" w:type="pct"/>
            <w:shd w:val="clear" w:color="auto" w:fill="auto"/>
            <w:vAlign w:val="center"/>
          </w:tcPr>
          <w:p w14:paraId="4BE9FFC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bCs/>
                <w:sz w:val="21"/>
                <w:szCs w:val="21"/>
                <w:highlight w:val="none"/>
                <w:vertAlign w:val="baseline"/>
                <w:lang w:val="en-US" w:eastAsia="zh-CN"/>
              </w:rPr>
            </w:pPr>
            <w:r>
              <w:rPr>
                <w:rFonts w:hint="eastAsia"/>
                <w:b/>
                <w:bCs/>
                <w:sz w:val="21"/>
                <w:szCs w:val="21"/>
                <w:highlight w:val="none"/>
                <w:vertAlign w:val="baseline"/>
                <w:lang w:val="en-US" w:eastAsia="zh-CN"/>
              </w:rPr>
              <w:t>六价铬</w:t>
            </w:r>
          </w:p>
        </w:tc>
      </w:tr>
      <w:tr w14:paraId="0115342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50" w:type="pct"/>
            <w:vMerge w:val="restart"/>
            <w:vAlign w:val="center"/>
          </w:tcPr>
          <w:p w14:paraId="1017216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南尧村1#废渣堆</w:t>
            </w:r>
          </w:p>
        </w:tc>
        <w:tc>
          <w:tcPr>
            <w:tcW w:w="410" w:type="pct"/>
            <w:shd w:val="clear" w:color="auto" w:fill="auto"/>
            <w:vAlign w:val="center"/>
          </w:tcPr>
          <w:p w14:paraId="00480CA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eastAsia"/>
                <w:sz w:val="21"/>
                <w:szCs w:val="21"/>
                <w:highlight w:val="none"/>
                <w:vertAlign w:val="baseline"/>
                <w:lang w:val="en-US" w:eastAsia="zh-CN"/>
              </w:rPr>
              <w:t>2022.6.27</w:t>
            </w:r>
          </w:p>
        </w:tc>
        <w:tc>
          <w:tcPr>
            <w:tcW w:w="550" w:type="pct"/>
            <w:vMerge w:val="restart"/>
            <w:shd w:val="clear" w:color="auto" w:fill="auto"/>
            <w:vAlign w:val="center"/>
          </w:tcPr>
          <w:p w14:paraId="375A992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default"/>
                <w:sz w:val="21"/>
                <w:szCs w:val="21"/>
                <w:highlight w:val="none"/>
                <w:vertAlign w:val="baseline"/>
                <w:lang w:val="en-US" w:eastAsia="zh-CN"/>
              </w:rPr>
              <w:t>E</w:t>
            </w:r>
            <w:r>
              <w:rPr>
                <w:rFonts w:hint="eastAsia"/>
                <w:sz w:val="21"/>
                <w:szCs w:val="21"/>
                <w:highlight w:val="none"/>
                <w:vertAlign w:val="baseline"/>
                <w:lang w:val="en-US" w:eastAsia="zh-CN"/>
              </w:rPr>
              <w:t>：113.546405；</w:t>
            </w:r>
            <w:r>
              <w:rPr>
                <w:rFonts w:hint="default"/>
                <w:sz w:val="21"/>
                <w:szCs w:val="21"/>
                <w:highlight w:val="none"/>
                <w:vertAlign w:val="baseline"/>
                <w:lang w:val="en-US" w:eastAsia="zh-CN"/>
              </w:rPr>
              <w:t>N</w:t>
            </w:r>
            <w:r>
              <w:rPr>
                <w:rFonts w:hint="eastAsia"/>
                <w:sz w:val="21"/>
                <w:szCs w:val="21"/>
                <w:highlight w:val="none"/>
                <w:vertAlign w:val="baseline"/>
                <w:lang w:val="en-US" w:eastAsia="zh-CN"/>
              </w:rPr>
              <w:t>：28.649990</w:t>
            </w:r>
          </w:p>
        </w:tc>
        <w:tc>
          <w:tcPr>
            <w:tcW w:w="504" w:type="pct"/>
            <w:vAlign w:val="center"/>
          </w:tcPr>
          <w:p w14:paraId="4C35D76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透明、无异味</w:t>
            </w:r>
          </w:p>
        </w:tc>
        <w:tc>
          <w:tcPr>
            <w:tcW w:w="341" w:type="pct"/>
            <w:vAlign w:val="center"/>
          </w:tcPr>
          <w:p w14:paraId="495F6FF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6.9</w:t>
            </w:r>
          </w:p>
        </w:tc>
        <w:tc>
          <w:tcPr>
            <w:tcW w:w="332" w:type="pct"/>
            <w:vAlign w:val="center"/>
          </w:tcPr>
          <w:p w14:paraId="35BD585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ND</w:t>
            </w:r>
          </w:p>
        </w:tc>
        <w:tc>
          <w:tcPr>
            <w:tcW w:w="261" w:type="pct"/>
            <w:shd w:val="clear" w:color="auto" w:fill="auto"/>
            <w:vAlign w:val="center"/>
          </w:tcPr>
          <w:p w14:paraId="6C7C2A7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eastAsia"/>
                <w:sz w:val="21"/>
                <w:szCs w:val="21"/>
                <w:highlight w:val="none"/>
                <w:vertAlign w:val="baseline"/>
                <w:lang w:val="en-US" w:eastAsia="zh-CN"/>
              </w:rPr>
              <w:t>ND</w:t>
            </w:r>
          </w:p>
        </w:tc>
        <w:tc>
          <w:tcPr>
            <w:tcW w:w="226" w:type="pct"/>
            <w:shd w:val="clear" w:color="auto" w:fill="auto"/>
            <w:vAlign w:val="center"/>
          </w:tcPr>
          <w:p w14:paraId="6496E1F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eastAsia"/>
                <w:sz w:val="21"/>
                <w:szCs w:val="21"/>
                <w:highlight w:val="none"/>
                <w:vertAlign w:val="baseline"/>
                <w:lang w:val="en-US" w:eastAsia="zh-CN"/>
              </w:rPr>
              <w:t>ND</w:t>
            </w:r>
          </w:p>
        </w:tc>
        <w:tc>
          <w:tcPr>
            <w:tcW w:w="223" w:type="pct"/>
            <w:shd w:val="clear" w:color="auto" w:fill="auto"/>
            <w:vAlign w:val="center"/>
          </w:tcPr>
          <w:p w14:paraId="5AD3B52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eastAsia"/>
                <w:sz w:val="21"/>
                <w:szCs w:val="21"/>
                <w:highlight w:val="none"/>
                <w:vertAlign w:val="baseline"/>
                <w:lang w:val="en-US" w:eastAsia="zh-CN"/>
              </w:rPr>
              <w:t>ND</w:t>
            </w:r>
          </w:p>
        </w:tc>
        <w:tc>
          <w:tcPr>
            <w:tcW w:w="238" w:type="pct"/>
            <w:shd w:val="clear" w:color="auto" w:fill="auto"/>
            <w:vAlign w:val="center"/>
          </w:tcPr>
          <w:p w14:paraId="688358F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eastAsia"/>
                <w:sz w:val="21"/>
                <w:szCs w:val="21"/>
                <w:highlight w:val="none"/>
                <w:vertAlign w:val="baseline"/>
                <w:lang w:val="en-US" w:eastAsia="zh-CN"/>
              </w:rPr>
              <w:t>ND</w:t>
            </w:r>
          </w:p>
        </w:tc>
        <w:tc>
          <w:tcPr>
            <w:tcW w:w="218" w:type="pct"/>
            <w:shd w:val="clear" w:color="auto" w:fill="auto"/>
            <w:vAlign w:val="center"/>
          </w:tcPr>
          <w:p w14:paraId="1A6BB8E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eastAsia"/>
                <w:sz w:val="21"/>
                <w:szCs w:val="21"/>
                <w:highlight w:val="none"/>
                <w:vertAlign w:val="baseline"/>
                <w:lang w:val="en-US" w:eastAsia="zh-CN"/>
              </w:rPr>
              <w:t>ND</w:t>
            </w:r>
          </w:p>
        </w:tc>
        <w:tc>
          <w:tcPr>
            <w:tcW w:w="332" w:type="pct"/>
            <w:shd w:val="clear" w:color="auto" w:fill="auto"/>
            <w:vAlign w:val="center"/>
          </w:tcPr>
          <w:p w14:paraId="51724A0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eastAsia"/>
                <w:sz w:val="21"/>
                <w:szCs w:val="21"/>
                <w:highlight w:val="none"/>
                <w:vertAlign w:val="baseline"/>
                <w:lang w:val="en-US" w:eastAsia="zh-CN"/>
              </w:rPr>
              <w:t>ND</w:t>
            </w:r>
          </w:p>
        </w:tc>
        <w:tc>
          <w:tcPr>
            <w:tcW w:w="328" w:type="pct"/>
            <w:vAlign w:val="center"/>
          </w:tcPr>
          <w:p w14:paraId="15B9539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0.00039</w:t>
            </w:r>
          </w:p>
        </w:tc>
        <w:tc>
          <w:tcPr>
            <w:tcW w:w="262" w:type="pct"/>
            <w:vAlign w:val="center"/>
          </w:tcPr>
          <w:p w14:paraId="368A043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ND</w:t>
            </w:r>
          </w:p>
        </w:tc>
        <w:tc>
          <w:tcPr>
            <w:tcW w:w="317" w:type="pct"/>
            <w:vAlign w:val="center"/>
          </w:tcPr>
          <w:p w14:paraId="7957A12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ND</w:t>
            </w:r>
          </w:p>
        </w:tc>
      </w:tr>
      <w:tr w14:paraId="2D128B5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50" w:type="pct"/>
            <w:vMerge w:val="continue"/>
            <w:vAlign w:val="center"/>
          </w:tcPr>
          <w:p w14:paraId="1C643AC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p>
        </w:tc>
        <w:tc>
          <w:tcPr>
            <w:tcW w:w="410" w:type="pct"/>
            <w:shd w:val="clear" w:color="auto" w:fill="auto"/>
            <w:vAlign w:val="center"/>
          </w:tcPr>
          <w:p w14:paraId="689414A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kern w:val="2"/>
                <w:sz w:val="21"/>
                <w:szCs w:val="21"/>
                <w:highlight w:val="none"/>
                <w:vertAlign w:val="baseline"/>
                <w:lang w:val="en-US" w:eastAsia="zh-CN" w:bidi="ar-SA"/>
              </w:rPr>
            </w:pPr>
            <w:r>
              <w:rPr>
                <w:rFonts w:hint="eastAsia" w:cs="Times New Roman"/>
                <w:b w:val="0"/>
                <w:bCs w:val="0"/>
                <w:kern w:val="2"/>
                <w:sz w:val="21"/>
                <w:szCs w:val="21"/>
                <w:highlight w:val="none"/>
                <w:vertAlign w:val="baseline"/>
                <w:lang w:val="en-US" w:eastAsia="zh-CN" w:bidi="ar-SA"/>
              </w:rPr>
              <w:t>2022.6.28</w:t>
            </w:r>
          </w:p>
        </w:tc>
        <w:tc>
          <w:tcPr>
            <w:tcW w:w="550" w:type="pct"/>
            <w:vMerge w:val="continue"/>
            <w:vAlign w:val="center"/>
          </w:tcPr>
          <w:p w14:paraId="7524AE4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p>
        </w:tc>
        <w:tc>
          <w:tcPr>
            <w:tcW w:w="504" w:type="pct"/>
            <w:vAlign w:val="center"/>
          </w:tcPr>
          <w:p w14:paraId="71CE700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透明、无异味</w:t>
            </w:r>
          </w:p>
        </w:tc>
        <w:tc>
          <w:tcPr>
            <w:tcW w:w="341" w:type="pct"/>
            <w:vAlign w:val="center"/>
          </w:tcPr>
          <w:p w14:paraId="695F795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6.8</w:t>
            </w:r>
          </w:p>
        </w:tc>
        <w:tc>
          <w:tcPr>
            <w:tcW w:w="332" w:type="pct"/>
            <w:shd w:val="clear" w:color="auto" w:fill="auto"/>
            <w:vAlign w:val="center"/>
          </w:tcPr>
          <w:p w14:paraId="30BE1AA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eastAsia" w:cs="Times New Roman"/>
                <w:kern w:val="2"/>
                <w:sz w:val="21"/>
                <w:szCs w:val="21"/>
                <w:highlight w:val="none"/>
                <w:vertAlign w:val="baseline"/>
                <w:lang w:val="en-US" w:eastAsia="zh-CN" w:bidi="ar-SA"/>
              </w:rPr>
              <w:t>ND</w:t>
            </w:r>
          </w:p>
        </w:tc>
        <w:tc>
          <w:tcPr>
            <w:tcW w:w="261" w:type="pct"/>
            <w:shd w:val="clear" w:color="auto" w:fill="auto"/>
            <w:vAlign w:val="center"/>
          </w:tcPr>
          <w:p w14:paraId="3B9BCBC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eastAsia" w:cs="Times New Roman"/>
                <w:kern w:val="2"/>
                <w:sz w:val="21"/>
                <w:szCs w:val="21"/>
                <w:highlight w:val="none"/>
                <w:vertAlign w:val="baseline"/>
                <w:lang w:val="en-US" w:eastAsia="zh-CN" w:bidi="ar-SA"/>
              </w:rPr>
              <w:t>ND</w:t>
            </w:r>
          </w:p>
        </w:tc>
        <w:tc>
          <w:tcPr>
            <w:tcW w:w="226" w:type="pct"/>
            <w:shd w:val="clear" w:color="auto" w:fill="auto"/>
            <w:vAlign w:val="center"/>
          </w:tcPr>
          <w:p w14:paraId="62955EB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eastAsia" w:cs="Times New Roman"/>
                <w:kern w:val="2"/>
                <w:sz w:val="21"/>
                <w:szCs w:val="21"/>
                <w:highlight w:val="none"/>
                <w:vertAlign w:val="baseline"/>
                <w:lang w:val="en-US" w:eastAsia="zh-CN" w:bidi="ar-SA"/>
              </w:rPr>
              <w:t>ND</w:t>
            </w:r>
          </w:p>
        </w:tc>
        <w:tc>
          <w:tcPr>
            <w:tcW w:w="223" w:type="pct"/>
            <w:shd w:val="clear" w:color="auto" w:fill="auto"/>
            <w:vAlign w:val="center"/>
          </w:tcPr>
          <w:p w14:paraId="1994CC8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eastAsia" w:cs="Times New Roman"/>
                <w:kern w:val="2"/>
                <w:sz w:val="21"/>
                <w:szCs w:val="21"/>
                <w:highlight w:val="none"/>
                <w:vertAlign w:val="baseline"/>
                <w:lang w:val="en-US" w:eastAsia="zh-CN" w:bidi="ar-SA"/>
              </w:rPr>
              <w:t>ND</w:t>
            </w:r>
          </w:p>
        </w:tc>
        <w:tc>
          <w:tcPr>
            <w:tcW w:w="238" w:type="pct"/>
            <w:shd w:val="clear" w:color="auto" w:fill="auto"/>
            <w:vAlign w:val="center"/>
          </w:tcPr>
          <w:p w14:paraId="196F306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eastAsia" w:cs="Times New Roman"/>
                <w:kern w:val="2"/>
                <w:sz w:val="21"/>
                <w:szCs w:val="21"/>
                <w:highlight w:val="none"/>
                <w:vertAlign w:val="baseline"/>
                <w:lang w:val="en-US" w:eastAsia="zh-CN" w:bidi="ar-SA"/>
              </w:rPr>
              <w:t>ND</w:t>
            </w:r>
          </w:p>
        </w:tc>
        <w:tc>
          <w:tcPr>
            <w:tcW w:w="218" w:type="pct"/>
            <w:shd w:val="clear" w:color="auto" w:fill="auto"/>
            <w:vAlign w:val="center"/>
          </w:tcPr>
          <w:p w14:paraId="62DF7A6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eastAsia" w:cs="Times New Roman"/>
                <w:kern w:val="2"/>
                <w:sz w:val="21"/>
                <w:szCs w:val="21"/>
                <w:highlight w:val="none"/>
                <w:vertAlign w:val="baseline"/>
                <w:lang w:val="en-US" w:eastAsia="zh-CN" w:bidi="ar-SA"/>
              </w:rPr>
              <w:t>ND</w:t>
            </w:r>
          </w:p>
        </w:tc>
        <w:tc>
          <w:tcPr>
            <w:tcW w:w="332" w:type="pct"/>
            <w:shd w:val="clear" w:color="auto" w:fill="auto"/>
            <w:vAlign w:val="center"/>
          </w:tcPr>
          <w:p w14:paraId="182C933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eastAsia" w:cs="Times New Roman"/>
                <w:kern w:val="2"/>
                <w:sz w:val="21"/>
                <w:szCs w:val="21"/>
                <w:highlight w:val="none"/>
                <w:vertAlign w:val="baseline"/>
                <w:lang w:val="en-US" w:eastAsia="zh-CN" w:bidi="ar-SA"/>
              </w:rPr>
              <w:t>ND</w:t>
            </w:r>
          </w:p>
        </w:tc>
        <w:tc>
          <w:tcPr>
            <w:tcW w:w="328" w:type="pct"/>
            <w:vAlign w:val="center"/>
          </w:tcPr>
          <w:p w14:paraId="08CC7BC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0.00039</w:t>
            </w:r>
          </w:p>
        </w:tc>
        <w:tc>
          <w:tcPr>
            <w:tcW w:w="262" w:type="pct"/>
            <w:vAlign w:val="center"/>
          </w:tcPr>
          <w:p w14:paraId="293D23B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ND</w:t>
            </w:r>
          </w:p>
        </w:tc>
        <w:tc>
          <w:tcPr>
            <w:tcW w:w="317" w:type="pct"/>
            <w:vAlign w:val="center"/>
          </w:tcPr>
          <w:p w14:paraId="1BB3B14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ND</w:t>
            </w:r>
          </w:p>
        </w:tc>
      </w:tr>
      <w:tr w14:paraId="6EFA0DB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50" w:type="pct"/>
            <w:vMerge w:val="restart"/>
            <w:shd w:val="clear" w:color="auto" w:fill="auto"/>
            <w:vAlign w:val="center"/>
          </w:tcPr>
          <w:p w14:paraId="487173D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eastAsia"/>
                <w:sz w:val="21"/>
                <w:szCs w:val="21"/>
                <w:highlight w:val="none"/>
                <w:vertAlign w:val="baseline"/>
                <w:lang w:val="en-US" w:eastAsia="zh-CN"/>
              </w:rPr>
              <w:t>南尧村2#废渣堆</w:t>
            </w:r>
          </w:p>
        </w:tc>
        <w:tc>
          <w:tcPr>
            <w:tcW w:w="410" w:type="pct"/>
            <w:shd w:val="clear" w:color="auto" w:fill="auto"/>
            <w:vAlign w:val="center"/>
          </w:tcPr>
          <w:p w14:paraId="17EEF58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eastAsia"/>
                <w:sz w:val="21"/>
                <w:szCs w:val="21"/>
                <w:highlight w:val="none"/>
                <w:vertAlign w:val="baseline"/>
                <w:lang w:val="en-US" w:eastAsia="zh-CN"/>
              </w:rPr>
              <w:t>2022.6.27</w:t>
            </w:r>
          </w:p>
        </w:tc>
        <w:tc>
          <w:tcPr>
            <w:tcW w:w="550" w:type="pct"/>
            <w:vMerge w:val="restart"/>
            <w:vAlign w:val="center"/>
          </w:tcPr>
          <w:p w14:paraId="3B4EA5A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default"/>
                <w:sz w:val="21"/>
                <w:szCs w:val="21"/>
                <w:highlight w:val="none"/>
                <w:vertAlign w:val="baseline"/>
                <w:lang w:val="en-US" w:eastAsia="zh-CN"/>
              </w:rPr>
              <w:t>E</w:t>
            </w:r>
            <w:r>
              <w:rPr>
                <w:rFonts w:hint="eastAsia"/>
                <w:sz w:val="21"/>
                <w:szCs w:val="21"/>
                <w:highlight w:val="none"/>
                <w:vertAlign w:val="baseline"/>
                <w:lang w:val="en-US" w:eastAsia="zh-CN"/>
              </w:rPr>
              <w:t>：113.552201；</w:t>
            </w:r>
            <w:r>
              <w:rPr>
                <w:rFonts w:hint="default"/>
                <w:sz w:val="21"/>
                <w:szCs w:val="21"/>
                <w:highlight w:val="none"/>
                <w:vertAlign w:val="baseline"/>
                <w:lang w:val="en-US" w:eastAsia="zh-CN"/>
              </w:rPr>
              <w:t>N</w:t>
            </w:r>
            <w:r>
              <w:rPr>
                <w:rFonts w:hint="eastAsia"/>
                <w:sz w:val="21"/>
                <w:szCs w:val="21"/>
                <w:highlight w:val="none"/>
                <w:vertAlign w:val="baseline"/>
                <w:lang w:val="en-US" w:eastAsia="zh-CN"/>
              </w:rPr>
              <w:t>：28.640028</w:t>
            </w:r>
          </w:p>
        </w:tc>
        <w:tc>
          <w:tcPr>
            <w:tcW w:w="504" w:type="pct"/>
            <w:vAlign w:val="center"/>
          </w:tcPr>
          <w:p w14:paraId="449B50B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透明、无异味</w:t>
            </w:r>
          </w:p>
        </w:tc>
        <w:tc>
          <w:tcPr>
            <w:tcW w:w="341" w:type="pct"/>
            <w:vAlign w:val="center"/>
          </w:tcPr>
          <w:p w14:paraId="4A2CF4F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7.1</w:t>
            </w:r>
          </w:p>
        </w:tc>
        <w:tc>
          <w:tcPr>
            <w:tcW w:w="332" w:type="pct"/>
            <w:shd w:val="clear" w:color="auto" w:fill="auto"/>
            <w:vAlign w:val="center"/>
          </w:tcPr>
          <w:p w14:paraId="178E481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eastAsia" w:cs="Times New Roman"/>
                <w:kern w:val="2"/>
                <w:sz w:val="21"/>
                <w:szCs w:val="21"/>
                <w:highlight w:val="none"/>
                <w:vertAlign w:val="baseline"/>
                <w:lang w:val="en-US" w:eastAsia="zh-CN" w:bidi="ar-SA"/>
              </w:rPr>
              <w:t>ND</w:t>
            </w:r>
          </w:p>
        </w:tc>
        <w:tc>
          <w:tcPr>
            <w:tcW w:w="261" w:type="pct"/>
            <w:shd w:val="clear" w:color="auto" w:fill="auto"/>
            <w:vAlign w:val="center"/>
          </w:tcPr>
          <w:p w14:paraId="7FEDD54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eastAsia" w:cs="Times New Roman"/>
                <w:kern w:val="2"/>
                <w:sz w:val="21"/>
                <w:szCs w:val="21"/>
                <w:highlight w:val="none"/>
                <w:vertAlign w:val="baseline"/>
                <w:lang w:val="en-US" w:eastAsia="zh-CN" w:bidi="ar-SA"/>
              </w:rPr>
              <w:t>ND</w:t>
            </w:r>
          </w:p>
        </w:tc>
        <w:tc>
          <w:tcPr>
            <w:tcW w:w="226" w:type="pct"/>
            <w:shd w:val="clear" w:color="auto" w:fill="auto"/>
            <w:vAlign w:val="center"/>
          </w:tcPr>
          <w:p w14:paraId="5A5D2A5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eastAsia" w:cs="Times New Roman"/>
                <w:kern w:val="2"/>
                <w:sz w:val="21"/>
                <w:szCs w:val="21"/>
                <w:highlight w:val="none"/>
                <w:vertAlign w:val="baseline"/>
                <w:lang w:val="en-US" w:eastAsia="zh-CN" w:bidi="ar-SA"/>
              </w:rPr>
              <w:t>ND</w:t>
            </w:r>
          </w:p>
        </w:tc>
        <w:tc>
          <w:tcPr>
            <w:tcW w:w="223" w:type="pct"/>
            <w:shd w:val="clear" w:color="auto" w:fill="auto"/>
            <w:vAlign w:val="center"/>
          </w:tcPr>
          <w:p w14:paraId="35AE7DF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eastAsia" w:cs="Times New Roman"/>
                <w:kern w:val="2"/>
                <w:sz w:val="21"/>
                <w:szCs w:val="21"/>
                <w:highlight w:val="none"/>
                <w:vertAlign w:val="baseline"/>
                <w:lang w:val="en-US" w:eastAsia="zh-CN" w:bidi="ar-SA"/>
              </w:rPr>
              <w:t>ND</w:t>
            </w:r>
          </w:p>
        </w:tc>
        <w:tc>
          <w:tcPr>
            <w:tcW w:w="238" w:type="pct"/>
            <w:shd w:val="clear" w:color="auto" w:fill="auto"/>
            <w:vAlign w:val="center"/>
          </w:tcPr>
          <w:p w14:paraId="729D196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eastAsia" w:cs="Times New Roman"/>
                <w:kern w:val="2"/>
                <w:sz w:val="21"/>
                <w:szCs w:val="21"/>
                <w:highlight w:val="none"/>
                <w:vertAlign w:val="baseline"/>
                <w:lang w:val="en-US" w:eastAsia="zh-CN" w:bidi="ar-SA"/>
              </w:rPr>
              <w:t>ND</w:t>
            </w:r>
          </w:p>
        </w:tc>
        <w:tc>
          <w:tcPr>
            <w:tcW w:w="218" w:type="pct"/>
            <w:shd w:val="clear" w:color="auto" w:fill="auto"/>
            <w:vAlign w:val="center"/>
          </w:tcPr>
          <w:p w14:paraId="120AA4D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eastAsia" w:cs="Times New Roman"/>
                <w:kern w:val="2"/>
                <w:sz w:val="21"/>
                <w:szCs w:val="21"/>
                <w:highlight w:val="none"/>
                <w:vertAlign w:val="baseline"/>
                <w:lang w:val="en-US" w:eastAsia="zh-CN" w:bidi="ar-SA"/>
              </w:rPr>
              <w:t>ND</w:t>
            </w:r>
          </w:p>
        </w:tc>
        <w:tc>
          <w:tcPr>
            <w:tcW w:w="332" w:type="pct"/>
            <w:shd w:val="clear" w:color="auto" w:fill="auto"/>
            <w:vAlign w:val="center"/>
          </w:tcPr>
          <w:p w14:paraId="0F348E9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eastAsia" w:cs="Times New Roman"/>
                <w:kern w:val="2"/>
                <w:sz w:val="21"/>
                <w:szCs w:val="21"/>
                <w:highlight w:val="none"/>
                <w:vertAlign w:val="baseline"/>
                <w:lang w:val="en-US" w:eastAsia="zh-CN" w:bidi="ar-SA"/>
              </w:rPr>
              <w:t>0.00021</w:t>
            </w:r>
          </w:p>
        </w:tc>
        <w:tc>
          <w:tcPr>
            <w:tcW w:w="328" w:type="pct"/>
            <w:vAlign w:val="center"/>
          </w:tcPr>
          <w:p w14:paraId="75EB9EF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0.00025</w:t>
            </w:r>
          </w:p>
        </w:tc>
        <w:tc>
          <w:tcPr>
            <w:tcW w:w="262" w:type="pct"/>
            <w:shd w:val="clear" w:color="auto" w:fill="auto"/>
            <w:vAlign w:val="center"/>
          </w:tcPr>
          <w:p w14:paraId="25424ED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eastAsia" w:cs="Times New Roman"/>
                <w:kern w:val="2"/>
                <w:sz w:val="21"/>
                <w:szCs w:val="21"/>
                <w:highlight w:val="none"/>
                <w:vertAlign w:val="baseline"/>
                <w:lang w:val="en-US" w:eastAsia="zh-CN" w:bidi="ar-SA"/>
              </w:rPr>
              <w:t>ND</w:t>
            </w:r>
          </w:p>
        </w:tc>
        <w:tc>
          <w:tcPr>
            <w:tcW w:w="317" w:type="pct"/>
            <w:shd w:val="clear" w:color="auto" w:fill="auto"/>
            <w:vAlign w:val="center"/>
          </w:tcPr>
          <w:p w14:paraId="6EEC427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eastAsia" w:cs="Times New Roman"/>
                <w:kern w:val="2"/>
                <w:sz w:val="21"/>
                <w:szCs w:val="21"/>
                <w:highlight w:val="none"/>
                <w:vertAlign w:val="baseline"/>
                <w:lang w:val="en-US" w:eastAsia="zh-CN" w:bidi="ar-SA"/>
              </w:rPr>
              <w:t>ND</w:t>
            </w:r>
          </w:p>
        </w:tc>
      </w:tr>
      <w:tr w14:paraId="6E64D09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50" w:type="pct"/>
            <w:vMerge w:val="continue"/>
            <w:shd w:val="clear" w:color="auto" w:fill="auto"/>
            <w:vAlign w:val="center"/>
          </w:tcPr>
          <w:p w14:paraId="72E23FE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vertAlign w:val="baseline"/>
                <w:lang w:val="en-US" w:eastAsia="zh-CN" w:bidi="ar-SA"/>
              </w:rPr>
            </w:pPr>
          </w:p>
        </w:tc>
        <w:tc>
          <w:tcPr>
            <w:tcW w:w="410" w:type="pct"/>
            <w:shd w:val="clear" w:color="auto" w:fill="auto"/>
            <w:vAlign w:val="center"/>
          </w:tcPr>
          <w:p w14:paraId="2602078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kern w:val="2"/>
                <w:sz w:val="21"/>
                <w:szCs w:val="21"/>
                <w:highlight w:val="none"/>
                <w:vertAlign w:val="baseline"/>
                <w:lang w:val="en-US" w:eastAsia="zh-CN" w:bidi="ar-SA"/>
              </w:rPr>
            </w:pPr>
            <w:r>
              <w:rPr>
                <w:rFonts w:hint="eastAsia" w:cs="Times New Roman"/>
                <w:b w:val="0"/>
                <w:bCs w:val="0"/>
                <w:kern w:val="2"/>
                <w:sz w:val="21"/>
                <w:szCs w:val="21"/>
                <w:highlight w:val="none"/>
                <w:vertAlign w:val="baseline"/>
                <w:lang w:val="en-US" w:eastAsia="zh-CN" w:bidi="ar-SA"/>
              </w:rPr>
              <w:t>2022.6.28</w:t>
            </w:r>
          </w:p>
        </w:tc>
        <w:tc>
          <w:tcPr>
            <w:tcW w:w="550" w:type="pct"/>
            <w:vMerge w:val="continue"/>
            <w:vAlign w:val="center"/>
          </w:tcPr>
          <w:p w14:paraId="05AAD62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p>
        </w:tc>
        <w:tc>
          <w:tcPr>
            <w:tcW w:w="504" w:type="pct"/>
            <w:vAlign w:val="center"/>
          </w:tcPr>
          <w:p w14:paraId="1FB259E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vertAlign w:val="baseline"/>
                <w:lang w:val="en-US" w:eastAsia="zh-CN"/>
              </w:rPr>
            </w:pPr>
            <w:r>
              <w:rPr>
                <w:rFonts w:hint="eastAsia"/>
                <w:sz w:val="21"/>
                <w:szCs w:val="21"/>
                <w:highlight w:val="none"/>
                <w:vertAlign w:val="baseline"/>
                <w:lang w:val="en-US" w:eastAsia="zh-CN"/>
              </w:rPr>
              <w:t>透明、无异味</w:t>
            </w:r>
          </w:p>
        </w:tc>
        <w:tc>
          <w:tcPr>
            <w:tcW w:w="341" w:type="pct"/>
            <w:vAlign w:val="center"/>
          </w:tcPr>
          <w:p w14:paraId="7B78CAF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7.1</w:t>
            </w:r>
          </w:p>
        </w:tc>
        <w:tc>
          <w:tcPr>
            <w:tcW w:w="332" w:type="pct"/>
            <w:shd w:val="clear" w:color="auto" w:fill="auto"/>
            <w:vAlign w:val="center"/>
          </w:tcPr>
          <w:p w14:paraId="70029E3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eastAsia" w:cs="Times New Roman"/>
                <w:kern w:val="2"/>
                <w:sz w:val="21"/>
                <w:szCs w:val="21"/>
                <w:highlight w:val="none"/>
                <w:vertAlign w:val="baseline"/>
                <w:lang w:val="en-US" w:eastAsia="zh-CN" w:bidi="ar-SA"/>
              </w:rPr>
              <w:t>ND</w:t>
            </w:r>
          </w:p>
        </w:tc>
        <w:tc>
          <w:tcPr>
            <w:tcW w:w="261" w:type="pct"/>
            <w:shd w:val="clear" w:color="auto" w:fill="auto"/>
            <w:vAlign w:val="center"/>
          </w:tcPr>
          <w:p w14:paraId="036C278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eastAsia" w:cs="Times New Roman"/>
                <w:kern w:val="2"/>
                <w:sz w:val="21"/>
                <w:szCs w:val="21"/>
                <w:highlight w:val="none"/>
                <w:vertAlign w:val="baseline"/>
                <w:lang w:val="en-US" w:eastAsia="zh-CN" w:bidi="ar-SA"/>
              </w:rPr>
              <w:t>ND</w:t>
            </w:r>
          </w:p>
        </w:tc>
        <w:tc>
          <w:tcPr>
            <w:tcW w:w="226" w:type="pct"/>
            <w:shd w:val="clear" w:color="auto" w:fill="auto"/>
            <w:vAlign w:val="center"/>
          </w:tcPr>
          <w:p w14:paraId="10ABC4C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eastAsia" w:cs="Times New Roman"/>
                <w:kern w:val="2"/>
                <w:sz w:val="21"/>
                <w:szCs w:val="21"/>
                <w:highlight w:val="none"/>
                <w:vertAlign w:val="baseline"/>
                <w:lang w:val="en-US" w:eastAsia="zh-CN" w:bidi="ar-SA"/>
              </w:rPr>
              <w:t>ND</w:t>
            </w:r>
          </w:p>
        </w:tc>
        <w:tc>
          <w:tcPr>
            <w:tcW w:w="223" w:type="pct"/>
            <w:shd w:val="clear" w:color="auto" w:fill="auto"/>
            <w:vAlign w:val="center"/>
          </w:tcPr>
          <w:p w14:paraId="605E3FE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eastAsia" w:cs="Times New Roman"/>
                <w:kern w:val="2"/>
                <w:sz w:val="21"/>
                <w:szCs w:val="21"/>
                <w:highlight w:val="none"/>
                <w:vertAlign w:val="baseline"/>
                <w:lang w:val="en-US" w:eastAsia="zh-CN" w:bidi="ar-SA"/>
              </w:rPr>
              <w:t>ND</w:t>
            </w:r>
          </w:p>
        </w:tc>
        <w:tc>
          <w:tcPr>
            <w:tcW w:w="238" w:type="pct"/>
            <w:shd w:val="clear" w:color="auto" w:fill="auto"/>
            <w:vAlign w:val="center"/>
          </w:tcPr>
          <w:p w14:paraId="5ED174E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eastAsia" w:cs="Times New Roman"/>
                <w:kern w:val="2"/>
                <w:sz w:val="21"/>
                <w:szCs w:val="21"/>
                <w:highlight w:val="none"/>
                <w:vertAlign w:val="baseline"/>
                <w:lang w:val="en-US" w:eastAsia="zh-CN" w:bidi="ar-SA"/>
              </w:rPr>
              <w:t>ND</w:t>
            </w:r>
          </w:p>
        </w:tc>
        <w:tc>
          <w:tcPr>
            <w:tcW w:w="218" w:type="pct"/>
            <w:shd w:val="clear" w:color="auto" w:fill="auto"/>
            <w:vAlign w:val="center"/>
          </w:tcPr>
          <w:p w14:paraId="11B26C5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eastAsia" w:cs="Times New Roman"/>
                <w:kern w:val="2"/>
                <w:sz w:val="21"/>
                <w:szCs w:val="21"/>
                <w:highlight w:val="none"/>
                <w:vertAlign w:val="baseline"/>
                <w:lang w:val="en-US" w:eastAsia="zh-CN" w:bidi="ar-SA"/>
              </w:rPr>
              <w:t>ND</w:t>
            </w:r>
          </w:p>
        </w:tc>
        <w:tc>
          <w:tcPr>
            <w:tcW w:w="332" w:type="pct"/>
            <w:shd w:val="clear" w:color="auto" w:fill="auto"/>
            <w:vAlign w:val="center"/>
          </w:tcPr>
          <w:p w14:paraId="355E625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eastAsia" w:cs="Times New Roman"/>
                <w:kern w:val="2"/>
                <w:sz w:val="21"/>
                <w:szCs w:val="21"/>
                <w:highlight w:val="none"/>
                <w:vertAlign w:val="baseline"/>
                <w:lang w:val="en-US" w:eastAsia="zh-CN" w:bidi="ar-SA"/>
              </w:rPr>
              <w:t>0.00022</w:t>
            </w:r>
          </w:p>
        </w:tc>
        <w:tc>
          <w:tcPr>
            <w:tcW w:w="328" w:type="pct"/>
            <w:vAlign w:val="center"/>
          </w:tcPr>
          <w:p w14:paraId="57D27D9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0.00023</w:t>
            </w:r>
          </w:p>
        </w:tc>
        <w:tc>
          <w:tcPr>
            <w:tcW w:w="262" w:type="pct"/>
            <w:shd w:val="clear" w:color="auto" w:fill="auto"/>
            <w:vAlign w:val="center"/>
          </w:tcPr>
          <w:p w14:paraId="2FCEEF4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eastAsia" w:cs="Times New Roman"/>
                <w:kern w:val="2"/>
                <w:sz w:val="21"/>
                <w:szCs w:val="21"/>
                <w:highlight w:val="none"/>
                <w:vertAlign w:val="baseline"/>
                <w:lang w:val="en-US" w:eastAsia="zh-CN" w:bidi="ar-SA"/>
              </w:rPr>
              <w:t>ND</w:t>
            </w:r>
          </w:p>
        </w:tc>
        <w:tc>
          <w:tcPr>
            <w:tcW w:w="317" w:type="pct"/>
            <w:shd w:val="clear" w:color="auto" w:fill="auto"/>
            <w:vAlign w:val="center"/>
          </w:tcPr>
          <w:p w14:paraId="32AF979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eastAsia" w:cs="Times New Roman"/>
                <w:kern w:val="2"/>
                <w:sz w:val="21"/>
                <w:szCs w:val="21"/>
                <w:highlight w:val="none"/>
                <w:vertAlign w:val="baseline"/>
                <w:lang w:val="en-US" w:eastAsia="zh-CN" w:bidi="ar-SA"/>
              </w:rPr>
              <w:t>ND</w:t>
            </w:r>
          </w:p>
        </w:tc>
      </w:tr>
      <w:tr w14:paraId="3FB4DAC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916" w:type="pct"/>
            <w:gridSpan w:val="4"/>
            <w:vAlign w:val="center"/>
          </w:tcPr>
          <w:p w14:paraId="3C2441B5">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cs="Times New Roman"/>
                <w:b/>
                <w:bCs/>
                <w:sz w:val="21"/>
                <w:szCs w:val="21"/>
                <w:highlight w:val="none"/>
                <w:vertAlign w:val="baseline"/>
                <w:lang w:val="en-US" w:eastAsia="zh-CN"/>
              </w:rPr>
            </w:pPr>
            <w:r>
              <w:rPr>
                <w:rFonts w:hint="eastAsia"/>
                <w:b/>
                <w:bCs/>
                <w:sz w:val="21"/>
                <w:szCs w:val="21"/>
                <w:highlight w:val="none"/>
                <w:vertAlign w:val="baseline"/>
                <w:lang w:val="en-US" w:eastAsia="zh-CN"/>
              </w:rPr>
              <w:t>限值</w:t>
            </w:r>
          </w:p>
        </w:tc>
        <w:tc>
          <w:tcPr>
            <w:tcW w:w="341" w:type="pct"/>
            <w:vAlign w:val="center"/>
          </w:tcPr>
          <w:p w14:paraId="35E9185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bCs/>
                <w:sz w:val="21"/>
                <w:szCs w:val="21"/>
                <w:highlight w:val="none"/>
                <w:vertAlign w:val="baseline"/>
                <w:lang w:val="en-US" w:eastAsia="zh-CN"/>
              </w:rPr>
            </w:pPr>
            <w:r>
              <w:rPr>
                <w:rFonts w:hint="eastAsia"/>
                <w:b/>
                <w:bCs/>
                <w:sz w:val="21"/>
                <w:szCs w:val="21"/>
                <w:highlight w:val="none"/>
                <w:vertAlign w:val="baseline"/>
                <w:lang w:val="en-US" w:eastAsia="zh-CN"/>
              </w:rPr>
              <w:t>6.5~8.5</w:t>
            </w:r>
          </w:p>
        </w:tc>
        <w:tc>
          <w:tcPr>
            <w:tcW w:w="332" w:type="pct"/>
            <w:vAlign w:val="center"/>
          </w:tcPr>
          <w:p w14:paraId="7A4FD9C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bCs/>
                <w:sz w:val="21"/>
                <w:szCs w:val="21"/>
                <w:highlight w:val="none"/>
                <w:vertAlign w:val="baseline"/>
                <w:lang w:val="en-US" w:eastAsia="zh-CN"/>
              </w:rPr>
            </w:pPr>
            <w:r>
              <w:rPr>
                <w:rFonts w:hint="eastAsia"/>
                <w:b/>
                <w:bCs/>
                <w:sz w:val="21"/>
                <w:szCs w:val="21"/>
                <w:highlight w:val="none"/>
                <w:vertAlign w:val="baseline"/>
                <w:lang w:val="en-US" w:eastAsia="zh-CN"/>
              </w:rPr>
              <w:t>0.05</w:t>
            </w:r>
          </w:p>
        </w:tc>
        <w:tc>
          <w:tcPr>
            <w:tcW w:w="261" w:type="pct"/>
            <w:vAlign w:val="center"/>
          </w:tcPr>
          <w:p w14:paraId="2C6BF96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bCs/>
                <w:sz w:val="21"/>
                <w:szCs w:val="21"/>
                <w:highlight w:val="none"/>
                <w:vertAlign w:val="baseline"/>
                <w:lang w:val="en-US" w:eastAsia="zh-CN"/>
              </w:rPr>
            </w:pPr>
            <w:r>
              <w:rPr>
                <w:rFonts w:hint="eastAsia"/>
                <w:b/>
                <w:bCs/>
                <w:sz w:val="21"/>
                <w:szCs w:val="21"/>
                <w:highlight w:val="none"/>
                <w:vertAlign w:val="baseline"/>
                <w:lang w:val="en-US" w:eastAsia="zh-CN"/>
              </w:rPr>
              <w:t>/</w:t>
            </w:r>
          </w:p>
        </w:tc>
        <w:tc>
          <w:tcPr>
            <w:tcW w:w="226" w:type="pct"/>
            <w:vAlign w:val="center"/>
          </w:tcPr>
          <w:p w14:paraId="6430151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bCs/>
                <w:sz w:val="21"/>
                <w:szCs w:val="21"/>
                <w:highlight w:val="none"/>
                <w:vertAlign w:val="baseline"/>
                <w:lang w:val="en-US" w:eastAsia="zh-CN"/>
              </w:rPr>
            </w:pPr>
            <w:r>
              <w:rPr>
                <w:rFonts w:hint="eastAsia"/>
                <w:b/>
                <w:bCs/>
                <w:sz w:val="21"/>
                <w:szCs w:val="21"/>
                <w:highlight w:val="none"/>
                <w:vertAlign w:val="baseline"/>
                <w:lang w:val="en-US" w:eastAsia="zh-CN"/>
              </w:rPr>
              <w:t>0.02</w:t>
            </w:r>
          </w:p>
        </w:tc>
        <w:tc>
          <w:tcPr>
            <w:tcW w:w="223" w:type="pct"/>
            <w:vAlign w:val="center"/>
          </w:tcPr>
          <w:p w14:paraId="3B80696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bCs/>
                <w:sz w:val="21"/>
                <w:szCs w:val="21"/>
                <w:highlight w:val="none"/>
                <w:vertAlign w:val="baseline"/>
                <w:lang w:val="en-US" w:eastAsia="zh-CN"/>
              </w:rPr>
            </w:pPr>
            <w:r>
              <w:rPr>
                <w:rFonts w:hint="eastAsia"/>
                <w:b/>
                <w:bCs/>
                <w:sz w:val="21"/>
                <w:szCs w:val="21"/>
                <w:highlight w:val="none"/>
                <w:vertAlign w:val="baseline"/>
                <w:lang w:val="en-US" w:eastAsia="zh-CN"/>
              </w:rPr>
              <w:t>1.0</w:t>
            </w:r>
          </w:p>
        </w:tc>
        <w:tc>
          <w:tcPr>
            <w:tcW w:w="238" w:type="pct"/>
            <w:vAlign w:val="center"/>
          </w:tcPr>
          <w:p w14:paraId="4DDCAC9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bCs/>
                <w:sz w:val="21"/>
                <w:szCs w:val="21"/>
                <w:highlight w:val="none"/>
                <w:vertAlign w:val="baseline"/>
                <w:lang w:val="en-US" w:eastAsia="zh-CN"/>
              </w:rPr>
            </w:pPr>
            <w:r>
              <w:rPr>
                <w:rFonts w:hint="eastAsia"/>
                <w:b/>
                <w:bCs/>
                <w:sz w:val="21"/>
                <w:szCs w:val="21"/>
                <w:highlight w:val="none"/>
                <w:vertAlign w:val="baseline"/>
                <w:lang w:val="en-US" w:eastAsia="zh-CN"/>
              </w:rPr>
              <w:t>1.0</w:t>
            </w:r>
          </w:p>
        </w:tc>
        <w:tc>
          <w:tcPr>
            <w:tcW w:w="218" w:type="pct"/>
            <w:vAlign w:val="center"/>
          </w:tcPr>
          <w:p w14:paraId="51B62FA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bCs/>
                <w:sz w:val="21"/>
                <w:szCs w:val="21"/>
                <w:highlight w:val="none"/>
                <w:vertAlign w:val="baseline"/>
                <w:lang w:val="en-US" w:eastAsia="zh-CN"/>
              </w:rPr>
            </w:pPr>
            <w:r>
              <w:rPr>
                <w:rFonts w:hint="eastAsia"/>
                <w:b/>
                <w:bCs/>
                <w:sz w:val="21"/>
                <w:szCs w:val="21"/>
                <w:highlight w:val="none"/>
                <w:vertAlign w:val="baseline"/>
                <w:lang w:val="en-US" w:eastAsia="zh-CN"/>
              </w:rPr>
              <w:t>0.01</w:t>
            </w:r>
          </w:p>
        </w:tc>
        <w:tc>
          <w:tcPr>
            <w:tcW w:w="332" w:type="pct"/>
            <w:vAlign w:val="center"/>
          </w:tcPr>
          <w:p w14:paraId="732A40C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bCs/>
                <w:sz w:val="21"/>
                <w:szCs w:val="21"/>
                <w:highlight w:val="none"/>
                <w:vertAlign w:val="baseline"/>
                <w:lang w:val="en-US" w:eastAsia="zh-CN"/>
              </w:rPr>
            </w:pPr>
            <w:r>
              <w:rPr>
                <w:rFonts w:hint="eastAsia"/>
                <w:b/>
                <w:bCs/>
                <w:sz w:val="21"/>
                <w:szCs w:val="21"/>
                <w:highlight w:val="none"/>
                <w:vertAlign w:val="baseline"/>
                <w:lang w:val="en-US" w:eastAsia="zh-CN"/>
              </w:rPr>
              <w:t>0.005</w:t>
            </w:r>
          </w:p>
        </w:tc>
        <w:tc>
          <w:tcPr>
            <w:tcW w:w="328" w:type="pct"/>
            <w:vAlign w:val="center"/>
          </w:tcPr>
          <w:p w14:paraId="3311FF4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bCs/>
                <w:sz w:val="21"/>
                <w:szCs w:val="21"/>
                <w:highlight w:val="none"/>
                <w:vertAlign w:val="baseline"/>
                <w:lang w:val="en-US" w:eastAsia="zh-CN"/>
              </w:rPr>
            </w:pPr>
            <w:r>
              <w:rPr>
                <w:rFonts w:hint="eastAsia"/>
                <w:b/>
                <w:bCs/>
                <w:sz w:val="21"/>
                <w:szCs w:val="21"/>
                <w:highlight w:val="none"/>
                <w:vertAlign w:val="baseline"/>
                <w:lang w:val="en-US" w:eastAsia="zh-CN"/>
              </w:rPr>
              <w:t>0.01</w:t>
            </w:r>
          </w:p>
        </w:tc>
        <w:tc>
          <w:tcPr>
            <w:tcW w:w="262" w:type="pct"/>
            <w:vAlign w:val="center"/>
          </w:tcPr>
          <w:p w14:paraId="387E3BD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bCs/>
                <w:sz w:val="21"/>
                <w:szCs w:val="21"/>
                <w:highlight w:val="none"/>
                <w:vertAlign w:val="baseline"/>
                <w:lang w:val="en-US" w:eastAsia="zh-CN"/>
              </w:rPr>
            </w:pPr>
            <w:r>
              <w:rPr>
                <w:rFonts w:hint="eastAsia"/>
                <w:b/>
                <w:bCs/>
                <w:sz w:val="21"/>
                <w:szCs w:val="21"/>
                <w:highlight w:val="none"/>
                <w:vertAlign w:val="baseline"/>
                <w:lang w:val="en-US" w:eastAsia="zh-CN"/>
              </w:rPr>
              <w:t>0.001</w:t>
            </w:r>
          </w:p>
        </w:tc>
        <w:tc>
          <w:tcPr>
            <w:tcW w:w="317" w:type="pct"/>
            <w:vAlign w:val="center"/>
          </w:tcPr>
          <w:p w14:paraId="4D2DBA7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bCs/>
                <w:sz w:val="21"/>
                <w:szCs w:val="21"/>
                <w:highlight w:val="none"/>
                <w:vertAlign w:val="baseline"/>
                <w:lang w:val="en-US" w:eastAsia="zh-CN"/>
              </w:rPr>
            </w:pPr>
            <w:r>
              <w:rPr>
                <w:rFonts w:hint="eastAsia"/>
                <w:b/>
                <w:bCs/>
                <w:sz w:val="21"/>
                <w:szCs w:val="21"/>
                <w:highlight w:val="none"/>
                <w:vertAlign w:val="baseline"/>
                <w:lang w:val="en-US" w:eastAsia="zh-CN"/>
              </w:rPr>
              <w:t>0.05</w:t>
            </w:r>
          </w:p>
        </w:tc>
      </w:tr>
      <w:tr w14:paraId="5F13A62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000" w:type="pct"/>
            <w:gridSpan w:val="15"/>
            <w:vAlign w:val="center"/>
          </w:tcPr>
          <w:p w14:paraId="2A133C32">
            <w:pPr>
              <w:keepNext w:val="0"/>
              <w:keepLines w:val="0"/>
              <w:pageBreakBefore w:val="0"/>
              <w:widowControl w:val="0"/>
              <w:kinsoku/>
              <w:wordWrap/>
              <w:overflowPunct/>
              <w:topLinePunct w:val="0"/>
              <w:autoSpaceDE/>
              <w:autoSpaceDN/>
              <w:bidi w:val="0"/>
              <w:adjustRightInd/>
              <w:snapToGrid/>
              <w:spacing w:line="360" w:lineRule="auto"/>
              <w:ind w:firstLine="0" w:firstLineChars="0"/>
              <w:jc w:val="both"/>
              <w:textAlignment w:val="auto"/>
              <w:rPr>
                <w:rFonts w:hint="eastAsia"/>
                <w:b/>
                <w:bCs/>
                <w:sz w:val="21"/>
                <w:szCs w:val="21"/>
                <w:highlight w:val="none"/>
                <w:vertAlign w:val="baseline"/>
                <w:lang w:val="en-US" w:eastAsia="zh-CN"/>
              </w:rPr>
            </w:pPr>
            <w:r>
              <w:rPr>
                <w:rFonts w:hint="eastAsia"/>
                <w:b/>
                <w:bCs/>
                <w:sz w:val="21"/>
                <w:szCs w:val="21"/>
                <w:highlight w:val="none"/>
                <w:vertAlign w:val="baseline"/>
                <w:lang w:val="en-US" w:eastAsia="zh-CN"/>
              </w:rPr>
              <w:t>注：“ND”表示未检出。</w:t>
            </w:r>
          </w:p>
        </w:tc>
      </w:tr>
    </w:tbl>
    <w:p w14:paraId="0B2BC3D4">
      <w:pPr>
        <w:bidi w:val="0"/>
        <w:rPr>
          <w:rFonts w:hint="default"/>
          <w:lang w:val="en-US" w:eastAsia="zh-CN"/>
        </w:rPr>
        <w:sectPr>
          <w:pgSz w:w="16783" w:h="11850" w:orient="landscape"/>
          <w:pgMar w:top="1417" w:right="1417" w:bottom="1417" w:left="1417" w:header="851" w:footer="992" w:gutter="0"/>
          <w:pgNumType w:fmt="decimal"/>
          <w:cols w:space="425" w:num="1"/>
          <w:docGrid w:type="lines" w:linePitch="312" w:charSpace="0"/>
        </w:sectPr>
      </w:pPr>
      <w:r>
        <w:rPr>
          <w:rFonts w:hint="eastAsia"/>
          <w:lang w:val="en-US" w:eastAsia="zh-CN"/>
        </w:rPr>
        <w:t>区域地下水检测结果表明，南尧村1#废渣堆、2#废渣堆区域地下水各检测指标均达到了《地下水环境质量标准》（GB/T14848-2017）表1、表2中</w:t>
      </w:r>
      <w:r>
        <w:rPr>
          <w:rFonts w:hint="default" w:ascii="Times New Roman" w:hAnsi="Times New Roman" w:cs="Times New Roman"/>
          <w:lang w:val="en-US" w:eastAsia="zh-CN"/>
        </w:rPr>
        <w:t>Ⅲ</w:t>
      </w:r>
      <w:r>
        <w:rPr>
          <w:rFonts w:hint="eastAsia"/>
          <w:lang w:val="en-US" w:eastAsia="zh-CN"/>
        </w:rPr>
        <w:t>类标准限值，废渣堆对周边地下水影响较小。</w:t>
      </w:r>
    </w:p>
    <w:p w14:paraId="0EF44C14">
      <w:pPr>
        <w:pStyle w:val="9"/>
        <w:numPr>
          <w:ilvl w:val="2"/>
          <w:numId w:val="1"/>
        </w:numPr>
        <w:bidi w:val="0"/>
        <w:ind w:left="709" w:leftChars="0" w:hanging="709" w:firstLineChars="0"/>
        <w:rPr>
          <w:rFonts w:hint="default"/>
          <w:highlight w:val="none"/>
          <w:lang w:val="en-US" w:eastAsia="zh-CN"/>
        </w:rPr>
      </w:pPr>
      <w:r>
        <w:rPr>
          <w:rFonts w:hint="eastAsia"/>
          <w:highlight w:val="none"/>
          <w:lang w:val="en-US" w:eastAsia="zh-CN"/>
        </w:rPr>
        <w:t>拟建工程概况</w:t>
      </w:r>
    </w:p>
    <w:p w14:paraId="3B795627">
      <w:pPr>
        <w:keepNext w:val="0"/>
        <w:keepLines w:val="0"/>
        <w:pageBreakBefore w:val="0"/>
        <w:widowControl w:val="0"/>
        <w:kinsoku/>
        <w:wordWrap w:val="0"/>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color w:val="auto"/>
          <w:sz w:val="24"/>
          <w:highlight w:val="yellow"/>
          <w:u w:val="none" w:color="auto"/>
          <w:lang w:val="en-US" w:eastAsia="zh-CN"/>
        </w:rPr>
      </w:pPr>
      <w:r>
        <w:rPr>
          <w:rFonts w:hint="eastAsia" w:cs="Times New Roman"/>
          <w:b/>
          <w:bCs/>
          <w:color w:val="auto"/>
          <w:sz w:val="24"/>
          <w:highlight w:val="none"/>
          <w:u w:val="none" w:color="auto"/>
          <w:lang w:val="en-US" w:eastAsia="zh-CN"/>
        </w:rPr>
        <w:t>项目名称：</w:t>
      </w:r>
      <w:r>
        <w:rPr>
          <w:rFonts w:hint="eastAsia" w:cs="Times New Roman"/>
          <w:b w:val="0"/>
          <w:bCs w:val="0"/>
          <w:color w:val="auto"/>
          <w:sz w:val="24"/>
          <w:highlight w:val="none"/>
          <w:u w:val="none" w:color="auto"/>
          <w:lang w:val="en-US" w:eastAsia="zh-CN"/>
        </w:rPr>
        <w:t>平江县三阳乡南尧村片区（垂拱组、仙人组）历史遗留重金属废渣整治项目</w:t>
      </w:r>
      <w:r>
        <w:rPr>
          <w:rFonts w:hint="eastAsia" w:cs="Times New Roman"/>
          <w:color w:val="auto"/>
          <w:sz w:val="24"/>
          <w:highlight w:val="none"/>
          <w:u w:val="none" w:color="auto"/>
          <w:lang w:val="en-US" w:eastAsia="zh-CN"/>
        </w:rPr>
        <w:t>；</w:t>
      </w:r>
    </w:p>
    <w:p w14:paraId="617D31B2">
      <w:pPr>
        <w:keepNext w:val="0"/>
        <w:keepLines w:val="0"/>
        <w:pageBreakBefore w:val="0"/>
        <w:widowControl w:val="0"/>
        <w:kinsoku/>
        <w:wordWrap w:val="0"/>
        <w:overflowPunct/>
        <w:topLinePunct w:val="0"/>
        <w:autoSpaceDE/>
        <w:autoSpaceDN/>
        <w:bidi w:val="0"/>
        <w:adjustRightInd/>
        <w:snapToGrid/>
        <w:spacing w:line="360" w:lineRule="auto"/>
        <w:ind w:firstLine="482" w:firstLineChars="200"/>
        <w:textAlignment w:val="auto"/>
        <w:rPr>
          <w:rFonts w:hint="default" w:cs="Times New Roman"/>
          <w:b/>
          <w:bCs/>
          <w:color w:val="auto"/>
          <w:sz w:val="24"/>
          <w:highlight w:val="none"/>
          <w:u w:val="none" w:color="auto"/>
          <w:lang w:val="en-US" w:eastAsia="zh-CN"/>
        </w:rPr>
      </w:pPr>
      <w:r>
        <w:rPr>
          <w:rFonts w:hint="eastAsia" w:cs="Times New Roman"/>
          <w:b/>
          <w:bCs/>
          <w:color w:val="auto"/>
          <w:sz w:val="24"/>
          <w:highlight w:val="none"/>
          <w:u w:val="none" w:color="auto"/>
          <w:lang w:val="en-US" w:eastAsia="zh-CN"/>
        </w:rPr>
        <w:t>建设性质：</w:t>
      </w:r>
      <w:r>
        <w:rPr>
          <w:rFonts w:hint="eastAsia" w:cs="Times New Roman"/>
          <w:b w:val="0"/>
          <w:bCs w:val="0"/>
          <w:color w:val="auto"/>
          <w:sz w:val="24"/>
          <w:highlight w:val="none"/>
          <w:u w:val="none" w:color="auto"/>
          <w:lang w:val="en-US" w:eastAsia="zh-CN"/>
        </w:rPr>
        <w:t>新建；</w:t>
      </w:r>
    </w:p>
    <w:p w14:paraId="4B6462FF">
      <w:pPr>
        <w:keepNext w:val="0"/>
        <w:keepLines w:val="0"/>
        <w:pageBreakBefore w:val="0"/>
        <w:widowControl w:val="0"/>
        <w:kinsoku/>
        <w:wordWrap w:val="0"/>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color w:val="auto"/>
          <w:sz w:val="24"/>
          <w:highlight w:val="yellow"/>
          <w:u w:val="none" w:color="auto"/>
          <w:lang w:val="en-US" w:eastAsia="zh-CN"/>
        </w:rPr>
      </w:pPr>
      <w:r>
        <w:rPr>
          <w:rFonts w:hint="eastAsia" w:cs="Times New Roman"/>
          <w:b/>
          <w:bCs/>
          <w:color w:val="auto"/>
          <w:sz w:val="24"/>
          <w:highlight w:val="none"/>
          <w:u w:val="none" w:color="auto"/>
          <w:lang w:val="en-US" w:eastAsia="zh-CN"/>
        </w:rPr>
        <w:t>建设单位：</w:t>
      </w:r>
      <w:r>
        <w:rPr>
          <w:rFonts w:hint="eastAsia" w:cs="Times New Roman"/>
          <w:b w:val="0"/>
          <w:bCs w:val="0"/>
          <w:color w:val="auto"/>
          <w:sz w:val="24"/>
          <w:highlight w:val="none"/>
          <w:u w:val="none" w:color="auto"/>
          <w:lang w:val="en-US" w:eastAsia="zh-CN"/>
        </w:rPr>
        <w:t>平江县三阳乡人民政府</w:t>
      </w:r>
      <w:r>
        <w:rPr>
          <w:rFonts w:hint="eastAsia" w:cs="Times New Roman"/>
          <w:color w:val="auto"/>
          <w:sz w:val="24"/>
          <w:highlight w:val="none"/>
          <w:u w:val="none" w:color="auto"/>
          <w:lang w:val="en-US" w:eastAsia="zh-CN"/>
        </w:rPr>
        <w:t>；</w:t>
      </w:r>
    </w:p>
    <w:p w14:paraId="0AB9BCBD">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color w:val="auto"/>
          <w:sz w:val="24"/>
          <w:highlight w:val="yellow"/>
          <w:u w:val="none" w:color="auto"/>
          <w:lang w:val="en-US" w:eastAsia="zh-CN"/>
        </w:rPr>
      </w:pPr>
      <w:r>
        <w:rPr>
          <w:rFonts w:hint="eastAsia" w:cs="Times New Roman"/>
          <w:b/>
          <w:bCs/>
          <w:color w:val="auto"/>
          <w:sz w:val="24"/>
          <w:highlight w:val="none"/>
          <w:u w:val="none" w:color="auto"/>
          <w:lang w:val="en-US" w:eastAsia="zh-CN"/>
        </w:rPr>
        <w:t>建设地点：</w:t>
      </w:r>
      <w:r>
        <w:rPr>
          <w:rFonts w:hint="eastAsia" w:cs="Times New Roman"/>
          <w:b w:val="0"/>
          <w:bCs w:val="0"/>
          <w:color w:val="auto"/>
          <w:sz w:val="24"/>
          <w:highlight w:val="none"/>
          <w:u w:val="none" w:color="auto"/>
          <w:lang w:val="en-US" w:eastAsia="zh-CN"/>
        </w:rPr>
        <w:t>平江县三阳乡南尧村垂拱组、仙人组（中心经纬度</w:t>
      </w:r>
      <w:r>
        <w:t>113°33′6.75″</w:t>
      </w:r>
      <w:r>
        <w:rPr>
          <w:rFonts w:hint="eastAsia" w:cs="Times New Roman"/>
          <w:b w:val="0"/>
          <w:bCs w:val="0"/>
          <w:color w:val="auto"/>
          <w:sz w:val="24"/>
          <w:highlight w:val="none"/>
          <w:u w:val="none" w:color="auto"/>
          <w:lang w:val="en-US" w:eastAsia="zh-CN"/>
        </w:rPr>
        <w:t>E，</w:t>
      </w:r>
      <w:r>
        <w:t>28°38′51.27″</w:t>
      </w:r>
      <w:r>
        <w:rPr>
          <w:rFonts w:hint="eastAsia" w:cs="Times New Roman"/>
          <w:b w:val="0"/>
          <w:bCs w:val="0"/>
          <w:color w:val="auto"/>
          <w:sz w:val="24"/>
          <w:highlight w:val="none"/>
          <w:u w:val="none" w:color="auto"/>
          <w:lang w:val="en-US" w:eastAsia="zh-CN"/>
        </w:rPr>
        <w:t>N）</w:t>
      </w:r>
      <w:r>
        <w:rPr>
          <w:rFonts w:hint="eastAsia" w:cs="Times New Roman"/>
          <w:color w:val="auto"/>
          <w:sz w:val="24"/>
          <w:highlight w:val="none"/>
          <w:u w:val="none" w:color="auto"/>
          <w:lang w:val="en-US" w:eastAsia="zh-CN"/>
        </w:rPr>
        <w:t>；</w:t>
      </w:r>
    </w:p>
    <w:p w14:paraId="6F43D38E">
      <w:pPr>
        <w:keepNext w:val="0"/>
        <w:keepLines w:val="0"/>
        <w:pageBreakBefore w:val="0"/>
        <w:widowControl w:val="0"/>
        <w:kinsoku/>
        <w:wordWrap w:val="0"/>
        <w:overflowPunct/>
        <w:topLinePunct w:val="0"/>
        <w:autoSpaceDE/>
        <w:autoSpaceDN/>
        <w:bidi w:val="0"/>
        <w:adjustRightInd/>
        <w:snapToGrid/>
        <w:spacing w:line="360" w:lineRule="auto"/>
        <w:ind w:firstLine="482" w:firstLineChars="200"/>
        <w:textAlignment w:val="auto"/>
        <w:rPr>
          <w:rFonts w:hint="default" w:cs="Times New Roman"/>
          <w:b/>
          <w:bCs/>
          <w:color w:val="auto"/>
          <w:sz w:val="24"/>
          <w:highlight w:val="none"/>
          <w:u w:val="none" w:color="auto"/>
          <w:lang w:val="en-US" w:eastAsia="zh-CN"/>
        </w:rPr>
      </w:pPr>
      <w:r>
        <w:rPr>
          <w:rFonts w:hint="eastAsia" w:cs="Times New Roman"/>
          <w:b/>
          <w:bCs/>
          <w:color w:val="auto"/>
          <w:sz w:val="24"/>
          <w:highlight w:val="none"/>
          <w:u w:val="none" w:color="auto"/>
          <w:lang w:val="en-US" w:eastAsia="zh-CN"/>
        </w:rPr>
        <w:t>行业类别：</w:t>
      </w:r>
      <w:r>
        <w:rPr>
          <w:rFonts w:hint="eastAsia" w:cs="Times New Roman"/>
          <w:b w:val="0"/>
          <w:bCs w:val="0"/>
          <w:color w:val="auto"/>
          <w:sz w:val="24"/>
          <w:highlight w:val="none"/>
          <w:u w:val="none" w:color="auto"/>
          <w:lang w:val="en-US" w:eastAsia="zh-CN"/>
        </w:rPr>
        <w:t>N7723固体废物治理</w:t>
      </w:r>
    </w:p>
    <w:p w14:paraId="51232170">
      <w:pPr>
        <w:keepNext w:val="0"/>
        <w:keepLines w:val="0"/>
        <w:pageBreakBefore w:val="0"/>
        <w:widowControl w:val="0"/>
        <w:kinsoku/>
        <w:wordWrap w:val="0"/>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color w:val="auto"/>
          <w:sz w:val="24"/>
          <w:highlight w:val="yellow"/>
          <w:u w:val="none" w:color="auto"/>
          <w:lang w:val="en-US" w:eastAsia="zh-CN"/>
        </w:rPr>
      </w:pPr>
      <w:r>
        <w:rPr>
          <w:rFonts w:hint="eastAsia" w:cs="Times New Roman"/>
          <w:b/>
          <w:bCs/>
          <w:color w:val="auto"/>
          <w:sz w:val="24"/>
          <w:highlight w:val="none"/>
          <w:u w:val="none" w:color="auto"/>
          <w:lang w:val="en-US" w:eastAsia="zh-CN"/>
        </w:rPr>
        <w:t>项目投资：</w:t>
      </w:r>
      <w:r>
        <w:rPr>
          <w:rFonts w:hint="eastAsia" w:cs="Times New Roman"/>
          <w:color w:val="auto"/>
          <w:sz w:val="24"/>
          <w:highlight w:val="none"/>
          <w:u w:val="none" w:color="auto"/>
          <w:lang w:val="en-US" w:eastAsia="zh-CN"/>
        </w:rPr>
        <w:t>985.88万元，全部为环保投资；</w:t>
      </w:r>
    </w:p>
    <w:p w14:paraId="242D6285">
      <w:pPr>
        <w:rPr>
          <w:rFonts w:hint="default" w:cs="Times New Roman"/>
          <w:b/>
          <w:bCs/>
          <w:color w:val="auto"/>
          <w:sz w:val="24"/>
          <w:highlight w:val="none"/>
          <w:u w:val="none" w:color="auto"/>
          <w:lang w:val="en-US" w:eastAsia="zh-CN"/>
        </w:rPr>
      </w:pPr>
      <w:r>
        <w:rPr>
          <w:rFonts w:hint="eastAsia" w:cs="Times New Roman"/>
          <w:b/>
          <w:bCs/>
          <w:color w:val="auto"/>
          <w:sz w:val="24"/>
          <w:highlight w:val="none"/>
          <w:u w:val="none" w:color="auto"/>
          <w:lang w:val="en-US" w:eastAsia="zh-CN"/>
        </w:rPr>
        <w:t>建设周期：</w:t>
      </w:r>
      <w:r>
        <w:rPr>
          <w:rFonts w:hint="eastAsia" w:cs="Times New Roman"/>
          <w:b w:val="0"/>
          <w:bCs w:val="0"/>
          <w:color w:val="auto"/>
          <w:sz w:val="24"/>
          <w:highlight w:val="none"/>
          <w:u w:val="none" w:color="auto"/>
          <w:lang w:val="en-US" w:eastAsia="zh-CN"/>
        </w:rPr>
        <w:t>6个月；</w:t>
      </w:r>
    </w:p>
    <w:p w14:paraId="31AAA845">
      <w:pPr>
        <w:rPr>
          <w:rFonts w:hint="eastAsia" w:cs="Times New Roman"/>
          <w:color w:val="auto"/>
          <w:sz w:val="24"/>
          <w:highlight w:val="none"/>
          <w:u w:val="none" w:color="auto"/>
          <w:lang w:val="en-US" w:eastAsia="zh-CN"/>
        </w:rPr>
      </w:pPr>
      <w:r>
        <w:rPr>
          <w:rFonts w:hint="eastAsia" w:cs="Times New Roman"/>
          <w:b/>
          <w:bCs/>
          <w:color w:val="auto"/>
          <w:sz w:val="24"/>
          <w:highlight w:val="none"/>
          <w:u w:val="none" w:color="auto"/>
          <w:lang w:val="en-US" w:eastAsia="zh-CN"/>
        </w:rPr>
        <w:t>占地面积：</w:t>
      </w:r>
      <w:r>
        <w:rPr>
          <w:rFonts w:hint="eastAsia"/>
          <w:highlight w:val="none"/>
          <w:lang w:val="en-US" w:eastAsia="zh-CN"/>
        </w:rPr>
        <w:t>25814</w:t>
      </w:r>
      <w:r>
        <w:rPr>
          <w:rFonts w:hint="eastAsia"/>
          <w:highlight w:val="none"/>
        </w:rPr>
        <w:t>m</w:t>
      </w:r>
      <w:r>
        <w:rPr>
          <w:rFonts w:hint="eastAsia"/>
          <w:highlight w:val="none"/>
          <w:vertAlign w:val="superscript"/>
        </w:rPr>
        <w:t>2</w:t>
      </w:r>
      <w:r>
        <w:rPr>
          <w:rFonts w:hint="eastAsia"/>
          <w:highlight w:val="none"/>
        </w:rPr>
        <w:t>（废渣治理区</w:t>
      </w:r>
      <w:r>
        <w:rPr>
          <w:rFonts w:hint="eastAsia"/>
          <w:highlight w:val="none"/>
          <w:lang w:val="en-US" w:eastAsia="zh-CN"/>
        </w:rPr>
        <w:t>9010m</w:t>
      </w:r>
      <w:r>
        <w:rPr>
          <w:rFonts w:hint="eastAsia"/>
          <w:highlight w:val="none"/>
          <w:vertAlign w:val="superscript"/>
          <w:lang w:val="en-US" w:eastAsia="zh-CN"/>
        </w:rPr>
        <w:t>2</w:t>
      </w:r>
      <w:r>
        <w:rPr>
          <w:rFonts w:hint="eastAsia"/>
          <w:highlight w:val="none"/>
          <w:lang w:val="en-US" w:eastAsia="zh-CN"/>
        </w:rPr>
        <w:t>、</w:t>
      </w:r>
      <w:r>
        <w:rPr>
          <w:rFonts w:hint="eastAsia"/>
          <w:highlight w:val="none"/>
        </w:rPr>
        <w:t>废渣填埋场</w:t>
      </w:r>
      <w:r>
        <w:rPr>
          <w:rFonts w:hint="eastAsia"/>
          <w:highlight w:val="none"/>
          <w:lang w:val="en-US" w:eastAsia="zh-CN"/>
        </w:rPr>
        <w:t>7805</w:t>
      </w:r>
      <w:r>
        <w:rPr>
          <w:rFonts w:hint="eastAsia"/>
          <w:highlight w:val="none"/>
        </w:rPr>
        <w:t>m</w:t>
      </w:r>
      <w:r>
        <w:rPr>
          <w:rFonts w:hint="eastAsia"/>
          <w:highlight w:val="none"/>
          <w:vertAlign w:val="superscript"/>
        </w:rPr>
        <w:t>2</w:t>
      </w:r>
      <w:r>
        <w:rPr>
          <w:rFonts w:hint="eastAsia"/>
          <w:highlight w:val="none"/>
        </w:rPr>
        <w:t>、取土场</w:t>
      </w:r>
      <w:r>
        <w:rPr>
          <w:rFonts w:hint="eastAsia"/>
          <w:highlight w:val="none"/>
          <w:lang w:val="en-US" w:eastAsia="zh-CN"/>
        </w:rPr>
        <w:t>3668</w:t>
      </w:r>
      <w:r>
        <w:rPr>
          <w:rFonts w:hint="eastAsia"/>
          <w:highlight w:val="none"/>
        </w:rPr>
        <w:t>m</w:t>
      </w:r>
      <w:r>
        <w:rPr>
          <w:rFonts w:hint="eastAsia"/>
          <w:highlight w:val="none"/>
          <w:vertAlign w:val="superscript"/>
        </w:rPr>
        <w:t>2</w:t>
      </w:r>
      <w:r>
        <w:rPr>
          <w:rFonts w:hint="eastAsia"/>
          <w:highlight w:val="none"/>
          <w:vertAlign w:val="baseline"/>
          <w:lang w:eastAsia="zh-CN"/>
        </w:rPr>
        <w:t>、</w:t>
      </w:r>
      <w:r>
        <w:rPr>
          <w:rFonts w:hint="eastAsia"/>
          <w:highlight w:val="none"/>
          <w:vertAlign w:val="baseline"/>
          <w:lang w:val="en-US" w:eastAsia="zh-CN"/>
        </w:rPr>
        <w:t>临时道路5331m</w:t>
      </w:r>
      <w:r>
        <w:rPr>
          <w:rFonts w:hint="eastAsia"/>
          <w:highlight w:val="none"/>
          <w:vertAlign w:val="superscript"/>
          <w:lang w:val="en-US" w:eastAsia="zh-CN"/>
        </w:rPr>
        <w:t>2</w:t>
      </w:r>
      <w:r>
        <w:rPr>
          <w:rFonts w:hint="eastAsia"/>
          <w:highlight w:val="none"/>
        </w:rPr>
        <w:t>）</w:t>
      </w:r>
      <w:r>
        <w:rPr>
          <w:rFonts w:hint="eastAsia" w:cs="Times New Roman"/>
          <w:color w:val="auto"/>
          <w:sz w:val="24"/>
          <w:highlight w:val="none"/>
          <w:u w:val="none" w:color="auto"/>
          <w:lang w:val="en-US" w:eastAsia="zh-CN"/>
        </w:rPr>
        <w:t>。</w:t>
      </w:r>
    </w:p>
    <w:p w14:paraId="53891538">
      <w:pPr>
        <w:pStyle w:val="9"/>
        <w:numPr>
          <w:ilvl w:val="2"/>
          <w:numId w:val="1"/>
        </w:numPr>
        <w:bidi w:val="0"/>
        <w:ind w:left="709" w:leftChars="0" w:hanging="709" w:firstLineChars="0"/>
        <w:rPr>
          <w:rFonts w:hint="default"/>
          <w:highlight w:val="none"/>
          <w:lang w:val="en-US" w:eastAsia="zh-CN"/>
        </w:rPr>
      </w:pPr>
      <w:r>
        <w:rPr>
          <w:rFonts w:hint="eastAsia"/>
          <w:highlight w:val="none"/>
          <w:lang w:val="en-US" w:eastAsia="zh-CN"/>
        </w:rPr>
        <w:t>项目建设内容及规模</w:t>
      </w:r>
    </w:p>
    <w:p w14:paraId="1F9A045F">
      <w:pPr>
        <w:bidi w:val="0"/>
        <w:rPr>
          <w:rFonts w:hint="eastAsia"/>
          <w:highlight w:val="none"/>
          <w:lang w:val="en-US" w:eastAsia="zh-CN"/>
        </w:rPr>
      </w:pPr>
      <w:r>
        <w:rPr>
          <w:rFonts w:hint="eastAsia"/>
          <w:highlight w:val="none"/>
          <w:lang w:val="en-US" w:eastAsia="zh-CN"/>
        </w:rPr>
        <w:t>本</w:t>
      </w:r>
      <w:r>
        <w:rPr>
          <w:rFonts w:hint="default" w:ascii="Times New Roman" w:hAnsi="Times New Roman" w:cs="Times New Roman"/>
          <w:highlight w:val="none"/>
          <w:lang w:val="en-US" w:eastAsia="zh-CN"/>
        </w:rPr>
        <w:t>项目主要是对平江县三阳乡南尧村片区（垂拱组、仙人组）历史遗留重金属废渣场地内约为42040.12m</w:t>
      </w:r>
      <w:r>
        <w:rPr>
          <w:rFonts w:hint="default" w:ascii="Times New Roman" w:hAnsi="Times New Roman" w:cs="Times New Roman"/>
          <w:highlight w:val="none"/>
          <w:vertAlign w:val="superscript"/>
          <w:lang w:val="en-US" w:eastAsia="zh-CN"/>
        </w:rPr>
        <w:t>3</w:t>
      </w:r>
      <w:r>
        <w:rPr>
          <w:rFonts w:hint="default" w:ascii="Times New Roman" w:hAnsi="Times New Roman" w:cs="Times New Roman"/>
          <w:highlight w:val="none"/>
          <w:lang w:val="en-US" w:eastAsia="zh-CN"/>
        </w:rPr>
        <w:t>的历史遗留废渣（第</w:t>
      </w:r>
      <w:r>
        <w:rPr>
          <w:rFonts w:hint="default" w:ascii="Times New Roman" w:hAnsi="Times New Roman" w:eastAsia="宋体" w:cs="Times New Roman"/>
          <w:highlight w:val="none"/>
          <w:lang w:val="en-US" w:eastAsia="zh-CN"/>
        </w:rPr>
        <w:t>Ⅰ</w:t>
      </w:r>
      <w:r>
        <w:rPr>
          <w:rFonts w:hint="default" w:ascii="Times New Roman" w:hAnsi="Times New Roman" w:cs="Times New Roman"/>
          <w:highlight w:val="none"/>
          <w:lang w:val="en-US" w:eastAsia="zh-CN"/>
        </w:rPr>
        <w:t>类一般工业固体废物8837.6m</w:t>
      </w:r>
      <w:r>
        <w:rPr>
          <w:rFonts w:hint="default" w:ascii="Times New Roman" w:hAnsi="Times New Roman" w:cs="Times New Roman"/>
          <w:highlight w:val="none"/>
          <w:vertAlign w:val="superscript"/>
          <w:lang w:val="en-US" w:eastAsia="zh-CN"/>
        </w:rPr>
        <w:t>3</w:t>
      </w:r>
      <w:r>
        <w:rPr>
          <w:rFonts w:hint="default" w:ascii="Times New Roman" w:hAnsi="Times New Roman" w:cs="Times New Roman"/>
          <w:highlight w:val="none"/>
          <w:lang w:val="en-US" w:eastAsia="zh-CN"/>
        </w:rPr>
        <w:t>，第Ⅱ类一般工业固体废物33202.52m</w:t>
      </w:r>
      <w:r>
        <w:rPr>
          <w:rFonts w:hint="default" w:ascii="Times New Roman" w:hAnsi="Times New Roman" w:cs="Times New Roman"/>
          <w:highlight w:val="none"/>
          <w:vertAlign w:val="superscript"/>
          <w:lang w:val="en-US" w:eastAsia="zh-CN"/>
        </w:rPr>
        <w:t>3</w:t>
      </w:r>
      <w:r>
        <w:rPr>
          <w:rFonts w:hint="default" w:ascii="Times New Roman" w:hAnsi="Times New Roman" w:cs="Times New Roman"/>
          <w:highlight w:val="none"/>
          <w:lang w:val="en-US" w:eastAsia="zh-CN"/>
        </w:rPr>
        <w:t>）</w:t>
      </w:r>
      <w:r>
        <w:rPr>
          <w:rFonts w:hint="eastAsia"/>
          <w:highlight w:val="none"/>
          <w:lang w:val="en-US" w:eastAsia="zh-CN"/>
        </w:rPr>
        <w:t>进行治理，降低废渣重金属析出，控制污染扩散途径，减轻废渣对当地土壤、地表水、地下水的影响。项目建设内容包括废渣堆废渣挖掘与场底清基工程、废渣填埋场建设工程及生态恢复工程等，建设项目工程组成见表3.1-18。</w:t>
      </w:r>
    </w:p>
    <w:p w14:paraId="7BBB2735">
      <w:pPr>
        <w:bidi w:val="0"/>
        <w:ind w:left="0" w:leftChars="0" w:firstLine="0" w:firstLineChars="0"/>
        <w:jc w:val="center"/>
        <w:rPr>
          <w:rFonts w:hint="default"/>
          <w:b/>
          <w:bCs/>
          <w:sz w:val="21"/>
          <w:szCs w:val="21"/>
          <w:highlight w:val="none"/>
          <w:lang w:val="en-US" w:eastAsia="zh-CN"/>
        </w:rPr>
      </w:pPr>
      <w:r>
        <w:rPr>
          <w:rFonts w:hint="eastAsia"/>
          <w:b/>
          <w:bCs/>
          <w:sz w:val="21"/>
          <w:szCs w:val="21"/>
          <w:highlight w:val="none"/>
          <w:lang w:val="en-US" w:eastAsia="zh-CN"/>
        </w:rPr>
        <w:t>表3.1-18  建设项目工程组成表</w:t>
      </w:r>
    </w:p>
    <w:tbl>
      <w:tblPr>
        <w:tblStyle w:val="36"/>
        <w:tblW w:w="937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727"/>
        <w:gridCol w:w="1295"/>
        <w:gridCol w:w="1527"/>
        <w:gridCol w:w="5823"/>
      </w:tblGrid>
      <w:tr w14:paraId="1119912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blHeader/>
          <w:jc w:val="center"/>
        </w:trPr>
        <w:tc>
          <w:tcPr>
            <w:tcW w:w="727" w:type="dxa"/>
            <w:vAlign w:val="center"/>
          </w:tcPr>
          <w:p w14:paraId="18EC0CE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b/>
                <w:bCs/>
                <w:sz w:val="21"/>
                <w:szCs w:val="21"/>
                <w:highlight w:val="none"/>
                <w:vertAlign w:val="baseline"/>
                <w:lang w:val="en-US" w:eastAsia="zh-CN"/>
              </w:rPr>
            </w:pPr>
            <w:r>
              <w:rPr>
                <w:rFonts w:hint="eastAsia"/>
                <w:b/>
                <w:bCs/>
                <w:sz w:val="21"/>
                <w:szCs w:val="21"/>
                <w:highlight w:val="none"/>
                <w:vertAlign w:val="baseline"/>
                <w:lang w:val="en-US" w:eastAsia="zh-CN"/>
              </w:rPr>
              <w:t>工程</w:t>
            </w:r>
          </w:p>
          <w:p w14:paraId="258B5C1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bCs/>
                <w:sz w:val="21"/>
                <w:szCs w:val="21"/>
                <w:highlight w:val="none"/>
                <w:vertAlign w:val="baseline"/>
                <w:lang w:val="en-US" w:eastAsia="zh-CN"/>
              </w:rPr>
            </w:pPr>
            <w:r>
              <w:rPr>
                <w:rFonts w:hint="eastAsia"/>
                <w:b/>
                <w:bCs/>
                <w:sz w:val="21"/>
                <w:szCs w:val="21"/>
                <w:highlight w:val="none"/>
                <w:vertAlign w:val="baseline"/>
                <w:lang w:val="en-US" w:eastAsia="zh-CN"/>
              </w:rPr>
              <w:t>类别</w:t>
            </w:r>
          </w:p>
        </w:tc>
        <w:tc>
          <w:tcPr>
            <w:tcW w:w="2822" w:type="dxa"/>
            <w:gridSpan w:val="2"/>
            <w:vAlign w:val="center"/>
          </w:tcPr>
          <w:p w14:paraId="17842D0D">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b/>
                <w:bCs/>
                <w:sz w:val="21"/>
                <w:szCs w:val="21"/>
                <w:highlight w:val="none"/>
                <w:vertAlign w:val="baseline"/>
                <w:lang w:val="en-US" w:eastAsia="zh-CN"/>
              </w:rPr>
            </w:pPr>
            <w:r>
              <w:rPr>
                <w:rFonts w:hint="eastAsia"/>
                <w:b/>
                <w:bCs/>
                <w:sz w:val="21"/>
                <w:szCs w:val="21"/>
                <w:highlight w:val="none"/>
                <w:vertAlign w:val="baseline"/>
                <w:lang w:val="en-US" w:eastAsia="zh-CN"/>
              </w:rPr>
              <w:t>工程名称</w:t>
            </w:r>
          </w:p>
        </w:tc>
        <w:tc>
          <w:tcPr>
            <w:tcW w:w="5823" w:type="dxa"/>
            <w:vAlign w:val="center"/>
          </w:tcPr>
          <w:p w14:paraId="4E0C21D8">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b/>
                <w:bCs/>
                <w:sz w:val="21"/>
                <w:szCs w:val="21"/>
                <w:highlight w:val="none"/>
                <w:vertAlign w:val="baseline"/>
                <w:lang w:val="en-US" w:eastAsia="zh-CN"/>
              </w:rPr>
            </w:pPr>
            <w:r>
              <w:rPr>
                <w:rFonts w:hint="eastAsia"/>
                <w:b/>
                <w:bCs/>
                <w:sz w:val="21"/>
                <w:szCs w:val="21"/>
                <w:highlight w:val="none"/>
                <w:vertAlign w:val="baseline"/>
                <w:lang w:val="en-US" w:eastAsia="zh-CN"/>
              </w:rPr>
              <w:t>工程内容</w:t>
            </w:r>
          </w:p>
        </w:tc>
      </w:tr>
      <w:tr w14:paraId="3D90B8E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27" w:type="dxa"/>
            <w:vMerge w:val="restart"/>
            <w:vAlign w:val="center"/>
          </w:tcPr>
          <w:p w14:paraId="75F847B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主体工程</w:t>
            </w:r>
          </w:p>
        </w:tc>
        <w:tc>
          <w:tcPr>
            <w:tcW w:w="2822" w:type="dxa"/>
            <w:gridSpan w:val="2"/>
            <w:vAlign w:val="center"/>
          </w:tcPr>
          <w:p w14:paraId="7D4854C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废渣堆废渣挖掘与场底清基工程</w:t>
            </w:r>
          </w:p>
        </w:tc>
        <w:tc>
          <w:tcPr>
            <w:tcW w:w="5823" w:type="dxa"/>
            <w:vAlign w:val="center"/>
          </w:tcPr>
          <w:p w14:paraId="03D47E4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vertAlign w:val="baseline"/>
                <w:lang w:val="en-US" w:eastAsia="zh-CN"/>
              </w:rPr>
            </w:pPr>
            <w:r>
              <w:rPr>
                <w:rFonts w:hint="eastAsia"/>
                <w:sz w:val="21"/>
                <w:szCs w:val="21"/>
                <w:highlight w:val="none"/>
                <w:vertAlign w:val="baseline"/>
                <w:lang w:val="en-US" w:eastAsia="zh-CN"/>
              </w:rPr>
              <w:t>废渣堆场占地面积为9010m</w:t>
            </w:r>
            <w:r>
              <w:rPr>
                <w:rFonts w:hint="eastAsia"/>
                <w:sz w:val="21"/>
                <w:szCs w:val="21"/>
                <w:highlight w:val="none"/>
                <w:vertAlign w:val="superscript"/>
                <w:lang w:val="en-US" w:eastAsia="zh-CN"/>
              </w:rPr>
              <w:t>2</w:t>
            </w:r>
            <w:r>
              <w:rPr>
                <w:rFonts w:hint="eastAsia"/>
                <w:sz w:val="21"/>
                <w:szCs w:val="21"/>
                <w:highlight w:val="none"/>
                <w:vertAlign w:val="baseline"/>
                <w:lang w:val="en-US" w:eastAsia="zh-CN"/>
              </w:rPr>
              <w:t>，历史遗留废渣约</w:t>
            </w:r>
            <w:r>
              <w:rPr>
                <w:rFonts w:hint="default" w:ascii="Times New Roman" w:hAnsi="Times New Roman" w:cs="Times New Roman"/>
                <w:sz w:val="21"/>
                <w:szCs w:val="21"/>
                <w:highlight w:val="none"/>
                <w:lang w:val="en-US" w:eastAsia="zh-CN"/>
              </w:rPr>
              <w:t>42040.12m</w:t>
            </w:r>
            <w:r>
              <w:rPr>
                <w:rFonts w:hint="default" w:ascii="Times New Roman" w:hAnsi="Times New Roman" w:cs="Times New Roman"/>
                <w:sz w:val="21"/>
                <w:szCs w:val="21"/>
                <w:highlight w:val="none"/>
                <w:vertAlign w:val="superscript"/>
                <w:lang w:val="en-US" w:eastAsia="zh-CN"/>
              </w:rPr>
              <w:t>3</w:t>
            </w:r>
            <w:r>
              <w:rPr>
                <w:rFonts w:hint="eastAsia"/>
                <w:sz w:val="21"/>
                <w:szCs w:val="21"/>
                <w:highlight w:val="none"/>
                <w:vertAlign w:val="baseline"/>
                <w:lang w:val="en-US" w:eastAsia="zh-CN"/>
              </w:rPr>
              <w:t>。</w:t>
            </w:r>
          </w:p>
        </w:tc>
      </w:tr>
      <w:tr w14:paraId="7B2249F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27" w:type="dxa"/>
            <w:vMerge w:val="continue"/>
            <w:vAlign w:val="center"/>
          </w:tcPr>
          <w:p w14:paraId="5E1D310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vertAlign w:val="baseline"/>
                <w:lang w:val="en-US" w:eastAsia="zh-CN"/>
              </w:rPr>
            </w:pPr>
          </w:p>
        </w:tc>
        <w:tc>
          <w:tcPr>
            <w:tcW w:w="1295" w:type="dxa"/>
            <w:vMerge w:val="restart"/>
            <w:vAlign w:val="center"/>
          </w:tcPr>
          <w:p w14:paraId="340244B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废渣填埋场建设工程</w:t>
            </w:r>
          </w:p>
        </w:tc>
        <w:tc>
          <w:tcPr>
            <w:tcW w:w="1527" w:type="dxa"/>
            <w:vAlign w:val="center"/>
          </w:tcPr>
          <w:p w14:paraId="2CA1DDB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废渣填埋场库区整形及地基处理</w:t>
            </w:r>
          </w:p>
        </w:tc>
        <w:tc>
          <w:tcPr>
            <w:tcW w:w="5823" w:type="dxa"/>
            <w:vAlign w:val="center"/>
          </w:tcPr>
          <w:p w14:paraId="5E13851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default" w:ascii="Times New Roman" w:hAnsi="Times New Roman" w:eastAsia="宋体" w:cs="Times New Roman"/>
                <w:sz w:val="21"/>
                <w:szCs w:val="21"/>
                <w:lang w:val="en-US" w:eastAsia="zh-CN"/>
              </w:rPr>
              <w:t>Ⅱ</w:t>
            </w:r>
            <w:r>
              <w:rPr>
                <w:rFonts w:hint="default" w:ascii="Times New Roman" w:hAnsi="Times New Roman" w:cs="Times New Roman"/>
                <w:sz w:val="21"/>
                <w:szCs w:val="21"/>
                <w:lang w:val="en-US" w:eastAsia="zh-CN"/>
              </w:rPr>
              <w:t>类场</w:t>
            </w:r>
            <w:r>
              <w:rPr>
                <w:rFonts w:hint="eastAsia"/>
                <w:sz w:val="21"/>
                <w:szCs w:val="21"/>
                <w:lang w:val="en-US" w:eastAsia="zh-CN"/>
              </w:rPr>
              <w:t>，废渣填埋场占地</w:t>
            </w:r>
            <w:r>
              <w:rPr>
                <w:rFonts w:hint="eastAsia"/>
                <w:sz w:val="21"/>
                <w:szCs w:val="21"/>
              </w:rPr>
              <w:t>面积为7805m</w:t>
            </w:r>
            <w:r>
              <w:rPr>
                <w:rFonts w:hint="eastAsia"/>
                <w:sz w:val="21"/>
                <w:szCs w:val="21"/>
                <w:vertAlign w:val="superscript"/>
              </w:rPr>
              <w:t>2</w:t>
            </w:r>
            <w:r>
              <w:rPr>
                <w:rFonts w:hint="eastAsia"/>
                <w:sz w:val="21"/>
                <w:szCs w:val="21"/>
              </w:rPr>
              <w:t>，填埋场设计总库容为48419.5m</w:t>
            </w:r>
            <w:r>
              <w:rPr>
                <w:rFonts w:hint="eastAsia"/>
                <w:sz w:val="21"/>
                <w:szCs w:val="21"/>
                <w:vertAlign w:val="superscript"/>
              </w:rPr>
              <w:t>3</w:t>
            </w:r>
            <w:r>
              <w:rPr>
                <w:rFonts w:hint="eastAsia"/>
                <w:sz w:val="21"/>
                <w:szCs w:val="21"/>
              </w:rPr>
              <w:t>（有效库容45000m</w:t>
            </w:r>
            <w:r>
              <w:rPr>
                <w:rFonts w:hint="eastAsia"/>
                <w:sz w:val="21"/>
                <w:szCs w:val="21"/>
                <w:vertAlign w:val="superscript"/>
              </w:rPr>
              <w:t>3</w:t>
            </w:r>
            <w:r>
              <w:rPr>
                <w:rFonts w:hint="eastAsia"/>
                <w:sz w:val="21"/>
                <w:szCs w:val="21"/>
              </w:rPr>
              <w:t>）。</w:t>
            </w:r>
          </w:p>
        </w:tc>
      </w:tr>
      <w:tr w14:paraId="293E38B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27" w:type="dxa"/>
            <w:vMerge w:val="continue"/>
            <w:vAlign w:val="center"/>
          </w:tcPr>
          <w:p w14:paraId="5137521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vertAlign w:val="baseline"/>
                <w:lang w:val="en-US" w:eastAsia="zh-CN"/>
              </w:rPr>
            </w:pPr>
          </w:p>
        </w:tc>
        <w:tc>
          <w:tcPr>
            <w:tcW w:w="1295" w:type="dxa"/>
            <w:vMerge w:val="continue"/>
            <w:vAlign w:val="center"/>
          </w:tcPr>
          <w:p w14:paraId="3CDA8D1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vertAlign w:val="baseline"/>
                <w:lang w:val="en-US" w:eastAsia="zh-CN"/>
              </w:rPr>
            </w:pPr>
          </w:p>
        </w:tc>
        <w:tc>
          <w:tcPr>
            <w:tcW w:w="1527" w:type="dxa"/>
            <w:vAlign w:val="center"/>
          </w:tcPr>
          <w:p w14:paraId="745DE92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vertAlign w:val="baseline"/>
                <w:lang w:val="en-US" w:eastAsia="zh-CN"/>
              </w:rPr>
            </w:pPr>
            <w:r>
              <w:rPr>
                <w:rFonts w:hint="eastAsia"/>
                <w:sz w:val="21"/>
                <w:szCs w:val="21"/>
                <w:highlight w:val="none"/>
                <w:vertAlign w:val="baseline"/>
                <w:lang w:val="en-US" w:eastAsia="zh-CN"/>
              </w:rPr>
              <w:t>废渣填埋场底防渗</w:t>
            </w:r>
          </w:p>
        </w:tc>
        <w:tc>
          <w:tcPr>
            <w:tcW w:w="5823" w:type="dxa"/>
            <w:vAlign w:val="center"/>
          </w:tcPr>
          <w:p w14:paraId="5FF1237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vertAlign w:val="baseline"/>
                <w:lang w:val="en-US" w:eastAsia="zh-CN"/>
              </w:rPr>
            </w:pPr>
            <w:r>
              <w:rPr>
                <w:rFonts w:hint="eastAsia"/>
                <w:sz w:val="21"/>
                <w:szCs w:val="21"/>
                <w:highlight w:val="none"/>
                <w:vertAlign w:val="baseline"/>
                <w:lang w:val="en-US" w:eastAsia="zh-CN"/>
              </w:rPr>
              <w:t>废渣填埋场场底及场底边坡防渗系统面积为9908m</w:t>
            </w:r>
            <w:r>
              <w:rPr>
                <w:rFonts w:hint="eastAsia"/>
                <w:sz w:val="21"/>
                <w:szCs w:val="21"/>
                <w:highlight w:val="none"/>
                <w:vertAlign w:val="superscript"/>
                <w:lang w:val="en-US" w:eastAsia="zh-CN"/>
              </w:rPr>
              <w:t>2</w:t>
            </w:r>
            <w:r>
              <w:rPr>
                <w:rFonts w:hint="eastAsia"/>
                <w:sz w:val="21"/>
                <w:szCs w:val="21"/>
                <w:highlight w:val="none"/>
                <w:vertAlign w:val="baseline"/>
                <w:lang w:val="en-US" w:eastAsia="zh-CN"/>
              </w:rPr>
              <w:t>，防渗结构为压实地基+75cm厚压实粘土+600g/m</w:t>
            </w:r>
            <w:r>
              <w:rPr>
                <w:rFonts w:hint="eastAsia"/>
                <w:sz w:val="21"/>
                <w:szCs w:val="21"/>
                <w:highlight w:val="none"/>
                <w:vertAlign w:val="superscript"/>
                <w:lang w:val="en-US" w:eastAsia="zh-CN"/>
              </w:rPr>
              <w:t>2</w:t>
            </w:r>
            <w:r>
              <w:rPr>
                <w:rFonts w:hint="eastAsia"/>
                <w:sz w:val="21"/>
                <w:szCs w:val="21"/>
                <w:highlight w:val="none"/>
                <w:vertAlign w:val="baseline"/>
                <w:lang w:val="en-US" w:eastAsia="zh-CN"/>
              </w:rPr>
              <w:t>无纺土工布+1.5mm厚双糙面HDPE土工膜+600g/m</w:t>
            </w:r>
            <w:r>
              <w:rPr>
                <w:rFonts w:hint="eastAsia"/>
                <w:sz w:val="21"/>
                <w:szCs w:val="21"/>
                <w:highlight w:val="none"/>
                <w:vertAlign w:val="superscript"/>
                <w:lang w:val="en-US" w:eastAsia="zh-CN"/>
              </w:rPr>
              <w:t>2</w:t>
            </w:r>
            <w:r>
              <w:rPr>
                <w:rFonts w:hint="eastAsia"/>
                <w:sz w:val="21"/>
                <w:szCs w:val="21"/>
                <w:highlight w:val="none"/>
                <w:vertAlign w:val="baseline"/>
                <w:lang w:val="en-US" w:eastAsia="zh-CN"/>
              </w:rPr>
              <w:t>无纺土工布。</w:t>
            </w:r>
          </w:p>
        </w:tc>
      </w:tr>
      <w:tr w14:paraId="13C46C8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27" w:type="dxa"/>
            <w:vMerge w:val="continue"/>
            <w:vAlign w:val="center"/>
          </w:tcPr>
          <w:p w14:paraId="01FF2A8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vertAlign w:val="baseline"/>
                <w:lang w:val="en-US" w:eastAsia="zh-CN"/>
              </w:rPr>
            </w:pPr>
          </w:p>
        </w:tc>
        <w:tc>
          <w:tcPr>
            <w:tcW w:w="1295" w:type="dxa"/>
            <w:vMerge w:val="continue"/>
            <w:vAlign w:val="center"/>
          </w:tcPr>
          <w:p w14:paraId="2A3A530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vertAlign w:val="baseline"/>
                <w:lang w:val="en-US" w:eastAsia="zh-CN"/>
              </w:rPr>
            </w:pPr>
          </w:p>
        </w:tc>
        <w:tc>
          <w:tcPr>
            <w:tcW w:w="1527" w:type="dxa"/>
            <w:vAlign w:val="center"/>
          </w:tcPr>
          <w:p w14:paraId="6509612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vertAlign w:val="baseline"/>
                <w:lang w:val="en-US" w:eastAsia="zh-CN"/>
              </w:rPr>
            </w:pPr>
            <w:r>
              <w:rPr>
                <w:rFonts w:hint="eastAsia"/>
                <w:sz w:val="21"/>
                <w:szCs w:val="21"/>
                <w:highlight w:val="none"/>
                <w:vertAlign w:val="baseline"/>
                <w:lang w:val="en-US" w:eastAsia="zh-CN"/>
              </w:rPr>
              <w:t>渗滤液导排</w:t>
            </w:r>
          </w:p>
        </w:tc>
        <w:tc>
          <w:tcPr>
            <w:tcW w:w="5823" w:type="dxa"/>
            <w:shd w:val="clear" w:color="auto" w:fill="auto"/>
            <w:vAlign w:val="center"/>
          </w:tcPr>
          <w:p w14:paraId="131F21C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kern w:val="2"/>
                <w:sz w:val="21"/>
                <w:szCs w:val="21"/>
                <w:highlight w:val="yellow"/>
                <w:vertAlign w:val="baseline"/>
                <w:lang w:val="en-US" w:eastAsia="zh-CN" w:bidi="ar-SA"/>
              </w:rPr>
            </w:pPr>
            <w:r>
              <w:rPr>
                <w:rFonts w:hint="eastAsia"/>
                <w:sz w:val="21"/>
                <w:szCs w:val="21"/>
                <w:highlight w:val="none"/>
                <w:vertAlign w:val="baseline"/>
                <w:lang w:val="en-US" w:eastAsia="zh-CN"/>
              </w:rPr>
              <w:t>渗滤液收集支管137m，渗滤液收集主管123m，建设4</w:t>
            </w:r>
            <w:r>
              <w:rPr>
                <w:rFonts w:hint="default" w:ascii="Times New Roman" w:hAnsi="Times New Roman" w:cs="Times New Roman"/>
                <w:sz w:val="21"/>
                <w:szCs w:val="21"/>
                <w:highlight w:val="none"/>
                <w:vertAlign w:val="baseline"/>
                <w:lang w:val="en-US" w:eastAsia="zh-CN"/>
              </w:rPr>
              <w:t>×</w:t>
            </w:r>
            <w:r>
              <w:rPr>
                <w:rFonts w:hint="eastAsia"/>
                <w:sz w:val="21"/>
                <w:szCs w:val="21"/>
                <w:highlight w:val="none"/>
                <w:vertAlign w:val="baseline"/>
                <w:lang w:val="en-US" w:eastAsia="zh-CN"/>
              </w:rPr>
              <w:t>4</w:t>
            </w:r>
            <w:r>
              <w:rPr>
                <w:rFonts w:hint="default" w:ascii="Times New Roman" w:hAnsi="Times New Roman" w:cs="Times New Roman"/>
                <w:sz w:val="21"/>
                <w:szCs w:val="21"/>
                <w:highlight w:val="none"/>
                <w:vertAlign w:val="baseline"/>
                <w:lang w:val="en-US" w:eastAsia="zh-CN"/>
              </w:rPr>
              <w:t>×</w:t>
            </w:r>
            <w:r>
              <w:rPr>
                <w:rFonts w:hint="eastAsia"/>
                <w:sz w:val="21"/>
                <w:szCs w:val="21"/>
                <w:highlight w:val="none"/>
                <w:vertAlign w:val="baseline"/>
                <w:lang w:val="en-US" w:eastAsia="zh-CN"/>
              </w:rPr>
              <w:t>3 m（有效容积为48m</w:t>
            </w:r>
            <w:r>
              <w:rPr>
                <w:rFonts w:hint="eastAsia"/>
                <w:sz w:val="21"/>
                <w:szCs w:val="21"/>
                <w:highlight w:val="none"/>
                <w:vertAlign w:val="superscript"/>
                <w:lang w:val="en-US" w:eastAsia="zh-CN"/>
              </w:rPr>
              <w:t>3</w:t>
            </w:r>
            <w:r>
              <w:rPr>
                <w:rFonts w:hint="eastAsia"/>
                <w:sz w:val="21"/>
                <w:szCs w:val="21"/>
                <w:highlight w:val="none"/>
                <w:vertAlign w:val="baseline"/>
                <w:lang w:val="en-US" w:eastAsia="zh-CN"/>
              </w:rPr>
              <w:t>）的渗滤液收集池一座。</w:t>
            </w:r>
          </w:p>
        </w:tc>
      </w:tr>
      <w:tr w14:paraId="3389FDF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27" w:type="dxa"/>
            <w:vMerge w:val="continue"/>
            <w:vAlign w:val="center"/>
          </w:tcPr>
          <w:p w14:paraId="65F20C3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vertAlign w:val="baseline"/>
                <w:lang w:val="en-US" w:eastAsia="zh-CN"/>
              </w:rPr>
            </w:pPr>
          </w:p>
        </w:tc>
        <w:tc>
          <w:tcPr>
            <w:tcW w:w="1295" w:type="dxa"/>
            <w:vMerge w:val="continue"/>
            <w:vAlign w:val="center"/>
          </w:tcPr>
          <w:p w14:paraId="6146499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vertAlign w:val="baseline"/>
                <w:lang w:val="en-US" w:eastAsia="zh-CN"/>
              </w:rPr>
            </w:pPr>
          </w:p>
        </w:tc>
        <w:tc>
          <w:tcPr>
            <w:tcW w:w="1527" w:type="dxa"/>
            <w:vAlign w:val="center"/>
          </w:tcPr>
          <w:p w14:paraId="74C4C18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地下水导排</w:t>
            </w:r>
          </w:p>
        </w:tc>
        <w:tc>
          <w:tcPr>
            <w:tcW w:w="5823" w:type="dxa"/>
            <w:shd w:val="clear" w:color="auto" w:fill="auto"/>
            <w:vAlign w:val="center"/>
          </w:tcPr>
          <w:p w14:paraId="22AB549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地下水导排支管140m，主管142m。</w:t>
            </w:r>
          </w:p>
        </w:tc>
      </w:tr>
      <w:tr w14:paraId="3C7A650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27" w:type="dxa"/>
            <w:vMerge w:val="continue"/>
            <w:vAlign w:val="center"/>
          </w:tcPr>
          <w:p w14:paraId="4BE7B6E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vertAlign w:val="baseline"/>
                <w:lang w:val="en-US" w:eastAsia="zh-CN"/>
              </w:rPr>
            </w:pPr>
          </w:p>
        </w:tc>
        <w:tc>
          <w:tcPr>
            <w:tcW w:w="1295" w:type="dxa"/>
            <w:vMerge w:val="continue"/>
            <w:vAlign w:val="center"/>
          </w:tcPr>
          <w:p w14:paraId="06D59D5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vertAlign w:val="baseline"/>
                <w:lang w:val="en-US" w:eastAsia="zh-CN"/>
              </w:rPr>
            </w:pPr>
          </w:p>
        </w:tc>
        <w:tc>
          <w:tcPr>
            <w:tcW w:w="1527" w:type="dxa"/>
            <w:vAlign w:val="center"/>
          </w:tcPr>
          <w:p w14:paraId="175E191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vertAlign w:val="baseline"/>
                <w:lang w:val="en-US" w:eastAsia="zh-CN"/>
              </w:rPr>
            </w:pPr>
            <w:r>
              <w:rPr>
                <w:rFonts w:hint="eastAsia"/>
                <w:sz w:val="21"/>
                <w:szCs w:val="21"/>
                <w:highlight w:val="none"/>
                <w:vertAlign w:val="baseline"/>
                <w:lang w:val="en-US" w:eastAsia="zh-CN"/>
              </w:rPr>
              <w:t>挡渣坝</w:t>
            </w:r>
          </w:p>
        </w:tc>
        <w:tc>
          <w:tcPr>
            <w:tcW w:w="5823" w:type="dxa"/>
            <w:shd w:val="clear" w:color="auto" w:fill="auto"/>
            <w:vAlign w:val="center"/>
          </w:tcPr>
          <w:p w14:paraId="47B8BB9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kern w:val="2"/>
                <w:sz w:val="21"/>
                <w:szCs w:val="21"/>
                <w:highlight w:val="none"/>
                <w:vertAlign w:val="baseline"/>
                <w:lang w:val="en-US" w:eastAsia="zh-CN" w:bidi="ar-SA"/>
              </w:rPr>
            </w:pPr>
            <w:r>
              <w:rPr>
                <w:rFonts w:hint="eastAsia"/>
                <w:sz w:val="21"/>
                <w:szCs w:val="21"/>
                <w:highlight w:val="none"/>
                <w:vertAlign w:val="baseline"/>
                <w:lang w:val="en-US" w:eastAsia="zh-CN"/>
              </w:rPr>
              <w:t>新建重力式浆砌石挡渣坝2座，坝长66m，坝高6m。</w:t>
            </w:r>
          </w:p>
        </w:tc>
      </w:tr>
      <w:tr w14:paraId="1DE4231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27" w:type="dxa"/>
            <w:vMerge w:val="continue"/>
            <w:vAlign w:val="center"/>
          </w:tcPr>
          <w:p w14:paraId="17A4980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vertAlign w:val="baseline"/>
                <w:lang w:val="en-US" w:eastAsia="zh-CN"/>
              </w:rPr>
            </w:pPr>
          </w:p>
        </w:tc>
        <w:tc>
          <w:tcPr>
            <w:tcW w:w="1295" w:type="dxa"/>
            <w:vMerge w:val="continue"/>
            <w:vAlign w:val="center"/>
          </w:tcPr>
          <w:p w14:paraId="0AA959C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vertAlign w:val="baseline"/>
                <w:lang w:val="en-US" w:eastAsia="zh-CN"/>
              </w:rPr>
            </w:pPr>
          </w:p>
        </w:tc>
        <w:tc>
          <w:tcPr>
            <w:tcW w:w="1527" w:type="dxa"/>
            <w:vAlign w:val="center"/>
          </w:tcPr>
          <w:p w14:paraId="32F3CEF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vertAlign w:val="baseline"/>
                <w:lang w:val="en-US" w:eastAsia="zh-CN"/>
              </w:rPr>
            </w:pPr>
            <w:r>
              <w:rPr>
                <w:rFonts w:hint="eastAsia"/>
                <w:sz w:val="21"/>
                <w:szCs w:val="21"/>
                <w:highlight w:val="none"/>
                <w:vertAlign w:val="baseline"/>
                <w:lang w:val="en-US" w:eastAsia="zh-CN"/>
              </w:rPr>
              <w:t>废渣封场防渗</w:t>
            </w:r>
          </w:p>
        </w:tc>
        <w:tc>
          <w:tcPr>
            <w:tcW w:w="5823" w:type="dxa"/>
            <w:shd w:val="clear" w:color="auto" w:fill="auto"/>
            <w:vAlign w:val="center"/>
          </w:tcPr>
          <w:p w14:paraId="2D63F9B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kern w:val="2"/>
                <w:sz w:val="21"/>
                <w:szCs w:val="21"/>
                <w:highlight w:val="yellow"/>
                <w:vertAlign w:val="baseline"/>
                <w:lang w:val="en-US" w:eastAsia="zh-CN" w:bidi="ar-SA"/>
              </w:rPr>
            </w:pPr>
            <w:r>
              <w:rPr>
                <w:rFonts w:hint="eastAsia"/>
                <w:sz w:val="21"/>
                <w:szCs w:val="21"/>
                <w:highlight w:val="none"/>
                <w:vertAlign w:val="baseline"/>
                <w:lang w:val="en-US" w:eastAsia="zh-CN"/>
              </w:rPr>
              <w:t>封场防渗总面积为9522m</w:t>
            </w:r>
            <w:r>
              <w:rPr>
                <w:rFonts w:hint="eastAsia"/>
                <w:sz w:val="21"/>
                <w:szCs w:val="21"/>
                <w:highlight w:val="none"/>
                <w:vertAlign w:val="superscript"/>
                <w:lang w:val="en-US" w:eastAsia="zh-CN"/>
              </w:rPr>
              <w:t>2</w:t>
            </w:r>
            <w:r>
              <w:rPr>
                <w:rFonts w:hint="eastAsia"/>
                <w:sz w:val="21"/>
                <w:szCs w:val="21"/>
                <w:highlight w:val="none"/>
                <w:vertAlign w:val="baseline"/>
                <w:lang w:val="en-US" w:eastAsia="zh-CN"/>
              </w:rPr>
              <w:t>，防渗结构为碾压平整废渣层+50cm厚防渗粘土+600g/m</w:t>
            </w:r>
            <w:r>
              <w:rPr>
                <w:rFonts w:hint="eastAsia"/>
                <w:sz w:val="21"/>
                <w:szCs w:val="21"/>
                <w:highlight w:val="none"/>
                <w:vertAlign w:val="superscript"/>
                <w:lang w:val="en-US" w:eastAsia="zh-CN"/>
              </w:rPr>
              <w:t>2</w:t>
            </w:r>
            <w:r>
              <w:rPr>
                <w:rFonts w:hint="eastAsia"/>
                <w:sz w:val="21"/>
                <w:szCs w:val="21"/>
                <w:highlight w:val="none"/>
                <w:vertAlign w:val="baseline"/>
                <w:lang w:val="en-US" w:eastAsia="zh-CN"/>
              </w:rPr>
              <w:t>无纺土工布+1.0mm厚HDPE防渗土工膜+6.0mm厚土工排水网+400g/m</w:t>
            </w:r>
            <w:r>
              <w:rPr>
                <w:rFonts w:hint="eastAsia"/>
                <w:sz w:val="21"/>
                <w:szCs w:val="21"/>
                <w:highlight w:val="none"/>
                <w:vertAlign w:val="superscript"/>
                <w:lang w:val="en-US" w:eastAsia="zh-CN"/>
              </w:rPr>
              <w:t>2</w:t>
            </w:r>
            <w:r>
              <w:rPr>
                <w:rFonts w:hint="eastAsia"/>
                <w:sz w:val="21"/>
                <w:szCs w:val="21"/>
                <w:highlight w:val="none"/>
                <w:vertAlign w:val="baseline"/>
                <w:lang w:val="en-US" w:eastAsia="zh-CN"/>
              </w:rPr>
              <w:t>无纺土工布+50cm厚自然土+50cm厚营养土+植被层。</w:t>
            </w:r>
          </w:p>
        </w:tc>
      </w:tr>
      <w:tr w14:paraId="324D80D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27" w:type="dxa"/>
            <w:vMerge w:val="continue"/>
            <w:vAlign w:val="center"/>
          </w:tcPr>
          <w:p w14:paraId="476F7AB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vertAlign w:val="baseline"/>
                <w:lang w:val="en-US" w:eastAsia="zh-CN"/>
              </w:rPr>
            </w:pPr>
          </w:p>
        </w:tc>
        <w:tc>
          <w:tcPr>
            <w:tcW w:w="1295" w:type="dxa"/>
            <w:vMerge w:val="continue"/>
            <w:vAlign w:val="center"/>
          </w:tcPr>
          <w:p w14:paraId="24985AC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vertAlign w:val="baseline"/>
                <w:lang w:val="en-US" w:eastAsia="zh-CN"/>
              </w:rPr>
            </w:pPr>
          </w:p>
        </w:tc>
        <w:tc>
          <w:tcPr>
            <w:tcW w:w="1527" w:type="dxa"/>
            <w:vAlign w:val="center"/>
          </w:tcPr>
          <w:p w14:paraId="5A31101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vertAlign w:val="baseline"/>
                <w:lang w:val="en-US" w:eastAsia="zh-CN"/>
              </w:rPr>
            </w:pPr>
            <w:r>
              <w:rPr>
                <w:rFonts w:hint="eastAsia"/>
                <w:sz w:val="21"/>
                <w:szCs w:val="21"/>
                <w:highlight w:val="none"/>
                <w:vertAlign w:val="baseline"/>
                <w:lang w:val="en-US" w:eastAsia="zh-CN"/>
              </w:rPr>
              <w:t>地下水监测</w:t>
            </w:r>
          </w:p>
          <w:p w14:paraId="4429D92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设施</w:t>
            </w:r>
          </w:p>
        </w:tc>
        <w:tc>
          <w:tcPr>
            <w:tcW w:w="5823" w:type="dxa"/>
            <w:shd w:val="clear" w:color="auto" w:fill="auto"/>
            <w:vAlign w:val="center"/>
          </w:tcPr>
          <w:p w14:paraId="2F24C0B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vertAlign w:val="baseline"/>
                <w:lang w:val="en-US" w:eastAsia="zh-CN"/>
              </w:rPr>
            </w:pPr>
            <w:r>
              <w:rPr>
                <w:rFonts w:hint="eastAsia"/>
                <w:sz w:val="21"/>
                <w:szCs w:val="21"/>
              </w:rPr>
              <w:t>地下水监测井4口，其中本底井1口、污染监测井1口、污染扩散井2处。</w:t>
            </w:r>
          </w:p>
        </w:tc>
      </w:tr>
      <w:tr w14:paraId="625DD3C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27" w:type="dxa"/>
            <w:vMerge w:val="continue"/>
            <w:vAlign w:val="center"/>
          </w:tcPr>
          <w:p w14:paraId="36AE57A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vertAlign w:val="baseline"/>
                <w:lang w:val="en-US" w:eastAsia="zh-CN"/>
              </w:rPr>
            </w:pPr>
          </w:p>
        </w:tc>
        <w:tc>
          <w:tcPr>
            <w:tcW w:w="1295" w:type="dxa"/>
            <w:vMerge w:val="continue"/>
            <w:vAlign w:val="center"/>
          </w:tcPr>
          <w:p w14:paraId="1FAEC36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vertAlign w:val="baseline"/>
                <w:lang w:val="en-US" w:eastAsia="zh-CN"/>
              </w:rPr>
            </w:pPr>
          </w:p>
        </w:tc>
        <w:tc>
          <w:tcPr>
            <w:tcW w:w="1527" w:type="dxa"/>
            <w:vAlign w:val="center"/>
          </w:tcPr>
          <w:p w14:paraId="62C3F71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位移观测</w:t>
            </w:r>
          </w:p>
        </w:tc>
        <w:tc>
          <w:tcPr>
            <w:tcW w:w="5823" w:type="dxa"/>
            <w:shd w:val="clear" w:color="auto" w:fill="auto"/>
            <w:vAlign w:val="center"/>
          </w:tcPr>
          <w:p w14:paraId="6CF1A20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sz w:val="21"/>
                <w:szCs w:val="21"/>
                <w:lang w:val="en-US" w:eastAsia="zh-CN"/>
              </w:rPr>
            </w:pPr>
            <w:r>
              <w:rPr>
                <w:rFonts w:hint="eastAsia"/>
                <w:sz w:val="21"/>
                <w:szCs w:val="21"/>
                <w:lang w:val="en-US" w:eastAsia="zh-CN"/>
              </w:rPr>
              <w:t>浆砌石挡渣坝顶设置3个位移观测点，右侧山体设置1个位移观测点</w:t>
            </w:r>
          </w:p>
        </w:tc>
      </w:tr>
      <w:tr w14:paraId="1699F9C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27" w:type="dxa"/>
            <w:vMerge w:val="continue"/>
            <w:vAlign w:val="center"/>
          </w:tcPr>
          <w:p w14:paraId="231C4FB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vertAlign w:val="baseline"/>
                <w:lang w:val="en-US" w:eastAsia="zh-CN"/>
              </w:rPr>
            </w:pPr>
          </w:p>
        </w:tc>
        <w:tc>
          <w:tcPr>
            <w:tcW w:w="2822" w:type="dxa"/>
            <w:gridSpan w:val="2"/>
            <w:vAlign w:val="center"/>
          </w:tcPr>
          <w:p w14:paraId="419D1A1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eastAsia"/>
                <w:sz w:val="21"/>
                <w:szCs w:val="21"/>
                <w:highlight w:val="none"/>
                <w:vertAlign w:val="baseline"/>
                <w:lang w:val="en-US" w:eastAsia="zh-CN"/>
              </w:rPr>
              <w:t>生态恢复工程</w:t>
            </w:r>
          </w:p>
        </w:tc>
        <w:tc>
          <w:tcPr>
            <w:tcW w:w="5823" w:type="dxa"/>
            <w:shd w:val="clear" w:color="auto" w:fill="auto"/>
            <w:vAlign w:val="center"/>
          </w:tcPr>
          <w:p w14:paraId="0F27064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kern w:val="2"/>
                <w:sz w:val="21"/>
                <w:szCs w:val="21"/>
                <w:highlight w:val="yellow"/>
                <w:vertAlign w:val="baseline"/>
                <w:lang w:val="en-US" w:eastAsia="zh-CN" w:bidi="ar-SA"/>
              </w:rPr>
            </w:pPr>
            <w:r>
              <w:rPr>
                <w:rFonts w:hint="eastAsia"/>
                <w:sz w:val="21"/>
                <w:szCs w:val="21"/>
                <w:highlight w:val="none"/>
                <w:vertAlign w:val="baseline"/>
                <w:lang w:val="en-US" w:eastAsia="zh-CN"/>
              </w:rPr>
              <w:t>生态恢复面积25814m</w:t>
            </w:r>
            <w:r>
              <w:rPr>
                <w:rFonts w:hint="eastAsia"/>
                <w:sz w:val="21"/>
                <w:szCs w:val="21"/>
                <w:highlight w:val="none"/>
                <w:vertAlign w:val="superscript"/>
                <w:lang w:val="en-US" w:eastAsia="zh-CN"/>
              </w:rPr>
              <w:t>2</w:t>
            </w:r>
            <w:r>
              <w:rPr>
                <w:rFonts w:hint="eastAsia"/>
                <w:sz w:val="21"/>
                <w:szCs w:val="21"/>
                <w:highlight w:val="none"/>
                <w:vertAlign w:val="baseline"/>
                <w:lang w:val="en-US" w:eastAsia="zh-CN"/>
              </w:rPr>
              <w:t>，填埋场、取土场四周截洪沟、沟口处挡墙等，施工临时道路边坡挡护、排水沟及生态恢复等。</w:t>
            </w:r>
          </w:p>
        </w:tc>
      </w:tr>
      <w:tr w14:paraId="6E264B6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27" w:type="dxa"/>
            <w:vMerge w:val="restart"/>
            <w:vAlign w:val="center"/>
          </w:tcPr>
          <w:p w14:paraId="3C96024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公用工程及临时工程</w:t>
            </w:r>
          </w:p>
        </w:tc>
        <w:tc>
          <w:tcPr>
            <w:tcW w:w="2822" w:type="dxa"/>
            <w:gridSpan w:val="2"/>
            <w:vAlign w:val="center"/>
          </w:tcPr>
          <w:p w14:paraId="69F7C50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给排水</w:t>
            </w:r>
          </w:p>
        </w:tc>
        <w:tc>
          <w:tcPr>
            <w:tcW w:w="5823" w:type="dxa"/>
            <w:vAlign w:val="center"/>
          </w:tcPr>
          <w:p w14:paraId="71DE7D6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vertAlign w:val="baseline"/>
                <w:lang w:val="en-US" w:eastAsia="zh-CN"/>
              </w:rPr>
            </w:pPr>
            <w:r>
              <w:rPr>
                <w:rFonts w:hint="eastAsia"/>
                <w:sz w:val="21"/>
                <w:szCs w:val="21"/>
                <w:highlight w:val="none"/>
                <w:vertAlign w:val="baseline"/>
                <w:lang w:val="en-US" w:eastAsia="zh-CN"/>
              </w:rPr>
              <w:t>生产生活用水取自场地周边村庄；排水体制采用雨、污分流制，雨水经雨水沟收集后外排；施工生活污水经化粪池处理后用于农肥，不外排；施工期车辆清洗废水与场地开挖产生的淋溶水一体化废水处理设备处理后回用；填埋场施工期和封场后产生的渗滤液经一体化废水处理设备处理后送至湖南黄金天岳矿业有限公司垂拱洞尾矿库废水处理站进一步处理后外排。</w:t>
            </w:r>
          </w:p>
        </w:tc>
      </w:tr>
      <w:tr w14:paraId="24C2B66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27" w:type="dxa"/>
            <w:vMerge w:val="continue"/>
            <w:vAlign w:val="center"/>
          </w:tcPr>
          <w:p w14:paraId="730A1A0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vertAlign w:val="baseline"/>
                <w:lang w:val="en-US" w:eastAsia="zh-CN"/>
              </w:rPr>
            </w:pPr>
          </w:p>
        </w:tc>
        <w:tc>
          <w:tcPr>
            <w:tcW w:w="2822" w:type="dxa"/>
            <w:gridSpan w:val="2"/>
            <w:vAlign w:val="center"/>
          </w:tcPr>
          <w:p w14:paraId="64F4978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供电</w:t>
            </w:r>
          </w:p>
        </w:tc>
        <w:tc>
          <w:tcPr>
            <w:tcW w:w="5823" w:type="dxa"/>
            <w:vAlign w:val="center"/>
          </w:tcPr>
          <w:p w14:paraId="67FE093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yellow"/>
                <w:vertAlign w:val="baseline"/>
                <w:lang w:val="en-US" w:eastAsia="zh-CN"/>
              </w:rPr>
            </w:pPr>
            <w:r>
              <w:rPr>
                <w:rFonts w:hint="eastAsia"/>
                <w:sz w:val="21"/>
                <w:szCs w:val="21"/>
                <w:highlight w:val="none"/>
                <w:vertAlign w:val="baseline"/>
                <w:lang w:val="en-US" w:eastAsia="zh-CN"/>
              </w:rPr>
              <w:t>供电由周边村庄电力系统引进。</w:t>
            </w:r>
          </w:p>
        </w:tc>
      </w:tr>
      <w:tr w14:paraId="2794F1D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27" w:type="dxa"/>
            <w:vMerge w:val="continue"/>
            <w:vAlign w:val="center"/>
          </w:tcPr>
          <w:p w14:paraId="0212461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vertAlign w:val="baseline"/>
                <w:lang w:val="en-US" w:eastAsia="zh-CN"/>
              </w:rPr>
            </w:pPr>
          </w:p>
        </w:tc>
        <w:tc>
          <w:tcPr>
            <w:tcW w:w="2822" w:type="dxa"/>
            <w:gridSpan w:val="2"/>
            <w:vAlign w:val="center"/>
          </w:tcPr>
          <w:p w14:paraId="0864C34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施工营地</w:t>
            </w:r>
          </w:p>
        </w:tc>
        <w:tc>
          <w:tcPr>
            <w:tcW w:w="5823" w:type="dxa"/>
            <w:vAlign w:val="center"/>
          </w:tcPr>
          <w:p w14:paraId="3EB8509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vertAlign w:val="baseline"/>
                <w:lang w:val="en-US" w:eastAsia="zh-CN"/>
              </w:rPr>
            </w:pPr>
            <w:r>
              <w:rPr>
                <w:rFonts w:hint="eastAsia"/>
                <w:sz w:val="21"/>
                <w:szCs w:val="21"/>
                <w:highlight w:val="none"/>
                <w:vertAlign w:val="baseline"/>
                <w:lang w:val="en-US" w:eastAsia="zh-CN"/>
              </w:rPr>
              <w:t>施工单位的施工人员直接租用附近村庄房屋居住，不再新建施工营地；项目施工区域大，施工有关设施、材料和机械停放场地均可在项目场地内部布置，无需单独设置施工生产场地。</w:t>
            </w:r>
          </w:p>
        </w:tc>
      </w:tr>
      <w:tr w14:paraId="5C0BC2A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27" w:type="dxa"/>
            <w:vMerge w:val="continue"/>
            <w:vAlign w:val="center"/>
          </w:tcPr>
          <w:p w14:paraId="7BAA31D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vertAlign w:val="baseline"/>
                <w:lang w:val="en-US" w:eastAsia="zh-CN"/>
              </w:rPr>
            </w:pPr>
          </w:p>
        </w:tc>
        <w:tc>
          <w:tcPr>
            <w:tcW w:w="2822" w:type="dxa"/>
            <w:gridSpan w:val="2"/>
            <w:vAlign w:val="center"/>
          </w:tcPr>
          <w:p w14:paraId="535DFC4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施工道路</w:t>
            </w:r>
          </w:p>
        </w:tc>
        <w:tc>
          <w:tcPr>
            <w:tcW w:w="5823" w:type="dxa"/>
            <w:vAlign w:val="center"/>
          </w:tcPr>
          <w:p w14:paraId="19C12C7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新建临时道路为泥结碎石路面，3.5米宽，长度1094m。取土场运输道路为依托现有乡道后与本项目新建的临时道路连通，施工结束后进行生态恢复。</w:t>
            </w:r>
          </w:p>
        </w:tc>
      </w:tr>
      <w:tr w14:paraId="7BD26E8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27" w:type="dxa"/>
            <w:vMerge w:val="continue"/>
            <w:vAlign w:val="center"/>
          </w:tcPr>
          <w:p w14:paraId="29C5050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vertAlign w:val="baseline"/>
                <w:lang w:val="en-US" w:eastAsia="zh-CN"/>
              </w:rPr>
            </w:pPr>
          </w:p>
        </w:tc>
        <w:tc>
          <w:tcPr>
            <w:tcW w:w="2822" w:type="dxa"/>
            <w:gridSpan w:val="2"/>
            <w:vAlign w:val="center"/>
          </w:tcPr>
          <w:p w14:paraId="29A10A3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取土场</w:t>
            </w:r>
          </w:p>
        </w:tc>
        <w:tc>
          <w:tcPr>
            <w:tcW w:w="5823" w:type="dxa"/>
            <w:vAlign w:val="center"/>
          </w:tcPr>
          <w:p w14:paraId="50BFBDB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yellow"/>
                <w:vertAlign w:val="baseline"/>
                <w:lang w:val="en-US" w:eastAsia="zh-CN"/>
              </w:rPr>
            </w:pPr>
            <w:r>
              <w:rPr>
                <w:rFonts w:hint="default" w:ascii="Times New Roman" w:hAnsi="Times New Roman" w:cs="Times New Roman"/>
                <w:sz w:val="21"/>
                <w:szCs w:val="21"/>
                <w:highlight w:val="none"/>
                <w:vertAlign w:val="baseline"/>
                <w:lang w:val="en-US" w:eastAsia="zh-CN"/>
              </w:rPr>
              <w:t>位于南尧村（经度113°34′26.27″，纬度28°39′51.37″），</w:t>
            </w:r>
            <w:r>
              <w:rPr>
                <w:rFonts w:hint="eastAsia"/>
                <w:sz w:val="21"/>
                <w:szCs w:val="21"/>
                <w:highlight w:val="none"/>
                <w:vertAlign w:val="baseline"/>
                <w:lang w:val="en-US" w:eastAsia="zh-CN"/>
              </w:rPr>
              <w:t>占地面积3668m</w:t>
            </w:r>
            <w:r>
              <w:rPr>
                <w:rFonts w:hint="eastAsia"/>
                <w:sz w:val="21"/>
                <w:szCs w:val="21"/>
                <w:highlight w:val="none"/>
                <w:vertAlign w:val="superscript"/>
                <w:lang w:val="en-US" w:eastAsia="zh-CN"/>
              </w:rPr>
              <w:t>2</w:t>
            </w:r>
            <w:r>
              <w:rPr>
                <w:rFonts w:hint="eastAsia"/>
                <w:sz w:val="21"/>
                <w:szCs w:val="21"/>
                <w:highlight w:val="none"/>
                <w:vertAlign w:val="baseline"/>
                <w:lang w:val="en-US" w:eastAsia="zh-CN"/>
              </w:rPr>
              <w:t>，可取土方量约为3万m</w:t>
            </w:r>
            <w:r>
              <w:rPr>
                <w:rFonts w:hint="eastAsia"/>
                <w:sz w:val="21"/>
                <w:szCs w:val="21"/>
                <w:highlight w:val="none"/>
                <w:vertAlign w:val="superscript"/>
                <w:lang w:val="en-US" w:eastAsia="zh-CN"/>
              </w:rPr>
              <w:t>3</w:t>
            </w:r>
            <w:r>
              <w:rPr>
                <w:rFonts w:hint="eastAsia"/>
                <w:sz w:val="21"/>
                <w:szCs w:val="21"/>
                <w:highlight w:val="none"/>
                <w:vertAlign w:val="baseline"/>
                <w:lang w:val="en-US" w:eastAsia="zh-CN"/>
              </w:rPr>
              <w:t>，到项目场地的运输里程约2.8km。</w:t>
            </w:r>
          </w:p>
        </w:tc>
      </w:tr>
      <w:tr w14:paraId="79A24AD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27" w:type="dxa"/>
            <w:vMerge w:val="restart"/>
            <w:vAlign w:val="center"/>
          </w:tcPr>
          <w:p w14:paraId="0C82B6D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环保工程</w:t>
            </w:r>
          </w:p>
        </w:tc>
        <w:tc>
          <w:tcPr>
            <w:tcW w:w="2822" w:type="dxa"/>
            <w:gridSpan w:val="2"/>
            <w:vAlign w:val="center"/>
          </w:tcPr>
          <w:p w14:paraId="7B2EC61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废气</w:t>
            </w:r>
          </w:p>
        </w:tc>
        <w:tc>
          <w:tcPr>
            <w:tcW w:w="5823" w:type="dxa"/>
            <w:vAlign w:val="center"/>
          </w:tcPr>
          <w:p w14:paraId="4961956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vertAlign w:val="baseline"/>
                <w:lang w:val="en-US" w:eastAsia="zh-CN"/>
              </w:rPr>
            </w:pPr>
            <w:r>
              <w:rPr>
                <w:rFonts w:hint="eastAsia"/>
                <w:sz w:val="21"/>
                <w:szCs w:val="21"/>
                <w:highlight w:val="none"/>
                <w:vertAlign w:val="baseline"/>
                <w:lang w:val="en-US" w:eastAsia="zh-CN"/>
              </w:rPr>
              <w:t>施工期洒水抑尘、围挡、覆盖、洗车平台等。</w:t>
            </w:r>
          </w:p>
        </w:tc>
      </w:tr>
      <w:tr w14:paraId="1116B38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27" w:type="dxa"/>
            <w:vMerge w:val="continue"/>
            <w:vAlign w:val="center"/>
          </w:tcPr>
          <w:p w14:paraId="6347ACF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yellow"/>
                <w:vertAlign w:val="baseline"/>
                <w:lang w:val="en-US" w:eastAsia="zh-CN"/>
              </w:rPr>
            </w:pPr>
          </w:p>
        </w:tc>
        <w:tc>
          <w:tcPr>
            <w:tcW w:w="2822" w:type="dxa"/>
            <w:gridSpan w:val="2"/>
            <w:vAlign w:val="center"/>
          </w:tcPr>
          <w:p w14:paraId="050B9FA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废水</w:t>
            </w:r>
          </w:p>
        </w:tc>
        <w:tc>
          <w:tcPr>
            <w:tcW w:w="5823" w:type="dxa"/>
            <w:vAlign w:val="center"/>
          </w:tcPr>
          <w:p w14:paraId="1556F407">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sz w:val="21"/>
                <w:szCs w:val="21"/>
                <w:highlight w:val="none"/>
                <w:vertAlign w:val="baseline"/>
                <w:lang w:val="en-US" w:eastAsia="zh-CN"/>
              </w:rPr>
            </w:pPr>
            <w:r>
              <w:rPr>
                <w:rFonts w:hint="eastAsia"/>
                <w:sz w:val="21"/>
                <w:szCs w:val="21"/>
                <w:highlight w:val="none"/>
                <w:vertAlign w:val="baseline"/>
                <w:lang w:val="en-US" w:eastAsia="zh-CN"/>
              </w:rPr>
              <w:t>施工期生活污水采用化粪池处理后用于农肥，不外排；施工期车辆清洗废水与场地开挖产生的淋溶水一体化废水处理设备处理后回用。填埋场施工期及封场后产生的渗滤液经渗滤液收集池收集后经一体化废水处理设施处理后送至湖南黄金天岳矿业有限公司垂拱洞尾矿库废水处理站进行处理后外排。</w:t>
            </w:r>
          </w:p>
        </w:tc>
      </w:tr>
      <w:tr w14:paraId="4224AE5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27" w:type="dxa"/>
            <w:vMerge w:val="continue"/>
            <w:vAlign w:val="center"/>
          </w:tcPr>
          <w:p w14:paraId="6AA8450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yellow"/>
                <w:vertAlign w:val="baseline"/>
                <w:lang w:val="en-US" w:eastAsia="zh-CN"/>
              </w:rPr>
            </w:pPr>
          </w:p>
        </w:tc>
        <w:tc>
          <w:tcPr>
            <w:tcW w:w="2822" w:type="dxa"/>
            <w:gridSpan w:val="2"/>
            <w:vAlign w:val="center"/>
          </w:tcPr>
          <w:p w14:paraId="1D0C4B4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噪声</w:t>
            </w:r>
          </w:p>
        </w:tc>
        <w:tc>
          <w:tcPr>
            <w:tcW w:w="5823" w:type="dxa"/>
            <w:vAlign w:val="center"/>
          </w:tcPr>
          <w:p w14:paraId="7FEE337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vertAlign w:val="baseline"/>
                <w:lang w:val="en-US" w:eastAsia="zh-CN"/>
              </w:rPr>
            </w:pPr>
            <w:r>
              <w:rPr>
                <w:rFonts w:hint="eastAsia"/>
                <w:sz w:val="21"/>
                <w:szCs w:val="21"/>
                <w:highlight w:val="none"/>
                <w:vertAlign w:val="baseline"/>
                <w:lang w:val="en-US" w:eastAsia="zh-CN"/>
              </w:rPr>
              <w:t>施工期设置临时隔声屏，施工设备、机械采用低噪声设备，定期进行设备维护。</w:t>
            </w:r>
          </w:p>
        </w:tc>
      </w:tr>
      <w:tr w14:paraId="779D884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4" w:hRule="atLeast"/>
          <w:jc w:val="center"/>
        </w:trPr>
        <w:tc>
          <w:tcPr>
            <w:tcW w:w="727" w:type="dxa"/>
            <w:vMerge w:val="continue"/>
            <w:vAlign w:val="center"/>
          </w:tcPr>
          <w:p w14:paraId="7FAD3F2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yellow"/>
                <w:vertAlign w:val="baseline"/>
                <w:lang w:val="en-US" w:eastAsia="zh-CN"/>
              </w:rPr>
            </w:pPr>
          </w:p>
        </w:tc>
        <w:tc>
          <w:tcPr>
            <w:tcW w:w="2822" w:type="dxa"/>
            <w:gridSpan w:val="2"/>
            <w:vAlign w:val="center"/>
          </w:tcPr>
          <w:p w14:paraId="2315ECC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固废</w:t>
            </w:r>
          </w:p>
        </w:tc>
        <w:tc>
          <w:tcPr>
            <w:tcW w:w="5823" w:type="dxa"/>
            <w:vAlign w:val="center"/>
          </w:tcPr>
          <w:p w14:paraId="0326241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vertAlign w:val="baseline"/>
                <w:lang w:val="en-US" w:eastAsia="zh-CN"/>
              </w:rPr>
            </w:pPr>
            <w:r>
              <w:rPr>
                <w:rFonts w:hint="eastAsia"/>
                <w:sz w:val="21"/>
                <w:szCs w:val="21"/>
                <w:highlight w:val="none"/>
                <w:vertAlign w:val="baseline"/>
                <w:lang w:val="en-US" w:eastAsia="zh-CN"/>
              </w:rPr>
              <w:t>施工期废渣区废渣、污水处理污泥由填埋场进行集中安全填埋处置；废防渗材料、废包装袋、生活垃圾交由环卫部门统一清运；封场后污水处理污泥外售砖厂进行资源化利用。</w:t>
            </w:r>
          </w:p>
        </w:tc>
      </w:tr>
      <w:tr w14:paraId="0243E60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27" w:type="dxa"/>
            <w:vMerge w:val="continue"/>
            <w:vAlign w:val="center"/>
          </w:tcPr>
          <w:p w14:paraId="2CCF96B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yellow"/>
                <w:vertAlign w:val="baseline"/>
                <w:lang w:val="en-US" w:eastAsia="zh-CN"/>
              </w:rPr>
            </w:pPr>
          </w:p>
        </w:tc>
        <w:tc>
          <w:tcPr>
            <w:tcW w:w="2822" w:type="dxa"/>
            <w:gridSpan w:val="2"/>
            <w:vAlign w:val="center"/>
          </w:tcPr>
          <w:p w14:paraId="2D5EDF0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生态</w:t>
            </w:r>
          </w:p>
        </w:tc>
        <w:tc>
          <w:tcPr>
            <w:tcW w:w="5823" w:type="dxa"/>
            <w:vAlign w:val="center"/>
          </w:tcPr>
          <w:p w14:paraId="65A4843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yellow"/>
                <w:vertAlign w:val="baseline"/>
                <w:lang w:val="en-US" w:eastAsia="zh-CN"/>
              </w:rPr>
            </w:pPr>
            <w:r>
              <w:rPr>
                <w:rFonts w:hint="eastAsia"/>
                <w:sz w:val="21"/>
                <w:szCs w:val="21"/>
                <w:highlight w:val="none"/>
                <w:vertAlign w:val="baseline"/>
                <w:lang w:val="en-US" w:eastAsia="zh-CN"/>
              </w:rPr>
              <w:t>生态恢复面积25814m</w:t>
            </w:r>
            <w:r>
              <w:rPr>
                <w:rFonts w:hint="eastAsia"/>
                <w:sz w:val="21"/>
                <w:szCs w:val="21"/>
                <w:highlight w:val="none"/>
                <w:vertAlign w:val="superscript"/>
                <w:lang w:val="en-US" w:eastAsia="zh-CN"/>
              </w:rPr>
              <w:t>2</w:t>
            </w:r>
            <w:r>
              <w:rPr>
                <w:rFonts w:hint="eastAsia"/>
                <w:sz w:val="21"/>
                <w:szCs w:val="21"/>
                <w:highlight w:val="none"/>
                <w:vertAlign w:val="baseline"/>
                <w:lang w:val="en-US" w:eastAsia="zh-CN"/>
              </w:rPr>
              <w:t>，填埋场、取土场四周截洪沟、沟口处挡墙等，施工道路边坡挡护、排水沟等，填埋场及取土场表土单独剥离，单独存放，用于后期生态恢复。</w:t>
            </w:r>
          </w:p>
        </w:tc>
      </w:tr>
    </w:tbl>
    <w:p w14:paraId="60FA474D">
      <w:pPr>
        <w:pStyle w:val="9"/>
        <w:numPr>
          <w:ilvl w:val="2"/>
          <w:numId w:val="1"/>
        </w:numPr>
        <w:bidi w:val="0"/>
        <w:ind w:left="709" w:leftChars="0" w:hanging="709" w:firstLineChars="0"/>
        <w:rPr>
          <w:rFonts w:hint="default"/>
          <w:lang w:val="en-US" w:eastAsia="zh-CN"/>
        </w:rPr>
      </w:pPr>
      <w:r>
        <w:rPr>
          <w:rFonts w:hint="eastAsia"/>
          <w:lang w:val="en-US" w:eastAsia="zh-CN"/>
        </w:rPr>
        <w:t>主要工程量</w:t>
      </w:r>
    </w:p>
    <w:p w14:paraId="3856401D">
      <w:pPr>
        <w:rPr>
          <w:rFonts w:hint="default"/>
          <w:highlight w:val="none"/>
          <w:lang w:val="en-US" w:eastAsia="zh-CN"/>
        </w:rPr>
      </w:pPr>
      <w:r>
        <w:rPr>
          <w:rFonts w:hint="eastAsia"/>
          <w:highlight w:val="none"/>
          <w:lang w:val="en-US" w:eastAsia="zh-CN"/>
        </w:rPr>
        <w:t>本项目采用填埋处置法对历史遗留废渣进行治理，包括废渣挖掘场底清基、场底防渗、渗滤液导排、挡渣坝建设、封场防渗、截排水系统和生态恢复等工程。项目主要工程量见表3.1-19。</w:t>
      </w:r>
    </w:p>
    <w:p w14:paraId="1AE193D7">
      <w:pPr>
        <w:ind w:left="0" w:leftChars="0" w:firstLine="0" w:firstLineChars="0"/>
        <w:jc w:val="center"/>
        <w:rPr>
          <w:rFonts w:hint="default"/>
          <w:b/>
          <w:bCs/>
          <w:sz w:val="21"/>
          <w:szCs w:val="21"/>
          <w:highlight w:val="none"/>
          <w:lang w:val="en-US" w:eastAsia="zh-CN"/>
        </w:rPr>
      </w:pPr>
      <w:r>
        <w:rPr>
          <w:rFonts w:hint="eastAsia"/>
          <w:b/>
          <w:bCs/>
          <w:sz w:val="21"/>
          <w:szCs w:val="21"/>
          <w:highlight w:val="none"/>
          <w:lang w:val="en-US" w:eastAsia="zh-CN"/>
        </w:rPr>
        <w:t>表3.1-19  主要工程量一览表</w:t>
      </w:r>
    </w:p>
    <w:tbl>
      <w:tblPr>
        <w:tblStyle w:val="36"/>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754"/>
        <w:gridCol w:w="1595"/>
        <w:gridCol w:w="4922"/>
        <w:gridCol w:w="724"/>
        <w:gridCol w:w="1293"/>
      </w:tblGrid>
      <w:tr w14:paraId="77086BF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blHeader/>
        </w:trPr>
        <w:tc>
          <w:tcPr>
            <w:tcW w:w="754" w:type="dxa"/>
            <w:vAlign w:val="center"/>
          </w:tcPr>
          <w:p w14:paraId="121ED9E9">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b/>
                <w:bCs/>
                <w:sz w:val="21"/>
                <w:szCs w:val="21"/>
                <w:highlight w:val="none"/>
                <w:vertAlign w:val="baseline"/>
                <w:lang w:val="en-US" w:eastAsia="zh-CN"/>
              </w:rPr>
            </w:pPr>
            <w:r>
              <w:rPr>
                <w:rFonts w:hint="eastAsia"/>
                <w:b/>
                <w:bCs/>
                <w:sz w:val="21"/>
                <w:szCs w:val="21"/>
                <w:highlight w:val="none"/>
                <w:vertAlign w:val="baseline"/>
                <w:lang w:val="en-US" w:eastAsia="zh-CN"/>
              </w:rPr>
              <w:t>序号</w:t>
            </w:r>
          </w:p>
        </w:tc>
        <w:tc>
          <w:tcPr>
            <w:tcW w:w="1595" w:type="dxa"/>
            <w:vAlign w:val="center"/>
          </w:tcPr>
          <w:p w14:paraId="718C6E75">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b/>
                <w:bCs/>
                <w:sz w:val="21"/>
                <w:szCs w:val="21"/>
                <w:highlight w:val="none"/>
                <w:vertAlign w:val="baseline"/>
                <w:lang w:val="en-US" w:eastAsia="zh-CN"/>
              </w:rPr>
            </w:pPr>
            <w:r>
              <w:rPr>
                <w:rFonts w:hint="eastAsia"/>
                <w:b/>
                <w:bCs/>
                <w:sz w:val="21"/>
                <w:szCs w:val="21"/>
                <w:highlight w:val="none"/>
                <w:vertAlign w:val="baseline"/>
                <w:lang w:val="en-US" w:eastAsia="zh-CN"/>
              </w:rPr>
              <w:t>项目名称</w:t>
            </w:r>
          </w:p>
        </w:tc>
        <w:tc>
          <w:tcPr>
            <w:tcW w:w="4922" w:type="dxa"/>
            <w:vAlign w:val="center"/>
          </w:tcPr>
          <w:p w14:paraId="2A19F2BB">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b/>
                <w:bCs/>
                <w:sz w:val="21"/>
                <w:szCs w:val="21"/>
                <w:highlight w:val="none"/>
                <w:vertAlign w:val="baseline"/>
                <w:lang w:val="en-US" w:eastAsia="zh-CN"/>
              </w:rPr>
            </w:pPr>
            <w:r>
              <w:rPr>
                <w:rFonts w:hint="eastAsia"/>
                <w:b/>
                <w:bCs/>
                <w:sz w:val="21"/>
                <w:szCs w:val="21"/>
                <w:highlight w:val="none"/>
                <w:vertAlign w:val="baseline"/>
                <w:lang w:val="en-US" w:eastAsia="zh-CN"/>
              </w:rPr>
              <w:t>实施内容</w:t>
            </w:r>
          </w:p>
        </w:tc>
        <w:tc>
          <w:tcPr>
            <w:tcW w:w="724" w:type="dxa"/>
            <w:vAlign w:val="center"/>
          </w:tcPr>
          <w:p w14:paraId="7364A200">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b/>
                <w:bCs/>
                <w:sz w:val="21"/>
                <w:szCs w:val="21"/>
                <w:highlight w:val="none"/>
                <w:vertAlign w:val="baseline"/>
                <w:lang w:val="en-US" w:eastAsia="zh-CN"/>
              </w:rPr>
            </w:pPr>
            <w:r>
              <w:rPr>
                <w:rFonts w:hint="eastAsia"/>
                <w:b/>
                <w:bCs/>
                <w:sz w:val="21"/>
                <w:szCs w:val="21"/>
                <w:highlight w:val="none"/>
                <w:vertAlign w:val="baseline"/>
                <w:lang w:val="en-US" w:eastAsia="zh-CN"/>
              </w:rPr>
              <w:t>单位</w:t>
            </w:r>
          </w:p>
        </w:tc>
        <w:tc>
          <w:tcPr>
            <w:tcW w:w="1293" w:type="dxa"/>
            <w:vAlign w:val="center"/>
          </w:tcPr>
          <w:p w14:paraId="195ED4E9">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b/>
                <w:bCs/>
                <w:sz w:val="21"/>
                <w:szCs w:val="21"/>
                <w:highlight w:val="none"/>
                <w:vertAlign w:val="baseline"/>
                <w:lang w:val="en-US" w:eastAsia="zh-CN"/>
              </w:rPr>
            </w:pPr>
            <w:r>
              <w:rPr>
                <w:rFonts w:hint="eastAsia"/>
                <w:b/>
                <w:bCs/>
                <w:sz w:val="21"/>
                <w:szCs w:val="21"/>
                <w:highlight w:val="none"/>
                <w:vertAlign w:val="baseline"/>
                <w:lang w:val="en-US" w:eastAsia="zh-CN"/>
              </w:rPr>
              <w:t>工程量</w:t>
            </w:r>
          </w:p>
        </w:tc>
      </w:tr>
      <w:tr w14:paraId="101DA5A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54" w:type="dxa"/>
            <w:vAlign w:val="center"/>
          </w:tcPr>
          <w:p w14:paraId="4256750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val="0"/>
                <w:bCs w:val="0"/>
                <w:sz w:val="21"/>
                <w:szCs w:val="21"/>
                <w:highlight w:val="none"/>
                <w:vertAlign w:val="baseline"/>
                <w:lang w:val="en-US" w:eastAsia="zh-CN"/>
              </w:rPr>
            </w:pPr>
            <w:r>
              <w:rPr>
                <w:rFonts w:hint="eastAsia"/>
                <w:b w:val="0"/>
                <w:bCs w:val="0"/>
                <w:sz w:val="21"/>
                <w:szCs w:val="21"/>
                <w:highlight w:val="none"/>
                <w:vertAlign w:val="baseline"/>
                <w:lang w:val="en-US" w:eastAsia="zh-CN"/>
              </w:rPr>
              <w:t>一</w:t>
            </w:r>
          </w:p>
        </w:tc>
        <w:tc>
          <w:tcPr>
            <w:tcW w:w="8534" w:type="dxa"/>
            <w:gridSpan w:val="4"/>
            <w:vAlign w:val="center"/>
          </w:tcPr>
          <w:p w14:paraId="7EA280EC">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b/>
                <w:bCs/>
                <w:sz w:val="21"/>
                <w:szCs w:val="21"/>
                <w:highlight w:val="none"/>
                <w:vertAlign w:val="baseline"/>
                <w:lang w:val="en-US" w:eastAsia="zh-CN"/>
              </w:rPr>
            </w:pPr>
            <w:r>
              <w:rPr>
                <w:rFonts w:hint="eastAsia"/>
                <w:b/>
                <w:bCs/>
                <w:sz w:val="21"/>
                <w:szCs w:val="21"/>
                <w:highlight w:val="none"/>
                <w:vertAlign w:val="baseline"/>
                <w:lang w:val="en-US" w:eastAsia="zh-CN"/>
              </w:rPr>
              <w:t>废渣堆废渣挖掘与场底清基工程</w:t>
            </w:r>
          </w:p>
        </w:tc>
      </w:tr>
      <w:tr w14:paraId="5662720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54" w:type="dxa"/>
            <w:vAlign w:val="center"/>
          </w:tcPr>
          <w:p w14:paraId="00BF211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val="0"/>
                <w:bCs w:val="0"/>
                <w:sz w:val="21"/>
                <w:szCs w:val="21"/>
                <w:highlight w:val="none"/>
                <w:vertAlign w:val="baseline"/>
                <w:lang w:val="en-US" w:eastAsia="zh-CN"/>
              </w:rPr>
            </w:pPr>
            <w:r>
              <w:rPr>
                <w:rFonts w:hint="eastAsia"/>
                <w:b w:val="0"/>
                <w:bCs w:val="0"/>
                <w:sz w:val="21"/>
                <w:szCs w:val="21"/>
                <w:highlight w:val="none"/>
                <w:vertAlign w:val="baseline"/>
                <w:lang w:val="en-US" w:eastAsia="zh-CN"/>
              </w:rPr>
              <w:t>1</w:t>
            </w:r>
          </w:p>
        </w:tc>
        <w:tc>
          <w:tcPr>
            <w:tcW w:w="1595" w:type="dxa"/>
            <w:shd w:val="clear" w:color="auto" w:fill="auto"/>
            <w:vAlign w:val="center"/>
          </w:tcPr>
          <w:p w14:paraId="05925B4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kern w:val="2"/>
                <w:sz w:val="21"/>
                <w:szCs w:val="21"/>
                <w:highlight w:val="none"/>
                <w:vertAlign w:val="baseline"/>
                <w:lang w:val="en-US" w:eastAsia="zh-CN" w:bidi="ar-SA"/>
              </w:rPr>
            </w:pPr>
            <w:r>
              <w:rPr>
                <w:rFonts w:hint="eastAsia"/>
                <w:sz w:val="21"/>
                <w:szCs w:val="21"/>
                <w:highlight w:val="none"/>
                <w:vertAlign w:val="baseline"/>
                <w:lang w:val="en-US" w:eastAsia="zh-CN"/>
              </w:rPr>
              <w:t>废渣挖掘清运</w:t>
            </w:r>
          </w:p>
        </w:tc>
        <w:tc>
          <w:tcPr>
            <w:tcW w:w="4922" w:type="dxa"/>
            <w:shd w:val="clear" w:color="auto" w:fill="auto"/>
            <w:vAlign w:val="center"/>
          </w:tcPr>
          <w:p w14:paraId="240806B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kern w:val="2"/>
                <w:sz w:val="21"/>
                <w:szCs w:val="21"/>
                <w:highlight w:val="none"/>
                <w:vertAlign w:val="baseline"/>
                <w:lang w:val="en-US" w:eastAsia="zh-CN" w:bidi="ar-SA"/>
              </w:rPr>
            </w:pPr>
            <w:r>
              <w:rPr>
                <w:rFonts w:hint="eastAsia"/>
                <w:sz w:val="21"/>
                <w:szCs w:val="21"/>
                <w:highlight w:val="none"/>
                <w:vertAlign w:val="baseline"/>
                <w:lang w:val="en-US" w:eastAsia="zh-CN"/>
              </w:rPr>
              <w:t>废渣挖掘清运</w:t>
            </w:r>
          </w:p>
        </w:tc>
        <w:tc>
          <w:tcPr>
            <w:tcW w:w="724" w:type="dxa"/>
            <w:shd w:val="clear" w:color="auto" w:fill="auto"/>
            <w:vAlign w:val="center"/>
          </w:tcPr>
          <w:p w14:paraId="4C58D06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kern w:val="2"/>
                <w:sz w:val="21"/>
                <w:szCs w:val="21"/>
                <w:highlight w:val="none"/>
                <w:vertAlign w:val="baseline"/>
                <w:lang w:val="en-US" w:eastAsia="zh-CN" w:bidi="ar-SA"/>
              </w:rPr>
            </w:pPr>
            <w:r>
              <w:rPr>
                <w:rFonts w:hint="eastAsia"/>
                <w:sz w:val="21"/>
                <w:szCs w:val="21"/>
                <w:highlight w:val="none"/>
                <w:vertAlign w:val="baseline"/>
                <w:lang w:val="en-US" w:eastAsia="zh-CN"/>
              </w:rPr>
              <w:t>m</w:t>
            </w:r>
            <w:r>
              <w:rPr>
                <w:rFonts w:hint="eastAsia"/>
                <w:sz w:val="21"/>
                <w:szCs w:val="21"/>
                <w:highlight w:val="none"/>
                <w:vertAlign w:val="superscript"/>
                <w:lang w:val="en-US" w:eastAsia="zh-CN"/>
              </w:rPr>
              <w:t>3</w:t>
            </w:r>
          </w:p>
        </w:tc>
        <w:tc>
          <w:tcPr>
            <w:tcW w:w="1293" w:type="dxa"/>
            <w:shd w:val="clear" w:color="auto" w:fill="auto"/>
            <w:vAlign w:val="center"/>
          </w:tcPr>
          <w:p w14:paraId="2CFA714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kern w:val="2"/>
                <w:sz w:val="21"/>
                <w:szCs w:val="21"/>
                <w:highlight w:val="none"/>
                <w:vertAlign w:val="baseline"/>
                <w:lang w:val="en-US" w:eastAsia="zh-CN" w:bidi="ar-SA"/>
              </w:rPr>
            </w:pPr>
            <w:r>
              <w:rPr>
                <w:rFonts w:hint="eastAsia"/>
                <w:sz w:val="21"/>
                <w:szCs w:val="21"/>
                <w:highlight w:val="none"/>
                <w:vertAlign w:val="baseline"/>
                <w:lang w:val="en-US" w:eastAsia="zh-CN"/>
              </w:rPr>
              <w:t>42040.12</w:t>
            </w:r>
          </w:p>
        </w:tc>
      </w:tr>
      <w:tr w14:paraId="38DD7B0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54" w:type="dxa"/>
            <w:vAlign w:val="center"/>
          </w:tcPr>
          <w:p w14:paraId="54DAE75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val="0"/>
                <w:bCs w:val="0"/>
                <w:sz w:val="21"/>
                <w:szCs w:val="21"/>
                <w:highlight w:val="none"/>
                <w:vertAlign w:val="baseline"/>
                <w:lang w:val="en-US" w:eastAsia="zh-CN"/>
              </w:rPr>
            </w:pPr>
            <w:r>
              <w:rPr>
                <w:rFonts w:hint="eastAsia"/>
                <w:b w:val="0"/>
                <w:bCs w:val="0"/>
                <w:sz w:val="21"/>
                <w:szCs w:val="21"/>
                <w:highlight w:val="none"/>
                <w:vertAlign w:val="baseline"/>
                <w:lang w:val="en-US" w:eastAsia="zh-CN"/>
              </w:rPr>
              <w:t>2</w:t>
            </w:r>
          </w:p>
        </w:tc>
        <w:tc>
          <w:tcPr>
            <w:tcW w:w="1595" w:type="dxa"/>
            <w:shd w:val="clear" w:color="auto" w:fill="auto"/>
            <w:vAlign w:val="center"/>
          </w:tcPr>
          <w:p w14:paraId="0018DC5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kern w:val="2"/>
                <w:sz w:val="21"/>
                <w:szCs w:val="21"/>
                <w:highlight w:val="none"/>
                <w:vertAlign w:val="baseline"/>
                <w:lang w:val="en-US" w:eastAsia="zh-CN" w:bidi="ar-SA"/>
              </w:rPr>
            </w:pPr>
            <w:r>
              <w:rPr>
                <w:rFonts w:hint="eastAsia"/>
                <w:sz w:val="21"/>
                <w:szCs w:val="21"/>
                <w:highlight w:val="none"/>
                <w:vertAlign w:val="baseline"/>
                <w:lang w:val="en-US" w:eastAsia="zh-CN"/>
              </w:rPr>
              <w:t>场底清基</w:t>
            </w:r>
          </w:p>
        </w:tc>
        <w:tc>
          <w:tcPr>
            <w:tcW w:w="4922" w:type="dxa"/>
            <w:shd w:val="clear" w:color="auto" w:fill="auto"/>
            <w:vAlign w:val="center"/>
          </w:tcPr>
          <w:p w14:paraId="0FACBF3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kern w:val="2"/>
                <w:sz w:val="21"/>
                <w:szCs w:val="21"/>
                <w:highlight w:val="none"/>
                <w:vertAlign w:val="baseline"/>
                <w:lang w:val="en-US" w:eastAsia="zh-CN" w:bidi="ar-SA"/>
              </w:rPr>
            </w:pPr>
            <w:r>
              <w:rPr>
                <w:rFonts w:hint="eastAsia"/>
                <w:sz w:val="21"/>
                <w:szCs w:val="21"/>
                <w:highlight w:val="none"/>
                <w:vertAlign w:val="baseline"/>
                <w:lang w:val="en-US" w:eastAsia="zh-CN"/>
              </w:rPr>
              <w:t>场底清基</w:t>
            </w:r>
          </w:p>
        </w:tc>
        <w:tc>
          <w:tcPr>
            <w:tcW w:w="724" w:type="dxa"/>
            <w:shd w:val="clear" w:color="auto" w:fill="auto"/>
            <w:vAlign w:val="center"/>
          </w:tcPr>
          <w:p w14:paraId="426C3BA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kern w:val="2"/>
                <w:sz w:val="21"/>
                <w:szCs w:val="21"/>
                <w:highlight w:val="none"/>
                <w:vertAlign w:val="baseline"/>
                <w:lang w:val="en-US" w:eastAsia="zh-CN" w:bidi="ar-SA"/>
              </w:rPr>
            </w:pPr>
            <w:r>
              <w:rPr>
                <w:rFonts w:hint="eastAsia"/>
                <w:sz w:val="21"/>
                <w:szCs w:val="21"/>
                <w:highlight w:val="none"/>
                <w:vertAlign w:val="baseline"/>
                <w:lang w:val="en-US" w:eastAsia="zh-CN"/>
              </w:rPr>
              <w:t>m</w:t>
            </w:r>
            <w:r>
              <w:rPr>
                <w:rFonts w:hint="eastAsia"/>
                <w:sz w:val="21"/>
                <w:szCs w:val="21"/>
                <w:highlight w:val="none"/>
                <w:vertAlign w:val="superscript"/>
                <w:lang w:val="en-US" w:eastAsia="zh-CN"/>
              </w:rPr>
              <w:t>3</w:t>
            </w:r>
          </w:p>
        </w:tc>
        <w:tc>
          <w:tcPr>
            <w:tcW w:w="1293" w:type="dxa"/>
            <w:shd w:val="clear" w:color="auto" w:fill="auto"/>
            <w:vAlign w:val="center"/>
          </w:tcPr>
          <w:p w14:paraId="4910854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eastAsia"/>
                <w:sz w:val="21"/>
                <w:szCs w:val="21"/>
                <w:highlight w:val="none"/>
                <w:vertAlign w:val="baseline"/>
                <w:lang w:val="en-US" w:eastAsia="zh-CN"/>
              </w:rPr>
              <w:t>13515</w:t>
            </w:r>
          </w:p>
        </w:tc>
      </w:tr>
      <w:tr w14:paraId="44689BC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54" w:type="dxa"/>
            <w:vAlign w:val="center"/>
          </w:tcPr>
          <w:p w14:paraId="5A22D4C7">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b/>
                <w:bCs/>
                <w:sz w:val="21"/>
                <w:szCs w:val="21"/>
                <w:highlight w:val="none"/>
                <w:vertAlign w:val="baseline"/>
                <w:lang w:val="en-US" w:eastAsia="zh-CN"/>
              </w:rPr>
            </w:pPr>
            <w:r>
              <w:rPr>
                <w:rFonts w:hint="eastAsia"/>
                <w:b/>
                <w:bCs/>
                <w:sz w:val="21"/>
                <w:szCs w:val="21"/>
                <w:highlight w:val="none"/>
                <w:vertAlign w:val="baseline"/>
                <w:lang w:val="en-US" w:eastAsia="zh-CN"/>
              </w:rPr>
              <w:t>二</w:t>
            </w:r>
          </w:p>
        </w:tc>
        <w:tc>
          <w:tcPr>
            <w:tcW w:w="8534" w:type="dxa"/>
            <w:gridSpan w:val="4"/>
            <w:vAlign w:val="center"/>
          </w:tcPr>
          <w:p w14:paraId="12A8012C">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b/>
                <w:bCs/>
                <w:sz w:val="21"/>
                <w:szCs w:val="21"/>
                <w:highlight w:val="none"/>
                <w:vertAlign w:val="baseline"/>
                <w:lang w:val="en-US" w:eastAsia="zh-CN"/>
              </w:rPr>
            </w:pPr>
            <w:r>
              <w:rPr>
                <w:rFonts w:hint="eastAsia"/>
                <w:b/>
                <w:bCs/>
                <w:sz w:val="21"/>
                <w:szCs w:val="21"/>
                <w:highlight w:val="none"/>
                <w:vertAlign w:val="baseline"/>
                <w:lang w:val="en-US" w:eastAsia="zh-CN"/>
              </w:rPr>
              <w:t>废渣填埋场建设工程</w:t>
            </w:r>
          </w:p>
        </w:tc>
      </w:tr>
      <w:tr w14:paraId="4775517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54" w:type="dxa"/>
            <w:vAlign w:val="center"/>
          </w:tcPr>
          <w:p w14:paraId="320DD72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bCs/>
                <w:sz w:val="21"/>
                <w:szCs w:val="21"/>
                <w:highlight w:val="none"/>
                <w:vertAlign w:val="baseline"/>
                <w:lang w:val="en-US" w:eastAsia="zh-CN"/>
              </w:rPr>
            </w:pPr>
            <w:r>
              <w:rPr>
                <w:rFonts w:hint="eastAsia"/>
                <w:b/>
                <w:bCs/>
                <w:sz w:val="21"/>
                <w:szCs w:val="21"/>
                <w:highlight w:val="none"/>
                <w:vertAlign w:val="baseline"/>
                <w:lang w:val="en-US" w:eastAsia="zh-CN"/>
              </w:rPr>
              <w:t>2.1</w:t>
            </w:r>
          </w:p>
        </w:tc>
        <w:tc>
          <w:tcPr>
            <w:tcW w:w="8534" w:type="dxa"/>
            <w:gridSpan w:val="4"/>
            <w:vAlign w:val="center"/>
          </w:tcPr>
          <w:p w14:paraId="337C698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b/>
                <w:bCs/>
                <w:sz w:val="21"/>
                <w:szCs w:val="21"/>
                <w:highlight w:val="none"/>
                <w:vertAlign w:val="baseline"/>
                <w:lang w:val="en-US" w:eastAsia="zh-CN"/>
              </w:rPr>
            </w:pPr>
            <w:r>
              <w:rPr>
                <w:rFonts w:hint="eastAsia"/>
                <w:b/>
                <w:bCs/>
                <w:sz w:val="21"/>
                <w:szCs w:val="21"/>
                <w:highlight w:val="none"/>
                <w:vertAlign w:val="baseline"/>
                <w:lang w:val="en-US" w:eastAsia="zh-CN"/>
              </w:rPr>
              <w:t>废渣填埋场库区整形及地基处理</w:t>
            </w:r>
          </w:p>
        </w:tc>
      </w:tr>
      <w:tr w14:paraId="7710E1A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54" w:type="dxa"/>
            <w:vAlign w:val="center"/>
          </w:tcPr>
          <w:p w14:paraId="49DD712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1</w:t>
            </w:r>
          </w:p>
        </w:tc>
        <w:tc>
          <w:tcPr>
            <w:tcW w:w="1595" w:type="dxa"/>
            <w:vAlign w:val="center"/>
          </w:tcPr>
          <w:p w14:paraId="32F7B60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default"/>
                <w:sz w:val="21"/>
                <w:szCs w:val="21"/>
                <w:highlight w:val="none"/>
                <w:vertAlign w:val="baseline"/>
                <w:lang w:val="en-US" w:eastAsia="zh-CN"/>
              </w:rPr>
              <w:t>库区整形及地基处理</w:t>
            </w:r>
          </w:p>
        </w:tc>
        <w:tc>
          <w:tcPr>
            <w:tcW w:w="4922" w:type="dxa"/>
            <w:vAlign w:val="center"/>
          </w:tcPr>
          <w:p w14:paraId="50DBD77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default"/>
                <w:sz w:val="21"/>
                <w:szCs w:val="21"/>
                <w:highlight w:val="none"/>
                <w:vertAlign w:val="baseline"/>
                <w:lang w:val="en-US" w:eastAsia="zh-CN"/>
              </w:rPr>
              <w:t>库区整形及地基处理</w:t>
            </w:r>
          </w:p>
        </w:tc>
        <w:tc>
          <w:tcPr>
            <w:tcW w:w="724" w:type="dxa"/>
            <w:vAlign w:val="center"/>
          </w:tcPr>
          <w:p w14:paraId="4C7636D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m</w:t>
            </w:r>
            <w:r>
              <w:rPr>
                <w:rFonts w:hint="eastAsia"/>
                <w:sz w:val="21"/>
                <w:szCs w:val="21"/>
                <w:highlight w:val="none"/>
                <w:vertAlign w:val="superscript"/>
                <w:lang w:val="en-US" w:eastAsia="zh-CN"/>
              </w:rPr>
              <w:t>3</w:t>
            </w:r>
          </w:p>
        </w:tc>
        <w:tc>
          <w:tcPr>
            <w:tcW w:w="1293" w:type="dxa"/>
            <w:vAlign w:val="center"/>
          </w:tcPr>
          <w:p w14:paraId="0F5AFD7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default"/>
                <w:sz w:val="21"/>
                <w:szCs w:val="21"/>
                <w:highlight w:val="none"/>
                <w:vertAlign w:val="baseline"/>
                <w:lang w:val="en-US" w:eastAsia="zh-CN"/>
              </w:rPr>
              <w:t>26835</w:t>
            </w:r>
          </w:p>
        </w:tc>
      </w:tr>
      <w:tr w14:paraId="01122BE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54" w:type="dxa"/>
            <w:vAlign w:val="center"/>
          </w:tcPr>
          <w:p w14:paraId="4D76EBF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bCs/>
                <w:sz w:val="21"/>
                <w:szCs w:val="21"/>
                <w:highlight w:val="none"/>
                <w:vertAlign w:val="baseline"/>
                <w:lang w:val="en-US" w:eastAsia="zh-CN"/>
              </w:rPr>
            </w:pPr>
            <w:r>
              <w:rPr>
                <w:rFonts w:hint="eastAsia"/>
                <w:b/>
                <w:bCs/>
                <w:sz w:val="21"/>
                <w:szCs w:val="21"/>
                <w:highlight w:val="none"/>
                <w:vertAlign w:val="baseline"/>
                <w:lang w:val="en-US" w:eastAsia="zh-CN"/>
              </w:rPr>
              <w:t>2.2</w:t>
            </w:r>
          </w:p>
        </w:tc>
        <w:tc>
          <w:tcPr>
            <w:tcW w:w="8534" w:type="dxa"/>
            <w:gridSpan w:val="4"/>
            <w:vAlign w:val="center"/>
          </w:tcPr>
          <w:p w14:paraId="1EDCC15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bCs/>
                <w:sz w:val="21"/>
                <w:szCs w:val="21"/>
                <w:highlight w:val="none"/>
                <w:vertAlign w:val="baseline"/>
                <w:lang w:val="en-US" w:eastAsia="zh-CN"/>
              </w:rPr>
            </w:pPr>
            <w:r>
              <w:rPr>
                <w:rFonts w:hint="eastAsia"/>
                <w:b/>
                <w:bCs/>
                <w:sz w:val="21"/>
                <w:szCs w:val="21"/>
                <w:highlight w:val="none"/>
                <w:vertAlign w:val="baseline"/>
                <w:lang w:val="en-US" w:eastAsia="zh-CN"/>
              </w:rPr>
              <w:t>废渣填埋场底防渗工程</w:t>
            </w:r>
          </w:p>
        </w:tc>
      </w:tr>
      <w:tr w14:paraId="05C8B7C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54" w:type="dxa"/>
            <w:vAlign w:val="center"/>
          </w:tcPr>
          <w:p w14:paraId="0D0994C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1</w:t>
            </w:r>
          </w:p>
        </w:tc>
        <w:tc>
          <w:tcPr>
            <w:tcW w:w="1595" w:type="dxa"/>
            <w:vAlign w:val="center"/>
          </w:tcPr>
          <w:p w14:paraId="6A52181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土工布</w:t>
            </w:r>
          </w:p>
        </w:tc>
        <w:tc>
          <w:tcPr>
            <w:tcW w:w="4922" w:type="dxa"/>
            <w:vAlign w:val="center"/>
          </w:tcPr>
          <w:p w14:paraId="4019B9A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vertAlign w:val="baseline"/>
                <w:lang w:val="en-US" w:eastAsia="zh-CN"/>
              </w:rPr>
            </w:pPr>
            <w:r>
              <w:rPr>
                <w:rFonts w:hint="eastAsia"/>
                <w:sz w:val="21"/>
                <w:szCs w:val="21"/>
                <w:highlight w:val="none"/>
                <w:vertAlign w:val="baseline"/>
                <w:lang w:val="en-US" w:eastAsia="zh-CN"/>
              </w:rPr>
              <w:t>600g/m</w:t>
            </w:r>
            <w:r>
              <w:rPr>
                <w:rFonts w:hint="eastAsia"/>
                <w:sz w:val="21"/>
                <w:szCs w:val="21"/>
                <w:highlight w:val="none"/>
                <w:vertAlign w:val="superscript"/>
                <w:lang w:val="en-US" w:eastAsia="zh-CN"/>
              </w:rPr>
              <w:t>2</w:t>
            </w:r>
          </w:p>
        </w:tc>
        <w:tc>
          <w:tcPr>
            <w:tcW w:w="724" w:type="dxa"/>
            <w:vAlign w:val="center"/>
          </w:tcPr>
          <w:p w14:paraId="7B921BB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yellow"/>
                <w:vertAlign w:val="baseline"/>
                <w:lang w:val="en-US" w:eastAsia="zh-CN"/>
              </w:rPr>
            </w:pPr>
            <w:r>
              <w:rPr>
                <w:rFonts w:hint="eastAsia"/>
                <w:sz w:val="21"/>
                <w:szCs w:val="21"/>
                <w:highlight w:val="none"/>
                <w:vertAlign w:val="baseline"/>
                <w:lang w:val="en-US" w:eastAsia="zh-CN"/>
              </w:rPr>
              <w:t>m</w:t>
            </w:r>
            <w:r>
              <w:rPr>
                <w:rFonts w:hint="eastAsia"/>
                <w:sz w:val="21"/>
                <w:szCs w:val="21"/>
                <w:highlight w:val="none"/>
                <w:vertAlign w:val="superscript"/>
                <w:lang w:val="en-US" w:eastAsia="zh-CN"/>
              </w:rPr>
              <w:t>2</w:t>
            </w:r>
          </w:p>
        </w:tc>
        <w:tc>
          <w:tcPr>
            <w:tcW w:w="1293" w:type="dxa"/>
            <w:vAlign w:val="center"/>
          </w:tcPr>
          <w:p w14:paraId="67DB837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9908</w:t>
            </w:r>
          </w:p>
        </w:tc>
      </w:tr>
      <w:tr w14:paraId="7AC4DF1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54" w:type="dxa"/>
            <w:vAlign w:val="center"/>
          </w:tcPr>
          <w:p w14:paraId="6A57D85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2</w:t>
            </w:r>
          </w:p>
        </w:tc>
        <w:tc>
          <w:tcPr>
            <w:tcW w:w="1595" w:type="dxa"/>
            <w:vAlign w:val="center"/>
          </w:tcPr>
          <w:p w14:paraId="0AABD71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土工膜</w:t>
            </w:r>
          </w:p>
        </w:tc>
        <w:tc>
          <w:tcPr>
            <w:tcW w:w="4922" w:type="dxa"/>
            <w:vAlign w:val="center"/>
          </w:tcPr>
          <w:p w14:paraId="4B3F1FA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1.5mm厚双糙面HDPE防渗膜</w:t>
            </w:r>
          </w:p>
        </w:tc>
        <w:tc>
          <w:tcPr>
            <w:tcW w:w="724" w:type="dxa"/>
            <w:vAlign w:val="center"/>
          </w:tcPr>
          <w:p w14:paraId="30D25A3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yellow"/>
                <w:vertAlign w:val="baseline"/>
                <w:lang w:val="en-US" w:eastAsia="zh-CN"/>
              </w:rPr>
            </w:pPr>
            <w:r>
              <w:rPr>
                <w:rFonts w:hint="eastAsia"/>
                <w:sz w:val="21"/>
                <w:szCs w:val="21"/>
                <w:highlight w:val="none"/>
                <w:vertAlign w:val="baseline"/>
                <w:lang w:val="en-US" w:eastAsia="zh-CN"/>
              </w:rPr>
              <w:t>m</w:t>
            </w:r>
            <w:r>
              <w:rPr>
                <w:rFonts w:hint="eastAsia"/>
                <w:sz w:val="21"/>
                <w:szCs w:val="21"/>
                <w:highlight w:val="none"/>
                <w:vertAlign w:val="superscript"/>
                <w:lang w:val="en-US" w:eastAsia="zh-CN"/>
              </w:rPr>
              <w:t>2</w:t>
            </w:r>
          </w:p>
        </w:tc>
        <w:tc>
          <w:tcPr>
            <w:tcW w:w="1293" w:type="dxa"/>
            <w:vAlign w:val="center"/>
          </w:tcPr>
          <w:p w14:paraId="5D492BF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9908</w:t>
            </w:r>
          </w:p>
        </w:tc>
      </w:tr>
      <w:tr w14:paraId="47C4E40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54" w:type="dxa"/>
            <w:vAlign w:val="center"/>
          </w:tcPr>
          <w:p w14:paraId="7F69558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3</w:t>
            </w:r>
          </w:p>
        </w:tc>
        <w:tc>
          <w:tcPr>
            <w:tcW w:w="1595" w:type="dxa"/>
            <w:vAlign w:val="center"/>
          </w:tcPr>
          <w:p w14:paraId="0E4D6D0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土工布</w:t>
            </w:r>
          </w:p>
        </w:tc>
        <w:tc>
          <w:tcPr>
            <w:tcW w:w="4922" w:type="dxa"/>
            <w:vAlign w:val="center"/>
          </w:tcPr>
          <w:p w14:paraId="2F66CD6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vertAlign w:val="baseline"/>
                <w:lang w:val="en-US" w:eastAsia="zh-CN"/>
              </w:rPr>
            </w:pPr>
            <w:r>
              <w:rPr>
                <w:rFonts w:hint="eastAsia"/>
                <w:sz w:val="21"/>
                <w:szCs w:val="21"/>
                <w:highlight w:val="none"/>
                <w:vertAlign w:val="baseline"/>
                <w:lang w:val="en-US" w:eastAsia="zh-CN"/>
              </w:rPr>
              <w:t>600g/m</w:t>
            </w:r>
            <w:r>
              <w:rPr>
                <w:rFonts w:hint="eastAsia"/>
                <w:sz w:val="21"/>
                <w:szCs w:val="21"/>
                <w:highlight w:val="none"/>
                <w:vertAlign w:val="superscript"/>
                <w:lang w:val="en-US" w:eastAsia="zh-CN"/>
              </w:rPr>
              <w:t>2</w:t>
            </w:r>
          </w:p>
        </w:tc>
        <w:tc>
          <w:tcPr>
            <w:tcW w:w="724" w:type="dxa"/>
            <w:vAlign w:val="center"/>
          </w:tcPr>
          <w:p w14:paraId="0D01EF7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yellow"/>
                <w:vertAlign w:val="baseline"/>
                <w:lang w:val="en-US" w:eastAsia="zh-CN"/>
              </w:rPr>
            </w:pPr>
            <w:r>
              <w:rPr>
                <w:rFonts w:hint="eastAsia"/>
                <w:sz w:val="21"/>
                <w:szCs w:val="21"/>
                <w:highlight w:val="none"/>
                <w:vertAlign w:val="baseline"/>
                <w:lang w:val="en-US" w:eastAsia="zh-CN"/>
              </w:rPr>
              <w:t>m</w:t>
            </w:r>
            <w:r>
              <w:rPr>
                <w:rFonts w:hint="eastAsia"/>
                <w:sz w:val="21"/>
                <w:szCs w:val="21"/>
                <w:highlight w:val="none"/>
                <w:vertAlign w:val="superscript"/>
                <w:lang w:val="en-US" w:eastAsia="zh-CN"/>
              </w:rPr>
              <w:t>2</w:t>
            </w:r>
          </w:p>
        </w:tc>
        <w:tc>
          <w:tcPr>
            <w:tcW w:w="1293" w:type="dxa"/>
            <w:vAlign w:val="center"/>
          </w:tcPr>
          <w:p w14:paraId="160C000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9908</w:t>
            </w:r>
          </w:p>
        </w:tc>
      </w:tr>
      <w:tr w14:paraId="287F1D9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54" w:type="dxa"/>
            <w:vAlign w:val="center"/>
          </w:tcPr>
          <w:p w14:paraId="7BA4730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4</w:t>
            </w:r>
          </w:p>
        </w:tc>
        <w:tc>
          <w:tcPr>
            <w:tcW w:w="1595" w:type="dxa"/>
            <w:vAlign w:val="center"/>
          </w:tcPr>
          <w:p w14:paraId="3FFF89E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default"/>
                <w:sz w:val="21"/>
                <w:szCs w:val="21"/>
                <w:highlight w:val="none"/>
                <w:vertAlign w:val="baseline"/>
                <w:lang w:val="en-US" w:eastAsia="zh-CN"/>
              </w:rPr>
              <w:t>厚压实粘土</w:t>
            </w:r>
          </w:p>
        </w:tc>
        <w:tc>
          <w:tcPr>
            <w:tcW w:w="4922" w:type="dxa"/>
            <w:vAlign w:val="center"/>
          </w:tcPr>
          <w:p w14:paraId="041213B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75cm</w:t>
            </w:r>
          </w:p>
        </w:tc>
        <w:tc>
          <w:tcPr>
            <w:tcW w:w="724" w:type="dxa"/>
            <w:vAlign w:val="center"/>
          </w:tcPr>
          <w:p w14:paraId="3FACDCE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yellow"/>
                <w:vertAlign w:val="baseline"/>
                <w:lang w:val="en-US" w:eastAsia="zh-CN"/>
              </w:rPr>
            </w:pPr>
            <w:r>
              <w:rPr>
                <w:rFonts w:hint="eastAsia"/>
                <w:sz w:val="21"/>
                <w:szCs w:val="21"/>
                <w:highlight w:val="none"/>
                <w:vertAlign w:val="baseline"/>
                <w:lang w:val="en-US" w:eastAsia="zh-CN"/>
              </w:rPr>
              <w:t>m</w:t>
            </w:r>
            <w:r>
              <w:rPr>
                <w:rFonts w:hint="eastAsia"/>
                <w:sz w:val="21"/>
                <w:szCs w:val="21"/>
                <w:highlight w:val="none"/>
                <w:vertAlign w:val="superscript"/>
                <w:lang w:val="en-US" w:eastAsia="zh-CN"/>
              </w:rPr>
              <w:t>3</w:t>
            </w:r>
          </w:p>
        </w:tc>
        <w:tc>
          <w:tcPr>
            <w:tcW w:w="1293" w:type="dxa"/>
            <w:vAlign w:val="center"/>
          </w:tcPr>
          <w:p w14:paraId="3B71568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9908</w:t>
            </w:r>
          </w:p>
        </w:tc>
      </w:tr>
      <w:tr w14:paraId="54844D8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54" w:type="dxa"/>
            <w:vAlign w:val="center"/>
          </w:tcPr>
          <w:p w14:paraId="0937361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bCs/>
                <w:sz w:val="21"/>
                <w:szCs w:val="21"/>
                <w:highlight w:val="none"/>
                <w:vertAlign w:val="baseline"/>
                <w:lang w:val="en-US" w:eastAsia="zh-CN"/>
              </w:rPr>
            </w:pPr>
            <w:r>
              <w:rPr>
                <w:rFonts w:hint="eastAsia"/>
                <w:b/>
                <w:bCs/>
                <w:sz w:val="21"/>
                <w:szCs w:val="21"/>
                <w:highlight w:val="none"/>
                <w:vertAlign w:val="baseline"/>
                <w:lang w:val="en-US" w:eastAsia="zh-CN"/>
              </w:rPr>
              <w:t>2.3</w:t>
            </w:r>
          </w:p>
        </w:tc>
        <w:tc>
          <w:tcPr>
            <w:tcW w:w="8534" w:type="dxa"/>
            <w:gridSpan w:val="4"/>
            <w:vAlign w:val="center"/>
          </w:tcPr>
          <w:p w14:paraId="74D1107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bCs/>
                <w:sz w:val="21"/>
                <w:szCs w:val="21"/>
                <w:highlight w:val="none"/>
                <w:vertAlign w:val="baseline"/>
                <w:lang w:val="en-US" w:eastAsia="zh-CN"/>
              </w:rPr>
            </w:pPr>
            <w:r>
              <w:rPr>
                <w:rFonts w:hint="eastAsia"/>
                <w:b/>
                <w:bCs/>
                <w:sz w:val="21"/>
                <w:szCs w:val="21"/>
                <w:highlight w:val="none"/>
                <w:vertAlign w:val="baseline"/>
                <w:lang w:val="en-US" w:eastAsia="zh-CN"/>
              </w:rPr>
              <w:t>渗滤液导排工程</w:t>
            </w:r>
          </w:p>
        </w:tc>
      </w:tr>
      <w:tr w14:paraId="44C21E9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9" w:hRule="atLeast"/>
        </w:trPr>
        <w:tc>
          <w:tcPr>
            <w:tcW w:w="754" w:type="dxa"/>
            <w:vAlign w:val="center"/>
          </w:tcPr>
          <w:p w14:paraId="4D5FFF3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1</w:t>
            </w:r>
          </w:p>
        </w:tc>
        <w:tc>
          <w:tcPr>
            <w:tcW w:w="1595" w:type="dxa"/>
            <w:vMerge w:val="restart"/>
            <w:vAlign w:val="center"/>
          </w:tcPr>
          <w:p w14:paraId="7E9A9BF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vertAlign w:val="baseline"/>
                <w:lang w:val="en-US" w:eastAsia="zh-CN"/>
              </w:rPr>
            </w:pPr>
            <w:r>
              <w:rPr>
                <w:rFonts w:hint="eastAsia"/>
                <w:sz w:val="21"/>
                <w:szCs w:val="21"/>
                <w:highlight w:val="none"/>
                <w:vertAlign w:val="baseline"/>
                <w:lang w:val="en-US" w:eastAsia="zh-CN"/>
              </w:rPr>
              <w:t>渗滤液导排</w:t>
            </w:r>
          </w:p>
        </w:tc>
        <w:tc>
          <w:tcPr>
            <w:tcW w:w="4922" w:type="dxa"/>
            <w:vAlign w:val="center"/>
          </w:tcPr>
          <w:p w14:paraId="12A6959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vertAlign w:val="baseline"/>
                <w:lang w:val="en-US" w:eastAsia="zh-CN"/>
              </w:rPr>
            </w:pPr>
            <w:r>
              <w:rPr>
                <w:rFonts w:hint="eastAsia"/>
                <w:sz w:val="21"/>
                <w:szCs w:val="21"/>
                <w:highlight w:val="none"/>
                <w:vertAlign w:val="baseline"/>
                <w:lang w:val="en-US" w:eastAsia="zh-CN"/>
              </w:rPr>
              <w:t>渗滤液收集支管DN200 HDPE花管</w:t>
            </w:r>
          </w:p>
        </w:tc>
        <w:tc>
          <w:tcPr>
            <w:tcW w:w="724" w:type="dxa"/>
            <w:vAlign w:val="center"/>
          </w:tcPr>
          <w:p w14:paraId="0320B7D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m</w:t>
            </w:r>
          </w:p>
        </w:tc>
        <w:tc>
          <w:tcPr>
            <w:tcW w:w="1293" w:type="dxa"/>
            <w:vAlign w:val="center"/>
          </w:tcPr>
          <w:p w14:paraId="114D4CB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137</w:t>
            </w:r>
          </w:p>
        </w:tc>
      </w:tr>
      <w:tr w14:paraId="5020907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54" w:type="dxa"/>
            <w:vAlign w:val="center"/>
          </w:tcPr>
          <w:p w14:paraId="74B2931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2</w:t>
            </w:r>
          </w:p>
        </w:tc>
        <w:tc>
          <w:tcPr>
            <w:tcW w:w="1595" w:type="dxa"/>
            <w:vMerge w:val="continue"/>
            <w:vAlign w:val="center"/>
          </w:tcPr>
          <w:p w14:paraId="4DB398E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vertAlign w:val="baseline"/>
                <w:lang w:val="en-US" w:eastAsia="zh-CN"/>
              </w:rPr>
            </w:pPr>
          </w:p>
        </w:tc>
        <w:tc>
          <w:tcPr>
            <w:tcW w:w="4922" w:type="dxa"/>
            <w:vAlign w:val="center"/>
          </w:tcPr>
          <w:p w14:paraId="38FA142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vertAlign w:val="baseline"/>
                <w:lang w:val="en-US" w:eastAsia="zh-CN"/>
              </w:rPr>
            </w:pPr>
            <w:r>
              <w:rPr>
                <w:rFonts w:hint="eastAsia"/>
                <w:sz w:val="21"/>
                <w:szCs w:val="21"/>
                <w:highlight w:val="none"/>
                <w:vertAlign w:val="baseline"/>
                <w:lang w:val="en-US" w:eastAsia="zh-CN"/>
              </w:rPr>
              <w:t>渗滤液收集主管DN315 HDPE花管</w:t>
            </w:r>
          </w:p>
        </w:tc>
        <w:tc>
          <w:tcPr>
            <w:tcW w:w="724" w:type="dxa"/>
            <w:vAlign w:val="center"/>
          </w:tcPr>
          <w:p w14:paraId="13EFF9D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m</w:t>
            </w:r>
          </w:p>
        </w:tc>
        <w:tc>
          <w:tcPr>
            <w:tcW w:w="1293" w:type="dxa"/>
            <w:vAlign w:val="center"/>
          </w:tcPr>
          <w:p w14:paraId="14FA311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123</w:t>
            </w:r>
          </w:p>
        </w:tc>
      </w:tr>
      <w:tr w14:paraId="4D41B0A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54" w:type="dxa"/>
            <w:vAlign w:val="center"/>
          </w:tcPr>
          <w:p w14:paraId="08D0C1E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3</w:t>
            </w:r>
          </w:p>
        </w:tc>
        <w:tc>
          <w:tcPr>
            <w:tcW w:w="1595" w:type="dxa"/>
            <w:vAlign w:val="center"/>
          </w:tcPr>
          <w:p w14:paraId="2D90856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vertAlign w:val="baseline"/>
                <w:lang w:val="en-US" w:eastAsia="zh-CN"/>
              </w:rPr>
            </w:pPr>
            <w:r>
              <w:rPr>
                <w:rFonts w:hint="eastAsia"/>
                <w:sz w:val="21"/>
                <w:szCs w:val="21"/>
                <w:highlight w:val="none"/>
                <w:vertAlign w:val="baseline"/>
                <w:lang w:val="en-US" w:eastAsia="zh-CN"/>
              </w:rPr>
              <w:t>渗滤液收集池</w:t>
            </w:r>
          </w:p>
        </w:tc>
        <w:tc>
          <w:tcPr>
            <w:tcW w:w="4922" w:type="dxa"/>
            <w:vAlign w:val="center"/>
          </w:tcPr>
          <w:p w14:paraId="5A25EDC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渗滤液收集池</w:t>
            </w:r>
          </w:p>
        </w:tc>
        <w:tc>
          <w:tcPr>
            <w:tcW w:w="724" w:type="dxa"/>
            <w:vAlign w:val="center"/>
          </w:tcPr>
          <w:p w14:paraId="485B452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yellow"/>
                <w:vertAlign w:val="baseline"/>
                <w:lang w:val="en-US" w:eastAsia="zh-CN"/>
              </w:rPr>
            </w:pPr>
            <w:r>
              <w:rPr>
                <w:rFonts w:hint="eastAsia"/>
                <w:sz w:val="21"/>
                <w:szCs w:val="21"/>
                <w:highlight w:val="none"/>
                <w:vertAlign w:val="baseline"/>
                <w:lang w:val="en-US" w:eastAsia="zh-CN"/>
              </w:rPr>
              <w:t>m</w:t>
            </w:r>
            <w:r>
              <w:rPr>
                <w:rFonts w:hint="eastAsia"/>
                <w:sz w:val="21"/>
                <w:szCs w:val="21"/>
                <w:highlight w:val="none"/>
                <w:vertAlign w:val="superscript"/>
                <w:lang w:val="en-US" w:eastAsia="zh-CN"/>
              </w:rPr>
              <w:t>3</w:t>
            </w:r>
          </w:p>
        </w:tc>
        <w:tc>
          <w:tcPr>
            <w:tcW w:w="1293" w:type="dxa"/>
            <w:vAlign w:val="center"/>
          </w:tcPr>
          <w:p w14:paraId="5A13108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48</w:t>
            </w:r>
          </w:p>
        </w:tc>
      </w:tr>
      <w:tr w14:paraId="2562150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54" w:type="dxa"/>
            <w:vAlign w:val="center"/>
          </w:tcPr>
          <w:p w14:paraId="04DF1F3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bCs/>
                <w:sz w:val="21"/>
                <w:szCs w:val="21"/>
                <w:highlight w:val="none"/>
                <w:vertAlign w:val="baseline"/>
                <w:lang w:val="en-US" w:eastAsia="zh-CN"/>
              </w:rPr>
            </w:pPr>
            <w:r>
              <w:rPr>
                <w:rFonts w:hint="eastAsia"/>
                <w:b/>
                <w:bCs/>
                <w:sz w:val="21"/>
                <w:szCs w:val="21"/>
                <w:highlight w:val="none"/>
                <w:vertAlign w:val="baseline"/>
                <w:lang w:val="en-US" w:eastAsia="zh-CN"/>
              </w:rPr>
              <w:t>2.4</w:t>
            </w:r>
          </w:p>
        </w:tc>
        <w:tc>
          <w:tcPr>
            <w:tcW w:w="8534" w:type="dxa"/>
            <w:gridSpan w:val="4"/>
            <w:vAlign w:val="center"/>
          </w:tcPr>
          <w:p w14:paraId="6552779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b/>
                <w:bCs/>
                <w:sz w:val="21"/>
                <w:szCs w:val="21"/>
                <w:highlight w:val="none"/>
                <w:vertAlign w:val="baseline"/>
                <w:lang w:val="en-US" w:eastAsia="zh-CN"/>
              </w:rPr>
            </w:pPr>
            <w:r>
              <w:rPr>
                <w:rFonts w:hint="eastAsia"/>
                <w:b/>
                <w:bCs/>
                <w:sz w:val="21"/>
                <w:szCs w:val="21"/>
                <w:highlight w:val="none"/>
                <w:vertAlign w:val="baseline"/>
                <w:lang w:val="en-US" w:eastAsia="zh-CN"/>
              </w:rPr>
              <w:t>地下水导排工程</w:t>
            </w:r>
          </w:p>
        </w:tc>
      </w:tr>
      <w:tr w14:paraId="469B94C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54" w:type="dxa"/>
            <w:shd w:val="clear" w:color="auto" w:fill="auto"/>
            <w:vAlign w:val="center"/>
          </w:tcPr>
          <w:p w14:paraId="44A0B69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kern w:val="2"/>
                <w:sz w:val="21"/>
                <w:szCs w:val="21"/>
                <w:highlight w:val="none"/>
                <w:vertAlign w:val="baseline"/>
                <w:lang w:val="en-US" w:eastAsia="zh-CN" w:bidi="ar-SA"/>
              </w:rPr>
            </w:pPr>
            <w:r>
              <w:rPr>
                <w:rFonts w:hint="eastAsia"/>
                <w:sz w:val="21"/>
                <w:szCs w:val="21"/>
                <w:highlight w:val="none"/>
                <w:vertAlign w:val="baseline"/>
                <w:lang w:val="en-US" w:eastAsia="zh-CN"/>
              </w:rPr>
              <w:t>1</w:t>
            </w:r>
          </w:p>
        </w:tc>
        <w:tc>
          <w:tcPr>
            <w:tcW w:w="1595" w:type="dxa"/>
            <w:vMerge w:val="restart"/>
            <w:shd w:val="clear" w:color="auto" w:fill="auto"/>
            <w:vAlign w:val="center"/>
          </w:tcPr>
          <w:p w14:paraId="020CF6E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kern w:val="2"/>
                <w:sz w:val="21"/>
                <w:szCs w:val="21"/>
                <w:highlight w:val="none"/>
                <w:vertAlign w:val="baseline"/>
                <w:lang w:val="en-US" w:eastAsia="zh-CN" w:bidi="ar-SA"/>
              </w:rPr>
            </w:pPr>
            <w:r>
              <w:rPr>
                <w:rFonts w:hint="eastAsia"/>
                <w:sz w:val="21"/>
                <w:szCs w:val="21"/>
                <w:highlight w:val="none"/>
                <w:vertAlign w:val="baseline"/>
                <w:lang w:val="en-US" w:eastAsia="zh-CN"/>
              </w:rPr>
              <w:t>地下水导排</w:t>
            </w:r>
          </w:p>
        </w:tc>
        <w:tc>
          <w:tcPr>
            <w:tcW w:w="4922" w:type="dxa"/>
            <w:shd w:val="clear" w:color="auto" w:fill="auto"/>
            <w:vAlign w:val="center"/>
          </w:tcPr>
          <w:p w14:paraId="11C94DB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kern w:val="2"/>
                <w:sz w:val="21"/>
                <w:szCs w:val="21"/>
                <w:highlight w:val="none"/>
                <w:vertAlign w:val="baseline"/>
                <w:lang w:val="en-US" w:eastAsia="zh-CN" w:bidi="ar-SA"/>
              </w:rPr>
            </w:pPr>
            <w:r>
              <w:rPr>
                <w:rFonts w:hint="eastAsia"/>
                <w:sz w:val="21"/>
                <w:szCs w:val="21"/>
                <w:highlight w:val="none"/>
                <w:vertAlign w:val="baseline"/>
                <w:lang w:val="en-US" w:eastAsia="zh-CN"/>
              </w:rPr>
              <w:t>支管DN200 HDPE花管</w:t>
            </w:r>
          </w:p>
        </w:tc>
        <w:tc>
          <w:tcPr>
            <w:tcW w:w="724" w:type="dxa"/>
            <w:shd w:val="clear" w:color="auto" w:fill="auto"/>
            <w:vAlign w:val="center"/>
          </w:tcPr>
          <w:p w14:paraId="3247F0B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kern w:val="2"/>
                <w:sz w:val="21"/>
                <w:szCs w:val="21"/>
                <w:highlight w:val="none"/>
                <w:vertAlign w:val="baseline"/>
                <w:lang w:val="en-US" w:eastAsia="zh-CN" w:bidi="ar-SA"/>
              </w:rPr>
            </w:pPr>
            <w:r>
              <w:rPr>
                <w:rFonts w:hint="eastAsia"/>
                <w:sz w:val="21"/>
                <w:szCs w:val="21"/>
                <w:highlight w:val="none"/>
                <w:vertAlign w:val="baseline"/>
                <w:lang w:val="en-US" w:eastAsia="zh-CN"/>
              </w:rPr>
              <w:t>m</w:t>
            </w:r>
          </w:p>
        </w:tc>
        <w:tc>
          <w:tcPr>
            <w:tcW w:w="1293" w:type="dxa"/>
            <w:shd w:val="clear" w:color="auto" w:fill="auto"/>
            <w:vAlign w:val="center"/>
          </w:tcPr>
          <w:p w14:paraId="71D6F77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eastAsia"/>
                <w:sz w:val="21"/>
                <w:szCs w:val="21"/>
                <w:highlight w:val="none"/>
                <w:vertAlign w:val="baseline"/>
                <w:lang w:val="en-US" w:eastAsia="zh-CN"/>
              </w:rPr>
              <w:t>140</w:t>
            </w:r>
          </w:p>
        </w:tc>
      </w:tr>
      <w:tr w14:paraId="7182C50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54" w:type="dxa"/>
            <w:shd w:val="clear" w:color="auto" w:fill="auto"/>
            <w:vAlign w:val="center"/>
          </w:tcPr>
          <w:p w14:paraId="550F7AC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kern w:val="2"/>
                <w:sz w:val="21"/>
                <w:szCs w:val="21"/>
                <w:highlight w:val="none"/>
                <w:vertAlign w:val="baseline"/>
                <w:lang w:val="en-US" w:eastAsia="zh-CN" w:bidi="ar-SA"/>
              </w:rPr>
            </w:pPr>
            <w:r>
              <w:rPr>
                <w:rFonts w:hint="eastAsia"/>
                <w:sz w:val="21"/>
                <w:szCs w:val="21"/>
                <w:highlight w:val="none"/>
                <w:vertAlign w:val="baseline"/>
                <w:lang w:val="en-US" w:eastAsia="zh-CN"/>
              </w:rPr>
              <w:t>2</w:t>
            </w:r>
          </w:p>
        </w:tc>
        <w:tc>
          <w:tcPr>
            <w:tcW w:w="1595" w:type="dxa"/>
            <w:vMerge w:val="continue"/>
            <w:vAlign w:val="center"/>
          </w:tcPr>
          <w:p w14:paraId="6D753D3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vertAlign w:val="baseline"/>
                <w:lang w:val="en-US" w:eastAsia="zh-CN"/>
              </w:rPr>
            </w:pPr>
          </w:p>
        </w:tc>
        <w:tc>
          <w:tcPr>
            <w:tcW w:w="4922" w:type="dxa"/>
            <w:shd w:val="clear" w:color="auto" w:fill="auto"/>
            <w:vAlign w:val="center"/>
          </w:tcPr>
          <w:p w14:paraId="07C0DC1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kern w:val="2"/>
                <w:sz w:val="21"/>
                <w:szCs w:val="21"/>
                <w:highlight w:val="none"/>
                <w:vertAlign w:val="baseline"/>
                <w:lang w:val="en-US" w:eastAsia="zh-CN" w:bidi="ar-SA"/>
              </w:rPr>
            </w:pPr>
            <w:r>
              <w:rPr>
                <w:rFonts w:hint="eastAsia"/>
                <w:sz w:val="21"/>
                <w:szCs w:val="21"/>
                <w:highlight w:val="none"/>
                <w:vertAlign w:val="baseline"/>
                <w:lang w:val="en-US" w:eastAsia="zh-CN"/>
              </w:rPr>
              <w:t>主管DN315 HDPE花管</w:t>
            </w:r>
          </w:p>
        </w:tc>
        <w:tc>
          <w:tcPr>
            <w:tcW w:w="724" w:type="dxa"/>
            <w:shd w:val="clear" w:color="auto" w:fill="auto"/>
            <w:vAlign w:val="center"/>
          </w:tcPr>
          <w:p w14:paraId="6741D77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kern w:val="2"/>
                <w:sz w:val="21"/>
                <w:szCs w:val="21"/>
                <w:highlight w:val="none"/>
                <w:vertAlign w:val="baseline"/>
                <w:lang w:val="en-US" w:eastAsia="zh-CN" w:bidi="ar-SA"/>
              </w:rPr>
            </w:pPr>
            <w:r>
              <w:rPr>
                <w:rFonts w:hint="eastAsia"/>
                <w:sz w:val="21"/>
                <w:szCs w:val="21"/>
                <w:highlight w:val="none"/>
                <w:vertAlign w:val="baseline"/>
                <w:lang w:val="en-US" w:eastAsia="zh-CN"/>
              </w:rPr>
              <w:t>m</w:t>
            </w:r>
          </w:p>
        </w:tc>
        <w:tc>
          <w:tcPr>
            <w:tcW w:w="1293" w:type="dxa"/>
            <w:shd w:val="clear" w:color="auto" w:fill="auto"/>
            <w:vAlign w:val="center"/>
          </w:tcPr>
          <w:p w14:paraId="7DC1D00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eastAsia"/>
                <w:sz w:val="21"/>
                <w:szCs w:val="21"/>
                <w:highlight w:val="none"/>
                <w:vertAlign w:val="baseline"/>
                <w:lang w:val="en-US" w:eastAsia="zh-CN"/>
              </w:rPr>
              <w:t>142</w:t>
            </w:r>
          </w:p>
        </w:tc>
      </w:tr>
      <w:tr w14:paraId="359099C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54" w:type="dxa"/>
            <w:vAlign w:val="center"/>
          </w:tcPr>
          <w:p w14:paraId="0906425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bCs/>
                <w:sz w:val="21"/>
                <w:szCs w:val="21"/>
                <w:highlight w:val="none"/>
                <w:vertAlign w:val="baseline"/>
                <w:lang w:val="en-US" w:eastAsia="zh-CN"/>
              </w:rPr>
            </w:pPr>
            <w:r>
              <w:rPr>
                <w:rFonts w:hint="eastAsia"/>
                <w:b/>
                <w:bCs/>
                <w:sz w:val="21"/>
                <w:szCs w:val="21"/>
                <w:highlight w:val="none"/>
                <w:vertAlign w:val="baseline"/>
                <w:lang w:val="en-US" w:eastAsia="zh-CN"/>
              </w:rPr>
              <w:t>2.5</w:t>
            </w:r>
          </w:p>
        </w:tc>
        <w:tc>
          <w:tcPr>
            <w:tcW w:w="8534" w:type="dxa"/>
            <w:gridSpan w:val="4"/>
            <w:vAlign w:val="center"/>
          </w:tcPr>
          <w:p w14:paraId="5DBBD61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b/>
                <w:bCs/>
                <w:sz w:val="21"/>
                <w:szCs w:val="21"/>
                <w:highlight w:val="none"/>
                <w:vertAlign w:val="baseline"/>
                <w:lang w:val="en-US" w:eastAsia="zh-CN"/>
              </w:rPr>
            </w:pPr>
            <w:r>
              <w:rPr>
                <w:rFonts w:hint="eastAsia"/>
                <w:b/>
                <w:bCs/>
                <w:sz w:val="21"/>
                <w:szCs w:val="21"/>
                <w:highlight w:val="none"/>
                <w:vertAlign w:val="baseline"/>
                <w:lang w:val="en-US" w:eastAsia="zh-CN"/>
              </w:rPr>
              <w:t>挡渣坝工程</w:t>
            </w:r>
          </w:p>
        </w:tc>
      </w:tr>
      <w:tr w14:paraId="2E3E9F9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54" w:type="dxa"/>
            <w:vAlign w:val="center"/>
          </w:tcPr>
          <w:p w14:paraId="25AFC65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1</w:t>
            </w:r>
          </w:p>
        </w:tc>
        <w:tc>
          <w:tcPr>
            <w:tcW w:w="1595" w:type="dxa"/>
            <w:vAlign w:val="center"/>
          </w:tcPr>
          <w:p w14:paraId="7766A25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挡渣坝</w:t>
            </w:r>
          </w:p>
        </w:tc>
        <w:tc>
          <w:tcPr>
            <w:tcW w:w="4922" w:type="dxa"/>
            <w:vAlign w:val="center"/>
          </w:tcPr>
          <w:p w14:paraId="3CA1CFA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vertAlign w:val="baseline"/>
                <w:lang w:val="en-US" w:eastAsia="zh-CN"/>
              </w:rPr>
            </w:pPr>
            <w:r>
              <w:rPr>
                <w:rFonts w:hint="eastAsia"/>
                <w:sz w:val="21"/>
                <w:szCs w:val="21"/>
                <w:highlight w:val="none"/>
                <w:vertAlign w:val="baseline"/>
                <w:lang w:val="en-US" w:eastAsia="zh-CN"/>
              </w:rPr>
              <w:t>新建重力式浆砌石挡渣坝</w:t>
            </w:r>
          </w:p>
        </w:tc>
        <w:tc>
          <w:tcPr>
            <w:tcW w:w="724" w:type="dxa"/>
            <w:vAlign w:val="center"/>
          </w:tcPr>
          <w:p w14:paraId="55C5BF4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yellow"/>
                <w:vertAlign w:val="baseline"/>
                <w:lang w:val="en-US" w:eastAsia="zh-CN"/>
              </w:rPr>
            </w:pPr>
            <w:r>
              <w:rPr>
                <w:rFonts w:hint="eastAsia"/>
                <w:sz w:val="21"/>
                <w:szCs w:val="21"/>
                <w:highlight w:val="none"/>
                <w:vertAlign w:val="baseline"/>
                <w:lang w:val="en-US" w:eastAsia="zh-CN"/>
              </w:rPr>
              <w:t>m</w:t>
            </w:r>
          </w:p>
        </w:tc>
        <w:tc>
          <w:tcPr>
            <w:tcW w:w="1293" w:type="dxa"/>
            <w:vAlign w:val="center"/>
          </w:tcPr>
          <w:p w14:paraId="5362AFF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66</w:t>
            </w:r>
          </w:p>
        </w:tc>
      </w:tr>
      <w:tr w14:paraId="12092C6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54" w:type="dxa"/>
            <w:vAlign w:val="center"/>
          </w:tcPr>
          <w:p w14:paraId="204BEC8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bCs/>
                <w:sz w:val="21"/>
                <w:szCs w:val="21"/>
                <w:highlight w:val="none"/>
                <w:vertAlign w:val="baseline"/>
                <w:lang w:val="en-US" w:eastAsia="zh-CN"/>
              </w:rPr>
            </w:pPr>
            <w:r>
              <w:rPr>
                <w:rFonts w:hint="eastAsia"/>
                <w:b/>
                <w:bCs/>
                <w:sz w:val="21"/>
                <w:szCs w:val="21"/>
                <w:highlight w:val="none"/>
                <w:vertAlign w:val="baseline"/>
                <w:lang w:val="en-US" w:eastAsia="zh-CN"/>
              </w:rPr>
              <w:t>2.6</w:t>
            </w:r>
          </w:p>
        </w:tc>
        <w:tc>
          <w:tcPr>
            <w:tcW w:w="8534" w:type="dxa"/>
            <w:gridSpan w:val="4"/>
            <w:vAlign w:val="center"/>
          </w:tcPr>
          <w:p w14:paraId="1ED066B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b/>
                <w:bCs/>
                <w:sz w:val="21"/>
                <w:szCs w:val="21"/>
                <w:highlight w:val="none"/>
                <w:vertAlign w:val="baseline"/>
                <w:lang w:val="en-US" w:eastAsia="zh-CN"/>
              </w:rPr>
            </w:pPr>
            <w:r>
              <w:rPr>
                <w:rFonts w:hint="eastAsia"/>
                <w:b/>
                <w:bCs/>
                <w:sz w:val="21"/>
                <w:szCs w:val="21"/>
                <w:highlight w:val="none"/>
                <w:vertAlign w:val="baseline"/>
                <w:lang w:val="en-US" w:eastAsia="zh-CN"/>
              </w:rPr>
              <w:t>废渣封场防渗工程</w:t>
            </w:r>
          </w:p>
        </w:tc>
      </w:tr>
      <w:tr w14:paraId="78D03EA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54" w:type="dxa"/>
            <w:vAlign w:val="center"/>
          </w:tcPr>
          <w:p w14:paraId="4CF10A8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1</w:t>
            </w:r>
          </w:p>
        </w:tc>
        <w:tc>
          <w:tcPr>
            <w:tcW w:w="1595" w:type="dxa"/>
            <w:vAlign w:val="center"/>
          </w:tcPr>
          <w:p w14:paraId="2858D42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vertAlign w:val="baseline"/>
                <w:lang w:val="en-US" w:eastAsia="zh-CN"/>
              </w:rPr>
            </w:pPr>
            <w:r>
              <w:rPr>
                <w:rFonts w:hint="eastAsia"/>
                <w:sz w:val="21"/>
                <w:szCs w:val="21"/>
                <w:highlight w:val="none"/>
                <w:vertAlign w:val="baseline"/>
                <w:lang w:val="en-US" w:eastAsia="zh-CN"/>
              </w:rPr>
              <w:t>营养土</w:t>
            </w:r>
          </w:p>
        </w:tc>
        <w:tc>
          <w:tcPr>
            <w:tcW w:w="4922" w:type="dxa"/>
            <w:vAlign w:val="center"/>
          </w:tcPr>
          <w:p w14:paraId="021B23D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50cm</w:t>
            </w:r>
          </w:p>
        </w:tc>
        <w:tc>
          <w:tcPr>
            <w:tcW w:w="724" w:type="dxa"/>
            <w:vAlign w:val="center"/>
          </w:tcPr>
          <w:p w14:paraId="543D351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yellow"/>
                <w:vertAlign w:val="baseline"/>
                <w:lang w:val="en-US" w:eastAsia="zh-CN"/>
              </w:rPr>
            </w:pPr>
            <w:r>
              <w:rPr>
                <w:rFonts w:hint="eastAsia"/>
                <w:sz w:val="21"/>
                <w:szCs w:val="21"/>
                <w:highlight w:val="none"/>
                <w:vertAlign w:val="baseline"/>
                <w:lang w:val="en-US" w:eastAsia="zh-CN"/>
              </w:rPr>
              <w:t>m</w:t>
            </w:r>
            <w:r>
              <w:rPr>
                <w:rFonts w:hint="eastAsia"/>
                <w:sz w:val="21"/>
                <w:szCs w:val="21"/>
                <w:highlight w:val="none"/>
                <w:vertAlign w:val="superscript"/>
                <w:lang w:val="en-US" w:eastAsia="zh-CN"/>
              </w:rPr>
              <w:t>3</w:t>
            </w:r>
          </w:p>
        </w:tc>
        <w:tc>
          <w:tcPr>
            <w:tcW w:w="1293" w:type="dxa"/>
            <w:vAlign w:val="center"/>
          </w:tcPr>
          <w:p w14:paraId="7654AA7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4761</w:t>
            </w:r>
          </w:p>
        </w:tc>
      </w:tr>
      <w:tr w14:paraId="1771DE4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54" w:type="dxa"/>
            <w:vAlign w:val="center"/>
          </w:tcPr>
          <w:p w14:paraId="4616BCB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2</w:t>
            </w:r>
          </w:p>
        </w:tc>
        <w:tc>
          <w:tcPr>
            <w:tcW w:w="1595" w:type="dxa"/>
            <w:vAlign w:val="center"/>
          </w:tcPr>
          <w:p w14:paraId="04D0BA2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自然土</w:t>
            </w:r>
          </w:p>
        </w:tc>
        <w:tc>
          <w:tcPr>
            <w:tcW w:w="4922" w:type="dxa"/>
            <w:vAlign w:val="center"/>
          </w:tcPr>
          <w:p w14:paraId="0FAF558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50cm</w:t>
            </w:r>
          </w:p>
        </w:tc>
        <w:tc>
          <w:tcPr>
            <w:tcW w:w="724" w:type="dxa"/>
            <w:vAlign w:val="center"/>
          </w:tcPr>
          <w:p w14:paraId="60E1194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yellow"/>
                <w:vertAlign w:val="baseline"/>
                <w:lang w:val="en-US" w:eastAsia="zh-CN"/>
              </w:rPr>
            </w:pPr>
            <w:r>
              <w:rPr>
                <w:rFonts w:hint="eastAsia"/>
                <w:sz w:val="21"/>
                <w:szCs w:val="21"/>
                <w:highlight w:val="none"/>
                <w:vertAlign w:val="baseline"/>
                <w:lang w:val="en-US" w:eastAsia="zh-CN"/>
              </w:rPr>
              <w:t>m</w:t>
            </w:r>
            <w:r>
              <w:rPr>
                <w:rFonts w:hint="eastAsia"/>
                <w:sz w:val="21"/>
                <w:szCs w:val="21"/>
                <w:highlight w:val="none"/>
                <w:vertAlign w:val="superscript"/>
                <w:lang w:val="en-US" w:eastAsia="zh-CN"/>
              </w:rPr>
              <w:t>3</w:t>
            </w:r>
          </w:p>
        </w:tc>
        <w:tc>
          <w:tcPr>
            <w:tcW w:w="1293" w:type="dxa"/>
            <w:vAlign w:val="center"/>
          </w:tcPr>
          <w:p w14:paraId="42A39A5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4761</w:t>
            </w:r>
          </w:p>
        </w:tc>
      </w:tr>
      <w:tr w14:paraId="639CE10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54" w:type="dxa"/>
            <w:vAlign w:val="center"/>
          </w:tcPr>
          <w:p w14:paraId="7C3356A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3</w:t>
            </w:r>
          </w:p>
        </w:tc>
        <w:tc>
          <w:tcPr>
            <w:tcW w:w="1595" w:type="dxa"/>
            <w:vAlign w:val="center"/>
          </w:tcPr>
          <w:p w14:paraId="0B3477F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土工布</w:t>
            </w:r>
          </w:p>
        </w:tc>
        <w:tc>
          <w:tcPr>
            <w:tcW w:w="4922" w:type="dxa"/>
            <w:vAlign w:val="center"/>
          </w:tcPr>
          <w:p w14:paraId="7530A6B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vertAlign w:val="baseline"/>
                <w:lang w:val="en-US" w:eastAsia="zh-CN"/>
              </w:rPr>
            </w:pPr>
            <w:r>
              <w:rPr>
                <w:rFonts w:hint="eastAsia"/>
                <w:sz w:val="21"/>
                <w:szCs w:val="21"/>
                <w:highlight w:val="none"/>
                <w:vertAlign w:val="baseline"/>
                <w:lang w:val="en-US" w:eastAsia="zh-CN"/>
              </w:rPr>
              <w:t>400g/m</w:t>
            </w:r>
            <w:r>
              <w:rPr>
                <w:rFonts w:hint="eastAsia"/>
                <w:sz w:val="21"/>
                <w:szCs w:val="21"/>
                <w:highlight w:val="none"/>
                <w:vertAlign w:val="superscript"/>
                <w:lang w:val="en-US" w:eastAsia="zh-CN"/>
              </w:rPr>
              <w:t>2</w:t>
            </w:r>
          </w:p>
        </w:tc>
        <w:tc>
          <w:tcPr>
            <w:tcW w:w="724" w:type="dxa"/>
            <w:vAlign w:val="center"/>
          </w:tcPr>
          <w:p w14:paraId="632FF4E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yellow"/>
                <w:vertAlign w:val="baseline"/>
                <w:lang w:val="en-US" w:eastAsia="zh-CN"/>
              </w:rPr>
            </w:pPr>
            <w:r>
              <w:rPr>
                <w:rFonts w:hint="eastAsia"/>
                <w:sz w:val="21"/>
                <w:szCs w:val="21"/>
                <w:highlight w:val="none"/>
                <w:vertAlign w:val="baseline"/>
                <w:lang w:val="en-US" w:eastAsia="zh-CN"/>
              </w:rPr>
              <w:t>m</w:t>
            </w:r>
            <w:r>
              <w:rPr>
                <w:rFonts w:hint="eastAsia"/>
                <w:sz w:val="21"/>
                <w:szCs w:val="21"/>
                <w:highlight w:val="none"/>
                <w:vertAlign w:val="superscript"/>
                <w:lang w:val="en-US" w:eastAsia="zh-CN"/>
              </w:rPr>
              <w:t>2</w:t>
            </w:r>
          </w:p>
        </w:tc>
        <w:tc>
          <w:tcPr>
            <w:tcW w:w="1293" w:type="dxa"/>
            <w:vAlign w:val="center"/>
          </w:tcPr>
          <w:p w14:paraId="61E92D4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9522</w:t>
            </w:r>
          </w:p>
        </w:tc>
      </w:tr>
      <w:tr w14:paraId="43A447C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54" w:type="dxa"/>
            <w:vAlign w:val="center"/>
          </w:tcPr>
          <w:p w14:paraId="1C68946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4</w:t>
            </w:r>
          </w:p>
        </w:tc>
        <w:tc>
          <w:tcPr>
            <w:tcW w:w="1595" w:type="dxa"/>
            <w:vAlign w:val="center"/>
          </w:tcPr>
          <w:p w14:paraId="412D2AB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土工排水网</w:t>
            </w:r>
          </w:p>
        </w:tc>
        <w:tc>
          <w:tcPr>
            <w:tcW w:w="4922" w:type="dxa"/>
            <w:vAlign w:val="center"/>
          </w:tcPr>
          <w:p w14:paraId="009FAA1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vertAlign w:val="baseline"/>
                <w:lang w:val="en-US" w:eastAsia="zh-CN"/>
              </w:rPr>
            </w:pPr>
            <w:r>
              <w:rPr>
                <w:rFonts w:hint="eastAsia"/>
                <w:sz w:val="21"/>
                <w:szCs w:val="21"/>
                <w:highlight w:val="none"/>
                <w:vertAlign w:val="baseline"/>
                <w:lang w:val="en-US" w:eastAsia="zh-CN"/>
              </w:rPr>
              <w:t>6.0mm</w:t>
            </w:r>
          </w:p>
        </w:tc>
        <w:tc>
          <w:tcPr>
            <w:tcW w:w="724" w:type="dxa"/>
            <w:vAlign w:val="center"/>
          </w:tcPr>
          <w:p w14:paraId="49A6EC7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yellow"/>
                <w:vertAlign w:val="baseline"/>
                <w:lang w:val="en-US" w:eastAsia="zh-CN"/>
              </w:rPr>
            </w:pPr>
            <w:r>
              <w:rPr>
                <w:rFonts w:hint="eastAsia"/>
                <w:sz w:val="21"/>
                <w:szCs w:val="21"/>
                <w:highlight w:val="none"/>
                <w:vertAlign w:val="baseline"/>
                <w:lang w:val="en-US" w:eastAsia="zh-CN"/>
              </w:rPr>
              <w:t>m</w:t>
            </w:r>
            <w:r>
              <w:rPr>
                <w:rFonts w:hint="eastAsia"/>
                <w:sz w:val="21"/>
                <w:szCs w:val="21"/>
                <w:highlight w:val="none"/>
                <w:vertAlign w:val="superscript"/>
                <w:lang w:val="en-US" w:eastAsia="zh-CN"/>
              </w:rPr>
              <w:t>2</w:t>
            </w:r>
          </w:p>
        </w:tc>
        <w:tc>
          <w:tcPr>
            <w:tcW w:w="1293" w:type="dxa"/>
            <w:vAlign w:val="center"/>
          </w:tcPr>
          <w:p w14:paraId="2AADE61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9522</w:t>
            </w:r>
          </w:p>
        </w:tc>
      </w:tr>
      <w:tr w14:paraId="256964E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54" w:type="dxa"/>
            <w:vAlign w:val="center"/>
          </w:tcPr>
          <w:p w14:paraId="5833162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5</w:t>
            </w:r>
          </w:p>
        </w:tc>
        <w:tc>
          <w:tcPr>
            <w:tcW w:w="1595" w:type="dxa"/>
            <w:vAlign w:val="center"/>
          </w:tcPr>
          <w:p w14:paraId="3367C3F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土工膜</w:t>
            </w:r>
          </w:p>
        </w:tc>
        <w:tc>
          <w:tcPr>
            <w:tcW w:w="4922" w:type="dxa"/>
            <w:vAlign w:val="center"/>
          </w:tcPr>
          <w:p w14:paraId="65A3F1A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1.0mm厚HDPE防渗膜</w:t>
            </w:r>
          </w:p>
        </w:tc>
        <w:tc>
          <w:tcPr>
            <w:tcW w:w="724" w:type="dxa"/>
            <w:vAlign w:val="center"/>
          </w:tcPr>
          <w:p w14:paraId="68FFA1E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yellow"/>
                <w:vertAlign w:val="baseline"/>
                <w:lang w:val="en-US" w:eastAsia="zh-CN"/>
              </w:rPr>
            </w:pPr>
            <w:r>
              <w:rPr>
                <w:rFonts w:hint="eastAsia"/>
                <w:sz w:val="21"/>
                <w:szCs w:val="21"/>
                <w:highlight w:val="none"/>
                <w:vertAlign w:val="baseline"/>
                <w:lang w:val="en-US" w:eastAsia="zh-CN"/>
              </w:rPr>
              <w:t>m</w:t>
            </w:r>
            <w:r>
              <w:rPr>
                <w:rFonts w:hint="eastAsia"/>
                <w:sz w:val="21"/>
                <w:szCs w:val="21"/>
                <w:highlight w:val="none"/>
                <w:vertAlign w:val="superscript"/>
                <w:lang w:val="en-US" w:eastAsia="zh-CN"/>
              </w:rPr>
              <w:t>2</w:t>
            </w:r>
          </w:p>
        </w:tc>
        <w:tc>
          <w:tcPr>
            <w:tcW w:w="1293" w:type="dxa"/>
            <w:vAlign w:val="center"/>
          </w:tcPr>
          <w:p w14:paraId="74A6469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9522</w:t>
            </w:r>
          </w:p>
        </w:tc>
      </w:tr>
      <w:tr w14:paraId="11B96F7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54" w:type="dxa"/>
            <w:vAlign w:val="center"/>
          </w:tcPr>
          <w:p w14:paraId="35D143B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6</w:t>
            </w:r>
          </w:p>
        </w:tc>
        <w:tc>
          <w:tcPr>
            <w:tcW w:w="1595" w:type="dxa"/>
            <w:vAlign w:val="center"/>
          </w:tcPr>
          <w:p w14:paraId="1D24EA7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土工布</w:t>
            </w:r>
          </w:p>
        </w:tc>
        <w:tc>
          <w:tcPr>
            <w:tcW w:w="4922" w:type="dxa"/>
            <w:vAlign w:val="center"/>
          </w:tcPr>
          <w:p w14:paraId="1570C84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vertAlign w:val="baseline"/>
                <w:lang w:val="en-US" w:eastAsia="zh-CN"/>
              </w:rPr>
            </w:pPr>
            <w:r>
              <w:rPr>
                <w:rFonts w:hint="eastAsia"/>
                <w:sz w:val="21"/>
                <w:szCs w:val="21"/>
                <w:highlight w:val="none"/>
                <w:vertAlign w:val="baseline"/>
                <w:lang w:val="en-US" w:eastAsia="zh-CN"/>
              </w:rPr>
              <w:t>600g/m</w:t>
            </w:r>
            <w:r>
              <w:rPr>
                <w:rFonts w:hint="eastAsia"/>
                <w:sz w:val="21"/>
                <w:szCs w:val="21"/>
                <w:highlight w:val="none"/>
                <w:vertAlign w:val="superscript"/>
                <w:lang w:val="en-US" w:eastAsia="zh-CN"/>
              </w:rPr>
              <w:t>2</w:t>
            </w:r>
          </w:p>
        </w:tc>
        <w:tc>
          <w:tcPr>
            <w:tcW w:w="724" w:type="dxa"/>
            <w:vAlign w:val="center"/>
          </w:tcPr>
          <w:p w14:paraId="0334CB3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yellow"/>
                <w:vertAlign w:val="baseline"/>
                <w:lang w:val="en-US" w:eastAsia="zh-CN"/>
              </w:rPr>
            </w:pPr>
            <w:r>
              <w:rPr>
                <w:rFonts w:hint="eastAsia"/>
                <w:sz w:val="21"/>
                <w:szCs w:val="21"/>
                <w:highlight w:val="none"/>
                <w:vertAlign w:val="baseline"/>
                <w:lang w:val="en-US" w:eastAsia="zh-CN"/>
              </w:rPr>
              <w:t>m</w:t>
            </w:r>
            <w:r>
              <w:rPr>
                <w:rFonts w:hint="eastAsia"/>
                <w:sz w:val="21"/>
                <w:szCs w:val="21"/>
                <w:highlight w:val="none"/>
                <w:vertAlign w:val="superscript"/>
                <w:lang w:val="en-US" w:eastAsia="zh-CN"/>
              </w:rPr>
              <w:t>2</w:t>
            </w:r>
          </w:p>
        </w:tc>
        <w:tc>
          <w:tcPr>
            <w:tcW w:w="1293" w:type="dxa"/>
            <w:vAlign w:val="center"/>
          </w:tcPr>
          <w:p w14:paraId="7CBA331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9522</w:t>
            </w:r>
          </w:p>
        </w:tc>
      </w:tr>
      <w:tr w14:paraId="421FEAF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54" w:type="dxa"/>
            <w:vAlign w:val="center"/>
          </w:tcPr>
          <w:p w14:paraId="7B7A206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7</w:t>
            </w:r>
          </w:p>
        </w:tc>
        <w:tc>
          <w:tcPr>
            <w:tcW w:w="1595" w:type="dxa"/>
            <w:vAlign w:val="center"/>
          </w:tcPr>
          <w:p w14:paraId="20E1B8B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防渗粘土</w:t>
            </w:r>
          </w:p>
        </w:tc>
        <w:tc>
          <w:tcPr>
            <w:tcW w:w="4922" w:type="dxa"/>
            <w:vAlign w:val="center"/>
          </w:tcPr>
          <w:p w14:paraId="3E56CC0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vertAlign w:val="baseline"/>
                <w:lang w:val="en-US" w:eastAsia="zh-CN"/>
              </w:rPr>
            </w:pPr>
            <w:r>
              <w:rPr>
                <w:rFonts w:hint="eastAsia"/>
                <w:sz w:val="21"/>
                <w:szCs w:val="21"/>
                <w:highlight w:val="none"/>
                <w:vertAlign w:val="baseline"/>
                <w:lang w:val="en-US" w:eastAsia="zh-CN"/>
              </w:rPr>
              <w:t>50cm</w:t>
            </w:r>
          </w:p>
        </w:tc>
        <w:tc>
          <w:tcPr>
            <w:tcW w:w="724" w:type="dxa"/>
            <w:vAlign w:val="center"/>
          </w:tcPr>
          <w:p w14:paraId="03FCB19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yellow"/>
                <w:vertAlign w:val="baseline"/>
                <w:lang w:val="en-US" w:eastAsia="zh-CN"/>
              </w:rPr>
            </w:pPr>
            <w:r>
              <w:rPr>
                <w:rFonts w:hint="eastAsia"/>
                <w:sz w:val="21"/>
                <w:szCs w:val="21"/>
                <w:highlight w:val="none"/>
                <w:vertAlign w:val="baseline"/>
                <w:lang w:val="en-US" w:eastAsia="zh-CN"/>
              </w:rPr>
              <w:t>m</w:t>
            </w:r>
            <w:r>
              <w:rPr>
                <w:rFonts w:hint="eastAsia"/>
                <w:sz w:val="21"/>
                <w:szCs w:val="21"/>
                <w:highlight w:val="none"/>
                <w:vertAlign w:val="superscript"/>
                <w:lang w:val="en-US" w:eastAsia="zh-CN"/>
              </w:rPr>
              <w:t>3</w:t>
            </w:r>
          </w:p>
        </w:tc>
        <w:tc>
          <w:tcPr>
            <w:tcW w:w="1293" w:type="dxa"/>
            <w:vAlign w:val="center"/>
          </w:tcPr>
          <w:p w14:paraId="4E5E96E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4761</w:t>
            </w:r>
          </w:p>
        </w:tc>
      </w:tr>
      <w:tr w14:paraId="104065D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54" w:type="dxa"/>
            <w:vAlign w:val="center"/>
          </w:tcPr>
          <w:p w14:paraId="2C9C979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bCs/>
                <w:sz w:val="21"/>
                <w:szCs w:val="21"/>
                <w:highlight w:val="none"/>
                <w:vertAlign w:val="baseline"/>
                <w:lang w:val="en-US" w:eastAsia="zh-CN"/>
              </w:rPr>
            </w:pPr>
            <w:r>
              <w:rPr>
                <w:rFonts w:hint="eastAsia"/>
                <w:b/>
                <w:bCs/>
                <w:sz w:val="21"/>
                <w:szCs w:val="21"/>
                <w:highlight w:val="none"/>
                <w:vertAlign w:val="baseline"/>
                <w:lang w:val="en-US" w:eastAsia="zh-CN"/>
              </w:rPr>
              <w:t>2.7</w:t>
            </w:r>
          </w:p>
        </w:tc>
        <w:tc>
          <w:tcPr>
            <w:tcW w:w="8534" w:type="dxa"/>
            <w:gridSpan w:val="4"/>
            <w:vAlign w:val="center"/>
          </w:tcPr>
          <w:p w14:paraId="671CC70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b/>
                <w:bCs/>
                <w:sz w:val="21"/>
                <w:szCs w:val="21"/>
                <w:highlight w:val="none"/>
                <w:vertAlign w:val="baseline"/>
                <w:lang w:val="en-US" w:eastAsia="zh-CN"/>
              </w:rPr>
            </w:pPr>
            <w:r>
              <w:rPr>
                <w:rFonts w:hint="eastAsia"/>
                <w:b/>
                <w:bCs/>
                <w:sz w:val="21"/>
                <w:szCs w:val="21"/>
                <w:highlight w:val="none"/>
                <w:vertAlign w:val="baseline"/>
                <w:lang w:val="en-US" w:eastAsia="zh-CN"/>
              </w:rPr>
              <w:t>截排水工程</w:t>
            </w:r>
          </w:p>
        </w:tc>
      </w:tr>
      <w:tr w14:paraId="72900E3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54" w:type="dxa"/>
            <w:vAlign w:val="center"/>
          </w:tcPr>
          <w:p w14:paraId="35BE584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1</w:t>
            </w:r>
          </w:p>
        </w:tc>
        <w:tc>
          <w:tcPr>
            <w:tcW w:w="1595" w:type="dxa"/>
            <w:vAlign w:val="center"/>
          </w:tcPr>
          <w:p w14:paraId="5DF415E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环场截洪沟</w:t>
            </w:r>
          </w:p>
        </w:tc>
        <w:tc>
          <w:tcPr>
            <w:tcW w:w="4922" w:type="dxa"/>
            <w:vAlign w:val="center"/>
          </w:tcPr>
          <w:p w14:paraId="1924F0C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vertAlign w:val="baseline"/>
                <w:lang w:val="en-US" w:eastAsia="zh-CN"/>
              </w:rPr>
            </w:pPr>
            <w:r>
              <w:rPr>
                <w:rFonts w:hint="eastAsia"/>
                <w:sz w:val="21"/>
                <w:szCs w:val="21"/>
                <w:highlight w:val="none"/>
                <w:vertAlign w:val="baseline"/>
                <w:lang w:val="en-US" w:eastAsia="zh-CN"/>
              </w:rPr>
              <w:t>0.5m</w:t>
            </w:r>
            <w:r>
              <w:rPr>
                <w:rFonts w:hint="default" w:ascii="Times New Roman" w:hAnsi="Times New Roman" w:cs="Times New Roman"/>
                <w:sz w:val="21"/>
                <w:szCs w:val="21"/>
                <w:highlight w:val="none"/>
                <w:vertAlign w:val="baseline"/>
                <w:lang w:val="en-US" w:eastAsia="zh-CN"/>
              </w:rPr>
              <w:t>×</w:t>
            </w:r>
            <w:r>
              <w:rPr>
                <w:rFonts w:hint="eastAsia"/>
                <w:sz w:val="21"/>
                <w:szCs w:val="21"/>
                <w:highlight w:val="none"/>
                <w:vertAlign w:val="baseline"/>
                <w:lang w:val="en-US" w:eastAsia="zh-CN"/>
              </w:rPr>
              <w:t>0.5m</w:t>
            </w:r>
          </w:p>
        </w:tc>
        <w:tc>
          <w:tcPr>
            <w:tcW w:w="724" w:type="dxa"/>
            <w:vAlign w:val="center"/>
          </w:tcPr>
          <w:p w14:paraId="6D12320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m</w:t>
            </w:r>
          </w:p>
        </w:tc>
        <w:tc>
          <w:tcPr>
            <w:tcW w:w="1293" w:type="dxa"/>
            <w:vAlign w:val="center"/>
          </w:tcPr>
          <w:p w14:paraId="20E342F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464</w:t>
            </w:r>
          </w:p>
        </w:tc>
      </w:tr>
      <w:tr w14:paraId="1FDF7BB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54" w:type="dxa"/>
            <w:vAlign w:val="center"/>
          </w:tcPr>
          <w:p w14:paraId="3EE7FA2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2</w:t>
            </w:r>
          </w:p>
        </w:tc>
        <w:tc>
          <w:tcPr>
            <w:tcW w:w="1595" w:type="dxa"/>
            <w:vAlign w:val="center"/>
          </w:tcPr>
          <w:p w14:paraId="21171A3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平台排水沟</w:t>
            </w:r>
          </w:p>
        </w:tc>
        <w:tc>
          <w:tcPr>
            <w:tcW w:w="4922" w:type="dxa"/>
            <w:vAlign w:val="center"/>
          </w:tcPr>
          <w:p w14:paraId="0E6A362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highlight w:val="none"/>
                <w:vertAlign w:val="baseline"/>
                <w:lang w:val="en-US" w:eastAsia="zh-CN"/>
              </w:rPr>
            </w:pPr>
            <w:r>
              <w:rPr>
                <w:rFonts w:hint="default" w:ascii="Times New Roman" w:hAnsi="Times New Roman" w:cs="Times New Roman"/>
                <w:sz w:val="21"/>
                <w:szCs w:val="21"/>
                <w:highlight w:val="none"/>
                <w:vertAlign w:val="baseline"/>
                <w:lang w:val="en-US" w:eastAsia="zh-CN"/>
              </w:rPr>
              <w:t>0.3m×0.3m</w:t>
            </w:r>
          </w:p>
        </w:tc>
        <w:tc>
          <w:tcPr>
            <w:tcW w:w="724" w:type="dxa"/>
            <w:vAlign w:val="center"/>
          </w:tcPr>
          <w:p w14:paraId="472BD17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m</w:t>
            </w:r>
          </w:p>
        </w:tc>
        <w:tc>
          <w:tcPr>
            <w:tcW w:w="1293" w:type="dxa"/>
            <w:vAlign w:val="center"/>
          </w:tcPr>
          <w:p w14:paraId="7E97CDF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226</w:t>
            </w:r>
          </w:p>
        </w:tc>
      </w:tr>
      <w:tr w14:paraId="4CF7D04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54" w:type="dxa"/>
            <w:vAlign w:val="center"/>
          </w:tcPr>
          <w:p w14:paraId="37C9C3F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bCs/>
                <w:sz w:val="21"/>
                <w:szCs w:val="21"/>
                <w:highlight w:val="none"/>
                <w:vertAlign w:val="baseline"/>
                <w:lang w:val="en-US" w:eastAsia="zh-CN"/>
              </w:rPr>
            </w:pPr>
            <w:r>
              <w:rPr>
                <w:rFonts w:hint="eastAsia"/>
                <w:b/>
                <w:bCs/>
                <w:sz w:val="21"/>
                <w:szCs w:val="21"/>
                <w:highlight w:val="none"/>
                <w:vertAlign w:val="baseline"/>
                <w:lang w:val="en-US" w:eastAsia="zh-CN"/>
              </w:rPr>
              <w:t>三</w:t>
            </w:r>
          </w:p>
        </w:tc>
        <w:tc>
          <w:tcPr>
            <w:tcW w:w="8534" w:type="dxa"/>
            <w:gridSpan w:val="4"/>
            <w:vAlign w:val="center"/>
          </w:tcPr>
          <w:p w14:paraId="2D8B5511">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b/>
                <w:bCs/>
                <w:sz w:val="21"/>
                <w:szCs w:val="21"/>
                <w:highlight w:val="none"/>
                <w:vertAlign w:val="baseline"/>
                <w:lang w:val="en-US" w:eastAsia="zh-CN"/>
              </w:rPr>
            </w:pPr>
            <w:r>
              <w:rPr>
                <w:rFonts w:hint="eastAsia"/>
                <w:b/>
                <w:bCs/>
                <w:sz w:val="21"/>
                <w:szCs w:val="21"/>
                <w:highlight w:val="none"/>
                <w:vertAlign w:val="baseline"/>
                <w:lang w:val="en-US" w:eastAsia="zh-CN"/>
              </w:rPr>
              <w:t>生态修复工程</w:t>
            </w:r>
          </w:p>
        </w:tc>
      </w:tr>
      <w:tr w14:paraId="76700BD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54" w:type="dxa"/>
            <w:vAlign w:val="center"/>
          </w:tcPr>
          <w:p w14:paraId="3A919AA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1</w:t>
            </w:r>
          </w:p>
        </w:tc>
        <w:tc>
          <w:tcPr>
            <w:tcW w:w="1595" w:type="dxa"/>
            <w:vAlign w:val="center"/>
          </w:tcPr>
          <w:p w14:paraId="0C16826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种植土层</w:t>
            </w:r>
          </w:p>
        </w:tc>
        <w:tc>
          <w:tcPr>
            <w:tcW w:w="4922" w:type="dxa"/>
            <w:shd w:val="clear" w:color="auto" w:fill="auto"/>
            <w:vAlign w:val="center"/>
          </w:tcPr>
          <w:p w14:paraId="2B6836D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kern w:val="2"/>
                <w:sz w:val="21"/>
                <w:szCs w:val="21"/>
                <w:highlight w:val="none"/>
                <w:vertAlign w:val="baseline"/>
                <w:lang w:val="en-US" w:eastAsia="zh-CN" w:bidi="ar-SA"/>
              </w:rPr>
            </w:pPr>
            <w:r>
              <w:rPr>
                <w:rFonts w:hint="eastAsia"/>
                <w:sz w:val="21"/>
                <w:szCs w:val="21"/>
                <w:highlight w:val="none"/>
                <w:vertAlign w:val="baseline"/>
                <w:lang w:val="en-US" w:eastAsia="zh-CN"/>
              </w:rPr>
              <w:t>种植土层（50cm）</w:t>
            </w:r>
          </w:p>
        </w:tc>
        <w:tc>
          <w:tcPr>
            <w:tcW w:w="724" w:type="dxa"/>
            <w:vAlign w:val="center"/>
          </w:tcPr>
          <w:p w14:paraId="0F5582F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m</w:t>
            </w:r>
            <w:r>
              <w:rPr>
                <w:rFonts w:hint="eastAsia"/>
                <w:sz w:val="21"/>
                <w:szCs w:val="21"/>
                <w:highlight w:val="none"/>
                <w:vertAlign w:val="superscript"/>
                <w:lang w:val="en-US" w:eastAsia="zh-CN"/>
              </w:rPr>
              <w:t>3</w:t>
            </w:r>
          </w:p>
        </w:tc>
        <w:tc>
          <w:tcPr>
            <w:tcW w:w="1293" w:type="dxa"/>
            <w:vAlign w:val="center"/>
          </w:tcPr>
          <w:p w14:paraId="2D44523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yellow"/>
                <w:vertAlign w:val="baseline"/>
                <w:lang w:val="en-US" w:eastAsia="zh-CN"/>
              </w:rPr>
            </w:pPr>
            <w:r>
              <w:rPr>
                <w:rFonts w:hint="eastAsia"/>
                <w:sz w:val="21"/>
                <w:szCs w:val="21"/>
                <w:highlight w:val="none"/>
                <w:vertAlign w:val="baseline"/>
                <w:lang w:val="en-US" w:eastAsia="zh-CN"/>
              </w:rPr>
              <w:t>9522</w:t>
            </w:r>
          </w:p>
        </w:tc>
      </w:tr>
      <w:tr w14:paraId="7952566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54" w:type="dxa"/>
            <w:vAlign w:val="center"/>
          </w:tcPr>
          <w:p w14:paraId="2206909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2</w:t>
            </w:r>
          </w:p>
        </w:tc>
        <w:tc>
          <w:tcPr>
            <w:tcW w:w="1595" w:type="dxa"/>
            <w:vAlign w:val="center"/>
          </w:tcPr>
          <w:p w14:paraId="259E403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生态修复</w:t>
            </w:r>
          </w:p>
        </w:tc>
        <w:tc>
          <w:tcPr>
            <w:tcW w:w="4922" w:type="dxa"/>
            <w:shd w:val="clear" w:color="auto" w:fill="auto"/>
            <w:vAlign w:val="center"/>
          </w:tcPr>
          <w:p w14:paraId="1896531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kern w:val="2"/>
                <w:sz w:val="21"/>
                <w:szCs w:val="21"/>
                <w:highlight w:val="none"/>
                <w:vertAlign w:val="baseline"/>
                <w:lang w:val="en-US" w:eastAsia="zh-CN" w:bidi="ar-SA"/>
              </w:rPr>
            </w:pPr>
            <w:r>
              <w:rPr>
                <w:rFonts w:hint="eastAsia"/>
                <w:sz w:val="21"/>
                <w:szCs w:val="21"/>
                <w:highlight w:val="none"/>
                <w:vertAlign w:val="baseline"/>
                <w:lang w:val="en-US" w:eastAsia="zh-CN"/>
              </w:rPr>
              <w:t>乔木主要以杉木、毛竹、棕榈等，灌木和草本以盐肤木、檵木、五节芒、狗尾草、鸡眼草等</w:t>
            </w:r>
          </w:p>
        </w:tc>
        <w:tc>
          <w:tcPr>
            <w:tcW w:w="724" w:type="dxa"/>
            <w:vAlign w:val="center"/>
          </w:tcPr>
          <w:p w14:paraId="6230397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m</w:t>
            </w:r>
            <w:r>
              <w:rPr>
                <w:rFonts w:hint="eastAsia"/>
                <w:sz w:val="21"/>
                <w:szCs w:val="21"/>
                <w:highlight w:val="none"/>
                <w:vertAlign w:val="superscript"/>
                <w:lang w:val="en-US" w:eastAsia="zh-CN"/>
              </w:rPr>
              <w:t>2</w:t>
            </w:r>
          </w:p>
        </w:tc>
        <w:tc>
          <w:tcPr>
            <w:tcW w:w="1293" w:type="dxa"/>
            <w:vAlign w:val="center"/>
          </w:tcPr>
          <w:p w14:paraId="29DFFDF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yellow"/>
                <w:vertAlign w:val="baseline"/>
                <w:lang w:val="en-US" w:eastAsia="zh-CN"/>
              </w:rPr>
            </w:pPr>
            <w:r>
              <w:rPr>
                <w:rFonts w:hint="eastAsia"/>
                <w:sz w:val="21"/>
                <w:szCs w:val="21"/>
                <w:highlight w:val="none"/>
                <w:vertAlign w:val="baseline"/>
                <w:lang w:val="en-US" w:eastAsia="zh-CN"/>
              </w:rPr>
              <w:t>25814</w:t>
            </w:r>
          </w:p>
        </w:tc>
      </w:tr>
    </w:tbl>
    <w:p w14:paraId="2A1A95CE">
      <w:pPr>
        <w:pStyle w:val="9"/>
        <w:numPr>
          <w:ilvl w:val="2"/>
          <w:numId w:val="1"/>
        </w:numPr>
        <w:bidi w:val="0"/>
        <w:ind w:left="709" w:leftChars="0" w:hanging="709" w:firstLineChars="0"/>
        <w:rPr>
          <w:rFonts w:hint="eastAsia"/>
          <w:lang w:val="en-US" w:eastAsia="zh-CN"/>
        </w:rPr>
      </w:pPr>
      <w:r>
        <w:rPr>
          <w:rFonts w:hint="eastAsia"/>
          <w:lang w:val="en-US" w:eastAsia="zh-CN"/>
        </w:rPr>
        <w:t>土石方平衡</w:t>
      </w:r>
    </w:p>
    <w:p w14:paraId="218B50F7">
      <w:pPr>
        <w:rPr>
          <w:rFonts w:hint="eastAsia"/>
          <w:highlight w:val="none"/>
          <w:lang w:val="en-US" w:eastAsia="zh-CN"/>
        </w:rPr>
      </w:pPr>
      <w:r>
        <w:rPr>
          <w:rFonts w:hint="eastAsia"/>
          <w:highlight w:val="none"/>
          <w:lang w:val="en-US" w:eastAsia="zh-CN"/>
        </w:rPr>
        <w:t>项目土石方平衡见表3.1-20。</w:t>
      </w:r>
    </w:p>
    <w:p w14:paraId="18699E65">
      <w:pPr>
        <w:ind w:left="0" w:leftChars="0" w:firstLine="0" w:firstLineChars="0"/>
        <w:jc w:val="center"/>
        <w:rPr>
          <w:rFonts w:hint="default"/>
          <w:b/>
          <w:bCs/>
          <w:sz w:val="21"/>
          <w:szCs w:val="21"/>
          <w:highlight w:val="none"/>
          <w:lang w:val="en-US" w:eastAsia="zh-CN"/>
        </w:rPr>
      </w:pPr>
      <w:r>
        <w:rPr>
          <w:rFonts w:hint="eastAsia"/>
          <w:b/>
          <w:bCs/>
          <w:sz w:val="21"/>
          <w:szCs w:val="21"/>
          <w:highlight w:val="none"/>
          <w:lang w:val="en-US" w:eastAsia="zh-CN"/>
        </w:rPr>
        <w:t>表3.1-20  项目土石方平衡一览表</w:t>
      </w:r>
    </w:p>
    <w:tbl>
      <w:tblPr>
        <w:tblStyle w:val="35"/>
        <w:tblW w:w="4996"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550"/>
        <w:gridCol w:w="1313"/>
        <w:gridCol w:w="1313"/>
        <w:gridCol w:w="5105"/>
      </w:tblGrid>
      <w:tr w14:paraId="76C24D6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835" w:type="pct"/>
            <w:noWrap w:val="0"/>
            <w:vAlign w:val="center"/>
          </w:tcPr>
          <w:p w14:paraId="38887778">
            <w:pPr>
              <w:spacing w:line="360" w:lineRule="auto"/>
              <w:ind w:left="0" w:leftChars="0" w:firstLine="0" w:firstLineChars="0"/>
              <w:jc w:val="center"/>
              <w:rPr>
                <w:rFonts w:hint="eastAsia"/>
                <w:b/>
                <w:bCs/>
                <w:color w:val="auto"/>
                <w:sz w:val="21"/>
                <w:szCs w:val="21"/>
                <w:highlight w:val="none"/>
                <w:lang w:val="en-US" w:eastAsia="zh-CN"/>
              </w:rPr>
            </w:pPr>
            <w:r>
              <w:rPr>
                <w:rFonts w:hint="eastAsia"/>
                <w:b/>
                <w:bCs/>
                <w:color w:val="auto"/>
                <w:sz w:val="21"/>
                <w:szCs w:val="21"/>
                <w:highlight w:val="none"/>
                <w:lang w:val="en-US" w:eastAsia="zh-CN"/>
              </w:rPr>
              <w:t>区域</w:t>
            </w:r>
          </w:p>
        </w:tc>
        <w:tc>
          <w:tcPr>
            <w:tcW w:w="707" w:type="pct"/>
            <w:noWrap w:val="0"/>
            <w:vAlign w:val="center"/>
          </w:tcPr>
          <w:p w14:paraId="3AE4A6FE">
            <w:pPr>
              <w:spacing w:line="360" w:lineRule="auto"/>
              <w:ind w:left="0" w:leftChars="0" w:firstLine="0" w:firstLineChars="0"/>
              <w:jc w:val="center"/>
              <w:rPr>
                <w:rFonts w:hint="eastAsia"/>
                <w:b/>
                <w:bCs/>
                <w:color w:val="auto"/>
                <w:sz w:val="21"/>
                <w:szCs w:val="21"/>
                <w:highlight w:val="none"/>
                <w:lang w:val="en-US" w:eastAsia="zh-CN"/>
              </w:rPr>
            </w:pPr>
            <w:r>
              <w:rPr>
                <w:rFonts w:hint="eastAsia"/>
                <w:b/>
                <w:bCs/>
                <w:color w:val="auto"/>
                <w:sz w:val="21"/>
                <w:szCs w:val="21"/>
                <w:highlight w:val="none"/>
                <w:lang w:val="en-US" w:eastAsia="zh-CN"/>
              </w:rPr>
              <w:t>挖方</w:t>
            </w:r>
          </w:p>
        </w:tc>
        <w:tc>
          <w:tcPr>
            <w:tcW w:w="707" w:type="pct"/>
            <w:noWrap w:val="0"/>
            <w:vAlign w:val="center"/>
          </w:tcPr>
          <w:p w14:paraId="4BA8E049">
            <w:pPr>
              <w:spacing w:line="360" w:lineRule="auto"/>
              <w:ind w:left="0" w:leftChars="0" w:firstLine="0" w:firstLineChars="0"/>
              <w:jc w:val="center"/>
              <w:rPr>
                <w:rFonts w:hint="eastAsia"/>
                <w:b/>
                <w:bCs/>
                <w:color w:val="auto"/>
                <w:sz w:val="21"/>
                <w:szCs w:val="21"/>
                <w:highlight w:val="none"/>
                <w:lang w:val="en-US" w:eastAsia="zh-CN"/>
              </w:rPr>
            </w:pPr>
            <w:r>
              <w:rPr>
                <w:rFonts w:hint="eastAsia"/>
                <w:b/>
                <w:bCs/>
                <w:color w:val="auto"/>
                <w:sz w:val="21"/>
                <w:szCs w:val="21"/>
                <w:highlight w:val="none"/>
                <w:lang w:val="en-US" w:eastAsia="zh-CN"/>
              </w:rPr>
              <w:t>填方</w:t>
            </w:r>
          </w:p>
        </w:tc>
        <w:tc>
          <w:tcPr>
            <w:tcW w:w="2749" w:type="pct"/>
            <w:noWrap w:val="0"/>
            <w:vAlign w:val="center"/>
          </w:tcPr>
          <w:p w14:paraId="18657A80">
            <w:pPr>
              <w:spacing w:line="360" w:lineRule="auto"/>
              <w:ind w:left="0" w:leftChars="0" w:firstLine="0" w:firstLineChars="0"/>
              <w:jc w:val="center"/>
              <w:rPr>
                <w:rFonts w:hint="eastAsia"/>
                <w:b/>
                <w:bCs/>
                <w:color w:val="auto"/>
                <w:sz w:val="21"/>
                <w:szCs w:val="21"/>
                <w:highlight w:val="none"/>
                <w:lang w:val="en-US" w:eastAsia="zh-CN"/>
              </w:rPr>
            </w:pPr>
            <w:r>
              <w:rPr>
                <w:rFonts w:hint="eastAsia"/>
                <w:b/>
                <w:bCs/>
                <w:color w:val="auto"/>
                <w:sz w:val="21"/>
                <w:szCs w:val="21"/>
                <w:highlight w:val="none"/>
                <w:lang w:val="en-US" w:eastAsia="zh-CN"/>
              </w:rPr>
              <w:t>备注</w:t>
            </w:r>
          </w:p>
        </w:tc>
      </w:tr>
      <w:tr w14:paraId="3BC6BD5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35" w:type="pct"/>
            <w:noWrap w:val="0"/>
            <w:vAlign w:val="center"/>
          </w:tcPr>
          <w:p w14:paraId="6F9CC645">
            <w:pPr>
              <w:spacing w:line="240" w:lineRule="auto"/>
              <w:ind w:left="0" w:leftChars="0"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废渣区</w:t>
            </w:r>
          </w:p>
        </w:tc>
        <w:tc>
          <w:tcPr>
            <w:tcW w:w="707" w:type="pct"/>
            <w:noWrap w:val="0"/>
            <w:vAlign w:val="center"/>
          </w:tcPr>
          <w:p w14:paraId="553BF94B">
            <w:pPr>
              <w:spacing w:line="240" w:lineRule="auto"/>
              <w:ind w:left="0" w:leftChars="0" w:firstLine="0" w:firstLineChars="0"/>
              <w:jc w:val="center"/>
              <w:rPr>
                <w:rFonts w:hint="default"/>
                <w:color w:val="auto"/>
                <w:sz w:val="21"/>
                <w:szCs w:val="21"/>
                <w:highlight w:val="none"/>
                <w:lang w:val="en-US" w:eastAsia="zh-CN"/>
              </w:rPr>
            </w:pPr>
            <w:r>
              <w:rPr>
                <w:rFonts w:hint="eastAsia"/>
                <w:color w:val="auto"/>
                <w:sz w:val="21"/>
                <w:szCs w:val="21"/>
                <w:highlight w:val="none"/>
                <w:lang w:val="en-US" w:eastAsia="zh-CN"/>
              </w:rPr>
              <w:t>55555.12</w:t>
            </w:r>
          </w:p>
        </w:tc>
        <w:tc>
          <w:tcPr>
            <w:tcW w:w="707" w:type="pct"/>
            <w:noWrap w:val="0"/>
            <w:vAlign w:val="center"/>
          </w:tcPr>
          <w:p w14:paraId="38B526D0">
            <w:pPr>
              <w:spacing w:line="240" w:lineRule="auto"/>
              <w:ind w:left="0" w:leftChars="0" w:firstLine="0" w:firstLineChars="0"/>
              <w:jc w:val="center"/>
              <w:rPr>
                <w:rFonts w:hint="default"/>
                <w:color w:val="auto"/>
                <w:sz w:val="21"/>
                <w:szCs w:val="21"/>
                <w:highlight w:val="none"/>
                <w:lang w:val="en-US" w:eastAsia="zh-CN"/>
              </w:rPr>
            </w:pPr>
            <w:r>
              <w:rPr>
                <w:rFonts w:hint="eastAsia"/>
                <w:color w:val="auto"/>
                <w:sz w:val="21"/>
                <w:szCs w:val="21"/>
                <w:highlight w:val="none"/>
                <w:lang w:val="en-US" w:eastAsia="zh-CN"/>
              </w:rPr>
              <w:t>13515</w:t>
            </w:r>
          </w:p>
        </w:tc>
        <w:tc>
          <w:tcPr>
            <w:tcW w:w="2749" w:type="pct"/>
            <w:noWrap w:val="0"/>
            <w:vAlign w:val="center"/>
          </w:tcPr>
          <w:p w14:paraId="74EDA8EB">
            <w:pPr>
              <w:spacing w:line="240" w:lineRule="auto"/>
              <w:ind w:left="0" w:leftChars="0"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废渣开挖运出后，自取土场运入种植土覆盖0.5m</w:t>
            </w:r>
          </w:p>
        </w:tc>
      </w:tr>
      <w:tr w14:paraId="6F2D554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35" w:type="pct"/>
            <w:noWrap w:val="0"/>
            <w:vAlign w:val="center"/>
          </w:tcPr>
          <w:p w14:paraId="0039833F">
            <w:pPr>
              <w:spacing w:line="240" w:lineRule="auto"/>
              <w:ind w:left="0" w:leftChars="0"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填埋区</w:t>
            </w:r>
          </w:p>
        </w:tc>
        <w:tc>
          <w:tcPr>
            <w:tcW w:w="707" w:type="pct"/>
            <w:noWrap w:val="0"/>
            <w:vAlign w:val="center"/>
          </w:tcPr>
          <w:p w14:paraId="5A0B9854">
            <w:pPr>
              <w:spacing w:line="240" w:lineRule="auto"/>
              <w:ind w:left="0" w:leftChars="0" w:firstLine="0" w:firstLineChars="0"/>
              <w:jc w:val="center"/>
              <w:rPr>
                <w:rFonts w:hint="default"/>
                <w:color w:val="auto"/>
                <w:sz w:val="21"/>
                <w:szCs w:val="21"/>
                <w:highlight w:val="none"/>
                <w:lang w:val="en-US" w:eastAsia="zh-CN"/>
              </w:rPr>
            </w:pPr>
            <w:r>
              <w:rPr>
                <w:rFonts w:hint="eastAsia"/>
                <w:color w:val="auto"/>
                <w:sz w:val="21"/>
                <w:szCs w:val="21"/>
                <w:highlight w:val="none"/>
                <w:lang w:val="en-US" w:eastAsia="zh-CN"/>
              </w:rPr>
              <w:t>10734</w:t>
            </w:r>
          </w:p>
        </w:tc>
        <w:tc>
          <w:tcPr>
            <w:tcW w:w="707" w:type="pct"/>
            <w:noWrap w:val="0"/>
            <w:vAlign w:val="center"/>
          </w:tcPr>
          <w:p w14:paraId="13568718">
            <w:pPr>
              <w:spacing w:line="240" w:lineRule="auto"/>
              <w:ind w:left="0" w:leftChars="0" w:firstLine="0" w:firstLineChars="0"/>
              <w:jc w:val="center"/>
              <w:rPr>
                <w:rFonts w:hint="default"/>
                <w:color w:val="auto"/>
                <w:sz w:val="21"/>
                <w:szCs w:val="21"/>
                <w:highlight w:val="none"/>
                <w:lang w:val="en-US" w:eastAsia="zh-CN"/>
              </w:rPr>
            </w:pPr>
            <w:r>
              <w:rPr>
                <w:rFonts w:hint="eastAsia"/>
                <w:color w:val="auto"/>
                <w:sz w:val="21"/>
                <w:szCs w:val="21"/>
                <w:highlight w:val="none"/>
                <w:lang w:val="en-US" w:eastAsia="zh-CN"/>
              </w:rPr>
              <w:t>66289.12</w:t>
            </w:r>
          </w:p>
        </w:tc>
        <w:tc>
          <w:tcPr>
            <w:tcW w:w="2749" w:type="pct"/>
            <w:noWrap w:val="0"/>
            <w:vAlign w:val="center"/>
          </w:tcPr>
          <w:p w14:paraId="3D05D158">
            <w:pPr>
              <w:spacing w:line="240" w:lineRule="auto"/>
              <w:ind w:left="0" w:leftChars="0"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填埋废渣前剥离表土0.5m，填埋废渣后回填</w:t>
            </w:r>
          </w:p>
        </w:tc>
      </w:tr>
      <w:tr w14:paraId="2C4A8BB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35" w:type="pct"/>
            <w:noWrap w:val="0"/>
            <w:vAlign w:val="center"/>
          </w:tcPr>
          <w:p w14:paraId="25E976BA">
            <w:pPr>
              <w:spacing w:line="240" w:lineRule="auto"/>
              <w:ind w:left="0" w:leftChars="0"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取土场</w:t>
            </w:r>
          </w:p>
        </w:tc>
        <w:tc>
          <w:tcPr>
            <w:tcW w:w="707" w:type="pct"/>
            <w:noWrap w:val="0"/>
            <w:vAlign w:val="center"/>
          </w:tcPr>
          <w:p w14:paraId="56FB71A9">
            <w:pPr>
              <w:spacing w:line="240" w:lineRule="auto"/>
              <w:ind w:left="0" w:leftChars="0" w:firstLine="0" w:firstLineChars="0"/>
              <w:jc w:val="center"/>
              <w:rPr>
                <w:rFonts w:hint="default"/>
                <w:color w:val="auto"/>
                <w:sz w:val="21"/>
                <w:szCs w:val="21"/>
                <w:highlight w:val="none"/>
                <w:lang w:val="en-US" w:eastAsia="zh-CN"/>
              </w:rPr>
            </w:pPr>
            <w:r>
              <w:rPr>
                <w:rFonts w:hint="eastAsia"/>
                <w:color w:val="auto"/>
                <w:sz w:val="21"/>
                <w:szCs w:val="21"/>
                <w:highlight w:val="none"/>
                <w:lang w:val="en-US" w:eastAsia="zh-CN"/>
              </w:rPr>
              <w:t>13515</w:t>
            </w:r>
          </w:p>
        </w:tc>
        <w:tc>
          <w:tcPr>
            <w:tcW w:w="707" w:type="pct"/>
            <w:noWrap w:val="0"/>
            <w:vAlign w:val="center"/>
          </w:tcPr>
          <w:p w14:paraId="174BFA91">
            <w:pPr>
              <w:spacing w:line="240" w:lineRule="auto"/>
              <w:ind w:left="0" w:leftChars="0" w:firstLine="0" w:firstLineChars="0"/>
              <w:jc w:val="center"/>
              <w:rPr>
                <w:rFonts w:hint="default"/>
                <w:color w:val="auto"/>
                <w:sz w:val="21"/>
                <w:szCs w:val="21"/>
                <w:highlight w:val="none"/>
                <w:lang w:val="en-US" w:eastAsia="zh-CN"/>
              </w:rPr>
            </w:pPr>
            <w:r>
              <w:rPr>
                <w:rFonts w:hint="eastAsia"/>
                <w:color w:val="auto"/>
                <w:sz w:val="21"/>
                <w:szCs w:val="21"/>
                <w:highlight w:val="none"/>
                <w:lang w:val="en-US" w:eastAsia="zh-CN"/>
              </w:rPr>
              <w:t>/</w:t>
            </w:r>
          </w:p>
        </w:tc>
        <w:tc>
          <w:tcPr>
            <w:tcW w:w="2749" w:type="pct"/>
            <w:noWrap w:val="0"/>
            <w:vAlign w:val="center"/>
          </w:tcPr>
          <w:p w14:paraId="690178A4">
            <w:pPr>
              <w:spacing w:line="240" w:lineRule="auto"/>
              <w:ind w:left="0" w:leftChars="0"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取土用于废渣区回填种植土</w:t>
            </w:r>
          </w:p>
        </w:tc>
      </w:tr>
      <w:tr w14:paraId="764808D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35" w:type="pct"/>
            <w:noWrap w:val="0"/>
            <w:vAlign w:val="center"/>
          </w:tcPr>
          <w:p w14:paraId="1E5AFE8A">
            <w:pPr>
              <w:spacing w:line="240" w:lineRule="auto"/>
              <w:ind w:left="0" w:leftChars="0"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临时道路</w:t>
            </w:r>
          </w:p>
        </w:tc>
        <w:tc>
          <w:tcPr>
            <w:tcW w:w="707" w:type="pct"/>
            <w:noWrap w:val="0"/>
            <w:vAlign w:val="center"/>
          </w:tcPr>
          <w:p w14:paraId="3995F324">
            <w:pPr>
              <w:spacing w:line="240" w:lineRule="auto"/>
              <w:ind w:left="0" w:leftChars="0" w:firstLine="0" w:firstLineChars="0"/>
              <w:jc w:val="center"/>
              <w:rPr>
                <w:rFonts w:hint="default"/>
                <w:color w:val="auto"/>
                <w:sz w:val="21"/>
                <w:szCs w:val="21"/>
                <w:highlight w:val="none"/>
                <w:lang w:val="en-US" w:eastAsia="zh-CN"/>
              </w:rPr>
            </w:pPr>
            <w:r>
              <w:rPr>
                <w:rFonts w:hint="eastAsia"/>
                <w:color w:val="auto"/>
                <w:sz w:val="21"/>
                <w:szCs w:val="21"/>
                <w:highlight w:val="none"/>
                <w:lang w:val="en-US" w:eastAsia="zh-CN"/>
              </w:rPr>
              <w:t>/</w:t>
            </w:r>
          </w:p>
        </w:tc>
        <w:tc>
          <w:tcPr>
            <w:tcW w:w="707" w:type="pct"/>
            <w:noWrap w:val="0"/>
            <w:vAlign w:val="center"/>
          </w:tcPr>
          <w:p w14:paraId="66C1EF1B">
            <w:pPr>
              <w:spacing w:line="240" w:lineRule="auto"/>
              <w:ind w:left="0" w:leftChars="0" w:firstLine="0" w:firstLineChars="0"/>
              <w:jc w:val="center"/>
              <w:rPr>
                <w:rFonts w:hint="default"/>
                <w:color w:val="auto"/>
                <w:sz w:val="21"/>
                <w:szCs w:val="21"/>
                <w:highlight w:val="none"/>
                <w:lang w:val="en-US" w:eastAsia="zh-CN"/>
              </w:rPr>
            </w:pPr>
            <w:r>
              <w:rPr>
                <w:rFonts w:hint="eastAsia"/>
                <w:color w:val="auto"/>
                <w:sz w:val="21"/>
                <w:szCs w:val="21"/>
                <w:highlight w:val="none"/>
                <w:lang w:val="en-US" w:eastAsia="zh-CN"/>
              </w:rPr>
              <w:t>/</w:t>
            </w:r>
          </w:p>
        </w:tc>
        <w:tc>
          <w:tcPr>
            <w:tcW w:w="2749" w:type="pct"/>
            <w:noWrap w:val="0"/>
            <w:vAlign w:val="center"/>
          </w:tcPr>
          <w:p w14:paraId="35753A70">
            <w:pPr>
              <w:spacing w:line="240" w:lineRule="auto"/>
              <w:ind w:left="0" w:leftChars="0"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临时道路中新建道路区域较为平整，挖方和填方较少</w:t>
            </w:r>
          </w:p>
        </w:tc>
      </w:tr>
      <w:tr w14:paraId="1575B07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35" w:type="pct"/>
            <w:noWrap w:val="0"/>
            <w:vAlign w:val="center"/>
          </w:tcPr>
          <w:p w14:paraId="191E2127">
            <w:pPr>
              <w:spacing w:line="360" w:lineRule="auto"/>
              <w:ind w:left="0" w:leftChars="0" w:firstLine="0" w:firstLineChars="0"/>
              <w:jc w:val="center"/>
              <w:rPr>
                <w:rFonts w:hint="eastAsia"/>
                <w:b/>
                <w:bCs/>
                <w:color w:val="auto"/>
                <w:sz w:val="21"/>
                <w:szCs w:val="21"/>
                <w:highlight w:val="none"/>
                <w:lang w:val="en-US" w:eastAsia="zh-CN"/>
              </w:rPr>
            </w:pPr>
            <w:r>
              <w:rPr>
                <w:rFonts w:hint="eastAsia"/>
                <w:b/>
                <w:bCs/>
                <w:color w:val="auto"/>
                <w:sz w:val="21"/>
                <w:szCs w:val="21"/>
                <w:highlight w:val="none"/>
                <w:lang w:val="en-US" w:eastAsia="zh-CN"/>
              </w:rPr>
              <w:t>合计</w:t>
            </w:r>
          </w:p>
        </w:tc>
        <w:tc>
          <w:tcPr>
            <w:tcW w:w="707" w:type="pct"/>
            <w:noWrap w:val="0"/>
            <w:vAlign w:val="center"/>
          </w:tcPr>
          <w:p w14:paraId="6552650D">
            <w:pPr>
              <w:spacing w:line="360" w:lineRule="auto"/>
              <w:ind w:left="0" w:leftChars="0" w:firstLine="0" w:firstLineChars="0"/>
              <w:jc w:val="center"/>
              <w:rPr>
                <w:rFonts w:hint="default"/>
                <w:b/>
                <w:bCs/>
                <w:color w:val="auto"/>
                <w:sz w:val="21"/>
                <w:szCs w:val="21"/>
                <w:highlight w:val="none"/>
                <w:lang w:val="en-US" w:eastAsia="zh-CN"/>
              </w:rPr>
            </w:pPr>
            <w:r>
              <w:rPr>
                <w:rFonts w:hint="eastAsia"/>
                <w:b/>
                <w:bCs/>
                <w:color w:val="auto"/>
                <w:sz w:val="21"/>
                <w:szCs w:val="21"/>
                <w:highlight w:val="none"/>
                <w:lang w:val="en-US" w:eastAsia="zh-CN"/>
              </w:rPr>
              <w:t>79804.12</w:t>
            </w:r>
          </w:p>
        </w:tc>
        <w:tc>
          <w:tcPr>
            <w:tcW w:w="707" w:type="pct"/>
            <w:noWrap w:val="0"/>
            <w:vAlign w:val="center"/>
          </w:tcPr>
          <w:p w14:paraId="48FE4CE9">
            <w:pPr>
              <w:spacing w:line="360" w:lineRule="auto"/>
              <w:ind w:left="0" w:leftChars="0" w:firstLine="0" w:firstLineChars="0"/>
              <w:jc w:val="center"/>
              <w:rPr>
                <w:rFonts w:hint="default"/>
                <w:b/>
                <w:bCs/>
                <w:color w:val="auto"/>
                <w:sz w:val="21"/>
                <w:szCs w:val="21"/>
                <w:highlight w:val="none"/>
                <w:lang w:val="en-US" w:eastAsia="zh-CN"/>
              </w:rPr>
            </w:pPr>
            <w:r>
              <w:rPr>
                <w:rFonts w:hint="eastAsia"/>
                <w:b/>
                <w:bCs/>
                <w:color w:val="auto"/>
                <w:sz w:val="21"/>
                <w:szCs w:val="21"/>
                <w:highlight w:val="none"/>
                <w:lang w:val="en-US" w:eastAsia="zh-CN"/>
              </w:rPr>
              <w:t>79804.12</w:t>
            </w:r>
          </w:p>
        </w:tc>
        <w:tc>
          <w:tcPr>
            <w:tcW w:w="2749" w:type="pct"/>
            <w:noWrap w:val="0"/>
            <w:vAlign w:val="center"/>
          </w:tcPr>
          <w:p w14:paraId="39DB0776">
            <w:pPr>
              <w:spacing w:line="360" w:lineRule="auto"/>
              <w:ind w:left="0" w:leftChars="0" w:firstLine="0" w:firstLineChars="0"/>
              <w:jc w:val="center"/>
              <w:rPr>
                <w:rFonts w:hint="default"/>
                <w:b/>
                <w:bCs/>
                <w:color w:val="auto"/>
                <w:sz w:val="21"/>
                <w:szCs w:val="21"/>
                <w:highlight w:val="none"/>
                <w:lang w:val="en-US" w:eastAsia="zh-CN"/>
              </w:rPr>
            </w:pPr>
            <w:r>
              <w:rPr>
                <w:rFonts w:hint="eastAsia"/>
                <w:b/>
                <w:bCs/>
                <w:color w:val="auto"/>
                <w:sz w:val="21"/>
                <w:szCs w:val="21"/>
                <w:highlight w:val="none"/>
                <w:lang w:val="en-US" w:eastAsia="zh-CN"/>
              </w:rPr>
              <w:t>/</w:t>
            </w:r>
          </w:p>
        </w:tc>
      </w:tr>
    </w:tbl>
    <w:p w14:paraId="166CE643">
      <w:pPr>
        <w:pStyle w:val="9"/>
        <w:numPr>
          <w:ilvl w:val="2"/>
          <w:numId w:val="1"/>
        </w:numPr>
        <w:bidi w:val="0"/>
        <w:ind w:left="709" w:leftChars="0" w:hanging="709" w:firstLineChars="0"/>
        <w:rPr>
          <w:rFonts w:hint="default"/>
          <w:lang w:val="en-US" w:eastAsia="zh-CN"/>
        </w:rPr>
      </w:pPr>
      <w:r>
        <w:rPr>
          <w:rFonts w:hint="eastAsia"/>
          <w:lang w:val="en-US" w:eastAsia="zh-CN"/>
        </w:rPr>
        <w:t>公用工程和临时工程</w:t>
      </w:r>
    </w:p>
    <w:p w14:paraId="38486DF9">
      <w:pPr>
        <w:pStyle w:val="10"/>
        <w:numPr>
          <w:ilvl w:val="3"/>
          <w:numId w:val="1"/>
        </w:numPr>
        <w:bidi w:val="0"/>
        <w:ind w:left="850" w:leftChars="0" w:hanging="850" w:firstLineChars="0"/>
        <w:rPr>
          <w:rFonts w:hint="eastAsia"/>
          <w:lang w:val="en-US" w:eastAsia="zh-CN"/>
        </w:rPr>
      </w:pPr>
      <w:r>
        <w:rPr>
          <w:rFonts w:hint="eastAsia"/>
          <w:lang w:val="en-US" w:eastAsia="zh-CN"/>
        </w:rPr>
        <w:t>给水</w:t>
      </w:r>
    </w:p>
    <w:p w14:paraId="0A205719">
      <w:pPr>
        <w:bidi w:val="0"/>
        <w:rPr>
          <w:rFonts w:hint="eastAsia"/>
          <w:highlight w:val="none"/>
          <w:lang w:val="en-US" w:eastAsia="zh-CN"/>
        </w:rPr>
      </w:pPr>
      <w:r>
        <w:rPr>
          <w:rFonts w:hint="eastAsia"/>
          <w:highlight w:val="none"/>
          <w:lang w:val="en-US" w:eastAsia="zh-CN"/>
        </w:rPr>
        <w:t>施工人员租用当地房屋居住，生产生活用水使用当地居民采用井水等。项目区域条件可满足施工用水需求。项目管理期无需使用水。施工期用水主要包括施工人员生活用水、车辆冲洗、洒水抑尘等。</w:t>
      </w:r>
    </w:p>
    <w:p w14:paraId="52086384">
      <w:pPr>
        <w:bidi w:val="0"/>
        <w:rPr>
          <w:rFonts w:hint="default"/>
          <w:highlight w:val="none"/>
          <w:lang w:val="en-US" w:eastAsia="zh-CN"/>
        </w:rPr>
      </w:pPr>
      <w:r>
        <w:rPr>
          <w:rFonts w:hint="default"/>
          <w:highlight w:val="none"/>
          <w:lang w:val="en-US" w:eastAsia="zh-CN"/>
        </w:rPr>
        <w:t>项目</w:t>
      </w:r>
      <w:r>
        <w:rPr>
          <w:rFonts w:hint="eastAsia"/>
          <w:highlight w:val="none"/>
          <w:lang w:val="en-US" w:eastAsia="zh-CN"/>
        </w:rPr>
        <w:t>施工</w:t>
      </w:r>
      <w:r>
        <w:rPr>
          <w:rFonts w:hint="default"/>
          <w:highlight w:val="none"/>
          <w:lang w:val="en-US" w:eastAsia="zh-CN"/>
        </w:rPr>
        <w:t>劳动定员为</w:t>
      </w:r>
      <w:r>
        <w:rPr>
          <w:rFonts w:hint="eastAsia"/>
          <w:highlight w:val="none"/>
          <w:lang w:val="en-US" w:eastAsia="zh-CN"/>
        </w:rPr>
        <w:t>20</w:t>
      </w:r>
      <w:r>
        <w:rPr>
          <w:rFonts w:hint="default"/>
          <w:highlight w:val="none"/>
          <w:lang w:val="en-US" w:eastAsia="zh-CN"/>
        </w:rPr>
        <w:t>人，用水量以</w:t>
      </w:r>
      <w:r>
        <w:rPr>
          <w:rFonts w:hint="eastAsia"/>
          <w:highlight w:val="none"/>
          <w:lang w:val="en-US" w:eastAsia="zh-CN"/>
        </w:rPr>
        <w:t>8</w:t>
      </w:r>
      <w:r>
        <w:rPr>
          <w:rFonts w:hint="default"/>
          <w:highlight w:val="none"/>
          <w:lang w:val="en-US" w:eastAsia="zh-CN"/>
        </w:rPr>
        <w:t>0L/人</w:t>
      </w:r>
      <w:r>
        <w:rPr>
          <w:rFonts w:hint="default" w:ascii="Times New Roman" w:hAnsi="Times New Roman" w:cs="Times New Roman"/>
          <w:highlight w:val="none"/>
          <w:lang w:val="en-US" w:eastAsia="zh-CN"/>
        </w:rPr>
        <w:t>·</w:t>
      </w:r>
      <w:r>
        <w:rPr>
          <w:rFonts w:hint="default"/>
          <w:highlight w:val="none"/>
          <w:lang w:val="en-US" w:eastAsia="zh-CN"/>
        </w:rPr>
        <w:t>天计，则本项目生活用水量为</w:t>
      </w:r>
      <w:r>
        <w:rPr>
          <w:rFonts w:hint="eastAsia"/>
          <w:highlight w:val="none"/>
          <w:lang w:val="en-US" w:eastAsia="zh-CN"/>
        </w:rPr>
        <w:t>1.6</w:t>
      </w:r>
      <w:r>
        <w:rPr>
          <w:rFonts w:hint="default"/>
          <w:highlight w:val="none"/>
          <w:lang w:val="en-US" w:eastAsia="zh-CN"/>
        </w:rPr>
        <w:t>m</w:t>
      </w:r>
      <w:r>
        <w:rPr>
          <w:rFonts w:hint="default"/>
          <w:highlight w:val="none"/>
          <w:vertAlign w:val="superscript"/>
          <w:lang w:val="en-US" w:eastAsia="zh-CN"/>
        </w:rPr>
        <w:t>3</w:t>
      </w:r>
      <w:r>
        <w:rPr>
          <w:rFonts w:hint="eastAsia"/>
          <w:highlight w:val="none"/>
          <w:vertAlign w:val="baseline"/>
          <w:lang w:val="en-US" w:eastAsia="zh-CN"/>
        </w:rPr>
        <w:t>/d</w:t>
      </w:r>
      <w:r>
        <w:rPr>
          <w:rFonts w:hint="default"/>
          <w:highlight w:val="none"/>
          <w:lang w:val="en-US" w:eastAsia="zh-CN"/>
        </w:rPr>
        <w:t>。</w:t>
      </w:r>
    </w:p>
    <w:p w14:paraId="7B708ADA">
      <w:pPr>
        <w:bidi w:val="0"/>
        <w:rPr>
          <w:rFonts w:hint="eastAsia"/>
          <w:highlight w:val="yellow"/>
          <w:lang w:val="en-US" w:eastAsia="zh-CN"/>
        </w:rPr>
      </w:pPr>
      <w:r>
        <w:rPr>
          <w:rFonts w:hint="eastAsia"/>
          <w:highlight w:val="none"/>
          <w:lang w:val="en-US" w:eastAsia="zh-CN"/>
        </w:rPr>
        <w:t>根据施工方案，废渣区、填埋区和取土场三者距离较远，为防止车辆携带泥土引起扬尘等污染，运输车辆每次均需清洗。废渣运输量为55555.12m</w:t>
      </w:r>
      <w:r>
        <w:rPr>
          <w:rFonts w:hint="eastAsia"/>
          <w:highlight w:val="none"/>
          <w:vertAlign w:val="superscript"/>
          <w:lang w:val="en-US" w:eastAsia="zh-CN"/>
        </w:rPr>
        <w:t>3</w:t>
      </w:r>
      <w:r>
        <w:rPr>
          <w:rFonts w:hint="eastAsia"/>
          <w:highlight w:val="none"/>
          <w:lang w:val="en-US" w:eastAsia="zh-CN"/>
        </w:rPr>
        <w:t>，取土运输总量为16271m</w:t>
      </w:r>
      <w:r>
        <w:rPr>
          <w:rFonts w:hint="eastAsia"/>
          <w:highlight w:val="none"/>
          <w:vertAlign w:val="superscript"/>
          <w:lang w:val="en-US" w:eastAsia="zh-CN"/>
        </w:rPr>
        <w:t>3</w:t>
      </w:r>
      <w:r>
        <w:rPr>
          <w:rFonts w:hint="eastAsia"/>
          <w:highlight w:val="none"/>
          <w:lang w:val="en-US" w:eastAsia="zh-CN"/>
        </w:rPr>
        <w:t>，密度取1.8t/m</w:t>
      </w:r>
      <w:r>
        <w:rPr>
          <w:rFonts w:hint="eastAsia"/>
          <w:highlight w:val="none"/>
          <w:vertAlign w:val="superscript"/>
          <w:lang w:val="en-US" w:eastAsia="zh-CN"/>
        </w:rPr>
        <w:t>3</w:t>
      </w:r>
      <w:r>
        <w:rPr>
          <w:rFonts w:hint="eastAsia"/>
          <w:highlight w:val="none"/>
          <w:lang w:val="en-US" w:eastAsia="zh-CN"/>
        </w:rPr>
        <w:t>，则运输重量为129287t，采用20t车辆运输，共计约6465辆次。车辆冲洗水量大致为0.05m</w:t>
      </w:r>
      <w:r>
        <w:rPr>
          <w:rFonts w:hint="eastAsia"/>
          <w:highlight w:val="none"/>
          <w:vertAlign w:val="superscript"/>
          <w:lang w:val="en-US" w:eastAsia="zh-CN"/>
        </w:rPr>
        <w:t>3</w:t>
      </w:r>
      <w:r>
        <w:rPr>
          <w:rFonts w:hint="eastAsia"/>
          <w:highlight w:val="none"/>
          <w:lang w:val="en-US" w:eastAsia="zh-CN"/>
        </w:rPr>
        <w:t>/辆次，则车辆设备清洗用水323.25m</w:t>
      </w:r>
      <w:r>
        <w:rPr>
          <w:rFonts w:hint="eastAsia"/>
          <w:highlight w:val="none"/>
          <w:vertAlign w:val="superscript"/>
          <w:lang w:val="en-US" w:eastAsia="zh-CN"/>
        </w:rPr>
        <w:t>3</w:t>
      </w:r>
      <w:r>
        <w:rPr>
          <w:rFonts w:hint="eastAsia"/>
          <w:highlight w:val="none"/>
          <w:lang w:val="en-US" w:eastAsia="zh-CN"/>
        </w:rPr>
        <w:t>。</w:t>
      </w:r>
    </w:p>
    <w:p w14:paraId="2C4CEAFC">
      <w:pPr>
        <w:bidi w:val="0"/>
        <w:rPr>
          <w:rFonts w:hint="eastAsia"/>
          <w:highlight w:val="none"/>
          <w:lang w:val="en-US" w:eastAsia="zh-CN"/>
        </w:rPr>
      </w:pPr>
      <w:r>
        <w:rPr>
          <w:rFonts w:hint="eastAsia"/>
          <w:highlight w:val="none"/>
          <w:lang w:val="en-US" w:eastAsia="zh-CN"/>
        </w:rPr>
        <w:t>项目施工作业及厂区运输道路洒水间隔不低于每2小时一次，同一时间洒水作业面积约2000m</w:t>
      </w:r>
      <w:r>
        <w:rPr>
          <w:rFonts w:hint="eastAsia"/>
          <w:highlight w:val="none"/>
          <w:vertAlign w:val="superscript"/>
          <w:lang w:val="en-US" w:eastAsia="zh-CN"/>
        </w:rPr>
        <w:t>2</w:t>
      </w:r>
      <w:r>
        <w:rPr>
          <w:rFonts w:hint="eastAsia"/>
          <w:highlight w:val="none"/>
          <w:lang w:val="en-US" w:eastAsia="zh-CN"/>
        </w:rPr>
        <w:t>，洒水量按2L/m</w:t>
      </w:r>
      <w:r>
        <w:rPr>
          <w:rFonts w:hint="eastAsia"/>
          <w:highlight w:val="none"/>
          <w:vertAlign w:val="superscript"/>
          <w:lang w:val="en-US" w:eastAsia="zh-CN"/>
        </w:rPr>
        <w:t>2</w:t>
      </w:r>
      <w:r>
        <w:rPr>
          <w:rFonts w:hint="eastAsia"/>
          <w:highlight w:val="none"/>
          <w:lang w:val="en-US" w:eastAsia="zh-CN"/>
        </w:rPr>
        <w:t>/次考虑，则项目洒水用水量为16m</w:t>
      </w:r>
      <w:r>
        <w:rPr>
          <w:rFonts w:hint="eastAsia"/>
          <w:highlight w:val="none"/>
          <w:vertAlign w:val="superscript"/>
          <w:lang w:val="en-US" w:eastAsia="zh-CN"/>
        </w:rPr>
        <w:t>3</w:t>
      </w:r>
      <w:r>
        <w:rPr>
          <w:rFonts w:hint="eastAsia"/>
          <w:highlight w:val="none"/>
          <w:lang w:val="en-US" w:eastAsia="zh-CN"/>
        </w:rPr>
        <w:t>/d、共计1680m</w:t>
      </w:r>
      <w:r>
        <w:rPr>
          <w:rFonts w:hint="eastAsia"/>
          <w:highlight w:val="none"/>
          <w:vertAlign w:val="superscript"/>
          <w:lang w:val="en-US" w:eastAsia="zh-CN"/>
        </w:rPr>
        <w:t>3</w:t>
      </w:r>
      <w:r>
        <w:rPr>
          <w:rFonts w:hint="eastAsia"/>
          <w:highlight w:val="none"/>
          <w:lang w:val="en-US" w:eastAsia="zh-CN"/>
        </w:rPr>
        <w:t>/a（施工作业时间尽量选择在晴天，需洒水抑尘时间以开挖填埋施工时间的50%计，即90天，每天8h计）。洒水抑尘优先使用车辆冲洗水等经处理达标的水。</w:t>
      </w:r>
    </w:p>
    <w:p w14:paraId="487CF9A7">
      <w:pPr>
        <w:pStyle w:val="10"/>
        <w:numPr>
          <w:ilvl w:val="3"/>
          <w:numId w:val="1"/>
        </w:numPr>
        <w:bidi w:val="0"/>
        <w:ind w:left="850" w:leftChars="0" w:hanging="850" w:firstLineChars="0"/>
        <w:rPr>
          <w:rFonts w:hint="eastAsia"/>
          <w:lang w:val="en-US" w:eastAsia="zh-CN"/>
        </w:rPr>
      </w:pPr>
      <w:r>
        <w:rPr>
          <w:rFonts w:hint="eastAsia"/>
          <w:lang w:val="en-US" w:eastAsia="zh-CN"/>
        </w:rPr>
        <w:t>排水</w:t>
      </w:r>
    </w:p>
    <w:p w14:paraId="33AD470C">
      <w:pPr>
        <w:bidi w:val="0"/>
        <w:rPr>
          <w:rFonts w:hint="eastAsia"/>
          <w:highlight w:val="none"/>
          <w:lang w:val="en-US" w:eastAsia="zh-CN"/>
        </w:rPr>
      </w:pPr>
      <w:r>
        <w:rPr>
          <w:rFonts w:hint="eastAsia"/>
          <w:highlight w:val="none"/>
          <w:lang w:val="en-US" w:eastAsia="zh-CN"/>
        </w:rPr>
        <w:t>本项目施工期生活污水经化粪池处理后用于农肥，不外排，施工期车辆清洗废水与场地开挖产生的淋溶水经一体化废水处理设备处理后回用。施工期及封场后产生的渗滤液经渗滤液收集池收集，经一体化废水处理设备处理后，采用防腐、防漏的罐车集中清运至湖南黄金天岳矿业有限公司垂拱洞尾矿库废水处理站进行处理。</w:t>
      </w:r>
    </w:p>
    <w:p w14:paraId="167B7579">
      <w:pPr>
        <w:pStyle w:val="10"/>
        <w:numPr>
          <w:ilvl w:val="3"/>
          <w:numId w:val="1"/>
        </w:numPr>
        <w:bidi w:val="0"/>
        <w:ind w:left="850" w:leftChars="0" w:hanging="850" w:firstLineChars="0"/>
        <w:rPr>
          <w:rFonts w:hint="eastAsia"/>
          <w:lang w:val="en-US" w:eastAsia="zh-CN"/>
        </w:rPr>
      </w:pPr>
      <w:r>
        <w:rPr>
          <w:rFonts w:hint="eastAsia"/>
          <w:lang w:val="en-US" w:eastAsia="zh-CN"/>
        </w:rPr>
        <w:t>供电</w:t>
      </w:r>
    </w:p>
    <w:p w14:paraId="7D7EF565">
      <w:pPr>
        <w:bidi w:val="0"/>
        <w:rPr>
          <w:rFonts w:hint="eastAsia"/>
          <w:highlight w:val="none"/>
          <w:lang w:val="en-US" w:eastAsia="zh-CN"/>
        </w:rPr>
      </w:pPr>
      <w:r>
        <w:rPr>
          <w:rFonts w:hint="eastAsia"/>
          <w:highlight w:val="none"/>
          <w:lang w:val="en-US" w:eastAsia="zh-CN"/>
        </w:rPr>
        <w:t>供电由周边村庄电力系统引进。</w:t>
      </w:r>
    </w:p>
    <w:p w14:paraId="0227DC37">
      <w:pPr>
        <w:pStyle w:val="10"/>
        <w:numPr>
          <w:ilvl w:val="3"/>
          <w:numId w:val="1"/>
        </w:numPr>
        <w:bidi w:val="0"/>
        <w:ind w:left="850" w:leftChars="0" w:hanging="850" w:firstLineChars="0"/>
        <w:rPr>
          <w:rFonts w:hint="eastAsia"/>
          <w:lang w:val="en-US" w:eastAsia="zh-CN"/>
        </w:rPr>
      </w:pPr>
      <w:r>
        <w:rPr>
          <w:rFonts w:hint="eastAsia"/>
          <w:lang w:val="en-US" w:eastAsia="zh-CN"/>
        </w:rPr>
        <w:t>施工营地</w:t>
      </w:r>
    </w:p>
    <w:p w14:paraId="1422412C">
      <w:pPr>
        <w:bidi w:val="0"/>
        <w:rPr>
          <w:rFonts w:hint="eastAsia"/>
          <w:highlight w:val="none"/>
          <w:lang w:val="en-US" w:eastAsia="zh-CN"/>
        </w:rPr>
      </w:pPr>
      <w:r>
        <w:rPr>
          <w:rFonts w:hint="eastAsia"/>
          <w:highlight w:val="none"/>
          <w:lang w:val="en-US" w:eastAsia="zh-CN"/>
        </w:rPr>
        <w:t>a）施工生活区：施工单位的施工人员直接租用附近村庄房屋居住，不再新建施工营地。本次评价施工人员生活污水经化粪池收集预处理后回用于农田施肥。</w:t>
      </w:r>
    </w:p>
    <w:p w14:paraId="0AC6E7F2">
      <w:pPr>
        <w:bidi w:val="0"/>
        <w:rPr>
          <w:rFonts w:hint="eastAsia"/>
          <w:highlight w:val="none"/>
          <w:lang w:val="en-US" w:eastAsia="zh-CN"/>
        </w:rPr>
      </w:pPr>
      <w:r>
        <w:rPr>
          <w:rFonts w:hint="eastAsia"/>
          <w:highlight w:val="none"/>
          <w:lang w:val="en-US" w:eastAsia="zh-CN"/>
        </w:rPr>
        <w:t>b）施工生产区：项目施工区域大，施工有关设施、材料和机械停放场地均可在项目场地内部布置，不需要单独集中布设施工生产场地。</w:t>
      </w:r>
    </w:p>
    <w:p w14:paraId="137752B0">
      <w:pPr>
        <w:bidi w:val="0"/>
        <w:rPr>
          <w:rFonts w:hint="eastAsia"/>
          <w:highlight w:val="none"/>
          <w:lang w:val="en-US" w:eastAsia="zh-CN"/>
        </w:rPr>
      </w:pPr>
      <w:r>
        <w:rPr>
          <w:rFonts w:hint="eastAsia"/>
          <w:highlight w:val="none"/>
          <w:lang w:val="en-US" w:eastAsia="zh-CN"/>
        </w:rPr>
        <w:t>为了防止土壤、废渣挖掘机械、运输车辆进出受污染地块对周边环境造成二次污染，在需要转运出场的污染场地设置车辆清洗设备对运输车辆等进行清洗，在治理区出入口设置一套汽车冲洗设备。洗车废水经处理后用于洒水降尘。</w:t>
      </w:r>
    </w:p>
    <w:p w14:paraId="45B6FA7B">
      <w:pPr>
        <w:bidi w:val="0"/>
        <w:rPr>
          <w:rFonts w:hint="eastAsia"/>
          <w:highlight w:val="none"/>
          <w:lang w:val="en-US" w:eastAsia="zh-CN"/>
        </w:rPr>
      </w:pPr>
      <w:r>
        <w:rPr>
          <w:rFonts w:hint="eastAsia"/>
          <w:highlight w:val="none"/>
          <w:lang w:val="en-US" w:eastAsia="zh-CN"/>
        </w:rPr>
        <w:t>场地内临时工程布置应遵循以下基本原则：</w:t>
      </w:r>
    </w:p>
    <w:p w14:paraId="4F903F78">
      <w:pPr>
        <w:bidi w:val="0"/>
        <w:rPr>
          <w:rFonts w:hint="eastAsia"/>
          <w:highlight w:val="none"/>
          <w:lang w:val="en-US" w:eastAsia="zh-CN"/>
        </w:rPr>
      </w:pPr>
      <w:r>
        <w:rPr>
          <w:rFonts w:hint="eastAsia"/>
          <w:highlight w:val="none"/>
          <w:lang w:val="en-US" w:eastAsia="zh-CN"/>
        </w:rPr>
        <w:t>①必须执行国家和行业的有关规范、标准、规定等。</w:t>
      </w:r>
    </w:p>
    <w:p w14:paraId="3DCDEACE">
      <w:pPr>
        <w:bidi w:val="0"/>
        <w:rPr>
          <w:rFonts w:hint="eastAsia"/>
          <w:highlight w:val="none"/>
          <w:lang w:val="en-US" w:eastAsia="zh-CN"/>
        </w:rPr>
      </w:pPr>
      <w:r>
        <w:rPr>
          <w:rFonts w:hint="eastAsia"/>
          <w:highlight w:val="none"/>
          <w:lang w:val="en-US" w:eastAsia="zh-CN"/>
        </w:rPr>
        <w:t>②应根据工艺流程、防火、安全、卫生等要求，结合内外部运输条件、场地地形、气象条件及规划等因素综合确定。</w:t>
      </w:r>
    </w:p>
    <w:p w14:paraId="13BFE888">
      <w:pPr>
        <w:bidi w:val="0"/>
        <w:rPr>
          <w:rFonts w:hint="eastAsia"/>
          <w:highlight w:val="none"/>
          <w:lang w:val="en-US" w:eastAsia="zh-CN"/>
        </w:rPr>
      </w:pPr>
      <w:r>
        <w:rPr>
          <w:rFonts w:hint="eastAsia"/>
          <w:highlight w:val="none"/>
          <w:lang w:val="en-US" w:eastAsia="zh-CN"/>
        </w:rPr>
        <w:t>③尽量科学合理利用场地内现有建筑设施。</w:t>
      </w:r>
    </w:p>
    <w:p w14:paraId="4B3C5460">
      <w:pPr>
        <w:bidi w:val="0"/>
        <w:rPr>
          <w:rFonts w:hint="eastAsia"/>
          <w:highlight w:val="none"/>
          <w:lang w:val="en-US" w:eastAsia="zh-CN"/>
        </w:rPr>
      </w:pPr>
      <w:r>
        <w:rPr>
          <w:rFonts w:hint="eastAsia"/>
          <w:highlight w:val="none"/>
          <w:lang w:val="en-US" w:eastAsia="zh-CN"/>
        </w:rPr>
        <w:t>④还应根据当地主导风向、进料方向、地质条件等因素进行布置，既要考虑流程合理、管理方便，又要考虑经济实用。</w:t>
      </w:r>
    </w:p>
    <w:p w14:paraId="5DC32890">
      <w:pPr>
        <w:bidi w:val="0"/>
        <w:rPr>
          <w:rFonts w:hint="eastAsia"/>
          <w:highlight w:val="yellow"/>
          <w:lang w:val="en-US" w:eastAsia="zh-CN"/>
        </w:rPr>
      </w:pPr>
      <w:r>
        <w:rPr>
          <w:rFonts w:hint="eastAsia"/>
          <w:highlight w:val="none"/>
          <w:lang w:val="en-US" w:eastAsia="zh-CN"/>
        </w:rPr>
        <w:t>⑤坚持节约用地原则，生产用地布置力求简捷、紧凑。</w:t>
      </w:r>
    </w:p>
    <w:p w14:paraId="71397B60">
      <w:pPr>
        <w:pStyle w:val="10"/>
        <w:numPr>
          <w:ilvl w:val="3"/>
          <w:numId w:val="1"/>
        </w:numPr>
        <w:bidi w:val="0"/>
        <w:ind w:left="850" w:leftChars="0" w:hanging="850" w:firstLineChars="0"/>
        <w:rPr>
          <w:rFonts w:hint="eastAsia"/>
          <w:lang w:val="en-US" w:eastAsia="zh-CN"/>
        </w:rPr>
      </w:pPr>
      <w:bookmarkStart w:id="35" w:name="_Toc26296"/>
      <w:r>
        <w:rPr>
          <w:rFonts w:hint="eastAsia"/>
          <w:lang w:val="en-US" w:eastAsia="zh-CN"/>
        </w:rPr>
        <w:t>废渣暂存区及表土暂存区</w:t>
      </w:r>
    </w:p>
    <w:p w14:paraId="1EDDEBFA">
      <w:pPr>
        <w:bidi w:val="0"/>
        <w:rPr>
          <w:rFonts w:hint="eastAsia"/>
          <w:lang w:val="en-US" w:eastAsia="zh-CN"/>
        </w:rPr>
      </w:pPr>
      <w:r>
        <w:rPr>
          <w:rFonts w:hint="eastAsia"/>
          <w:highlight w:val="none"/>
          <w:lang w:val="en-US" w:eastAsia="zh-CN"/>
        </w:rPr>
        <w:t>本项目先建设填埋场，再将1#、2#废渣堆废渣转运至填埋场，不需要设置废渣暂存区，</w:t>
      </w:r>
      <w:r>
        <w:rPr>
          <w:rFonts w:hint="eastAsia"/>
          <w:lang w:val="en-US" w:eastAsia="zh-CN"/>
        </w:rPr>
        <w:t>项目填埋场在施工场底清基扰动的土方尽量用于填埋场场底施工基础整平，过程产生的表土堆存于填埋场西侧，便于后期绿化直接利用。本项目表土暂存区底部在施工过程中为防止雨水进入采用防渗膜做好防渗，同时建设临时截洪沟做好雨污分流。</w:t>
      </w:r>
    </w:p>
    <w:p w14:paraId="0754DA36">
      <w:pPr>
        <w:pStyle w:val="10"/>
        <w:numPr>
          <w:ilvl w:val="3"/>
          <w:numId w:val="1"/>
        </w:numPr>
        <w:bidi w:val="0"/>
        <w:ind w:left="850" w:leftChars="0" w:hanging="850" w:firstLineChars="0"/>
        <w:rPr>
          <w:rFonts w:hint="eastAsia"/>
          <w:lang w:val="en-US" w:eastAsia="zh-CN"/>
        </w:rPr>
      </w:pPr>
      <w:r>
        <w:rPr>
          <w:rFonts w:hint="eastAsia"/>
          <w:lang w:val="en-US" w:eastAsia="zh-CN"/>
        </w:rPr>
        <w:t>施工道路</w:t>
      </w:r>
      <w:bookmarkEnd w:id="35"/>
    </w:p>
    <w:p w14:paraId="2786CFB0">
      <w:pPr>
        <w:bidi w:val="0"/>
        <w:rPr>
          <w:rFonts w:hint="eastAsia"/>
          <w:highlight w:val="none"/>
          <w:lang w:val="en-US" w:eastAsia="zh-CN"/>
        </w:rPr>
      </w:pPr>
      <w:r>
        <w:rPr>
          <w:rFonts w:hint="eastAsia"/>
          <w:highlight w:val="none"/>
          <w:lang w:val="en-US" w:eastAsia="zh-CN"/>
        </w:rPr>
        <w:t>项目新建临时施工道路共计1094m，两段新建道路分别长376m、718m。新建临时道路采用碎石路面，结构为：路面共分两层，其中碎石层15cm，稳定土垫层15cm，地基压实度90%。路面由中间向两侧各有2%的坡度，以利于排水，取土场至本项目填埋场运输距离约2.8km，均为现有乡道。具体临时道路工程情况见下表。</w:t>
      </w:r>
    </w:p>
    <w:p w14:paraId="54FE935D">
      <w:pPr>
        <w:bidi w:val="0"/>
        <w:ind w:left="0" w:leftChars="0" w:firstLine="0" w:firstLineChars="0"/>
        <w:jc w:val="center"/>
        <w:rPr>
          <w:rFonts w:hint="eastAsia"/>
          <w:b/>
          <w:bCs/>
          <w:sz w:val="21"/>
          <w:szCs w:val="21"/>
          <w:highlight w:val="none"/>
          <w:lang w:val="en-US" w:eastAsia="zh-CN"/>
        </w:rPr>
      </w:pPr>
      <w:r>
        <w:rPr>
          <w:rFonts w:hint="eastAsia"/>
          <w:b/>
          <w:bCs/>
          <w:sz w:val="21"/>
          <w:szCs w:val="21"/>
          <w:highlight w:val="none"/>
          <w:lang w:val="en-US" w:eastAsia="zh-CN"/>
        </w:rPr>
        <w:t>表3.1-22  施工道路情况一览表</w:t>
      </w:r>
    </w:p>
    <w:tbl>
      <w:tblPr>
        <w:tblStyle w:val="35"/>
        <w:tblW w:w="5192"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0" w:type="dxa"/>
          <w:bottom w:w="0" w:type="dxa"/>
          <w:right w:w="0" w:type="dxa"/>
        </w:tblCellMar>
      </w:tblPr>
      <w:tblGrid>
        <w:gridCol w:w="830"/>
        <w:gridCol w:w="1764"/>
        <w:gridCol w:w="1558"/>
        <w:gridCol w:w="711"/>
        <w:gridCol w:w="4589"/>
      </w:tblGrid>
      <w:tr w14:paraId="00DD98D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3" w:hRule="atLeast"/>
          <w:tblHeader/>
          <w:jc w:val="center"/>
        </w:trPr>
        <w:tc>
          <w:tcPr>
            <w:tcW w:w="439" w:type="pct"/>
            <w:noWrap w:val="0"/>
            <w:vAlign w:val="center"/>
          </w:tcPr>
          <w:p w14:paraId="309E9B49">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b/>
                <w:bCs/>
                <w:color w:val="auto"/>
                <w:sz w:val="21"/>
                <w:szCs w:val="21"/>
                <w:highlight w:val="none"/>
                <w:lang w:val="en-US" w:eastAsia="zh-CN"/>
              </w:rPr>
            </w:pPr>
            <w:r>
              <w:rPr>
                <w:rFonts w:hint="eastAsia"/>
                <w:b/>
                <w:bCs/>
                <w:color w:val="auto"/>
                <w:sz w:val="21"/>
                <w:szCs w:val="21"/>
                <w:highlight w:val="none"/>
                <w:lang w:val="en-US" w:eastAsia="zh-CN"/>
              </w:rPr>
              <w:t>序号</w:t>
            </w:r>
          </w:p>
        </w:tc>
        <w:tc>
          <w:tcPr>
            <w:tcW w:w="932" w:type="pct"/>
            <w:noWrap w:val="0"/>
            <w:vAlign w:val="center"/>
          </w:tcPr>
          <w:p w14:paraId="6B39426F">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b/>
                <w:bCs/>
                <w:color w:val="auto"/>
                <w:sz w:val="21"/>
                <w:szCs w:val="21"/>
                <w:highlight w:val="none"/>
                <w:lang w:val="en-US" w:eastAsia="zh-CN"/>
              </w:rPr>
            </w:pPr>
            <w:r>
              <w:rPr>
                <w:rFonts w:hint="eastAsia"/>
                <w:b/>
                <w:bCs/>
                <w:color w:val="auto"/>
                <w:sz w:val="21"/>
                <w:szCs w:val="21"/>
                <w:highlight w:val="none"/>
                <w:lang w:val="en-US" w:eastAsia="zh-CN"/>
              </w:rPr>
              <w:t>道路名称</w:t>
            </w:r>
          </w:p>
        </w:tc>
        <w:tc>
          <w:tcPr>
            <w:tcW w:w="824" w:type="pct"/>
            <w:noWrap w:val="0"/>
            <w:vAlign w:val="center"/>
          </w:tcPr>
          <w:p w14:paraId="1564C0D8">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b/>
                <w:bCs/>
                <w:color w:val="auto"/>
                <w:sz w:val="21"/>
                <w:szCs w:val="21"/>
                <w:highlight w:val="none"/>
                <w:lang w:val="en-US" w:eastAsia="zh-CN"/>
              </w:rPr>
            </w:pPr>
            <w:r>
              <w:rPr>
                <w:rFonts w:hint="eastAsia"/>
                <w:b/>
                <w:bCs/>
                <w:color w:val="auto"/>
                <w:sz w:val="21"/>
                <w:szCs w:val="21"/>
                <w:highlight w:val="none"/>
                <w:lang w:val="en-US" w:eastAsia="zh-CN"/>
              </w:rPr>
              <w:t>主要参数</w:t>
            </w:r>
          </w:p>
        </w:tc>
        <w:tc>
          <w:tcPr>
            <w:tcW w:w="376" w:type="pct"/>
            <w:noWrap w:val="0"/>
            <w:vAlign w:val="center"/>
          </w:tcPr>
          <w:p w14:paraId="51D9B96F">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b/>
                <w:bCs/>
                <w:color w:val="auto"/>
                <w:sz w:val="21"/>
                <w:szCs w:val="21"/>
                <w:highlight w:val="none"/>
                <w:lang w:val="en-US" w:eastAsia="zh-CN"/>
              </w:rPr>
            </w:pPr>
            <w:r>
              <w:rPr>
                <w:rFonts w:hint="eastAsia"/>
                <w:b/>
                <w:bCs/>
                <w:color w:val="auto"/>
                <w:sz w:val="21"/>
                <w:szCs w:val="21"/>
                <w:highlight w:val="none"/>
                <w:lang w:val="en-US" w:eastAsia="zh-CN"/>
              </w:rPr>
              <w:t>单位</w:t>
            </w:r>
          </w:p>
        </w:tc>
        <w:tc>
          <w:tcPr>
            <w:tcW w:w="2426" w:type="pct"/>
            <w:noWrap w:val="0"/>
            <w:vAlign w:val="center"/>
          </w:tcPr>
          <w:p w14:paraId="6F1E7D8D">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b/>
                <w:bCs/>
                <w:color w:val="auto"/>
                <w:sz w:val="21"/>
                <w:szCs w:val="21"/>
                <w:highlight w:val="none"/>
                <w:lang w:val="en-US" w:eastAsia="zh-CN"/>
              </w:rPr>
            </w:pPr>
            <w:r>
              <w:rPr>
                <w:rFonts w:hint="eastAsia"/>
                <w:b/>
                <w:bCs/>
                <w:color w:val="auto"/>
                <w:sz w:val="21"/>
                <w:szCs w:val="21"/>
                <w:highlight w:val="none"/>
                <w:lang w:val="en-US" w:eastAsia="zh-CN"/>
              </w:rPr>
              <w:t>备注</w:t>
            </w:r>
          </w:p>
        </w:tc>
      </w:tr>
      <w:tr w14:paraId="0290DF2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439" w:type="pct"/>
            <w:noWrap w:val="0"/>
            <w:vAlign w:val="center"/>
          </w:tcPr>
          <w:p w14:paraId="4F24BE9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1</w:t>
            </w:r>
          </w:p>
        </w:tc>
        <w:tc>
          <w:tcPr>
            <w:tcW w:w="932" w:type="pct"/>
            <w:noWrap w:val="0"/>
            <w:vAlign w:val="center"/>
          </w:tcPr>
          <w:p w14:paraId="7DFF1F5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lang w:val="en-US" w:eastAsia="zh-CN"/>
              </w:rPr>
            </w:pPr>
            <w:r>
              <w:rPr>
                <w:rFonts w:hint="eastAsia"/>
                <w:sz w:val="21"/>
                <w:szCs w:val="21"/>
                <w:highlight w:val="none"/>
                <w:lang w:val="en-US" w:eastAsia="zh-CN"/>
              </w:rPr>
              <w:t>新建临时道路1段</w:t>
            </w:r>
          </w:p>
        </w:tc>
        <w:tc>
          <w:tcPr>
            <w:tcW w:w="824" w:type="pct"/>
            <w:noWrap w:val="0"/>
            <w:vAlign w:val="center"/>
          </w:tcPr>
          <w:p w14:paraId="1506A4C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lang w:val="en-US" w:eastAsia="zh-CN"/>
              </w:rPr>
            </w:pPr>
            <w:r>
              <w:rPr>
                <w:rFonts w:hint="eastAsia"/>
                <w:sz w:val="21"/>
                <w:szCs w:val="21"/>
                <w:highlight w:val="none"/>
                <w:lang w:val="en-US" w:eastAsia="zh-CN"/>
              </w:rPr>
              <w:t>376</w:t>
            </w:r>
          </w:p>
        </w:tc>
        <w:tc>
          <w:tcPr>
            <w:tcW w:w="376" w:type="pct"/>
            <w:noWrap w:val="0"/>
            <w:vAlign w:val="center"/>
          </w:tcPr>
          <w:p w14:paraId="343B2E9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m</w:t>
            </w:r>
          </w:p>
        </w:tc>
        <w:tc>
          <w:tcPr>
            <w:tcW w:w="2426" w:type="pct"/>
            <w:noWrap w:val="0"/>
            <w:vAlign w:val="center"/>
          </w:tcPr>
          <w:p w14:paraId="26D7553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lang w:val="en-US" w:eastAsia="zh-CN"/>
              </w:rPr>
            </w:pPr>
            <w:r>
              <w:rPr>
                <w:rFonts w:hint="eastAsia"/>
                <w:sz w:val="21"/>
                <w:szCs w:val="21"/>
                <w:highlight w:val="none"/>
                <w:lang w:val="en-US" w:eastAsia="zh-CN"/>
              </w:rPr>
              <w:t>乡道至1#废渣堆段</w:t>
            </w:r>
          </w:p>
        </w:tc>
      </w:tr>
      <w:tr w14:paraId="4FBAC89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439" w:type="pct"/>
            <w:noWrap w:val="0"/>
            <w:vAlign w:val="center"/>
          </w:tcPr>
          <w:p w14:paraId="3E54151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2</w:t>
            </w:r>
          </w:p>
        </w:tc>
        <w:tc>
          <w:tcPr>
            <w:tcW w:w="932" w:type="pct"/>
            <w:noWrap w:val="0"/>
            <w:vAlign w:val="center"/>
          </w:tcPr>
          <w:p w14:paraId="222D32B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新建临时道路2段</w:t>
            </w:r>
          </w:p>
        </w:tc>
        <w:tc>
          <w:tcPr>
            <w:tcW w:w="824" w:type="pct"/>
            <w:noWrap w:val="0"/>
            <w:vAlign w:val="center"/>
          </w:tcPr>
          <w:p w14:paraId="7292120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lang w:val="en-US" w:eastAsia="zh-CN"/>
              </w:rPr>
            </w:pPr>
            <w:r>
              <w:rPr>
                <w:rFonts w:hint="eastAsia"/>
                <w:sz w:val="21"/>
                <w:szCs w:val="21"/>
                <w:highlight w:val="none"/>
                <w:lang w:val="en-US" w:eastAsia="zh-CN"/>
              </w:rPr>
              <w:t>718</w:t>
            </w:r>
          </w:p>
        </w:tc>
        <w:tc>
          <w:tcPr>
            <w:tcW w:w="376" w:type="pct"/>
            <w:noWrap w:val="0"/>
            <w:vAlign w:val="center"/>
          </w:tcPr>
          <w:p w14:paraId="3AC7DD6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m</w:t>
            </w:r>
          </w:p>
        </w:tc>
        <w:tc>
          <w:tcPr>
            <w:tcW w:w="2426" w:type="pct"/>
            <w:noWrap w:val="0"/>
            <w:vAlign w:val="center"/>
          </w:tcPr>
          <w:p w14:paraId="510B506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lang w:val="en-US" w:eastAsia="zh-CN"/>
              </w:rPr>
            </w:pPr>
            <w:r>
              <w:rPr>
                <w:rFonts w:hint="eastAsia"/>
                <w:sz w:val="21"/>
                <w:szCs w:val="21"/>
                <w:highlight w:val="none"/>
                <w:lang w:val="en-US" w:eastAsia="zh-CN"/>
              </w:rPr>
              <w:t>乡道至2#废渣堆段及2#废渣堆至填埋场段</w:t>
            </w:r>
          </w:p>
        </w:tc>
      </w:tr>
      <w:tr w14:paraId="4DC959F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439" w:type="pct"/>
            <w:noWrap w:val="0"/>
            <w:vAlign w:val="center"/>
          </w:tcPr>
          <w:p w14:paraId="7E2961A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lang w:val="en-US" w:eastAsia="zh-CN"/>
              </w:rPr>
            </w:pPr>
            <w:r>
              <w:rPr>
                <w:rFonts w:hint="eastAsia"/>
                <w:sz w:val="21"/>
                <w:szCs w:val="21"/>
                <w:highlight w:val="none"/>
                <w:lang w:val="en-US" w:eastAsia="zh-CN"/>
              </w:rPr>
              <w:t>3</w:t>
            </w:r>
          </w:p>
        </w:tc>
        <w:tc>
          <w:tcPr>
            <w:tcW w:w="932" w:type="pct"/>
            <w:noWrap w:val="0"/>
            <w:vAlign w:val="center"/>
          </w:tcPr>
          <w:p w14:paraId="20A7B56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lang w:val="en-US" w:eastAsia="zh-CN"/>
              </w:rPr>
            </w:pPr>
            <w:r>
              <w:rPr>
                <w:rFonts w:hint="eastAsia"/>
                <w:sz w:val="21"/>
                <w:szCs w:val="21"/>
                <w:highlight w:val="none"/>
                <w:lang w:val="en-US" w:eastAsia="zh-CN"/>
              </w:rPr>
              <w:t>利旧道路</w:t>
            </w:r>
          </w:p>
        </w:tc>
        <w:tc>
          <w:tcPr>
            <w:tcW w:w="824" w:type="pct"/>
            <w:noWrap w:val="0"/>
            <w:vAlign w:val="center"/>
          </w:tcPr>
          <w:p w14:paraId="4989B23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lang w:val="en-US" w:eastAsia="zh-CN"/>
              </w:rPr>
            </w:pPr>
            <w:r>
              <w:rPr>
                <w:rFonts w:hint="eastAsia"/>
                <w:sz w:val="21"/>
                <w:szCs w:val="21"/>
                <w:highlight w:val="none"/>
                <w:lang w:val="en-US" w:eastAsia="zh-CN"/>
              </w:rPr>
              <w:t>2800</w:t>
            </w:r>
          </w:p>
        </w:tc>
        <w:tc>
          <w:tcPr>
            <w:tcW w:w="376" w:type="pct"/>
            <w:noWrap w:val="0"/>
            <w:vAlign w:val="center"/>
          </w:tcPr>
          <w:p w14:paraId="3E7F311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lang w:val="en-US" w:eastAsia="zh-CN"/>
              </w:rPr>
            </w:pPr>
            <w:r>
              <w:rPr>
                <w:rFonts w:hint="eastAsia"/>
                <w:sz w:val="21"/>
                <w:szCs w:val="21"/>
                <w:highlight w:val="none"/>
                <w:lang w:val="en-US" w:eastAsia="zh-CN"/>
              </w:rPr>
              <w:t>m</w:t>
            </w:r>
          </w:p>
        </w:tc>
        <w:tc>
          <w:tcPr>
            <w:tcW w:w="2426" w:type="pct"/>
            <w:noWrap w:val="0"/>
            <w:vAlign w:val="center"/>
          </w:tcPr>
          <w:p w14:paraId="2FF4E4B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lang w:val="en-US" w:eastAsia="zh-CN"/>
              </w:rPr>
            </w:pPr>
            <w:r>
              <w:rPr>
                <w:rFonts w:hint="eastAsia"/>
                <w:sz w:val="21"/>
                <w:szCs w:val="21"/>
                <w:highlight w:val="none"/>
                <w:lang w:val="en-US" w:eastAsia="zh-CN"/>
              </w:rPr>
              <w:t>取土场至本项目新建临时道路段</w:t>
            </w:r>
          </w:p>
        </w:tc>
      </w:tr>
      <w:tr w14:paraId="49F2446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372" w:type="pct"/>
            <w:gridSpan w:val="2"/>
            <w:noWrap w:val="0"/>
            <w:vAlign w:val="center"/>
          </w:tcPr>
          <w:p w14:paraId="238CCAC1">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b/>
                <w:bCs/>
                <w:sz w:val="21"/>
                <w:szCs w:val="21"/>
                <w:highlight w:val="none"/>
                <w:lang w:val="en-US" w:eastAsia="zh-CN"/>
              </w:rPr>
            </w:pPr>
            <w:r>
              <w:rPr>
                <w:rFonts w:hint="eastAsia"/>
                <w:b/>
                <w:bCs/>
                <w:sz w:val="21"/>
                <w:szCs w:val="21"/>
                <w:highlight w:val="none"/>
                <w:lang w:val="en-US" w:eastAsia="zh-CN"/>
              </w:rPr>
              <w:t>合计</w:t>
            </w:r>
          </w:p>
        </w:tc>
        <w:tc>
          <w:tcPr>
            <w:tcW w:w="824" w:type="pct"/>
            <w:noWrap w:val="0"/>
            <w:vAlign w:val="center"/>
          </w:tcPr>
          <w:p w14:paraId="6424AF43">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b/>
                <w:bCs/>
                <w:sz w:val="21"/>
                <w:szCs w:val="21"/>
                <w:highlight w:val="none"/>
                <w:lang w:val="en-US" w:eastAsia="zh-CN"/>
              </w:rPr>
            </w:pPr>
            <w:r>
              <w:rPr>
                <w:rFonts w:hint="eastAsia"/>
                <w:b/>
                <w:bCs/>
                <w:sz w:val="21"/>
                <w:szCs w:val="21"/>
                <w:highlight w:val="none"/>
                <w:lang w:val="en-US" w:eastAsia="zh-CN"/>
              </w:rPr>
              <w:t>3894</w:t>
            </w:r>
          </w:p>
        </w:tc>
        <w:tc>
          <w:tcPr>
            <w:tcW w:w="376" w:type="pct"/>
            <w:noWrap w:val="0"/>
            <w:vAlign w:val="center"/>
          </w:tcPr>
          <w:p w14:paraId="2B3D166A">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b/>
                <w:bCs/>
                <w:sz w:val="21"/>
                <w:szCs w:val="21"/>
                <w:highlight w:val="none"/>
                <w:lang w:val="en-US" w:eastAsia="zh-CN"/>
              </w:rPr>
            </w:pPr>
            <w:r>
              <w:rPr>
                <w:rFonts w:hint="eastAsia"/>
                <w:b/>
                <w:bCs/>
                <w:sz w:val="21"/>
                <w:szCs w:val="21"/>
                <w:highlight w:val="none"/>
                <w:lang w:val="en-US" w:eastAsia="zh-CN"/>
              </w:rPr>
              <w:t>m</w:t>
            </w:r>
          </w:p>
        </w:tc>
        <w:tc>
          <w:tcPr>
            <w:tcW w:w="2426" w:type="pct"/>
            <w:noWrap w:val="0"/>
            <w:vAlign w:val="center"/>
          </w:tcPr>
          <w:p w14:paraId="06E52CB6">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b/>
                <w:bCs/>
                <w:sz w:val="21"/>
                <w:szCs w:val="21"/>
                <w:highlight w:val="none"/>
                <w:lang w:val="en-US" w:eastAsia="zh-CN"/>
              </w:rPr>
            </w:pPr>
            <w:r>
              <w:rPr>
                <w:rFonts w:hint="eastAsia"/>
                <w:b/>
                <w:bCs/>
                <w:sz w:val="21"/>
                <w:szCs w:val="21"/>
                <w:highlight w:val="none"/>
                <w:lang w:val="en-US" w:eastAsia="zh-CN"/>
              </w:rPr>
              <w:t>/</w:t>
            </w:r>
          </w:p>
        </w:tc>
      </w:tr>
    </w:tbl>
    <w:p w14:paraId="39BB14FB">
      <w:pPr>
        <w:pStyle w:val="9"/>
        <w:numPr>
          <w:ilvl w:val="2"/>
          <w:numId w:val="1"/>
        </w:numPr>
        <w:bidi w:val="0"/>
        <w:ind w:left="709" w:leftChars="0" w:hanging="709" w:firstLineChars="0"/>
        <w:rPr>
          <w:rFonts w:hint="default"/>
          <w:highlight w:val="none"/>
          <w:lang w:val="en-US" w:eastAsia="zh-CN"/>
        </w:rPr>
      </w:pPr>
      <w:r>
        <w:rPr>
          <w:rFonts w:hint="eastAsia"/>
          <w:highlight w:val="none"/>
          <w:lang w:val="en-US" w:eastAsia="zh-CN"/>
        </w:rPr>
        <w:t>主要设备</w:t>
      </w:r>
    </w:p>
    <w:p w14:paraId="1EC39391">
      <w:pPr>
        <w:bidi w:val="0"/>
        <w:rPr>
          <w:rFonts w:hint="eastAsia"/>
          <w:highlight w:val="none"/>
          <w:lang w:val="en-US" w:eastAsia="zh-CN"/>
        </w:rPr>
      </w:pPr>
      <w:r>
        <w:rPr>
          <w:rFonts w:hint="eastAsia"/>
          <w:highlight w:val="none"/>
          <w:lang w:val="en-US" w:eastAsia="zh-CN"/>
        </w:rPr>
        <w:t>项目主要施工设备见下表。</w:t>
      </w:r>
    </w:p>
    <w:p w14:paraId="3EE1E83D">
      <w:pPr>
        <w:bidi w:val="0"/>
        <w:ind w:left="0" w:leftChars="0" w:firstLine="0" w:firstLineChars="0"/>
        <w:jc w:val="center"/>
        <w:rPr>
          <w:rFonts w:hint="default"/>
          <w:b/>
          <w:bCs/>
          <w:sz w:val="21"/>
          <w:szCs w:val="21"/>
          <w:highlight w:val="none"/>
          <w:lang w:val="en-US" w:eastAsia="zh-CN"/>
        </w:rPr>
      </w:pPr>
      <w:r>
        <w:rPr>
          <w:rFonts w:hint="eastAsia"/>
          <w:b/>
          <w:bCs/>
          <w:sz w:val="21"/>
          <w:szCs w:val="21"/>
          <w:highlight w:val="none"/>
          <w:lang w:val="en-US" w:eastAsia="zh-CN"/>
        </w:rPr>
        <w:t>表3.1-23  主要施工设备一览表</w:t>
      </w:r>
    </w:p>
    <w:tbl>
      <w:tblPr>
        <w:tblStyle w:val="35"/>
        <w:tblW w:w="507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0" w:type="dxa"/>
          <w:bottom w:w="0" w:type="dxa"/>
          <w:right w:w="0" w:type="dxa"/>
        </w:tblCellMar>
      </w:tblPr>
      <w:tblGrid>
        <w:gridCol w:w="1206"/>
        <w:gridCol w:w="2839"/>
        <w:gridCol w:w="2759"/>
        <w:gridCol w:w="1372"/>
        <w:gridCol w:w="1053"/>
      </w:tblGrid>
      <w:tr w14:paraId="1764C0A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02" w:hRule="atLeast"/>
          <w:tblHeader/>
          <w:jc w:val="center"/>
        </w:trPr>
        <w:tc>
          <w:tcPr>
            <w:tcW w:w="653" w:type="pct"/>
            <w:noWrap w:val="0"/>
            <w:vAlign w:val="center"/>
          </w:tcPr>
          <w:p w14:paraId="03DC495A">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b/>
                <w:bCs/>
                <w:sz w:val="21"/>
                <w:szCs w:val="21"/>
              </w:rPr>
            </w:pPr>
            <w:r>
              <w:rPr>
                <w:b/>
                <w:bCs/>
                <w:sz w:val="21"/>
                <w:szCs w:val="21"/>
              </w:rPr>
              <w:t>序号</w:t>
            </w:r>
          </w:p>
        </w:tc>
        <w:tc>
          <w:tcPr>
            <w:tcW w:w="1537" w:type="pct"/>
            <w:noWrap w:val="0"/>
            <w:vAlign w:val="center"/>
          </w:tcPr>
          <w:p w14:paraId="242D6805">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b/>
                <w:bCs/>
                <w:sz w:val="21"/>
                <w:szCs w:val="21"/>
              </w:rPr>
            </w:pPr>
            <w:r>
              <w:rPr>
                <w:b/>
                <w:bCs/>
                <w:sz w:val="21"/>
                <w:szCs w:val="21"/>
              </w:rPr>
              <w:t>设备名称</w:t>
            </w:r>
          </w:p>
        </w:tc>
        <w:tc>
          <w:tcPr>
            <w:tcW w:w="1494" w:type="pct"/>
            <w:noWrap w:val="0"/>
            <w:vAlign w:val="center"/>
          </w:tcPr>
          <w:p w14:paraId="34F4BC89">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b/>
                <w:bCs/>
                <w:sz w:val="21"/>
                <w:szCs w:val="21"/>
              </w:rPr>
            </w:pPr>
            <w:r>
              <w:rPr>
                <w:b/>
                <w:bCs/>
                <w:sz w:val="21"/>
                <w:szCs w:val="21"/>
              </w:rPr>
              <w:t>主要参数</w:t>
            </w:r>
          </w:p>
        </w:tc>
        <w:tc>
          <w:tcPr>
            <w:tcW w:w="743" w:type="pct"/>
            <w:noWrap w:val="0"/>
            <w:vAlign w:val="center"/>
          </w:tcPr>
          <w:p w14:paraId="6DE2AD82">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b/>
                <w:bCs/>
                <w:sz w:val="21"/>
                <w:szCs w:val="21"/>
              </w:rPr>
            </w:pPr>
            <w:r>
              <w:rPr>
                <w:b/>
                <w:bCs/>
                <w:sz w:val="21"/>
                <w:szCs w:val="21"/>
              </w:rPr>
              <w:t>单位</w:t>
            </w:r>
          </w:p>
        </w:tc>
        <w:tc>
          <w:tcPr>
            <w:tcW w:w="570" w:type="pct"/>
            <w:noWrap w:val="0"/>
            <w:vAlign w:val="center"/>
          </w:tcPr>
          <w:p w14:paraId="2753E11D">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b/>
                <w:bCs/>
                <w:sz w:val="21"/>
                <w:szCs w:val="21"/>
              </w:rPr>
            </w:pPr>
            <w:r>
              <w:rPr>
                <w:b/>
                <w:bCs/>
                <w:sz w:val="21"/>
                <w:szCs w:val="21"/>
              </w:rPr>
              <w:t>数量</w:t>
            </w:r>
          </w:p>
        </w:tc>
      </w:tr>
      <w:tr w14:paraId="1A4424F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07" w:hRule="atLeast"/>
          <w:jc w:val="center"/>
        </w:trPr>
        <w:tc>
          <w:tcPr>
            <w:tcW w:w="653" w:type="pct"/>
            <w:noWrap w:val="0"/>
            <w:vAlign w:val="center"/>
          </w:tcPr>
          <w:p w14:paraId="79232F3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sz w:val="21"/>
                <w:szCs w:val="21"/>
              </w:rPr>
            </w:pPr>
            <w:r>
              <w:rPr>
                <w:sz w:val="21"/>
                <w:szCs w:val="21"/>
              </w:rPr>
              <w:t>1</w:t>
            </w:r>
          </w:p>
        </w:tc>
        <w:tc>
          <w:tcPr>
            <w:tcW w:w="1537" w:type="pct"/>
            <w:noWrap w:val="0"/>
            <w:vAlign w:val="center"/>
          </w:tcPr>
          <w:p w14:paraId="7C6625A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sz w:val="21"/>
                <w:szCs w:val="21"/>
              </w:rPr>
            </w:pPr>
            <w:r>
              <w:rPr>
                <w:sz w:val="21"/>
                <w:szCs w:val="21"/>
              </w:rPr>
              <w:t>挖掘机</w:t>
            </w:r>
          </w:p>
        </w:tc>
        <w:tc>
          <w:tcPr>
            <w:tcW w:w="1494" w:type="pct"/>
            <w:noWrap w:val="0"/>
            <w:vAlign w:val="center"/>
          </w:tcPr>
          <w:p w14:paraId="7B39205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sz w:val="21"/>
                <w:szCs w:val="21"/>
              </w:rPr>
            </w:pPr>
            <w:r>
              <w:rPr>
                <w:rFonts w:hint="eastAsia"/>
                <w:sz w:val="21"/>
                <w:szCs w:val="21"/>
              </w:rPr>
              <w:t>中型液压挖掘机</w:t>
            </w:r>
          </w:p>
        </w:tc>
        <w:tc>
          <w:tcPr>
            <w:tcW w:w="743" w:type="pct"/>
            <w:noWrap w:val="0"/>
            <w:vAlign w:val="center"/>
          </w:tcPr>
          <w:p w14:paraId="6B60C16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sz w:val="21"/>
                <w:szCs w:val="21"/>
              </w:rPr>
            </w:pPr>
            <w:r>
              <w:rPr>
                <w:sz w:val="21"/>
                <w:szCs w:val="21"/>
              </w:rPr>
              <w:t>台</w:t>
            </w:r>
          </w:p>
        </w:tc>
        <w:tc>
          <w:tcPr>
            <w:tcW w:w="570" w:type="pct"/>
            <w:noWrap w:val="0"/>
            <w:vAlign w:val="center"/>
          </w:tcPr>
          <w:p w14:paraId="3F66D49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sz w:val="21"/>
                <w:szCs w:val="21"/>
                <w:lang w:eastAsia="zh-CN"/>
              </w:rPr>
            </w:pPr>
            <w:r>
              <w:rPr>
                <w:rFonts w:hint="eastAsia"/>
                <w:sz w:val="21"/>
                <w:szCs w:val="21"/>
                <w:lang w:val="en-US" w:eastAsia="zh-CN"/>
              </w:rPr>
              <w:t>3</w:t>
            </w:r>
          </w:p>
        </w:tc>
      </w:tr>
      <w:tr w14:paraId="0170662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07" w:hRule="atLeast"/>
          <w:jc w:val="center"/>
        </w:trPr>
        <w:tc>
          <w:tcPr>
            <w:tcW w:w="653" w:type="pct"/>
            <w:noWrap w:val="0"/>
            <w:vAlign w:val="center"/>
          </w:tcPr>
          <w:p w14:paraId="5BD481B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rPr>
              <w:t>2</w:t>
            </w:r>
          </w:p>
        </w:tc>
        <w:tc>
          <w:tcPr>
            <w:tcW w:w="1537" w:type="pct"/>
            <w:noWrap w:val="0"/>
            <w:vAlign w:val="center"/>
          </w:tcPr>
          <w:p w14:paraId="539ED93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sz w:val="21"/>
                <w:szCs w:val="21"/>
              </w:rPr>
            </w:pPr>
            <w:r>
              <w:rPr>
                <w:sz w:val="21"/>
                <w:szCs w:val="21"/>
              </w:rPr>
              <w:t>装载机</w:t>
            </w:r>
          </w:p>
        </w:tc>
        <w:tc>
          <w:tcPr>
            <w:tcW w:w="1494" w:type="pct"/>
            <w:noWrap w:val="0"/>
            <w:vAlign w:val="center"/>
          </w:tcPr>
          <w:p w14:paraId="3365273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sz w:val="21"/>
                <w:szCs w:val="21"/>
              </w:rPr>
            </w:pPr>
            <w:r>
              <w:rPr>
                <w:rFonts w:hint="eastAsia"/>
                <w:sz w:val="21"/>
                <w:szCs w:val="21"/>
              </w:rPr>
              <w:t>中型</w:t>
            </w:r>
          </w:p>
        </w:tc>
        <w:tc>
          <w:tcPr>
            <w:tcW w:w="743" w:type="pct"/>
            <w:noWrap w:val="0"/>
            <w:vAlign w:val="center"/>
          </w:tcPr>
          <w:p w14:paraId="634730B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sz w:val="21"/>
                <w:szCs w:val="21"/>
              </w:rPr>
            </w:pPr>
            <w:r>
              <w:rPr>
                <w:sz w:val="21"/>
                <w:szCs w:val="21"/>
              </w:rPr>
              <w:t>辆</w:t>
            </w:r>
          </w:p>
        </w:tc>
        <w:tc>
          <w:tcPr>
            <w:tcW w:w="570" w:type="pct"/>
            <w:noWrap w:val="0"/>
            <w:vAlign w:val="center"/>
          </w:tcPr>
          <w:p w14:paraId="2787948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rPr>
              <w:t>3</w:t>
            </w:r>
          </w:p>
        </w:tc>
      </w:tr>
      <w:tr w14:paraId="6DF23A9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07" w:hRule="atLeast"/>
          <w:jc w:val="center"/>
        </w:trPr>
        <w:tc>
          <w:tcPr>
            <w:tcW w:w="653" w:type="pct"/>
            <w:noWrap w:val="0"/>
            <w:vAlign w:val="center"/>
          </w:tcPr>
          <w:p w14:paraId="30CCFA3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rPr>
              <w:t>3</w:t>
            </w:r>
          </w:p>
        </w:tc>
        <w:tc>
          <w:tcPr>
            <w:tcW w:w="1537" w:type="pct"/>
            <w:noWrap w:val="0"/>
            <w:vAlign w:val="center"/>
          </w:tcPr>
          <w:p w14:paraId="35421B0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sz w:val="21"/>
                <w:szCs w:val="21"/>
              </w:rPr>
            </w:pPr>
            <w:r>
              <w:rPr>
                <w:sz w:val="21"/>
                <w:szCs w:val="21"/>
              </w:rPr>
              <w:t>密闭自卸汽车</w:t>
            </w:r>
          </w:p>
        </w:tc>
        <w:tc>
          <w:tcPr>
            <w:tcW w:w="1494" w:type="pct"/>
            <w:noWrap w:val="0"/>
            <w:vAlign w:val="center"/>
          </w:tcPr>
          <w:p w14:paraId="150D62C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sz w:val="21"/>
                <w:szCs w:val="21"/>
              </w:rPr>
            </w:pPr>
            <w:r>
              <w:rPr>
                <w:sz w:val="21"/>
                <w:szCs w:val="21"/>
              </w:rPr>
              <w:t>载重</w:t>
            </w:r>
            <w:r>
              <w:rPr>
                <w:rFonts w:hint="eastAsia"/>
                <w:sz w:val="21"/>
                <w:szCs w:val="21"/>
                <w:lang w:val="en-US" w:eastAsia="zh-CN"/>
              </w:rPr>
              <w:t>2</w:t>
            </w:r>
            <w:r>
              <w:rPr>
                <w:sz w:val="21"/>
                <w:szCs w:val="21"/>
              </w:rPr>
              <w:t>0t</w:t>
            </w:r>
          </w:p>
        </w:tc>
        <w:tc>
          <w:tcPr>
            <w:tcW w:w="743" w:type="pct"/>
            <w:noWrap w:val="0"/>
            <w:vAlign w:val="center"/>
          </w:tcPr>
          <w:p w14:paraId="6302B0D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sz w:val="21"/>
                <w:szCs w:val="21"/>
              </w:rPr>
            </w:pPr>
            <w:r>
              <w:rPr>
                <w:sz w:val="21"/>
                <w:szCs w:val="21"/>
              </w:rPr>
              <w:t>辆</w:t>
            </w:r>
          </w:p>
        </w:tc>
        <w:tc>
          <w:tcPr>
            <w:tcW w:w="570" w:type="pct"/>
            <w:noWrap w:val="0"/>
            <w:vAlign w:val="center"/>
          </w:tcPr>
          <w:p w14:paraId="21DA567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sz w:val="21"/>
                <w:szCs w:val="21"/>
              </w:rPr>
              <w:t>3</w:t>
            </w:r>
          </w:p>
        </w:tc>
      </w:tr>
      <w:tr w14:paraId="52000B4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07" w:hRule="atLeast"/>
          <w:jc w:val="center"/>
        </w:trPr>
        <w:tc>
          <w:tcPr>
            <w:tcW w:w="653" w:type="pct"/>
            <w:noWrap w:val="0"/>
            <w:vAlign w:val="center"/>
          </w:tcPr>
          <w:p w14:paraId="59D06FC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sz w:val="21"/>
                <w:szCs w:val="21"/>
                <w:lang w:eastAsia="zh-CN"/>
              </w:rPr>
            </w:pPr>
            <w:r>
              <w:rPr>
                <w:rFonts w:hint="eastAsia"/>
                <w:sz w:val="21"/>
                <w:szCs w:val="21"/>
                <w:lang w:val="en-US" w:eastAsia="zh-CN"/>
              </w:rPr>
              <w:t>4</w:t>
            </w:r>
          </w:p>
        </w:tc>
        <w:tc>
          <w:tcPr>
            <w:tcW w:w="1537" w:type="pct"/>
            <w:noWrap w:val="0"/>
            <w:vAlign w:val="center"/>
          </w:tcPr>
          <w:p w14:paraId="2B2762A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sz w:val="21"/>
                <w:szCs w:val="21"/>
              </w:rPr>
            </w:pPr>
            <w:r>
              <w:rPr>
                <w:sz w:val="21"/>
                <w:szCs w:val="21"/>
              </w:rPr>
              <w:t>推土机</w:t>
            </w:r>
          </w:p>
        </w:tc>
        <w:tc>
          <w:tcPr>
            <w:tcW w:w="1494" w:type="pct"/>
            <w:noWrap w:val="0"/>
            <w:vAlign w:val="center"/>
          </w:tcPr>
          <w:p w14:paraId="35F17E1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sz w:val="21"/>
                <w:szCs w:val="21"/>
              </w:rPr>
            </w:pPr>
            <w:r>
              <w:rPr>
                <w:sz w:val="21"/>
                <w:szCs w:val="21"/>
              </w:rPr>
              <w:t>/</w:t>
            </w:r>
          </w:p>
        </w:tc>
        <w:tc>
          <w:tcPr>
            <w:tcW w:w="743" w:type="pct"/>
            <w:noWrap w:val="0"/>
            <w:vAlign w:val="center"/>
          </w:tcPr>
          <w:p w14:paraId="6C5E9FF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sz w:val="21"/>
                <w:szCs w:val="21"/>
              </w:rPr>
            </w:pPr>
            <w:r>
              <w:rPr>
                <w:sz w:val="21"/>
                <w:szCs w:val="21"/>
              </w:rPr>
              <w:t>辆</w:t>
            </w:r>
          </w:p>
        </w:tc>
        <w:tc>
          <w:tcPr>
            <w:tcW w:w="570" w:type="pct"/>
            <w:noWrap w:val="0"/>
            <w:vAlign w:val="center"/>
          </w:tcPr>
          <w:p w14:paraId="5B5113F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sz w:val="21"/>
                <w:szCs w:val="21"/>
              </w:rPr>
            </w:pPr>
            <w:r>
              <w:rPr>
                <w:sz w:val="21"/>
                <w:szCs w:val="21"/>
              </w:rPr>
              <w:t>1</w:t>
            </w:r>
          </w:p>
        </w:tc>
      </w:tr>
      <w:tr w14:paraId="17C57B0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07" w:hRule="atLeast"/>
          <w:jc w:val="center"/>
        </w:trPr>
        <w:tc>
          <w:tcPr>
            <w:tcW w:w="653" w:type="pct"/>
            <w:noWrap w:val="0"/>
            <w:vAlign w:val="center"/>
          </w:tcPr>
          <w:p w14:paraId="325569D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sz w:val="21"/>
                <w:szCs w:val="21"/>
                <w:lang w:eastAsia="zh-CN"/>
              </w:rPr>
            </w:pPr>
            <w:r>
              <w:rPr>
                <w:rFonts w:hint="eastAsia"/>
                <w:sz w:val="21"/>
                <w:szCs w:val="21"/>
                <w:lang w:val="en-US" w:eastAsia="zh-CN"/>
              </w:rPr>
              <w:t>5</w:t>
            </w:r>
          </w:p>
        </w:tc>
        <w:tc>
          <w:tcPr>
            <w:tcW w:w="1537" w:type="pct"/>
            <w:noWrap w:val="0"/>
            <w:vAlign w:val="center"/>
          </w:tcPr>
          <w:p w14:paraId="38C9786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sz w:val="21"/>
                <w:szCs w:val="21"/>
              </w:rPr>
            </w:pPr>
            <w:r>
              <w:rPr>
                <w:sz w:val="21"/>
                <w:szCs w:val="21"/>
              </w:rPr>
              <w:t>压实机</w:t>
            </w:r>
          </w:p>
        </w:tc>
        <w:tc>
          <w:tcPr>
            <w:tcW w:w="1494" w:type="pct"/>
            <w:noWrap w:val="0"/>
            <w:vAlign w:val="center"/>
          </w:tcPr>
          <w:p w14:paraId="077EFC8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sz w:val="21"/>
                <w:szCs w:val="21"/>
              </w:rPr>
            </w:pPr>
            <w:r>
              <w:rPr>
                <w:sz w:val="21"/>
                <w:szCs w:val="21"/>
              </w:rPr>
              <w:t>/</w:t>
            </w:r>
          </w:p>
        </w:tc>
        <w:tc>
          <w:tcPr>
            <w:tcW w:w="743" w:type="pct"/>
            <w:noWrap w:val="0"/>
            <w:vAlign w:val="center"/>
          </w:tcPr>
          <w:p w14:paraId="520885B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sz w:val="21"/>
                <w:szCs w:val="21"/>
              </w:rPr>
            </w:pPr>
            <w:r>
              <w:rPr>
                <w:sz w:val="21"/>
                <w:szCs w:val="21"/>
              </w:rPr>
              <w:t>台</w:t>
            </w:r>
          </w:p>
        </w:tc>
        <w:tc>
          <w:tcPr>
            <w:tcW w:w="570" w:type="pct"/>
            <w:noWrap w:val="0"/>
            <w:vAlign w:val="center"/>
          </w:tcPr>
          <w:p w14:paraId="53E84CB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sz w:val="21"/>
                <w:szCs w:val="21"/>
              </w:rPr>
            </w:pPr>
            <w:r>
              <w:rPr>
                <w:sz w:val="21"/>
                <w:szCs w:val="21"/>
              </w:rPr>
              <w:t>2</w:t>
            </w:r>
          </w:p>
        </w:tc>
      </w:tr>
      <w:tr w14:paraId="7C136F8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18" w:hRule="atLeast"/>
          <w:jc w:val="center"/>
        </w:trPr>
        <w:tc>
          <w:tcPr>
            <w:tcW w:w="653" w:type="pct"/>
            <w:noWrap w:val="0"/>
            <w:vAlign w:val="center"/>
          </w:tcPr>
          <w:p w14:paraId="639E477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sz w:val="21"/>
                <w:szCs w:val="21"/>
                <w:lang w:eastAsia="zh-CN"/>
              </w:rPr>
            </w:pPr>
            <w:r>
              <w:rPr>
                <w:rFonts w:hint="eastAsia"/>
                <w:sz w:val="21"/>
                <w:szCs w:val="21"/>
                <w:lang w:val="en-US" w:eastAsia="zh-CN"/>
              </w:rPr>
              <w:t>6</w:t>
            </w:r>
          </w:p>
        </w:tc>
        <w:tc>
          <w:tcPr>
            <w:tcW w:w="1537" w:type="pct"/>
            <w:noWrap w:val="0"/>
            <w:vAlign w:val="center"/>
          </w:tcPr>
          <w:p w14:paraId="560F9F1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sz w:val="21"/>
                <w:szCs w:val="21"/>
              </w:rPr>
            </w:pPr>
            <w:r>
              <w:rPr>
                <w:rFonts w:hint="eastAsia"/>
                <w:sz w:val="21"/>
                <w:szCs w:val="21"/>
              </w:rPr>
              <w:t>水泵</w:t>
            </w:r>
          </w:p>
        </w:tc>
        <w:tc>
          <w:tcPr>
            <w:tcW w:w="1494" w:type="pct"/>
            <w:noWrap w:val="0"/>
            <w:vAlign w:val="center"/>
          </w:tcPr>
          <w:p w14:paraId="21EA6FB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sz w:val="21"/>
                <w:szCs w:val="21"/>
              </w:rPr>
            </w:pPr>
            <w:r>
              <w:rPr>
                <w:rFonts w:hint="eastAsia"/>
                <w:sz w:val="21"/>
                <w:szCs w:val="21"/>
              </w:rPr>
              <w:t>/</w:t>
            </w:r>
          </w:p>
        </w:tc>
        <w:tc>
          <w:tcPr>
            <w:tcW w:w="743" w:type="pct"/>
            <w:noWrap w:val="0"/>
            <w:vAlign w:val="center"/>
          </w:tcPr>
          <w:p w14:paraId="4A90668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sz w:val="21"/>
                <w:szCs w:val="21"/>
              </w:rPr>
            </w:pPr>
            <w:r>
              <w:rPr>
                <w:sz w:val="21"/>
                <w:szCs w:val="21"/>
              </w:rPr>
              <w:t>台</w:t>
            </w:r>
          </w:p>
        </w:tc>
        <w:tc>
          <w:tcPr>
            <w:tcW w:w="570" w:type="pct"/>
            <w:noWrap w:val="0"/>
            <w:vAlign w:val="center"/>
          </w:tcPr>
          <w:p w14:paraId="475CC62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sz w:val="21"/>
                <w:szCs w:val="21"/>
              </w:rPr>
            </w:pPr>
            <w:r>
              <w:rPr>
                <w:rFonts w:hint="eastAsia"/>
                <w:sz w:val="21"/>
                <w:szCs w:val="21"/>
              </w:rPr>
              <w:t>2</w:t>
            </w:r>
          </w:p>
        </w:tc>
      </w:tr>
    </w:tbl>
    <w:p w14:paraId="21B3B938">
      <w:pPr>
        <w:pStyle w:val="9"/>
        <w:numPr>
          <w:ilvl w:val="2"/>
          <w:numId w:val="1"/>
        </w:numPr>
        <w:bidi w:val="0"/>
        <w:ind w:left="709" w:leftChars="0" w:hanging="709" w:firstLineChars="0"/>
        <w:rPr>
          <w:rFonts w:hint="eastAsia"/>
          <w:highlight w:val="none"/>
          <w:lang w:val="en-US" w:eastAsia="zh-CN"/>
        </w:rPr>
      </w:pPr>
      <w:r>
        <w:rPr>
          <w:rFonts w:hint="eastAsia"/>
          <w:highlight w:val="none"/>
          <w:lang w:val="en-US" w:eastAsia="zh-CN"/>
        </w:rPr>
        <w:t xml:space="preserve">工程占地情况 </w:t>
      </w:r>
    </w:p>
    <w:p w14:paraId="3F2221ED">
      <w:pPr>
        <w:bidi w:val="0"/>
        <w:rPr>
          <w:rFonts w:hint="eastAsia"/>
          <w:highlight w:val="none"/>
          <w:lang w:val="en-US" w:eastAsia="zh-CN"/>
        </w:rPr>
      </w:pPr>
      <w:r>
        <w:rPr>
          <w:rFonts w:hint="eastAsia"/>
          <w:highlight w:val="none"/>
          <w:lang w:val="en-US" w:eastAsia="zh-CN"/>
        </w:rPr>
        <w:t>本项目位于平江县三阳乡南尧村，废渣区占地面积9010m</w:t>
      </w:r>
      <w:r>
        <w:rPr>
          <w:rFonts w:hint="eastAsia"/>
          <w:highlight w:val="none"/>
          <w:vertAlign w:val="superscript"/>
          <w:lang w:val="en-US" w:eastAsia="zh-CN"/>
        </w:rPr>
        <w:t>2</w:t>
      </w:r>
      <w:r>
        <w:rPr>
          <w:rFonts w:hint="eastAsia"/>
          <w:highlight w:val="none"/>
          <w:lang w:val="en-US" w:eastAsia="zh-CN"/>
        </w:rPr>
        <w:t>，填埋场占地面积7805m</w:t>
      </w:r>
      <w:r>
        <w:rPr>
          <w:rFonts w:hint="eastAsia"/>
          <w:highlight w:val="none"/>
          <w:vertAlign w:val="superscript"/>
          <w:lang w:val="en-US" w:eastAsia="zh-CN"/>
        </w:rPr>
        <w:t>2</w:t>
      </w:r>
      <w:r>
        <w:rPr>
          <w:rFonts w:hint="eastAsia"/>
          <w:highlight w:val="none"/>
          <w:lang w:val="en-US" w:eastAsia="zh-CN"/>
        </w:rPr>
        <w:t>，临时道路占地面积5331m</w:t>
      </w:r>
      <w:r>
        <w:rPr>
          <w:rFonts w:hint="eastAsia"/>
          <w:highlight w:val="none"/>
          <w:vertAlign w:val="superscript"/>
          <w:lang w:val="en-US" w:eastAsia="zh-CN"/>
        </w:rPr>
        <w:t>2</w:t>
      </w:r>
      <w:r>
        <w:rPr>
          <w:rFonts w:hint="eastAsia"/>
          <w:highlight w:val="none"/>
          <w:lang w:val="en-US" w:eastAsia="zh-CN"/>
        </w:rPr>
        <w:t>，取土场占地面积3668m</w:t>
      </w:r>
      <w:r>
        <w:rPr>
          <w:rFonts w:hint="eastAsia"/>
          <w:highlight w:val="none"/>
          <w:vertAlign w:val="superscript"/>
          <w:lang w:val="en-US" w:eastAsia="zh-CN"/>
        </w:rPr>
        <w:t>2</w:t>
      </w:r>
      <w:r>
        <w:rPr>
          <w:rFonts w:hint="eastAsia"/>
          <w:highlight w:val="none"/>
          <w:lang w:val="en-US" w:eastAsia="zh-CN"/>
        </w:rPr>
        <w:t>。项目不单独设置施工生活营地、不设置弃土场。本项目用地类型见下表。</w:t>
      </w:r>
    </w:p>
    <w:p w14:paraId="16980983">
      <w:pPr>
        <w:bidi w:val="0"/>
        <w:ind w:left="0" w:leftChars="0" w:firstLine="0" w:firstLineChars="0"/>
        <w:jc w:val="center"/>
        <w:rPr>
          <w:rFonts w:hint="eastAsia"/>
          <w:b/>
          <w:bCs/>
          <w:sz w:val="21"/>
          <w:szCs w:val="21"/>
          <w:highlight w:val="none"/>
          <w:lang w:val="en-US" w:eastAsia="zh-CN"/>
        </w:rPr>
      </w:pPr>
      <w:r>
        <w:rPr>
          <w:rFonts w:hint="eastAsia"/>
          <w:b/>
          <w:bCs/>
          <w:sz w:val="21"/>
          <w:szCs w:val="21"/>
          <w:highlight w:val="none"/>
          <w:lang w:val="en-US" w:eastAsia="zh-CN"/>
        </w:rPr>
        <w:t>表3.1-24  项目实施区域土地现状性质类型一览表</w:t>
      </w:r>
    </w:p>
    <w:tbl>
      <w:tblPr>
        <w:tblStyle w:val="35"/>
        <w:tblW w:w="5015"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0" w:type="dxa"/>
          <w:bottom w:w="0" w:type="dxa"/>
          <w:right w:w="0" w:type="dxa"/>
        </w:tblCellMar>
      </w:tblPr>
      <w:tblGrid>
        <w:gridCol w:w="1154"/>
        <w:gridCol w:w="1450"/>
        <w:gridCol w:w="1159"/>
        <w:gridCol w:w="1070"/>
        <w:gridCol w:w="1070"/>
        <w:gridCol w:w="1070"/>
        <w:gridCol w:w="1070"/>
        <w:gridCol w:w="1086"/>
      </w:tblGrid>
      <w:tr w14:paraId="44ADC04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38" w:hRule="atLeast"/>
          <w:tblHeader/>
          <w:jc w:val="center"/>
        </w:trPr>
        <w:tc>
          <w:tcPr>
            <w:tcW w:w="632" w:type="pct"/>
            <w:vMerge w:val="restart"/>
            <w:noWrap w:val="0"/>
            <w:vAlign w:val="center"/>
          </w:tcPr>
          <w:p w14:paraId="25933C1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b/>
                <w:bCs/>
                <w:sz w:val="21"/>
                <w:szCs w:val="21"/>
                <w:highlight w:val="none"/>
                <w:lang w:val="en-US" w:eastAsia="zh-CN"/>
              </w:rPr>
            </w:pPr>
            <w:r>
              <w:rPr>
                <w:rFonts w:hint="eastAsia"/>
                <w:b/>
                <w:bCs/>
                <w:sz w:val="21"/>
                <w:szCs w:val="21"/>
                <w:highlight w:val="none"/>
                <w:lang w:val="en-US" w:eastAsia="zh-CN"/>
              </w:rPr>
              <w:t>占地性质</w:t>
            </w:r>
          </w:p>
        </w:tc>
        <w:tc>
          <w:tcPr>
            <w:tcW w:w="793" w:type="pct"/>
            <w:vMerge w:val="restart"/>
            <w:noWrap w:val="0"/>
            <w:vAlign w:val="center"/>
          </w:tcPr>
          <w:p w14:paraId="02097DE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b/>
                <w:bCs/>
                <w:sz w:val="21"/>
                <w:szCs w:val="21"/>
                <w:highlight w:val="none"/>
                <w:lang w:val="en-US" w:eastAsia="zh-CN"/>
              </w:rPr>
            </w:pPr>
            <w:r>
              <w:rPr>
                <w:rFonts w:hint="eastAsia"/>
                <w:b/>
                <w:bCs/>
                <w:sz w:val="21"/>
                <w:szCs w:val="21"/>
                <w:highlight w:val="none"/>
                <w:lang w:val="en-US" w:eastAsia="zh-CN"/>
              </w:rPr>
              <w:t>项目组成</w:t>
            </w:r>
          </w:p>
        </w:tc>
        <w:tc>
          <w:tcPr>
            <w:tcW w:w="635" w:type="pct"/>
            <w:vMerge w:val="restart"/>
            <w:noWrap w:val="0"/>
            <w:vAlign w:val="center"/>
          </w:tcPr>
          <w:p w14:paraId="162358E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b/>
                <w:bCs/>
                <w:sz w:val="21"/>
                <w:szCs w:val="21"/>
                <w:highlight w:val="none"/>
                <w:lang w:val="en-US" w:eastAsia="zh-CN"/>
              </w:rPr>
            </w:pPr>
            <w:r>
              <w:rPr>
                <w:rFonts w:hint="eastAsia"/>
                <w:b/>
                <w:bCs/>
                <w:sz w:val="21"/>
                <w:szCs w:val="21"/>
                <w:highlight w:val="none"/>
                <w:lang w:val="en-US" w:eastAsia="zh-CN"/>
              </w:rPr>
              <w:t>占地面积（m</w:t>
            </w:r>
            <w:r>
              <w:rPr>
                <w:rFonts w:hint="eastAsia"/>
                <w:b/>
                <w:bCs/>
                <w:sz w:val="21"/>
                <w:szCs w:val="21"/>
                <w:highlight w:val="none"/>
                <w:vertAlign w:val="superscript"/>
                <w:lang w:val="en-US" w:eastAsia="zh-CN"/>
              </w:rPr>
              <w:t>2</w:t>
            </w:r>
            <w:r>
              <w:rPr>
                <w:rFonts w:hint="eastAsia"/>
                <w:b/>
                <w:bCs/>
                <w:sz w:val="21"/>
                <w:szCs w:val="21"/>
                <w:highlight w:val="none"/>
                <w:lang w:val="en-US" w:eastAsia="zh-CN"/>
              </w:rPr>
              <w:t>）</w:t>
            </w:r>
          </w:p>
        </w:tc>
        <w:tc>
          <w:tcPr>
            <w:tcW w:w="2937" w:type="pct"/>
            <w:gridSpan w:val="5"/>
            <w:noWrap w:val="0"/>
            <w:vAlign w:val="center"/>
          </w:tcPr>
          <w:p w14:paraId="6B15A03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b/>
                <w:bCs/>
                <w:sz w:val="21"/>
                <w:szCs w:val="21"/>
                <w:highlight w:val="none"/>
                <w:lang w:val="en-US" w:eastAsia="zh-CN"/>
              </w:rPr>
            </w:pPr>
            <w:r>
              <w:rPr>
                <w:rFonts w:hint="eastAsia"/>
                <w:b/>
                <w:bCs/>
                <w:sz w:val="21"/>
                <w:szCs w:val="21"/>
                <w:highlight w:val="none"/>
                <w:lang w:val="en-US" w:eastAsia="zh-CN"/>
              </w:rPr>
              <w:t>其中（m</w:t>
            </w:r>
            <w:r>
              <w:rPr>
                <w:rFonts w:hint="eastAsia"/>
                <w:b/>
                <w:bCs/>
                <w:sz w:val="21"/>
                <w:szCs w:val="21"/>
                <w:highlight w:val="none"/>
                <w:vertAlign w:val="superscript"/>
                <w:lang w:val="en-US" w:eastAsia="zh-CN"/>
              </w:rPr>
              <w:t>2</w:t>
            </w:r>
            <w:r>
              <w:rPr>
                <w:rFonts w:hint="eastAsia"/>
                <w:b/>
                <w:bCs/>
                <w:sz w:val="21"/>
                <w:szCs w:val="21"/>
                <w:highlight w:val="none"/>
                <w:lang w:val="en-US" w:eastAsia="zh-CN"/>
              </w:rPr>
              <w:t>）</w:t>
            </w:r>
          </w:p>
        </w:tc>
      </w:tr>
      <w:tr w14:paraId="7784AD1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38" w:hRule="atLeast"/>
          <w:tblHeader/>
          <w:jc w:val="center"/>
        </w:trPr>
        <w:tc>
          <w:tcPr>
            <w:tcW w:w="632" w:type="pct"/>
            <w:vMerge w:val="continue"/>
            <w:noWrap w:val="0"/>
            <w:vAlign w:val="center"/>
          </w:tcPr>
          <w:p w14:paraId="7E2AF82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b/>
                <w:bCs/>
                <w:sz w:val="21"/>
                <w:szCs w:val="21"/>
                <w:highlight w:val="none"/>
                <w:lang w:val="en-US" w:eastAsia="zh-CN"/>
              </w:rPr>
            </w:pPr>
          </w:p>
        </w:tc>
        <w:tc>
          <w:tcPr>
            <w:tcW w:w="793" w:type="pct"/>
            <w:vMerge w:val="continue"/>
            <w:noWrap w:val="0"/>
            <w:vAlign w:val="center"/>
          </w:tcPr>
          <w:p w14:paraId="7A5E506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b/>
                <w:bCs/>
                <w:sz w:val="21"/>
                <w:szCs w:val="21"/>
                <w:highlight w:val="none"/>
                <w:lang w:val="en-US" w:eastAsia="zh-CN"/>
              </w:rPr>
            </w:pPr>
          </w:p>
        </w:tc>
        <w:tc>
          <w:tcPr>
            <w:tcW w:w="635" w:type="pct"/>
            <w:vMerge w:val="continue"/>
            <w:noWrap w:val="0"/>
            <w:vAlign w:val="center"/>
          </w:tcPr>
          <w:p w14:paraId="3923ED1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b/>
                <w:bCs/>
                <w:sz w:val="21"/>
                <w:szCs w:val="21"/>
                <w:highlight w:val="none"/>
                <w:lang w:val="en-US" w:eastAsia="zh-CN"/>
              </w:rPr>
            </w:pPr>
          </w:p>
        </w:tc>
        <w:tc>
          <w:tcPr>
            <w:tcW w:w="586" w:type="pct"/>
            <w:noWrap w:val="0"/>
            <w:vAlign w:val="center"/>
          </w:tcPr>
          <w:p w14:paraId="6213AAB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b/>
                <w:bCs/>
                <w:sz w:val="21"/>
                <w:szCs w:val="21"/>
                <w:highlight w:val="none"/>
                <w:lang w:val="en-US" w:eastAsia="zh-CN"/>
              </w:rPr>
            </w:pPr>
            <w:r>
              <w:rPr>
                <w:rFonts w:hint="eastAsia"/>
                <w:b/>
                <w:bCs/>
                <w:sz w:val="21"/>
                <w:szCs w:val="21"/>
                <w:highlight w:val="none"/>
                <w:lang w:val="en-US" w:eastAsia="zh-CN"/>
              </w:rPr>
              <w:t>耕地</w:t>
            </w:r>
          </w:p>
        </w:tc>
        <w:tc>
          <w:tcPr>
            <w:tcW w:w="586" w:type="pct"/>
            <w:noWrap w:val="0"/>
            <w:vAlign w:val="center"/>
          </w:tcPr>
          <w:p w14:paraId="5AB008F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b/>
                <w:bCs/>
                <w:sz w:val="21"/>
                <w:szCs w:val="21"/>
                <w:highlight w:val="none"/>
                <w:lang w:val="en-US" w:eastAsia="zh-CN"/>
              </w:rPr>
            </w:pPr>
            <w:r>
              <w:rPr>
                <w:rFonts w:hint="eastAsia"/>
                <w:b/>
                <w:bCs/>
                <w:sz w:val="21"/>
                <w:szCs w:val="21"/>
                <w:highlight w:val="none"/>
                <w:lang w:val="en-US" w:eastAsia="zh-CN"/>
              </w:rPr>
              <w:t>林地</w:t>
            </w:r>
          </w:p>
        </w:tc>
        <w:tc>
          <w:tcPr>
            <w:tcW w:w="586" w:type="pct"/>
            <w:noWrap w:val="0"/>
            <w:vAlign w:val="center"/>
          </w:tcPr>
          <w:p w14:paraId="74D4752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b/>
                <w:bCs/>
                <w:sz w:val="21"/>
                <w:szCs w:val="21"/>
                <w:highlight w:val="none"/>
                <w:lang w:val="en-US" w:eastAsia="zh-CN"/>
              </w:rPr>
            </w:pPr>
            <w:r>
              <w:rPr>
                <w:rFonts w:hint="eastAsia"/>
                <w:b/>
                <w:bCs/>
                <w:sz w:val="21"/>
                <w:szCs w:val="21"/>
                <w:highlight w:val="none"/>
                <w:lang w:val="en-US" w:eastAsia="zh-CN"/>
              </w:rPr>
              <w:t>水域</w:t>
            </w:r>
          </w:p>
        </w:tc>
        <w:tc>
          <w:tcPr>
            <w:tcW w:w="586" w:type="pct"/>
            <w:noWrap w:val="0"/>
            <w:vAlign w:val="center"/>
          </w:tcPr>
          <w:p w14:paraId="4A07312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b/>
                <w:bCs/>
                <w:sz w:val="21"/>
                <w:szCs w:val="21"/>
                <w:highlight w:val="none"/>
                <w:lang w:val="en-US" w:eastAsia="zh-CN"/>
              </w:rPr>
            </w:pPr>
            <w:r>
              <w:rPr>
                <w:rFonts w:hint="eastAsia"/>
                <w:b/>
                <w:bCs/>
                <w:sz w:val="21"/>
                <w:szCs w:val="21"/>
                <w:highlight w:val="none"/>
                <w:lang w:val="en-US" w:eastAsia="zh-CN"/>
              </w:rPr>
              <w:t>交通运输</w:t>
            </w:r>
          </w:p>
        </w:tc>
        <w:tc>
          <w:tcPr>
            <w:tcW w:w="592" w:type="pct"/>
            <w:noWrap w:val="0"/>
            <w:vAlign w:val="center"/>
          </w:tcPr>
          <w:p w14:paraId="0D38064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bCs/>
                <w:sz w:val="21"/>
                <w:szCs w:val="21"/>
                <w:highlight w:val="none"/>
                <w:lang w:val="en-US" w:eastAsia="zh-CN"/>
              </w:rPr>
            </w:pPr>
            <w:r>
              <w:rPr>
                <w:rFonts w:hint="eastAsia"/>
                <w:b/>
                <w:bCs/>
                <w:sz w:val="21"/>
                <w:szCs w:val="21"/>
                <w:highlight w:val="none"/>
                <w:lang w:val="en-US" w:eastAsia="zh-CN"/>
              </w:rPr>
              <w:t>其他土地</w:t>
            </w:r>
          </w:p>
        </w:tc>
      </w:tr>
      <w:tr w14:paraId="546B7D0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38" w:hRule="atLeast"/>
          <w:jc w:val="center"/>
        </w:trPr>
        <w:tc>
          <w:tcPr>
            <w:tcW w:w="632" w:type="pct"/>
            <w:noWrap w:val="0"/>
            <w:vAlign w:val="center"/>
          </w:tcPr>
          <w:p w14:paraId="362580A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永久占地</w:t>
            </w:r>
          </w:p>
        </w:tc>
        <w:tc>
          <w:tcPr>
            <w:tcW w:w="793" w:type="pct"/>
            <w:noWrap w:val="0"/>
            <w:vAlign w:val="center"/>
          </w:tcPr>
          <w:p w14:paraId="324E294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填埋区</w:t>
            </w:r>
          </w:p>
        </w:tc>
        <w:tc>
          <w:tcPr>
            <w:tcW w:w="635" w:type="pct"/>
            <w:noWrap w:val="0"/>
            <w:vAlign w:val="center"/>
          </w:tcPr>
          <w:p w14:paraId="65D12B9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lang w:val="en-US" w:eastAsia="zh-CN"/>
              </w:rPr>
            </w:pPr>
            <w:r>
              <w:rPr>
                <w:rFonts w:hint="eastAsia"/>
                <w:sz w:val="21"/>
                <w:szCs w:val="21"/>
                <w:highlight w:val="none"/>
                <w:lang w:val="en-US" w:eastAsia="zh-CN"/>
              </w:rPr>
              <w:t>7805</w:t>
            </w:r>
          </w:p>
        </w:tc>
        <w:tc>
          <w:tcPr>
            <w:tcW w:w="586" w:type="pct"/>
            <w:noWrap w:val="0"/>
            <w:vAlign w:val="center"/>
          </w:tcPr>
          <w:p w14:paraId="5767215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lang w:val="en-US" w:eastAsia="zh-CN"/>
              </w:rPr>
            </w:pPr>
            <w:r>
              <w:rPr>
                <w:rFonts w:hint="eastAsia"/>
                <w:sz w:val="21"/>
                <w:szCs w:val="21"/>
                <w:highlight w:val="none"/>
                <w:lang w:val="en-US" w:eastAsia="zh-CN"/>
              </w:rPr>
              <w:t>3043</w:t>
            </w:r>
          </w:p>
        </w:tc>
        <w:tc>
          <w:tcPr>
            <w:tcW w:w="586" w:type="pct"/>
            <w:noWrap w:val="0"/>
            <w:vAlign w:val="center"/>
          </w:tcPr>
          <w:p w14:paraId="5A1906C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lang w:val="en-US" w:eastAsia="zh-CN"/>
              </w:rPr>
            </w:pPr>
            <w:r>
              <w:rPr>
                <w:rFonts w:hint="eastAsia"/>
                <w:sz w:val="21"/>
                <w:szCs w:val="21"/>
                <w:highlight w:val="none"/>
                <w:lang w:val="en-US" w:eastAsia="zh-CN"/>
              </w:rPr>
              <w:t>4762</w:t>
            </w:r>
          </w:p>
        </w:tc>
        <w:tc>
          <w:tcPr>
            <w:tcW w:w="586" w:type="pct"/>
            <w:noWrap w:val="0"/>
            <w:vAlign w:val="center"/>
          </w:tcPr>
          <w:p w14:paraId="03341B6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lang w:val="en-US" w:eastAsia="zh-CN"/>
              </w:rPr>
            </w:pPr>
            <w:r>
              <w:rPr>
                <w:rFonts w:hint="eastAsia"/>
                <w:sz w:val="21"/>
                <w:szCs w:val="21"/>
                <w:highlight w:val="none"/>
                <w:lang w:val="en-US" w:eastAsia="zh-CN"/>
              </w:rPr>
              <w:t>/</w:t>
            </w:r>
          </w:p>
        </w:tc>
        <w:tc>
          <w:tcPr>
            <w:tcW w:w="586" w:type="pct"/>
            <w:noWrap w:val="0"/>
            <w:vAlign w:val="center"/>
          </w:tcPr>
          <w:p w14:paraId="5A72921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lang w:val="en-US" w:eastAsia="zh-CN"/>
              </w:rPr>
            </w:pPr>
            <w:r>
              <w:rPr>
                <w:rFonts w:hint="eastAsia"/>
                <w:sz w:val="21"/>
                <w:szCs w:val="21"/>
                <w:highlight w:val="none"/>
                <w:lang w:val="en-US" w:eastAsia="zh-CN"/>
              </w:rPr>
              <w:t>/</w:t>
            </w:r>
          </w:p>
        </w:tc>
        <w:tc>
          <w:tcPr>
            <w:tcW w:w="592" w:type="pct"/>
            <w:noWrap w:val="0"/>
            <w:vAlign w:val="center"/>
          </w:tcPr>
          <w:p w14:paraId="5858C0D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lang w:val="en-US" w:eastAsia="zh-CN"/>
              </w:rPr>
            </w:pPr>
            <w:r>
              <w:rPr>
                <w:rFonts w:hint="eastAsia"/>
                <w:sz w:val="21"/>
                <w:szCs w:val="21"/>
                <w:highlight w:val="none"/>
                <w:lang w:val="en-US" w:eastAsia="zh-CN"/>
              </w:rPr>
              <w:t>/</w:t>
            </w:r>
          </w:p>
        </w:tc>
      </w:tr>
      <w:tr w14:paraId="3908AE7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38" w:hRule="atLeast"/>
          <w:jc w:val="center"/>
        </w:trPr>
        <w:tc>
          <w:tcPr>
            <w:tcW w:w="632" w:type="pct"/>
            <w:vMerge w:val="restart"/>
            <w:noWrap w:val="0"/>
            <w:vAlign w:val="center"/>
          </w:tcPr>
          <w:p w14:paraId="3B71586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临时占地</w:t>
            </w:r>
          </w:p>
        </w:tc>
        <w:tc>
          <w:tcPr>
            <w:tcW w:w="793" w:type="pct"/>
            <w:noWrap w:val="0"/>
            <w:vAlign w:val="center"/>
          </w:tcPr>
          <w:p w14:paraId="098034B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废渣区</w:t>
            </w:r>
          </w:p>
        </w:tc>
        <w:tc>
          <w:tcPr>
            <w:tcW w:w="635" w:type="pct"/>
            <w:noWrap w:val="0"/>
            <w:vAlign w:val="center"/>
          </w:tcPr>
          <w:p w14:paraId="716B366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lang w:val="en-US" w:eastAsia="zh-CN"/>
              </w:rPr>
            </w:pPr>
            <w:r>
              <w:rPr>
                <w:rFonts w:hint="eastAsia"/>
                <w:sz w:val="21"/>
                <w:szCs w:val="21"/>
                <w:highlight w:val="none"/>
                <w:lang w:val="en-US" w:eastAsia="zh-CN"/>
              </w:rPr>
              <w:t>9010</w:t>
            </w:r>
          </w:p>
        </w:tc>
        <w:tc>
          <w:tcPr>
            <w:tcW w:w="586" w:type="pct"/>
            <w:noWrap w:val="0"/>
            <w:vAlign w:val="center"/>
          </w:tcPr>
          <w:p w14:paraId="35B0326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lang w:val="en-US" w:eastAsia="zh-CN"/>
              </w:rPr>
            </w:pPr>
            <w:r>
              <w:rPr>
                <w:rFonts w:hint="eastAsia"/>
                <w:sz w:val="21"/>
                <w:szCs w:val="21"/>
                <w:highlight w:val="none"/>
                <w:lang w:val="en-US" w:eastAsia="zh-CN"/>
              </w:rPr>
              <w:t>/</w:t>
            </w:r>
          </w:p>
        </w:tc>
        <w:tc>
          <w:tcPr>
            <w:tcW w:w="586" w:type="pct"/>
            <w:noWrap w:val="0"/>
            <w:vAlign w:val="center"/>
          </w:tcPr>
          <w:p w14:paraId="5BEAE56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lang w:val="en-US" w:eastAsia="zh-CN"/>
              </w:rPr>
            </w:pPr>
            <w:r>
              <w:rPr>
                <w:rFonts w:hint="eastAsia"/>
                <w:sz w:val="21"/>
                <w:szCs w:val="21"/>
                <w:highlight w:val="none"/>
                <w:lang w:val="en-US" w:eastAsia="zh-CN"/>
              </w:rPr>
              <w:t>9010</w:t>
            </w:r>
          </w:p>
        </w:tc>
        <w:tc>
          <w:tcPr>
            <w:tcW w:w="586" w:type="pct"/>
            <w:noWrap w:val="0"/>
            <w:vAlign w:val="center"/>
          </w:tcPr>
          <w:p w14:paraId="67A0A60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lang w:val="en-US" w:eastAsia="zh-CN"/>
              </w:rPr>
            </w:pPr>
            <w:r>
              <w:rPr>
                <w:rFonts w:hint="eastAsia"/>
                <w:sz w:val="21"/>
                <w:szCs w:val="21"/>
                <w:highlight w:val="none"/>
                <w:lang w:val="en-US" w:eastAsia="zh-CN"/>
              </w:rPr>
              <w:t>/</w:t>
            </w:r>
          </w:p>
        </w:tc>
        <w:tc>
          <w:tcPr>
            <w:tcW w:w="586" w:type="pct"/>
            <w:noWrap w:val="0"/>
            <w:vAlign w:val="center"/>
          </w:tcPr>
          <w:p w14:paraId="5367D80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lang w:val="en-US" w:eastAsia="zh-CN"/>
              </w:rPr>
            </w:pPr>
            <w:r>
              <w:rPr>
                <w:rFonts w:hint="eastAsia"/>
                <w:sz w:val="21"/>
                <w:szCs w:val="21"/>
                <w:highlight w:val="none"/>
                <w:lang w:val="en-US" w:eastAsia="zh-CN"/>
              </w:rPr>
              <w:t>/</w:t>
            </w:r>
          </w:p>
        </w:tc>
        <w:tc>
          <w:tcPr>
            <w:tcW w:w="592" w:type="pct"/>
            <w:noWrap w:val="0"/>
            <w:vAlign w:val="center"/>
          </w:tcPr>
          <w:p w14:paraId="2CE5062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lang w:val="en-US" w:eastAsia="zh-CN"/>
              </w:rPr>
            </w:pPr>
            <w:r>
              <w:rPr>
                <w:rFonts w:hint="eastAsia"/>
                <w:sz w:val="21"/>
                <w:szCs w:val="21"/>
                <w:highlight w:val="none"/>
                <w:lang w:val="en-US" w:eastAsia="zh-CN"/>
              </w:rPr>
              <w:t>/</w:t>
            </w:r>
          </w:p>
        </w:tc>
      </w:tr>
      <w:tr w14:paraId="0F6AD3F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38" w:hRule="atLeast"/>
          <w:jc w:val="center"/>
        </w:trPr>
        <w:tc>
          <w:tcPr>
            <w:tcW w:w="632" w:type="pct"/>
            <w:vMerge w:val="continue"/>
            <w:noWrap w:val="0"/>
            <w:vAlign w:val="center"/>
          </w:tcPr>
          <w:p w14:paraId="2EEE9C5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lang w:val="en-US" w:eastAsia="zh-CN"/>
              </w:rPr>
            </w:pPr>
          </w:p>
        </w:tc>
        <w:tc>
          <w:tcPr>
            <w:tcW w:w="793" w:type="pct"/>
            <w:noWrap w:val="0"/>
            <w:vAlign w:val="center"/>
          </w:tcPr>
          <w:p w14:paraId="3ED8359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取土场</w:t>
            </w:r>
          </w:p>
        </w:tc>
        <w:tc>
          <w:tcPr>
            <w:tcW w:w="635" w:type="pct"/>
            <w:noWrap w:val="0"/>
            <w:vAlign w:val="center"/>
          </w:tcPr>
          <w:p w14:paraId="4A99A76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lang w:val="en-US" w:eastAsia="zh-CN"/>
              </w:rPr>
            </w:pPr>
            <w:r>
              <w:rPr>
                <w:rFonts w:hint="eastAsia"/>
                <w:sz w:val="21"/>
                <w:szCs w:val="21"/>
                <w:highlight w:val="none"/>
                <w:lang w:val="en-US" w:eastAsia="zh-CN"/>
              </w:rPr>
              <w:t>3668</w:t>
            </w:r>
          </w:p>
        </w:tc>
        <w:tc>
          <w:tcPr>
            <w:tcW w:w="586" w:type="pct"/>
            <w:noWrap w:val="0"/>
            <w:vAlign w:val="center"/>
          </w:tcPr>
          <w:p w14:paraId="3C084AC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lang w:val="en-US" w:eastAsia="zh-CN"/>
              </w:rPr>
            </w:pPr>
            <w:r>
              <w:rPr>
                <w:rFonts w:hint="eastAsia"/>
                <w:sz w:val="21"/>
                <w:szCs w:val="21"/>
                <w:highlight w:val="none"/>
                <w:lang w:val="en-US" w:eastAsia="zh-CN"/>
              </w:rPr>
              <w:t>/</w:t>
            </w:r>
          </w:p>
        </w:tc>
        <w:tc>
          <w:tcPr>
            <w:tcW w:w="586" w:type="pct"/>
            <w:noWrap w:val="0"/>
            <w:vAlign w:val="center"/>
          </w:tcPr>
          <w:p w14:paraId="04C48B7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lang w:val="en-US" w:eastAsia="zh-CN"/>
              </w:rPr>
            </w:pPr>
            <w:r>
              <w:rPr>
                <w:rFonts w:hint="eastAsia"/>
                <w:sz w:val="21"/>
                <w:szCs w:val="21"/>
                <w:highlight w:val="none"/>
                <w:lang w:val="en-US" w:eastAsia="zh-CN"/>
              </w:rPr>
              <w:t>2536</w:t>
            </w:r>
          </w:p>
        </w:tc>
        <w:tc>
          <w:tcPr>
            <w:tcW w:w="586" w:type="pct"/>
            <w:noWrap w:val="0"/>
            <w:vAlign w:val="center"/>
          </w:tcPr>
          <w:p w14:paraId="0B6A0D0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lang w:val="en-US" w:eastAsia="zh-CN"/>
              </w:rPr>
            </w:pPr>
            <w:r>
              <w:rPr>
                <w:rFonts w:hint="eastAsia"/>
                <w:sz w:val="21"/>
                <w:szCs w:val="21"/>
                <w:highlight w:val="none"/>
                <w:lang w:val="en-US" w:eastAsia="zh-CN"/>
              </w:rPr>
              <w:t>/</w:t>
            </w:r>
          </w:p>
        </w:tc>
        <w:tc>
          <w:tcPr>
            <w:tcW w:w="586" w:type="pct"/>
            <w:noWrap w:val="0"/>
            <w:vAlign w:val="center"/>
          </w:tcPr>
          <w:p w14:paraId="1CE937E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lang w:val="en-US" w:eastAsia="zh-CN"/>
              </w:rPr>
            </w:pPr>
            <w:r>
              <w:rPr>
                <w:rFonts w:hint="eastAsia"/>
                <w:sz w:val="21"/>
                <w:szCs w:val="21"/>
                <w:highlight w:val="none"/>
                <w:lang w:val="en-US" w:eastAsia="zh-CN"/>
              </w:rPr>
              <w:t>/</w:t>
            </w:r>
          </w:p>
        </w:tc>
        <w:tc>
          <w:tcPr>
            <w:tcW w:w="592" w:type="pct"/>
            <w:noWrap w:val="0"/>
            <w:vAlign w:val="center"/>
          </w:tcPr>
          <w:p w14:paraId="5C9A470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lang w:val="en-US" w:eastAsia="zh-CN"/>
              </w:rPr>
            </w:pPr>
            <w:r>
              <w:rPr>
                <w:rFonts w:hint="eastAsia"/>
                <w:sz w:val="21"/>
                <w:szCs w:val="21"/>
                <w:highlight w:val="none"/>
                <w:lang w:val="en-US" w:eastAsia="zh-CN"/>
              </w:rPr>
              <w:t>1132</w:t>
            </w:r>
          </w:p>
        </w:tc>
      </w:tr>
      <w:tr w14:paraId="1A37609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38" w:hRule="atLeast"/>
          <w:jc w:val="center"/>
        </w:trPr>
        <w:tc>
          <w:tcPr>
            <w:tcW w:w="632" w:type="pct"/>
            <w:vMerge w:val="continue"/>
            <w:noWrap w:val="0"/>
            <w:vAlign w:val="center"/>
          </w:tcPr>
          <w:p w14:paraId="19D5DE0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lang w:val="en-US" w:eastAsia="zh-CN"/>
              </w:rPr>
            </w:pPr>
          </w:p>
        </w:tc>
        <w:tc>
          <w:tcPr>
            <w:tcW w:w="793" w:type="pct"/>
            <w:noWrap w:val="0"/>
            <w:vAlign w:val="center"/>
          </w:tcPr>
          <w:p w14:paraId="589B0BD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临时道路</w:t>
            </w:r>
          </w:p>
        </w:tc>
        <w:tc>
          <w:tcPr>
            <w:tcW w:w="635" w:type="pct"/>
            <w:noWrap w:val="0"/>
            <w:vAlign w:val="center"/>
          </w:tcPr>
          <w:p w14:paraId="0E0604E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lang w:val="en-US" w:eastAsia="zh-CN"/>
              </w:rPr>
            </w:pPr>
            <w:r>
              <w:rPr>
                <w:rFonts w:hint="eastAsia"/>
                <w:sz w:val="21"/>
                <w:szCs w:val="21"/>
                <w:highlight w:val="none"/>
                <w:lang w:val="en-US" w:eastAsia="zh-CN"/>
              </w:rPr>
              <w:t>5331</w:t>
            </w:r>
          </w:p>
        </w:tc>
        <w:tc>
          <w:tcPr>
            <w:tcW w:w="586" w:type="pct"/>
            <w:noWrap w:val="0"/>
            <w:vAlign w:val="center"/>
          </w:tcPr>
          <w:p w14:paraId="49F1DC9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lang w:val="en-US" w:eastAsia="zh-CN"/>
              </w:rPr>
            </w:pPr>
            <w:r>
              <w:rPr>
                <w:rFonts w:hint="eastAsia"/>
                <w:sz w:val="21"/>
                <w:szCs w:val="21"/>
                <w:highlight w:val="none"/>
                <w:lang w:val="en-US" w:eastAsia="zh-CN"/>
              </w:rPr>
              <w:t>29</w:t>
            </w:r>
          </w:p>
        </w:tc>
        <w:tc>
          <w:tcPr>
            <w:tcW w:w="586" w:type="pct"/>
            <w:noWrap w:val="0"/>
            <w:vAlign w:val="center"/>
          </w:tcPr>
          <w:p w14:paraId="5830413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lang w:val="en-US" w:eastAsia="zh-CN"/>
              </w:rPr>
            </w:pPr>
            <w:r>
              <w:rPr>
                <w:rFonts w:hint="eastAsia"/>
                <w:sz w:val="21"/>
                <w:szCs w:val="21"/>
                <w:highlight w:val="none"/>
                <w:lang w:val="en-US" w:eastAsia="zh-CN"/>
              </w:rPr>
              <w:t>5070</w:t>
            </w:r>
          </w:p>
        </w:tc>
        <w:tc>
          <w:tcPr>
            <w:tcW w:w="586" w:type="pct"/>
            <w:noWrap w:val="0"/>
            <w:vAlign w:val="center"/>
          </w:tcPr>
          <w:p w14:paraId="7B72406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lang w:val="en-US" w:eastAsia="zh-CN"/>
              </w:rPr>
            </w:pPr>
            <w:r>
              <w:rPr>
                <w:rFonts w:hint="eastAsia"/>
                <w:sz w:val="21"/>
                <w:szCs w:val="21"/>
                <w:highlight w:val="none"/>
                <w:lang w:val="en-US" w:eastAsia="zh-CN"/>
              </w:rPr>
              <w:t>185</w:t>
            </w:r>
          </w:p>
        </w:tc>
        <w:tc>
          <w:tcPr>
            <w:tcW w:w="586" w:type="pct"/>
            <w:noWrap w:val="0"/>
            <w:vAlign w:val="center"/>
          </w:tcPr>
          <w:p w14:paraId="5C72A37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lang w:val="en-US" w:eastAsia="zh-CN"/>
              </w:rPr>
            </w:pPr>
            <w:r>
              <w:rPr>
                <w:rFonts w:hint="eastAsia"/>
                <w:sz w:val="21"/>
                <w:szCs w:val="21"/>
                <w:highlight w:val="none"/>
                <w:lang w:val="en-US" w:eastAsia="zh-CN"/>
              </w:rPr>
              <w:t>44</w:t>
            </w:r>
          </w:p>
        </w:tc>
        <w:tc>
          <w:tcPr>
            <w:tcW w:w="592" w:type="pct"/>
            <w:noWrap w:val="0"/>
            <w:vAlign w:val="center"/>
          </w:tcPr>
          <w:p w14:paraId="5E075DE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lang w:val="en-US" w:eastAsia="zh-CN"/>
              </w:rPr>
            </w:pPr>
            <w:r>
              <w:rPr>
                <w:rFonts w:hint="eastAsia"/>
                <w:sz w:val="21"/>
                <w:szCs w:val="21"/>
                <w:highlight w:val="none"/>
                <w:lang w:val="en-US" w:eastAsia="zh-CN"/>
              </w:rPr>
              <w:t>3</w:t>
            </w:r>
          </w:p>
        </w:tc>
      </w:tr>
      <w:tr w14:paraId="75457A4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6" w:hRule="atLeast"/>
          <w:jc w:val="center"/>
        </w:trPr>
        <w:tc>
          <w:tcPr>
            <w:tcW w:w="1426" w:type="pct"/>
            <w:gridSpan w:val="2"/>
            <w:noWrap w:val="0"/>
            <w:vAlign w:val="center"/>
          </w:tcPr>
          <w:p w14:paraId="0670BD9E">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b/>
                <w:bCs/>
                <w:sz w:val="21"/>
                <w:szCs w:val="21"/>
                <w:highlight w:val="none"/>
                <w:lang w:val="en-US" w:eastAsia="zh-CN"/>
              </w:rPr>
            </w:pPr>
            <w:r>
              <w:rPr>
                <w:rFonts w:hint="eastAsia"/>
                <w:b/>
                <w:bCs/>
                <w:sz w:val="21"/>
                <w:szCs w:val="21"/>
                <w:highlight w:val="none"/>
                <w:lang w:val="en-US" w:eastAsia="zh-CN"/>
              </w:rPr>
              <w:t>总计</w:t>
            </w:r>
          </w:p>
        </w:tc>
        <w:tc>
          <w:tcPr>
            <w:tcW w:w="635" w:type="pct"/>
            <w:noWrap w:val="0"/>
            <w:vAlign w:val="center"/>
          </w:tcPr>
          <w:p w14:paraId="75A0E1DB">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b/>
                <w:bCs/>
                <w:sz w:val="21"/>
                <w:szCs w:val="21"/>
                <w:highlight w:val="none"/>
                <w:lang w:val="en-US" w:eastAsia="zh-CN"/>
              </w:rPr>
            </w:pPr>
            <w:r>
              <w:rPr>
                <w:rFonts w:hint="eastAsia"/>
                <w:b/>
                <w:bCs/>
                <w:sz w:val="21"/>
                <w:szCs w:val="21"/>
                <w:highlight w:val="none"/>
                <w:lang w:val="en-US" w:eastAsia="zh-CN"/>
              </w:rPr>
              <w:t>25814</w:t>
            </w:r>
          </w:p>
        </w:tc>
        <w:tc>
          <w:tcPr>
            <w:tcW w:w="586" w:type="pct"/>
            <w:noWrap w:val="0"/>
            <w:vAlign w:val="center"/>
          </w:tcPr>
          <w:p w14:paraId="3CE6754F">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b/>
                <w:bCs/>
                <w:sz w:val="21"/>
                <w:szCs w:val="21"/>
                <w:highlight w:val="none"/>
                <w:lang w:val="en-US" w:eastAsia="zh-CN"/>
              </w:rPr>
            </w:pPr>
            <w:r>
              <w:rPr>
                <w:rFonts w:hint="eastAsia"/>
                <w:b/>
                <w:bCs/>
                <w:sz w:val="21"/>
                <w:szCs w:val="21"/>
                <w:highlight w:val="none"/>
                <w:lang w:val="en-US" w:eastAsia="zh-CN"/>
              </w:rPr>
              <w:t>3072</w:t>
            </w:r>
          </w:p>
        </w:tc>
        <w:tc>
          <w:tcPr>
            <w:tcW w:w="586" w:type="pct"/>
            <w:noWrap w:val="0"/>
            <w:vAlign w:val="center"/>
          </w:tcPr>
          <w:p w14:paraId="1EB93985">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b/>
                <w:bCs/>
                <w:sz w:val="21"/>
                <w:szCs w:val="21"/>
                <w:highlight w:val="none"/>
                <w:lang w:val="en-US" w:eastAsia="zh-CN"/>
              </w:rPr>
            </w:pPr>
            <w:r>
              <w:rPr>
                <w:rFonts w:hint="eastAsia"/>
                <w:b/>
                <w:bCs/>
                <w:sz w:val="21"/>
                <w:szCs w:val="21"/>
                <w:highlight w:val="none"/>
                <w:lang w:val="en-US" w:eastAsia="zh-CN"/>
              </w:rPr>
              <w:t>21378</w:t>
            </w:r>
          </w:p>
        </w:tc>
        <w:tc>
          <w:tcPr>
            <w:tcW w:w="586" w:type="pct"/>
            <w:noWrap w:val="0"/>
            <w:vAlign w:val="center"/>
          </w:tcPr>
          <w:p w14:paraId="34CA3BA0">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b/>
                <w:bCs/>
                <w:sz w:val="21"/>
                <w:szCs w:val="21"/>
                <w:highlight w:val="none"/>
                <w:lang w:val="en-US" w:eastAsia="zh-CN"/>
              </w:rPr>
            </w:pPr>
            <w:r>
              <w:rPr>
                <w:rFonts w:hint="eastAsia"/>
                <w:b/>
                <w:bCs/>
                <w:sz w:val="21"/>
                <w:szCs w:val="21"/>
                <w:highlight w:val="none"/>
                <w:lang w:val="en-US" w:eastAsia="zh-CN"/>
              </w:rPr>
              <w:t>185</w:t>
            </w:r>
          </w:p>
        </w:tc>
        <w:tc>
          <w:tcPr>
            <w:tcW w:w="586" w:type="pct"/>
            <w:noWrap w:val="0"/>
            <w:vAlign w:val="center"/>
          </w:tcPr>
          <w:p w14:paraId="26AE2E65">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b/>
                <w:bCs/>
                <w:sz w:val="21"/>
                <w:szCs w:val="21"/>
                <w:highlight w:val="none"/>
                <w:lang w:val="en-US" w:eastAsia="zh-CN"/>
              </w:rPr>
            </w:pPr>
            <w:r>
              <w:rPr>
                <w:rFonts w:hint="eastAsia"/>
                <w:b/>
                <w:bCs/>
                <w:sz w:val="21"/>
                <w:szCs w:val="21"/>
                <w:highlight w:val="none"/>
                <w:lang w:val="en-US" w:eastAsia="zh-CN"/>
              </w:rPr>
              <w:t>44</w:t>
            </w:r>
          </w:p>
        </w:tc>
        <w:tc>
          <w:tcPr>
            <w:tcW w:w="592" w:type="pct"/>
            <w:noWrap w:val="0"/>
            <w:vAlign w:val="center"/>
          </w:tcPr>
          <w:p w14:paraId="554599F3">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b/>
                <w:bCs/>
                <w:sz w:val="21"/>
                <w:szCs w:val="21"/>
                <w:highlight w:val="none"/>
                <w:lang w:val="en-US" w:eastAsia="zh-CN"/>
              </w:rPr>
            </w:pPr>
            <w:r>
              <w:rPr>
                <w:rFonts w:hint="eastAsia"/>
                <w:b/>
                <w:bCs/>
                <w:sz w:val="21"/>
                <w:szCs w:val="21"/>
                <w:highlight w:val="none"/>
                <w:lang w:val="en-US" w:eastAsia="zh-CN"/>
              </w:rPr>
              <w:t>1135</w:t>
            </w:r>
          </w:p>
        </w:tc>
      </w:tr>
      <w:tr w14:paraId="375715C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6" w:hRule="atLeast"/>
          <w:jc w:val="center"/>
        </w:trPr>
        <w:tc>
          <w:tcPr>
            <w:tcW w:w="5000" w:type="pct"/>
            <w:gridSpan w:val="8"/>
            <w:noWrap w:val="0"/>
            <w:vAlign w:val="center"/>
          </w:tcPr>
          <w:p w14:paraId="3B552679">
            <w:pPr>
              <w:keepNext w:val="0"/>
              <w:keepLines w:val="0"/>
              <w:pageBreakBefore w:val="0"/>
              <w:widowControl w:val="0"/>
              <w:kinsoku/>
              <w:wordWrap/>
              <w:overflowPunct/>
              <w:topLinePunct w:val="0"/>
              <w:autoSpaceDE/>
              <w:autoSpaceDN/>
              <w:bidi w:val="0"/>
              <w:adjustRightInd/>
              <w:snapToGrid/>
              <w:spacing w:line="360" w:lineRule="auto"/>
              <w:ind w:firstLine="0" w:firstLineChars="0"/>
              <w:jc w:val="both"/>
              <w:textAlignment w:val="auto"/>
              <w:rPr>
                <w:rFonts w:hint="default"/>
                <w:b/>
                <w:bCs/>
                <w:sz w:val="21"/>
                <w:szCs w:val="21"/>
                <w:highlight w:val="none"/>
                <w:lang w:val="en-US" w:eastAsia="zh-CN"/>
              </w:rPr>
            </w:pPr>
            <w:r>
              <w:rPr>
                <w:rFonts w:hint="eastAsia"/>
                <w:b/>
                <w:bCs/>
                <w:sz w:val="21"/>
                <w:szCs w:val="21"/>
                <w:highlight w:val="none"/>
                <w:lang w:val="en-US" w:eastAsia="zh-CN"/>
              </w:rPr>
              <w:t>注：本项目不占用永久基本农田、公益林，占用天然林4762m</w:t>
            </w:r>
            <w:r>
              <w:rPr>
                <w:rFonts w:hint="eastAsia"/>
                <w:b/>
                <w:bCs/>
                <w:sz w:val="21"/>
                <w:szCs w:val="21"/>
                <w:highlight w:val="none"/>
                <w:vertAlign w:val="superscript"/>
                <w:lang w:val="en-US" w:eastAsia="zh-CN"/>
              </w:rPr>
              <w:t>2</w:t>
            </w:r>
            <w:r>
              <w:rPr>
                <w:rFonts w:hint="eastAsia"/>
                <w:b/>
                <w:bCs/>
                <w:sz w:val="21"/>
                <w:szCs w:val="21"/>
                <w:highlight w:val="none"/>
                <w:lang w:val="en-US" w:eastAsia="zh-CN"/>
              </w:rPr>
              <w:t>。</w:t>
            </w:r>
          </w:p>
        </w:tc>
      </w:tr>
    </w:tbl>
    <w:p w14:paraId="539ED174">
      <w:pPr>
        <w:pStyle w:val="9"/>
        <w:numPr>
          <w:ilvl w:val="2"/>
          <w:numId w:val="1"/>
        </w:numPr>
        <w:bidi w:val="0"/>
        <w:ind w:left="709" w:leftChars="0" w:hanging="709" w:firstLineChars="0"/>
        <w:rPr>
          <w:rFonts w:hint="eastAsia"/>
          <w:highlight w:val="none"/>
          <w:lang w:val="en-US" w:eastAsia="zh-CN"/>
        </w:rPr>
      </w:pPr>
      <w:r>
        <w:rPr>
          <w:rFonts w:hint="eastAsia"/>
          <w:highlight w:val="none"/>
          <w:lang w:val="en-US" w:eastAsia="zh-CN"/>
        </w:rPr>
        <w:t>施工材料供应</w:t>
      </w:r>
    </w:p>
    <w:p w14:paraId="2BFFD182">
      <w:pPr>
        <w:bidi w:val="0"/>
        <w:rPr>
          <w:rFonts w:hint="eastAsia"/>
          <w:highlight w:val="none"/>
          <w:lang w:val="en-US" w:eastAsia="zh-CN"/>
        </w:rPr>
      </w:pPr>
      <w:r>
        <w:rPr>
          <w:rFonts w:hint="eastAsia"/>
          <w:highlight w:val="none"/>
          <w:lang w:val="en-US" w:eastAsia="zh-CN"/>
        </w:rPr>
        <w:t>工程建材供应较为方便，天然建筑材料在周边范围内均有分布，储量、质量均可满足施工需要和设计要求。本项目施工现场不设置混凝土搅拌站，主要建材、商品混凝土、制砂、钢筋等可在平江县或岳阳市采购，石料由石料场购买，特殊建材可向厂家定做。</w:t>
      </w:r>
    </w:p>
    <w:p w14:paraId="39D5EA19">
      <w:pPr>
        <w:bidi w:val="0"/>
        <w:ind w:left="0" w:leftChars="0" w:firstLine="0" w:firstLineChars="0"/>
        <w:jc w:val="center"/>
        <w:rPr>
          <w:rFonts w:hint="eastAsia"/>
          <w:b/>
          <w:bCs/>
          <w:sz w:val="21"/>
          <w:szCs w:val="21"/>
          <w:highlight w:val="none"/>
          <w:lang w:val="en-US" w:eastAsia="zh-CN"/>
        </w:rPr>
      </w:pPr>
      <w:r>
        <w:rPr>
          <w:rFonts w:hint="eastAsia"/>
          <w:b/>
          <w:bCs/>
          <w:sz w:val="21"/>
          <w:szCs w:val="21"/>
          <w:highlight w:val="none"/>
          <w:lang w:val="en-US" w:eastAsia="zh-CN"/>
        </w:rPr>
        <w:t>表3.1-25  本项目主要原辅材料消耗一览表</w:t>
      </w:r>
    </w:p>
    <w:tbl>
      <w:tblPr>
        <w:tblStyle w:val="35"/>
        <w:tblW w:w="4997"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980"/>
        <w:gridCol w:w="1824"/>
        <w:gridCol w:w="1062"/>
        <w:gridCol w:w="1754"/>
        <w:gridCol w:w="3503"/>
      </w:tblGrid>
      <w:tr w14:paraId="40BBEB8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537" w:type="pct"/>
            <w:noWrap w:val="0"/>
            <w:tcMar>
              <w:left w:w="28" w:type="dxa"/>
              <w:right w:w="28" w:type="dxa"/>
            </w:tcMar>
            <w:vAlign w:val="center"/>
          </w:tcPr>
          <w:p w14:paraId="0840DE22">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b/>
                <w:bCs/>
                <w:sz w:val="21"/>
                <w:szCs w:val="21"/>
                <w:highlight w:val="none"/>
                <w:lang w:val="en-US" w:eastAsia="zh-CN"/>
              </w:rPr>
            </w:pPr>
            <w:r>
              <w:rPr>
                <w:rFonts w:hint="eastAsia"/>
                <w:b/>
                <w:bCs/>
                <w:sz w:val="21"/>
                <w:szCs w:val="21"/>
                <w:highlight w:val="none"/>
                <w:lang w:val="en-US" w:eastAsia="zh-CN"/>
              </w:rPr>
              <w:t>序号</w:t>
            </w:r>
          </w:p>
        </w:tc>
        <w:tc>
          <w:tcPr>
            <w:tcW w:w="999" w:type="pct"/>
            <w:noWrap w:val="0"/>
            <w:tcMar>
              <w:left w:w="28" w:type="dxa"/>
              <w:right w:w="28" w:type="dxa"/>
            </w:tcMar>
            <w:vAlign w:val="center"/>
          </w:tcPr>
          <w:p w14:paraId="32C33EA0">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b/>
                <w:bCs/>
                <w:sz w:val="21"/>
                <w:szCs w:val="21"/>
                <w:highlight w:val="none"/>
                <w:lang w:val="en-US" w:eastAsia="zh-CN"/>
              </w:rPr>
            </w:pPr>
            <w:r>
              <w:rPr>
                <w:rFonts w:hint="eastAsia"/>
                <w:b/>
                <w:bCs/>
                <w:sz w:val="21"/>
                <w:szCs w:val="21"/>
                <w:highlight w:val="none"/>
                <w:lang w:val="en-US" w:eastAsia="zh-CN"/>
              </w:rPr>
              <w:t>名称</w:t>
            </w:r>
          </w:p>
        </w:tc>
        <w:tc>
          <w:tcPr>
            <w:tcW w:w="582" w:type="pct"/>
            <w:noWrap w:val="0"/>
            <w:tcMar>
              <w:left w:w="28" w:type="dxa"/>
              <w:right w:w="28" w:type="dxa"/>
            </w:tcMar>
            <w:vAlign w:val="center"/>
          </w:tcPr>
          <w:p w14:paraId="61C092EF">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b/>
                <w:bCs/>
                <w:sz w:val="21"/>
                <w:szCs w:val="21"/>
                <w:highlight w:val="none"/>
                <w:lang w:val="en-US" w:eastAsia="zh-CN"/>
              </w:rPr>
            </w:pPr>
            <w:r>
              <w:rPr>
                <w:rFonts w:hint="eastAsia"/>
                <w:b/>
                <w:bCs/>
                <w:sz w:val="21"/>
                <w:szCs w:val="21"/>
                <w:highlight w:val="none"/>
                <w:lang w:val="en-US" w:eastAsia="zh-CN"/>
              </w:rPr>
              <w:t>单位</w:t>
            </w:r>
          </w:p>
        </w:tc>
        <w:tc>
          <w:tcPr>
            <w:tcW w:w="961" w:type="pct"/>
            <w:noWrap w:val="0"/>
            <w:tcMar>
              <w:left w:w="28" w:type="dxa"/>
              <w:right w:w="28" w:type="dxa"/>
            </w:tcMar>
            <w:vAlign w:val="center"/>
          </w:tcPr>
          <w:p w14:paraId="780B444B">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b/>
                <w:bCs/>
                <w:sz w:val="21"/>
                <w:szCs w:val="21"/>
                <w:highlight w:val="none"/>
                <w:lang w:val="en-US" w:eastAsia="zh-CN"/>
              </w:rPr>
            </w:pPr>
            <w:r>
              <w:rPr>
                <w:rFonts w:hint="eastAsia"/>
                <w:b/>
                <w:bCs/>
                <w:sz w:val="21"/>
                <w:szCs w:val="21"/>
                <w:highlight w:val="none"/>
                <w:lang w:val="en-US" w:eastAsia="zh-CN"/>
              </w:rPr>
              <w:t>数量</w:t>
            </w:r>
          </w:p>
        </w:tc>
        <w:tc>
          <w:tcPr>
            <w:tcW w:w="1919" w:type="pct"/>
            <w:noWrap w:val="0"/>
            <w:tcMar>
              <w:left w:w="28" w:type="dxa"/>
              <w:right w:w="28" w:type="dxa"/>
            </w:tcMar>
            <w:vAlign w:val="center"/>
          </w:tcPr>
          <w:p w14:paraId="4FF6E3D0">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b/>
                <w:bCs/>
                <w:sz w:val="21"/>
                <w:szCs w:val="21"/>
                <w:highlight w:val="none"/>
                <w:lang w:val="en-US" w:eastAsia="zh-CN"/>
              </w:rPr>
            </w:pPr>
            <w:r>
              <w:rPr>
                <w:rFonts w:hint="eastAsia"/>
                <w:b/>
                <w:bCs/>
                <w:sz w:val="21"/>
                <w:szCs w:val="21"/>
                <w:highlight w:val="none"/>
                <w:lang w:val="en-US" w:eastAsia="zh-CN"/>
              </w:rPr>
              <w:t>备注</w:t>
            </w:r>
          </w:p>
        </w:tc>
      </w:tr>
      <w:tr w14:paraId="51CA974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537" w:type="pct"/>
            <w:noWrap w:val="0"/>
            <w:tcMar>
              <w:left w:w="28" w:type="dxa"/>
              <w:right w:w="28" w:type="dxa"/>
            </w:tcMar>
            <w:vAlign w:val="center"/>
          </w:tcPr>
          <w:p w14:paraId="7523E10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1</w:t>
            </w:r>
          </w:p>
        </w:tc>
        <w:tc>
          <w:tcPr>
            <w:tcW w:w="999" w:type="pct"/>
            <w:noWrap w:val="0"/>
            <w:tcMar>
              <w:left w:w="28" w:type="dxa"/>
              <w:right w:w="28" w:type="dxa"/>
            </w:tcMar>
            <w:vAlign w:val="center"/>
          </w:tcPr>
          <w:p w14:paraId="62BC4BD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HDPE膜</w:t>
            </w:r>
          </w:p>
        </w:tc>
        <w:tc>
          <w:tcPr>
            <w:tcW w:w="582" w:type="pct"/>
            <w:noWrap w:val="0"/>
            <w:tcMar>
              <w:left w:w="28" w:type="dxa"/>
              <w:right w:w="28" w:type="dxa"/>
            </w:tcMar>
            <w:vAlign w:val="center"/>
          </w:tcPr>
          <w:p w14:paraId="4C8CAD4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m</w:t>
            </w:r>
            <w:r>
              <w:rPr>
                <w:rFonts w:hint="eastAsia"/>
                <w:sz w:val="21"/>
                <w:szCs w:val="21"/>
                <w:highlight w:val="none"/>
                <w:vertAlign w:val="superscript"/>
                <w:lang w:val="en-US" w:eastAsia="zh-CN"/>
              </w:rPr>
              <w:t>2</w:t>
            </w:r>
          </w:p>
        </w:tc>
        <w:tc>
          <w:tcPr>
            <w:tcW w:w="961" w:type="pct"/>
            <w:noWrap w:val="0"/>
            <w:tcMar>
              <w:left w:w="28" w:type="dxa"/>
              <w:right w:w="28" w:type="dxa"/>
            </w:tcMar>
            <w:vAlign w:val="center"/>
          </w:tcPr>
          <w:p w14:paraId="5286F70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lang w:val="en-US" w:eastAsia="zh-CN"/>
              </w:rPr>
            </w:pPr>
            <w:r>
              <w:rPr>
                <w:rFonts w:hint="eastAsia"/>
                <w:sz w:val="21"/>
                <w:szCs w:val="21"/>
                <w:highlight w:val="none"/>
                <w:lang w:val="en-US" w:eastAsia="zh-CN"/>
              </w:rPr>
              <w:t>40000</w:t>
            </w:r>
          </w:p>
        </w:tc>
        <w:tc>
          <w:tcPr>
            <w:tcW w:w="1919" w:type="pct"/>
            <w:vMerge w:val="restart"/>
            <w:noWrap w:val="0"/>
            <w:tcMar>
              <w:left w:w="28" w:type="dxa"/>
              <w:right w:w="28" w:type="dxa"/>
            </w:tcMar>
            <w:vAlign w:val="center"/>
          </w:tcPr>
          <w:p w14:paraId="2CD78FA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用于固废填埋场防渗</w:t>
            </w:r>
          </w:p>
        </w:tc>
      </w:tr>
      <w:tr w14:paraId="1C086A2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537" w:type="pct"/>
            <w:noWrap w:val="0"/>
            <w:tcMar>
              <w:left w:w="28" w:type="dxa"/>
              <w:right w:w="28" w:type="dxa"/>
            </w:tcMar>
            <w:vAlign w:val="center"/>
          </w:tcPr>
          <w:p w14:paraId="7B1C032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lang w:val="en-US" w:eastAsia="zh-CN"/>
              </w:rPr>
            </w:pPr>
            <w:r>
              <w:rPr>
                <w:rFonts w:hint="eastAsia"/>
                <w:sz w:val="21"/>
                <w:szCs w:val="21"/>
                <w:highlight w:val="none"/>
                <w:lang w:val="en-US" w:eastAsia="zh-CN"/>
              </w:rPr>
              <w:t>2</w:t>
            </w:r>
          </w:p>
        </w:tc>
        <w:tc>
          <w:tcPr>
            <w:tcW w:w="999" w:type="pct"/>
            <w:noWrap w:val="0"/>
            <w:tcMar>
              <w:left w:w="28" w:type="dxa"/>
              <w:right w:w="28" w:type="dxa"/>
            </w:tcMar>
            <w:vAlign w:val="center"/>
          </w:tcPr>
          <w:p w14:paraId="1224179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lang w:val="en-US" w:eastAsia="zh-CN"/>
              </w:rPr>
            </w:pPr>
            <w:r>
              <w:rPr>
                <w:rFonts w:hint="eastAsia"/>
                <w:sz w:val="21"/>
                <w:szCs w:val="21"/>
                <w:highlight w:val="none"/>
                <w:lang w:val="en-US" w:eastAsia="zh-CN"/>
              </w:rPr>
              <w:t>土工布</w:t>
            </w:r>
          </w:p>
        </w:tc>
        <w:tc>
          <w:tcPr>
            <w:tcW w:w="582" w:type="pct"/>
            <w:noWrap w:val="0"/>
            <w:tcMar>
              <w:left w:w="28" w:type="dxa"/>
              <w:right w:w="28" w:type="dxa"/>
            </w:tcMar>
            <w:vAlign w:val="center"/>
          </w:tcPr>
          <w:p w14:paraId="236111F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m</w:t>
            </w:r>
            <w:r>
              <w:rPr>
                <w:rFonts w:hint="eastAsia"/>
                <w:sz w:val="21"/>
                <w:szCs w:val="21"/>
                <w:highlight w:val="none"/>
                <w:vertAlign w:val="superscript"/>
                <w:lang w:val="en-US" w:eastAsia="zh-CN"/>
              </w:rPr>
              <w:t>2</w:t>
            </w:r>
          </w:p>
        </w:tc>
        <w:tc>
          <w:tcPr>
            <w:tcW w:w="961" w:type="pct"/>
            <w:noWrap w:val="0"/>
            <w:tcMar>
              <w:left w:w="28" w:type="dxa"/>
              <w:right w:w="28" w:type="dxa"/>
            </w:tcMar>
            <w:vAlign w:val="center"/>
          </w:tcPr>
          <w:p w14:paraId="7728AE8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lang w:val="en-US" w:eastAsia="zh-CN"/>
              </w:rPr>
            </w:pPr>
            <w:r>
              <w:rPr>
                <w:rFonts w:hint="eastAsia"/>
                <w:sz w:val="21"/>
                <w:szCs w:val="21"/>
                <w:highlight w:val="none"/>
                <w:lang w:val="en-US" w:eastAsia="zh-CN"/>
              </w:rPr>
              <w:t>20000</w:t>
            </w:r>
          </w:p>
        </w:tc>
        <w:tc>
          <w:tcPr>
            <w:tcW w:w="1919" w:type="pct"/>
            <w:vMerge w:val="continue"/>
            <w:noWrap w:val="0"/>
            <w:tcMar>
              <w:left w:w="28" w:type="dxa"/>
              <w:right w:w="28" w:type="dxa"/>
            </w:tcMar>
            <w:vAlign w:val="center"/>
          </w:tcPr>
          <w:p w14:paraId="2CACF41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lang w:val="en-US" w:eastAsia="zh-CN"/>
              </w:rPr>
            </w:pPr>
          </w:p>
        </w:tc>
      </w:tr>
      <w:tr w14:paraId="592A22D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537" w:type="pct"/>
            <w:noWrap w:val="0"/>
            <w:tcMar>
              <w:left w:w="28" w:type="dxa"/>
              <w:right w:w="28" w:type="dxa"/>
            </w:tcMar>
            <w:vAlign w:val="center"/>
          </w:tcPr>
          <w:p w14:paraId="32FB315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lang w:val="en-US" w:eastAsia="zh-CN"/>
              </w:rPr>
            </w:pPr>
            <w:r>
              <w:rPr>
                <w:rFonts w:hint="eastAsia"/>
                <w:sz w:val="21"/>
                <w:szCs w:val="21"/>
                <w:highlight w:val="none"/>
                <w:lang w:val="en-US" w:eastAsia="zh-CN"/>
              </w:rPr>
              <w:t>3</w:t>
            </w:r>
          </w:p>
        </w:tc>
        <w:tc>
          <w:tcPr>
            <w:tcW w:w="999" w:type="pct"/>
            <w:noWrap w:val="0"/>
            <w:tcMar>
              <w:left w:w="28" w:type="dxa"/>
              <w:right w:w="28" w:type="dxa"/>
            </w:tcMar>
            <w:vAlign w:val="center"/>
          </w:tcPr>
          <w:p w14:paraId="685AB00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防尘网</w:t>
            </w:r>
          </w:p>
        </w:tc>
        <w:tc>
          <w:tcPr>
            <w:tcW w:w="582" w:type="pct"/>
            <w:noWrap w:val="0"/>
            <w:tcMar>
              <w:left w:w="28" w:type="dxa"/>
              <w:right w:w="28" w:type="dxa"/>
            </w:tcMar>
            <w:vAlign w:val="center"/>
          </w:tcPr>
          <w:p w14:paraId="2FEE277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m</w:t>
            </w:r>
            <w:r>
              <w:rPr>
                <w:rFonts w:hint="eastAsia"/>
                <w:sz w:val="21"/>
                <w:szCs w:val="21"/>
                <w:highlight w:val="none"/>
                <w:vertAlign w:val="superscript"/>
                <w:lang w:val="en-US" w:eastAsia="zh-CN"/>
              </w:rPr>
              <w:t>2</w:t>
            </w:r>
          </w:p>
        </w:tc>
        <w:tc>
          <w:tcPr>
            <w:tcW w:w="961" w:type="pct"/>
            <w:noWrap w:val="0"/>
            <w:tcMar>
              <w:left w:w="28" w:type="dxa"/>
              <w:right w:w="28" w:type="dxa"/>
            </w:tcMar>
            <w:vAlign w:val="center"/>
          </w:tcPr>
          <w:p w14:paraId="6420E0F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5000</w:t>
            </w:r>
          </w:p>
        </w:tc>
        <w:tc>
          <w:tcPr>
            <w:tcW w:w="1919" w:type="pct"/>
            <w:noWrap w:val="0"/>
            <w:tcMar>
              <w:left w:w="28" w:type="dxa"/>
              <w:right w:w="28" w:type="dxa"/>
            </w:tcMar>
            <w:vAlign w:val="center"/>
          </w:tcPr>
          <w:p w14:paraId="54A4BE8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用于修复过程的抑尘</w:t>
            </w:r>
          </w:p>
        </w:tc>
      </w:tr>
      <w:tr w14:paraId="3C358E4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537" w:type="pct"/>
            <w:noWrap w:val="0"/>
            <w:tcMar>
              <w:left w:w="28" w:type="dxa"/>
              <w:right w:w="28" w:type="dxa"/>
            </w:tcMar>
            <w:vAlign w:val="center"/>
          </w:tcPr>
          <w:p w14:paraId="17CBB0A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lang w:val="en-US" w:eastAsia="zh-CN"/>
              </w:rPr>
            </w:pPr>
            <w:r>
              <w:rPr>
                <w:rFonts w:hint="eastAsia"/>
                <w:sz w:val="21"/>
                <w:szCs w:val="21"/>
                <w:highlight w:val="none"/>
                <w:lang w:val="en-US" w:eastAsia="zh-CN"/>
              </w:rPr>
              <w:t>4</w:t>
            </w:r>
          </w:p>
        </w:tc>
        <w:tc>
          <w:tcPr>
            <w:tcW w:w="999" w:type="pct"/>
            <w:noWrap w:val="0"/>
            <w:tcMar>
              <w:left w:w="28" w:type="dxa"/>
              <w:right w:w="28" w:type="dxa"/>
            </w:tcMar>
            <w:vAlign w:val="center"/>
          </w:tcPr>
          <w:p w14:paraId="534E91A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lang w:val="en-US" w:eastAsia="zh-CN"/>
              </w:rPr>
            </w:pPr>
            <w:r>
              <w:rPr>
                <w:rFonts w:hint="eastAsia"/>
                <w:sz w:val="21"/>
                <w:szCs w:val="21"/>
                <w:highlight w:val="none"/>
                <w:lang w:val="en-US" w:eastAsia="zh-CN"/>
              </w:rPr>
              <w:t>混凝土</w:t>
            </w:r>
          </w:p>
        </w:tc>
        <w:tc>
          <w:tcPr>
            <w:tcW w:w="582" w:type="pct"/>
            <w:noWrap w:val="0"/>
            <w:tcMar>
              <w:left w:w="28" w:type="dxa"/>
              <w:right w:w="28" w:type="dxa"/>
            </w:tcMar>
            <w:vAlign w:val="center"/>
          </w:tcPr>
          <w:p w14:paraId="6A838A4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lang w:val="en-US" w:eastAsia="zh-CN"/>
              </w:rPr>
            </w:pPr>
            <w:r>
              <w:rPr>
                <w:rFonts w:hint="eastAsia"/>
                <w:sz w:val="21"/>
                <w:szCs w:val="21"/>
                <w:highlight w:val="none"/>
                <w:lang w:val="en-US" w:eastAsia="zh-CN"/>
              </w:rPr>
              <w:t>m</w:t>
            </w:r>
            <w:r>
              <w:rPr>
                <w:rFonts w:hint="eastAsia"/>
                <w:sz w:val="21"/>
                <w:szCs w:val="21"/>
                <w:highlight w:val="none"/>
                <w:vertAlign w:val="superscript"/>
                <w:lang w:val="en-US" w:eastAsia="zh-CN"/>
              </w:rPr>
              <w:t>3</w:t>
            </w:r>
          </w:p>
        </w:tc>
        <w:tc>
          <w:tcPr>
            <w:tcW w:w="961" w:type="pct"/>
            <w:noWrap w:val="0"/>
            <w:tcMar>
              <w:left w:w="28" w:type="dxa"/>
              <w:right w:w="28" w:type="dxa"/>
            </w:tcMar>
            <w:vAlign w:val="center"/>
          </w:tcPr>
          <w:p w14:paraId="1B0440E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lang w:val="en-US" w:eastAsia="zh-CN"/>
              </w:rPr>
            </w:pPr>
            <w:r>
              <w:rPr>
                <w:rFonts w:hint="eastAsia"/>
                <w:sz w:val="21"/>
                <w:szCs w:val="21"/>
                <w:highlight w:val="none"/>
                <w:lang w:val="en-US" w:eastAsia="zh-CN"/>
              </w:rPr>
              <w:t>若干</w:t>
            </w:r>
          </w:p>
        </w:tc>
        <w:tc>
          <w:tcPr>
            <w:tcW w:w="1919" w:type="pct"/>
            <w:noWrap w:val="0"/>
            <w:tcMar>
              <w:left w:w="28" w:type="dxa"/>
              <w:right w:w="28" w:type="dxa"/>
            </w:tcMar>
            <w:vAlign w:val="center"/>
          </w:tcPr>
          <w:p w14:paraId="34AEF0F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lang w:val="en-US" w:eastAsia="zh-CN"/>
              </w:rPr>
            </w:pPr>
            <w:r>
              <w:rPr>
                <w:rFonts w:hint="eastAsia"/>
                <w:sz w:val="21"/>
                <w:szCs w:val="21"/>
                <w:highlight w:val="none"/>
                <w:lang w:val="en-US" w:eastAsia="zh-CN"/>
              </w:rPr>
              <w:t>根据需要采购</w:t>
            </w:r>
          </w:p>
        </w:tc>
      </w:tr>
      <w:tr w14:paraId="626CFEA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537" w:type="pct"/>
            <w:noWrap w:val="0"/>
            <w:tcMar>
              <w:left w:w="28" w:type="dxa"/>
              <w:right w:w="28" w:type="dxa"/>
            </w:tcMar>
            <w:vAlign w:val="center"/>
          </w:tcPr>
          <w:p w14:paraId="1314B18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lang w:val="en-US" w:eastAsia="zh-CN"/>
              </w:rPr>
            </w:pPr>
            <w:r>
              <w:rPr>
                <w:rFonts w:hint="eastAsia"/>
                <w:sz w:val="21"/>
                <w:szCs w:val="21"/>
                <w:highlight w:val="none"/>
                <w:lang w:val="en-US" w:eastAsia="zh-CN"/>
              </w:rPr>
              <w:t>5</w:t>
            </w:r>
          </w:p>
        </w:tc>
        <w:tc>
          <w:tcPr>
            <w:tcW w:w="999" w:type="pct"/>
            <w:noWrap w:val="0"/>
            <w:tcMar>
              <w:left w:w="28" w:type="dxa"/>
              <w:right w:w="28" w:type="dxa"/>
            </w:tcMar>
            <w:vAlign w:val="center"/>
          </w:tcPr>
          <w:p w14:paraId="3B970BC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lang w:val="en-US" w:eastAsia="zh-CN"/>
              </w:rPr>
            </w:pPr>
            <w:r>
              <w:rPr>
                <w:rFonts w:hint="eastAsia"/>
                <w:sz w:val="21"/>
                <w:szCs w:val="21"/>
                <w:highlight w:val="none"/>
                <w:lang w:val="en-US" w:eastAsia="zh-CN"/>
              </w:rPr>
              <w:t>钢筋</w:t>
            </w:r>
          </w:p>
        </w:tc>
        <w:tc>
          <w:tcPr>
            <w:tcW w:w="582" w:type="pct"/>
            <w:noWrap w:val="0"/>
            <w:tcMar>
              <w:left w:w="28" w:type="dxa"/>
              <w:right w:w="28" w:type="dxa"/>
            </w:tcMar>
            <w:vAlign w:val="center"/>
          </w:tcPr>
          <w:p w14:paraId="439F976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lang w:val="en-US" w:eastAsia="zh-CN"/>
              </w:rPr>
            </w:pPr>
            <w:r>
              <w:rPr>
                <w:rFonts w:hint="eastAsia"/>
                <w:sz w:val="21"/>
                <w:szCs w:val="21"/>
                <w:highlight w:val="none"/>
                <w:lang w:val="en-US" w:eastAsia="zh-CN"/>
              </w:rPr>
              <w:t>t</w:t>
            </w:r>
          </w:p>
        </w:tc>
        <w:tc>
          <w:tcPr>
            <w:tcW w:w="961" w:type="pct"/>
            <w:noWrap w:val="0"/>
            <w:tcMar>
              <w:left w:w="28" w:type="dxa"/>
              <w:right w:w="28" w:type="dxa"/>
            </w:tcMar>
            <w:vAlign w:val="center"/>
          </w:tcPr>
          <w:p w14:paraId="3EB17A4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lang w:val="en-US" w:eastAsia="zh-CN"/>
              </w:rPr>
            </w:pPr>
            <w:r>
              <w:rPr>
                <w:rFonts w:hint="eastAsia"/>
                <w:sz w:val="21"/>
                <w:szCs w:val="21"/>
                <w:highlight w:val="none"/>
                <w:lang w:val="en-US" w:eastAsia="zh-CN"/>
              </w:rPr>
              <w:t>若干</w:t>
            </w:r>
          </w:p>
        </w:tc>
        <w:tc>
          <w:tcPr>
            <w:tcW w:w="1919" w:type="pct"/>
            <w:noWrap w:val="0"/>
            <w:tcMar>
              <w:left w:w="28" w:type="dxa"/>
              <w:right w:w="28" w:type="dxa"/>
            </w:tcMar>
            <w:vAlign w:val="center"/>
          </w:tcPr>
          <w:p w14:paraId="3203CB6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lang w:val="en-US" w:eastAsia="zh-CN"/>
              </w:rPr>
            </w:pPr>
            <w:r>
              <w:rPr>
                <w:rFonts w:hint="eastAsia"/>
                <w:sz w:val="21"/>
                <w:szCs w:val="21"/>
                <w:highlight w:val="none"/>
                <w:lang w:val="en-US" w:eastAsia="zh-CN"/>
              </w:rPr>
              <w:t>根据需要采购</w:t>
            </w:r>
          </w:p>
        </w:tc>
      </w:tr>
      <w:tr w14:paraId="6AC541D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537" w:type="pct"/>
            <w:noWrap w:val="0"/>
            <w:tcMar>
              <w:left w:w="28" w:type="dxa"/>
              <w:right w:w="28" w:type="dxa"/>
            </w:tcMar>
            <w:vAlign w:val="center"/>
          </w:tcPr>
          <w:p w14:paraId="61E7DB3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lang w:val="en-US" w:eastAsia="zh-CN"/>
              </w:rPr>
            </w:pPr>
            <w:r>
              <w:rPr>
                <w:rFonts w:hint="eastAsia"/>
                <w:sz w:val="21"/>
                <w:szCs w:val="21"/>
                <w:highlight w:val="none"/>
                <w:lang w:val="en-US" w:eastAsia="zh-CN"/>
              </w:rPr>
              <w:t>5</w:t>
            </w:r>
          </w:p>
        </w:tc>
        <w:tc>
          <w:tcPr>
            <w:tcW w:w="999" w:type="pct"/>
            <w:noWrap w:val="0"/>
            <w:tcMar>
              <w:left w:w="28" w:type="dxa"/>
              <w:right w:w="28" w:type="dxa"/>
            </w:tcMar>
            <w:vAlign w:val="center"/>
          </w:tcPr>
          <w:p w14:paraId="762EC59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生物制剂</w:t>
            </w:r>
          </w:p>
        </w:tc>
        <w:tc>
          <w:tcPr>
            <w:tcW w:w="582" w:type="pct"/>
            <w:noWrap w:val="0"/>
            <w:tcMar>
              <w:left w:w="28" w:type="dxa"/>
              <w:right w:w="28" w:type="dxa"/>
            </w:tcMar>
            <w:vAlign w:val="center"/>
          </w:tcPr>
          <w:p w14:paraId="3E7572C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lang w:val="en-US" w:eastAsia="zh-CN"/>
              </w:rPr>
            </w:pPr>
            <w:r>
              <w:rPr>
                <w:rFonts w:hint="eastAsia"/>
                <w:sz w:val="21"/>
                <w:szCs w:val="21"/>
                <w:highlight w:val="none"/>
                <w:lang w:val="en-US" w:eastAsia="zh-CN"/>
              </w:rPr>
              <w:t>t</w:t>
            </w:r>
          </w:p>
        </w:tc>
        <w:tc>
          <w:tcPr>
            <w:tcW w:w="961" w:type="pct"/>
            <w:noWrap w:val="0"/>
            <w:tcMar>
              <w:left w:w="28" w:type="dxa"/>
              <w:right w:w="28" w:type="dxa"/>
            </w:tcMar>
            <w:vAlign w:val="center"/>
          </w:tcPr>
          <w:p w14:paraId="46D79AD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lang w:val="en-US" w:eastAsia="zh-CN"/>
              </w:rPr>
            </w:pPr>
            <w:r>
              <w:rPr>
                <w:rFonts w:hint="eastAsia"/>
                <w:sz w:val="21"/>
                <w:szCs w:val="21"/>
                <w:highlight w:val="none"/>
                <w:lang w:val="en-US" w:eastAsia="zh-CN"/>
              </w:rPr>
              <w:t>4</w:t>
            </w:r>
          </w:p>
        </w:tc>
        <w:tc>
          <w:tcPr>
            <w:tcW w:w="1919" w:type="pct"/>
            <w:vMerge w:val="restart"/>
            <w:noWrap w:val="0"/>
            <w:tcMar>
              <w:left w:w="28" w:type="dxa"/>
              <w:right w:w="28" w:type="dxa"/>
            </w:tcMar>
            <w:vAlign w:val="center"/>
          </w:tcPr>
          <w:p w14:paraId="21840EE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lang w:val="en-US" w:eastAsia="zh-CN"/>
              </w:rPr>
            </w:pPr>
            <w:r>
              <w:rPr>
                <w:rFonts w:hint="eastAsia"/>
                <w:sz w:val="21"/>
                <w:szCs w:val="21"/>
                <w:highlight w:val="none"/>
                <w:lang w:val="en-US" w:eastAsia="zh-CN"/>
              </w:rPr>
              <w:t>废水处理</w:t>
            </w:r>
          </w:p>
        </w:tc>
      </w:tr>
      <w:tr w14:paraId="0ACEBBB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537" w:type="pct"/>
            <w:noWrap w:val="0"/>
            <w:tcMar>
              <w:left w:w="28" w:type="dxa"/>
              <w:right w:w="28" w:type="dxa"/>
            </w:tcMar>
            <w:vAlign w:val="center"/>
          </w:tcPr>
          <w:p w14:paraId="6A4C476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lang w:val="en-US" w:eastAsia="zh-CN"/>
              </w:rPr>
            </w:pPr>
            <w:r>
              <w:rPr>
                <w:rFonts w:hint="eastAsia"/>
                <w:sz w:val="21"/>
                <w:szCs w:val="21"/>
                <w:highlight w:val="none"/>
                <w:lang w:val="en-US" w:eastAsia="zh-CN"/>
              </w:rPr>
              <w:t>6</w:t>
            </w:r>
          </w:p>
        </w:tc>
        <w:tc>
          <w:tcPr>
            <w:tcW w:w="999" w:type="pct"/>
            <w:noWrap w:val="0"/>
            <w:tcMar>
              <w:left w:w="28" w:type="dxa"/>
              <w:right w:w="28" w:type="dxa"/>
            </w:tcMar>
            <w:vAlign w:val="center"/>
          </w:tcPr>
          <w:p w14:paraId="42EE57D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lang w:val="en-US" w:eastAsia="zh-CN"/>
              </w:rPr>
            </w:pPr>
            <w:r>
              <w:rPr>
                <w:rFonts w:hint="eastAsia"/>
                <w:sz w:val="21"/>
                <w:szCs w:val="21"/>
                <w:highlight w:val="none"/>
                <w:lang w:val="en-US" w:eastAsia="zh-CN"/>
              </w:rPr>
              <w:t>液碱</w:t>
            </w:r>
          </w:p>
        </w:tc>
        <w:tc>
          <w:tcPr>
            <w:tcW w:w="582" w:type="pct"/>
            <w:noWrap w:val="0"/>
            <w:tcMar>
              <w:left w:w="28" w:type="dxa"/>
              <w:right w:w="28" w:type="dxa"/>
            </w:tcMar>
            <w:vAlign w:val="center"/>
          </w:tcPr>
          <w:p w14:paraId="65AC7A7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lang w:val="en-US" w:eastAsia="zh-CN"/>
              </w:rPr>
            </w:pPr>
            <w:r>
              <w:rPr>
                <w:rFonts w:hint="eastAsia"/>
                <w:sz w:val="21"/>
                <w:szCs w:val="21"/>
                <w:highlight w:val="none"/>
                <w:lang w:val="en-US" w:eastAsia="zh-CN"/>
              </w:rPr>
              <w:t>t</w:t>
            </w:r>
          </w:p>
        </w:tc>
        <w:tc>
          <w:tcPr>
            <w:tcW w:w="961" w:type="pct"/>
            <w:noWrap w:val="0"/>
            <w:tcMar>
              <w:left w:w="28" w:type="dxa"/>
              <w:right w:w="28" w:type="dxa"/>
            </w:tcMar>
            <w:vAlign w:val="center"/>
          </w:tcPr>
          <w:p w14:paraId="033A3FE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lang w:val="en-US" w:eastAsia="zh-CN"/>
              </w:rPr>
            </w:pPr>
            <w:r>
              <w:rPr>
                <w:rFonts w:hint="eastAsia"/>
                <w:sz w:val="21"/>
                <w:szCs w:val="21"/>
                <w:highlight w:val="none"/>
                <w:lang w:val="en-US" w:eastAsia="zh-CN"/>
              </w:rPr>
              <w:t>1.7</w:t>
            </w:r>
          </w:p>
        </w:tc>
        <w:tc>
          <w:tcPr>
            <w:tcW w:w="1919" w:type="pct"/>
            <w:vMerge w:val="continue"/>
            <w:noWrap w:val="0"/>
            <w:tcMar>
              <w:left w:w="28" w:type="dxa"/>
              <w:right w:w="28" w:type="dxa"/>
            </w:tcMar>
            <w:vAlign w:val="center"/>
          </w:tcPr>
          <w:p w14:paraId="3B9157C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lang w:val="en-US" w:eastAsia="zh-CN"/>
              </w:rPr>
            </w:pPr>
          </w:p>
        </w:tc>
      </w:tr>
      <w:tr w14:paraId="26FD147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537" w:type="pct"/>
            <w:noWrap w:val="0"/>
            <w:tcMar>
              <w:left w:w="28" w:type="dxa"/>
              <w:right w:w="28" w:type="dxa"/>
            </w:tcMar>
            <w:vAlign w:val="center"/>
          </w:tcPr>
          <w:p w14:paraId="0F9426E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lang w:val="en-US" w:eastAsia="zh-CN"/>
              </w:rPr>
            </w:pPr>
            <w:r>
              <w:rPr>
                <w:rFonts w:hint="eastAsia"/>
                <w:sz w:val="21"/>
                <w:szCs w:val="21"/>
                <w:highlight w:val="none"/>
                <w:lang w:val="en-US" w:eastAsia="zh-CN"/>
              </w:rPr>
              <w:t>7</w:t>
            </w:r>
          </w:p>
        </w:tc>
        <w:tc>
          <w:tcPr>
            <w:tcW w:w="999" w:type="pct"/>
            <w:noWrap w:val="0"/>
            <w:tcMar>
              <w:left w:w="28" w:type="dxa"/>
              <w:right w:w="28" w:type="dxa"/>
            </w:tcMar>
            <w:vAlign w:val="center"/>
          </w:tcPr>
          <w:p w14:paraId="170B794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lang w:val="en-US" w:eastAsia="zh-CN"/>
              </w:rPr>
            </w:pPr>
            <w:r>
              <w:rPr>
                <w:rFonts w:hint="eastAsia"/>
                <w:sz w:val="21"/>
                <w:szCs w:val="21"/>
                <w:highlight w:val="none"/>
                <w:lang w:val="en-US" w:eastAsia="zh-CN"/>
              </w:rPr>
              <w:t>PAM</w:t>
            </w:r>
          </w:p>
        </w:tc>
        <w:tc>
          <w:tcPr>
            <w:tcW w:w="582" w:type="pct"/>
            <w:noWrap w:val="0"/>
            <w:tcMar>
              <w:left w:w="28" w:type="dxa"/>
              <w:right w:w="28" w:type="dxa"/>
            </w:tcMar>
            <w:vAlign w:val="center"/>
          </w:tcPr>
          <w:p w14:paraId="3D96A4A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lang w:val="en-US" w:eastAsia="zh-CN"/>
              </w:rPr>
            </w:pPr>
            <w:r>
              <w:rPr>
                <w:rFonts w:hint="eastAsia"/>
                <w:sz w:val="21"/>
                <w:szCs w:val="21"/>
                <w:highlight w:val="none"/>
                <w:lang w:val="en-US" w:eastAsia="zh-CN"/>
              </w:rPr>
              <w:t>kg</w:t>
            </w:r>
          </w:p>
        </w:tc>
        <w:tc>
          <w:tcPr>
            <w:tcW w:w="961" w:type="pct"/>
            <w:noWrap w:val="0"/>
            <w:tcMar>
              <w:left w:w="28" w:type="dxa"/>
              <w:right w:w="28" w:type="dxa"/>
            </w:tcMar>
            <w:vAlign w:val="center"/>
          </w:tcPr>
          <w:p w14:paraId="79AF0B1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lang w:val="en-US" w:eastAsia="zh-CN"/>
              </w:rPr>
            </w:pPr>
            <w:r>
              <w:rPr>
                <w:rFonts w:hint="eastAsia"/>
                <w:sz w:val="21"/>
                <w:szCs w:val="21"/>
                <w:highlight w:val="none"/>
                <w:lang w:val="en-US" w:eastAsia="zh-CN"/>
              </w:rPr>
              <w:t>0.1</w:t>
            </w:r>
          </w:p>
        </w:tc>
        <w:tc>
          <w:tcPr>
            <w:tcW w:w="1919" w:type="pct"/>
            <w:vMerge w:val="continue"/>
            <w:noWrap w:val="0"/>
            <w:tcMar>
              <w:left w:w="28" w:type="dxa"/>
              <w:right w:w="28" w:type="dxa"/>
            </w:tcMar>
            <w:vAlign w:val="center"/>
          </w:tcPr>
          <w:p w14:paraId="72D3BA2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lang w:val="en-US" w:eastAsia="zh-CN"/>
              </w:rPr>
            </w:pPr>
          </w:p>
        </w:tc>
      </w:tr>
      <w:tr w14:paraId="6ACF5AC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537" w:type="pct"/>
            <w:noWrap w:val="0"/>
            <w:tcMar>
              <w:left w:w="28" w:type="dxa"/>
              <w:right w:w="28" w:type="dxa"/>
            </w:tcMar>
            <w:vAlign w:val="center"/>
          </w:tcPr>
          <w:p w14:paraId="7F376EF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lang w:val="en-US" w:eastAsia="zh-CN"/>
              </w:rPr>
            </w:pPr>
            <w:r>
              <w:rPr>
                <w:rFonts w:hint="eastAsia"/>
                <w:sz w:val="21"/>
                <w:szCs w:val="21"/>
                <w:highlight w:val="none"/>
                <w:lang w:val="en-US" w:eastAsia="zh-CN"/>
              </w:rPr>
              <w:t>8</w:t>
            </w:r>
          </w:p>
        </w:tc>
        <w:tc>
          <w:tcPr>
            <w:tcW w:w="999" w:type="pct"/>
            <w:noWrap w:val="0"/>
            <w:tcMar>
              <w:left w:w="28" w:type="dxa"/>
              <w:right w:w="28" w:type="dxa"/>
            </w:tcMar>
            <w:vAlign w:val="center"/>
          </w:tcPr>
          <w:p w14:paraId="50A84D9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lang w:val="en-US" w:eastAsia="zh-CN"/>
              </w:rPr>
            </w:pPr>
            <w:r>
              <w:rPr>
                <w:rFonts w:hint="eastAsia"/>
                <w:sz w:val="21"/>
                <w:szCs w:val="21"/>
                <w:highlight w:val="none"/>
                <w:lang w:val="en-US" w:eastAsia="zh-CN"/>
              </w:rPr>
              <w:t>浓硫酸</w:t>
            </w:r>
          </w:p>
        </w:tc>
        <w:tc>
          <w:tcPr>
            <w:tcW w:w="582" w:type="pct"/>
            <w:noWrap w:val="0"/>
            <w:tcMar>
              <w:left w:w="28" w:type="dxa"/>
              <w:right w:w="28" w:type="dxa"/>
            </w:tcMar>
            <w:vAlign w:val="center"/>
          </w:tcPr>
          <w:p w14:paraId="3233296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lang w:val="en-US" w:eastAsia="zh-CN"/>
              </w:rPr>
            </w:pPr>
            <w:r>
              <w:rPr>
                <w:rFonts w:hint="eastAsia"/>
                <w:sz w:val="21"/>
                <w:szCs w:val="21"/>
                <w:highlight w:val="none"/>
                <w:lang w:val="en-US" w:eastAsia="zh-CN"/>
              </w:rPr>
              <w:t>t</w:t>
            </w:r>
          </w:p>
        </w:tc>
        <w:tc>
          <w:tcPr>
            <w:tcW w:w="961" w:type="pct"/>
            <w:noWrap w:val="0"/>
            <w:tcMar>
              <w:left w:w="28" w:type="dxa"/>
              <w:right w:w="28" w:type="dxa"/>
            </w:tcMar>
            <w:vAlign w:val="center"/>
          </w:tcPr>
          <w:p w14:paraId="75AAA23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lang w:val="en-US" w:eastAsia="zh-CN"/>
              </w:rPr>
            </w:pPr>
            <w:r>
              <w:rPr>
                <w:rFonts w:hint="eastAsia"/>
                <w:sz w:val="21"/>
                <w:szCs w:val="21"/>
                <w:highlight w:val="none"/>
                <w:lang w:val="en-US" w:eastAsia="zh-CN"/>
              </w:rPr>
              <w:t>0.2</w:t>
            </w:r>
          </w:p>
        </w:tc>
        <w:tc>
          <w:tcPr>
            <w:tcW w:w="1919" w:type="pct"/>
            <w:vMerge w:val="continue"/>
            <w:noWrap w:val="0"/>
            <w:tcMar>
              <w:left w:w="28" w:type="dxa"/>
              <w:right w:w="28" w:type="dxa"/>
            </w:tcMar>
            <w:vAlign w:val="center"/>
          </w:tcPr>
          <w:p w14:paraId="70A7F2E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yellow"/>
                <w:lang w:val="en-US" w:eastAsia="zh-CN"/>
              </w:rPr>
            </w:pPr>
          </w:p>
        </w:tc>
      </w:tr>
      <w:tr w14:paraId="24A156E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537" w:type="pct"/>
            <w:noWrap w:val="0"/>
            <w:tcMar>
              <w:left w:w="28" w:type="dxa"/>
              <w:right w:w="28" w:type="dxa"/>
            </w:tcMar>
            <w:vAlign w:val="center"/>
          </w:tcPr>
          <w:p w14:paraId="55B5937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4</w:t>
            </w:r>
          </w:p>
        </w:tc>
        <w:tc>
          <w:tcPr>
            <w:tcW w:w="999" w:type="pct"/>
            <w:noWrap w:val="0"/>
            <w:tcMar>
              <w:left w:w="28" w:type="dxa"/>
              <w:right w:w="28" w:type="dxa"/>
            </w:tcMar>
            <w:vAlign w:val="center"/>
          </w:tcPr>
          <w:p w14:paraId="6547D3F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植物</w:t>
            </w:r>
          </w:p>
        </w:tc>
        <w:tc>
          <w:tcPr>
            <w:tcW w:w="582" w:type="pct"/>
            <w:noWrap w:val="0"/>
            <w:tcMar>
              <w:left w:w="28" w:type="dxa"/>
              <w:right w:w="28" w:type="dxa"/>
            </w:tcMar>
            <w:vAlign w:val="center"/>
          </w:tcPr>
          <w:p w14:paraId="1951942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万株</w:t>
            </w:r>
          </w:p>
        </w:tc>
        <w:tc>
          <w:tcPr>
            <w:tcW w:w="961" w:type="pct"/>
            <w:noWrap w:val="0"/>
            <w:tcMar>
              <w:left w:w="28" w:type="dxa"/>
              <w:right w:w="28" w:type="dxa"/>
            </w:tcMar>
            <w:vAlign w:val="center"/>
          </w:tcPr>
          <w:p w14:paraId="1BFDBAE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3</w:t>
            </w:r>
          </w:p>
        </w:tc>
        <w:tc>
          <w:tcPr>
            <w:tcW w:w="1919" w:type="pct"/>
            <w:noWrap w:val="0"/>
            <w:tcMar>
              <w:left w:w="28" w:type="dxa"/>
              <w:right w:w="28" w:type="dxa"/>
            </w:tcMar>
            <w:vAlign w:val="center"/>
          </w:tcPr>
          <w:p w14:paraId="2837E68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用于生态修复</w:t>
            </w:r>
          </w:p>
        </w:tc>
      </w:tr>
    </w:tbl>
    <w:p w14:paraId="67A27C73">
      <w:pPr>
        <w:pStyle w:val="9"/>
        <w:numPr>
          <w:ilvl w:val="2"/>
          <w:numId w:val="1"/>
        </w:numPr>
        <w:bidi w:val="0"/>
        <w:ind w:left="709" w:leftChars="0" w:hanging="709" w:firstLineChars="0"/>
        <w:rPr>
          <w:rFonts w:hint="eastAsia"/>
          <w:highlight w:val="none"/>
          <w:lang w:val="en-US" w:eastAsia="zh-CN"/>
        </w:rPr>
      </w:pPr>
      <w:r>
        <w:rPr>
          <w:rFonts w:hint="eastAsia"/>
          <w:highlight w:val="none"/>
          <w:lang w:val="en-US" w:eastAsia="zh-CN"/>
        </w:rPr>
        <w:t>总平面布置</w:t>
      </w:r>
    </w:p>
    <w:p w14:paraId="6587D2E3">
      <w:pPr>
        <w:bidi w:val="0"/>
        <w:rPr>
          <w:rFonts w:hint="eastAsia"/>
          <w:highlight w:val="none"/>
          <w:lang w:val="en-US" w:eastAsia="zh-CN"/>
        </w:rPr>
      </w:pPr>
      <w:r>
        <w:rPr>
          <w:rFonts w:hint="eastAsia"/>
          <w:highlight w:val="none"/>
          <w:lang w:val="en-US" w:eastAsia="zh-CN"/>
        </w:rPr>
        <w:t>根据项目治理区域废渣分布特点，项目施工区主要分为3个区域，分别是1#废渣堆开挖区域，2#废渣堆区域开挖区域和填埋场区域。由于本项目施工期较短，施工单位的施工人员直接租用附近村庄房屋居住及管理办公，不设置临时施工营地。</w:t>
      </w:r>
    </w:p>
    <w:p w14:paraId="7076C77F">
      <w:pPr>
        <w:bidi w:val="0"/>
        <w:rPr>
          <w:rFonts w:hint="eastAsia"/>
          <w:highlight w:val="none"/>
          <w:lang w:val="en-US" w:eastAsia="zh-CN"/>
        </w:rPr>
      </w:pPr>
      <w:r>
        <w:rPr>
          <w:rFonts w:hint="eastAsia"/>
          <w:highlight w:val="none"/>
          <w:lang w:val="en-US" w:eastAsia="zh-CN"/>
        </w:rPr>
        <w:t>依据总平面布置的原则，本项目进场路口位于填埋场北侧，洗车平台布置在填埋场北侧进场路口处，离现有乡道较近，布局合理，一体化污水处理设施布置在渗滤液收集池处，取土场位于南尧村附近，邻近现有乡道，满足规范要求，方便固体废物处理和与填埋场的联系及固体废物运输。</w:t>
      </w:r>
    </w:p>
    <w:p w14:paraId="3D1B8023">
      <w:pPr>
        <w:pStyle w:val="9"/>
        <w:numPr>
          <w:ilvl w:val="2"/>
          <w:numId w:val="1"/>
        </w:numPr>
        <w:bidi w:val="0"/>
        <w:ind w:left="709" w:leftChars="0" w:hanging="709" w:firstLineChars="0"/>
        <w:rPr>
          <w:rFonts w:hint="eastAsia"/>
          <w:highlight w:val="none"/>
          <w:lang w:val="en-US" w:eastAsia="zh-CN"/>
        </w:rPr>
      </w:pPr>
      <w:r>
        <w:rPr>
          <w:rFonts w:hint="eastAsia"/>
          <w:highlight w:val="none"/>
          <w:lang w:val="en-US" w:eastAsia="zh-CN"/>
        </w:rPr>
        <w:t>项目实施进度及劳动定员</w:t>
      </w:r>
    </w:p>
    <w:p w14:paraId="19E944CB">
      <w:pPr>
        <w:bidi w:val="0"/>
        <w:rPr>
          <w:rFonts w:hint="eastAsia"/>
          <w:highlight w:val="none"/>
          <w:lang w:eastAsia="zh-CN"/>
        </w:rPr>
      </w:pPr>
      <w:r>
        <w:rPr>
          <w:rFonts w:hint="eastAsia"/>
          <w:highlight w:val="none"/>
          <w:lang w:eastAsia="zh-CN"/>
        </w:rPr>
        <w:t>本项目施工组织实施方案为：</w:t>
      </w:r>
    </w:p>
    <w:p w14:paraId="7E521EFB">
      <w:pPr>
        <w:bidi w:val="0"/>
        <w:rPr>
          <w:rFonts w:hint="eastAsia"/>
          <w:highlight w:val="none"/>
          <w:lang w:val="en-US" w:eastAsia="zh-CN"/>
        </w:rPr>
      </w:pPr>
      <w:r>
        <w:rPr>
          <w:rFonts w:hint="eastAsia"/>
          <w:highlight w:val="none"/>
          <w:lang w:eastAsia="zh-CN"/>
        </w:rPr>
        <w:t>项目首先建设场地周边截水系统和场区内排雨水系统，保证施工期场区外汇水及场区内产生的地表径流均能过通过截水沟排出堆场外。按照设计要求进行填埋场</w:t>
      </w:r>
      <w:r>
        <w:rPr>
          <w:rFonts w:hint="eastAsia"/>
          <w:highlight w:val="none"/>
          <w:lang w:val="en-US" w:eastAsia="zh-CN"/>
        </w:rPr>
        <w:t>地下水导排工程、渗滤液导排工程、挡渣坝工程、场底防渗工程、边坡防渗工程等内容</w:t>
      </w:r>
      <w:r>
        <w:rPr>
          <w:rFonts w:hint="eastAsia"/>
          <w:highlight w:val="none"/>
          <w:lang w:eastAsia="zh-CN"/>
        </w:rPr>
        <w:t>，然后开始</w:t>
      </w:r>
      <w:r>
        <w:rPr>
          <w:rFonts w:hint="eastAsia"/>
          <w:highlight w:val="none"/>
          <w:lang w:val="en-US" w:eastAsia="zh-CN"/>
        </w:rPr>
        <w:t>废渣堆</w:t>
      </w:r>
      <w:r>
        <w:rPr>
          <w:rFonts w:hint="eastAsia"/>
          <w:highlight w:val="none"/>
          <w:lang w:eastAsia="zh-CN"/>
        </w:rPr>
        <w:t>遗留废渣的清挖，并和</w:t>
      </w:r>
      <w:r>
        <w:rPr>
          <w:rFonts w:hint="eastAsia"/>
          <w:highlight w:val="none"/>
          <w:lang w:val="en-US" w:eastAsia="zh-CN"/>
        </w:rPr>
        <w:t>污水处理污泥</w:t>
      </w:r>
      <w:r>
        <w:rPr>
          <w:rFonts w:hint="eastAsia"/>
          <w:highlight w:val="none"/>
          <w:lang w:eastAsia="zh-CN"/>
        </w:rPr>
        <w:t>一起进入建好的填埋场进行安全填埋；项目完成遗留废渣清挖后，</w:t>
      </w:r>
      <w:r>
        <w:rPr>
          <w:rFonts w:hint="eastAsia"/>
          <w:highlight w:val="none"/>
          <w:lang w:val="en-US" w:eastAsia="zh-CN"/>
        </w:rPr>
        <w:t>对填埋进行封场，</w:t>
      </w:r>
      <w:r>
        <w:rPr>
          <w:rFonts w:hint="eastAsia"/>
          <w:highlight w:val="none"/>
          <w:lang w:eastAsia="zh-CN"/>
        </w:rPr>
        <w:t>在场地内的遗留废渣、受污染的土壤进行了处理后，土地平整并覆土绿化，进行生态恢复。</w:t>
      </w:r>
    </w:p>
    <w:p w14:paraId="05774B4B">
      <w:pPr>
        <w:bidi w:val="0"/>
        <w:rPr>
          <w:rFonts w:hint="eastAsia"/>
          <w:lang w:eastAsia="zh-CN"/>
        </w:rPr>
      </w:pPr>
      <w:r>
        <w:rPr>
          <w:rFonts w:hint="eastAsia"/>
          <w:highlight w:val="none"/>
          <w:lang w:val="en-US" w:eastAsia="zh-CN"/>
        </w:rPr>
        <w:t>根据本项目的工程量、施工条件以及施工方案，项目建设期为6个月，包括项目招投标、工前准备等工作，建设时间为2025年10月到2026年3月，</w:t>
      </w:r>
      <w:r>
        <w:rPr>
          <w:rFonts w:hint="eastAsia"/>
        </w:rPr>
        <w:t>项目施工定员</w:t>
      </w:r>
      <w:r>
        <w:t>20</w:t>
      </w:r>
      <w:r>
        <w:rPr>
          <w:rFonts w:hint="eastAsia"/>
        </w:rPr>
        <w:t>人</w:t>
      </w:r>
      <w:r>
        <w:rPr>
          <w:rFonts w:hint="eastAsia"/>
          <w:lang w:eastAsia="zh-CN"/>
        </w:rPr>
        <w:t>，</w:t>
      </w:r>
      <w:r>
        <w:rPr>
          <w:rFonts w:hint="eastAsia"/>
          <w:lang w:val="en-US" w:eastAsia="zh-CN"/>
        </w:rPr>
        <w:t>一班制，每班8h</w:t>
      </w:r>
      <w:r>
        <w:rPr>
          <w:rFonts w:hint="eastAsia"/>
          <w:lang w:eastAsia="zh-CN"/>
        </w:rPr>
        <w:t>。</w:t>
      </w:r>
    </w:p>
    <w:p w14:paraId="121119F4">
      <w:pPr>
        <w:pStyle w:val="8"/>
        <w:numPr>
          <w:ilvl w:val="1"/>
          <w:numId w:val="1"/>
        </w:numPr>
        <w:tabs>
          <w:tab w:val="clear" w:pos="420"/>
        </w:tabs>
        <w:bidi w:val="0"/>
        <w:ind w:left="567" w:leftChars="0" w:hanging="567" w:firstLineChars="0"/>
        <w:rPr>
          <w:rFonts w:hint="default"/>
          <w:highlight w:val="none"/>
          <w:lang w:val="en-US" w:eastAsia="zh-CN"/>
        </w:rPr>
      </w:pPr>
      <w:bookmarkStart w:id="36" w:name="_Toc30415"/>
      <w:r>
        <w:rPr>
          <w:rFonts w:hint="eastAsia"/>
          <w:highlight w:val="none"/>
          <w:lang w:val="en-US" w:eastAsia="zh-CN"/>
        </w:rPr>
        <w:t>工程分析</w:t>
      </w:r>
      <w:bookmarkEnd w:id="36"/>
    </w:p>
    <w:p w14:paraId="37D08B69">
      <w:pPr>
        <w:pStyle w:val="9"/>
        <w:numPr>
          <w:ilvl w:val="2"/>
          <w:numId w:val="1"/>
        </w:numPr>
        <w:bidi w:val="0"/>
        <w:ind w:left="709" w:leftChars="0" w:hanging="709" w:firstLineChars="0"/>
        <w:rPr>
          <w:rFonts w:hint="default"/>
          <w:lang w:val="en-US" w:eastAsia="zh-CN"/>
        </w:rPr>
      </w:pPr>
      <w:r>
        <w:rPr>
          <w:rFonts w:hint="eastAsia"/>
          <w:lang w:val="en-US" w:eastAsia="zh-CN"/>
        </w:rPr>
        <w:t>工程方案</w:t>
      </w:r>
    </w:p>
    <w:p w14:paraId="4D50ED12">
      <w:pPr>
        <w:pStyle w:val="10"/>
        <w:numPr>
          <w:ilvl w:val="3"/>
          <w:numId w:val="1"/>
        </w:numPr>
        <w:bidi w:val="0"/>
        <w:ind w:left="850" w:leftChars="0" w:hanging="850" w:firstLineChars="0"/>
        <w:rPr>
          <w:rFonts w:hint="default"/>
          <w:lang w:val="en-US" w:eastAsia="zh-CN"/>
        </w:rPr>
      </w:pPr>
      <w:r>
        <w:rPr>
          <w:rFonts w:hint="eastAsia"/>
          <w:lang w:val="en-US" w:eastAsia="zh-CN"/>
        </w:rPr>
        <w:t>治理技术路线</w:t>
      </w:r>
    </w:p>
    <w:p w14:paraId="2F07DDC1">
      <w:pPr>
        <w:bidi w:val="0"/>
        <w:rPr>
          <w:rFonts w:hint="eastAsia"/>
          <w:highlight w:val="none"/>
          <w:lang w:val="en-US" w:eastAsia="zh-CN"/>
        </w:rPr>
      </w:pPr>
      <w:r>
        <w:rPr>
          <w:rFonts w:hint="eastAsia"/>
          <w:highlight w:val="none"/>
          <w:lang w:val="en-US" w:eastAsia="zh-CN"/>
        </w:rPr>
        <w:t>本项目治理技术路线如下图所示。</w:t>
      </w:r>
    </w:p>
    <w:p w14:paraId="351848AC">
      <w:pPr>
        <w:bidi w:val="0"/>
        <w:ind w:left="0" w:leftChars="0" w:firstLine="0" w:firstLineChars="0"/>
        <w:rPr>
          <w:rFonts w:hint="eastAsia"/>
          <w:highlight w:val="yellow"/>
          <w:lang w:val="en-US" w:eastAsia="zh-CN"/>
        </w:rPr>
      </w:pPr>
      <w:r>
        <w:drawing>
          <wp:inline distT="0" distB="0" distL="114300" distR="114300">
            <wp:extent cx="5755640" cy="4825365"/>
            <wp:effectExtent l="0" t="0" r="16510" b="13335"/>
            <wp:docPr id="49"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30"/>
                    <pic:cNvPicPr>
                      <a:picLocks noChangeAspect="1"/>
                    </pic:cNvPicPr>
                  </pic:nvPicPr>
                  <pic:blipFill>
                    <a:blip r:embed="rId29"/>
                    <a:stretch>
                      <a:fillRect/>
                    </a:stretch>
                  </pic:blipFill>
                  <pic:spPr>
                    <a:xfrm>
                      <a:off x="0" y="0"/>
                      <a:ext cx="5755640" cy="4825365"/>
                    </a:xfrm>
                    <a:prstGeom prst="rect">
                      <a:avLst/>
                    </a:prstGeom>
                    <a:noFill/>
                    <a:ln>
                      <a:noFill/>
                    </a:ln>
                  </pic:spPr>
                </pic:pic>
              </a:graphicData>
            </a:graphic>
          </wp:inline>
        </w:drawing>
      </w:r>
    </w:p>
    <w:p w14:paraId="2B31D108">
      <w:pPr>
        <w:bidi w:val="0"/>
        <w:ind w:left="0" w:leftChars="0" w:firstLine="0" w:firstLineChars="0"/>
        <w:jc w:val="center"/>
        <w:rPr>
          <w:rFonts w:hint="default"/>
          <w:b/>
          <w:bCs/>
          <w:sz w:val="21"/>
          <w:szCs w:val="21"/>
          <w:highlight w:val="none"/>
          <w:lang w:val="en-US" w:eastAsia="zh-CN"/>
        </w:rPr>
      </w:pPr>
      <w:r>
        <w:rPr>
          <w:rFonts w:hint="eastAsia"/>
          <w:b/>
          <w:bCs/>
          <w:sz w:val="21"/>
          <w:szCs w:val="21"/>
          <w:highlight w:val="none"/>
          <w:lang w:val="en-US" w:eastAsia="zh-CN"/>
        </w:rPr>
        <w:t>图3.2-1  项目治理技术路线图</w:t>
      </w:r>
    </w:p>
    <w:p w14:paraId="37D02A19">
      <w:pPr>
        <w:pStyle w:val="10"/>
        <w:numPr>
          <w:ilvl w:val="3"/>
          <w:numId w:val="1"/>
        </w:numPr>
        <w:bidi w:val="0"/>
        <w:ind w:left="850" w:leftChars="0" w:hanging="850" w:firstLineChars="0"/>
        <w:rPr>
          <w:rFonts w:hint="default"/>
          <w:lang w:val="en-US" w:eastAsia="zh-CN"/>
        </w:rPr>
      </w:pPr>
      <w:r>
        <w:rPr>
          <w:rFonts w:hint="eastAsia"/>
          <w:lang w:val="en-US" w:eastAsia="zh-CN"/>
        </w:rPr>
        <w:t>施工期工程方案</w:t>
      </w:r>
    </w:p>
    <w:p w14:paraId="193D3004">
      <w:pPr>
        <w:bidi w:val="0"/>
        <w:rPr>
          <w:rFonts w:hint="default"/>
          <w:b/>
          <w:bCs/>
          <w:highlight w:val="none"/>
          <w:lang w:val="en-US" w:eastAsia="zh-CN"/>
        </w:rPr>
      </w:pPr>
      <w:r>
        <w:rPr>
          <w:rFonts w:hint="eastAsia"/>
          <w:b/>
          <w:bCs/>
          <w:highlight w:val="none"/>
          <w:lang w:val="en-US" w:eastAsia="zh-CN"/>
        </w:rPr>
        <w:t>1、废渣堆废渣挖掘与场底清基工程</w:t>
      </w:r>
    </w:p>
    <w:p w14:paraId="4BC86203">
      <w:pPr>
        <w:bidi w:val="0"/>
        <w:rPr>
          <w:rFonts w:hint="eastAsia"/>
          <w:highlight w:val="none"/>
          <w:lang w:val="en-US" w:eastAsia="zh-CN"/>
        </w:rPr>
      </w:pPr>
      <w:r>
        <w:rPr>
          <w:rFonts w:hint="eastAsia"/>
          <w:highlight w:val="none"/>
          <w:lang w:val="en-US" w:eastAsia="zh-CN"/>
        </w:rPr>
        <w:t>本项目废渣均沿山坡堆存，已存在多年，故采用干法回采，即露天机械回采。露天回采边界即露天回采的最终界限，需要确定采场底部周界、四周边界及回采深度等三个要素。</w:t>
      </w:r>
    </w:p>
    <w:p w14:paraId="1AF9B150">
      <w:pPr>
        <w:bidi w:val="0"/>
        <w:rPr>
          <w:rFonts w:hint="eastAsia"/>
          <w:highlight w:val="none"/>
          <w:lang w:val="en-US" w:eastAsia="zh-CN"/>
        </w:rPr>
      </w:pPr>
      <w:r>
        <w:rPr>
          <w:rFonts w:hint="eastAsia"/>
          <w:highlight w:val="none"/>
          <w:lang w:val="en-US" w:eastAsia="zh-CN"/>
        </w:rPr>
        <w:t>（1）底部周界</w:t>
      </w:r>
    </w:p>
    <w:p w14:paraId="611E7E64">
      <w:pPr>
        <w:bidi w:val="0"/>
        <w:rPr>
          <w:rFonts w:hint="eastAsia"/>
          <w:highlight w:val="none"/>
          <w:lang w:val="en-US" w:eastAsia="zh-CN"/>
        </w:rPr>
      </w:pPr>
      <w:r>
        <w:rPr>
          <w:rFonts w:hint="eastAsia"/>
          <w:highlight w:val="none"/>
          <w:lang w:val="en-US" w:eastAsia="zh-CN"/>
        </w:rPr>
        <w:t>废渣堆积在原始自然边坡之上，原始边坡属于稳定地基，此次将废渣全部挖除，因此，本次挖除的底部周界就是原始堆存区的自然边坡，占地面积9010m</w:t>
      </w:r>
      <w:r>
        <w:rPr>
          <w:rFonts w:hint="eastAsia"/>
          <w:highlight w:val="none"/>
          <w:vertAlign w:val="superscript"/>
          <w:lang w:val="en-US" w:eastAsia="zh-CN"/>
        </w:rPr>
        <w:t>2</w:t>
      </w:r>
      <w:r>
        <w:rPr>
          <w:rFonts w:hint="eastAsia"/>
          <w:highlight w:val="none"/>
          <w:vertAlign w:val="baseline"/>
          <w:lang w:val="en-US" w:eastAsia="zh-CN"/>
        </w:rPr>
        <w:t>，废渣方量为42040.12m</w:t>
      </w:r>
      <w:r>
        <w:rPr>
          <w:rFonts w:hint="eastAsia"/>
          <w:highlight w:val="none"/>
          <w:vertAlign w:val="superscript"/>
          <w:lang w:val="en-US" w:eastAsia="zh-CN"/>
        </w:rPr>
        <w:t>3</w:t>
      </w:r>
      <w:r>
        <w:rPr>
          <w:rFonts w:hint="eastAsia"/>
          <w:highlight w:val="none"/>
          <w:lang w:val="en-US" w:eastAsia="zh-CN"/>
        </w:rPr>
        <w:t>。</w:t>
      </w:r>
    </w:p>
    <w:p w14:paraId="65DA1C86">
      <w:pPr>
        <w:bidi w:val="0"/>
        <w:rPr>
          <w:rFonts w:hint="eastAsia"/>
          <w:highlight w:val="none"/>
          <w:lang w:val="en-US" w:eastAsia="zh-CN"/>
        </w:rPr>
      </w:pPr>
      <w:r>
        <w:rPr>
          <w:rFonts w:hint="eastAsia"/>
          <w:highlight w:val="none"/>
          <w:lang w:val="en-US" w:eastAsia="zh-CN"/>
        </w:rPr>
        <w:t>（2）四周边界线</w:t>
      </w:r>
    </w:p>
    <w:p w14:paraId="1721EC63">
      <w:pPr>
        <w:bidi w:val="0"/>
        <w:rPr>
          <w:rFonts w:hint="eastAsia"/>
          <w:highlight w:val="none"/>
          <w:lang w:val="en-US" w:eastAsia="zh-CN"/>
        </w:rPr>
      </w:pPr>
      <w:r>
        <w:rPr>
          <w:rFonts w:hint="eastAsia"/>
          <w:highlight w:val="none"/>
          <w:lang w:val="en-US" w:eastAsia="zh-CN"/>
        </w:rPr>
        <w:t>由于废渣堆体均沿山坡堆存，属于傍山型，因此废渣四周边界为整个废渣堆界。</w:t>
      </w:r>
    </w:p>
    <w:p w14:paraId="006A8772">
      <w:pPr>
        <w:bidi w:val="0"/>
        <w:rPr>
          <w:rFonts w:hint="eastAsia"/>
          <w:highlight w:val="none"/>
          <w:lang w:val="en-US" w:eastAsia="zh-CN"/>
        </w:rPr>
      </w:pPr>
      <w:r>
        <w:rPr>
          <w:rFonts w:hint="eastAsia"/>
          <w:highlight w:val="none"/>
          <w:lang w:val="en-US" w:eastAsia="zh-CN"/>
        </w:rPr>
        <w:t>（3）回采深度</w:t>
      </w:r>
    </w:p>
    <w:p w14:paraId="36ACAD9E">
      <w:pPr>
        <w:bidi w:val="0"/>
        <w:rPr>
          <w:rFonts w:hint="eastAsia"/>
          <w:highlight w:val="none"/>
          <w:lang w:val="en-US" w:eastAsia="zh-CN"/>
        </w:rPr>
      </w:pPr>
      <w:r>
        <w:rPr>
          <w:rFonts w:hint="eastAsia"/>
          <w:highlight w:val="none"/>
          <w:lang w:val="en-US" w:eastAsia="zh-CN"/>
        </w:rPr>
        <w:t>回采深度包括废渣挖除深度及污染土清淤深度。由于堆存时间较长，废渣和堆存区内表土经过长时间混合已经渗透到表土层，废渣回采结束后，应对堆存区表土进行废渣泥的清淤处理，以便将污染物清理干净。拟清理土层厚度根据场地调查及实际情况确定。回采时，应将清理区域的废渣全部清理干净，并清除表层被污染的土层，根据初步设计，本次污染土层清理深度为0.5m，方量为13515m</w:t>
      </w:r>
      <w:r>
        <w:rPr>
          <w:rFonts w:hint="eastAsia"/>
          <w:highlight w:val="none"/>
          <w:vertAlign w:val="superscript"/>
          <w:lang w:val="en-US" w:eastAsia="zh-CN"/>
        </w:rPr>
        <w:t>3</w:t>
      </w:r>
      <w:r>
        <w:rPr>
          <w:rFonts w:hint="eastAsia"/>
          <w:highlight w:val="none"/>
          <w:lang w:val="en-US" w:eastAsia="zh-CN"/>
        </w:rPr>
        <w:t>。</w:t>
      </w:r>
    </w:p>
    <w:p w14:paraId="2E02ABD8">
      <w:pPr>
        <w:bidi w:val="0"/>
        <w:rPr>
          <w:rFonts w:hint="default"/>
          <w:highlight w:val="none"/>
          <w:lang w:val="en-US" w:eastAsia="zh-CN"/>
        </w:rPr>
      </w:pPr>
      <w:r>
        <w:rPr>
          <w:rFonts w:hint="eastAsia"/>
          <w:highlight w:val="none"/>
          <w:lang w:val="en-US" w:eastAsia="zh-CN"/>
        </w:rPr>
        <w:t>（4）废渣挖掘注意事项</w:t>
      </w:r>
    </w:p>
    <w:p w14:paraId="2F5BAE6C">
      <w:pPr>
        <w:bidi w:val="0"/>
        <w:rPr>
          <w:rFonts w:hint="eastAsia"/>
          <w:highlight w:val="none"/>
          <w:lang w:val="en-US" w:eastAsia="zh-CN"/>
        </w:rPr>
      </w:pPr>
      <w:r>
        <w:rPr>
          <w:rFonts w:hint="eastAsia"/>
          <w:highlight w:val="none"/>
          <w:lang w:val="en-US" w:eastAsia="zh-CN"/>
        </w:rPr>
        <w:t>1）为了减少挖掘期间的废水产生量，施工需避开多雨和暴雨月份进行。</w:t>
      </w:r>
    </w:p>
    <w:p w14:paraId="53BE41BD">
      <w:pPr>
        <w:bidi w:val="0"/>
        <w:rPr>
          <w:rFonts w:hint="eastAsia"/>
          <w:highlight w:val="none"/>
          <w:lang w:val="en-US" w:eastAsia="zh-CN"/>
        </w:rPr>
      </w:pPr>
      <w:r>
        <w:rPr>
          <w:rFonts w:hint="eastAsia"/>
          <w:highlight w:val="none"/>
          <w:lang w:val="en-US" w:eastAsia="zh-CN"/>
        </w:rPr>
        <w:t>2）废渣开挖前，应将范围内的表层杂草、块石、杂物、树根等均清除干净，并在场地内作业区设置临时集水沟与集水池收集废渣开挖期间产生的废水。</w:t>
      </w:r>
    </w:p>
    <w:p w14:paraId="42D50A78">
      <w:pPr>
        <w:bidi w:val="0"/>
        <w:rPr>
          <w:rFonts w:hint="eastAsia"/>
          <w:highlight w:val="none"/>
          <w:lang w:val="en-US" w:eastAsia="zh-CN"/>
        </w:rPr>
      </w:pPr>
      <w:r>
        <w:rPr>
          <w:rFonts w:hint="eastAsia"/>
          <w:highlight w:val="none"/>
          <w:lang w:val="en-US" w:eastAsia="zh-CN"/>
        </w:rPr>
        <w:t>3）严格按照开挖工艺开挖，首先进行测量定位，定出开挖宽度和深度，按放线分块段开挖。场地边界开挖时，采取四侧放坡，坡度小于1：1.75，以保证施工操作安全。</w:t>
      </w:r>
    </w:p>
    <w:p w14:paraId="15F846E0">
      <w:pPr>
        <w:bidi w:val="0"/>
        <w:rPr>
          <w:rFonts w:hint="eastAsia"/>
          <w:highlight w:val="none"/>
          <w:lang w:val="en-US" w:eastAsia="zh-CN"/>
        </w:rPr>
      </w:pPr>
      <w:r>
        <w:rPr>
          <w:rFonts w:hint="eastAsia"/>
          <w:highlight w:val="none"/>
          <w:lang w:val="en-US" w:eastAsia="zh-CN"/>
        </w:rPr>
        <w:t>在各开挖场地低洼处设置集水池收集淋滤液与场内汇流雨水，用泵抽至渗滤液收集后经一体化污水处理装置进行处理。</w:t>
      </w:r>
    </w:p>
    <w:p w14:paraId="18E2F0BC">
      <w:pPr>
        <w:bidi w:val="0"/>
        <w:rPr>
          <w:rFonts w:hint="eastAsia"/>
          <w:highlight w:val="none"/>
          <w:lang w:val="en-US" w:eastAsia="zh-CN"/>
        </w:rPr>
      </w:pPr>
      <w:r>
        <w:rPr>
          <w:rFonts w:hint="eastAsia"/>
          <w:highlight w:val="none"/>
          <w:lang w:val="en-US" w:eastAsia="zh-CN"/>
        </w:rPr>
        <w:t>4）本项目治理范围内现状道路较少，同时拟根据挖掘清运要求，在治理范围内建设临时道路，以保障挖掘清运工作的顺利实施。</w:t>
      </w:r>
    </w:p>
    <w:p w14:paraId="0B1D8ABA">
      <w:pPr>
        <w:bidi w:val="0"/>
        <w:rPr>
          <w:rFonts w:hint="eastAsia"/>
          <w:highlight w:val="none"/>
          <w:lang w:val="en-US" w:eastAsia="zh-CN"/>
        </w:rPr>
      </w:pPr>
      <w:r>
        <w:rPr>
          <w:rFonts w:hint="eastAsia"/>
          <w:highlight w:val="none"/>
          <w:lang w:val="en-US" w:eastAsia="zh-CN"/>
        </w:rPr>
        <w:t>5）运输为避免清运废渣在运输过程中撒落而污染环境，拟采用密闭式运输车进行运输。</w:t>
      </w:r>
    </w:p>
    <w:p w14:paraId="165824E1">
      <w:pPr>
        <w:bidi w:val="0"/>
        <w:rPr>
          <w:rFonts w:hint="eastAsia"/>
          <w:highlight w:val="none"/>
          <w:lang w:val="en-US" w:eastAsia="zh-CN"/>
        </w:rPr>
      </w:pPr>
      <w:r>
        <w:rPr>
          <w:rFonts w:hint="eastAsia"/>
          <w:highlight w:val="none"/>
          <w:lang w:val="en-US" w:eastAsia="zh-CN"/>
        </w:rPr>
        <w:t>6）洗车机为防止运输车辆的车身、轮胎携带场地污染物转移到其他区域，产生二次污染，设置1台一体化洗车机，清洗运输车辆。</w:t>
      </w:r>
    </w:p>
    <w:p w14:paraId="08E16B7C">
      <w:pPr>
        <w:bidi w:val="0"/>
        <w:rPr>
          <w:rFonts w:hint="eastAsia"/>
          <w:highlight w:val="none"/>
          <w:lang w:val="en-US" w:eastAsia="zh-CN"/>
        </w:rPr>
      </w:pPr>
      <w:r>
        <w:rPr>
          <w:rFonts w:hint="eastAsia"/>
          <w:highlight w:val="none"/>
          <w:lang w:val="en-US" w:eastAsia="zh-CN"/>
        </w:rPr>
        <w:t>7）开挖注意事项场地周围设置安全防护栏或围挡，并设安全警示牌，夜间悬挂红色警示灯。</w:t>
      </w:r>
    </w:p>
    <w:p w14:paraId="2EC157F8">
      <w:pPr>
        <w:bidi w:val="0"/>
        <w:rPr>
          <w:rFonts w:hint="eastAsia"/>
          <w:highlight w:val="none"/>
          <w:lang w:val="en-US" w:eastAsia="zh-CN"/>
        </w:rPr>
      </w:pPr>
      <w:r>
        <w:rPr>
          <w:rFonts w:hint="eastAsia"/>
          <w:highlight w:val="none"/>
          <w:lang w:val="en-US" w:eastAsia="zh-CN"/>
        </w:rPr>
        <w:t>8）施工人员进出要有专用通道，通道设置符合安全性、牢固性、稳定性要求。</w:t>
      </w:r>
    </w:p>
    <w:p w14:paraId="485AA478">
      <w:pPr>
        <w:bidi w:val="0"/>
        <w:rPr>
          <w:rFonts w:hint="eastAsia"/>
          <w:highlight w:val="none"/>
          <w:lang w:val="en-US" w:eastAsia="zh-CN"/>
        </w:rPr>
      </w:pPr>
      <w:r>
        <w:rPr>
          <w:rFonts w:hint="eastAsia"/>
          <w:highlight w:val="none"/>
          <w:lang w:val="en-US" w:eastAsia="zh-CN"/>
        </w:rPr>
        <w:t>9）制定应急预案，预备塑料膜等防雨防风物资，避免因极端天气造成事故导致开挖废渣对环境形成二次污染。</w:t>
      </w:r>
    </w:p>
    <w:p w14:paraId="621A4A8E">
      <w:pPr>
        <w:bidi w:val="0"/>
        <w:rPr>
          <w:rFonts w:hint="default"/>
          <w:b/>
          <w:bCs/>
          <w:highlight w:val="none"/>
          <w:lang w:val="en-US" w:eastAsia="zh-CN"/>
        </w:rPr>
      </w:pPr>
      <w:r>
        <w:rPr>
          <w:rFonts w:hint="eastAsia"/>
          <w:b/>
          <w:bCs/>
          <w:highlight w:val="none"/>
          <w:lang w:val="en-US" w:eastAsia="zh-CN"/>
        </w:rPr>
        <w:t>2、废渣填埋场库区整形及地基处理</w:t>
      </w:r>
    </w:p>
    <w:p w14:paraId="053A3F85">
      <w:pPr>
        <w:bidi w:val="0"/>
        <w:rPr>
          <w:rFonts w:hint="eastAsia"/>
          <w:highlight w:val="none"/>
          <w:lang w:val="en-US" w:eastAsia="zh-CN"/>
        </w:rPr>
      </w:pPr>
      <w:r>
        <w:rPr>
          <w:rFonts w:hint="eastAsia"/>
          <w:highlight w:val="none"/>
          <w:lang w:val="en-US" w:eastAsia="zh-CN"/>
        </w:rPr>
        <w:t>填埋场的设计面积为7805m</w:t>
      </w:r>
      <w:r>
        <w:rPr>
          <w:rFonts w:hint="eastAsia"/>
          <w:highlight w:val="none"/>
          <w:vertAlign w:val="superscript"/>
          <w:lang w:val="en-US" w:eastAsia="zh-CN"/>
        </w:rPr>
        <w:t>2</w:t>
      </w:r>
      <w:r>
        <w:rPr>
          <w:rFonts w:hint="eastAsia"/>
          <w:highlight w:val="none"/>
          <w:lang w:val="en-US" w:eastAsia="zh-CN"/>
        </w:rPr>
        <w:t>，设计总库容为48419.5m</w:t>
      </w:r>
      <w:r>
        <w:rPr>
          <w:rFonts w:hint="eastAsia"/>
          <w:highlight w:val="none"/>
          <w:vertAlign w:val="superscript"/>
          <w:lang w:val="en-US" w:eastAsia="zh-CN"/>
        </w:rPr>
        <w:t>3</w:t>
      </w:r>
      <w:r>
        <w:rPr>
          <w:rFonts w:hint="eastAsia"/>
          <w:highlight w:val="none"/>
          <w:lang w:val="en-US" w:eastAsia="zh-CN"/>
        </w:rPr>
        <w:t>（有效库容45000m</w:t>
      </w:r>
      <w:r>
        <w:rPr>
          <w:rFonts w:hint="eastAsia"/>
          <w:highlight w:val="none"/>
          <w:vertAlign w:val="superscript"/>
          <w:lang w:val="en-US" w:eastAsia="zh-CN"/>
        </w:rPr>
        <w:t>3</w:t>
      </w:r>
      <w:r>
        <w:rPr>
          <w:rFonts w:hint="eastAsia"/>
          <w:highlight w:val="none"/>
          <w:lang w:val="en-US" w:eastAsia="zh-CN"/>
        </w:rPr>
        <w:t>，其中废渣方量为42040.12m</w:t>
      </w:r>
      <w:r>
        <w:rPr>
          <w:rFonts w:hint="eastAsia"/>
          <w:highlight w:val="none"/>
          <w:vertAlign w:val="superscript"/>
          <w:lang w:val="en-US" w:eastAsia="zh-CN"/>
        </w:rPr>
        <w:t>3</w:t>
      </w:r>
      <w:r>
        <w:rPr>
          <w:rFonts w:hint="eastAsia"/>
          <w:highlight w:val="none"/>
          <w:lang w:val="en-US" w:eastAsia="zh-CN"/>
        </w:rPr>
        <w:t>），需要对的填埋场选址进行场底清基，场地清基面积为7805m</w:t>
      </w:r>
      <w:r>
        <w:rPr>
          <w:rFonts w:hint="eastAsia"/>
          <w:highlight w:val="none"/>
          <w:vertAlign w:val="superscript"/>
          <w:lang w:val="en-US" w:eastAsia="zh-CN"/>
        </w:rPr>
        <w:t>2</w:t>
      </w:r>
      <w:r>
        <w:rPr>
          <w:rFonts w:hint="eastAsia"/>
          <w:highlight w:val="none"/>
          <w:lang w:val="en-US" w:eastAsia="zh-CN"/>
        </w:rPr>
        <w:t>，方量为26835m</w:t>
      </w:r>
      <w:r>
        <w:rPr>
          <w:rFonts w:hint="eastAsia"/>
          <w:highlight w:val="none"/>
          <w:vertAlign w:val="superscript"/>
          <w:lang w:val="en-US" w:eastAsia="zh-CN"/>
        </w:rPr>
        <w:t>3</w:t>
      </w:r>
      <w:r>
        <w:rPr>
          <w:rFonts w:hint="eastAsia"/>
          <w:highlight w:val="none"/>
          <w:lang w:val="en-US" w:eastAsia="zh-CN"/>
        </w:rPr>
        <w:t>。</w:t>
      </w:r>
    </w:p>
    <w:p w14:paraId="5543B9D6">
      <w:pPr>
        <w:bidi w:val="0"/>
        <w:rPr>
          <w:rFonts w:hint="default"/>
          <w:highlight w:val="none"/>
          <w:lang w:val="en-US" w:eastAsia="zh-CN"/>
        </w:rPr>
      </w:pPr>
      <w:r>
        <w:rPr>
          <w:rFonts w:hint="eastAsia"/>
          <w:highlight w:val="none"/>
          <w:lang w:val="en-US" w:eastAsia="zh-CN"/>
        </w:rPr>
        <w:t>（1）场底清理</w:t>
      </w:r>
    </w:p>
    <w:p w14:paraId="3F079613">
      <w:pPr>
        <w:bidi w:val="0"/>
        <w:rPr>
          <w:rFonts w:hint="eastAsia"/>
          <w:highlight w:val="none"/>
          <w:lang w:val="en-US" w:eastAsia="zh-CN"/>
        </w:rPr>
      </w:pPr>
      <w:r>
        <w:rPr>
          <w:rFonts w:hint="eastAsia"/>
          <w:highlight w:val="none"/>
          <w:lang w:val="en-US" w:eastAsia="zh-CN"/>
        </w:rPr>
        <w:t>填埋库区范围较大，涉及多种不同的地层结构，部分区域分布有杂草、树根等不符合规范要求的内容，故在进行阻隔场场地整形前，应按相关规范要求对填埋库区及拦挡坝建设区域进行清理。</w:t>
      </w:r>
    </w:p>
    <w:p w14:paraId="295DDEB4">
      <w:pPr>
        <w:bidi w:val="0"/>
        <w:rPr>
          <w:rFonts w:hint="eastAsia"/>
          <w:highlight w:val="none"/>
          <w:lang w:val="en-US" w:eastAsia="zh-CN"/>
        </w:rPr>
      </w:pPr>
      <w:r>
        <w:rPr>
          <w:rFonts w:hint="eastAsia"/>
          <w:highlight w:val="none"/>
          <w:lang w:val="en-US" w:eastAsia="zh-CN"/>
        </w:rPr>
        <w:t>1）清除所有植被、杂物、树根、生活垃圾等；</w:t>
      </w:r>
    </w:p>
    <w:p w14:paraId="0717EA90">
      <w:pPr>
        <w:bidi w:val="0"/>
        <w:rPr>
          <w:rFonts w:hint="eastAsia"/>
          <w:highlight w:val="none"/>
          <w:lang w:val="en-US" w:eastAsia="zh-CN"/>
        </w:rPr>
      </w:pPr>
      <w:r>
        <w:rPr>
          <w:rFonts w:hint="eastAsia"/>
          <w:highlight w:val="none"/>
          <w:lang w:val="en-US" w:eastAsia="zh-CN"/>
        </w:rPr>
        <w:t>2）被清除的植被、杂物、树根、生活垃圾清运至生活垃圾填埋场填埋处置，并应满足《生活垃圾填埋污染控制标准》（GB16889-2008）的要求。</w:t>
      </w:r>
    </w:p>
    <w:p w14:paraId="09BB4154">
      <w:pPr>
        <w:bidi w:val="0"/>
        <w:rPr>
          <w:rFonts w:hint="eastAsia"/>
          <w:highlight w:val="none"/>
          <w:lang w:val="en-US" w:eastAsia="zh-CN"/>
        </w:rPr>
      </w:pPr>
      <w:r>
        <w:rPr>
          <w:rFonts w:hint="eastAsia"/>
          <w:highlight w:val="none"/>
          <w:lang w:val="en-US" w:eastAsia="zh-CN"/>
        </w:rPr>
        <w:t>整形一般原则为：根据场地地形和地质条件，在不影响场地的力学稳定性前提下，减少土石方开挖量，同时应考虑边坡修整等施工方便。场底土质边坡要求进行夯实，设计坡比为1:2，压实度不小于90%。粉质粘土和需要的回填土需进行平整和压实，压实度不小于94%，达到所需地基承载力的要求。</w:t>
      </w:r>
    </w:p>
    <w:p w14:paraId="3181A33E">
      <w:pPr>
        <w:bidi w:val="0"/>
        <w:rPr>
          <w:rFonts w:hint="eastAsia"/>
          <w:highlight w:val="none"/>
          <w:lang w:val="en-US" w:eastAsia="zh-CN"/>
        </w:rPr>
      </w:pPr>
      <w:r>
        <w:rPr>
          <w:rFonts w:hint="eastAsia"/>
          <w:highlight w:val="none"/>
          <w:lang w:val="en-US" w:eastAsia="zh-CN"/>
        </w:rPr>
        <w:t>场底整平主要包括2个部分：场底清理、场底开挖。场底平整最后要求形成土建构建面，以有利于防渗系统的铺设。</w:t>
      </w:r>
    </w:p>
    <w:p w14:paraId="1C2E175D">
      <w:pPr>
        <w:bidi w:val="0"/>
        <w:rPr>
          <w:rFonts w:hint="eastAsia"/>
          <w:highlight w:val="none"/>
          <w:lang w:val="en-US" w:eastAsia="zh-CN"/>
        </w:rPr>
      </w:pPr>
      <w:r>
        <w:rPr>
          <w:rFonts w:hint="eastAsia"/>
          <w:highlight w:val="none"/>
          <w:lang w:val="en-US" w:eastAsia="zh-CN"/>
        </w:rPr>
        <w:t>场底清理：主要是清除表皮土，清除树木、杂草、腐殖土和废渣及受污染土壤等有害杂质。</w:t>
      </w:r>
    </w:p>
    <w:p w14:paraId="151CDD69">
      <w:pPr>
        <w:bidi w:val="0"/>
        <w:rPr>
          <w:rFonts w:hint="eastAsia"/>
          <w:highlight w:val="none"/>
          <w:lang w:val="en-US" w:eastAsia="zh-CN"/>
        </w:rPr>
      </w:pPr>
      <w:r>
        <w:rPr>
          <w:rFonts w:hint="eastAsia"/>
          <w:highlight w:val="none"/>
          <w:lang w:val="en-US" w:eastAsia="zh-CN"/>
        </w:rPr>
        <w:t>场底开挖：要求挖方范围内的树木、杂草、腐殖土和石块等全部清除；挖方坡度符合设计要求，不得超挖。场底开挖以全部挖出废渣后继续挖至设计标高为止。</w:t>
      </w:r>
    </w:p>
    <w:p w14:paraId="1A56EFA5">
      <w:pPr>
        <w:bidi w:val="0"/>
        <w:rPr>
          <w:rFonts w:hint="eastAsia"/>
          <w:highlight w:val="none"/>
          <w:lang w:val="en-US" w:eastAsia="zh-CN"/>
        </w:rPr>
      </w:pPr>
      <w:r>
        <w:rPr>
          <w:rFonts w:hint="eastAsia"/>
          <w:highlight w:val="none"/>
          <w:lang w:val="en-US" w:eastAsia="zh-CN"/>
        </w:rPr>
        <w:t>土建构建面：构建面平整、坚实、无裂缝和无松土；基地表面无积水、垂直深度25cm，内无石块、树根及其他任何有害的杂物；坡面稳定，过度平稳。</w:t>
      </w:r>
    </w:p>
    <w:p w14:paraId="7A58BBF4">
      <w:pPr>
        <w:bidi w:val="0"/>
        <w:rPr>
          <w:rFonts w:hint="eastAsia"/>
          <w:highlight w:val="none"/>
          <w:lang w:val="en-US" w:eastAsia="zh-CN"/>
        </w:rPr>
      </w:pPr>
      <w:r>
        <w:rPr>
          <w:rFonts w:hint="eastAsia"/>
          <w:highlight w:val="none"/>
          <w:lang w:val="en-US" w:eastAsia="zh-CN"/>
        </w:rPr>
        <w:t>（2）地基处理</w:t>
      </w:r>
    </w:p>
    <w:p w14:paraId="7C9FDF20">
      <w:pPr>
        <w:bidi w:val="0"/>
        <w:rPr>
          <w:rFonts w:hint="eastAsia"/>
          <w:highlight w:val="none"/>
          <w:lang w:val="en-US" w:eastAsia="zh-CN"/>
        </w:rPr>
      </w:pPr>
      <w:r>
        <w:rPr>
          <w:rFonts w:hint="eastAsia"/>
          <w:highlight w:val="none"/>
          <w:lang w:val="en-US" w:eastAsia="zh-CN"/>
        </w:rPr>
        <w:t>场区底部基础经处理后应满足平整度每平方米粘土层误差不得大于2cm，填埋场HDPE土工膜的膜下粘土保护层，垂直深度2.5cm范围内土层不应含有粒径大于5mm的尖锐物料。在进行地基处理时，库区底部的粘土层压实度不得小于93%。库区边坡的粘土层压实度不得小于90%；在进行边坡地基处理时，要保证边坡的稳定性。当场底及边坡有岩石出露影响阻隔场防渗结构层时，应考虑将凸出的岩石抹平，并采用水泥砂浆抹光滑。</w:t>
      </w:r>
    </w:p>
    <w:p w14:paraId="24F69976">
      <w:pPr>
        <w:bidi w:val="0"/>
        <w:rPr>
          <w:rFonts w:hint="default"/>
          <w:b/>
          <w:bCs/>
          <w:highlight w:val="none"/>
          <w:lang w:val="en-US" w:eastAsia="zh-CN"/>
        </w:rPr>
      </w:pPr>
      <w:r>
        <w:rPr>
          <w:rFonts w:hint="eastAsia"/>
          <w:b/>
          <w:bCs/>
          <w:highlight w:val="none"/>
          <w:lang w:val="en-US" w:eastAsia="zh-CN"/>
        </w:rPr>
        <w:t>2、废渣填埋场底部防渗工程</w:t>
      </w:r>
    </w:p>
    <w:p w14:paraId="2C6B4CE3">
      <w:pPr>
        <w:bidi w:val="0"/>
        <w:rPr>
          <w:rFonts w:hint="eastAsia"/>
          <w:highlight w:val="none"/>
          <w:lang w:val="en-US" w:eastAsia="zh-CN"/>
        </w:rPr>
      </w:pPr>
      <w:r>
        <w:rPr>
          <w:rFonts w:hint="eastAsia"/>
          <w:highlight w:val="none"/>
          <w:lang w:val="en-US" w:eastAsia="zh-CN"/>
        </w:rPr>
        <w:t>根据岳阳百利勘测科技有限公司编制的《平江县三阳乡南尧村片区（垂拱组、仙人组）历史遗留重金属废渣整治项目工程详细勘察报告》可知：项目场地内粉质黏土层渗透系数平均值为4.5</w:t>
      </w:r>
      <w:r>
        <w:rPr>
          <w:rFonts w:hint="default" w:ascii="Times New Roman" w:hAnsi="Times New Roman" w:cs="Times New Roman"/>
          <w:highlight w:val="none"/>
          <w:lang w:val="en-US" w:eastAsia="zh-CN"/>
        </w:rPr>
        <w:t>×10</w:t>
      </w:r>
      <w:r>
        <w:rPr>
          <w:rFonts w:hint="default" w:ascii="Times New Roman" w:hAnsi="Times New Roman" w:cs="Times New Roman"/>
          <w:highlight w:val="none"/>
          <w:vertAlign w:val="superscript"/>
          <w:lang w:val="en-US" w:eastAsia="zh-CN"/>
        </w:rPr>
        <w:t>-6</w:t>
      </w:r>
      <w:r>
        <w:rPr>
          <w:rFonts w:hint="eastAsia"/>
          <w:highlight w:val="none"/>
          <w:lang w:val="en-US" w:eastAsia="zh-CN"/>
        </w:rPr>
        <w:t>cm/s，强风化板岩渗透系数平均值为3.2</w:t>
      </w:r>
      <w:r>
        <w:rPr>
          <w:rFonts w:hint="default" w:ascii="Times New Roman" w:hAnsi="Times New Roman" w:cs="Times New Roman"/>
          <w:highlight w:val="none"/>
          <w:lang w:val="en-US" w:eastAsia="zh-CN"/>
        </w:rPr>
        <w:t>×10</w:t>
      </w:r>
      <w:r>
        <w:rPr>
          <w:rFonts w:hint="default" w:ascii="Times New Roman" w:hAnsi="Times New Roman" w:cs="Times New Roman"/>
          <w:highlight w:val="none"/>
          <w:vertAlign w:val="superscript"/>
          <w:lang w:val="en-US" w:eastAsia="zh-CN"/>
        </w:rPr>
        <w:t>-</w:t>
      </w:r>
      <w:r>
        <w:rPr>
          <w:rFonts w:hint="eastAsia" w:cs="Times New Roman"/>
          <w:highlight w:val="none"/>
          <w:vertAlign w:val="superscript"/>
          <w:lang w:val="en-US" w:eastAsia="zh-CN"/>
        </w:rPr>
        <w:t>4</w:t>
      </w:r>
      <w:r>
        <w:rPr>
          <w:rFonts w:hint="eastAsia"/>
          <w:highlight w:val="none"/>
          <w:lang w:val="en-US" w:eastAsia="zh-CN"/>
        </w:rPr>
        <w:t>cm/s。</w:t>
      </w:r>
    </w:p>
    <w:p w14:paraId="42BCE9DB">
      <w:pPr>
        <w:bidi w:val="0"/>
        <w:rPr>
          <w:rFonts w:hint="eastAsia"/>
          <w:highlight w:val="none"/>
          <w:lang w:val="en-US" w:eastAsia="zh-CN"/>
        </w:rPr>
      </w:pPr>
      <w:r>
        <w:rPr>
          <w:rFonts w:hint="eastAsia"/>
          <w:highlight w:val="none"/>
          <w:lang w:val="en-US" w:eastAsia="zh-CN"/>
        </w:rPr>
        <w:t>根据《一般工业固体废物贮存和填埋污染控制标准》（GB18599-2020）的技术要求，</w:t>
      </w:r>
      <w:r>
        <w:rPr>
          <w:rFonts w:hint="default" w:ascii="Times New Roman" w:hAnsi="Times New Roman" w:eastAsia="宋体" w:cs="Times New Roman"/>
          <w:highlight w:val="none"/>
          <w:lang w:val="en-US" w:eastAsia="zh-CN"/>
        </w:rPr>
        <w:t>Ⅱ</w:t>
      </w:r>
      <w:r>
        <w:rPr>
          <w:rFonts w:hint="eastAsia"/>
          <w:highlight w:val="none"/>
          <w:lang w:val="en-US" w:eastAsia="zh-CN"/>
        </w:rPr>
        <w:t>类场应采用单人工复合衬层作为防渗衬层：a）人工合成材料应采用高密度聚乙烯膜，厚度不小于1.5mm，并满足GB/T17643规定的技术指标要求。采用其他人工合成材料的，其防渗性能至少相当于1.5mm高密度聚乙烯膜的防渗性能。b）粘土衬层厚度应不小于0.75m，且经压实、人工改性等措施处理后的饱和渗透系数不应大于1.0</w:t>
      </w:r>
      <w:r>
        <w:rPr>
          <w:rFonts w:hint="default" w:ascii="Times New Roman" w:hAnsi="Times New Roman" w:cs="Times New Roman"/>
          <w:highlight w:val="none"/>
          <w:lang w:val="en-US" w:eastAsia="zh-CN"/>
        </w:rPr>
        <w:t>×</w:t>
      </w:r>
      <w:r>
        <w:rPr>
          <w:rFonts w:hint="eastAsia"/>
          <w:highlight w:val="none"/>
          <w:lang w:val="en-US" w:eastAsia="zh-CN"/>
        </w:rPr>
        <w:t>10</w:t>
      </w:r>
      <w:r>
        <w:rPr>
          <w:rFonts w:hint="eastAsia"/>
          <w:highlight w:val="none"/>
          <w:vertAlign w:val="superscript"/>
          <w:lang w:val="en-US" w:eastAsia="zh-CN"/>
        </w:rPr>
        <w:t>-7</w:t>
      </w:r>
      <w:r>
        <w:rPr>
          <w:rFonts w:hint="eastAsia"/>
          <w:highlight w:val="none"/>
          <w:lang w:val="en-US" w:eastAsia="zh-CN"/>
        </w:rPr>
        <w:t>cm/s。使用其他粘土类防渗衬层材料时，应具有同等以上隔水效力。</w:t>
      </w:r>
    </w:p>
    <w:p w14:paraId="306408B5">
      <w:pPr>
        <w:bidi w:val="0"/>
        <w:rPr>
          <w:rFonts w:hint="eastAsia"/>
          <w:highlight w:val="yellow"/>
          <w:lang w:val="en-US" w:eastAsia="zh-CN"/>
        </w:rPr>
      </w:pPr>
      <w:r>
        <w:rPr>
          <w:rFonts w:hint="eastAsia"/>
          <w:highlight w:val="none"/>
          <w:lang w:val="en-US" w:eastAsia="zh-CN"/>
        </w:rPr>
        <w:t>综合考虑项目实施的可行性、经济的合理性及场地地质条件等因素，本项目对清基后的废渣填埋场场底及场底边坡进行防渗系统建设，建设面积为9908m</w:t>
      </w:r>
      <w:r>
        <w:rPr>
          <w:rFonts w:hint="eastAsia"/>
          <w:highlight w:val="none"/>
          <w:vertAlign w:val="superscript"/>
          <w:lang w:val="en-US" w:eastAsia="zh-CN"/>
        </w:rPr>
        <w:t>2</w:t>
      </w:r>
      <w:r>
        <w:rPr>
          <w:rFonts w:hint="eastAsia"/>
          <w:highlight w:val="none"/>
          <w:lang w:val="en-US" w:eastAsia="zh-CN"/>
        </w:rPr>
        <w:t>。</w:t>
      </w:r>
    </w:p>
    <w:p w14:paraId="3A984189">
      <w:pPr>
        <w:bidi w:val="0"/>
        <w:rPr>
          <w:rFonts w:hint="eastAsia"/>
          <w:highlight w:val="none"/>
          <w:lang w:val="en-US" w:eastAsia="zh-CN"/>
        </w:rPr>
      </w:pPr>
      <w:r>
        <w:rPr>
          <w:rFonts w:hint="eastAsia"/>
          <w:highlight w:val="none"/>
          <w:lang w:val="en-US" w:eastAsia="zh-CN"/>
        </w:rPr>
        <w:t>（1）防渗材料选择</w:t>
      </w:r>
    </w:p>
    <w:p w14:paraId="7072BEA2">
      <w:pPr>
        <w:bidi w:val="0"/>
        <w:rPr>
          <w:rFonts w:hint="eastAsia"/>
          <w:highlight w:val="none"/>
          <w:lang w:val="en-US" w:eastAsia="zh-CN"/>
        </w:rPr>
      </w:pPr>
      <w:r>
        <w:rPr>
          <w:rFonts w:hint="eastAsia"/>
          <w:highlight w:val="none"/>
          <w:lang w:val="en-US" w:eastAsia="zh-CN"/>
        </w:rPr>
        <w:t>根据《一般工业固体废物贮存和填埋污染控制标准》（GB18599-2020）技术要求，不具备粘土类衬里防渗要求时，需采用天然或人工材料构筑防渗层。本场区尚达不到采用自然防渗的条件，必须采取人工防渗措施。因此，确定本工程场底防渗区防渗采用复合衬层系统。</w:t>
      </w:r>
    </w:p>
    <w:p w14:paraId="0CEA2BC3">
      <w:pPr>
        <w:bidi w:val="0"/>
        <w:rPr>
          <w:rFonts w:hint="eastAsia"/>
          <w:highlight w:val="none"/>
          <w:lang w:val="en-US" w:eastAsia="zh-CN"/>
        </w:rPr>
      </w:pPr>
      <w:r>
        <w:rPr>
          <w:rFonts w:hint="eastAsia"/>
          <w:highlight w:val="none"/>
          <w:lang w:val="en-US" w:eastAsia="zh-CN"/>
        </w:rPr>
        <w:t>场底防渗材料有粘土、膨润土、人工合成防渗材料（防渗膜）等多种。其中影响粘土层防渗性能的主要因素有：塑性指数、阿太堡限度、粒径大小、密实度、粘土矿物学和变细特性等，由于目前国内较难找到符合防渗要求的粘土，废渣填埋场中较少单独采用粘土作防渗层，粘土主要与防渗膜构成复合防渗层。</w:t>
      </w:r>
    </w:p>
    <w:p w14:paraId="6442631C">
      <w:pPr>
        <w:bidi w:val="0"/>
        <w:rPr>
          <w:rFonts w:hint="eastAsia"/>
          <w:highlight w:val="none"/>
          <w:lang w:val="en-US" w:eastAsia="zh-CN"/>
        </w:rPr>
      </w:pPr>
      <w:r>
        <w:rPr>
          <w:rFonts w:hint="eastAsia"/>
          <w:highlight w:val="none"/>
          <w:lang w:val="en-US" w:eastAsia="zh-CN"/>
        </w:rPr>
        <w:t>天然膨润土价格昂贵，也很少使用，近年来多采用人工合成膨润土毯（GCL），它比粘土具有更高的防渗性能、且施工便利，价格适中，较适合于与防渗膜构成复合防渗层。</w:t>
      </w:r>
    </w:p>
    <w:p w14:paraId="35C164F1">
      <w:pPr>
        <w:bidi w:val="0"/>
        <w:rPr>
          <w:rFonts w:hint="eastAsia"/>
          <w:highlight w:val="none"/>
          <w:lang w:val="en-US" w:eastAsia="zh-CN"/>
        </w:rPr>
      </w:pPr>
      <w:r>
        <w:rPr>
          <w:rFonts w:hint="eastAsia"/>
          <w:highlight w:val="none"/>
          <w:lang w:val="en-US" w:eastAsia="zh-CN"/>
        </w:rPr>
        <w:t>废渣填埋场对人工防渗材料（防渗膜）的要求较高，除应具较小的渗透率外，还应具有足够的强度和抗蚀性。人工防渗材料合成材质一般都由自然或高分子聚合物组成，主要包括：聚氯乙烯（PVC）、高密度聚乙烯（HDPE）、线性低密度聚乙烯（LLDPE）、氯化聚乙烯（CPE）、氯化硫酸聚乙烯（CSPE）、合成橡胶、乙烯丙烯丁烯单体（EPDM）等。</w:t>
      </w:r>
    </w:p>
    <w:p w14:paraId="7F76EA6B">
      <w:pPr>
        <w:bidi w:val="0"/>
        <w:rPr>
          <w:rFonts w:hint="eastAsia"/>
          <w:highlight w:val="none"/>
          <w:lang w:val="en-US" w:eastAsia="zh-CN"/>
        </w:rPr>
      </w:pPr>
      <w:r>
        <w:rPr>
          <w:rFonts w:hint="eastAsia"/>
          <w:highlight w:val="none"/>
          <w:lang w:val="en-US" w:eastAsia="zh-CN"/>
        </w:rPr>
        <w:t>以上几种材料各有优缺点，而从综合性能上比较，高密度聚乙烯（HDPE）防渗膜是最适合应用于废渣填埋场防渗层的材质，国外人工防渗材料绝大部分采用HDPE。</w:t>
      </w:r>
    </w:p>
    <w:p w14:paraId="3A1937D6">
      <w:pPr>
        <w:bidi w:val="0"/>
        <w:rPr>
          <w:rFonts w:hint="eastAsia"/>
          <w:highlight w:val="none"/>
          <w:lang w:val="en-US" w:eastAsia="zh-CN"/>
        </w:rPr>
      </w:pPr>
      <w:r>
        <w:rPr>
          <w:rFonts w:hint="eastAsia"/>
          <w:highlight w:val="none"/>
          <w:lang w:val="en-US" w:eastAsia="zh-CN"/>
        </w:rPr>
        <w:t>HDPE防渗膜对大部分化学品有良好的抵抗力，渗透系数很小（10</w:t>
      </w:r>
      <w:r>
        <w:rPr>
          <w:rFonts w:hint="eastAsia"/>
          <w:highlight w:val="none"/>
          <w:vertAlign w:val="superscript"/>
          <w:lang w:val="en-US" w:eastAsia="zh-CN"/>
        </w:rPr>
        <w:t>-13</w:t>
      </w:r>
      <w:r>
        <w:rPr>
          <w:rFonts w:hint="eastAsia"/>
          <w:highlight w:val="none"/>
          <w:lang w:val="en-US" w:eastAsia="zh-CN"/>
        </w:rPr>
        <w:t>cm/s）、强度高、容易焊接，在低温下有良好的工作性能，不易老化，使用寿命长。HDPE防渗膜的质量以及施工手段和水平，直接影响废渣填埋场的防渗效果，选择质量好的防渗膜和施工经验多的经销商，方能保证废渣填埋场的安全可靠性。场底防渗严格按照国家标准，铺设HDPE土工膜，更好地导排渗滤液。</w:t>
      </w:r>
    </w:p>
    <w:p w14:paraId="08033993">
      <w:pPr>
        <w:bidi w:val="0"/>
        <w:rPr>
          <w:rFonts w:hint="eastAsia"/>
          <w:highlight w:val="none"/>
          <w:lang w:val="en-US" w:eastAsia="zh-CN"/>
        </w:rPr>
      </w:pPr>
      <w:r>
        <w:rPr>
          <w:rFonts w:hint="eastAsia"/>
          <w:highlight w:val="none"/>
          <w:lang w:val="en-US" w:eastAsia="zh-CN"/>
        </w:rPr>
        <w:t>（2）防渗系统设计</w:t>
      </w:r>
    </w:p>
    <w:p w14:paraId="566D9FFD">
      <w:pPr>
        <w:bidi w:val="0"/>
        <w:rPr>
          <w:rFonts w:hint="eastAsia"/>
          <w:highlight w:val="none"/>
          <w:lang w:val="en-US" w:eastAsia="zh-CN"/>
        </w:rPr>
      </w:pPr>
      <w:r>
        <w:rPr>
          <w:rFonts w:hint="eastAsia"/>
          <w:highlight w:val="none"/>
          <w:lang w:val="en-US" w:eastAsia="zh-CN"/>
        </w:rPr>
        <w:t>本项目废渣填埋场场底及场底边坡防渗系统设计面积为9908m</w:t>
      </w:r>
      <w:r>
        <w:rPr>
          <w:rFonts w:hint="eastAsia"/>
          <w:highlight w:val="none"/>
          <w:vertAlign w:val="superscript"/>
          <w:lang w:val="en-US" w:eastAsia="zh-CN"/>
        </w:rPr>
        <w:t>2</w:t>
      </w:r>
      <w:r>
        <w:rPr>
          <w:rFonts w:hint="eastAsia"/>
          <w:highlight w:val="none"/>
          <w:lang w:val="en-US" w:eastAsia="zh-CN"/>
        </w:rPr>
        <w:t>，设计采用600g/m</w:t>
      </w:r>
      <w:r>
        <w:rPr>
          <w:rFonts w:hint="eastAsia"/>
          <w:highlight w:val="none"/>
          <w:vertAlign w:val="superscript"/>
          <w:lang w:val="en-US" w:eastAsia="zh-CN"/>
        </w:rPr>
        <w:t>2</w:t>
      </w:r>
      <w:r>
        <w:rPr>
          <w:rFonts w:hint="eastAsia"/>
          <w:highlight w:val="none"/>
          <w:lang w:val="en-US" w:eastAsia="zh-CN"/>
        </w:rPr>
        <w:t>无纺土工布，土工布应具有良好的耐久性能，土工布各项性能指标均应符合国家现行相关标准的要求；设计采用1.5mmHDPE双糙面防渗膜，防渗膜的设计及施工严格按照《垃圾填埋场用高密度聚乙烯土工膜》（CJ/T 234-2006）相关条文要求执行。</w:t>
      </w:r>
    </w:p>
    <w:p w14:paraId="523758AA">
      <w:pPr>
        <w:bidi w:val="0"/>
        <w:rPr>
          <w:rFonts w:hint="eastAsia"/>
          <w:highlight w:val="none"/>
          <w:lang w:val="en-US" w:eastAsia="zh-CN"/>
        </w:rPr>
      </w:pPr>
      <w:r>
        <w:rPr>
          <w:rFonts w:hint="eastAsia"/>
          <w:highlight w:val="none"/>
          <w:lang w:val="en-US" w:eastAsia="zh-CN"/>
        </w:rPr>
        <w:t>场底防渗从下到上依次为：</w:t>
      </w:r>
      <w:r>
        <w:rPr>
          <w:rFonts w:hint="default" w:ascii="Times New Roman" w:hAnsi="Times New Roman" w:cs="Times New Roman"/>
          <w:highlight w:val="none"/>
          <w:lang w:val="en-US" w:eastAsia="zh-CN"/>
        </w:rPr>
        <w:t>压实地基+75cm厚压实粘土+600g/m</w:t>
      </w:r>
      <w:r>
        <w:rPr>
          <w:rFonts w:hint="default" w:ascii="Times New Roman" w:hAnsi="Times New Roman" w:cs="Times New Roman"/>
          <w:highlight w:val="none"/>
          <w:vertAlign w:val="superscript"/>
          <w:lang w:val="en-US" w:eastAsia="zh-CN"/>
        </w:rPr>
        <w:t>2</w:t>
      </w:r>
      <w:r>
        <w:rPr>
          <w:rFonts w:hint="default" w:ascii="Times New Roman" w:hAnsi="Times New Roman" w:cs="Times New Roman"/>
          <w:highlight w:val="none"/>
          <w:lang w:val="en-US" w:eastAsia="zh-CN"/>
        </w:rPr>
        <w:t>无纺土工布+1.5mm厚双糙面HDPE土工膜+600g/m</w:t>
      </w:r>
      <w:r>
        <w:rPr>
          <w:rFonts w:hint="default" w:ascii="Times New Roman" w:hAnsi="Times New Roman" w:cs="Times New Roman"/>
          <w:highlight w:val="none"/>
          <w:vertAlign w:val="superscript"/>
          <w:lang w:val="en-US" w:eastAsia="zh-CN"/>
        </w:rPr>
        <w:t>2</w:t>
      </w:r>
      <w:r>
        <w:rPr>
          <w:rFonts w:hint="default" w:ascii="Times New Roman" w:hAnsi="Times New Roman" w:cs="Times New Roman"/>
          <w:highlight w:val="none"/>
          <w:lang w:val="en-US" w:eastAsia="zh-CN"/>
        </w:rPr>
        <w:t>无纺土工布</w:t>
      </w:r>
      <w:r>
        <w:rPr>
          <w:rFonts w:hint="eastAsia" w:ascii="Times New Roman" w:hAnsi="Times New Roman" w:cs="Times New Roman"/>
          <w:highlight w:val="none"/>
          <w:lang w:val="en-US" w:eastAsia="zh-CN"/>
        </w:rPr>
        <w:t>。</w:t>
      </w:r>
    </w:p>
    <w:p w14:paraId="5D193765">
      <w:pPr>
        <w:bidi w:val="0"/>
        <w:ind w:left="0" w:leftChars="0" w:firstLine="0" w:firstLineChars="0"/>
        <w:jc w:val="both"/>
        <w:rPr>
          <w:rFonts w:hint="eastAsia"/>
          <w:highlight w:val="yellow"/>
          <w:lang w:val="en-US" w:eastAsia="zh-CN"/>
        </w:rPr>
      </w:pPr>
      <w:r>
        <w:drawing>
          <wp:inline distT="0" distB="0" distL="114300" distR="114300">
            <wp:extent cx="2844165" cy="2339975"/>
            <wp:effectExtent l="0" t="0" r="13335" b="3175"/>
            <wp:docPr id="23" name="图片 19"/>
            <wp:cNvGraphicFramePr/>
            <a:graphic xmlns:a="http://schemas.openxmlformats.org/drawingml/2006/main">
              <a:graphicData uri="http://schemas.openxmlformats.org/drawingml/2006/picture">
                <pic:pic xmlns:pic="http://schemas.openxmlformats.org/drawingml/2006/picture">
                  <pic:nvPicPr>
                    <pic:cNvPr id="23" name="图片 19"/>
                    <pic:cNvPicPr/>
                  </pic:nvPicPr>
                  <pic:blipFill>
                    <a:blip r:embed="rId30"/>
                    <a:stretch>
                      <a:fillRect/>
                    </a:stretch>
                  </pic:blipFill>
                  <pic:spPr>
                    <a:xfrm>
                      <a:off x="0" y="0"/>
                      <a:ext cx="2844165" cy="2339975"/>
                    </a:xfrm>
                    <a:prstGeom prst="rect">
                      <a:avLst/>
                    </a:prstGeom>
                    <a:noFill/>
                    <a:ln>
                      <a:noFill/>
                    </a:ln>
                  </pic:spPr>
                </pic:pic>
              </a:graphicData>
            </a:graphic>
          </wp:inline>
        </w:drawing>
      </w:r>
      <w:r>
        <w:drawing>
          <wp:inline distT="0" distB="0" distL="114300" distR="114300">
            <wp:extent cx="2844165" cy="2339975"/>
            <wp:effectExtent l="0" t="0" r="13335" b="3175"/>
            <wp:docPr id="24" name="图片 20"/>
            <wp:cNvGraphicFramePr/>
            <a:graphic xmlns:a="http://schemas.openxmlformats.org/drawingml/2006/main">
              <a:graphicData uri="http://schemas.openxmlformats.org/drawingml/2006/picture">
                <pic:pic xmlns:pic="http://schemas.openxmlformats.org/drawingml/2006/picture">
                  <pic:nvPicPr>
                    <pic:cNvPr id="24" name="图片 20"/>
                    <pic:cNvPicPr/>
                  </pic:nvPicPr>
                  <pic:blipFill>
                    <a:blip r:embed="rId31"/>
                    <a:stretch>
                      <a:fillRect/>
                    </a:stretch>
                  </pic:blipFill>
                  <pic:spPr>
                    <a:xfrm>
                      <a:off x="0" y="0"/>
                      <a:ext cx="2844165" cy="2339975"/>
                    </a:xfrm>
                    <a:prstGeom prst="rect">
                      <a:avLst/>
                    </a:prstGeom>
                    <a:noFill/>
                    <a:ln>
                      <a:noFill/>
                    </a:ln>
                  </pic:spPr>
                </pic:pic>
              </a:graphicData>
            </a:graphic>
          </wp:inline>
        </w:drawing>
      </w:r>
    </w:p>
    <w:p w14:paraId="07048813">
      <w:pPr>
        <w:bidi w:val="0"/>
        <w:ind w:left="0" w:leftChars="0" w:firstLine="0" w:firstLineChars="0"/>
        <w:jc w:val="center"/>
        <w:rPr>
          <w:rFonts w:hint="default"/>
          <w:b/>
          <w:bCs/>
          <w:sz w:val="21"/>
          <w:szCs w:val="21"/>
          <w:highlight w:val="none"/>
          <w:lang w:val="en-US" w:eastAsia="zh-CN"/>
        </w:rPr>
      </w:pPr>
      <w:r>
        <w:rPr>
          <w:rFonts w:hint="eastAsia"/>
          <w:b/>
          <w:bCs/>
          <w:sz w:val="21"/>
          <w:szCs w:val="21"/>
          <w:highlight w:val="none"/>
          <w:lang w:val="en-US" w:eastAsia="zh-CN"/>
        </w:rPr>
        <w:t>图3.2-2  场底及边坡防渗系统大样图</w:t>
      </w:r>
    </w:p>
    <w:p w14:paraId="42D32779">
      <w:pPr>
        <w:bidi w:val="0"/>
        <w:rPr>
          <w:rFonts w:hint="default"/>
          <w:b/>
          <w:bCs/>
          <w:highlight w:val="none"/>
          <w:lang w:val="en-US" w:eastAsia="zh-CN"/>
        </w:rPr>
      </w:pPr>
      <w:r>
        <w:rPr>
          <w:rFonts w:hint="eastAsia"/>
          <w:b/>
          <w:bCs/>
          <w:highlight w:val="none"/>
          <w:lang w:val="en-US" w:eastAsia="zh-CN"/>
        </w:rPr>
        <w:t>3、渗滤液导排工程</w:t>
      </w:r>
    </w:p>
    <w:p w14:paraId="49810B02">
      <w:pPr>
        <w:bidi w:val="0"/>
        <w:rPr>
          <w:rFonts w:hint="eastAsia"/>
          <w:highlight w:val="none"/>
          <w:lang w:val="en-US" w:eastAsia="zh-CN"/>
        </w:rPr>
      </w:pPr>
      <w:r>
        <w:rPr>
          <w:rFonts w:hint="eastAsia"/>
          <w:highlight w:val="none"/>
          <w:lang w:val="en-US" w:eastAsia="zh-CN"/>
        </w:rPr>
        <w:t>（1）渗滤液产生情况</w:t>
      </w:r>
    </w:p>
    <w:p w14:paraId="7D04C81F">
      <w:pPr>
        <w:bidi w:val="0"/>
        <w:rPr>
          <w:rFonts w:hint="eastAsia"/>
          <w:highlight w:val="none"/>
          <w:lang w:val="en-US" w:eastAsia="zh-CN"/>
        </w:rPr>
      </w:pPr>
      <w:r>
        <w:rPr>
          <w:rFonts w:hint="eastAsia"/>
          <w:highlight w:val="none"/>
          <w:lang w:val="en-US" w:eastAsia="zh-CN"/>
        </w:rPr>
        <w:t>废渣填埋场渗滤液主要来自于外部渗入水（大气降水、地表水、地下水等），废渣自身含水很少。渗滤液的产生主要集中在废渣填埋前期（一般为废渣填埋后6个月内），后续在表面阻隔层无破损的情况下，废渣填埋场的渗滤液产生量不大，且呈逐步减少趋势，一定时间后，渗滤液的产生量会几乎为零。本项目拟建设一座有效容积为48m</w:t>
      </w:r>
      <w:r>
        <w:rPr>
          <w:rFonts w:hint="eastAsia"/>
          <w:highlight w:val="none"/>
          <w:vertAlign w:val="superscript"/>
          <w:lang w:val="en-US" w:eastAsia="zh-CN"/>
        </w:rPr>
        <w:t>3</w:t>
      </w:r>
      <w:r>
        <w:rPr>
          <w:rFonts w:hint="eastAsia"/>
          <w:highlight w:val="none"/>
          <w:lang w:val="en-US" w:eastAsia="zh-CN"/>
        </w:rPr>
        <w:t>的渗滤液收集池，渗滤液经一体化废水处理设备处理后，采用防腐、防漏的罐车集中清运至湖南黄金天岳矿业有限公司垂拱洞尾矿库废水处理站进行处理。</w:t>
      </w:r>
    </w:p>
    <w:p w14:paraId="417E6B9B">
      <w:pPr>
        <w:bidi w:val="0"/>
        <w:ind w:left="0" w:leftChars="0" w:firstLine="0" w:firstLineChars="0"/>
        <w:jc w:val="both"/>
        <w:rPr>
          <w:rFonts w:hint="eastAsia"/>
          <w:highlight w:val="yellow"/>
          <w:lang w:val="en-US" w:eastAsia="zh-CN"/>
        </w:rPr>
      </w:pPr>
      <w:r>
        <w:drawing>
          <wp:inline distT="0" distB="0" distL="114300" distR="114300">
            <wp:extent cx="5720715" cy="2877820"/>
            <wp:effectExtent l="0" t="0" r="13335" b="17780"/>
            <wp:docPr id="29"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1"/>
                    <pic:cNvPicPr>
                      <a:picLocks noChangeAspect="1"/>
                    </pic:cNvPicPr>
                  </pic:nvPicPr>
                  <pic:blipFill>
                    <a:blip r:embed="rId32"/>
                    <a:stretch>
                      <a:fillRect/>
                    </a:stretch>
                  </pic:blipFill>
                  <pic:spPr>
                    <a:xfrm>
                      <a:off x="0" y="0"/>
                      <a:ext cx="5720715" cy="2877820"/>
                    </a:xfrm>
                    <a:prstGeom prst="rect">
                      <a:avLst/>
                    </a:prstGeom>
                    <a:noFill/>
                    <a:ln>
                      <a:noFill/>
                    </a:ln>
                  </pic:spPr>
                </pic:pic>
              </a:graphicData>
            </a:graphic>
          </wp:inline>
        </w:drawing>
      </w:r>
    </w:p>
    <w:p w14:paraId="4AA199F9">
      <w:pPr>
        <w:bidi w:val="0"/>
        <w:ind w:left="0" w:leftChars="0" w:firstLine="0" w:firstLineChars="0"/>
        <w:jc w:val="center"/>
        <w:rPr>
          <w:rFonts w:hint="default"/>
          <w:b/>
          <w:bCs/>
          <w:sz w:val="21"/>
          <w:szCs w:val="21"/>
          <w:highlight w:val="none"/>
          <w:lang w:val="en-US" w:eastAsia="zh-CN"/>
        </w:rPr>
      </w:pPr>
      <w:r>
        <w:rPr>
          <w:rFonts w:hint="eastAsia"/>
          <w:b/>
          <w:bCs/>
          <w:sz w:val="21"/>
          <w:szCs w:val="21"/>
          <w:highlight w:val="none"/>
          <w:lang w:val="en-US" w:eastAsia="zh-CN"/>
        </w:rPr>
        <w:t>图3.2-3  渗滤液收集池大样图</w:t>
      </w:r>
    </w:p>
    <w:p w14:paraId="54317A40">
      <w:pPr>
        <w:bidi w:val="0"/>
        <w:rPr>
          <w:rFonts w:hint="default"/>
          <w:highlight w:val="none"/>
          <w:lang w:val="en-US" w:eastAsia="zh-CN"/>
        </w:rPr>
      </w:pPr>
      <w:r>
        <w:rPr>
          <w:rFonts w:hint="eastAsia"/>
          <w:highlight w:val="none"/>
          <w:lang w:val="en-US" w:eastAsia="zh-CN"/>
        </w:rPr>
        <w:t>（2）渗滤液导排系统</w:t>
      </w:r>
    </w:p>
    <w:p w14:paraId="63E7F092">
      <w:pPr>
        <w:bidi w:val="0"/>
        <w:rPr>
          <w:rFonts w:hint="eastAsia"/>
          <w:highlight w:val="none"/>
          <w:lang w:val="en-US" w:eastAsia="zh-CN"/>
        </w:rPr>
      </w:pPr>
      <w:r>
        <w:rPr>
          <w:rFonts w:hint="eastAsia"/>
          <w:highlight w:val="none"/>
          <w:lang w:val="en-US" w:eastAsia="zh-CN"/>
        </w:rPr>
        <w:t>本项目场底防渗层能有效地隔断渗滤液对周围土壤及地下水的渗透污染，对被截断于防渗膜表面的渗滤液应尽快将其收集和移出废渣填埋场。本项目渗滤液导排系统分为导排主盲沟和支盲沟。</w:t>
      </w:r>
    </w:p>
    <w:p w14:paraId="4AE51EC5">
      <w:pPr>
        <w:bidi w:val="0"/>
        <w:rPr>
          <w:rFonts w:hint="eastAsia"/>
          <w:highlight w:val="none"/>
          <w:lang w:val="en-US" w:eastAsia="zh-CN"/>
        </w:rPr>
      </w:pPr>
      <w:r>
        <w:rPr>
          <w:rFonts w:hint="eastAsia"/>
          <w:highlight w:val="none"/>
          <w:lang w:val="en-US" w:eastAsia="zh-CN"/>
        </w:rPr>
        <w:t>主盲沟：在库底整形后的沟底设置1道渗滤液导排主盲沟。主盲沟底宽4.8m，高1.0m，顶宽1.8m，两侧边坡1：1.5，盲沟中设置卵石外包400g/m</w:t>
      </w:r>
      <w:r>
        <w:rPr>
          <w:rFonts w:hint="eastAsia"/>
          <w:highlight w:val="none"/>
          <w:vertAlign w:val="superscript"/>
          <w:lang w:val="en-US" w:eastAsia="zh-CN"/>
        </w:rPr>
        <w:t>2</w:t>
      </w:r>
      <w:r>
        <w:rPr>
          <w:rFonts w:hint="eastAsia"/>
          <w:highlight w:val="none"/>
          <w:lang w:val="en-US" w:eastAsia="zh-CN"/>
        </w:rPr>
        <w:t xml:space="preserve">无纺土工布，卵石内设1根DN315 HDPE花管。 </w:t>
      </w:r>
    </w:p>
    <w:p w14:paraId="0C4B7A5B">
      <w:pPr>
        <w:bidi w:val="0"/>
        <w:rPr>
          <w:rFonts w:hint="eastAsia"/>
          <w:highlight w:val="none"/>
          <w:lang w:val="en-US" w:eastAsia="zh-CN"/>
        </w:rPr>
      </w:pPr>
      <w:r>
        <w:rPr>
          <w:rFonts w:hint="eastAsia"/>
          <w:highlight w:val="none"/>
          <w:lang w:val="en-US" w:eastAsia="zh-CN"/>
        </w:rPr>
        <w:t>支盲沟：沿库底主盲沟与边坡坡脚之间区域设置渗滤液导排支盲沟，间距30.0m，坡降2%，主盲沟和支盲沟连接后形成网状。支盲沟为底宽3.0m，高0.75m，顶宽0.75m，两侧边坡1：1.5，盲沟中设置耐酸卵石外包400g/m</w:t>
      </w:r>
      <w:r>
        <w:rPr>
          <w:rFonts w:hint="eastAsia"/>
          <w:highlight w:val="none"/>
          <w:vertAlign w:val="superscript"/>
          <w:lang w:val="en-US" w:eastAsia="zh-CN"/>
        </w:rPr>
        <w:t>2</w:t>
      </w:r>
      <w:r>
        <w:rPr>
          <w:rFonts w:hint="eastAsia"/>
          <w:highlight w:val="none"/>
          <w:lang w:val="en-US" w:eastAsia="zh-CN"/>
        </w:rPr>
        <w:t xml:space="preserve">无纺土工布，卵石内设1根DN200 HDPE花管。 </w:t>
      </w:r>
    </w:p>
    <w:p w14:paraId="4F2260CD">
      <w:pPr>
        <w:bidi w:val="0"/>
        <w:rPr>
          <w:rFonts w:hint="eastAsia"/>
          <w:highlight w:val="yellow"/>
          <w:lang w:val="en-US" w:eastAsia="zh-CN"/>
        </w:rPr>
      </w:pPr>
      <w:r>
        <w:rPr>
          <w:rFonts w:hint="eastAsia"/>
          <w:highlight w:val="none"/>
          <w:lang w:val="en-US" w:eastAsia="zh-CN"/>
        </w:rPr>
        <w:t>主盲沟穿坝段采用1根DN315 HDPE实壁管通过，然后输送至渗滤液收集池。</w:t>
      </w:r>
    </w:p>
    <w:p w14:paraId="722AF2F2">
      <w:pPr>
        <w:bidi w:val="0"/>
        <w:ind w:left="0" w:leftChars="0" w:firstLine="0" w:firstLineChars="0"/>
        <w:rPr>
          <w:rFonts w:hint="eastAsia"/>
          <w:highlight w:val="yellow"/>
          <w:lang w:val="en-US" w:eastAsia="zh-CN"/>
        </w:rPr>
      </w:pPr>
      <w:r>
        <w:drawing>
          <wp:inline distT="0" distB="0" distL="114300" distR="114300">
            <wp:extent cx="5715000" cy="2874010"/>
            <wp:effectExtent l="0" t="0" r="0" b="2540"/>
            <wp:docPr id="30"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2"/>
                    <pic:cNvPicPr>
                      <a:picLocks noChangeAspect="1"/>
                    </pic:cNvPicPr>
                  </pic:nvPicPr>
                  <pic:blipFill>
                    <a:blip r:embed="rId33"/>
                    <a:stretch>
                      <a:fillRect/>
                    </a:stretch>
                  </pic:blipFill>
                  <pic:spPr>
                    <a:xfrm>
                      <a:off x="0" y="0"/>
                      <a:ext cx="5715000" cy="2874010"/>
                    </a:xfrm>
                    <a:prstGeom prst="rect">
                      <a:avLst/>
                    </a:prstGeom>
                    <a:noFill/>
                    <a:ln>
                      <a:noFill/>
                    </a:ln>
                  </pic:spPr>
                </pic:pic>
              </a:graphicData>
            </a:graphic>
          </wp:inline>
        </w:drawing>
      </w:r>
    </w:p>
    <w:p w14:paraId="3124817C">
      <w:pPr>
        <w:bidi w:val="0"/>
        <w:ind w:left="0" w:leftChars="0" w:firstLine="0" w:firstLineChars="0"/>
        <w:jc w:val="center"/>
        <w:rPr>
          <w:rFonts w:hint="default"/>
          <w:b/>
          <w:bCs/>
          <w:sz w:val="21"/>
          <w:szCs w:val="21"/>
          <w:highlight w:val="none"/>
          <w:lang w:val="en-US" w:eastAsia="zh-CN"/>
        </w:rPr>
      </w:pPr>
      <w:r>
        <w:rPr>
          <w:rFonts w:hint="eastAsia"/>
          <w:b/>
          <w:bCs/>
          <w:sz w:val="21"/>
          <w:szCs w:val="21"/>
          <w:highlight w:val="none"/>
          <w:lang w:val="en-US" w:eastAsia="zh-CN"/>
        </w:rPr>
        <w:t>图3.2-4  场底渗滤液导排大样图</w:t>
      </w:r>
    </w:p>
    <w:p w14:paraId="5EBEE736">
      <w:pPr>
        <w:bidi w:val="0"/>
        <w:rPr>
          <w:rFonts w:hint="eastAsia"/>
          <w:b/>
          <w:bCs/>
          <w:highlight w:val="none"/>
          <w:lang w:val="en-US" w:eastAsia="zh-CN"/>
        </w:rPr>
      </w:pPr>
      <w:r>
        <w:rPr>
          <w:rFonts w:hint="eastAsia"/>
          <w:b/>
          <w:bCs/>
          <w:highlight w:val="none"/>
          <w:lang w:val="en-US" w:eastAsia="zh-CN"/>
        </w:rPr>
        <w:t>4、地下水导排系统</w:t>
      </w:r>
    </w:p>
    <w:p w14:paraId="6415EBBA">
      <w:pPr>
        <w:bidi w:val="0"/>
        <w:rPr>
          <w:rFonts w:hint="eastAsia"/>
          <w:highlight w:val="none"/>
          <w:lang w:val="en-US" w:eastAsia="zh-CN"/>
        </w:rPr>
      </w:pPr>
      <w:r>
        <w:rPr>
          <w:rFonts w:hint="eastAsia"/>
          <w:highlight w:val="none"/>
          <w:lang w:val="en-US" w:eastAsia="zh-CN"/>
        </w:rPr>
        <w:t>本项目地下水导排系统分为导排主盲沟和支盲沟。</w:t>
      </w:r>
    </w:p>
    <w:p w14:paraId="34DD0A1A">
      <w:pPr>
        <w:bidi w:val="0"/>
        <w:rPr>
          <w:rFonts w:hint="eastAsia"/>
          <w:highlight w:val="none"/>
          <w:lang w:val="en-US" w:eastAsia="zh-CN"/>
        </w:rPr>
      </w:pPr>
      <w:r>
        <w:rPr>
          <w:rFonts w:hint="eastAsia"/>
          <w:highlight w:val="none"/>
          <w:lang w:val="en-US" w:eastAsia="zh-CN"/>
        </w:rPr>
        <w:t>主盲沟：在库底整形后的沟底设置1道地下水导排主盲沟。主盲沟为矩形断面，主盲沟底宽1.0m，深1.0m，盲沟中设置卵石外包400g/m</w:t>
      </w:r>
      <w:r>
        <w:rPr>
          <w:rFonts w:hint="eastAsia"/>
          <w:highlight w:val="none"/>
          <w:vertAlign w:val="superscript"/>
          <w:lang w:val="en-US" w:eastAsia="zh-CN"/>
        </w:rPr>
        <w:t>2</w:t>
      </w:r>
      <w:r>
        <w:rPr>
          <w:rFonts w:hint="eastAsia"/>
          <w:highlight w:val="none"/>
          <w:lang w:val="en-US" w:eastAsia="zh-CN"/>
        </w:rPr>
        <w:t xml:space="preserve">无纺土工布，卵石内设1根DN315 HDPE花管。 </w:t>
      </w:r>
    </w:p>
    <w:p w14:paraId="0DCB4EAF">
      <w:pPr>
        <w:bidi w:val="0"/>
        <w:rPr>
          <w:rFonts w:hint="eastAsia"/>
          <w:highlight w:val="none"/>
          <w:lang w:val="en-US" w:eastAsia="zh-CN"/>
        </w:rPr>
      </w:pPr>
      <w:r>
        <w:rPr>
          <w:rFonts w:hint="eastAsia"/>
          <w:highlight w:val="none"/>
          <w:lang w:val="en-US" w:eastAsia="zh-CN"/>
        </w:rPr>
        <w:t>支盲沟：沿库底主盲沟与边坡坡脚之间区域设置地下水导排支盲沟，间距20.0m，主盲沟和支盲沟连接后形成网状。支盲沟矩形断面，宽1.0m，深1.0m，盲沟中设置碎石外包400g/m</w:t>
      </w:r>
      <w:r>
        <w:rPr>
          <w:rFonts w:hint="eastAsia"/>
          <w:highlight w:val="none"/>
          <w:vertAlign w:val="superscript"/>
          <w:lang w:val="en-US" w:eastAsia="zh-CN"/>
        </w:rPr>
        <w:t>2</w:t>
      </w:r>
      <w:r>
        <w:rPr>
          <w:rFonts w:hint="eastAsia"/>
          <w:highlight w:val="none"/>
          <w:lang w:val="en-US" w:eastAsia="zh-CN"/>
        </w:rPr>
        <w:t xml:space="preserve">无纺土工布，卵石内设1根DN200 HDPE花管。 </w:t>
      </w:r>
    </w:p>
    <w:p w14:paraId="16C4EABD">
      <w:pPr>
        <w:bidi w:val="0"/>
        <w:rPr>
          <w:rFonts w:hint="eastAsia"/>
          <w:highlight w:val="none"/>
          <w:lang w:val="en-US" w:eastAsia="zh-CN"/>
        </w:rPr>
      </w:pPr>
      <w:r>
        <w:rPr>
          <w:rFonts w:hint="eastAsia"/>
          <w:highlight w:val="none"/>
          <w:lang w:val="en-US" w:eastAsia="zh-CN"/>
        </w:rPr>
        <w:t>主盲沟穿坝段采用1根DN315 HDPE实壁管通过，穿过填埋库区后排出场外。</w:t>
      </w:r>
    </w:p>
    <w:p w14:paraId="37C32620">
      <w:pPr>
        <w:bidi w:val="0"/>
        <w:ind w:left="0" w:leftChars="0" w:firstLine="0" w:firstLineChars="0"/>
        <w:rPr>
          <w:rFonts w:hint="eastAsia"/>
          <w:highlight w:val="yellow"/>
          <w:lang w:val="en-US" w:eastAsia="zh-CN"/>
        </w:rPr>
      </w:pPr>
      <w:r>
        <w:drawing>
          <wp:inline distT="0" distB="0" distL="114300" distR="114300">
            <wp:extent cx="5723890" cy="4140200"/>
            <wp:effectExtent l="0" t="0" r="10160" b="12700"/>
            <wp:docPr id="52" name="图片 18"/>
            <wp:cNvGraphicFramePr/>
            <a:graphic xmlns:a="http://schemas.openxmlformats.org/drawingml/2006/main">
              <a:graphicData uri="http://schemas.openxmlformats.org/drawingml/2006/picture">
                <pic:pic xmlns:pic="http://schemas.openxmlformats.org/drawingml/2006/picture">
                  <pic:nvPicPr>
                    <pic:cNvPr id="52" name="图片 18"/>
                    <pic:cNvPicPr/>
                  </pic:nvPicPr>
                  <pic:blipFill>
                    <a:blip r:embed="rId34"/>
                    <a:stretch>
                      <a:fillRect/>
                    </a:stretch>
                  </pic:blipFill>
                  <pic:spPr>
                    <a:xfrm>
                      <a:off x="0" y="0"/>
                      <a:ext cx="5723890" cy="4140200"/>
                    </a:xfrm>
                    <a:prstGeom prst="rect">
                      <a:avLst/>
                    </a:prstGeom>
                    <a:noFill/>
                    <a:ln>
                      <a:noFill/>
                    </a:ln>
                  </pic:spPr>
                </pic:pic>
              </a:graphicData>
            </a:graphic>
          </wp:inline>
        </w:drawing>
      </w:r>
    </w:p>
    <w:p w14:paraId="6BC71716">
      <w:pPr>
        <w:bidi w:val="0"/>
        <w:ind w:left="0" w:leftChars="0" w:firstLine="0" w:firstLineChars="0"/>
      </w:pPr>
      <w:r>
        <w:drawing>
          <wp:inline distT="0" distB="0" distL="114300" distR="114300">
            <wp:extent cx="5723890" cy="4140200"/>
            <wp:effectExtent l="0" t="0" r="10160" b="12700"/>
            <wp:docPr id="53" name="图片 19"/>
            <wp:cNvGraphicFramePr/>
            <a:graphic xmlns:a="http://schemas.openxmlformats.org/drawingml/2006/main">
              <a:graphicData uri="http://schemas.openxmlformats.org/drawingml/2006/picture">
                <pic:pic xmlns:pic="http://schemas.openxmlformats.org/drawingml/2006/picture">
                  <pic:nvPicPr>
                    <pic:cNvPr id="53" name="图片 19"/>
                    <pic:cNvPicPr/>
                  </pic:nvPicPr>
                  <pic:blipFill>
                    <a:blip r:embed="rId35"/>
                    <a:stretch>
                      <a:fillRect/>
                    </a:stretch>
                  </pic:blipFill>
                  <pic:spPr>
                    <a:xfrm>
                      <a:off x="0" y="0"/>
                      <a:ext cx="5723890" cy="4140200"/>
                    </a:xfrm>
                    <a:prstGeom prst="rect">
                      <a:avLst/>
                    </a:prstGeom>
                    <a:noFill/>
                    <a:ln>
                      <a:noFill/>
                    </a:ln>
                  </pic:spPr>
                </pic:pic>
              </a:graphicData>
            </a:graphic>
          </wp:inline>
        </w:drawing>
      </w:r>
    </w:p>
    <w:p w14:paraId="0FBFD2CE">
      <w:pPr>
        <w:bidi w:val="0"/>
        <w:ind w:left="0" w:leftChars="0" w:firstLine="0" w:firstLineChars="0"/>
        <w:jc w:val="center"/>
        <w:rPr>
          <w:rFonts w:hint="default"/>
          <w:b/>
          <w:bCs/>
          <w:sz w:val="21"/>
          <w:szCs w:val="21"/>
          <w:lang w:val="en-US" w:eastAsia="zh-CN"/>
        </w:rPr>
      </w:pPr>
      <w:r>
        <w:rPr>
          <w:rFonts w:hint="eastAsia"/>
          <w:b/>
          <w:bCs/>
          <w:sz w:val="21"/>
          <w:szCs w:val="21"/>
          <w:lang w:val="en-US" w:eastAsia="zh-CN"/>
        </w:rPr>
        <w:t>图3.2-5  地下水导排主盲沟及支盲沟断面图</w:t>
      </w:r>
    </w:p>
    <w:p w14:paraId="47EBED45">
      <w:pPr>
        <w:bidi w:val="0"/>
        <w:rPr>
          <w:rFonts w:hint="default"/>
          <w:b/>
          <w:bCs/>
          <w:highlight w:val="none"/>
          <w:lang w:val="en-US" w:eastAsia="zh-CN"/>
        </w:rPr>
      </w:pPr>
      <w:r>
        <w:rPr>
          <w:rFonts w:hint="eastAsia"/>
          <w:b/>
          <w:bCs/>
          <w:highlight w:val="none"/>
          <w:lang w:val="en-US" w:eastAsia="zh-CN"/>
        </w:rPr>
        <w:t>5、挡渣坝工程</w:t>
      </w:r>
    </w:p>
    <w:p w14:paraId="198F6B1A">
      <w:pPr>
        <w:bidi w:val="0"/>
        <w:rPr>
          <w:rFonts w:hint="eastAsia"/>
          <w:highlight w:val="none"/>
          <w:lang w:val="en-US" w:eastAsia="zh-CN"/>
        </w:rPr>
      </w:pPr>
      <w:r>
        <w:rPr>
          <w:rFonts w:hint="eastAsia"/>
          <w:highlight w:val="none"/>
          <w:lang w:val="en-US" w:eastAsia="zh-CN"/>
        </w:rPr>
        <w:t>本方案根据更改填埋场选址地点的现场地形特点、废渣方量，填埋场设计面积为7805m</w:t>
      </w:r>
      <w:r>
        <w:rPr>
          <w:rFonts w:hint="eastAsia"/>
          <w:highlight w:val="none"/>
          <w:vertAlign w:val="superscript"/>
          <w:lang w:val="en-US" w:eastAsia="zh-CN"/>
        </w:rPr>
        <w:t>2</w:t>
      </w:r>
      <w:r>
        <w:rPr>
          <w:rFonts w:hint="eastAsia"/>
          <w:highlight w:val="none"/>
          <w:lang w:val="en-US" w:eastAsia="zh-CN"/>
        </w:rPr>
        <w:t>，需要处理的废渣总方量为42040.12m</w:t>
      </w:r>
      <w:r>
        <w:rPr>
          <w:rFonts w:hint="eastAsia"/>
          <w:highlight w:val="none"/>
          <w:vertAlign w:val="superscript"/>
          <w:lang w:val="en-US" w:eastAsia="zh-CN"/>
        </w:rPr>
        <w:t>3</w:t>
      </w:r>
      <w:r>
        <w:rPr>
          <w:rFonts w:hint="eastAsia"/>
          <w:highlight w:val="none"/>
          <w:lang w:val="en-US" w:eastAsia="zh-CN"/>
        </w:rPr>
        <w:t>。因废渣堆积区的废渣需清运之处置区安全填埋，考虑到场地内原始标高及废渣堆积区开挖后标高的高差，填埋场需要修建挡渣坝对其进行稳定。</w:t>
      </w:r>
    </w:p>
    <w:p w14:paraId="6690583B">
      <w:pPr>
        <w:bidi w:val="0"/>
        <w:rPr>
          <w:rFonts w:hint="eastAsia"/>
          <w:highlight w:val="none"/>
          <w:lang w:val="en-US" w:eastAsia="zh-CN"/>
        </w:rPr>
      </w:pPr>
      <w:r>
        <w:rPr>
          <w:rFonts w:hint="eastAsia"/>
          <w:highlight w:val="none"/>
          <w:lang w:val="en-US" w:eastAsia="zh-CN"/>
        </w:rPr>
        <w:t>1）坝型选择</w:t>
      </w:r>
    </w:p>
    <w:p w14:paraId="0B4E2D03">
      <w:pPr>
        <w:bidi w:val="0"/>
        <w:rPr>
          <w:rFonts w:hint="eastAsia"/>
          <w:highlight w:val="none"/>
          <w:lang w:val="en-US" w:eastAsia="zh-CN"/>
        </w:rPr>
      </w:pPr>
      <w:r>
        <w:rPr>
          <w:rFonts w:hint="eastAsia"/>
          <w:highlight w:val="none"/>
          <w:lang w:val="en-US" w:eastAsia="zh-CN"/>
        </w:rPr>
        <w:t>目前常用的挡渣坝按照结构可分为重力式挡渣坝、减力板式挡渣坝、悬臂式和扶壁式挡渣坝、锚杆挡渣坝。根据项目实施方案，综合考虑当地建筑材料的分布、储量、石料的开采成形情况、施工条件等因素，本项目的废渣填埋场新建重力式浆砌石挡渣坝对废渣进行稳定。</w:t>
      </w:r>
    </w:p>
    <w:p w14:paraId="0B41E6D6">
      <w:pPr>
        <w:bidi w:val="0"/>
        <w:rPr>
          <w:rFonts w:hint="default"/>
          <w:highlight w:val="none"/>
          <w:lang w:val="en-US" w:eastAsia="zh-CN"/>
        </w:rPr>
      </w:pPr>
      <w:r>
        <w:rPr>
          <w:rFonts w:hint="eastAsia"/>
          <w:highlight w:val="none"/>
          <w:lang w:val="en-US" w:eastAsia="zh-CN"/>
        </w:rPr>
        <w:t>2）坝体结构设计</w:t>
      </w:r>
    </w:p>
    <w:p w14:paraId="0B0EE77A">
      <w:pPr>
        <w:bidi w:val="0"/>
        <w:rPr>
          <w:rFonts w:hint="eastAsia"/>
          <w:highlight w:val="none"/>
          <w:lang w:val="en-US" w:eastAsia="zh-CN"/>
        </w:rPr>
      </w:pPr>
      <w:r>
        <w:rPr>
          <w:rFonts w:hint="eastAsia"/>
          <w:highlight w:val="none"/>
          <w:lang w:val="en-US" w:eastAsia="zh-CN"/>
        </w:rPr>
        <w:t>①1#挡渣坝</w:t>
      </w:r>
    </w:p>
    <w:p w14:paraId="137192A9">
      <w:pPr>
        <w:bidi w:val="0"/>
        <w:rPr>
          <w:rFonts w:hint="eastAsia"/>
          <w:highlight w:val="none"/>
          <w:lang w:val="en-US" w:eastAsia="zh-CN"/>
        </w:rPr>
      </w:pPr>
      <w:r>
        <w:rPr>
          <w:rFonts w:hint="eastAsia"/>
          <w:highlight w:val="none"/>
          <w:lang w:val="en-US" w:eastAsia="zh-CN"/>
        </w:rPr>
        <w:t>1#挡渣坝位于填埋场下游，采用M10浆砌石，高5.0m，顶标高185.0m，底标高180.0m，总长约31.0m，1#挡渣坝顶宽2.0m，上游坡比1：0.75，下游坡比1：0.2</w:t>
      </w:r>
    </w:p>
    <w:p w14:paraId="53E99F06">
      <w:pPr>
        <w:bidi w:val="0"/>
        <w:rPr>
          <w:rFonts w:hint="eastAsia"/>
          <w:highlight w:val="none"/>
          <w:lang w:val="en-US" w:eastAsia="zh-CN"/>
        </w:rPr>
      </w:pPr>
      <w:r>
        <w:rPr>
          <w:rFonts w:hint="eastAsia"/>
          <w:highlight w:val="none"/>
          <w:lang w:val="en-US" w:eastAsia="zh-CN"/>
        </w:rPr>
        <w:t>1#挡渣坝基础采用100mm厚M10水泥砂浆做垫层，顶部采用2cm厚M10砂浆护面，外边坡勾凸缝；挡渣坝每10m设置分缝，缝间插沥青木板，缝宽10mm；</w:t>
      </w:r>
    </w:p>
    <w:p w14:paraId="66EEDE1D">
      <w:pPr>
        <w:bidi w:val="0"/>
        <w:rPr>
          <w:rFonts w:hint="eastAsia"/>
          <w:highlight w:val="none"/>
          <w:lang w:val="en-US" w:eastAsia="zh-CN"/>
        </w:rPr>
      </w:pPr>
      <w:r>
        <w:rPr>
          <w:rFonts w:hint="eastAsia"/>
          <w:highlight w:val="none"/>
          <w:lang w:val="en-US" w:eastAsia="zh-CN"/>
        </w:rPr>
        <w:t>1#挡渣坝背后覆30cm厚碎石层，碎石层后覆一层400g/m</w:t>
      </w:r>
      <w:r>
        <w:rPr>
          <w:rFonts w:hint="eastAsia"/>
          <w:highlight w:val="none"/>
          <w:vertAlign w:val="superscript"/>
          <w:lang w:val="en-US" w:eastAsia="zh-CN"/>
        </w:rPr>
        <w:t>2</w:t>
      </w:r>
      <w:r>
        <w:rPr>
          <w:rFonts w:hint="eastAsia"/>
          <w:highlight w:val="none"/>
          <w:lang w:val="en-US" w:eastAsia="zh-CN"/>
        </w:rPr>
        <w:t>土工布，并覆一层1.5mm厚土工膜隔水。土工膜埋入到墙后齿墙内，齿墙深30cm，宽50cm。</w:t>
      </w:r>
    </w:p>
    <w:p w14:paraId="694216B8">
      <w:pPr>
        <w:bidi w:val="0"/>
        <w:rPr>
          <w:rFonts w:hint="eastAsia"/>
          <w:highlight w:val="none"/>
          <w:lang w:val="en-US" w:eastAsia="zh-CN"/>
        </w:rPr>
      </w:pPr>
      <w:r>
        <w:rPr>
          <w:rFonts w:hint="eastAsia"/>
          <w:highlight w:val="none"/>
          <w:lang w:val="en-US" w:eastAsia="zh-CN"/>
        </w:rPr>
        <w:t>浆砌石挡渣坝应坐浆饱满，塞垫稳固；片石应采用新鲜干净岩石，抗压强度不应小于30MPa。</w:t>
      </w:r>
    </w:p>
    <w:p w14:paraId="6E6FFBFD">
      <w:pPr>
        <w:bidi w:val="0"/>
        <w:rPr>
          <w:rFonts w:hint="eastAsia"/>
          <w:highlight w:val="none"/>
          <w:lang w:val="en-US" w:eastAsia="zh-CN"/>
        </w:rPr>
      </w:pPr>
      <w:r>
        <w:rPr>
          <w:rFonts w:hint="eastAsia"/>
          <w:highlight w:val="none"/>
          <w:lang w:val="en-US" w:eastAsia="zh-CN"/>
        </w:rPr>
        <w:t>②2#挡渣坝</w:t>
      </w:r>
    </w:p>
    <w:p w14:paraId="423CBE61">
      <w:pPr>
        <w:bidi w:val="0"/>
        <w:rPr>
          <w:rFonts w:hint="default"/>
          <w:highlight w:val="none"/>
          <w:lang w:val="en-US" w:eastAsia="zh-CN"/>
        </w:rPr>
      </w:pPr>
      <w:r>
        <w:rPr>
          <w:rFonts w:hint="eastAsia"/>
          <w:highlight w:val="none"/>
          <w:lang w:val="en-US" w:eastAsia="zh-CN"/>
        </w:rPr>
        <w:t>2#挡渣坝位于填埋场上游，采用M10浆砌石，高5.0m，顶标高195.0m，底标高190.0m，总长约35.0m，2#挡渣坝顶宽2.0m，上游坡比1:0.2，下游坡比1:0.75；</w:t>
      </w:r>
    </w:p>
    <w:p w14:paraId="13A2970E">
      <w:pPr>
        <w:bidi w:val="0"/>
        <w:rPr>
          <w:rFonts w:hint="eastAsia"/>
          <w:highlight w:val="none"/>
          <w:lang w:val="en-US" w:eastAsia="zh-CN"/>
        </w:rPr>
      </w:pPr>
      <w:r>
        <w:rPr>
          <w:rFonts w:hint="eastAsia"/>
          <w:highlight w:val="none"/>
          <w:lang w:val="en-US" w:eastAsia="zh-CN"/>
        </w:rPr>
        <w:t>2#挡渣坝基础采用100mm厚M10水泥砂浆做垫层，顶部采用2cm厚M10砂浆护面，外边坡勾凸缝；挡渣坝每10m设置分缝，缝间插沥青木板，缝宽10mm；</w:t>
      </w:r>
    </w:p>
    <w:p w14:paraId="11C54C79">
      <w:pPr>
        <w:bidi w:val="0"/>
        <w:rPr>
          <w:rFonts w:hint="eastAsia"/>
          <w:highlight w:val="none"/>
          <w:lang w:val="en-US" w:eastAsia="zh-CN"/>
        </w:rPr>
      </w:pPr>
      <w:r>
        <w:rPr>
          <w:rFonts w:hint="eastAsia"/>
          <w:highlight w:val="none"/>
          <w:lang w:val="en-US" w:eastAsia="zh-CN"/>
        </w:rPr>
        <w:t>2#挡渣坝背后覆30cm厚碎石层，碎石层后覆一层400g/m</w:t>
      </w:r>
      <w:r>
        <w:rPr>
          <w:rFonts w:hint="eastAsia"/>
          <w:highlight w:val="none"/>
          <w:vertAlign w:val="superscript"/>
          <w:lang w:val="en-US" w:eastAsia="zh-CN"/>
        </w:rPr>
        <w:t>2</w:t>
      </w:r>
      <w:r>
        <w:rPr>
          <w:rFonts w:hint="eastAsia"/>
          <w:highlight w:val="none"/>
          <w:lang w:val="en-US" w:eastAsia="zh-CN"/>
        </w:rPr>
        <w:t>土工布，并覆一层1.5mm厚土工膜隔水。土工膜埋入到墙后齿墙内，齿墙深30cm，宽50cm。</w:t>
      </w:r>
    </w:p>
    <w:p w14:paraId="61BDE3AC">
      <w:pPr>
        <w:bidi w:val="0"/>
        <w:rPr>
          <w:rFonts w:hint="eastAsia"/>
          <w:highlight w:val="yellow"/>
          <w:lang w:val="en-US" w:eastAsia="zh-CN"/>
        </w:rPr>
      </w:pPr>
      <w:r>
        <w:rPr>
          <w:rFonts w:hint="eastAsia"/>
          <w:highlight w:val="none"/>
          <w:lang w:val="en-US" w:eastAsia="zh-CN"/>
        </w:rPr>
        <w:t>浆砌石挡渣坝应坐浆饱满，塞垫稳固；片石应采用新鲜干净岩石，抗压强度不应小于30MPa。</w:t>
      </w:r>
    </w:p>
    <w:p w14:paraId="50B55173">
      <w:pPr>
        <w:bidi w:val="0"/>
        <w:ind w:left="0" w:leftChars="0" w:firstLine="0" w:firstLineChars="0"/>
        <w:rPr>
          <w:rFonts w:hint="eastAsia"/>
          <w:highlight w:val="yellow"/>
          <w:lang w:val="en-US" w:eastAsia="zh-CN"/>
        </w:rPr>
      </w:pPr>
      <w:r>
        <w:drawing>
          <wp:inline distT="0" distB="0" distL="114300" distR="114300">
            <wp:extent cx="5724525" cy="4053840"/>
            <wp:effectExtent l="0" t="0" r="9525" b="3810"/>
            <wp:docPr id="31" name="图片 23"/>
            <wp:cNvGraphicFramePr/>
            <a:graphic xmlns:a="http://schemas.openxmlformats.org/drawingml/2006/main">
              <a:graphicData uri="http://schemas.openxmlformats.org/drawingml/2006/picture">
                <pic:pic xmlns:pic="http://schemas.openxmlformats.org/drawingml/2006/picture">
                  <pic:nvPicPr>
                    <pic:cNvPr id="31" name="图片 23"/>
                    <pic:cNvPicPr/>
                  </pic:nvPicPr>
                  <pic:blipFill>
                    <a:blip r:embed="rId36"/>
                    <a:stretch>
                      <a:fillRect/>
                    </a:stretch>
                  </pic:blipFill>
                  <pic:spPr>
                    <a:xfrm>
                      <a:off x="0" y="0"/>
                      <a:ext cx="5724525" cy="4053840"/>
                    </a:xfrm>
                    <a:prstGeom prst="rect">
                      <a:avLst/>
                    </a:prstGeom>
                    <a:noFill/>
                    <a:ln>
                      <a:noFill/>
                    </a:ln>
                  </pic:spPr>
                </pic:pic>
              </a:graphicData>
            </a:graphic>
          </wp:inline>
        </w:drawing>
      </w:r>
    </w:p>
    <w:p w14:paraId="12BE5D79">
      <w:pPr>
        <w:bidi w:val="0"/>
        <w:ind w:left="0" w:leftChars="0" w:firstLine="0" w:firstLineChars="0"/>
        <w:jc w:val="center"/>
        <w:rPr>
          <w:rFonts w:hint="default"/>
          <w:b/>
          <w:bCs/>
          <w:sz w:val="21"/>
          <w:szCs w:val="21"/>
          <w:highlight w:val="none"/>
          <w:lang w:val="en-US" w:eastAsia="zh-CN"/>
        </w:rPr>
      </w:pPr>
      <w:r>
        <w:rPr>
          <w:rFonts w:hint="eastAsia"/>
          <w:b/>
          <w:bCs/>
          <w:sz w:val="21"/>
          <w:szCs w:val="21"/>
          <w:highlight w:val="none"/>
          <w:lang w:val="en-US" w:eastAsia="zh-CN"/>
        </w:rPr>
        <w:t>图3.2-6  挡渣坝结构图</w:t>
      </w:r>
    </w:p>
    <w:p w14:paraId="763123A2">
      <w:pPr>
        <w:bidi w:val="0"/>
        <w:rPr>
          <w:rFonts w:hint="default"/>
          <w:b/>
          <w:bCs/>
          <w:highlight w:val="none"/>
          <w:lang w:val="en-US" w:eastAsia="zh-CN"/>
        </w:rPr>
      </w:pPr>
      <w:r>
        <w:rPr>
          <w:rFonts w:hint="eastAsia"/>
          <w:b/>
          <w:bCs/>
          <w:highlight w:val="none"/>
          <w:lang w:val="en-US" w:eastAsia="zh-CN"/>
        </w:rPr>
        <w:t>6、废渣封场防渗工程</w:t>
      </w:r>
    </w:p>
    <w:p w14:paraId="296C4F12">
      <w:pPr>
        <w:bidi w:val="0"/>
        <w:rPr>
          <w:rFonts w:hint="eastAsia"/>
          <w:highlight w:val="none"/>
          <w:lang w:val="en-US" w:eastAsia="zh-CN"/>
        </w:rPr>
      </w:pPr>
      <w:r>
        <w:rPr>
          <w:rFonts w:hint="default" w:ascii="Times New Roman" w:hAnsi="Times New Roman" w:cs="Times New Roman"/>
          <w:highlight w:val="none"/>
          <w:lang w:val="en-US" w:eastAsia="zh-CN"/>
        </w:rPr>
        <w:t>根据《平江县三阳乡南尧村片区（垂拱组、仙人组）历史遗留重金属废渣污染</w:t>
      </w:r>
      <w:r>
        <w:rPr>
          <w:rFonts w:hint="eastAsia" w:ascii="Times New Roman" w:hAnsi="Times New Roman" w:cs="Times New Roman"/>
          <w:highlight w:val="none"/>
          <w:lang w:val="en-US" w:eastAsia="zh-CN"/>
        </w:rPr>
        <w:t>状况</w:t>
      </w:r>
      <w:r>
        <w:rPr>
          <w:rFonts w:hint="default" w:ascii="Times New Roman" w:hAnsi="Times New Roman" w:cs="Times New Roman"/>
          <w:highlight w:val="none"/>
          <w:lang w:val="en-US" w:eastAsia="zh-CN"/>
        </w:rPr>
        <w:t>调查报告》分析结果可知：废渣为第</w:t>
      </w:r>
      <w:r>
        <w:rPr>
          <w:rFonts w:hint="default" w:ascii="Times New Roman" w:hAnsi="Times New Roman" w:eastAsia="宋体" w:cs="Times New Roman"/>
          <w:highlight w:val="none"/>
          <w:lang w:val="en-US" w:eastAsia="zh-CN"/>
        </w:rPr>
        <w:t>Ⅰ类</w:t>
      </w:r>
      <w:r>
        <w:rPr>
          <w:rFonts w:hint="default" w:ascii="Times New Roman" w:hAnsi="Times New Roman" w:cs="Times New Roman"/>
          <w:highlight w:val="none"/>
          <w:lang w:val="en-US" w:eastAsia="zh-CN"/>
        </w:rPr>
        <w:t>一般工业固体废物</w:t>
      </w:r>
      <w:r>
        <w:rPr>
          <w:rFonts w:hint="default" w:ascii="Times New Roman" w:hAnsi="Times New Roman" w:eastAsia="宋体" w:cs="Times New Roman"/>
          <w:highlight w:val="none"/>
          <w:lang w:val="en-US" w:eastAsia="zh-CN"/>
        </w:rPr>
        <w:t>和第Ⅱ</w:t>
      </w:r>
      <w:r>
        <w:rPr>
          <w:rFonts w:hint="default" w:ascii="Times New Roman" w:hAnsi="Times New Roman" w:cs="Times New Roman"/>
          <w:highlight w:val="none"/>
          <w:lang w:val="en-US" w:eastAsia="zh-CN"/>
        </w:rPr>
        <w:t>类一般工业固体废物，封场严格按照《一般工业固体废物贮存和填埋污染控</w:t>
      </w:r>
      <w:r>
        <w:rPr>
          <w:rFonts w:hint="eastAsia"/>
          <w:highlight w:val="none"/>
          <w:lang w:val="en-US" w:eastAsia="zh-CN"/>
        </w:rPr>
        <w:t>制标准》（GB18599-2020）的标准，铺设HDPE土工膜，更好地防止雨水渗入堆体内。</w:t>
      </w:r>
    </w:p>
    <w:p w14:paraId="1B1FB2F8">
      <w:pPr>
        <w:bidi w:val="0"/>
        <w:rPr>
          <w:rFonts w:hint="eastAsia"/>
          <w:highlight w:val="none"/>
          <w:lang w:val="en-US" w:eastAsia="zh-CN"/>
        </w:rPr>
      </w:pPr>
      <w:r>
        <w:rPr>
          <w:rFonts w:hint="eastAsia"/>
          <w:highlight w:val="none"/>
          <w:lang w:val="en-US" w:eastAsia="zh-CN"/>
        </w:rPr>
        <w:t>为了防止废渣直接暴露和雨水渗入堆体内，废渣填埋处理需要建设表面防渗系统。该防渗系统主要分为三个部分：第一部分为覆盖层，第二部分为雨水导排层，第三部分为阻隔层。覆盖层是植被恢复层，主要由可生长植物的腐殖土和其他土壤组成，其厚度要保证植物根系不造成下部密封工程系统的破坏。阻隔层则采用压实黏土层与HDPE+土工膜的组合。为防止下雨产生的降水渗入封场后渣堆，阻隔层上设置雨水导排层，采用排水网格导排雨水。最终顶面呈中间高四周低的坡地，以利于排除面层雨水，稳定后在上面进行绿化还绿。</w:t>
      </w:r>
    </w:p>
    <w:p w14:paraId="1ABCDEE8">
      <w:pPr>
        <w:bidi w:val="0"/>
        <w:rPr>
          <w:rFonts w:hint="eastAsia"/>
          <w:highlight w:val="none"/>
          <w:lang w:val="en-US" w:eastAsia="zh-CN"/>
        </w:rPr>
      </w:pPr>
      <w:r>
        <w:rPr>
          <w:rFonts w:hint="eastAsia"/>
          <w:highlight w:val="none"/>
          <w:lang w:val="en-US" w:eastAsia="zh-CN"/>
        </w:rPr>
        <w:t>封场从下到上依次为：碾压平整废渣层+50cm厚防渗粘土+600g/m</w:t>
      </w:r>
      <w:r>
        <w:rPr>
          <w:rFonts w:hint="eastAsia"/>
          <w:highlight w:val="none"/>
          <w:vertAlign w:val="superscript"/>
          <w:lang w:val="en-US" w:eastAsia="zh-CN"/>
        </w:rPr>
        <w:t>2</w:t>
      </w:r>
      <w:r>
        <w:rPr>
          <w:rFonts w:hint="eastAsia"/>
          <w:highlight w:val="none"/>
          <w:lang w:val="en-US" w:eastAsia="zh-CN"/>
        </w:rPr>
        <w:t>土工布+1.0mm厚HDPE防渗土工膜+6.0mm厚土工排水网+400g/m</w:t>
      </w:r>
      <w:r>
        <w:rPr>
          <w:rFonts w:hint="eastAsia"/>
          <w:highlight w:val="none"/>
          <w:vertAlign w:val="superscript"/>
          <w:lang w:val="en-US" w:eastAsia="zh-CN"/>
        </w:rPr>
        <w:t>2</w:t>
      </w:r>
      <w:r>
        <w:rPr>
          <w:rFonts w:hint="eastAsia"/>
          <w:highlight w:val="none"/>
          <w:lang w:val="en-US" w:eastAsia="zh-CN"/>
        </w:rPr>
        <w:t>土工布+50cm厚自然土+50cm厚营养土+植被层，植被层采用铺设草皮+种植幼苗的方式。</w:t>
      </w:r>
    </w:p>
    <w:p w14:paraId="2376E48E">
      <w:pPr>
        <w:bidi w:val="0"/>
        <w:ind w:left="0" w:leftChars="0" w:firstLine="0" w:firstLineChars="0"/>
        <w:jc w:val="center"/>
        <w:rPr>
          <w:rFonts w:hint="eastAsia"/>
          <w:highlight w:val="yellow"/>
          <w:lang w:val="en-US" w:eastAsia="zh-CN"/>
        </w:rPr>
      </w:pPr>
      <w:r>
        <w:drawing>
          <wp:inline distT="0" distB="0" distL="114300" distR="114300">
            <wp:extent cx="5718175" cy="2658110"/>
            <wp:effectExtent l="0" t="0" r="15875" b="8890"/>
            <wp:docPr id="32"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4"/>
                    <pic:cNvPicPr>
                      <a:picLocks noChangeAspect="1"/>
                    </pic:cNvPicPr>
                  </pic:nvPicPr>
                  <pic:blipFill>
                    <a:blip r:embed="rId37"/>
                    <a:stretch>
                      <a:fillRect/>
                    </a:stretch>
                  </pic:blipFill>
                  <pic:spPr>
                    <a:xfrm>
                      <a:off x="0" y="0"/>
                      <a:ext cx="5718175" cy="2658110"/>
                    </a:xfrm>
                    <a:prstGeom prst="rect">
                      <a:avLst/>
                    </a:prstGeom>
                    <a:noFill/>
                    <a:ln>
                      <a:noFill/>
                    </a:ln>
                  </pic:spPr>
                </pic:pic>
              </a:graphicData>
            </a:graphic>
          </wp:inline>
        </w:drawing>
      </w:r>
    </w:p>
    <w:p w14:paraId="35AC79BB">
      <w:pPr>
        <w:bidi w:val="0"/>
        <w:ind w:left="0" w:leftChars="0" w:firstLine="0" w:firstLineChars="0"/>
        <w:jc w:val="center"/>
        <w:rPr>
          <w:rFonts w:hint="default"/>
          <w:b/>
          <w:bCs/>
          <w:sz w:val="21"/>
          <w:szCs w:val="21"/>
          <w:highlight w:val="none"/>
          <w:lang w:val="en-US" w:eastAsia="zh-CN"/>
        </w:rPr>
      </w:pPr>
      <w:r>
        <w:rPr>
          <w:rFonts w:hint="eastAsia"/>
          <w:b/>
          <w:bCs/>
          <w:sz w:val="21"/>
          <w:szCs w:val="21"/>
          <w:highlight w:val="none"/>
          <w:lang w:val="en-US" w:eastAsia="zh-CN"/>
        </w:rPr>
        <w:t>图3.2-7  封场结构大样图</w:t>
      </w:r>
    </w:p>
    <w:p w14:paraId="52A0F408">
      <w:pPr>
        <w:bidi w:val="0"/>
        <w:rPr>
          <w:rFonts w:hint="default"/>
          <w:b/>
          <w:bCs/>
          <w:highlight w:val="none"/>
          <w:lang w:val="en-US" w:eastAsia="zh-CN"/>
        </w:rPr>
      </w:pPr>
      <w:r>
        <w:rPr>
          <w:rFonts w:hint="eastAsia"/>
          <w:b/>
          <w:bCs/>
          <w:highlight w:val="none"/>
          <w:lang w:val="en-US" w:eastAsia="zh-CN"/>
        </w:rPr>
        <w:t>7、截排水系统工程</w:t>
      </w:r>
    </w:p>
    <w:p w14:paraId="31AE6C22">
      <w:pPr>
        <w:bidi w:val="0"/>
        <w:rPr>
          <w:rFonts w:hint="eastAsia"/>
          <w:highlight w:val="none"/>
          <w:lang w:val="en-US" w:eastAsia="zh-CN"/>
        </w:rPr>
      </w:pPr>
      <w:r>
        <w:rPr>
          <w:rFonts w:hint="eastAsia"/>
          <w:highlight w:val="none"/>
          <w:lang w:val="en-US" w:eastAsia="zh-CN"/>
        </w:rPr>
        <w:t>截排水系统工程设计包括环场排水和坡面平台排水，平台的排水通过排水沟流到截洪沟，避免了地表径流在地面的集中和流速的增加，减轻地表的水土流失。</w:t>
      </w:r>
    </w:p>
    <w:p w14:paraId="53F263EA">
      <w:pPr>
        <w:bidi w:val="0"/>
        <w:rPr>
          <w:rFonts w:hint="default"/>
          <w:highlight w:val="none"/>
          <w:lang w:val="en-US" w:eastAsia="zh-CN"/>
        </w:rPr>
      </w:pPr>
      <w:r>
        <w:rPr>
          <w:rFonts w:hint="eastAsia"/>
          <w:highlight w:val="none"/>
          <w:lang w:val="en-US" w:eastAsia="zh-CN"/>
        </w:rPr>
        <w:t>（1）截洪沟</w:t>
      </w:r>
    </w:p>
    <w:p w14:paraId="6125B446">
      <w:pPr>
        <w:bidi w:val="0"/>
        <w:rPr>
          <w:rFonts w:hint="eastAsia"/>
          <w:highlight w:val="none"/>
          <w:lang w:val="en-US" w:eastAsia="zh-CN"/>
        </w:rPr>
      </w:pPr>
      <w:r>
        <w:rPr>
          <w:rFonts w:hint="eastAsia"/>
          <w:highlight w:val="none"/>
          <w:lang w:val="en-US" w:eastAsia="zh-CN"/>
        </w:rPr>
        <w:t>设置截洪沟是为了实行清污分流，将进入场地内未污染或轻微污染的地表水导出场外。本项目沿封场后的场地修建净尺寸为</w:t>
      </w:r>
      <w:r>
        <w:rPr>
          <w:rFonts w:hint="default" w:ascii="Times New Roman" w:hAnsi="Times New Roman" w:cs="Times New Roman"/>
          <w:highlight w:val="none"/>
          <w:lang w:val="en-US" w:eastAsia="zh-CN"/>
        </w:rPr>
        <w:t>0.5m×0.5m</w:t>
      </w:r>
      <w:r>
        <w:rPr>
          <w:rFonts w:hint="eastAsia"/>
          <w:highlight w:val="none"/>
          <w:lang w:val="en-US" w:eastAsia="zh-CN"/>
        </w:rPr>
        <w:t>，环场截洪沟464 m。</w:t>
      </w:r>
    </w:p>
    <w:p w14:paraId="00F6D4DF">
      <w:pPr>
        <w:bidi w:val="0"/>
        <w:rPr>
          <w:rFonts w:hint="eastAsia"/>
          <w:highlight w:val="none"/>
          <w:lang w:val="en-US" w:eastAsia="zh-CN"/>
        </w:rPr>
      </w:pPr>
      <w:r>
        <w:rPr>
          <w:rFonts w:hint="eastAsia"/>
          <w:highlight w:val="none"/>
          <w:lang w:val="en-US" w:eastAsia="zh-CN"/>
        </w:rPr>
        <w:t>截洪沟采用浆砌石结构，矩形断面，底宽0.5m，高度0.5m，截洪沟侧墙及底板厚均为0.3m，左侧截洪沟分成2段，左侧截洪沟1段以不小于1.0%的坡度坡向1#挡渣坝，左侧截洪沟2段以不小于1.0%的坡度坡向2#挡渣坝。右侧截水沟分成2段，右侧截洪沟1段以不小于1.0%的坡度坡向1#挡渣坝，右侧截洪沟2段以不小于1.0%的坡度坡向2#挡渣坝。截洪沟每隔20m设置一道沉降缝，缝宽1cm，缝应通顺平整，缝内用沥青麻丝填塞。截洪沟设计洪水按P=2%（50年一遇）计算。</w:t>
      </w:r>
    </w:p>
    <w:p w14:paraId="74C9229B">
      <w:pPr>
        <w:bidi w:val="0"/>
        <w:rPr>
          <w:rFonts w:hint="default"/>
          <w:highlight w:val="none"/>
          <w:lang w:val="en-US" w:eastAsia="zh-CN"/>
        </w:rPr>
      </w:pPr>
      <w:r>
        <w:rPr>
          <w:rFonts w:hint="eastAsia"/>
          <w:highlight w:val="none"/>
          <w:lang w:val="en-US" w:eastAsia="zh-CN"/>
        </w:rPr>
        <w:t>（2）排水沟</w:t>
      </w:r>
    </w:p>
    <w:p w14:paraId="2B9ED9AD">
      <w:pPr>
        <w:bidi w:val="0"/>
        <w:rPr>
          <w:rFonts w:hint="eastAsia"/>
          <w:highlight w:val="none"/>
          <w:lang w:val="en-US" w:eastAsia="zh-CN"/>
        </w:rPr>
      </w:pPr>
      <w:r>
        <w:rPr>
          <w:rFonts w:hint="eastAsia"/>
          <w:highlight w:val="none"/>
          <w:lang w:val="en-US" w:eastAsia="zh-CN"/>
        </w:rPr>
        <w:t>在每级2.0m宽平台内侧施工坝坡排水沟。坝坡排水沟采用浆砌石结构，断面为矩形，尺寸为0.3m</w:t>
      </w:r>
      <w:r>
        <w:rPr>
          <w:rFonts w:hint="default" w:ascii="Times New Roman" w:hAnsi="Times New Roman" w:cs="Times New Roman"/>
          <w:highlight w:val="none"/>
          <w:lang w:val="en-US" w:eastAsia="zh-CN"/>
        </w:rPr>
        <w:t>×</w:t>
      </w:r>
      <w:r>
        <w:rPr>
          <w:rFonts w:hint="eastAsia"/>
          <w:highlight w:val="none"/>
          <w:lang w:val="en-US" w:eastAsia="zh-CN"/>
        </w:rPr>
        <w:t>0.3m，侧墙及底板厚均为0.2m，坝坡排水沟接入两侧环场截水沟中。</w:t>
      </w:r>
    </w:p>
    <w:p w14:paraId="46D6C316">
      <w:pPr>
        <w:bidi w:val="0"/>
        <w:ind w:left="0" w:leftChars="0" w:firstLine="0" w:firstLineChars="0"/>
        <w:rPr>
          <w:rFonts w:hint="eastAsia"/>
          <w:highlight w:val="yellow"/>
          <w:lang w:val="en-US" w:eastAsia="zh-CN"/>
        </w:rPr>
      </w:pPr>
      <w:r>
        <w:drawing>
          <wp:inline distT="0" distB="0" distL="114300" distR="114300">
            <wp:extent cx="2844165" cy="2160270"/>
            <wp:effectExtent l="0" t="0" r="13335" b="11430"/>
            <wp:docPr id="33" name="图片 25"/>
            <wp:cNvGraphicFramePr/>
            <a:graphic xmlns:a="http://schemas.openxmlformats.org/drawingml/2006/main">
              <a:graphicData uri="http://schemas.openxmlformats.org/drawingml/2006/picture">
                <pic:pic xmlns:pic="http://schemas.openxmlformats.org/drawingml/2006/picture">
                  <pic:nvPicPr>
                    <pic:cNvPr id="33" name="图片 25"/>
                    <pic:cNvPicPr/>
                  </pic:nvPicPr>
                  <pic:blipFill>
                    <a:blip r:embed="rId38"/>
                    <a:stretch>
                      <a:fillRect/>
                    </a:stretch>
                  </pic:blipFill>
                  <pic:spPr>
                    <a:xfrm>
                      <a:off x="0" y="0"/>
                      <a:ext cx="2844165" cy="2160270"/>
                    </a:xfrm>
                    <a:prstGeom prst="rect">
                      <a:avLst/>
                    </a:prstGeom>
                    <a:noFill/>
                    <a:ln>
                      <a:noFill/>
                    </a:ln>
                  </pic:spPr>
                </pic:pic>
              </a:graphicData>
            </a:graphic>
          </wp:inline>
        </w:drawing>
      </w:r>
      <w:r>
        <w:drawing>
          <wp:inline distT="0" distB="0" distL="114300" distR="114300">
            <wp:extent cx="2844165" cy="2160270"/>
            <wp:effectExtent l="0" t="0" r="13335" b="11430"/>
            <wp:docPr id="34" name="图片 26"/>
            <wp:cNvGraphicFramePr/>
            <a:graphic xmlns:a="http://schemas.openxmlformats.org/drawingml/2006/main">
              <a:graphicData uri="http://schemas.openxmlformats.org/drawingml/2006/picture">
                <pic:pic xmlns:pic="http://schemas.openxmlformats.org/drawingml/2006/picture">
                  <pic:nvPicPr>
                    <pic:cNvPr id="34" name="图片 26"/>
                    <pic:cNvPicPr/>
                  </pic:nvPicPr>
                  <pic:blipFill>
                    <a:blip r:embed="rId39"/>
                    <a:stretch>
                      <a:fillRect/>
                    </a:stretch>
                  </pic:blipFill>
                  <pic:spPr>
                    <a:xfrm>
                      <a:off x="0" y="0"/>
                      <a:ext cx="2844165" cy="2160270"/>
                    </a:xfrm>
                    <a:prstGeom prst="rect">
                      <a:avLst/>
                    </a:prstGeom>
                    <a:noFill/>
                    <a:ln>
                      <a:noFill/>
                    </a:ln>
                  </pic:spPr>
                </pic:pic>
              </a:graphicData>
            </a:graphic>
          </wp:inline>
        </w:drawing>
      </w:r>
    </w:p>
    <w:p w14:paraId="5877A0B4">
      <w:pPr>
        <w:bidi w:val="0"/>
        <w:ind w:left="0" w:leftChars="0" w:firstLine="0" w:firstLineChars="0"/>
        <w:jc w:val="center"/>
        <w:rPr>
          <w:rFonts w:hint="default"/>
          <w:b/>
          <w:bCs/>
          <w:sz w:val="21"/>
          <w:szCs w:val="21"/>
          <w:highlight w:val="none"/>
          <w:lang w:val="en-US" w:eastAsia="zh-CN"/>
        </w:rPr>
      </w:pPr>
      <w:r>
        <w:rPr>
          <w:rFonts w:hint="eastAsia"/>
          <w:b/>
          <w:bCs/>
          <w:sz w:val="21"/>
          <w:szCs w:val="21"/>
          <w:highlight w:val="none"/>
          <w:lang w:val="en-US" w:eastAsia="zh-CN"/>
        </w:rPr>
        <w:t>图3.2-8  截洪沟、排水沟结构图</w:t>
      </w:r>
    </w:p>
    <w:p w14:paraId="2E72D302">
      <w:pPr>
        <w:bidi w:val="0"/>
        <w:rPr>
          <w:rFonts w:hint="default"/>
          <w:b/>
          <w:bCs/>
          <w:highlight w:val="none"/>
          <w:lang w:val="en-US" w:eastAsia="zh-CN"/>
        </w:rPr>
      </w:pPr>
      <w:r>
        <w:rPr>
          <w:rFonts w:hint="eastAsia"/>
          <w:b/>
          <w:bCs/>
          <w:highlight w:val="none"/>
          <w:lang w:val="en-US" w:eastAsia="zh-CN"/>
        </w:rPr>
        <w:t>8、生态修复工程</w:t>
      </w:r>
    </w:p>
    <w:p w14:paraId="1232B64E">
      <w:pPr>
        <w:bidi w:val="0"/>
        <w:rPr>
          <w:rFonts w:hint="eastAsia"/>
          <w:highlight w:val="none"/>
          <w:lang w:val="en-US" w:eastAsia="zh-CN"/>
        </w:rPr>
      </w:pPr>
      <w:r>
        <w:rPr>
          <w:rFonts w:hint="eastAsia"/>
          <w:highlight w:val="none"/>
          <w:lang w:val="en-US" w:eastAsia="zh-CN"/>
        </w:rPr>
        <w:t>（1）生态修复工程方案</w:t>
      </w:r>
    </w:p>
    <w:p w14:paraId="55E342E9">
      <w:pPr>
        <w:bidi w:val="0"/>
        <w:rPr>
          <w:rFonts w:hint="eastAsia"/>
          <w:highlight w:val="yellow"/>
          <w:lang w:val="en-US" w:eastAsia="zh-CN"/>
        </w:rPr>
      </w:pPr>
      <w:r>
        <w:rPr>
          <w:rFonts w:hint="eastAsia"/>
          <w:highlight w:val="none"/>
          <w:lang w:val="en-US" w:eastAsia="zh-CN"/>
        </w:rPr>
        <w:t>本项目废渣堆积区、临时道路、废渣填埋场封场后及取土场等都需进行植被生态绿化恢复，生态恢复面积合计约为25814</w:t>
      </w:r>
      <w:r>
        <w:rPr>
          <w:rFonts w:hint="eastAsia"/>
          <w:highlight w:val="none"/>
        </w:rPr>
        <w:t>m</w:t>
      </w:r>
      <w:r>
        <w:rPr>
          <w:rFonts w:hint="eastAsia"/>
          <w:highlight w:val="none"/>
          <w:vertAlign w:val="superscript"/>
        </w:rPr>
        <w:t>2</w:t>
      </w:r>
      <w:r>
        <w:rPr>
          <w:rFonts w:hint="eastAsia"/>
          <w:highlight w:val="none"/>
        </w:rPr>
        <w:t>（废渣治理区</w:t>
      </w:r>
      <w:r>
        <w:rPr>
          <w:rFonts w:hint="eastAsia"/>
          <w:highlight w:val="none"/>
          <w:lang w:val="en-US" w:eastAsia="zh-CN"/>
        </w:rPr>
        <w:t>9010m</w:t>
      </w:r>
      <w:r>
        <w:rPr>
          <w:rFonts w:hint="eastAsia"/>
          <w:highlight w:val="none"/>
          <w:vertAlign w:val="superscript"/>
          <w:lang w:val="en-US" w:eastAsia="zh-CN"/>
        </w:rPr>
        <w:t>2</w:t>
      </w:r>
      <w:r>
        <w:rPr>
          <w:rFonts w:hint="eastAsia"/>
          <w:highlight w:val="none"/>
          <w:lang w:val="en-US" w:eastAsia="zh-CN"/>
        </w:rPr>
        <w:t>、</w:t>
      </w:r>
      <w:r>
        <w:rPr>
          <w:rFonts w:hint="eastAsia"/>
          <w:highlight w:val="none"/>
        </w:rPr>
        <w:t>废渣填埋场</w:t>
      </w:r>
      <w:r>
        <w:rPr>
          <w:rFonts w:hint="eastAsia"/>
          <w:highlight w:val="none"/>
          <w:lang w:val="en-US" w:eastAsia="zh-CN"/>
        </w:rPr>
        <w:t>7805</w:t>
      </w:r>
      <w:r>
        <w:rPr>
          <w:rFonts w:hint="eastAsia"/>
          <w:highlight w:val="none"/>
        </w:rPr>
        <w:t>m</w:t>
      </w:r>
      <w:r>
        <w:rPr>
          <w:rFonts w:hint="eastAsia"/>
          <w:highlight w:val="none"/>
          <w:vertAlign w:val="superscript"/>
        </w:rPr>
        <w:t>2</w:t>
      </w:r>
      <w:r>
        <w:rPr>
          <w:rFonts w:hint="eastAsia"/>
          <w:highlight w:val="none"/>
        </w:rPr>
        <w:t>、取土场</w:t>
      </w:r>
      <w:r>
        <w:rPr>
          <w:rFonts w:hint="eastAsia"/>
          <w:highlight w:val="none"/>
          <w:lang w:val="en-US" w:eastAsia="zh-CN"/>
        </w:rPr>
        <w:t>3668</w:t>
      </w:r>
      <w:r>
        <w:rPr>
          <w:rFonts w:hint="eastAsia"/>
          <w:highlight w:val="none"/>
        </w:rPr>
        <w:t>m</w:t>
      </w:r>
      <w:r>
        <w:rPr>
          <w:rFonts w:hint="eastAsia"/>
          <w:highlight w:val="none"/>
          <w:vertAlign w:val="superscript"/>
        </w:rPr>
        <w:t>2</w:t>
      </w:r>
      <w:r>
        <w:rPr>
          <w:rFonts w:hint="eastAsia"/>
          <w:highlight w:val="none"/>
          <w:vertAlign w:val="baseline"/>
          <w:lang w:eastAsia="zh-CN"/>
        </w:rPr>
        <w:t>、</w:t>
      </w:r>
      <w:r>
        <w:rPr>
          <w:rFonts w:hint="eastAsia"/>
          <w:highlight w:val="none"/>
          <w:vertAlign w:val="baseline"/>
          <w:lang w:val="en-US" w:eastAsia="zh-CN"/>
        </w:rPr>
        <w:t>临时道路5331m</w:t>
      </w:r>
      <w:r>
        <w:rPr>
          <w:rFonts w:hint="eastAsia"/>
          <w:highlight w:val="none"/>
          <w:vertAlign w:val="superscript"/>
          <w:lang w:val="en-US" w:eastAsia="zh-CN"/>
        </w:rPr>
        <w:t>2</w:t>
      </w:r>
      <w:r>
        <w:rPr>
          <w:rFonts w:hint="eastAsia"/>
          <w:highlight w:val="none"/>
        </w:rPr>
        <w:t>）</w:t>
      </w:r>
      <w:r>
        <w:rPr>
          <w:rFonts w:hint="eastAsia"/>
          <w:highlight w:val="none"/>
          <w:lang w:val="en-US" w:eastAsia="zh-CN"/>
        </w:rPr>
        <w:t>。根据平江县三阳乡自然资源所出具证明《地块用地性质证明》，该项目地块后续规划为林业用地，恢复林地用途。本项目植物恢复采取恢复成林地的方案。</w:t>
      </w:r>
    </w:p>
    <w:p w14:paraId="53E3302A">
      <w:pPr>
        <w:bidi w:val="0"/>
        <w:rPr>
          <w:rFonts w:hint="eastAsia"/>
          <w:highlight w:val="none"/>
          <w:lang w:val="en-US" w:eastAsia="zh-CN"/>
        </w:rPr>
      </w:pPr>
      <w:r>
        <w:rPr>
          <w:rFonts w:hint="eastAsia"/>
          <w:highlight w:val="none"/>
          <w:lang w:val="en-US" w:eastAsia="zh-CN"/>
        </w:rPr>
        <w:t>本项目共需13515m</w:t>
      </w:r>
      <w:r>
        <w:rPr>
          <w:rFonts w:hint="eastAsia"/>
          <w:highlight w:val="none"/>
          <w:vertAlign w:val="superscript"/>
          <w:lang w:val="en-US" w:eastAsia="zh-CN"/>
        </w:rPr>
        <w:t>3</w:t>
      </w:r>
      <w:r>
        <w:rPr>
          <w:rFonts w:hint="eastAsia"/>
          <w:highlight w:val="none"/>
          <w:lang w:val="en-US" w:eastAsia="zh-CN"/>
        </w:rPr>
        <w:t>的客土，设置取土场1处，具体位置详见表3.2-1和附图4。</w:t>
      </w:r>
    </w:p>
    <w:p w14:paraId="2B7DA573">
      <w:pPr>
        <w:bidi w:val="0"/>
        <w:ind w:left="0" w:leftChars="0" w:firstLine="0" w:firstLineChars="0"/>
        <w:jc w:val="center"/>
        <w:rPr>
          <w:rFonts w:hint="eastAsia"/>
          <w:b/>
          <w:bCs/>
          <w:sz w:val="21"/>
          <w:szCs w:val="21"/>
          <w:highlight w:val="none"/>
          <w:lang w:val="en-US" w:eastAsia="zh-CN"/>
        </w:rPr>
      </w:pPr>
      <w:r>
        <w:rPr>
          <w:rFonts w:hint="eastAsia"/>
          <w:b/>
          <w:bCs/>
          <w:sz w:val="21"/>
          <w:szCs w:val="21"/>
          <w:highlight w:val="none"/>
          <w:lang w:val="en-US" w:eastAsia="zh-CN"/>
        </w:rPr>
        <w:t>表3.2-1  取土场基本情况表</w:t>
      </w:r>
    </w:p>
    <w:tbl>
      <w:tblPr>
        <w:tblStyle w:val="35"/>
        <w:tblW w:w="5041"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86"/>
        <w:gridCol w:w="1133"/>
        <w:gridCol w:w="1917"/>
        <w:gridCol w:w="875"/>
        <w:gridCol w:w="842"/>
        <w:gridCol w:w="981"/>
        <w:gridCol w:w="2850"/>
      </w:tblGrid>
      <w:tr w14:paraId="3F6159A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369" w:type="pct"/>
            <w:noWrap w:val="0"/>
            <w:tcMar>
              <w:left w:w="28" w:type="dxa"/>
              <w:right w:w="28" w:type="dxa"/>
            </w:tcMar>
            <w:vAlign w:val="center"/>
          </w:tcPr>
          <w:p w14:paraId="148809A0">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b/>
                <w:bCs/>
                <w:sz w:val="21"/>
                <w:szCs w:val="21"/>
                <w:highlight w:val="none"/>
                <w:lang w:val="en-US" w:eastAsia="zh-CN"/>
              </w:rPr>
            </w:pPr>
            <w:r>
              <w:rPr>
                <w:rFonts w:hint="eastAsia"/>
                <w:b/>
                <w:bCs/>
                <w:sz w:val="21"/>
                <w:szCs w:val="21"/>
                <w:highlight w:val="none"/>
                <w:lang w:val="en-US" w:eastAsia="zh-CN"/>
              </w:rPr>
              <w:t>名称</w:t>
            </w:r>
          </w:p>
        </w:tc>
        <w:tc>
          <w:tcPr>
            <w:tcW w:w="610" w:type="pct"/>
            <w:noWrap w:val="0"/>
            <w:vAlign w:val="center"/>
          </w:tcPr>
          <w:p w14:paraId="317DB33D">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b/>
                <w:bCs/>
                <w:sz w:val="21"/>
                <w:szCs w:val="21"/>
                <w:highlight w:val="none"/>
                <w:lang w:val="en-US" w:eastAsia="zh-CN"/>
              </w:rPr>
            </w:pPr>
            <w:r>
              <w:rPr>
                <w:rFonts w:hint="eastAsia"/>
                <w:b/>
                <w:bCs/>
                <w:sz w:val="21"/>
                <w:szCs w:val="21"/>
                <w:highlight w:val="none"/>
                <w:lang w:val="en-US" w:eastAsia="zh-CN"/>
              </w:rPr>
              <w:t>服务区域</w:t>
            </w:r>
          </w:p>
        </w:tc>
        <w:tc>
          <w:tcPr>
            <w:tcW w:w="1032" w:type="pct"/>
            <w:noWrap w:val="0"/>
            <w:vAlign w:val="center"/>
          </w:tcPr>
          <w:p w14:paraId="3EE3DF5F">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b/>
                <w:bCs/>
                <w:sz w:val="21"/>
                <w:szCs w:val="21"/>
                <w:highlight w:val="none"/>
                <w:lang w:val="en-US" w:eastAsia="zh-CN"/>
              </w:rPr>
            </w:pPr>
            <w:r>
              <w:rPr>
                <w:rFonts w:hint="eastAsia"/>
                <w:b/>
                <w:bCs/>
                <w:sz w:val="21"/>
                <w:szCs w:val="21"/>
                <w:highlight w:val="none"/>
                <w:lang w:val="en-US" w:eastAsia="zh-CN"/>
              </w:rPr>
              <w:t>位置</w:t>
            </w:r>
          </w:p>
        </w:tc>
        <w:tc>
          <w:tcPr>
            <w:tcW w:w="471" w:type="pct"/>
            <w:noWrap w:val="0"/>
            <w:vAlign w:val="center"/>
          </w:tcPr>
          <w:p w14:paraId="73C2D227">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b/>
                <w:bCs/>
                <w:sz w:val="21"/>
                <w:szCs w:val="21"/>
                <w:highlight w:val="none"/>
                <w:lang w:val="en-US" w:eastAsia="zh-CN"/>
              </w:rPr>
            </w:pPr>
            <w:r>
              <w:rPr>
                <w:rFonts w:hint="eastAsia"/>
                <w:b/>
                <w:bCs/>
                <w:sz w:val="21"/>
                <w:szCs w:val="21"/>
                <w:highlight w:val="none"/>
                <w:lang w:val="en-US" w:eastAsia="zh-CN"/>
              </w:rPr>
              <w:t>面积</w:t>
            </w:r>
          </w:p>
        </w:tc>
        <w:tc>
          <w:tcPr>
            <w:tcW w:w="453" w:type="pct"/>
            <w:noWrap w:val="0"/>
            <w:vAlign w:val="center"/>
          </w:tcPr>
          <w:p w14:paraId="53496DD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b/>
                <w:bCs/>
                <w:sz w:val="21"/>
                <w:szCs w:val="21"/>
                <w:highlight w:val="none"/>
                <w:lang w:val="en-US" w:eastAsia="zh-CN"/>
              </w:rPr>
            </w:pPr>
            <w:r>
              <w:rPr>
                <w:rFonts w:hint="eastAsia"/>
                <w:b/>
                <w:bCs/>
                <w:sz w:val="21"/>
                <w:szCs w:val="21"/>
                <w:highlight w:val="none"/>
                <w:lang w:val="en-US" w:eastAsia="zh-CN"/>
              </w:rPr>
              <w:t>取土</w:t>
            </w:r>
          </w:p>
          <w:p w14:paraId="3C750B3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b/>
                <w:bCs/>
                <w:sz w:val="21"/>
                <w:szCs w:val="21"/>
                <w:highlight w:val="none"/>
                <w:lang w:val="en-US" w:eastAsia="zh-CN"/>
              </w:rPr>
            </w:pPr>
            <w:r>
              <w:rPr>
                <w:rFonts w:hint="eastAsia"/>
                <w:b/>
                <w:bCs/>
                <w:sz w:val="21"/>
                <w:szCs w:val="21"/>
                <w:highlight w:val="none"/>
                <w:lang w:val="en-US" w:eastAsia="zh-CN"/>
              </w:rPr>
              <w:t>深度</w:t>
            </w:r>
          </w:p>
        </w:tc>
        <w:tc>
          <w:tcPr>
            <w:tcW w:w="528" w:type="pct"/>
            <w:noWrap w:val="0"/>
            <w:vAlign w:val="center"/>
          </w:tcPr>
          <w:p w14:paraId="1D9526F9">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b/>
                <w:bCs/>
                <w:sz w:val="21"/>
                <w:szCs w:val="21"/>
                <w:highlight w:val="none"/>
                <w:lang w:val="en-US" w:eastAsia="zh-CN"/>
              </w:rPr>
            </w:pPr>
            <w:r>
              <w:rPr>
                <w:rFonts w:hint="eastAsia"/>
                <w:b/>
                <w:bCs/>
                <w:sz w:val="21"/>
                <w:szCs w:val="21"/>
                <w:highlight w:val="none"/>
                <w:lang w:val="en-US" w:eastAsia="zh-CN"/>
              </w:rPr>
              <w:t>取土量</w:t>
            </w:r>
          </w:p>
        </w:tc>
        <w:tc>
          <w:tcPr>
            <w:tcW w:w="1534" w:type="pct"/>
            <w:noWrap w:val="0"/>
            <w:vAlign w:val="center"/>
          </w:tcPr>
          <w:p w14:paraId="62583C4F">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b/>
                <w:bCs/>
                <w:sz w:val="21"/>
                <w:szCs w:val="21"/>
                <w:highlight w:val="none"/>
                <w:lang w:val="en-US" w:eastAsia="zh-CN"/>
              </w:rPr>
            </w:pPr>
            <w:r>
              <w:rPr>
                <w:rFonts w:hint="eastAsia"/>
                <w:b/>
                <w:bCs/>
                <w:sz w:val="21"/>
                <w:szCs w:val="21"/>
                <w:highlight w:val="none"/>
                <w:lang w:val="en-US" w:eastAsia="zh-CN"/>
              </w:rPr>
              <w:t>土壤质量</w:t>
            </w:r>
          </w:p>
        </w:tc>
      </w:tr>
      <w:tr w14:paraId="53934D6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369" w:type="pct"/>
            <w:noWrap w:val="0"/>
            <w:tcMar>
              <w:left w:w="28" w:type="dxa"/>
              <w:right w:w="28" w:type="dxa"/>
            </w:tcMar>
            <w:vAlign w:val="center"/>
          </w:tcPr>
          <w:p w14:paraId="361D4FC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取土场</w:t>
            </w:r>
          </w:p>
        </w:tc>
        <w:tc>
          <w:tcPr>
            <w:tcW w:w="610" w:type="pct"/>
            <w:noWrap w:val="0"/>
            <w:vAlign w:val="center"/>
          </w:tcPr>
          <w:p w14:paraId="0E934BB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修复场地和填埋场</w:t>
            </w:r>
          </w:p>
        </w:tc>
        <w:tc>
          <w:tcPr>
            <w:tcW w:w="1032" w:type="pct"/>
            <w:noWrap w:val="0"/>
            <w:vAlign w:val="center"/>
          </w:tcPr>
          <w:p w14:paraId="3B56553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项目东北</w:t>
            </w:r>
            <w:r>
              <w:rPr>
                <w:rFonts w:hint="eastAsia" w:ascii="Times New Roman" w:hAnsi="Times New Roman" w:cs="Times New Roman"/>
                <w:sz w:val="21"/>
                <w:szCs w:val="21"/>
                <w:highlight w:val="none"/>
                <w:lang w:val="en-US" w:eastAsia="zh-CN"/>
              </w:rPr>
              <w:t>侧</w:t>
            </w:r>
            <w:r>
              <w:rPr>
                <w:rFonts w:hint="default" w:ascii="Times New Roman" w:hAnsi="Times New Roman" w:cs="Times New Roman"/>
                <w:sz w:val="21"/>
                <w:szCs w:val="21"/>
                <w:highlight w:val="none"/>
                <w:lang w:val="en-US" w:eastAsia="zh-CN"/>
              </w:rPr>
              <w:t>2.7km（113°34′26.27″</w:t>
            </w:r>
            <w:r>
              <w:rPr>
                <w:rFonts w:hint="eastAsia" w:ascii="Times New Roman" w:hAnsi="Times New Roman" w:cs="Times New Roman"/>
                <w:sz w:val="21"/>
                <w:szCs w:val="21"/>
                <w:highlight w:val="none"/>
                <w:lang w:val="en-US" w:eastAsia="zh-CN"/>
              </w:rPr>
              <w:t>E；</w:t>
            </w:r>
            <w:r>
              <w:rPr>
                <w:rFonts w:hint="default" w:ascii="Times New Roman" w:hAnsi="Times New Roman" w:cs="Times New Roman"/>
                <w:sz w:val="21"/>
                <w:szCs w:val="21"/>
                <w:highlight w:val="none"/>
                <w:lang w:val="en-US" w:eastAsia="zh-CN"/>
              </w:rPr>
              <w:t>28°39′51.37″</w:t>
            </w:r>
            <w:r>
              <w:rPr>
                <w:rFonts w:hint="eastAsia" w:ascii="Times New Roman" w:hAnsi="Times New Roman" w:cs="Times New Roman"/>
                <w:sz w:val="21"/>
                <w:szCs w:val="21"/>
                <w:highlight w:val="none"/>
                <w:lang w:val="en-US" w:eastAsia="zh-CN"/>
              </w:rPr>
              <w:t>N</w:t>
            </w:r>
            <w:r>
              <w:rPr>
                <w:rFonts w:hint="default" w:ascii="Times New Roman" w:hAnsi="Times New Roman" w:cs="Times New Roman"/>
                <w:sz w:val="21"/>
                <w:szCs w:val="21"/>
                <w:highlight w:val="none"/>
                <w:lang w:val="en-US" w:eastAsia="zh-CN"/>
              </w:rPr>
              <w:t>）</w:t>
            </w:r>
          </w:p>
        </w:tc>
        <w:tc>
          <w:tcPr>
            <w:tcW w:w="471" w:type="pct"/>
            <w:noWrap w:val="0"/>
            <w:vAlign w:val="center"/>
          </w:tcPr>
          <w:p w14:paraId="0826851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3668m</w:t>
            </w:r>
            <w:r>
              <w:rPr>
                <w:rFonts w:hint="eastAsia"/>
                <w:sz w:val="21"/>
                <w:szCs w:val="21"/>
                <w:highlight w:val="none"/>
                <w:vertAlign w:val="superscript"/>
                <w:lang w:val="en-US" w:eastAsia="zh-CN"/>
              </w:rPr>
              <w:t>2</w:t>
            </w:r>
          </w:p>
        </w:tc>
        <w:tc>
          <w:tcPr>
            <w:tcW w:w="453" w:type="pct"/>
            <w:noWrap w:val="0"/>
            <w:vAlign w:val="center"/>
          </w:tcPr>
          <w:p w14:paraId="05A9B05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1~4m</w:t>
            </w:r>
          </w:p>
        </w:tc>
        <w:tc>
          <w:tcPr>
            <w:tcW w:w="528" w:type="pct"/>
            <w:noWrap w:val="0"/>
            <w:vAlign w:val="center"/>
          </w:tcPr>
          <w:p w14:paraId="67075E0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13515m</w:t>
            </w:r>
            <w:r>
              <w:rPr>
                <w:rFonts w:hint="eastAsia"/>
                <w:sz w:val="21"/>
                <w:szCs w:val="21"/>
                <w:highlight w:val="none"/>
                <w:vertAlign w:val="superscript"/>
                <w:lang w:val="en-US" w:eastAsia="zh-CN"/>
              </w:rPr>
              <w:t>3</w:t>
            </w:r>
          </w:p>
        </w:tc>
        <w:tc>
          <w:tcPr>
            <w:tcW w:w="1534" w:type="pct"/>
            <w:noWrap w:val="0"/>
            <w:vAlign w:val="center"/>
          </w:tcPr>
          <w:p w14:paraId="20A42A4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《土壤环境质量  农用地土壤污染风险管控标准》（GB15618-2018）表1</w:t>
            </w:r>
          </w:p>
        </w:tc>
      </w:tr>
    </w:tbl>
    <w:p w14:paraId="7E49B07D">
      <w:pPr>
        <w:bidi w:val="0"/>
        <w:rPr>
          <w:rFonts w:hint="eastAsia"/>
          <w:highlight w:val="none"/>
          <w:lang w:val="en-US" w:eastAsia="zh-CN"/>
        </w:rPr>
      </w:pPr>
      <w:r>
        <w:rPr>
          <w:rFonts w:hint="eastAsia"/>
          <w:highlight w:val="none"/>
          <w:lang w:val="en-US" w:eastAsia="zh-CN"/>
        </w:rPr>
        <w:t>（2）生态修复工程实施方案</w:t>
      </w:r>
    </w:p>
    <w:p w14:paraId="758DFD4D">
      <w:pPr>
        <w:bidi w:val="0"/>
        <w:rPr>
          <w:rFonts w:hint="eastAsia"/>
          <w:highlight w:val="none"/>
          <w:lang w:val="en-US" w:eastAsia="zh-CN"/>
        </w:rPr>
      </w:pPr>
      <w:r>
        <w:rPr>
          <w:rFonts w:hint="eastAsia"/>
          <w:highlight w:val="none"/>
          <w:lang w:val="en-US" w:eastAsia="zh-CN"/>
        </w:rPr>
        <w:t>为保护土壤形成稳定的生态体系，对覆土后的取土场、废渣堆积区及废渣填埋场进行植被绿化，植被采用当地植被，适应性强，存活率高，与当地环境相适应。</w:t>
      </w:r>
    </w:p>
    <w:p w14:paraId="76DA06CA">
      <w:pPr>
        <w:bidi w:val="0"/>
        <w:rPr>
          <w:rFonts w:hint="eastAsia"/>
          <w:highlight w:val="none"/>
          <w:lang w:val="en-US" w:eastAsia="zh-CN"/>
        </w:rPr>
      </w:pPr>
      <w:r>
        <w:rPr>
          <w:rFonts w:hint="eastAsia"/>
          <w:highlight w:val="none"/>
          <w:lang w:val="en-US" w:eastAsia="zh-CN"/>
        </w:rPr>
        <w:t>对覆土封场后的废渣填埋场进行植被恢复。根据《水土保持综合治理技术规范》，平整后应采取适当措施恢复植被，进行生态保护。黏土层上覆盖50cm厚的回填植被土层，为防止雨水冲刷。绿化时应选择种植根系较浅，对水分要求中等、耐沙，且对重金属有较好的吸收、固化、吸附、抗性作用的植被。</w:t>
      </w:r>
    </w:p>
    <w:p w14:paraId="3336A408">
      <w:pPr>
        <w:bidi w:val="0"/>
        <w:rPr>
          <w:rFonts w:hint="eastAsia"/>
          <w:highlight w:val="none"/>
          <w:lang w:val="en-US" w:eastAsia="zh-CN"/>
        </w:rPr>
      </w:pPr>
      <w:r>
        <w:rPr>
          <w:rFonts w:hint="eastAsia"/>
          <w:highlight w:val="none"/>
          <w:lang w:val="en-US" w:eastAsia="zh-CN"/>
        </w:rPr>
        <w:t>根据填埋场的自然环境、气候和土壤条件，植被筛选应着眼于植被品种的近期表现，兼顾其长期优势。选择适宜生长且具有本地优势的植物，使堆场封场后能形成良好的生态环境，与周边原有自然环境相协调。</w:t>
      </w:r>
    </w:p>
    <w:p w14:paraId="6DCC2E37">
      <w:pPr>
        <w:bidi w:val="0"/>
        <w:rPr>
          <w:rFonts w:hint="eastAsia"/>
          <w:highlight w:val="none"/>
          <w:lang w:val="en-US" w:eastAsia="zh-CN"/>
        </w:rPr>
      </w:pPr>
      <w:r>
        <w:rPr>
          <w:rFonts w:hint="eastAsia"/>
          <w:highlight w:val="none"/>
          <w:lang w:val="en-US" w:eastAsia="zh-CN"/>
        </w:rPr>
        <w:t>1）植物的选择</w:t>
      </w:r>
    </w:p>
    <w:p w14:paraId="240A40CE">
      <w:pPr>
        <w:bidi w:val="0"/>
        <w:rPr>
          <w:rFonts w:hint="eastAsia"/>
          <w:highlight w:val="none"/>
          <w:lang w:val="en-US" w:eastAsia="zh-CN"/>
        </w:rPr>
      </w:pPr>
      <w:r>
        <w:rPr>
          <w:rFonts w:hint="eastAsia"/>
          <w:highlight w:val="none"/>
          <w:lang w:val="en-US" w:eastAsia="zh-CN"/>
        </w:rPr>
        <w:t>根据所处区域的自然环境特点，结合植被的生物学特性和生态学特征，首选抗逆性强、耐瘠薄、抗干旱，生物量大、生长迅速、对土壤要求不高的优良乡土植被。其次考虑选择病虫害少、吸收有害气体能力强、滞滤粉尘、净化空气、吸收有毒气体的抗污染植被。考虑到植物的栽种要与周边整体环境相容、恢复地土地用途，本项目废渣治理区与取土场拟采用种植玉竹灌丛、五节芒灌草丛恢复为林地，填埋场拟种植根系较浅植被，拟采用种植毛竹林、樟木林、狗牙根灌草丛等，主要植物种类有毛竹、棕榈、石楠、雾水葛、狗牙根、爵床、狗尾巴草、鸡眼草等恢复为林地，种植前后株距为2m，胸径5cm、株高2~3m。填埋场内及周边近距离禁止种植根系发达的高大乔木。</w:t>
      </w:r>
    </w:p>
    <w:p w14:paraId="7544BEFA">
      <w:pPr>
        <w:bidi w:val="0"/>
        <w:rPr>
          <w:rFonts w:hint="eastAsia"/>
          <w:highlight w:val="none"/>
          <w:lang w:val="en-US" w:eastAsia="zh-CN"/>
        </w:rPr>
      </w:pPr>
      <w:r>
        <w:rPr>
          <w:rFonts w:hint="eastAsia"/>
          <w:highlight w:val="none"/>
          <w:lang w:val="en-US" w:eastAsia="zh-CN"/>
        </w:rPr>
        <w:t>2）技术措施</w:t>
      </w:r>
    </w:p>
    <w:p w14:paraId="339CB5C4">
      <w:pPr>
        <w:bidi w:val="0"/>
        <w:rPr>
          <w:rFonts w:hint="eastAsia"/>
          <w:highlight w:val="none"/>
          <w:lang w:val="en-US" w:eastAsia="zh-CN"/>
        </w:rPr>
      </w:pPr>
      <w:r>
        <w:rPr>
          <w:rFonts w:hint="eastAsia"/>
          <w:highlight w:val="none"/>
          <w:lang w:val="en-US" w:eastAsia="zh-CN"/>
        </w:rPr>
        <w:t>根据实际地形以及景观效益，对绿化区域进行全面绿化还绿。贫瘠土壤应施基肥，优先使用农家肥，在农家肥不能满足要求的情况下，考虑使用由10%的有机肥、20%的化肥、70%的表土均匀拌和而成的混合肥料。</w:t>
      </w:r>
    </w:p>
    <w:p w14:paraId="43C1C83F">
      <w:pPr>
        <w:bidi w:val="0"/>
        <w:rPr>
          <w:rFonts w:hint="eastAsia"/>
          <w:highlight w:val="none"/>
          <w:lang w:val="en-US" w:eastAsia="zh-CN"/>
        </w:rPr>
      </w:pPr>
      <w:r>
        <w:rPr>
          <w:rFonts w:hint="eastAsia"/>
          <w:highlight w:val="none"/>
          <w:lang w:val="en-US" w:eastAsia="zh-CN"/>
        </w:rPr>
        <w:t>3）管理措施</w:t>
      </w:r>
    </w:p>
    <w:p w14:paraId="06536D59">
      <w:pPr>
        <w:bidi w:val="0"/>
        <w:rPr>
          <w:rFonts w:hint="eastAsia"/>
          <w:highlight w:val="none"/>
          <w:lang w:val="en-US" w:eastAsia="zh-CN"/>
        </w:rPr>
      </w:pPr>
      <w:r>
        <w:rPr>
          <w:rFonts w:hint="eastAsia"/>
          <w:highlight w:val="none"/>
          <w:lang w:val="en-US" w:eastAsia="zh-CN"/>
        </w:rPr>
        <w:t>由于造林的立地条件恶劣，其栽植后的成活保养和保存保养的任务是相当大的，因此一定要做好绿化管护工作。</w:t>
      </w:r>
    </w:p>
    <w:p w14:paraId="5851299A">
      <w:pPr>
        <w:bidi w:val="0"/>
        <w:rPr>
          <w:rFonts w:hint="eastAsia"/>
          <w:highlight w:val="none"/>
          <w:lang w:val="en-US" w:eastAsia="zh-CN"/>
        </w:rPr>
      </w:pPr>
      <w:r>
        <w:rPr>
          <w:rFonts w:hint="eastAsia"/>
          <w:highlight w:val="none"/>
          <w:lang w:val="en-US" w:eastAsia="zh-CN"/>
        </w:rPr>
        <w:t>每年在植物病虫害易发季节要勤观察，坚持“预防为主”的方针。要尽量不载或少栽易发生虫害植物，同时要定期用一定浓度的农药喷洒，预防可能发生的病虫害，但必须坚持“安全第一”的原则，一旦发生病虫害，要及时防治，并观察其发展情况，绝不能任其蔓延。</w:t>
      </w:r>
    </w:p>
    <w:p w14:paraId="41447946">
      <w:pPr>
        <w:bidi w:val="0"/>
        <w:rPr>
          <w:rFonts w:hint="default"/>
          <w:b/>
          <w:bCs/>
          <w:highlight w:val="none"/>
          <w:lang w:val="en-US" w:eastAsia="zh-CN"/>
        </w:rPr>
      </w:pPr>
      <w:r>
        <w:rPr>
          <w:rFonts w:hint="eastAsia"/>
          <w:b/>
          <w:bCs/>
          <w:highlight w:val="none"/>
          <w:lang w:val="en-US" w:eastAsia="zh-CN"/>
        </w:rPr>
        <w:t>9、观测系统</w:t>
      </w:r>
    </w:p>
    <w:p w14:paraId="56702F30">
      <w:pPr>
        <w:bidi w:val="0"/>
        <w:rPr>
          <w:rFonts w:hint="default"/>
          <w:highlight w:val="none"/>
          <w:lang w:val="en-US" w:eastAsia="zh-CN"/>
        </w:rPr>
      </w:pPr>
      <w:r>
        <w:rPr>
          <w:rFonts w:hint="eastAsia"/>
          <w:highlight w:val="none"/>
          <w:lang w:val="en-US" w:eastAsia="zh-CN"/>
        </w:rPr>
        <w:t>（1）水质观测设施</w:t>
      </w:r>
    </w:p>
    <w:p w14:paraId="2EC91EB2">
      <w:pPr>
        <w:bidi w:val="0"/>
        <w:rPr>
          <w:rFonts w:hint="eastAsia"/>
          <w:highlight w:val="none"/>
          <w:lang w:val="en-US" w:eastAsia="zh-CN"/>
        </w:rPr>
      </w:pPr>
      <w:r>
        <w:rPr>
          <w:rFonts w:hint="eastAsia"/>
          <w:highlight w:val="none"/>
          <w:lang w:val="en-US" w:eastAsia="zh-CN"/>
        </w:rPr>
        <w:t>根据《平江县三阳乡南尧村片区（垂拱组、仙人组）历史遗留重金属废渣整治项目工程详细勘察报告》，项目填埋场所在区域地下水流向大体为从西南往东北流向。根据《一般工业固体废物贮存和填埋污染控制标准》（GB18599-2020）等相关要求，结合项目废渣安全填埋场区域地下水流向、工程与环境特点，确定废渣安全填埋场监测井布置方案，现场封场后，监控系统应继续维持正常运转，直到稳定，检测井布置情况如下：</w:t>
      </w:r>
    </w:p>
    <w:p w14:paraId="6999931B">
      <w:pPr>
        <w:bidi w:val="0"/>
        <w:rPr>
          <w:rFonts w:hint="eastAsia"/>
          <w:highlight w:val="none"/>
          <w:lang w:val="en-US" w:eastAsia="zh-CN"/>
        </w:rPr>
      </w:pPr>
      <w:r>
        <w:rPr>
          <w:rFonts w:hint="eastAsia"/>
          <w:highlight w:val="none"/>
          <w:lang w:val="en-US" w:eastAsia="zh-CN"/>
        </w:rPr>
        <w:t>1）监测布点：</w:t>
      </w:r>
    </w:p>
    <w:p w14:paraId="65936F8E">
      <w:pPr>
        <w:bidi w:val="0"/>
        <w:rPr>
          <w:rFonts w:hint="eastAsia"/>
          <w:highlight w:val="none"/>
          <w:lang w:val="en-US" w:eastAsia="zh-CN"/>
        </w:rPr>
      </w:pPr>
      <w:r>
        <w:rPr>
          <w:rFonts w:hint="eastAsia"/>
          <w:highlight w:val="none"/>
          <w:lang w:val="en-US" w:eastAsia="zh-CN"/>
        </w:rPr>
        <w:t>本底井1口：设在废渣填埋场边界的西南面30~50m处，用于提供未受场地影响的地下水水质数据作为对照。</w:t>
      </w:r>
    </w:p>
    <w:p w14:paraId="04620D76">
      <w:pPr>
        <w:bidi w:val="0"/>
        <w:rPr>
          <w:rFonts w:hint="eastAsia"/>
          <w:highlight w:val="none"/>
          <w:lang w:val="en-US" w:eastAsia="zh-CN"/>
        </w:rPr>
      </w:pPr>
      <w:r>
        <w:rPr>
          <w:rFonts w:hint="eastAsia"/>
          <w:highlight w:val="none"/>
          <w:lang w:val="en-US" w:eastAsia="zh-CN"/>
        </w:rPr>
        <w:t>污染扩散井2口：设在废渣填埋场边界两侧30~50m，用于提供直接受场地影响的地下水水质数据。</w:t>
      </w:r>
    </w:p>
    <w:p w14:paraId="42E746BA">
      <w:pPr>
        <w:bidi w:val="0"/>
        <w:rPr>
          <w:rFonts w:hint="eastAsia"/>
          <w:highlight w:val="none"/>
          <w:lang w:val="en-US" w:eastAsia="zh-CN"/>
        </w:rPr>
      </w:pPr>
      <w:r>
        <w:rPr>
          <w:rFonts w:hint="eastAsia"/>
          <w:highlight w:val="none"/>
          <w:lang w:val="en-US" w:eastAsia="zh-CN"/>
        </w:rPr>
        <w:t>污染监测井1口：设在废渣填埋场边界的东北面30~50m处，用于提供场地受影响的地下水水质数据结果证明。</w:t>
      </w:r>
    </w:p>
    <w:p w14:paraId="4C05DAD8">
      <w:pPr>
        <w:bidi w:val="0"/>
        <w:rPr>
          <w:rFonts w:hint="eastAsia"/>
          <w:highlight w:val="none"/>
          <w:lang w:val="en-US" w:eastAsia="zh-CN"/>
        </w:rPr>
      </w:pPr>
      <w:r>
        <w:rPr>
          <w:rFonts w:hint="eastAsia"/>
          <w:highlight w:val="none"/>
          <w:lang w:val="en-US" w:eastAsia="zh-CN"/>
        </w:rPr>
        <w:t>2）监测井构造说明：</w:t>
      </w:r>
    </w:p>
    <w:p w14:paraId="545F7F80">
      <w:pPr>
        <w:bidi w:val="0"/>
        <w:rPr>
          <w:rFonts w:hint="default"/>
          <w:highlight w:val="none"/>
          <w:lang w:val="en-US" w:eastAsia="zh-CN"/>
        </w:rPr>
      </w:pPr>
      <w:r>
        <w:rPr>
          <w:rFonts w:hint="eastAsia"/>
          <w:highlight w:val="none"/>
          <w:lang w:val="en-US" w:eastAsia="zh-CN"/>
        </w:rPr>
        <w:t>根据现场实际情况，地下水监测井一般设4眼，包括本底井1眼，污染监测井1眼，污染扩散井2眼；监测井位置应根据现场实际情况确定；监测井使用的HDPE管可以由不锈钢管代替，但不锈钢管需做加强防腐处理；监测井深度由现场抽水试验确定，确定监测井能取地下水。</w:t>
      </w:r>
    </w:p>
    <w:p w14:paraId="286D782B">
      <w:pPr>
        <w:bidi w:val="0"/>
        <w:ind w:left="0" w:leftChars="0" w:firstLine="0" w:firstLineChars="0"/>
        <w:rPr>
          <w:rFonts w:hint="eastAsia"/>
          <w:highlight w:val="yellow"/>
          <w:lang w:val="en-US" w:eastAsia="zh-CN"/>
        </w:rPr>
      </w:pPr>
      <w:r>
        <w:drawing>
          <wp:inline distT="0" distB="0" distL="114300" distR="114300">
            <wp:extent cx="3743960" cy="3743960"/>
            <wp:effectExtent l="0" t="0" r="8890" b="8890"/>
            <wp:docPr id="35" name="图片 27"/>
            <wp:cNvGraphicFramePr/>
            <a:graphic xmlns:a="http://schemas.openxmlformats.org/drawingml/2006/main">
              <a:graphicData uri="http://schemas.openxmlformats.org/drawingml/2006/picture">
                <pic:pic xmlns:pic="http://schemas.openxmlformats.org/drawingml/2006/picture">
                  <pic:nvPicPr>
                    <pic:cNvPr id="35" name="图片 27"/>
                    <pic:cNvPicPr/>
                  </pic:nvPicPr>
                  <pic:blipFill>
                    <a:blip r:embed="rId40"/>
                    <a:stretch>
                      <a:fillRect/>
                    </a:stretch>
                  </pic:blipFill>
                  <pic:spPr>
                    <a:xfrm>
                      <a:off x="0" y="0"/>
                      <a:ext cx="3743960" cy="3743960"/>
                    </a:xfrm>
                    <a:prstGeom prst="rect">
                      <a:avLst/>
                    </a:prstGeom>
                    <a:noFill/>
                    <a:ln>
                      <a:noFill/>
                    </a:ln>
                  </pic:spPr>
                </pic:pic>
              </a:graphicData>
            </a:graphic>
          </wp:inline>
        </w:drawing>
      </w:r>
      <w:r>
        <w:drawing>
          <wp:inline distT="0" distB="0" distL="114300" distR="114300">
            <wp:extent cx="1943735" cy="3743960"/>
            <wp:effectExtent l="0" t="0" r="18415" b="8890"/>
            <wp:docPr id="38" name="图片 28"/>
            <wp:cNvGraphicFramePr/>
            <a:graphic xmlns:a="http://schemas.openxmlformats.org/drawingml/2006/main">
              <a:graphicData uri="http://schemas.openxmlformats.org/drawingml/2006/picture">
                <pic:pic xmlns:pic="http://schemas.openxmlformats.org/drawingml/2006/picture">
                  <pic:nvPicPr>
                    <pic:cNvPr id="38" name="图片 28"/>
                    <pic:cNvPicPr/>
                  </pic:nvPicPr>
                  <pic:blipFill>
                    <a:blip r:embed="rId41"/>
                    <a:stretch>
                      <a:fillRect/>
                    </a:stretch>
                  </pic:blipFill>
                  <pic:spPr>
                    <a:xfrm>
                      <a:off x="0" y="0"/>
                      <a:ext cx="1943735" cy="3743960"/>
                    </a:xfrm>
                    <a:prstGeom prst="rect">
                      <a:avLst/>
                    </a:prstGeom>
                    <a:noFill/>
                    <a:ln>
                      <a:noFill/>
                    </a:ln>
                  </pic:spPr>
                </pic:pic>
              </a:graphicData>
            </a:graphic>
          </wp:inline>
        </w:drawing>
      </w:r>
    </w:p>
    <w:p w14:paraId="7F7B407F">
      <w:pPr>
        <w:bidi w:val="0"/>
        <w:ind w:left="0" w:leftChars="0" w:firstLine="0" w:firstLineChars="0"/>
        <w:jc w:val="center"/>
        <w:rPr>
          <w:rFonts w:hint="eastAsia"/>
          <w:b/>
          <w:bCs/>
          <w:sz w:val="21"/>
          <w:szCs w:val="21"/>
          <w:highlight w:val="none"/>
          <w:lang w:val="en-US" w:eastAsia="zh-CN"/>
        </w:rPr>
      </w:pPr>
      <w:r>
        <w:rPr>
          <w:rFonts w:hint="eastAsia"/>
          <w:b/>
          <w:bCs/>
          <w:sz w:val="21"/>
          <w:szCs w:val="21"/>
          <w:highlight w:val="none"/>
          <w:lang w:val="en-US" w:eastAsia="zh-CN"/>
        </w:rPr>
        <w:t>图3.2-9  地下水监测井平面布置及监测井结构图</w:t>
      </w:r>
    </w:p>
    <w:p w14:paraId="21AA448F">
      <w:pPr>
        <w:bidi w:val="0"/>
        <w:rPr>
          <w:rFonts w:hint="eastAsia"/>
          <w:lang w:val="en-US" w:eastAsia="zh-CN"/>
        </w:rPr>
      </w:pPr>
      <w:r>
        <w:rPr>
          <w:rFonts w:hint="eastAsia"/>
          <w:lang w:val="en-US" w:eastAsia="zh-CN"/>
        </w:rPr>
        <w:t>（2）位移观测</w:t>
      </w:r>
    </w:p>
    <w:p w14:paraId="0A31AE43">
      <w:pPr>
        <w:bidi w:val="0"/>
        <w:rPr>
          <w:rFonts w:hint="eastAsia"/>
          <w:lang w:val="en-US" w:eastAsia="zh-CN"/>
        </w:rPr>
      </w:pPr>
      <w:r>
        <w:rPr>
          <w:rFonts w:hint="eastAsia"/>
          <w:lang w:val="en-US" w:eastAsia="zh-CN"/>
        </w:rPr>
        <w:t>在1#拦挡坝和2#拦挡坝坝顶各设置三个位移观测点，在1#拦挡坝和2#拦挡坝右岸山体各设置一个位移观测基准点。观测点采用混凝土墩做成，并在混凝土墩中插入测量用铁钉作为观测点。</w:t>
      </w:r>
    </w:p>
    <w:p w14:paraId="0CCDF415">
      <w:pPr>
        <w:bidi w:val="0"/>
        <w:ind w:left="0" w:leftChars="0" w:firstLine="0" w:firstLineChars="0"/>
        <w:jc w:val="center"/>
        <w:rPr>
          <w:rFonts w:hint="eastAsia"/>
          <w:b/>
          <w:bCs/>
          <w:sz w:val="21"/>
          <w:szCs w:val="21"/>
          <w:lang w:val="en-US" w:eastAsia="zh-CN"/>
        </w:rPr>
      </w:pPr>
      <w:r>
        <w:drawing>
          <wp:inline distT="0" distB="0" distL="114300" distR="114300">
            <wp:extent cx="3265805" cy="2628265"/>
            <wp:effectExtent l="0" t="0" r="10795" b="635"/>
            <wp:docPr id="50"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31"/>
                    <pic:cNvPicPr>
                      <a:picLocks noChangeAspect="1"/>
                    </pic:cNvPicPr>
                  </pic:nvPicPr>
                  <pic:blipFill>
                    <a:blip r:embed="rId42"/>
                    <a:stretch>
                      <a:fillRect/>
                    </a:stretch>
                  </pic:blipFill>
                  <pic:spPr>
                    <a:xfrm>
                      <a:off x="0" y="0"/>
                      <a:ext cx="3265805" cy="2628265"/>
                    </a:xfrm>
                    <a:prstGeom prst="rect">
                      <a:avLst/>
                    </a:prstGeom>
                    <a:noFill/>
                    <a:ln>
                      <a:noFill/>
                    </a:ln>
                  </pic:spPr>
                </pic:pic>
              </a:graphicData>
            </a:graphic>
          </wp:inline>
        </w:drawing>
      </w:r>
    </w:p>
    <w:p w14:paraId="3646C2AE">
      <w:pPr>
        <w:bidi w:val="0"/>
        <w:ind w:left="0" w:leftChars="0" w:firstLine="0" w:firstLineChars="0"/>
        <w:jc w:val="center"/>
        <w:rPr>
          <w:rFonts w:hint="default"/>
          <w:b/>
          <w:bCs/>
          <w:sz w:val="21"/>
          <w:szCs w:val="21"/>
          <w:lang w:val="en-US" w:eastAsia="zh-CN"/>
        </w:rPr>
      </w:pPr>
      <w:r>
        <w:rPr>
          <w:rFonts w:hint="eastAsia"/>
          <w:b/>
          <w:bCs/>
          <w:sz w:val="21"/>
          <w:szCs w:val="21"/>
          <w:lang w:val="en-US" w:eastAsia="zh-CN"/>
        </w:rPr>
        <w:t>图3.2-10  位移沉降基准点构造图</w:t>
      </w:r>
    </w:p>
    <w:p w14:paraId="744C99F2">
      <w:pPr>
        <w:pStyle w:val="9"/>
        <w:numPr>
          <w:ilvl w:val="2"/>
          <w:numId w:val="1"/>
        </w:numPr>
        <w:bidi w:val="0"/>
        <w:ind w:left="709" w:leftChars="0" w:hanging="709" w:firstLineChars="0"/>
        <w:rPr>
          <w:rFonts w:hint="default"/>
          <w:highlight w:val="none"/>
          <w:lang w:val="en-US" w:eastAsia="zh-CN"/>
        </w:rPr>
      </w:pPr>
      <w:r>
        <w:rPr>
          <w:rFonts w:hint="eastAsia"/>
          <w:highlight w:val="none"/>
          <w:lang w:val="en-US" w:eastAsia="zh-CN"/>
        </w:rPr>
        <w:t>工艺流程及产污环节图</w:t>
      </w:r>
    </w:p>
    <w:p w14:paraId="33FCF6E1">
      <w:pPr>
        <w:pStyle w:val="10"/>
        <w:numPr>
          <w:ilvl w:val="3"/>
          <w:numId w:val="1"/>
        </w:numPr>
        <w:bidi w:val="0"/>
        <w:ind w:left="850" w:leftChars="0" w:hanging="850" w:firstLineChars="0"/>
        <w:rPr>
          <w:rFonts w:hint="eastAsia"/>
          <w:lang w:val="en-US" w:eastAsia="zh-CN"/>
        </w:rPr>
      </w:pPr>
      <w:r>
        <w:rPr>
          <w:rFonts w:hint="eastAsia"/>
          <w:lang w:val="en-US" w:eastAsia="zh-CN"/>
        </w:rPr>
        <w:t>施工期工艺流程以及产污环节图</w:t>
      </w:r>
    </w:p>
    <w:p w14:paraId="0DC2E0C8">
      <w:pPr>
        <w:rPr>
          <w:rFonts w:hint="eastAsia"/>
          <w:highlight w:val="none"/>
          <w:lang w:val="en-US" w:eastAsia="zh-CN"/>
        </w:rPr>
      </w:pPr>
      <w:r>
        <w:rPr>
          <w:rFonts w:hint="eastAsia"/>
          <w:highlight w:val="none"/>
          <w:lang w:val="en-US" w:eastAsia="zh-CN"/>
        </w:rPr>
        <w:t>施工期工艺流程及产污环节见图3.2-11。</w:t>
      </w:r>
    </w:p>
    <w:p w14:paraId="02CDBF4B">
      <w:pPr>
        <w:ind w:left="0" w:leftChars="0" w:firstLine="0" w:firstLineChars="0"/>
        <w:rPr>
          <w:rFonts w:hint="eastAsia"/>
          <w:highlight w:val="none"/>
          <w:lang w:val="en-US" w:eastAsia="zh-CN"/>
        </w:rPr>
      </w:pPr>
      <w:r>
        <w:rPr>
          <w:rFonts w:hint="eastAsia"/>
          <w:highlight w:val="none"/>
          <w:lang w:val="en-US" w:eastAsia="zh-CN"/>
        </w:rPr>
        <w:object>
          <v:shape id="_x0000_i1031" o:spt="75" type="#_x0000_t75" style="height:202.6pt;width:453.3pt;" o:ole="t" filled="f" o:preferrelative="t" stroked="f" coordsize="21600,21600">
            <v:path/>
            <v:fill on="f" focussize="0,0"/>
            <v:stroke on="f"/>
            <v:imagedata r:id="rId44" o:title=""/>
            <o:lock v:ext="edit" aspectratio="f"/>
            <w10:wrap type="none"/>
            <w10:anchorlock/>
          </v:shape>
          <o:OLEObject Type="Embed" ProgID="Visio.Drawing.11" ShapeID="_x0000_i1031" DrawAspect="Content" ObjectID="_1468075727" r:id="rId43">
            <o:LockedField>false</o:LockedField>
          </o:OLEObject>
        </w:object>
      </w:r>
    </w:p>
    <w:p w14:paraId="29360D79">
      <w:pPr>
        <w:ind w:left="0" w:leftChars="0" w:firstLine="0" w:firstLineChars="0"/>
        <w:jc w:val="center"/>
        <w:rPr>
          <w:rFonts w:hint="default"/>
          <w:b/>
          <w:bCs/>
          <w:sz w:val="21"/>
          <w:szCs w:val="21"/>
          <w:highlight w:val="none"/>
          <w:lang w:val="en-US" w:eastAsia="zh-CN"/>
        </w:rPr>
      </w:pPr>
      <w:r>
        <w:rPr>
          <w:rFonts w:hint="eastAsia"/>
          <w:b/>
          <w:bCs/>
          <w:sz w:val="21"/>
          <w:szCs w:val="21"/>
          <w:highlight w:val="none"/>
          <w:lang w:val="en-US" w:eastAsia="zh-CN"/>
        </w:rPr>
        <w:t>图3.2-11  施工期工艺流程及产污环节图</w:t>
      </w:r>
    </w:p>
    <w:p w14:paraId="68FFE5C9">
      <w:pPr>
        <w:pStyle w:val="10"/>
        <w:numPr>
          <w:ilvl w:val="3"/>
          <w:numId w:val="1"/>
        </w:numPr>
        <w:bidi w:val="0"/>
        <w:ind w:left="850" w:leftChars="0" w:hanging="850" w:firstLineChars="0"/>
        <w:rPr>
          <w:rFonts w:hint="eastAsia"/>
          <w:lang w:val="en-US" w:eastAsia="zh-CN"/>
        </w:rPr>
      </w:pPr>
      <w:r>
        <w:rPr>
          <w:rFonts w:hint="eastAsia"/>
          <w:lang w:val="en-US" w:eastAsia="zh-CN"/>
        </w:rPr>
        <w:t>封场后工艺流程以及产污环节图</w:t>
      </w:r>
    </w:p>
    <w:p w14:paraId="1A570D56">
      <w:pPr>
        <w:rPr>
          <w:rFonts w:hint="eastAsia"/>
          <w:highlight w:val="none"/>
          <w:lang w:val="en-US" w:eastAsia="zh-CN"/>
        </w:rPr>
      </w:pPr>
      <w:r>
        <w:rPr>
          <w:rFonts w:hint="eastAsia"/>
          <w:highlight w:val="none"/>
          <w:lang w:val="en-US" w:eastAsia="zh-CN"/>
        </w:rPr>
        <w:t>项目施工过程完成封场，营运期即为封场期，无废气、噪声污染源，后续需继续植被维护以及渗滤液收集、处理，封场期的工艺流程及产污环节见图3.2-12。</w:t>
      </w:r>
    </w:p>
    <w:p w14:paraId="5F06AEEB">
      <w:pPr>
        <w:ind w:left="0" w:leftChars="0" w:firstLine="0" w:firstLineChars="0"/>
        <w:rPr>
          <w:rFonts w:hint="eastAsia"/>
          <w:highlight w:val="none"/>
          <w:lang w:val="en-US" w:eastAsia="zh-CN"/>
        </w:rPr>
      </w:pPr>
      <w:r>
        <w:rPr>
          <w:rFonts w:hint="eastAsia"/>
          <w:highlight w:val="none"/>
          <w:lang w:val="en-US" w:eastAsia="zh-CN"/>
        </w:rPr>
        <w:object>
          <v:shape id="_x0000_i1032" o:spt="75" type="#_x0000_t75" style="height:79.35pt;width:453.3pt;" o:ole="t" filled="f" o:preferrelative="t" stroked="f" coordsize="21600,21600">
            <v:path/>
            <v:fill on="f" focussize="0,0"/>
            <v:stroke on="f"/>
            <v:imagedata r:id="rId46" o:title=""/>
            <o:lock v:ext="edit" aspectratio="f"/>
            <w10:wrap type="none"/>
            <w10:anchorlock/>
          </v:shape>
          <o:OLEObject Type="Embed" ProgID="Visio.Drawing.11" ShapeID="_x0000_i1032" DrawAspect="Content" ObjectID="_1468075728" r:id="rId45">
            <o:LockedField>false</o:LockedField>
          </o:OLEObject>
        </w:object>
      </w:r>
    </w:p>
    <w:p w14:paraId="2DFD7D9D">
      <w:pPr>
        <w:ind w:left="0" w:leftChars="0" w:firstLine="0" w:firstLineChars="0"/>
        <w:jc w:val="center"/>
        <w:rPr>
          <w:rFonts w:hint="eastAsia"/>
          <w:highlight w:val="yellow"/>
          <w:lang w:val="en-US" w:eastAsia="zh-CN"/>
        </w:rPr>
      </w:pPr>
      <w:r>
        <w:rPr>
          <w:rFonts w:hint="eastAsia"/>
          <w:b/>
          <w:bCs/>
          <w:sz w:val="21"/>
          <w:szCs w:val="21"/>
          <w:highlight w:val="none"/>
          <w:lang w:val="en-US" w:eastAsia="zh-CN"/>
        </w:rPr>
        <w:t>图3.2-12  封场后工艺流程及产污环节图</w:t>
      </w:r>
    </w:p>
    <w:p w14:paraId="72AF2A8D">
      <w:pPr>
        <w:pStyle w:val="9"/>
        <w:numPr>
          <w:ilvl w:val="2"/>
          <w:numId w:val="1"/>
        </w:numPr>
        <w:bidi w:val="0"/>
        <w:ind w:left="709" w:leftChars="0" w:hanging="709" w:firstLineChars="0"/>
        <w:rPr>
          <w:rFonts w:hint="default"/>
          <w:highlight w:val="none"/>
          <w:lang w:val="en-US" w:eastAsia="zh-CN"/>
        </w:rPr>
      </w:pPr>
      <w:r>
        <w:rPr>
          <w:rFonts w:hint="eastAsia"/>
          <w:highlight w:val="none"/>
          <w:lang w:val="en-US" w:eastAsia="zh-CN"/>
        </w:rPr>
        <w:t>施工期污染源分析</w:t>
      </w:r>
    </w:p>
    <w:p w14:paraId="6E27D59D">
      <w:pPr>
        <w:bidi w:val="0"/>
        <w:rPr>
          <w:rFonts w:hint="eastAsia"/>
          <w:highlight w:val="none"/>
          <w:lang w:val="en-US" w:eastAsia="zh-CN"/>
        </w:rPr>
      </w:pPr>
      <w:r>
        <w:rPr>
          <w:rFonts w:hint="eastAsia"/>
          <w:highlight w:val="none"/>
          <w:lang w:val="en-US" w:eastAsia="zh-CN"/>
        </w:rPr>
        <w:t>项目属于环境综合治理工程，施工期主要为填埋场建设、施工场地截排水沟建设、废渣开挖运至填埋区填埋等，施工期会产生扬尘、噪声、废水、固废等污染，对生态环境也有一定的影响。</w:t>
      </w:r>
    </w:p>
    <w:p w14:paraId="0349AA50">
      <w:pPr>
        <w:pStyle w:val="10"/>
        <w:numPr>
          <w:ilvl w:val="3"/>
          <w:numId w:val="1"/>
        </w:numPr>
        <w:bidi w:val="0"/>
        <w:ind w:left="850" w:leftChars="0" w:hanging="850" w:firstLineChars="0"/>
        <w:rPr>
          <w:rFonts w:hint="default"/>
          <w:lang w:val="en-US" w:eastAsia="zh-CN"/>
        </w:rPr>
      </w:pPr>
      <w:r>
        <w:rPr>
          <w:rFonts w:hint="eastAsia"/>
          <w:lang w:val="en-US" w:eastAsia="zh-CN"/>
        </w:rPr>
        <w:t>废气</w:t>
      </w:r>
    </w:p>
    <w:p w14:paraId="5C47A831">
      <w:pPr>
        <w:bidi w:val="0"/>
        <w:rPr>
          <w:rFonts w:hint="eastAsia"/>
          <w:highlight w:val="none"/>
          <w:lang w:val="en-US" w:eastAsia="zh-CN"/>
        </w:rPr>
      </w:pPr>
      <w:r>
        <w:rPr>
          <w:rFonts w:hint="eastAsia"/>
          <w:highlight w:val="none"/>
          <w:lang w:val="en-US" w:eastAsia="zh-CN"/>
        </w:rPr>
        <w:t>项目填埋固废主要为金矿开采遗留重金属废渣，自然条件下不会释放废气，不考虑恶臭气体。项目废气主要为废渣清挖和填埋扬尘、装卸料扬尘、车辆运输扬尘、车辆和机械燃油尾气。</w:t>
      </w:r>
    </w:p>
    <w:p w14:paraId="59997677">
      <w:pPr>
        <w:bidi w:val="0"/>
        <w:rPr>
          <w:rFonts w:hint="default"/>
          <w:highlight w:val="none"/>
          <w:lang w:val="en-US" w:eastAsia="zh-CN"/>
        </w:rPr>
      </w:pPr>
      <w:r>
        <w:rPr>
          <w:rFonts w:hint="eastAsia"/>
          <w:highlight w:val="none"/>
          <w:lang w:val="en-US" w:eastAsia="zh-CN"/>
        </w:rPr>
        <w:t>（1）装卸料扬尘</w:t>
      </w:r>
    </w:p>
    <w:p w14:paraId="21DF4819">
      <w:pPr>
        <w:bidi w:val="0"/>
        <w:rPr>
          <w:rFonts w:hint="eastAsia"/>
          <w:highlight w:val="none"/>
          <w:lang w:val="en-US" w:eastAsia="zh-CN"/>
        </w:rPr>
      </w:pPr>
      <w:r>
        <w:rPr>
          <w:rFonts w:hint="eastAsia"/>
          <w:highlight w:val="none"/>
          <w:lang w:val="en-US" w:eastAsia="zh-CN"/>
        </w:rPr>
        <w:t>本项目废渣在装卸料过程会产生一定的粉尘，其粉尘产生量采用参照《大气环境影响评价实用技术》（中国标准出版社，2010.9）一书中给出山西环保科研所、武汉水运工程学院提出的经验公式估算，经验公式为：</w:t>
      </w:r>
    </w:p>
    <w:p w14:paraId="01093551">
      <w:pPr>
        <w:bidi w:val="0"/>
        <w:ind w:left="0" w:leftChars="0" w:firstLine="0" w:firstLineChars="0"/>
        <w:jc w:val="center"/>
        <w:rPr>
          <w:rFonts w:hint="eastAsia"/>
          <w:highlight w:val="yellow"/>
          <w:lang w:val="en-US" w:eastAsia="zh-CN"/>
        </w:rPr>
      </w:pPr>
      <w:r>
        <w:drawing>
          <wp:inline distT="0" distB="0" distL="114300" distR="114300">
            <wp:extent cx="1295400" cy="487045"/>
            <wp:effectExtent l="0" t="0" r="0" b="8255"/>
            <wp:docPr id="26"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8"/>
                    <pic:cNvPicPr>
                      <a:picLocks noChangeAspect="1"/>
                    </pic:cNvPicPr>
                  </pic:nvPicPr>
                  <pic:blipFill>
                    <a:blip r:embed="rId47">
                      <a:lum contrast="6000"/>
                    </a:blip>
                    <a:stretch>
                      <a:fillRect/>
                    </a:stretch>
                  </pic:blipFill>
                  <pic:spPr>
                    <a:xfrm>
                      <a:off x="0" y="0"/>
                      <a:ext cx="1295400" cy="487045"/>
                    </a:xfrm>
                    <a:prstGeom prst="rect">
                      <a:avLst/>
                    </a:prstGeom>
                    <a:noFill/>
                    <a:ln>
                      <a:noFill/>
                    </a:ln>
                  </pic:spPr>
                </pic:pic>
              </a:graphicData>
            </a:graphic>
          </wp:inline>
        </w:drawing>
      </w:r>
    </w:p>
    <w:p w14:paraId="1D20684F">
      <w:pPr>
        <w:bidi w:val="0"/>
        <w:rPr>
          <w:rFonts w:hint="eastAsia"/>
          <w:highlight w:val="none"/>
          <w:lang w:val="en-US" w:eastAsia="zh-CN"/>
        </w:rPr>
      </w:pPr>
      <w:r>
        <w:rPr>
          <w:rFonts w:hint="eastAsia"/>
          <w:highlight w:val="none"/>
          <w:lang w:val="en-US" w:eastAsia="zh-CN"/>
        </w:rPr>
        <w:t>式中：Q——自卸汽车装卸料起尘量，g/次；</w:t>
      </w:r>
    </w:p>
    <w:p w14:paraId="2D397825">
      <w:pPr>
        <w:bidi w:val="0"/>
        <w:ind w:firstLine="1200" w:firstLineChars="500"/>
        <w:rPr>
          <w:rFonts w:hint="eastAsia"/>
          <w:highlight w:val="none"/>
          <w:lang w:val="en-US" w:eastAsia="zh-CN"/>
        </w:rPr>
      </w:pPr>
      <w:r>
        <w:rPr>
          <w:rFonts w:hint="eastAsia"/>
          <w:highlight w:val="none"/>
          <w:lang w:val="en-US" w:eastAsia="zh-CN"/>
        </w:rPr>
        <w:t>u——平均风速，m/s，项目所在地多年平均风速为1.4m/s；</w:t>
      </w:r>
    </w:p>
    <w:p w14:paraId="68C0735A">
      <w:pPr>
        <w:bidi w:val="0"/>
        <w:ind w:firstLine="1200" w:firstLineChars="500"/>
        <w:rPr>
          <w:rFonts w:hint="eastAsia"/>
          <w:highlight w:val="none"/>
          <w:lang w:val="en-US" w:eastAsia="zh-CN"/>
        </w:rPr>
      </w:pPr>
      <w:r>
        <w:rPr>
          <w:rFonts w:hint="eastAsia"/>
          <w:highlight w:val="none"/>
          <w:lang w:val="en-US" w:eastAsia="zh-CN"/>
        </w:rPr>
        <w:t>M——汽车卸料量，t，取20t。</w:t>
      </w:r>
    </w:p>
    <w:p w14:paraId="46AFCC0A">
      <w:pPr>
        <w:bidi w:val="0"/>
        <w:rPr>
          <w:rFonts w:hint="eastAsia"/>
          <w:highlight w:val="yellow"/>
          <w:lang w:val="en-US" w:eastAsia="zh-CN"/>
        </w:rPr>
      </w:pPr>
      <w:r>
        <w:rPr>
          <w:rFonts w:hint="eastAsia"/>
          <w:highlight w:val="none"/>
          <w:lang w:val="en-US" w:eastAsia="zh-CN"/>
        </w:rPr>
        <w:t>根据公式计算，装卸料扬尘产生系数为3.48g/次。废渣运输量为55555.12m</w:t>
      </w:r>
      <w:r>
        <w:rPr>
          <w:rFonts w:hint="eastAsia"/>
          <w:highlight w:val="none"/>
          <w:vertAlign w:val="superscript"/>
          <w:lang w:val="en-US" w:eastAsia="zh-CN"/>
        </w:rPr>
        <w:t>3</w:t>
      </w:r>
      <w:r>
        <w:rPr>
          <w:rFonts w:hint="eastAsia"/>
          <w:highlight w:val="none"/>
          <w:lang w:val="en-US" w:eastAsia="zh-CN"/>
        </w:rPr>
        <w:t>，按20t（1.8t/m</w:t>
      </w:r>
      <w:r>
        <w:rPr>
          <w:rFonts w:hint="eastAsia"/>
          <w:highlight w:val="none"/>
          <w:vertAlign w:val="superscript"/>
          <w:lang w:val="en-US" w:eastAsia="zh-CN"/>
        </w:rPr>
        <w:t>3</w:t>
      </w:r>
      <w:r>
        <w:rPr>
          <w:rFonts w:hint="eastAsia"/>
          <w:highlight w:val="none"/>
          <w:lang w:val="en-US" w:eastAsia="zh-CN"/>
        </w:rPr>
        <w:t>）每车，装卸次数约为5000次。覆土量为16271m</w:t>
      </w:r>
      <w:r>
        <w:rPr>
          <w:rFonts w:hint="eastAsia"/>
          <w:highlight w:val="none"/>
          <w:vertAlign w:val="superscript"/>
          <w:lang w:val="en-US" w:eastAsia="zh-CN"/>
        </w:rPr>
        <w:t>3</w:t>
      </w:r>
      <w:r>
        <w:rPr>
          <w:rFonts w:hint="eastAsia"/>
          <w:highlight w:val="none"/>
          <w:lang w:val="en-US" w:eastAsia="zh-CN"/>
        </w:rPr>
        <w:t>，装卸次数约为1465次。项目填埋及覆土过程施工期为180天，每天工作时间按8h计，根据公式计算得出装卸粉尘产生量为22.5kg（产生速率为0.0156kg/h），由于项目卸料时会进行洒水降尘，根据《扬尘源颗粒物排放清单编制技术指南（试行）》中表12，通过洒水降尘后，TSP的控制效率为74%，项目装卸粉尘排放量为5.85kg（排放速率为0.0041kg/h）。</w:t>
      </w:r>
    </w:p>
    <w:p w14:paraId="7A26E3DC">
      <w:pPr>
        <w:bidi w:val="0"/>
        <w:rPr>
          <w:rFonts w:hint="eastAsia"/>
          <w:highlight w:val="none"/>
          <w:lang w:val="en-US" w:eastAsia="zh-CN"/>
        </w:rPr>
      </w:pPr>
      <w:r>
        <w:rPr>
          <w:rFonts w:hint="eastAsia"/>
          <w:highlight w:val="none"/>
          <w:lang w:val="en-US" w:eastAsia="zh-CN"/>
        </w:rPr>
        <w:t>项目废渣装卸料扬尘计算详见下表。</w:t>
      </w:r>
    </w:p>
    <w:p w14:paraId="26FB99BF">
      <w:pPr>
        <w:bidi w:val="0"/>
        <w:ind w:left="0" w:leftChars="0" w:firstLine="0" w:firstLineChars="0"/>
        <w:jc w:val="center"/>
        <w:rPr>
          <w:rFonts w:hint="eastAsia"/>
          <w:b/>
          <w:bCs/>
          <w:sz w:val="21"/>
          <w:szCs w:val="21"/>
          <w:highlight w:val="none"/>
          <w:lang w:val="en-US" w:eastAsia="zh-CN"/>
        </w:rPr>
      </w:pPr>
      <w:r>
        <w:rPr>
          <w:rFonts w:hint="eastAsia"/>
          <w:b/>
          <w:bCs/>
          <w:sz w:val="21"/>
          <w:szCs w:val="21"/>
          <w:highlight w:val="none"/>
          <w:lang w:val="en-US" w:eastAsia="zh-CN"/>
        </w:rPr>
        <w:t>表3.2-2  填埋装卸产尘情况</w:t>
      </w:r>
    </w:p>
    <w:tbl>
      <w:tblPr>
        <w:tblStyle w:val="35"/>
        <w:tblW w:w="4996" w:type="pct"/>
        <w:jc w:val="center"/>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Layout w:type="autofit"/>
        <w:tblCellMar>
          <w:top w:w="0" w:type="dxa"/>
          <w:left w:w="108" w:type="dxa"/>
          <w:bottom w:w="0" w:type="dxa"/>
          <w:right w:w="108" w:type="dxa"/>
        </w:tblCellMar>
      </w:tblPr>
      <w:tblGrid>
        <w:gridCol w:w="1122"/>
        <w:gridCol w:w="1223"/>
        <w:gridCol w:w="1202"/>
        <w:gridCol w:w="1295"/>
        <w:gridCol w:w="899"/>
        <w:gridCol w:w="1713"/>
        <w:gridCol w:w="864"/>
        <w:gridCol w:w="963"/>
      </w:tblGrid>
      <w:tr w14:paraId="61A45C28">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604" w:type="pct"/>
            <w:noWrap/>
            <w:vAlign w:val="center"/>
          </w:tcPr>
          <w:p w14:paraId="5B011C6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b/>
                <w:bCs/>
                <w:sz w:val="21"/>
                <w:szCs w:val="21"/>
                <w:highlight w:val="none"/>
                <w:lang w:val="en-US" w:eastAsia="zh-CN"/>
              </w:rPr>
            </w:pPr>
            <w:r>
              <w:rPr>
                <w:rFonts w:hint="eastAsia"/>
                <w:b/>
                <w:bCs/>
                <w:sz w:val="21"/>
                <w:szCs w:val="21"/>
                <w:highlight w:val="none"/>
                <w:lang w:val="en-US" w:eastAsia="zh-CN"/>
              </w:rPr>
              <w:t>场地名称</w:t>
            </w:r>
          </w:p>
        </w:tc>
        <w:tc>
          <w:tcPr>
            <w:tcW w:w="658" w:type="pct"/>
            <w:noWrap w:val="0"/>
            <w:vAlign w:val="center"/>
          </w:tcPr>
          <w:p w14:paraId="4AAAE51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b/>
                <w:bCs/>
                <w:sz w:val="21"/>
                <w:szCs w:val="21"/>
                <w:highlight w:val="none"/>
                <w:lang w:val="en-US" w:eastAsia="zh-CN"/>
              </w:rPr>
            </w:pPr>
            <w:r>
              <w:rPr>
                <w:rFonts w:hint="eastAsia"/>
                <w:b/>
                <w:bCs/>
                <w:sz w:val="21"/>
                <w:szCs w:val="21"/>
                <w:highlight w:val="none"/>
                <w:lang w:val="en-US" w:eastAsia="zh-CN"/>
              </w:rPr>
              <w:t>运输量（m</w:t>
            </w:r>
            <w:r>
              <w:rPr>
                <w:rFonts w:hint="eastAsia"/>
                <w:b/>
                <w:bCs/>
                <w:sz w:val="21"/>
                <w:szCs w:val="21"/>
                <w:highlight w:val="none"/>
                <w:vertAlign w:val="superscript"/>
                <w:lang w:val="en-US" w:eastAsia="zh-CN"/>
              </w:rPr>
              <w:t>3</w:t>
            </w:r>
            <w:r>
              <w:rPr>
                <w:rFonts w:hint="eastAsia"/>
                <w:b/>
                <w:bCs/>
                <w:sz w:val="21"/>
                <w:szCs w:val="21"/>
                <w:highlight w:val="none"/>
                <w:lang w:val="en-US" w:eastAsia="zh-CN"/>
              </w:rPr>
              <w:t>）</w:t>
            </w:r>
          </w:p>
        </w:tc>
        <w:tc>
          <w:tcPr>
            <w:tcW w:w="647" w:type="pct"/>
            <w:noWrap w:val="0"/>
            <w:vAlign w:val="center"/>
          </w:tcPr>
          <w:p w14:paraId="0383279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b/>
                <w:bCs/>
                <w:sz w:val="21"/>
                <w:szCs w:val="21"/>
                <w:highlight w:val="none"/>
                <w:lang w:val="en-US" w:eastAsia="zh-CN"/>
              </w:rPr>
            </w:pPr>
            <w:r>
              <w:rPr>
                <w:rFonts w:hint="eastAsia"/>
                <w:b/>
                <w:bCs/>
                <w:sz w:val="21"/>
                <w:szCs w:val="21"/>
                <w:highlight w:val="none"/>
                <w:lang w:val="en-US" w:eastAsia="zh-CN"/>
              </w:rPr>
              <w:t>产生系数</w:t>
            </w:r>
          </w:p>
          <w:p w14:paraId="6E0DF9F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b/>
                <w:bCs/>
                <w:sz w:val="21"/>
                <w:szCs w:val="21"/>
                <w:highlight w:val="none"/>
                <w:lang w:val="en-US" w:eastAsia="zh-CN"/>
              </w:rPr>
            </w:pPr>
            <w:r>
              <w:rPr>
                <w:rFonts w:hint="eastAsia"/>
                <w:b/>
                <w:bCs/>
                <w:sz w:val="21"/>
                <w:szCs w:val="21"/>
                <w:highlight w:val="none"/>
                <w:lang w:val="en-US" w:eastAsia="zh-CN"/>
              </w:rPr>
              <w:t>（g/次）</w:t>
            </w:r>
          </w:p>
        </w:tc>
        <w:tc>
          <w:tcPr>
            <w:tcW w:w="697" w:type="pct"/>
            <w:noWrap w:val="0"/>
            <w:vAlign w:val="center"/>
          </w:tcPr>
          <w:p w14:paraId="4C3203F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b/>
                <w:bCs/>
                <w:sz w:val="21"/>
                <w:szCs w:val="21"/>
                <w:highlight w:val="none"/>
                <w:lang w:val="en-US" w:eastAsia="zh-CN"/>
              </w:rPr>
            </w:pPr>
            <w:r>
              <w:rPr>
                <w:rFonts w:hint="eastAsia"/>
                <w:b/>
                <w:bCs/>
                <w:sz w:val="21"/>
                <w:szCs w:val="21"/>
                <w:highlight w:val="none"/>
                <w:lang w:val="en-US" w:eastAsia="zh-CN"/>
              </w:rPr>
              <w:t>卸货次数</w:t>
            </w:r>
          </w:p>
        </w:tc>
        <w:tc>
          <w:tcPr>
            <w:tcW w:w="484" w:type="pct"/>
            <w:noWrap w:val="0"/>
            <w:vAlign w:val="center"/>
          </w:tcPr>
          <w:p w14:paraId="4817911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b/>
                <w:bCs/>
                <w:sz w:val="21"/>
                <w:szCs w:val="21"/>
                <w:highlight w:val="none"/>
                <w:lang w:val="en-US" w:eastAsia="zh-CN"/>
              </w:rPr>
            </w:pPr>
            <w:r>
              <w:rPr>
                <w:rFonts w:hint="eastAsia"/>
                <w:b/>
                <w:bCs/>
                <w:sz w:val="21"/>
                <w:szCs w:val="21"/>
                <w:highlight w:val="none"/>
                <w:lang w:val="en-US" w:eastAsia="zh-CN"/>
              </w:rPr>
              <w:t>产生量（kg）</w:t>
            </w:r>
          </w:p>
        </w:tc>
        <w:tc>
          <w:tcPr>
            <w:tcW w:w="922" w:type="pct"/>
            <w:noWrap w:val="0"/>
            <w:vAlign w:val="center"/>
          </w:tcPr>
          <w:p w14:paraId="56237D3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b/>
                <w:bCs/>
                <w:sz w:val="21"/>
                <w:szCs w:val="21"/>
                <w:highlight w:val="none"/>
                <w:lang w:val="en-US" w:eastAsia="zh-CN"/>
              </w:rPr>
            </w:pPr>
            <w:r>
              <w:rPr>
                <w:rFonts w:hint="eastAsia"/>
                <w:b/>
                <w:bCs/>
                <w:sz w:val="21"/>
                <w:szCs w:val="21"/>
                <w:highlight w:val="none"/>
                <w:lang w:val="en-US" w:eastAsia="zh-CN"/>
              </w:rPr>
              <w:t>防治措施及效率</w:t>
            </w:r>
          </w:p>
        </w:tc>
        <w:tc>
          <w:tcPr>
            <w:tcW w:w="465" w:type="pct"/>
            <w:noWrap w:val="0"/>
            <w:vAlign w:val="center"/>
          </w:tcPr>
          <w:p w14:paraId="2882118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b/>
                <w:bCs/>
                <w:sz w:val="21"/>
                <w:szCs w:val="21"/>
                <w:highlight w:val="none"/>
                <w:lang w:val="en-US" w:eastAsia="zh-CN"/>
              </w:rPr>
            </w:pPr>
            <w:r>
              <w:rPr>
                <w:rFonts w:hint="eastAsia"/>
                <w:b/>
                <w:bCs/>
                <w:sz w:val="21"/>
                <w:szCs w:val="21"/>
                <w:highlight w:val="none"/>
                <w:lang w:val="en-US" w:eastAsia="zh-CN"/>
              </w:rPr>
              <w:t>排放量（kg）</w:t>
            </w:r>
          </w:p>
        </w:tc>
        <w:tc>
          <w:tcPr>
            <w:tcW w:w="518" w:type="pct"/>
            <w:noWrap w:val="0"/>
            <w:vAlign w:val="center"/>
          </w:tcPr>
          <w:p w14:paraId="2FF1368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b/>
                <w:bCs/>
                <w:sz w:val="21"/>
                <w:szCs w:val="21"/>
                <w:highlight w:val="none"/>
                <w:lang w:val="en-US" w:eastAsia="zh-CN"/>
              </w:rPr>
            </w:pPr>
            <w:r>
              <w:rPr>
                <w:rFonts w:hint="eastAsia"/>
                <w:b/>
                <w:bCs/>
                <w:sz w:val="21"/>
                <w:szCs w:val="21"/>
                <w:highlight w:val="none"/>
                <w:lang w:val="en-US" w:eastAsia="zh-CN"/>
              </w:rPr>
              <w:t>排放</w:t>
            </w:r>
          </w:p>
          <w:p w14:paraId="2D59E3B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bCs/>
                <w:sz w:val="21"/>
                <w:szCs w:val="21"/>
                <w:highlight w:val="none"/>
                <w:lang w:val="en-US" w:eastAsia="zh-CN"/>
              </w:rPr>
            </w:pPr>
            <w:r>
              <w:rPr>
                <w:rFonts w:hint="eastAsia"/>
                <w:b/>
                <w:bCs/>
                <w:sz w:val="21"/>
                <w:szCs w:val="21"/>
                <w:highlight w:val="none"/>
                <w:lang w:val="en-US" w:eastAsia="zh-CN"/>
              </w:rPr>
              <w:t>方式</w:t>
            </w:r>
          </w:p>
        </w:tc>
      </w:tr>
      <w:tr w14:paraId="067EB08F">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604" w:type="pct"/>
            <w:noWrap w:val="0"/>
            <w:vAlign w:val="center"/>
          </w:tcPr>
          <w:p w14:paraId="10A8B91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填埋区</w:t>
            </w:r>
          </w:p>
        </w:tc>
        <w:tc>
          <w:tcPr>
            <w:tcW w:w="658" w:type="pct"/>
            <w:noWrap w:val="0"/>
            <w:vAlign w:val="center"/>
          </w:tcPr>
          <w:p w14:paraId="7C55737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lang w:val="en-US" w:eastAsia="zh-CN"/>
              </w:rPr>
            </w:pPr>
            <w:r>
              <w:rPr>
                <w:rFonts w:hint="eastAsia"/>
                <w:sz w:val="21"/>
                <w:szCs w:val="21"/>
                <w:highlight w:val="none"/>
                <w:lang w:val="en-US" w:eastAsia="zh-CN"/>
              </w:rPr>
              <w:t>71826.12</w:t>
            </w:r>
          </w:p>
        </w:tc>
        <w:tc>
          <w:tcPr>
            <w:tcW w:w="647" w:type="pct"/>
            <w:noWrap w:val="0"/>
            <w:vAlign w:val="center"/>
          </w:tcPr>
          <w:p w14:paraId="0F24A05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lang w:val="en-US" w:eastAsia="zh-CN"/>
              </w:rPr>
            </w:pPr>
            <w:r>
              <w:rPr>
                <w:rFonts w:hint="eastAsia"/>
                <w:sz w:val="21"/>
                <w:szCs w:val="21"/>
                <w:highlight w:val="none"/>
                <w:lang w:val="en-US" w:eastAsia="zh-CN"/>
              </w:rPr>
              <w:t>3.48</w:t>
            </w:r>
          </w:p>
        </w:tc>
        <w:tc>
          <w:tcPr>
            <w:tcW w:w="697" w:type="pct"/>
            <w:noWrap w:val="0"/>
            <w:vAlign w:val="center"/>
          </w:tcPr>
          <w:p w14:paraId="1EE6CB4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lang w:val="en-US" w:eastAsia="zh-CN"/>
              </w:rPr>
            </w:pPr>
            <w:r>
              <w:rPr>
                <w:rFonts w:hint="eastAsia"/>
                <w:sz w:val="21"/>
                <w:szCs w:val="21"/>
                <w:highlight w:val="none"/>
                <w:lang w:val="en-US" w:eastAsia="zh-CN"/>
              </w:rPr>
              <w:t>6465</w:t>
            </w:r>
          </w:p>
        </w:tc>
        <w:tc>
          <w:tcPr>
            <w:tcW w:w="484" w:type="pct"/>
            <w:noWrap w:val="0"/>
            <w:vAlign w:val="center"/>
          </w:tcPr>
          <w:p w14:paraId="77E7D95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lang w:val="en-US" w:eastAsia="zh-CN"/>
              </w:rPr>
            </w:pPr>
            <w:r>
              <w:rPr>
                <w:rFonts w:hint="eastAsia"/>
                <w:sz w:val="21"/>
                <w:szCs w:val="21"/>
                <w:highlight w:val="none"/>
                <w:lang w:val="en-US" w:eastAsia="zh-CN"/>
              </w:rPr>
              <w:t>22.5</w:t>
            </w:r>
          </w:p>
        </w:tc>
        <w:tc>
          <w:tcPr>
            <w:tcW w:w="922" w:type="pct"/>
            <w:noWrap w:val="0"/>
            <w:vAlign w:val="center"/>
          </w:tcPr>
          <w:p w14:paraId="549F7AF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洒水抑尘74%</w:t>
            </w:r>
          </w:p>
        </w:tc>
        <w:tc>
          <w:tcPr>
            <w:tcW w:w="465" w:type="pct"/>
            <w:noWrap w:val="0"/>
            <w:vAlign w:val="center"/>
          </w:tcPr>
          <w:p w14:paraId="3993745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lang w:val="en-US" w:eastAsia="zh-CN"/>
              </w:rPr>
            </w:pPr>
            <w:r>
              <w:rPr>
                <w:rFonts w:hint="eastAsia"/>
                <w:sz w:val="21"/>
                <w:szCs w:val="21"/>
                <w:highlight w:val="none"/>
                <w:lang w:val="en-US" w:eastAsia="zh-CN"/>
              </w:rPr>
              <w:t>5.85</w:t>
            </w:r>
          </w:p>
        </w:tc>
        <w:tc>
          <w:tcPr>
            <w:tcW w:w="518" w:type="pct"/>
            <w:noWrap w:val="0"/>
            <w:vAlign w:val="center"/>
          </w:tcPr>
          <w:p w14:paraId="7EA3D92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lang w:val="en-US" w:eastAsia="zh-CN"/>
              </w:rPr>
            </w:pPr>
            <w:r>
              <w:rPr>
                <w:rFonts w:hint="eastAsia"/>
                <w:sz w:val="21"/>
                <w:szCs w:val="21"/>
                <w:highlight w:val="none"/>
                <w:lang w:val="en-US" w:eastAsia="zh-CN"/>
              </w:rPr>
              <w:t>无组织排放</w:t>
            </w:r>
          </w:p>
        </w:tc>
      </w:tr>
    </w:tbl>
    <w:p w14:paraId="1C34DACC">
      <w:pPr>
        <w:bidi w:val="0"/>
        <w:rPr>
          <w:rFonts w:hint="eastAsia"/>
          <w:highlight w:val="none"/>
          <w:lang w:val="en-US" w:eastAsia="zh-CN"/>
        </w:rPr>
      </w:pPr>
      <w:r>
        <w:rPr>
          <w:rFonts w:hint="eastAsia"/>
          <w:highlight w:val="none"/>
          <w:lang w:val="en-US" w:eastAsia="zh-CN"/>
        </w:rPr>
        <w:t>（2）废渣开挖及填埋摊铺等作业扬尘</w:t>
      </w:r>
    </w:p>
    <w:p w14:paraId="0AE26451">
      <w:pPr>
        <w:bidi w:val="0"/>
        <w:rPr>
          <w:rFonts w:hint="eastAsia"/>
          <w:highlight w:val="none"/>
          <w:lang w:val="en-US" w:eastAsia="zh-CN"/>
        </w:rPr>
      </w:pPr>
      <w:r>
        <w:rPr>
          <w:rFonts w:hint="eastAsia"/>
          <w:highlight w:val="none"/>
          <w:lang w:val="en-US" w:eastAsia="zh-CN"/>
        </w:rPr>
        <w:t>废渣开挖及填埋场采用分层摊铺、往返碾压、分单元覆土的作业方式，渣场清渣、土地平整以及填埋作业过程会有扬尘产生。根据施工方案，同时作业扰动面积约为300m</w:t>
      </w:r>
      <w:r>
        <w:rPr>
          <w:rFonts w:hint="eastAsia"/>
          <w:highlight w:val="none"/>
          <w:vertAlign w:val="superscript"/>
          <w:lang w:val="en-US" w:eastAsia="zh-CN"/>
        </w:rPr>
        <w:t>2</w:t>
      </w:r>
      <w:r>
        <w:rPr>
          <w:rFonts w:hint="eastAsia"/>
          <w:highlight w:val="none"/>
          <w:lang w:val="en-US" w:eastAsia="zh-CN"/>
        </w:rPr>
        <w:t>。扬尘排放量按照西安冶金建筑学院起尘量推荐公式计算：</w:t>
      </w:r>
    </w:p>
    <w:p w14:paraId="77298449">
      <w:pPr>
        <w:bidi w:val="0"/>
        <w:ind w:left="0" w:leftChars="0" w:firstLine="0" w:firstLineChars="0"/>
        <w:jc w:val="center"/>
        <w:rPr>
          <w:rFonts w:hint="eastAsia"/>
          <w:highlight w:val="yellow"/>
          <w:lang w:val="en-US" w:eastAsia="zh-CN"/>
        </w:rPr>
      </w:pPr>
      <w:r>
        <w:rPr>
          <w:rFonts w:hint="eastAsia"/>
          <w:highlight w:val="none"/>
          <w:lang w:val="en-US" w:eastAsia="zh-CN"/>
        </w:rPr>
        <w:drawing>
          <wp:inline distT="0" distB="0" distL="114300" distR="114300">
            <wp:extent cx="1990725" cy="363220"/>
            <wp:effectExtent l="0" t="0" r="9525" b="17780"/>
            <wp:docPr id="4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21"/>
                    <pic:cNvPicPr>
                      <a:picLocks noChangeAspect="1"/>
                    </pic:cNvPicPr>
                  </pic:nvPicPr>
                  <pic:blipFill>
                    <a:blip r:embed="rId48">
                      <a:lum contrast="6000"/>
                    </a:blip>
                    <a:stretch>
                      <a:fillRect/>
                    </a:stretch>
                  </pic:blipFill>
                  <pic:spPr>
                    <a:xfrm>
                      <a:off x="0" y="0"/>
                      <a:ext cx="1990725" cy="363220"/>
                    </a:xfrm>
                    <a:prstGeom prst="rect">
                      <a:avLst/>
                    </a:prstGeom>
                    <a:noFill/>
                    <a:ln>
                      <a:noFill/>
                    </a:ln>
                  </pic:spPr>
                </pic:pic>
              </a:graphicData>
            </a:graphic>
          </wp:inline>
        </w:drawing>
      </w:r>
    </w:p>
    <w:p w14:paraId="290D97DD">
      <w:pPr>
        <w:bidi w:val="0"/>
        <w:rPr>
          <w:rFonts w:hint="eastAsia"/>
          <w:highlight w:val="none"/>
          <w:lang w:val="en-US" w:eastAsia="zh-CN"/>
        </w:rPr>
      </w:pPr>
      <w:r>
        <w:rPr>
          <w:rFonts w:hint="eastAsia"/>
          <w:highlight w:val="none"/>
          <w:lang w:val="en-US" w:eastAsia="zh-CN"/>
        </w:rPr>
        <w:t>式中：Q——起尘量，mg/s；</w:t>
      </w:r>
    </w:p>
    <w:p w14:paraId="757CE3D6">
      <w:pPr>
        <w:bidi w:val="0"/>
        <w:ind w:firstLine="1200" w:firstLineChars="500"/>
        <w:rPr>
          <w:rFonts w:hint="eastAsia"/>
          <w:highlight w:val="none"/>
          <w:lang w:val="en-US" w:eastAsia="zh-CN"/>
        </w:rPr>
      </w:pPr>
      <w:r>
        <w:rPr>
          <w:rFonts w:hint="eastAsia"/>
          <w:highlight w:val="none"/>
          <w:lang w:val="en-US" w:eastAsia="zh-CN"/>
        </w:rPr>
        <w:t>U——平均风速，m/s，项目所在地多年平均风速为1.4m/s；</w:t>
      </w:r>
    </w:p>
    <w:p w14:paraId="26626031">
      <w:pPr>
        <w:bidi w:val="0"/>
        <w:ind w:firstLine="1200" w:firstLineChars="500"/>
        <w:rPr>
          <w:rFonts w:hint="eastAsia"/>
          <w:highlight w:val="none"/>
          <w:lang w:val="en-US" w:eastAsia="zh-CN"/>
        </w:rPr>
      </w:pPr>
      <w:r>
        <w:rPr>
          <w:rFonts w:hint="eastAsia"/>
          <w:highlight w:val="none"/>
          <w:lang w:val="en-US" w:eastAsia="zh-CN"/>
        </w:rPr>
        <w:t>A</w:t>
      </w:r>
      <w:r>
        <w:rPr>
          <w:rFonts w:hint="eastAsia"/>
          <w:highlight w:val="none"/>
          <w:vertAlign w:val="subscript"/>
          <w:lang w:val="en-US" w:eastAsia="zh-CN"/>
        </w:rPr>
        <w:t>P</w:t>
      </w:r>
      <w:r>
        <w:rPr>
          <w:rFonts w:hint="eastAsia"/>
          <w:highlight w:val="none"/>
          <w:lang w:val="en-US" w:eastAsia="zh-CN"/>
        </w:rPr>
        <w:t>——起尘面积，m</w:t>
      </w:r>
      <w:r>
        <w:rPr>
          <w:rFonts w:hint="eastAsia"/>
          <w:highlight w:val="none"/>
          <w:vertAlign w:val="superscript"/>
          <w:lang w:val="en-US" w:eastAsia="zh-CN"/>
        </w:rPr>
        <w:t>2</w:t>
      </w:r>
      <w:r>
        <w:rPr>
          <w:rFonts w:hint="eastAsia"/>
          <w:highlight w:val="none"/>
          <w:lang w:val="en-US" w:eastAsia="zh-CN"/>
        </w:rPr>
        <w:t>。</w:t>
      </w:r>
    </w:p>
    <w:p w14:paraId="2BC88538">
      <w:pPr>
        <w:bidi w:val="0"/>
        <w:rPr>
          <w:rFonts w:hint="eastAsia"/>
          <w:highlight w:val="none"/>
          <w:lang w:val="en-US" w:eastAsia="zh-CN"/>
        </w:rPr>
      </w:pPr>
      <w:r>
        <w:rPr>
          <w:rFonts w:hint="eastAsia"/>
          <w:highlight w:val="none"/>
          <w:lang w:val="en-US" w:eastAsia="zh-CN"/>
        </w:rPr>
        <w:t>根据公式计算，开挖等作业扬尘产生系数为0.66mg/s，项目填埋过程施工期为180天，每天工作时间按8h计，项目产生系数为0.0024kg/h，作业扬尘为3.42kg。</w:t>
      </w:r>
    </w:p>
    <w:p w14:paraId="3A670AAF">
      <w:pPr>
        <w:bidi w:val="0"/>
        <w:rPr>
          <w:rFonts w:hint="eastAsia"/>
          <w:highlight w:val="none"/>
          <w:lang w:val="en-US" w:eastAsia="zh-CN"/>
        </w:rPr>
      </w:pPr>
      <w:r>
        <w:rPr>
          <w:rFonts w:hint="eastAsia"/>
          <w:highlight w:val="none"/>
          <w:lang w:val="en-US" w:eastAsia="zh-CN"/>
        </w:rPr>
        <w:t>根据《扬尘源颗粒物排放清单编制技术指南（试行）》表12，通过洒水降尘后，TSP的控制效率为74%，项目作业扬尘排放量为0.89kg（排放速率0.0006kg/h）。</w:t>
      </w:r>
    </w:p>
    <w:p w14:paraId="2966F42E">
      <w:pPr>
        <w:tabs>
          <w:tab w:val="center" w:pos="4508"/>
        </w:tabs>
        <w:bidi w:val="0"/>
        <w:rPr>
          <w:rFonts w:hint="eastAsia"/>
          <w:highlight w:val="none"/>
          <w:lang w:val="en-US" w:eastAsia="zh-CN"/>
        </w:rPr>
      </w:pPr>
      <w:r>
        <w:rPr>
          <w:rFonts w:hint="eastAsia"/>
          <w:highlight w:val="none"/>
          <w:lang w:val="en-US" w:eastAsia="zh-CN"/>
        </w:rPr>
        <w:t>项目开挖等作业扬尘计算详见下表。</w:t>
      </w:r>
    </w:p>
    <w:p w14:paraId="6B6E5523">
      <w:pPr>
        <w:bidi w:val="0"/>
        <w:ind w:left="0" w:leftChars="0" w:firstLine="0" w:firstLineChars="0"/>
        <w:jc w:val="center"/>
        <w:rPr>
          <w:rFonts w:hint="eastAsia"/>
          <w:b/>
          <w:bCs/>
          <w:sz w:val="21"/>
          <w:szCs w:val="21"/>
          <w:highlight w:val="none"/>
          <w:lang w:val="en-US" w:eastAsia="zh-CN"/>
        </w:rPr>
      </w:pPr>
      <w:r>
        <w:rPr>
          <w:rFonts w:hint="eastAsia"/>
          <w:b/>
          <w:bCs/>
          <w:sz w:val="21"/>
          <w:szCs w:val="21"/>
          <w:highlight w:val="none"/>
          <w:lang w:val="en-US" w:eastAsia="zh-CN"/>
        </w:rPr>
        <w:t>表3.2-3  开挖等作业扬尘产排情况</w:t>
      </w:r>
    </w:p>
    <w:tbl>
      <w:tblPr>
        <w:tblStyle w:val="35"/>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559"/>
        <w:gridCol w:w="1674"/>
        <w:gridCol w:w="1891"/>
        <w:gridCol w:w="1388"/>
        <w:gridCol w:w="1386"/>
        <w:gridCol w:w="1386"/>
      </w:tblGrid>
      <w:tr w14:paraId="6682A42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40" w:type="pct"/>
            <w:noWrap/>
            <w:vAlign w:val="center"/>
          </w:tcPr>
          <w:p w14:paraId="18B599BF">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b/>
                <w:bCs/>
                <w:sz w:val="21"/>
                <w:szCs w:val="21"/>
                <w:highlight w:val="none"/>
                <w:lang w:val="en-US" w:eastAsia="zh-CN"/>
              </w:rPr>
            </w:pPr>
            <w:r>
              <w:rPr>
                <w:rFonts w:hint="eastAsia"/>
                <w:b/>
                <w:bCs/>
                <w:sz w:val="21"/>
                <w:szCs w:val="21"/>
                <w:highlight w:val="none"/>
                <w:lang w:val="en-US" w:eastAsia="zh-CN"/>
              </w:rPr>
              <w:t>产生环节</w:t>
            </w:r>
          </w:p>
        </w:tc>
        <w:tc>
          <w:tcPr>
            <w:tcW w:w="901" w:type="pct"/>
            <w:noWrap w:val="0"/>
            <w:vAlign w:val="center"/>
          </w:tcPr>
          <w:p w14:paraId="54ACAB80">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b/>
                <w:bCs/>
                <w:sz w:val="21"/>
                <w:szCs w:val="21"/>
                <w:highlight w:val="none"/>
                <w:lang w:val="en-US" w:eastAsia="zh-CN"/>
              </w:rPr>
            </w:pPr>
            <w:r>
              <w:rPr>
                <w:rFonts w:hint="eastAsia"/>
                <w:b/>
                <w:bCs/>
                <w:sz w:val="21"/>
                <w:szCs w:val="21"/>
                <w:highlight w:val="none"/>
                <w:lang w:val="en-US" w:eastAsia="zh-CN"/>
              </w:rPr>
              <w:t>作业面积（m</w:t>
            </w:r>
            <w:r>
              <w:rPr>
                <w:rFonts w:hint="eastAsia"/>
                <w:b/>
                <w:bCs/>
                <w:sz w:val="21"/>
                <w:szCs w:val="21"/>
                <w:highlight w:val="none"/>
                <w:vertAlign w:val="superscript"/>
                <w:lang w:val="en-US" w:eastAsia="zh-CN"/>
              </w:rPr>
              <w:t>2</w:t>
            </w:r>
            <w:r>
              <w:rPr>
                <w:rFonts w:hint="eastAsia"/>
                <w:b/>
                <w:bCs/>
                <w:sz w:val="21"/>
                <w:szCs w:val="21"/>
                <w:highlight w:val="none"/>
                <w:lang w:val="en-US" w:eastAsia="zh-CN"/>
              </w:rPr>
              <w:t>）</w:t>
            </w:r>
          </w:p>
        </w:tc>
        <w:tc>
          <w:tcPr>
            <w:tcW w:w="1018" w:type="pct"/>
            <w:noWrap w:val="0"/>
            <w:vAlign w:val="center"/>
          </w:tcPr>
          <w:p w14:paraId="0C8A266B">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b/>
                <w:bCs/>
                <w:sz w:val="21"/>
                <w:szCs w:val="21"/>
                <w:highlight w:val="none"/>
                <w:lang w:val="en-US" w:eastAsia="zh-CN"/>
              </w:rPr>
            </w:pPr>
            <w:r>
              <w:rPr>
                <w:rFonts w:hint="eastAsia"/>
                <w:b/>
                <w:bCs/>
                <w:sz w:val="21"/>
                <w:szCs w:val="21"/>
                <w:highlight w:val="none"/>
                <w:lang w:val="en-US" w:eastAsia="zh-CN"/>
              </w:rPr>
              <w:t>产生系数（mg/s）</w:t>
            </w:r>
          </w:p>
        </w:tc>
        <w:tc>
          <w:tcPr>
            <w:tcW w:w="747" w:type="pct"/>
            <w:noWrap w:val="0"/>
            <w:vAlign w:val="center"/>
          </w:tcPr>
          <w:p w14:paraId="5EBD2671">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b/>
                <w:bCs/>
                <w:sz w:val="21"/>
                <w:szCs w:val="21"/>
                <w:highlight w:val="none"/>
                <w:lang w:val="en-US" w:eastAsia="zh-CN"/>
              </w:rPr>
            </w:pPr>
            <w:r>
              <w:rPr>
                <w:rFonts w:hint="eastAsia"/>
                <w:b/>
                <w:bCs/>
                <w:sz w:val="21"/>
                <w:szCs w:val="21"/>
                <w:highlight w:val="none"/>
                <w:lang w:val="en-US" w:eastAsia="zh-CN"/>
              </w:rPr>
              <w:t>产生量（kg）</w:t>
            </w:r>
          </w:p>
        </w:tc>
        <w:tc>
          <w:tcPr>
            <w:tcW w:w="746" w:type="pct"/>
            <w:noWrap w:val="0"/>
            <w:vAlign w:val="center"/>
          </w:tcPr>
          <w:p w14:paraId="64ED6DC7">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b/>
                <w:bCs/>
                <w:sz w:val="21"/>
                <w:szCs w:val="21"/>
                <w:highlight w:val="none"/>
                <w:lang w:val="en-US" w:eastAsia="zh-CN"/>
              </w:rPr>
            </w:pPr>
            <w:r>
              <w:rPr>
                <w:rFonts w:hint="eastAsia"/>
                <w:b/>
                <w:bCs/>
                <w:sz w:val="21"/>
                <w:szCs w:val="21"/>
                <w:highlight w:val="none"/>
                <w:lang w:val="en-US" w:eastAsia="zh-CN"/>
              </w:rPr>
              <w:t>排放量（kg）</w:t>
            </w:r>
          </w:p>
        </w:tc>
        <w:tc>
          <w:tcPr>
            <w:tcW w:w="746" w:type="pct"/>
            <w:noWrap w:val="0"/>
            <w:vAlign w:val="center"/>
          </w:tcPr>
          <w:p w14:paraId="68C025DC">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b/>
                <w:bCs/>
                <w:sz w:val="21"/>
                <w:szCs w:val="21"/>
                <w:highlight w:val="none"/>
                <w:lang w:val="en-US" w:eastAsia="zh-CN"/>
              </w:rPr>
            </w:pPr>
            <w:r>
              <w:rPr>
                <w:rFonts w:hint="eastAsia"/>
                <w:b/>
                <w:bCs/>
                <w:sz w:val="21"/>
                <w:szCs w:val="21"/>
                <w:highlight w:val="none"/>
                <w:lang w:val="en-US" w:eastAsia="zh-CN"/>
              </w:rPr>
              <w:t>排放方式</w:t>
            </w:r>
          </w:p>
        </w:tc>
      </w:tr>
      <w:tr w14:paraId="3EE8A69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40" w:type="pct"/>
            <w:noWrap w:val="0"/>
            <w:vAlign w:val="center"/>
          </w:tcPr>
          <w:p w14:paraId="208365C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开挖等作业</w:t>
            </w:r>
          </w:p>
        </w:tc>
        <w:tc>
          <w:tcPr>
            <w:tcW w:w="901" w:type="pct"/>
            <w:noWrap w:val="0"/>
            <w:vAlign w:val="center"/>
          </w:tcPr>
          <w:p w14:paraId="5F3F68D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300</w:t>
            </w:r>
          </w:p>
        </w:tc>
        <w:tc>
          <w:tcPr>
            <w:tcW w:w="1018" w:type="pct"/>
            <w:noWrap w:val="0"/>
            <w:vAlign w:val="center"/>
          </w:tcPr>
          <w:p w14:paraId="7B5670A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lang w:val="en-US" w:eastAsia="zh-CN"/>
              </w:rPr>
            </w:pPr>
            <w:r>
              <w:rPr>
                <w:rFonts w:hint="eastAsia"/>
                <w:sz w:val="21"/>
                <w:szCs w:val="21"/>
                <w:highlight w:val="none"/>
                <w:lang w:val="en-US" w:eastAsia="zh-CN"/>
              </w:rPr>
              <w:t>0.66</w:t>
            </w:r>
          </w:p>
        </w:tc>
        <w:tc>
          <w:tcPr>
            <w:tcW w:w="747" w:type="pct"/>
            <w:noWrap w:val="0"/>
            <w:vAlign w:val="center"/>
          </w:tcPr>
          <w:p w14:paraId="08817EC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lang w:val="en-US" w:eastAsia="zh-CN"/>
              </w:rPr>
            </w:pPr>
            <w:r>
              <w:rPr>
                <w:rFonts w:hint="eastAsia"/>
                <w:sz w:val="21"/>
                <w:szCs w:val="21"/>
                <w:highlight w:val="none"/>
                <w:lang w:val="en-US" w:eastAsia="zh-CN"/>
              </w:rPr>
              <w:t>3.42</w:t>
            </w:r>
          </w:p>
        </w:tc>
        <w:tc>
          <w:tcPr>
            <w:tcW w:w="746" w:type="pct"/>
            <w:noWrap w:val="0"/>
            <w:vAlign w:val="center"/>
          </w:tcPr>
          <w:p w14:paraId="708799D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lang w:val="en-US" w:eastAsia="zh-CN"/>
              </w:rPr>
            </w:pPr>
            <w:r>
              <w:rPr>
                <w:rFonts w:hint="eastAsia"/>
                <w:sz w:val="21"/>
                <w:szCs w:val="21"/>
                <w:highlight w:val="none"/>
                <w:lang w:val="en-US" w:eastAsia="zh-CN"/>
              </w:rPr>
              <w:t>0.89</w:t>
            </w:r>
          </w:p>
        </w:tc>
        <w:tc>
          <w:tcPr>
            <w:tcW w:w="746" w:type="pct"/>
            <w:noWrap w:val="0"/>
            <w:vAlign w:val="center"/>
          </w:tcPr>
          <w:p w14:paraId="7D4038E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lang w:val="en-US" w:eastAsia="zh-CN"/>
              </w:rPr>
            </w:pPr>
            <w:r>
              <w:rPr>
                <w:rFonts w:hint="eastAsia"/>
                <w:sz w:val="21"/>
                <w:szCs w:val="21"/>
                <w:highlight w:val="none"/>
                <w:lang w:val="en-US" w:eastAsia="zh-CN"/>
              </w:rPr>
              <w:t>无组织排放</w:t>
            </w:r>
          </w:p>
        </w:tc>
      </w:tr>
    </w:tbl>
    <w:p w14:paraId="4BAA22F1">
      <w:pPr>
        <w:bidi w:val="0"/>
        <w:rPr>
          <w:rFonts w:hint="eastAsia"/>
          <w:highlight w:val="none"/>
          <w:lang w:val="en-US" w:eastAsia="zh-CN"/>
        </w:rPr>
      </w:pPr>
      <w:r>
        <w:rPr>
          <w:rFonts w:hint="eastAsia"/>
          <w:highlight w:val="none"/>
          <w:lang w:val="en-US" w:eastAsia="zh-CN"/>
        </w:rPr>
        <w:t>（3）车辆运输扬尘</w:t>
      </w:r>
    </w:p>
    <w:p w14:paraId="7BE6AAD3">
      <w:pPr>
        <w:bidi w:val="0"/>
        <w:rPr>
          <w:rFonts w:hint="eastAsia"/>
          <w:highlight w:val="none"/>
          <w:lang w:val="en-US" w:eastAsia="zh-CN"/>
        </w:rPr>
      </w:pPr>
      <w:r>
        <w:rPr>
          <w:rFonts w:hint="eastAsia"/>
          <w:highlight w:val="none"/>
          <w:lang w:val="en-US" w:eastAsia="zh-CN"/>
        </w:rPr>
        <w:t>车辆运输扬尘主要指车辆在场内运输产生的扬尘，出场时对车辆进行冲洗，场外运输产生扬尘量很小。本项目废渣填埋场内运输平均距离以100m计。根据《大气环境影响评价实用技术手册》（中国标准出版社，2010.9）项目车辆运输扬尘可按如下经验公式估算：</w:t>
      </w:r>
    </w:p>
    <w:p w14:paraId="5105F71F">
      <w:pPr>
        <w:bidi w:val="0"/>
        <w:ind w:left="0" w:leftChars="0" w:firstLine="0" w:firstLineChars="0"/>
        <w:jc w:val="center"/>
        <w:rPr>
          <w:rFonts w:hint="eastAsia"/>
          <w:highlight w:val="yellow"/>
          <w:lang w:val="en-US" w:eastAsia="zh-CN"/>
        </w:rPr>
      </w:pPr>
      <w:r>
        <w:rPr>
          <w:rFonts w:hint="eastAsia"/>
          <w:highlight w:val="none"/>
          <w:lang w:val="en-US" w:eastAsia="zh-CN"/>
        </w:rPr>
        <w:drawing>
          <wp:inline distT="0" distB="0" distL="114300" distR="114300">
            <wp:extent cx="2574290" cy="351790"/>
            <wp:effectExtent l="0" t="0" r="16510" b="10160"/>
            <wp:docPr id="4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22"/>
                    <pic:cNvPicPr>
                      <a:picLocks noChangeAspect="1"/>
                    </pic:cNvPicPr>
                  </pic:nvPicPr>
                  <pic:blipFill>
                    <a:blip r:embed="rId49"/>
                    <a:stretch>
                      <a:fillRect/>
                    </a:stretch>
                  </pic:blipFill>
                  <pic:spPr>
                    <a:xfrm>
                      <a:off x="0" y="0"/>
                      <a:ext cx="2574290" cy="351790"/>
                    </a:xfrm>
                    <a:prstGeom prst="rect">
                      <a:avLst/>
                    </a:prstGeom>
                    <a:noFill/>
                    <a:ln>
                      <a:noFill/>
                    </a:ln>
                  </pic:spPr>
                </pic:pic>
              </a:graphicData>
            </a:graphic>
          </wp:inline>
        </w:drawing>
      </w:r>
    </w:p>
    <w:p w14:paraId="6B0DD45F">
      <w:pPr>
        <w:bidi w:val="0"/>
        <w:rPr>
          <w:rFonts w:hint="eastAsia"/>
          <w:highlight w:val="none"/>
          <w:lang w:val="en-US" w:eastAsia="zh-CN"/>
        </w:rPr>
      </w:pPr>
      <w:r>
        <w:rPr>
          <w:rFonts w:hint="eastAsia"/>
          <w:highlight w:val="none"/>
          <w:lang w:val="en-US" w:eastAsia="zh-CN"/>
        </w:rPr>
        <w:t>式中：Q</w:t>
      </w:r>
      <w:r>
        <w:rPr>
          <w:rFonts w:hint="eastAsia"/>
          <w:highlight w:val="none"/>
          <w:vertAlign w:val="subscript"/>
          <w:lang w:val="en-US" w:eastAsia="zh-CN"/>
        </w:rPr>
        <w:t>i</w:t>
      </w:r>
      <w:r>
        <w:rPr>
          <w:rFonts w:hint="eastAsia"/>
          <w:highlight w:val="none"/>
          <w:lang w:val="en-US" w:eastAsia="zh-CN"/>
        </w:rPr>
        <w:t>——每辆汽车行驶扬尘（kg/km</w:t>
      </w:r>
      <w:r>
        <w:rPr>
          <w:rFonts w:hint="default" w:ascii="Times New Roman" w:hAnsi="Times New Roman" w:cs="Times New Roman"/>
          <w:highlight w:val="none"/>
          <w:lang w:val="en-US" w:eastAsia="zh-CN"/>
        </w:rPr>
        <w:t>·</w:t>
      </w:r>
      <w:r>
        <w:rPr>
          <w:rFonts w:hint="eastAsia"/>
          <w:highlight w:val="none"/>
          <w:lang w:val="en-US" w:eastAsia="zh-CN"/>
        </w:rPr>
        <w:t>辆）；</w:t>
      </w:r>
    </w:p>
    <w:p w14:paraId="4E3BA14E">
      <w:pPr>
        <w:bidi w:val="0"/>
        <w:ind w:firstLine="1200" w:firstLineChars="500"/>
        <w:rPr>
          <w:rFonts w:hint="eastAsia"/>
          <w:highlight w:val="none"/>
          <w:lang w:val="en-US" w:eastAsia="zh-CN"/>
        </w:rPr>
      </w:pPr>
      <w:r>
        <w:rPr>
          <w:rFonts w:hint="eastAsia"/>
          <w:highlight w:val="none"/>
          <w:lang w:val="en-US" w:eastAsia="zh-CN"/>
        </w:rPr>
        <w:t>V——汽车速度（km/h），项目取15km/h；</w:t>
      </w:r>
    </w:p>
    <w:p w14:paraId="4BEC7D37">
      <w:pPr>
        <w:bidi w:val="0"/>
        <w:ind w:firstLine="1200" w:firstLineChars="500"/>
        <w:rPr>
          <w:rFonts w:hint="eastAsia"/>
          <w:highlight w:val="none"/>
          <w:lang w:val="en-US" w:eastAsia="zh-CN"/>
        </w:rPr>
      </w:pPr>
      <w:r>
        <w:rPr>
          <w:rFonts w:hint="eastAsia"/>
          <w:highlight w:val="none"/>
          <w:lang w:val="en-US" w:eastAsia="zh-CN"/>
        </w:rPr>
        <w:t>W——汽车重量（t），项目汽车空载为5t，载重时总重为25t；</w:t>
      </w:r>
    </w:p>
    <w:p w14:paraId="3269BD8E">
      <w:pPr>
        <w:bidi w:val="0"/>
        <w:ind w:firstLine="1200" w:firstLineChars="500"/>
        <w:rPr>
          <w:rFonts w:hint="eastAsia"/>
          <w:highlight w:val="none"/>
          <w:lang w:val="en-US" w:eastAsia="zh-CN"/>
        </w:rPr>
      </w:pPr>
      <w:r>
        <w:rPr>
          <w:rFonts w:hint="eastAsia"/>
          <w:highlight w:val="none"/>
          <w:lang w:val="en-US" w:eastAsia="zh-CN"/>
        </w:rPr>
        <w:t>P——道路表面粉尘量（kg/m</w:t>
      </w:r>
      <w:r>
        <w:rPr>
          <w:rFonts w:hint="eastAsia"/>
          <w:highlight w:val="none"/>
          <w:vertAlign w:val="superscript"/>
          <w:lang w:val="en-US" w:eastAsia="zh-CN"/>
        </w:rPr>
        <w:t>2</w:t>
      </w:r>
      <w:r>
        <w:rPr>
          <w:rFonts w:hint="eastAsia"/>
          <w:highlight w:val="none"/>
          <w:lang w:val="en-US" w:eastAsia="zh-CN"/>
        </w:rPr>
        <w:t>），本项目道路取0.2（连接道路定期清扫）。</w:t>
      </w:r>
    </w:p>
    <w:p w14:paraId="32F04AE0">
      <w:pPr>
        <w:bidi w:val="0"/>
        <w:rPr>
          <w:rFonts w:hint="eastAsia"/>
          <w:highlight w:val="yellow"/>
          <w:lang w:val="en-US" w:eastAsia="zh-CN"/>
        </w:rPr>
      </w:pPr>
      <w:r>
        <w:rPr>
          <w:rFonts w:hint="eastAsia"/>
          <w:highlight w:val="none"/>
          <w:lang w:val="en-US" w:eastAsia="zh-CN"/>
        </w:rPr>
        <w:t>则Q</w:t>
      </w:r>
      <w:r>
        <w:rPr>
          <w:rFonts w:hint="eastAsia"/>
          <w:highlight w:val="none"/>
          <w:vertAlign w:val="subscript"/>
          <w:lang w:val="en-US" w:eastAsia="zh-CN"/>
        </w:rPr>
        <w:t>i</w:t>
      </w:r>
      <w:r>
        <w:rPr>
          <w:rFonts w:hint="eastAsia"/>
          <w:highlight w:val="none"/>
          <w:lang w:val="en-US" w:eastAsia="zh-CN"/>
        </w:rPr>
        <w:t>载重=0.574kg/km</w:t>
      </w:r>
      <w:r>
        <w:rPr>
          <w:rFonts w:hint="default" w:ascii="Times New Roman" w:hAnsi="Times New Roman" w:cs="Times New Roman"/>
          <w:highlight w:val="none"/>
          <w:lang w:val="en-US" w:eastAsia="zh-CN"/>
        </w:rPr>
        <w:t>·</w:t>
      </w:r>
      <w:r>
        <w:rPr>
          <w:rFonts w:hint="eastAsia"/>
          <w:highlight w:val="none"/>
          <w:lang w:val="en-US" w:eastAsia="zh-CN"/>
        </w:rPr>
        <w:t>辆，Q</w:t>
      </w:r>
      <w:r>
        <w:rPr>
          <w:rFonts w:hint="eastAsia"/>
          <w:highlight w:val="none"/>
          <w:vertAlign w:val="subscript"/>
          <w:lang w:val="en-US" w:eastAsia="zh-CN"/>
        </w:rPr>
        <w:t>i</w:t>
      </w:r>
      <w:r>
        <w:rPr>
          <w:rFonts w:hint="eastAsia"/>
          <w:highlight w:val="none"/>
          <w:lang w:val="en-US" w:eastAsia="zh-CN"/>
        </w:rPr>
        <w:t>空载=0.146kg/km</w:t>
      </w:r>
      <w:r>
        <w:rPr>
          <w:rFonts w:hint="default" w:ascii="Times New Roman" w:hAnsi="Times New Roman" w:cs="Times New Roman"/>
          <w:highlight w:val="none"/>
          <w:lang w:val="en-US" w:eastAsia="zh-CN"/>
        </w:rPr>
        <w:t>·</w:t>
      </w:r>
      <w:r>
        <w:rPr>
          <w:rFonts w:hint="eastAsia"/>
          <w:highlight w:val="none"/>
          <w:lang w:val="en-US" w:eastAsia="zh-CN"/>
        </w:rPr>
        <w:t>辆。本项目平均运输距离取100m，运输量为71826.12m</w:t>
      </w:r>
      <w:r>
        <w:rPr>
          <w:rFonts w:hint="eastAsia"/>
          <w:highlight w:val="none"/>
          <w:vertAlign w:val="superscript"/>
          <w:lang w:val="en-US" w:eastAsia="zh-CN"/>
        </w:rPr>
        <w:t>3</w:t>
      </w:r>
      <w:r>
        <w:rPr>
          <w:rFonts w:hint="eastAsia"/>
          <w:highlight w:val="none"/>
          <w:lang w:val="en-US" w:eastAsia="zh-CN"/>
        </w:rPr>
        <w:t>，则载重交通次数为6465次，空载交通次数为6465次，载重运输扬尘为371.09kg，空载运输扬尘为94.39kg，项目车辆运输道路扬尘总产生量为465.48kg。</w:t>
      </w:r>
    </w:p>
    <w:p w14:paraId="6D4E63B1">
      <w:pPr>
        <w:bidi w:val="0"/>
        <w:rPr>
          <w:rFonts w:hint="eastAsia"/>
          <w:highlight w:val="yellow"/>
          <w:lang w:val="en-US" w:eastAsia="zh-CN"/>
        </w:rPr>
      </w:pPr>
      <w:r>
        <w:rPr>
          <w:rFonts w:hint="eastAsia"/>
          <w:highlight w:val="none"/>
          <w:lang w:val="en-US" w:eastAsia="zh-CN"/>
        </w:rPr>
        <w:t>本项目定时对车辆进行清洗，严格控制车速措施，加强路面维护及清理，运输车辆采取密闭运输，配备洒水车辆及时对运输道路洒水，在采取上述措施后预计粉尘量可降低74%左右，则项目运输扬尘排放量为121.02kg。</w:t>
      </w:r>
    </w:p>
    <w:p w14:paraId="44E3209F">
      <w:pPr>
        <w:bidi w:val="0"/>
        <w:rPr>
          <w:rFonts w:hint="eastAsia"/>
          <w:highlight w:val="none"/>
          <w:lang w:val="en-US" w:eastAsia="zh-CN"/>
        </w:rPr>
      </w:pPr>
      <w:r>
        <w:rPr>
          <w:rFonts w:hint="eastAsia"/>
          <w:highlight w:val="none"/>
          <w:lang w:val="en-US" w:eastAsia="zh-CN"/>
        </w:rPr>
        <w:t>（4）车辆、机械燃油尾气</w:t>
      </w:r>
    </w:p>
    <w:p w14:paraId="02806AE4">
      <w:pPr>
        <w:bidi w:val="0"/>
        <w:rPr>
          <w:rFonts w:hint="eastAsia"/>
          <w:highlight w:val="none"/>
          <w:lang w:val="en-US" w:eastAsia="zh-CN"/>
        </w:rPr>
      </w:pPr>
      <w:r>
        <w:rPr>
          <w:rFonts w:hint="eastAsia"/>
          <w:highlight w:val="none"/>
          <w:lang w:val="en-US" w:eastAsia="zh-CN"/>
        </w:rPr>
        <w:t>项目施工机械主要有挖掘机、推土机、装载机等燃油机械，它们排放的污染物主要有CO、NO</w:t>
      </w:r>
      <w:r>
        <w:rPr>
          <w:rFonts w:hint="eastAsia"/>
          <w:highlight w:val="none"/>
          <w:vertAlign w:val="subscript"/>
          <w:lang w:val="en-US" w:eastAsia="zh-CN"/>
        </w:rPr>
        <w:t>2</w:t>
      </w:r>
      <w:r>
        <w:rPr>
          <w:rFonts w:hint="eastAsia"/>
          <w:highlight w:val="none"/>
          <w:lang w:val="en-US" w:eastAsia="zh-CN"/>
        </w:rPr>
        <w:t>、THC。由于施工机械多为大型机械，单车排放系数较大，使局部范围的CO、NO</w:t>
      </w:r>
      <w:r>
        <w:rPr>
          <w:rFonts w:hint="eastAsia"/>
          <w:highlight w:val="none"/>
          <w:vertAlign w:val="subscript"/>
          <w:lang w:val="en-US" w:eastAsia="zh-CN"/>
        </w:rPr>
        <w:t>2</w:t>
      </w:r>
      <w:r>
        <w:rPr>
          <w:rFonts w:hint="eastAsia"/>
          <w:highlight w:val="none"/>
          <w:lang w:val="en-US" w:eastAsia="zh-CN"/>
        </w:rPr>
        <w:t>、THC等浓度有所增加。但施工机械数量少且较分散，其污染程度相对较轻。</w:t>
      </w:r>
    </w:p>
    <w:p w14:paraId="2AE63336">
      <w:pPr>
        <w:pStyle w:val="10"/>
        <w:numPr>
          <w:ilvl w:val="3"/>
          <w:numId w:val="1"/>
        </w:numPr>
        <w:bidi w:val="0"/>
        <w:ind w:left="850" w:leftChars="0" w:hanging="850" w:firstLineChars="0"/>
        <w:rPr>
          <w:rFonts w:hint="default"/>
          <w:lang w:val="en-US" w:eastAsia="zh-CN"/>
        </w:rPr>
      </w:pPr>
      <w:r>
        <w:rPr>
          <w:rFonts w:hint="eastAsia"/>
          <w:lang w:val="en-US" w:eastAsia="zh-CN"/>
        </w:rPr>
        <w:t>废水</w:t>
      </w:r>
    </w:p>
    <w:p w14:paraId="28B38002">
      <w:pPr>
        <w:bidi w:val="0"/>
        <w:rPr>
          <w:rFonts w:hint="eastAsia"/>
          <w:lang w:val="en-US" w:eastAsia="zh-CN"/>
        </w:rPr>
      </w:pPr>
      <w:r>
        <w:rPr>
          <w:rFonts w:hint="eastAsia"/>
          <w:lang w:val="en-US" w:eastAsia="zh-CN"/>
        </w:rPr>
        <w:t>项目废水污染源主要为清挖过程中雨季产生的淋溶水、车辆冲洗废水以及生活污水。</w:t>
      </w:r>
    </w:p>
    <w:p w14:paraId="668E7128">
      <w:pPr>
        <w:bidi w:val="0"/>
        <w:rPr>
          <w:rFonts w:hint="eastAsia"/>
          <w:lang w:val="en-US" w:eastAsia="zh-CN"/>
        </w:rPr>
      </w:pPr>
      <w:r>
        <w:rPr>
          <w:rFonts w:hint="eastAsia"/>
          <w:lang w:val="en-US" w:eastAsia="zh-CN"/>
        </w:rPr>
        <w:t>（1）清挖过程中雨季产生的淋溶水</w:t>
      </w:r>
    </w:p>
    <w:p w14:paraId="6F4C54A0">
      <w:pPr>
        <w:bidi w:val="0"/>
        <w:rPr>
          <w:rFonts w:hint="eastAsia"/>
          <w:highlight w:val="yellow"/>
          <w:lang w:val="en-US" w:eastAsia="zh-CN"/>
        </w:rPr>
      </w:pPr>
      <w:r>
        <w:rPr>
          <w:rFonts w:hint="eastAsia"/>
          <w:highlight w:val="none"/>
          <w:lang w:val="en-US" w:eastAsia="zh-CN"/>
        </w:rPr>
        <w:t>本项目废渣开挖前应关注气象条件，尽可能的避开雨季，同时应尽可能控制废渣开挖作业区面积，如在废渣开挖过程中遇到下雨情况，应采取紧急措施，应对废渣开挖作业区进行临时覆盖。各废渣堆开挖前在四周设置雨水截排沟，开挖场地低洼处设置集水坑收集清挖过程中雨季产生的淋溶水，集水坑作防渗处理。根据项目可研及初步设计资料，本项目采用分区开挖，场地开挖产生的淋溶水产生量约为4m</w:t>
      </w:r>
      <w:r>
        <w:rPr>
          <w:rFonts w:hint="eastAsia"/>
          <w:highlight w:val="none"/>
          <w:vertAlign w:val="superscript"/>
          <w:lang w:val="en-US" w:eastAsia="zh-CN"/>
        </w:rPr>
        <w:t>3</w:t>
      </w:r>
      <w:r>
        <w:rPr>
          <w:rFonts w:hint="eastAsia"/>
          <w:highlight w:val="none"/>
          <w:vertAlign w:val="baseline"/>
          <w:lang w:val="en-US" w:eastAsia="zh-CN"/>
        </w:rPr>
        <w:t>/d</w:t>
      </w:r>
      <w:r>
        <w:rPr>
          <w:rFonts w:hint="eastAsia"/>
          <w:highlight w:val="none"/>
          <w:lang w:val="en-US" w:eastAsia="zh-CN"/>
        </w:rPr>
        <w:t>。淋溶水水质类比《平江县三阳乡南尧村片区（垂拱组、仙人组）历史遗留重金属废渣污染状况调查报告》（湖南安博检测有限公司，2022年8月）废渣点位水浸监测结果最大值。清挖过程中雨季产生的淋溶水收集后采用一体化废水处理设备进行处理达标后回用于洒水抑尘，一体化设备主要工艺为生物制剂+絮凝沉淀，重金属离子去除效率达到90%以上。淋溶水污染物产排情况具体见下表。</w:t>
      </w:r>
    </w:p>
    <w:p w14:paraId="79BEFE7F">
      <w:pPr>
        <w:bidi w:val="0"/>
        <w:ind w:left="0" w:leftChars="0" w:firstLine="0" w:firstLineChars="0"/>
        <w:jc w:val="center"/>
        <w:rPr>
          <w:rFonts w:hint="eastAsia"/>
          <w:b/>
          <w:bCs/>
          <w:sz w:val="21"/>
          <w:szCs w:val="21"/>
          <w:highlight w:val="none"/>
          <w:lang w:val="en-US" w:eastAsia="zh-CN"/>
        </w:rPr>
      </w:pPr>
      <w:r>
        <w:rPr>
          <w:rFonts w:hint="eastAsia"/>
          <w:b/>
          <w:bCs/>
          <w:sz w:val="21"/>
          <w:szCs w:val="21"/>
          <w:highlight w:val="none"/>
          <w:lang w:val="en-US" w:eastAsia="zh-CN"/>
        </w:rPr>
        <w:t>表3.2-4  项目淋溶水主要污染物产排情况一览表</w:t>
      </w:r>
    </w:p>
    <w:tbl>
      <w:tblPr>
        <w:tblStyle w:val="36"/>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009"/>
        <w:gridCol w:w="1644"/>
        <w:gridCol w:w="1644"/>
        <w:gridCol w:w="1644"/>
        <w:gridCol w:w="1644"/>
        <w:gridCol w:w="1647"/>
      </w:tblGrid>
      <w:tr w14:paraId="77EC9D4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blHeader/>
        </w:trPr>
        <w:tc>
          <w:tcPr>
            <w:tcW w:w="1009" w:type="dxa"/>
            <w:vAlign w:val="center"/>
          </w:tcPr>
          <w:p w14:paraId="32E6710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bCs/>
                <w:sz w:val="21"/>
                <w:szCs w:val="21"/>
                <w:highlight w:val="none"/>
                <w:vertAlign w:val="baseline"/>
                <w:lang w:val="en-US" w:eastAsia="zh-CN"/>
              </w:rPr>
            </w:pPr>
            <w:r>
              <w:rPr>
                <w:rFonts w:hint="eastAsia"/>
                <w:b/>
                <w:bCs/>
                <w:sz w:val="21"/>
                <w:szCs w:val="21"/>
                <w:highlight w:val="none"/>
                <w:vertAlign w:val="baseline"/>
                <w:lang w:val="en-US" w:eastAsia="zh-CN"/>
              </w:rPr>
              <w:t>污染物</w:t>
            </w:r>
          </w:p>
        </w:tc>
        <w:tc>
          <w:tcPr>
            <w:tcW w:w="1644" w:type="dxa"/>
            <w:vAlign w:val="center"/>
          </w:tcPr>
          <w:p w14:paraId="54A6C6C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bCs/>
                <w:sz w:val="21"/>
                <w:szCs w:val="21"/>
                <w:highlight w:val="none"/>
                <w:vertAlign w:val="baseline"/>
                <w:lang w:val="en-US" w:eastAsia="zh-CN"/>
              </w:rPr>
            </w:pPr>
            <w:r>
              <w:rPr>
                <w:rFonts w:hint="eastAsia"/>
                <w:b/>
                <w:bCs/>
                <w:sz w:val="21"/>
                <w:szCs w:val="21"/>
                <w:highlight w:val="none"/>
                <w:vertAlign w:val="baseline"/>
                <w:lang w:val="en-US" w:eastAsia="zh-CN"/>
              </w:rPr>
              <w:t>产生浓度（mg/L）</w:t>
            </w:r>
          </w:p>
        </w:tc>
        <w:tc>
          <w:tcPr>
            <w:tcW w:w="1644" w:type="dxa"/>
            <w:vAlign w:val="center"/>
          </w:tcPr>
          <w:p w14:paraId="716F72E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bCs/>
                <w:sz w:val="21"/>
                <w:szCs w:val="21"/>
                <w:highlight w:val="none"/>
                <w:vertAlign w:val="baseline"/>
                <w:lang w:val="en-US" w:eastAsia="zh-CN"/>
              </w:rPr>
            </w:pPr>
            <w:r>
              <w:rPr>
                <w:rFonts w:hint="eastAsia"/>
                <w:b/>
                <w:bCs/>
                <w:sz w:val="21"/>
                <w:szCs w:val="21"/>
                <w:highlight w:val="none"/>
                <w:vertAlign w:val="baseline"/>
                <w:lang w:val="en-US" w:eastAsia="zh-CN"/>
              </w:rPr>
              <w:t>产生量（kg/d）</w:t>
            </w:r>
          </w:p>
        </w:tc>
        <w:tc>
          <w:tcPr>
            <w:tcW w:w="1644" w:type="dxa"/>
            <w:vAlign w:val="center"/>
          </w:tcPr>
          <w:p w14:paraId="0B65DE1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bCs/>
                <w:sz w:val="21"/>
                <w:szCs w:val="21"/>
                <w:highlight w:val="none"/>
                <w:vertAlign w:val="baseline"/>
                <w:lang w:val="en-US" w:eastAsia="zh-CN"/>
              </w:rPr>
            </w:pPr>
            <w:r>
              <w:rPr>
                <w:rFonts w:hint="eastAsia"/>
                <w:b/>
                <w:bCs/>
                <w:sz w:val="21"/>
                <w:szCs w:val="21"/>
                <w:highlight w:val="none"/>
                <w:vertAlign w:val="baseline"/>
                <w:lang w:val="en-US" w:eastAsia="zh-CN"/>
              </w:rPr>
              <w:t>处理效率（%）</w:t>
            </w:r>
          </w:p>
        </w:tc>
        <w:tc>
          <w:tcPr>
            <w:tcW w:w="1644" w:type="dxa"/>
            <w:vAlign w:val="center"/>
          </w:tcPr>
          <w:p w14:paraId="70C1C08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bCs/>
                <w:sz w:val="21"/>
                <w:szCs w:val="21"/>
                <w:highlight w:val="none"/>
                <w:vertAlign w:val="baseline"/>
                <w:lang w:val="en-US" w:eastAsia="zh-CN"/>
              </w:rPr>
            </w:pPr>
            <w:r>
              <w:rPr>
                <w:rFonts w:hint="eastAsia"/>
                <w:b/>
                <w:bCs/>
                <w:sz w:val="21"/>
                <w:szCs w:val="21"/>
                <w:highlight w:val="none"/>
                <w:vertAlign w:val="baseline"/>
                <w:lang w:val="en-US" w:eastAsia="zh-CN"/>
              </w:rPr>
              <w:t>处理后浓度（mg/L）</w:t>
            </w:r>
          </w:p>
        </w:tc>
        <w:tc>
          <w:tcPr>
            <w:tcW w:w="1647" w:type="dxa"/>
            <w:vAlign w:val="center"/>
          </w:tcPr>
          <w:p w14:paraId="1287424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bCs/>
                <w:sz w:val="21"/>
                <w:szCs w:val="21"/>
                <w:highlight w:val="none"/>
                <w:vertAlign w:val="baseline"/>
                <w:lang w:val="en-US" w:eastAsia="zh-CN"/>
              </w:rPr>
            </w:pPr>
            <w:r>
              <w:rPr>
                <w:rFonts w:hint="eastAsia"/>
                <w:b/>
                <w:bCs/>
                <w:sz w:val="21"/>
                <w:szCs w:val="21"/>
                <w:highlight w:val="none"/>
                <w:vertAlign w:val="baseline"/>
                <w:lang w:val="en-US" w:eastAsia="zh-CN"/>
              </w:rPr>
              <w:t>排放量（kg/d）</w:t>
            </w:r>
          </w:p>
        </w:tc>
      </w:tr>
      <w:tr w14:paraId="70F9E1B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009" w:type="dxa"/>
            <w:vAlign w:val="center"/>
          </w:tcPr>
          <w:p w14:paraId="338AAC8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总铬</w:t>
            </w:r>
          </w:p>
        </w:tc>
        <w:tc>
          <w:tcPr>
            <w:tcW w:w="1644" w:type="dxa"/>
            <w:vAlign w:val="center"/>
          </w:tcPr>
          <w:p w14:paraId="1190BBA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0.02</w:t>
            </w:r>
          </w:p>
        </w:tc>
        <w:tc>
          <w:tcPr>
            <w:tcW w:w="1644" w:type="dxa"/>
            <w:vAlign w:val="center"/>
          </w:tcPr>
          <w:p w14:paraId="172C3B9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sz w:val="21"/>
                <w:szCs w:val="21"/>
                <w:highlight w:val="none"/>
                <w:vertAlign w:val="baseline"/>
                <w:lang w:val="en-US" w:eastAsia="zh-CN"/>
              </w:rPr>
            </w:pPr>
            <w:r>
              <w:rPr>
                <w:rFonts w:hint="eastAsia" w:ascii="Times New Roman" w:hAnsi="Times New Roman" w:eastAsia="宋体" w:cs="Times New Roman"/>
                <w:sz w:val="21"/>
                <w:szCs w:val="21"/>
                <w:highlight w:val="none"/>
                <w:vertAlign w:val="baseline"/>
                <w:lang w:val="en-US" w:eastAsia="zh-CN"/>
              </w:rPr>
              <w:t>0.00008</w:t>
            </w:r>
          </w:p>
        </w:tc>
        <w:tc>
          <w:tcPr>
            <w:tcW w:w="1644" w:type="dxa"/>
            <w:vAlign w:val="center"/>
          </w:tcPr>
          <w:p w14:paraId="552A3FF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eastAsia" w:ascii="Times New Roman" w:hAnsi="Times New Roman" w:eastAsia="宋体" w:cs="Times New Roman"/>
                <w:sz w:val="21"/>
                <w:szCs w:val="21"/>
                <w:highlight w:val="none"/>
                <w:vertAlign w:val="baseline"/>
                <w:lang w:val="en-US" w:eastAsia="zh-CN"/>
              </w:rPr>
              <w:t>90</w:t>
            </w:r>
          </w:p>
        </w:tc>
        <w:tc>
          <w:tcPr>
            <w:tcW w:w="1644" w:type="dxa"/>
            <w:vAlign w:val="center"/>
          </w:tcPr>
          <w:p w14:paraId="06EA066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sz w:val="21"/>
                <w:szCs w:val="21"/>
                <w:highlight w:val="none"/>
                <w:vertAlign w:val="baseline"/>
                <w:lang w:val="en-US" w:eastAsia="zh-CN"/>
              </w:rPr>
            </w:pPr>
            <w:r>
              <w:rPr>
                <w:rFonts w:hint="eastAsia" w:ascii="Times New Roman" w:hAnsi="Times New Roman" w:eastAsia="宋体" w:cs="Times New Roman"/>
                <w:sz w:val="21"/>
                <w:szCs w:val="21"/>
                <w:highlight w:val="none"/>
                <w:vertAlign w:val="baseline"/>
                <w:lang w:val="en-US" w:eastAsia="zh-CN"/>
              </w:rPr>
              <w:t>0.002</w:t>
            </w:r>
          </w:p>
        </w:tc>
        <w:tc>
          <w:tcPr>
            <w:tcW w:w="1647" w:type="dxa"/>
            <w:vAlign w:val="center"/>
          </w:tcPr>
          <w:p w14:paraId="06FE055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sz w:val="21"/>
                <w:szCs w:val="21"/>
                <w:highlight w:val="none"/>
                <w:vertAlign w:val="baseline"/>
                <w:lang w:val="en-US" w:eastAsia="zh-CN"/>
              </w:rPr>
            </w:pPr>
            <w:r>
              <w:rPr>
                <w:rFonts w:hint="eastAsia" w:ascii="Times New Roman" w:hAnsi="Times New Roman" w:eastAsia="宋体" w:cs="Times New Roman"/>
                <w:sz w:val="21"/>
                <w:szCs w:val="21"/>
                <w:highlight w:val="none"/>
                <w:vertAlign w:val="baseline"/>
                <w:lang w:val="en-US" w:eastAsia="zh-CN"/>
              </w:rPr>
              <w:t>0.000008</w:t>
            </w:r>
          </w:p>
        </w:tc>
      </w:tr>
      <w:tr w14:paraId="5967EEF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009" w:type="dxa"/>
            <w:vAlign w:val="center"/>
          </w:tcPr>
          <w:p w14:paraId="3BF92DD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总镍</w:t>
            </w:r>
          </w:p>
        </w:tc>
        <w:tc>
          <w:tcPr>
            <w:tcW w:w="1644" w:type="dxa"/>
            <w:vAlign w:val="center"/>
          </w:tcPr>
          <w:p w14:paraId="4722D7D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0.02</w:t>
            </w:r>
          </w:p>
        </w:tc>
        <w:tc>
          <w:tcPr>
            <w:tcW w:w="1644" w:type="dxa"/>
            <w:vAlign w:val="center"/>
          </w:tcPr>
          <w:p w14:paraId="0D4F655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sz w:val="21"/>
                <w:szCs w:val="21"/>
                <w:highlight w:val="none"/>
                <w:vertAlign w:val="baseline"/>
                <w:lang w:val="en-US" w:eastAsia="zh-CN"/>
              </w:rPr>
            </w:pPr>
            <w:r>
              <w:rPr>
                <w:rFonts w:hint="eastAsia" w:ascii="Times New Roman" w:hAnsi="Times New Roman" w:eastAsia="宋体" w:cs="Times New Roman"/>
                <w:sz w:val="21"/>
                <w:szCs w:val="21"/>
                <w:highlight w:val="none"/>
                <w:vertAlign w:val="baseline"/>
                <w:lang w:val="en-US" w:eastAsia="zh-CN"/>
              </w:rPr>
              <w:t>0.00008</w:t>
            </w:r>
          </w:p>
        </w:tc>
        <w:tc>
          <w:tcPr>
            <w:tcW w:w="1644" w:type="dxa"/>
            <w:vAlign w:val="center"/>
          </w:tcPr>
          <w:p w14:paraId="7526D41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eastAsia" w:ascii="Times New Roman" w:hAnsi="Times New Roman" w:eastAsia="宋体" w:cs="Times New Roman"/>
                <w:sz w:val="21"/>
                <w:szCs w:val="21"/>
                <w:highlight w:val="none"/>
                <w:vertAlign w:val="baseline"/>
                <w:lang w:val="en-US" w:eastAsia="zh-CN"/>
              </w:rPr>
              <w:t>90</w:t>
            </w:r>
          </w:p>
        </w:tc>
        <w:tc>
          <w:tcPr>
            <w:tcW w:w="1644" w:type="dxa"/>
            <w:vAlign w:val="center"/>
          </w:tcPr>
          <w:p w14:paraId="03538EE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eastAsia" w:ascii="Times New Roman" w:hAnsi="Times New Roman" w:eastAsia="宋体" w:cs="Times New Roman"/>
                <w:sz w:val="21"/>
                <w:szCs w:val="21"/>
                <w:highlight w:val="none"/>
                <w:vertAlign w:val="baseline"/>
                <w:lang w:val="en-US" w:eastAsia="zh-CN"/>
              </w:rPr>
              <w:t>0.002</w:t>
            </w:r>
          </w:p>
        </w:tc>
        <w:tc>
          <w:tcPr>
            <w:tcW w:w="1647" w:type="dxa"/>
            <w:vAlign w:val="center"/>
          </w:tcPr>
          <w:p w14:paraId="243C148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sz w:val="21"/>
                <w:szCs w:val="21"/>
                <w:highlight w:val="none"/>
                <w:vertAlign w:val="baseline"/>
                <w:lang w:val="en-US" w:eastAsia="zh-CN"/>
              </w:rPr>
            </w:pPr>
            <w:r>
              <w:rPr>
                <w:rFonts w:hint="eastAsia" w:ascii="Times New Roman" w:hAnsi="Times New Roman" w:eastAsia="宋体" w:cs="Times New Roman"/>
                <w:sz w:val="21"/>
                <w:szCs w:val="21"/>
                <w:highlight w:val="none"/>
                <w:vertAlign w:val="baseline"/>
                <w:lang w:val="en-US" w:eastAsia="zh-CN"/>
              </w:rPr>
              <w:t>0.000008</w:t>
            </w:r>
          </w:p>
        </w:tc>
      </w:tr>
      <w:tr w14:paraId="1ADAA4E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009" w:type="dxa"/>
            <w:vAlign w:val="center"/>
          </w:tcPr>
          <w:p w14:paraId="0CC888B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总铜</w:t>
            </w:r>
          </w:p>
        </w:tc>
        <w:tc>
          <w:tcPr>
            <w:tcW w:w="1644" w:type="dxa"/>
            <w:vAlign w:val="center"/>
          </w:tcPr>
          <w:p w14:paraId="33A37E8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0.11</w:t>
            </w:r>
          </w:p>
        </w:tc>
        <w:tc>
          <w:tcPr>
            <w:tcW w:w="1644" w:type="dxa"/>
            <w:vAlign w:val="center"/>
          </w:tcPr>
          <w:p w14:paraId="6FFDE5D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sz w:val="21"/>
                <w:szCs w:val="21"/>
                <w:highlight w:val="none"/>
                <w:vertAlign w:val="baseline"/>
                <w:lang w:val="en-US" w:eastAsia="zh-CN"/>
              </w:rPr>
            </w:pPr>
            <w:r>
              <w:rPr>
                <w:rFonts w:hint="eastAsia" w:ascii="Times New Roman" w:hAnsi="Times New Roman" w:eastAsia="宋体" w:cs="Times New Roman"/>
                <w:sz w:val="21"/>
                <w:szCs w:val="21"/>
                <w:highlight w:val="none"/>
                <w:vertAlign w:val="baseline"/>
                <w:lang w:val="en-US" w:eastAsia="zh-CN"/>
              </w:rPr>
              <w:t>0.00044</w:t>
            </w:r>
          </w:p>
        </w:tc>
        <w:tc>
          <w:tcPr>
            <w:tcW w:w="1644" w:type="dxa"/>
            <w:vAlign w:val="center"/>
          </w:tcPr>
          <w:p w14:paraId="0D233C6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eastAsia" w:ascii="Times New Roman" w:hAnsi="Times New Roman" w:eastAsia="宋体" w:cs="Times New Roman"/>
                <w:sz w:val="21"/>
                <w:szCs w:val="21"/>
                <w:highlight w:val="none"/>
                <w:vertAlign w:val="baseline"/>
                <w:lang w:val="en-US" w:eastAsia="zh-CN"/>
              </w:rPr>
              <w:t>90</w:t>
            </w:r>
          </w:p>
        </w:tc>
        <w:tc>
          <w:tcPr>
            <w:tcW w:w="1644" w:type="dxa"/>
            <w:vAlign w:val="center"/>
          </w:tcPr>
          <w:p w14:paraId="270C3EE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sz w:val="21"/>
                <w:szCs w:val="21"/>
                <w:highlight w:val="none"/>
                <w:vertAlign w:val="baseline"/>
                <w:lang w:val="en-US" w:eastAsia="zh-CN"/>
              </w:rPr>
            </w:pPr>
            <w:r>
              <w:rPr>
                <w:rFonts w:hint="eastAsia" w:ascii="Times New Roman" w:hAnsi="Times New Roman" w:eastAsia="宋体" w:cs="Times New Roman"/>
                <w:sz w:val="21"/>
                <w:szCs w:val="21"/>
                <w:highlight w:val="none"/>
                <w:vertAlign w:val="baseline"/>
                <w:lang w:val="en-US" w:eastAsia="zh-CN"/>
              </w:rPr>
              <w:t>0.011</w:t>
            </w:r>
          </w:p>
        </w:tc>
        <w:tc>
          <w:tcPr>
            <w:tcW w:w="1647" w:type="dxa"/>
            <w:vAlign w:val="center"/>
          </w:tcPr>
          <w:p w14:paraId="18DECFB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sz w:val="21"/>
                <w:szCs w:val="21"/>
                <w:highlight w:val="none"/>
                <w:vertAlign w:val="baseline"/>
                <w:lang w:val="en-US" w:eastAsia="zh-CN"/>
              </w:rPr>
            </w:pPr>
            <w:r>
              <w:rPr>
                <w:rFonts w:hint="eastAsia" w:ascii="Times New Roman" w:hAnsi="Times New Roman" w:eastAsia="宋体" w:cs="Times New Roman"/>
                <w:sz w:val="21"/>
                <w:szCs w:val="21"/>
                <w:highlight w:val="none"/>
                <w:vertAlign w:val="baseline"/>
                <w:lang w:val="en-US" w:eastAsia="zh-CN"/>
              </w:rPr>
              <w:t>0.000044</w:t>
            </w:r>
          </w:p>
        </w:tc>
      </w:tr>
      <w:tr w14:paraId="75CF2D5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009" w:type="dxa"/>
            <w:vAlign w:val="center"/>
          </w:tcPr>
          <w:p w14:paraId="589A34F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总锌</w:t>
            </w:r>
          </w:p>
        </w:tc>
        <w:tc>
          <w:tcPr>
            <w:tcW w:w="1644" w:type="dxa"/>
            <w:vAlign w:val="center"/>
          </w:tcPr>
          <w:p w14:paraId="6833498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0.27</w:t>
            </w:r>
          </w:p>
        </w:tc>
        <w:tc>
          <w:tcPr>
            <w:tcW w:w="1644" w:type="dxa"/>
            <w:vAlign w:val="center"/>
          </w:tcPr>
          <w:p w14:paraId="1EA1FFE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sz w:val="21"/>
                <w:szCs w:val="21"/>
                <w:highlight w:val="none"/>
                <w:vertAlign w:val="baseline"/>
                <w:lang w:val="en-US" w:eastAsia="zh-CN"/>
              </w:rPr>
            </w:pPr>
            <w:r>
              <w:rPr>
                <w:rFonts w:hint="eastAsia" w:ascii="Times New Roman" w:hAnsi="Times New Roman" w:eastAsia="宋体" w:cs="Times New Roman"/>
                <w:sz w:val="21"/>
                <w:szCs w:val="21"/>
                <w:highlight w:val="none"/>
                <w:vertAlign w:val="baseline"/>
                <w:lang w:val="en-US" w:eastAsia="zh-CN"/>
              </w:rPr>
              <w:t>0.00108</w:t>
            </w:r>
          </w:p>
        </w:tc>
        <w:tc>
          <w:tcPr>
            <w:tcW w:w="1644" w:type="dxa"/>
            <w:vAlign w:val="center"/>
          </w:tcPr>
          <w:p w14:paraId="7B21BD3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eastAsia" w:ascii="Times New Roman" w:hAnsi="Times New Roman" w:eastAsia="宋体" w:cs="Times New Roman"/>
                <w:sz w:val="21"/>
                <w:szCs w:val="21"/>
                <w:highlight w:val="none"/>
                <w:vertAlign w:val="baseline"/>
                <w:lang w:val="en-US" w:eastAsia="zh-CN"/>
              </w:rPr>
              <w:t>90</w:t>
            </w:r>
          </w:p>
        </w:tc>
        <w:tc>
          <w:tcPr>
            <w:tcW w:w="1644" w:type="dxa"/>
            <w:vAlign w:val="center"/>
          </w:tcPr>
          <w:p w14:paraId="47B8377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sz w:val="21"/>
                <w:szCs w:val="21"/>
                <w:highlight w:val="none"/>
                <w:vertAlign w:val="baseline"/>
                <w:lang w:val="en-US" w:eastAsia="zh-CN"/>
              </w:rPr>
            </w:pPr>
            <w:r>
              <w:rPr>
                <w:rFonts w:hint="eastAsia" w:ascii="Times New Roman" w:hAnsi="Times New Roman" w:eastAsia="宋体" w:cs="Times New Roman"/>
                <w:sz w:val="21"/>
                <w:szCs w:val="21"/>
                <w:highlight w:val="none"/>
                <w:vertAlign w:val="baseline"/>
                <w:lang w:val="en-US" w:eastAsia="zh-CN"/>
              </w:rPr>
              <w:t>0.027</w:t>
            </w:r>
          </w:p>
        </w:tc>
        <w:tc>
          <w:tcPr>
            <w:tcW w:w="1647" w:type="dxa"/>
            <w:vAlign w:val="center"/>
          </w:tcPr>
          <w:p w14:paraId="72A0E71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sz w:val="21"/>
                <w:szCs w:val="21"/>
                <w:highlight w:val="none"/>
                <w:vertAlign w:val="baseline"/>
                <w:lang w:val="en-US" w:eastAsia="zh-CN"/>
              </w:rPr>
            </w:pPr>
            <w:r>
              <w:rPr>
                <w:rFonts w:hint="eastAsia" w:ascii="Times New Roman" w:hAnsi="Times New Roman" w:eastAsia="宋体" w:cs="Times New Roman"/>
                <w:sz w:val="21"/>
                <w:szCs w:val="21"/>
                <w:highlight w:val="none"/>
                <w:vertAlign w:val="baseline"/>
                <w:lang w:val="en-US" w:eastAsia="zh-CN"/>
              </w:rPr>
              <w:t>0.000108</w:t>
            </w:r>
          </w:p>
        </w:tc>
      </w:tr>
      <w:tr w14:paraId="57A3BC2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009" w:type="dxa"/>
            <w:vAlign w:val="center"/>
          </w:tcPr>
          <w:p w14:paraId="23DA7EF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总砷</w:t>
            </w:r>
          </w:p>
        </w:tc>
        <w:tc>
          <w:tcPr>
            <w:tcW w:w="1644" w:type="dxa"/>
            <w:vAlign w:val="center"/>
          </w:tcPr>
          <w:p w14:paraId="2210206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2.48</w:t>
            </w:r>
          </w:p>
        </w:tc>
        <w:tc>
          <w:tcPr>
            <w:tcW w:w="1644" w:type="dxa"/>
            <w:vAlign w:val="center"/>
          </w:tcPr>
          <w:p w14:paraId="62C0D65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sz w:val="21"/>
                <w:szCs w:val="21"/>
                <w:highlight w:val="none"/>
                <w:vertAlign w:val="baseline"/>
                <w:lang w:val="en-US" w:eastAsia="zh-CN"/>
              </w:rPr>
            </w:pPr>
            <w:r>
              <w:rPr>
                <w:rFonts w:hint="eastAsia" w:ascii="Times New Roman" w:hAnsi="Times New Roman" w:eastAsia="宋体" w:cs="Times New Roman"/>
                <w:sz w:val="21"/>
                <w:szCs w:val="21"/>
                <w:highlight w:val="none"/>
                <w:vertAlign w:val="baseline"/>
                <w:lang w:val="en-US" w:eastAsia="zh-CN"/>
              </w:rPr>
              <w:t>0.00992</w:t>
            </w:r>
          </w:p>
        </w:tc>
        <w:tc>
          <w:tcPr>
            <w:tcW w:w="1644" w:type="dxa"/>
            <w:vAlign w:val="center"/>
          </w:tcPr>
          <w:p w14:paraId="2A65C75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eastAsia" w:ascii="Times New Roman" w:hAnsi="Times New Roman" w:eastAsia="宋体" w:cs="Times New Roman"/>
                <w:sz w:val="21"/>
                <w:szCs w:val="21"/>
                <w:highlight w:val="none"/>
                <w:vertAlign w:val="baseline"/>
                <w:lang w:val="en-US" w:eastAsia="zh-CN"/>
              </w:rPr>
              <w:t>90</w:t>
            </w:r>
          </w:p>
        </w:tc>
        <w:tc>
          <w:tcPr>
            <w:tcW w:w="1644" w:type="dxa"/>
            <w:vAlign w:val="center"/>
          </w:tcPr>
          <w:p w14:paraId="1116EBB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sz w:val="21"/>
                <w:szCs w:val="21"/>
                <w:highlight w:val="none"/>
                <w:vertAlign w:val="baseline"/>
                <w:lang w:val="en-US" w:eastAsia="zh-CN"/>
              </w:rPr>
            </w:pPr>
            <w:r>
              <w:rPr>
                <w:rFonts w:hint="eastAsia" w:ascii="Times New Roman" w:hAnsi="Times New Roman" w:eastAsia="宋体" w:cs="Times New Roman"/>
                <w:sz w:val="21"/>
                <w:szCs w:val="21"/>
                <w:highlight w:val="none"/>
                <w:vertAlign w:val="baseline"/>
                <w:lang w:val="en-US" w:eastAsia="zh-CN"/>
              </w:rPr>
              <w:t>0.248</w:t>
            </w:r>
          </w:p>
        </w:tc>
        <w:tc>
          <w:tcPr>
            <w:tcW w:w="1647" w:type="dxa"/>
            <w:vAlign w:val="center"/>
          </w:tcPr>
          <w:p w14:paraId="319746B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sz w:val="21"/>
                <w:szCs w:val="21"/>
                <w:highlight w:val="none"/>
                <w:vertAlign w:val="baseline"/>
                <w:lang w:val="en-US" w:eastAsia="zh-CN"/>
              </w:rPr>
            </w:pPr>
            <w:r>
              <w:rPr>
                <w:rFonts w:hint="eastAsia" w:ascii="Times New Roman" w:hAnsi="Times New Roman" w:eastAsia="宋体" w:cs="Times New Roman"/>
                <w:sz w:val="21"/>
                <w:szCs w:val="21"/>
                <w:highlight w:val="none"/>
                <w:vertAlign w:val="baseline"/>
                <w:lang w:val="en-US" w:eastAsia="zh-CN"/>
              </w:rPr>
              <w:t>0.000992</w:t>
            </w:r>
          </w:p>
        </w:tc>
      </w:tr>
      <w:tr w14:paraId="467ADF4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009" w:type="dxa"/>
            <w:vAlign w:val="center"/>
          </w:tcPr>
          <w:p w14:paraId="3EB1D0B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总镉</w:t>
            </w:r>
          </w:p>
        </w:tc>
        <w:tc>
          <w:tcPr>
            <w:tcW w:w="1644" w:type="dxa"/>
            <w:vAlign w:val="center"/>
          </w:tcPr>
          <w:p w14:paraId="0D58B46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0.0012</w:t>
            </w:r>
          </w:p>
        </w:tc>
        <w:tc>
          <w:tcPr>
            <w:tcW w:w="1644" w:type="dxa"/>
            <w:vAlign w:val="center"/>
          </w:tcPr>
          <w:p w14:paraId="08233D5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sz w:val="21"/>
                <w:szCs w:val="21"/>
                <w:highlight w:val="none"/>
                <w:vertAlign w:val="baseline"/>
                <w:lang w:val="en-US" w:eastAsia="zh-CN"/>
              </w:rPr>
            </w:pPr>
            <w:r>
              <w:rPr>
                <w:rFonts w:hint="eastAsia" w:ascii="Times New Roman" w:hAnsi="Times New Roman" w:eastAsia="宋体" w:cs="Times New Roman"/>
                <w:sz w:val="21"/>
                <w:szCs w:val="21"/>
                <w:highlight w:val="none"/>
                <w:vertAlign w:val="baseline"/>
                <w:lang w:val="en-US" w:eastAsia="zh-CN"/>
              </w:rPr>
              <w:t>0.0000048</w:t>
            </w:r>
          </w:p>
        </w:tc>
        <w:tc>
          <w:tcPr>
            <w:tcW w:w="1644" w:type="dxa"/>
            <w:vAlign w:val="center"/>
          </w:tcPr>
          <w:p w14:paraId="28BDE99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eastAsia" w:ascii="Times New Roman" w:hAnsi="Times New Roman" w:eastAsia="宋体" w:cs="Times New Roman"/>
                <w:sz w:val="21"/>
                <w:szCs w:val="21"/>
                <w:highlight w:val="none"/>
                <w:vertAlign w:val="baseline"/>
                <w:lang w:val="en-US" w:eastAsia="zh-CN"/>
              </w:rPr>
              <w:t>90</w:t>
            </w:r>
          </w:p>
        </w:tc>
        <w:tc>
          <w:tcPr>
            <w:tcW w:w="1644" w:type="dxa"/>
            <w:vAlign w:val="center"/>
          </w:tcPr>
          <w:p w14:paraId="175E399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sz w:val="21"/>
                <w:szCs w:val="21"/>
                <w:highlight w:val="none"/>
                <w:vertAlign w:val="baseline"/>
                <w:lang w:val="en-US" w:eastAsia="zh-CN"/>
              </w:rPr>
            </w:pPr>
            <w:r>
              <w:rPr>
                <w:rFonts w:hint="eastAsia" w:ascii="Times New Roman" w:hAnsi="Times New Roman" w:eastAsia="宋体" w:cs="Times New Roman"/>
                <w:sz w:val="21"/>
                <w:szCs w:val="21"/>
                <w:highlight w:val="none"/>
                <w:vertAlign w:val="baseline"/>
                <w:lang w:val="en-US" w:eastAsia="zh-CN"/>
              </w:rPr>
              <w:t>0.00012</w:t>
            </w:r>
          </w:p>
        </w:tc>
        <w:tc>
          <w:tcPr>
            <w:tcW w:w="1647" w:type="dxa"/>
            <w:vAlign w:val="center"/>
          </w:tcPr>
          <w:p w14:paraId="444F200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sz w:val="21"/>
                <w:szCs w:val="21"/>
                <w:highlight w:val="none"/>
                <w:vertAlign w:val="baseline"/>
                <w:lang w:val="en-US" w:eastAsia="zh-CN"/>
              </w:rPr>
            </w:pPr>
            <w:r>
              <w:rPr>
                <w:rFonts w:hint="eastAsia" w:ascii="Times New Roman" w:hAnsi="Times New Roman" w:eastAsia="宋体" w:cs="Times New Roman"/>
                <w:sz w:val="21"/>
                <w:szCs w:val="21"/>
                <w:highlight w:val="none"/>
                <w:vertAlign w:val="baseline"/>
                <w:lang w:val="en-US" w:eastAsia="zh-CN"/>
              </w:rPr>
              <w:t>0.00000048</w:t>
            </w:r>
          </w:p>
        </w:tc>
      </w:tr>
      <w:tr w14:paraId="487182C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009" w:type="dxa"/>
            <w:vAlign w:val="center"/>
          </w:tcPr>
          <w:p w14:paraId="095E32A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总铅</w:t>
            </w:r>
          </w:p>
        </w:tc>
        <w:tc>
          <w:tcPr>
            <w:tcW w:w="1644" w:type="dxa"/>
            <w:vAlign w:val="center"/>
          </w:tcPr>
          <w:p w14:paraId="3EDEC07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0.0396</w:t>
            </w:r>
          </w:p>
        </w:tc>
        <w:tc>
          <w:tcPr>
            <w:tcW w:w="1644" w:type="dxa"/>
            <w:vAlign w:val="center"/>
          </w:tcPr>
          <w:p w14:paraId="439A702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sz w:val="21"/>
                <w:szCs w:val="21"/>
                <w:highlight w:val="none"/>
                <w:vertAlign w:val="baseline"/>
                <w:lang w:val="en-US" w:eastAsia="zh-CN"/>
              </w:rPr>
            </w:pPr>
            <w:r>
              <w:rPr>
                <w:rFonts w:hint="eastAsia" w:ascii="Times New Roman" w:hAnsi="Times New Roman" w:eastAsia="宋体" w:cs="Times New Roman"/>
                <w:sz w:val="21"/>
                <w:szCs w:val="21"/>
                <w:highlight w:val="none"/>
                <w:vertAlign w:val="baseline"/>
                <w:lang w:val="en-US" w:eastAsia="zh-CN"/>
              </w:rPr>
              <w:t>0.0001584</w:t>
            </w:r>
          </w:p>
        </w:tc>
        <w:tc>
          <w:tcPr>
            <w:tcW w:w="1644" w:type="dxa"/>
            <w:vAlign w:val="center"/>
          </w:tcPr>
          <w:p w14:paraId="09C3725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eastAsia" w:ascii="Times New Roman" w:hAnsi="Times New Roman" w:eastAsia="宋体" w:cs="Times New Roman"/>
                <w:sz w:val="21"/>
                <w:szCs w:val="21"/>
                <w:highlight w:val="none"/>
                <w:vertAlign w:val="baseline"/>
                <w:lang w:val="en-US" w:eastAsia="zh-CN"/>
              </w:rPr>
              <w:t>90</w:t>
            </w:r>
          </w:p>
        </w:tc>
        <w:tc>
          <w:tcPr>
            <w:tcW w:w="1644" w:type="dxa"/>
            <w:vAlign w:val="center"/>
          </w:tcPr>
          <w:p w14:paraId="6E5E9A7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sz w:val="21"/>
                <w:szCs w:val="21"/>
                <w:highlight w:val="none"/>
                <w:vertAlign w:val="baseline"/>
                <w:lang w:val="en-US" w:eastAsia="zh-CN"/>
              </w:rPr>
            </w:pPr>
            <w:r>
              <w:rPr>
                <w:rFonts w:hint="eastAsia" w:ascii="Times New Roman" w:hAnsi="Times New Roman" w:eastAsia="宋体" w:cs="Times New Roman"/>
                <w:sz w:val="21"/>
                <w:szCs w:val="21"/>
                <w:highlight w:val="none"/>
                <w:vertAlign w:val="baseline"/>
                <w:lang w:val="en-US" w:eastAsia="zh-CN"/>
              </w:rPr>
              <w:t>0.00396</w:t>
            </w:r>
          </w:p>
        </w:tc>
        <w:tc>
          <w:tcPr>
            <w:tcW w:w="1647" w:type="dxa"/>
            <w:vAlign w:val="center"/>
          </w:tcPr>
          <w:p w14:paraId="65914A7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sz w:val="21"/>
                <w:szCs w:val="21"/>
                <w:highlight w:val="none"/>
                <w:vertAlign w:val="baseline"/>
                <w:lang w:val="en-US" w:eastAsia="zh-CN"/>
              </w:rPr>
            </w:pPr>
            <w:r>
              <w:rPr>
                <w:rFonts w:hint="eastAsia" w:ascii="Times New Roman" w:hAnsi="Times New Roman" w:eastAsia="宋体" w:cs="Times New Roman"/>
                <w:sz w:val="21"/>
                <w:szCs w:val="21"/>
                <w:highlight w:val="none"/>
                <w:vertAlign w:val="baseline"/>
                <w:lang w:val="en-US" w:eastAsia="zh-CN"/>
              </w:rPr>
              <w:t>0.00001584</w:t>
            </w:r>
          </w:p>
        </w:tc>
      </w:tr>
      <w:tr w14:paraId="484F73C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009" w:type="dxa"/>
            <w:vAlign w:val="center"/>
          </w:tcPr>
          <w:p w14:paraId="47992F6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总汞</w:t>
            </w:r>
          </w:p>
        </w:tc>
        <w:tc>
          <w:tcPr>
            <w:tcW w:w="1644" w:type="dxa"/>
            <w:vAlign w:val="center"/>
          </w:tcPr>
          <w:p w14:paraId="34A12E5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0.00002</w:t>
            </w:r>
          </w:p>
        </w:tc>
        <w:tc>
          <w:tcPr>
            <w:tcW w:w="1644" w:type="dxa"/>
            <w:vAlign w:val="center"/>
          </w:tcPr>
          <w:p w14:paraId="59E0DFE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sz w:val="21"/>
                <w:szCs w:val="21"/>
                <w:highlight w:val="none"/>
                <w:vertAlign w:val="baseline"/>
                <w:lang w:val="en-US" w:eastAsia="zh-CN"/>
              </w:rPr>
            </w:pPr>
            <w:r>
              <w:rPr>
                <w:rFonts w:hint="eastAsia" w:ascii="Times New Roman" w:hAnsi="Times New Roman" w:eastAsia="宋体" w:cs="Times New Roman"/>
                <w:sz w:val="21"/>
                <w:szCs w:val="21"/>
                <w:highlight w:val="none"/>
                <w:vertAlign w:val="baseline"/>
                <w:lang w:val="en-US" w:eastAsia="zh-CN"/>
              </w:rPr>
              <w:t>0.00000008</w:t>
            </w:r>
          </w:p>
        </w:tc>
        <w:tc>
          <w:tcPr>
            <w:tcW w:w="1644" w:type="dxa"/>
            <w:vAlign w:val="center"/>
          </w:tcPr>
          <w:p w14:paraId="44E20A0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eastAsia" w:ascii="Times New Roman" w:hAnsi="Times New Roman" w:eastAsia="宋体" w:cs="Times New Roman"/>
                <w:sz w:val="21"/>
                <w:szCs w:val="21"/>
                <w:highlight w:val="none"/>
                <w:vertAlign w:val="baseline"/>
                <w:lang w:val="en-US" w:eastAsia="zh-CN"/>
              </w:rPr>
              <w:t>90</w:t>
            </w:r>
          </w:p>
        </w:tc>
        <w:tc>
          <w:tcPr>
            <w:tcW w:w="1644" w:type="dxa"/>
            <w:vAlign w:val="center"/>
          </w:tcPr>
          <w:p w14:paraId="044DA33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sz w:val="21"/>
                <w:szCs w:val="21"/>
                <w:highlight w:val="none"/>
                <w:vertAlign w:val="baseline"/>
                <w:lang w:val="en-US" w:eastAsia="zh-CN"/>
              </w:rPr>
            </w:pPr>
            <w:r>
              <w:rPr>
                <w:rFonts w:hint="eastAsia" w:ascii="Times New Roman" w:hAnsi="Times New Roman" w:eastAsia="宋体" w:cs="Times New Roman"/>
                <w:sz w:val="21"/>
                <w:szCs w:val="21"/>
                <w:highlight w:val="none"/>
                <w:vertAlign w:val="baseline"/>
                <w:lang w:val="en-US" w:eastAsia="zh-CN"/>
              </w:rPr>
              <w:t>0.000002</w:t>
            </w:r>
          </w:p>
        </w:tc>
        <w:tc>
          <w:tcPr>
            <w:tcW w:w="1647" w:type="dxa"/>
            <w:vAlign w:val="center"/>
          </w:tcPr>
          <w:p w14:paraId="4522855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sz w:val="21"/>
                <w:szCs w:val="21"/>
                <w:highlight w:val="none"/>
                <w:vertAlign w:val="baseline"/>
                <w:lang w:val="en-US" w:eastAsia="zh-CN"/>
              </w:rPr>
            </w:pPr>
            <w:r>
              <w:rPr>
                <w:rFonts w:hint="eastAsia" w:ascii="Times New Roman" w:hAnsi="Times New Roman" w:eastAsia="宋体" w:cs="Times New Roman"/>
                <w:sz w:val="21"/>
                <w:szCs w:val="21"/>
                <w:highlight w:val="none"/>
                <w:vertAlign w:val="baseline"/>
                <w:lang w:val="en-US" w:eastAsia="zh-CN"/>
              </w:rPr>
              <w:t>0.000000008</w:t>
            </w:r>
          </w:p>
        </w:tc>
      </w:tr>
      <w:tr w14:paraId="16A6DD4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009" w:type="dxa"/>
            <w:vAlign w:val="center"/>
          </w:tcPr>
          <w:p w14:paraId="3D3BE2B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六价铬</w:t>
            </w:r>
          </w:p>
        </w:tc>
        <w:tc>
          <w:tcPr>
            <w:tcW w:w="1644" w:type="dxa"/>
            <w:vAlign w:val="center"/>
          </w:tcPr>
          <w:p w14:paraId="2F62629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0.004</w:t>
            </w:r>
          </w:p>
        </w:tc>
        <w:tc>
          <w:tcPr>
            <w:tcW w:w="1644" w:type="dxa"/>
            <w:vAlign w:val="center"/>
          </w:tcPr>
          <w:p w14:paraId="175D931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sz w:val="21"/>
                <w:szCs w:val="21"/>
                <w:highlight w:val="none"/>
                <w:vertAlign w:val="baseline"/>
                <w:lang w:val="en-US" w:eastAsia="zh-CN"/>
              </w:rPr>
            </w:pPr>
            <w:r>
              <w:rPr>
                <w:rFonts w:hint="eastAsia" w:ascii="Times New Roman" w:hAnsi="Times New Roman" w:eastAsia="宋体" w:cs="Times New Roman"/>
                <w:sz w:val="21"/>
                <w:szCs w:val="21"/>
                <w:highlight w:val="none"/>
                <w:vertAlign w:val="baseline"/>
                <w:lang w:val="en-US" w:eastAsia="zh-CN"/>
              </w:rPr>
              <w:t>0.000016</w:t>
            </w:r>
          </w:p>
        </w:tc>
        <w:tc>
          <w:tcPr>
            <w:tcW w:w="1644" w:type="dxa"/>
            <w:vAlign w:val="center"/>
          </w:tcPr>
          <w:p w14:paraId="4C121CF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eastAsia" w:ascii="Times New Roman" w:hAnsi="Times New Roman" w:eastAsia="宋体" w:cs="Times New Roman"/>
                <w:sz w:val="21"/>
                <w:szCs w:val="21"/>
                <w:highlight w:val="none"/>
                <w:vertAlign w:val="baseline"/>
                <w:lang w:val="en-US" w:eastAsia="zh-CN"/>
              </w:rPr>
              <w:t>90</w:t>
            </w:r>
          </w:p>
        </w:tc>
        <w:tc>
          <w:tcPr>
            <w:tcW w:w="1644" w:type="dxa"/>
            <w:vAlign w:val="center"/>
          </w:tcPr>
          <w:p w14:paraId="5F40C78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sz w:val="21"/>
                <w:szCs w:val="21"/>
                <w:highlight w:val="none"/>
                <w:vertAlign w:val="baseline"/>
                <w:lang w:val="en-US" w:eastAsia="zh-CN"/>
              </w:rPr>
            </w:pPr>
            <w:r>
              <w:rPr>
                <w:rFonts w:hint="eastAsia" w:ascii="Times New Roman" w:hAnsi="Times New Roman" w:eastAsia="宋体" w:cs="Times New Roman"/>
                <w:sz w:val="21"/>
                <w:szCs w:val="21"/>
                <w:highlight w:val="none"/>
                <w:vertAlign w:val="baseline"/>
                <w:lang w:val="en-US" w:eastAsia="zh-CN"/>
              </w:rPr>
              <w:t>0.0004</w:t>
            </w:r>
          </w:p>
        </w:tc>
        <w:tc>
          <w:tcPr>
            <w:tcW w:w="1647" w:type="dxa"/>
            <w:vAlign w:val="center"/>
          </w:tcPr>
          <w:p w14:paraId="309819A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sz w:val="21"/>
                <w:szCs w:val="21"/>
                <w:highlight w:val="none"/>
                <w:vertAlign w:val="baseline"/>
                <w:lang w:val="en-US" w:eastAsia="zh-CN"/>
              </w:rPr>
            </w:pPr>
            <w:r>
              <w:rPr>
                <w:rFonts w:hint="eastAsia" w:ascii="Times New Roman" w:hAnsi="Times New Roman" w:eastAsia="宋体" w:cs="Times New Roman"/>
                <w:sz w:val="21"/>
                <w:szCs w:val="21"/>
                <w:highlight w:val="none"/>
                <w:vertAlign w:val="baseline"/>
                <w:lang w:val="en-US" w:eastAsia="zh-CN"/>
              </w:rPr>
              <w:t>0.0000016</w:t>
            </w:r>
          </w:p>
        </w:tc>
      </w:tr>
      <w:tr w14:paraId="21CD519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009" w:type="dxa"/>
            <w:vAlign w:val="center"/>
          </w:tcPr>
          <w:p w14:paraId="4A0048D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氰化物</w:t>
            </w:r>
          </w:p>
        </w:tc>
        <w:tc>
          <w:tcPr>
            <w:tcW w:w="1644" w:type="dxa"/>
            <w:vAlign w:val="center"/>
          </w:tcPr>
          <w:p w14:paraId="175AA75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0.004</w:t>
            </w:r>
          </w:p>
        </w:tc>
        <w:tc>
          <w:tcPr>
            <w:tcW w:w="1644" w:type="dxa"/>
            <w:vAlign w:val="center"/>
          </w:tcPr>
          <w:p w14:paraId="5035DD9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sz w:val="21"/>
                <w:szCs w:val="21"/>
                <w:highlight w:val="none"/>
                <w:vertAlign w:val="baseline"/>
                <w:lang w:val="en-US" w:eastAsia="zh-CN"/>
              </w:rPr>
            </w:pPr>
            <w:r>
              <w:rPr>
                <w:rFonts w:hint="eastAsia" w:ascii="Times New Roman" w:hAnsi="Times New Roman" w:eastAsia="宋体" w:cs="Times New Roman"/>
                <w:sz w:val="21"/>
                <w:szCs w:val="21"/>
                <w:highlight w:val="none"/>
                <w:vertAlign w:val="baseline"/>
                <w:lang w:val="en-US" w:eastAsia="zh-CN"/>
              </w:rPr>
              <w:t>0.000016</w:t>
            </w:r>
          </w:p>
        </w:tc>
        <w:tc>
          <w:tcPr>
            <w:tcW w:w="1644" w:type="dxa"/>
            <w:vAlign w:val="center"/>
          </w:tcPr>
          <w:p w14:paraId="0BA813A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eastAsia" w:ascii="Times New Roman" w:hAnsi="Times New Roman" w:eastAsia="宋体" w:cs="Times New Roman"/>
                <w:sz w:val="21"/>
                <w:szCs w:val="21"/>
                <w:highlight w:val="none"/>
                <w:vertAlign w:val="baseline"/>
                <w:lang w:val="en-US" w:eastAsia="zh-CN"/>
              </w:rPr>
              <w:t>90</w:t>
            </w:r>
          </w:p>
        </w:tc>
        <w:tc>
          <w:tcPr>
            <w:tcW w:w="1644" w:type="dxa"/>
            <w:vAlign w:val="center"/>
          </w:tcPr>
          <w:p w14:paraId="0E7DD67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sz w:val="21"/>
                <w:szCs w:val="21"/>
                <w:highlight w:val="none"/>
                <w:vertAlign w:val="baseline"/>
                <w:lang w:val="en-US" w:eastAsia="zh-CN"/>
              </w:rPr>
            </w:pPr>
            <w:r>
              <w:rPr>
                <w:rFonts w:hint="eastAsia" w:ascii="Times New Roman" w:hAnsi="Times New Roman" w:eastAsia="宋体" w:cs="Times New Roman"/>
                <w:sz w:val="21"/>
                <w:szCs w:val="21"/>
                <w:highlight w:val="none"/>
                <w:vertAlign w:val="baseline"/>
                <w:lang w:val="en-US" w:eastAsia="zh-CN"/>
              </w:rPr>
              <w:t>0.0004</w:t>
            </w:r>
          </w:p>
        </w:tc>
        <w:tc>
          <w:tcPr>
            <w:tcW w:w="1647" w:type="dxa"/>
            <w:vAlign w:val="center"/>
          </w:tcPr>
          <w:p w14:paraId="547A0F4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sz w:val="21"/>
                <w:szCs w:val="21"/>
                <w:highlight w:val="none"/>
                <w:vertAlign w:val="baseline"/>
                <w:lang w:val="en-US" w:eastAsia="zh-CN"/>
              </w:rPr>
            </w:pPr>
            <w:r>
              <w:rPr>
                <w:rFonts w:hint="eastAsia" w:ascii="Times New Roman" w:hAnsi="Times New Roman" w:eastAsia="宋体" w:cs="Times New Roman"/>
                <w:sz w:val="21"/>
                <w:szCs w:val="21"/>
                <w:highlight w:val="none"/>
                <w:vertAlign w:val="baseline"/>
                <w:lang w:val="en-US" w:eastAsia="zh-CN"/>
              </w:rPr>
              <w:t>0.0000016</w:t>
            </w:r>
          </w:p>
        </w:tc>
      </w:tr>
      <w:tr w14:paraId="78EAF51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9232" w:type="dxa"/>
            <w:gridSpan w:val="6"/>
            <w:vAlign w:val="center"/>
          </w:tcPr>
          <w:p w14:paraId="592DCC2C">
            <w:pPr>
              <w:keepNext w:val="0"/>
              <w:keepLines w:val="0"/>
              <w:pageBreakBefore w:val="0"/>
              <w:widowControl w:val="0"/>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eastAsia="宋体" w:cs="Times New Roman"/>
                <w:b/>
                <w:bCs/>
                <w:sz w:val="21"/>
                <w:szCs w:val="21"/>
                <w:highlight w:val="none"/>
                <w:vertAlign w:val="baseline"/>
                <w:lang w:val="en-US" w:eastAsia="zh-CN"/>
              </w:rPr>
            </w:pPr>
            <w:r>
              <w:rPr>
                <w:rFonts w:hint="eastAsia" w:cs="Times New Roman"/>
                <w:b/>
                <w:bCs/>
                <w:sz w:val="21"/>
                <w:szCs w:val="21"/>
                <w:highlight w:val="none"/>
                <w:vertAlign w:val="baseline"/>
                <w:lang w:val="en-US" w:eastAsia="zh-CN"/>
              </w:rPr>
              <w:t>注：总铬、总镍、总铜、总铬、六价铬及氰化物等未检出因子产生浓度为检测方法检出限。</w:t>
            </w:r>
          </w:p>
        </w:tc>
      </w:tr>
    </w:tbl>
    <w:p w14:paraId="4ED2FD52">
      <w:pPr>
        <w:bidi w:val="0"/>
        <w:rPr>
          <w:rFonts w:hint="default"/>
          <w:highlight w:val="none"/>
          <w:lang w:val="en-US" w:eastAsia="zh-CN"/>
        </w:rPr>
      </w:pPr>
      <w:r>
        <w:rPr>
          <w:rFonts w:hint="eastAsia"/>
          <w:highlight w:val="none"/>
          <w:lang w:val="en-US" w:eastAsia="zh-CN"/>
        </w:rPr>
        <w:t>（2）渗滤液</w:t>
      </w:r>
    </w:p>
    <w:p w14:paraId="45AC3061">
      <w:pPr>
        <w:bidi w:val="0"/>
        <w:rPr>
          <w:rFonts w:hint="eastAsia"/>
          <w:highlight w:val="none"/>
          <w:lang w:val="en-US" w:eastAsia="zh-CN"/>
        </w:rPr>
      </w:pPr>
      <w:r>
        <w:rPr>
          <w:rFonts w:hint="eastAsia"/>
          <w:highlight w:val="none"/>
          <w:lang w:val="en-US" w:eastAsia="zh-CN"/>
        </w:rPr>
        <w:t>本项目填埋场渗滤液产生最大的情况是填埋场建设完成后的填埋作业初期，降落在库区内部的雨水将全部转化为渗滤液（在未进行分区填埋作业的情况下），当填埋标高超过填埋坑口标高后，可通过覆盖和分区填埋减少填埋库区受雨面积，从而减少雨水进入堆体内的量，减少渗滤液产生量。</w:t>
      </w:r>
    </w:p>
    <w:p w14:paraId="33B6134A">
      <w:pPr>
        <w:bidi w:val="0"/>
        <w:rPr>
          <w:rFonts w:hint="eastAsia"/>
          <w:highlight w:val="none"/>
          <w:lang w:val="en-US" w:eastAsia="zh-CN"/>
        </w:rPr>
      </w:pPr>
      <w:r>
        <w:rPr>
          <w:rFonts w:hint="eastAsia"/>
          <w:highlight w:val="none"/>
          <w:lang w:val="en-US" w:eastAsia="zh-CN"/>
        </w:rPr>
        <w:t>根据填埋场建设方案，当标高低于坑口高程时，填埋场可能产生渗滤液最大的受雨面积约为7805m</w:t>
      </w:r>
      <w:r>
        <w:rPr>
          <w:rFonts w:hint="eastAsia"/>
          <w:highlight w:val="none"/>
          <w:vertAlign w:val="superscript"/>
          <w:lang w:val="en-US" w:eastAsia="zh-CN"/>
        </w:rPr>
        <w:t>2</w:t>
      </w:r>
      <w:r>
        <w:rPr>
          <w:rFonts w:hint="eastAsia"/>
          <w:highlight w:val="none"/>
          <w:lang w:val="en-US" w:eastAsia="zh-CN"/>
        </w:rPr>
        <w:t>。为控制渗滤液产生量，减少水处理设备运行负荷，本项目采取分区填埋作业，填埋场最大受雨面积控制在1000m</w:t>
      </w:r>
      <w:r>
        <w:rPr>
          <w:rFonts w:hint="eastAsia"/>
          <w:highlight w:val="none"/>
          <w:vertAlign w:val="superscript"/>
          <w:lang w:val="en-US" w:eastAsia="zh-CN"/>
        </w:rPr>
        <w:t>2</w:t>
      </w:r>
      <w:r>
        <w:rPr>
          <w:rFonts w:hint="eastAsia"/>
          <w:highlight w:val="none"/>
          <w:lang w:val="en-US" w:eastAsia="zh-CN"/>
        </w:rPr>
        <w:t>。</w:t>
      </w:r>
    </w:p>
    <w:p w14:paraId="68AAADFB">
      <w:pPr>
        <w:rPr>
          <w:rFonts w:hint="eastAsia"/>
          <w:highlight w:val="none"/>
          <w:lang w:val="en-US" w:eastAsia="zh-CN"/>
        </w:rPr>
      </w:pPr>
      <w:r>
        <w:rPr>
          <w:rFonts w:hint="eastAsia"/>
          <w:highlight w:val="none"/>
          <w:lang w:val="en-US" w:eastAsia="zh-CN"/>
        </w:rPr>
        <w:t>参考《生活垃圾填埋场渗滤液处理工程技术规范（试行）》（HJ564-2010），有关渗滤液产生量的经验估算公式如下：</w:t>
      </w:r>
    </w:p>
    <w:p w14:paraId="431D04ED">
      <w:pPr>
        <w:ind w:left="0" w:leftChars="0" w:firstLine="0" w:firstLineChars="0"/>
        <w:jc w:val="center"/>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Q=（A</w:t>
      </w:r>
      <w:r>
        <w:rPr>
          <w:rFonts w:hint="default" w:ascii="Times New Roman" w:hAnsi="Times New Roman" w:cs="Times New Roman"/>
          <w:highlight w:val="none"/>
          <w:vertAlign w:val="subscript"/>
          <w:lang w:val="en-US" w:eastAsia="zh-CN"/>
        </w:rPr>
        <w:t>1</w:t>
      </w:r>
      <w:r>
        <w:rPr>
          <w:rFonts w:hint="default" w:ascii="Times New Roman" w:hAnsi="Times New Roman" w:cs="Times New Roman"/>
          <w:highlight w:val="none"/>
          <w:lang w:val="en-US" w:eastAsia="zh-CN"/>
        </w:rPr>
        <w:t>×C</w:t>
      </w:r>
      <w:r>
        <w:rPr>
          <w:rFonts w:hint="default" w:ascii="Times New Roman" w:hAnsi="Times New Roman" w:cs="Times New Roman"/>
          <w:highlight w:val="none"/>
          <w:vertAlign w:val="subscript"/>
          <w:lang w:val="en-US" w:eastAsia="zh-CN"/>
        </w:rPr>
        <w:t>1</w:t>
      </w:r>
      <w:r>
        <w:rPr>
          <w:rFonts w:hint="default" w:ascii="Times New Roman" w:hAnsi="Times New Roman" w:cs="Times New Roman"/>
          <w:highlight w:val="none"/>
          <w:lang w:val="en-US" w:eastAsia="zh-CN"/>
        </w:rPr>
        <w:t>+A</w:t>
      </w:r>
      <w:r>
        <w:rPr>
          <w:rFonts w:hint="default" w:ascii="Times New Roman" w:hAnsi="Times New Roman" w:cs="Times New Roman"/>
          <w:highlight w:val="none"/>
          <w:vertAlign w:val="subscript"/>
          <w:lang w:val="en-US" w:eastAsia="zh-CN"/>
        </w:rPr>
        <w:t>2</w:t>
      </w:r>
      <w:r>
        <w:rPr>
          <w:rFonts w:hint="default" w:ascii="Times New Roman" w:hAnsi="Times New Roman" w:cs="Times New Roman"/>
          <w:highlight w:val="none"/>
          <w:lang w:val="en-US" w:eastAsia="zh-CN"/>
        </w:rPr>
        <w:t>×C</w:t>
      </w:r>
      <w:r>
        <w:rPr>
          <w:rFonts w:hint="default" w:ascii="Times New Roman" w:hAnsi="Times New Roman" w:cs="Times New Roman"/>
          <w:highlight w:val="none"/>
          <w:vertAlign w:val="subscript"/>
          <w:lang w:val="en-US" w:eastAsia="zh-CN"/>
        </w:rPr>
        <w:t>2</w:t>
      </w:r>
      <w:r>
        <w:rPr>
          <w:rFonts w:hint="default" w:ascii="Times New Roman" w:hAnsi="Times New Roman" w:cs="Times New Roman"/>
          <w:highlight w:val="none"/>
          <w:lang w:val="en-US" w:eastAsia="zh-CN"/>
        </w:rPr>
        <w:t>+A</w:t>
      </w:r>
      <w:r>
        <w:rPr>
          <w:rFonts w:hint="default" w:ascii="Times New Roman" w:hAnsi="Times New Roman" w:cs="Times New Roman"/>
          <w:highlight w:val="none"/>
          <w:vertAlign w:val="subscript"/>
          <w:lang w:val="en-US" w:eastAsia="zh-CN"/>
        </w:rPr>
        <w:t>3</w:t>
      </w:r>
      <w:r>
        <w:rPr>
          <w:rFonts w:hint="default" w:ascii="Times New Roman" w:hAnsi="Times New Roman" w:cs="Times New Roman"/>
          <w:highlight w:val="none"/>
          <w:lang w:val="en-US" w:eastAsia="zh-CN"/>
        </w:rPr>
        <w:t>×C</w:t>
      </w:r>
      <w:r>
        <w:rPr>
          <w:rFonts w:hint="default" w:ascii="Times New Roman" w:hAnsi="Times New Roman" w:cs="Times New Roman"/>
          <w:highlight w:val="none"/>
          <w:vertAlign w:val="subscript"/>
          <w:lang w:val="en-US" w:eastAsia="zh-CN"/>
        </w:rPr>
        <w:t>3</w:t>
      </w:r>
      <w:r>
        <w:rPr>
          <w:rFonts w:hint="default" w:ascii="Times New Roman" w:hAnsi="Times New Roman" w:cs="Times New Roman"/>
          <w:highlight w:val="none"/>
          <w:lang w:val="en-US" w:eastAsia="zh-CN"/>
        </w:rPr>
        <w:t>）×I×10</w:t>
      </w:r>
      <w:r>
        <w:rPr>
          <w:rFonts w:hint="default" w:ascii="Times New Roman" w:hAnsi="Times New Roman" w:cs="Times New Roman"/>
          <w:highlight w:val="none"/>
          <w:vertAlign w:val="superscript"/>
          <w:lang w:val="en-US" w:eastAsia="zh-CN"/>
        </w:rPr>
        <w:t>-3</w:t>
      </w:r>
    </w:p>
    <w:p w14:paraId="380F1ECD">
      <w:pPr>
        <w:rPr>
          <w:rFonts w:hint="eastAsia"/>
          <w:highlight w:val="none"/>
          <w:lang w:val="en-US" w:eastAsia="zh-CN"/>
        </w:rPr>
      </w:pPr>
      <w:r>
        <w:rPr>
          <w:rFonts w:hint="eastAsia"/>
          <w:highlight w:val="none"/>
          <w:lang w:val="en-US" w:eastAsia="zh-CN"/>
        </w:rPr>
        <w:t>式中：</w:t>
      </w:r>
    </w:p>
    <w:p w14:paraId="3CD7FB66">
      <w:pPr>
        <w:rPr>
          <w:rFonts w:hint="eastAsia"/>
          <w:highlight w:val="none"/>
          <w:lang w:val="en-US" w:eastAsia="zh-CN"/>
        </w:rPr>
      </w:pPr>
      <w:r>
        <w:rPr>
          <w:rFonts w:hint="eastAsia"/>
          <w:highlight w:val="none"/>
          <w:lang w:val="en-US" w:eastAsia="zh-CN"/>
        </w:rPr>
        <w:t>Q—渗滤液水量，m</w:t>
      </w:r>
      <w:r>
        <w:rPr>
          <w:rFonts w:hint="eastAsia"/>
          <w:highlight w:val="none"/>
          <w:vertAlign w:val="superscript"/>
          <w:lang w:val="en-US" w:eastAsia="zh-CN"/>
        </w:rPr>
        <w:t>3</w:t>
      </w:r>
      <w:r>
        <w:rPr>
          <w:rFonts w:hint="eastAsia"/>
          <w:highlight w:val="none"/>
          <w:lang w:val="en-US" w:eastAsia="zh-CN"/>
        </w:rPr>
        <w:t>/d；</w:t>
      </w:r>
    </w:p>
    <w:p w14:paraId="661B5E65">
      <w:pPr>
        <w:rPr>
          <w:rFonts w:hint="default"/>
          <w:highlight w:val="none"/>
          <w:lang w:val="en-US" w:eastAsia="zh-CN"/>
        </w:rPr>
      </w:pPr>
      <w:r>
        <w:rPr>
          <w:rFonts w:hint="eastAsia"/>
          <w:highlight w:val="none"/>
          <w:lang w:val="en-US" w:eastAsia="zh-CN"/>
        </w:rPr>
        <w:t>A</w:t>
      </w:r>
      <w:r>
        <w:rPr>
          <w:rFonts w:hint="eastAsia"/>
          <w:highlight w:val="none"/>
          <w:vertAlign w:val="subscript"/>
          <w:lang w:val="en-US" w:eastAsia="zh-CN"/>
        </w:rPr>
        <w:t>1</w:t>
      </w:r>
      <w:r>
        <w:rPr>
          <w:rFonts w:hint="eastAsia"/>
          <w:highlight w:val="none"/>
          <w:lang w:val="en-US" w:eastAsia="zh-CN"/>
        </w:rPr>
        <w:t>—填埋作业面的面积，m</w:t>
      </w:r>
      <w:r>
        <w:rPr>
          <w:rFonts w:hint="eastAsia"/>
          <w:highlight w:val="none"/>
          <w:vertAlign w:val="superscript"/>
          <w:lang w:val="en-US" w:eastAsia="zh-CN"/>
        </w:rPr>
        <w:t>2</w:t>
      </w:r>
      <w:r>
        <w:rPr>
          <w:rFonts w:hint="eastAsia"/>
          <w:highlight w:val="none"/>
          <w:lang w:val="en-US" w:eastAsia="zh-CN"/>
        </w:rPr>
        <w:t>，本项目取1000m</w:t>
      </w:r>
      <w:r>
        <w:rPr>
          <w:rFonts w:hint="eastAsia"/>
          <w:highlight w:val="none"/>
          <w:vertAlign w:val="superscript"/>
          <w:lang w:val="en-US" w:eastAsia="zh-CN"/>
        </w:rPr>
        <w:t>2</w:t>
      </w:r>
      <w:r>
        <w:rPr>
          <w:rFonts w:hint="eastAsia"/>
          <w:highlight w:val="none"/>
          <w:lang w:val="en-US" w:eastAsia="zh-CN"/>
        </w:rPr>
        <w:t>；</w:t>
      </w:r>
    </w:p>
    <w:p w14:paraId="05258B30">
      <w:pPr>
        <w:rPr>
          <w:rFonts w:hint="eastAsia"/>
          <w:highlight w:val="none"/>
          <w:lang w:val="en-US" w:eastAsia="zh-CN"/>
        </w:rPr>
      </w:pPr>
      <w:r>
        <w:rPr>
          <w:rFonts w:hint="eastAsia"/>
          <w:highlight w:val="none"/>
          <w:lang w:val="en-US" w:eastAsia="zh-CN"/>
        </w:rPr>
        <w:t>C</w:t>
      </w:r>
      <w:r>
        <w:rPr>
          <w:rFonts w:hint="eastAsia"/>
          <w:highlight w:val="none"/>
          <w:vertAlign w:val="subscript"/>
          <w:lang w:val="en-US" w:eastAsia="zh-CN"/>
        </w:rPr>
        <w:t>1</w:t>
      </w:r>
      <w:r>
        <w:rPr>
          <w:rFonts w:hint="eastAsia"/>
          <w:highlight w:val="none"/>
          <w:lang w:val="en-US" w:eastAsia="zh-CN"/>
        </w:rPr>
        <w:t>—填埋作业区的渗滤系数，一般宜取0.5~0.8，本项目取0.8；</w:t>
      </w:r>
    </w:p>
    <w:p w14:paraId="5D5B2441">
      <w:pPr>
        <w:rPr>
          <w:rFonts w:hint="eastAsia"/>
          <w:highlight w:val="none"/>
          <w:lang w:val="en-US" w:eastAsia="zh-CN"/>
        </w:rPr>
      </w:pPr>
      <w:r>
        <w:rPr>
          <w:rFonts w:hint="eastAsia"/>
          <w:highlight w:val="none"/>
          <w:lang w:val="en-US" w:eastAsia="zh-CN"/>
        </w:rPr>
        <w:t>A</w:t>
      </w:r>
      <w:r>
        <w:rPr>
          <w:rFonts w:hint="eastAsia"/>
          <w:highlight w:val="none"/>
          <w:vertAlign w:val="subscript"/>
          <w:lang w:val="en-US" w:eastAsia="zh-CN"/>
        </w:rPr>
        <w:t>2</w:t>
      </w:r>
      <w:r>
        <w:rPr>
          <w:rFonts w:hint="eastAsia"/>
          <w:highlight w:val="none"/>
          <w:lang w:val="en-US" w:eastAsia="zh-CN"/>
        </w:rPr>
        <w:t>—中间覆盖单元汇水面积，m</w:t>
      </w:r>
      <w:r>
        <w:rPr>
          <w:rFonts w:hint="eastAsia"/>
          <w:highlight w:val="none"/>
          <w:vertAlign w:val="superscript"/>
          <w:lang w:val="en-US" w:eastAsia="zh-CN"/>
        </w:rPr>
        <w:t>2</w:t>
      </w:r>
      <w:r>
        <w:rPr>
          <w:rFonts w:hint="eastAsia"/>
          <w:highlight w:val="none"/>
          <w:lang w:val="en-US" w:eastAsia="zh-CN"/>
        </w:rPr>
        <w:t>，本项目取6805m</w:t>
      </w:r>
      <w:r>
        <w:rPr>
          <w:rFonts w:hint="eastAsia"/>
          <w:highlight w:val="none"/>
          <w:vertAlign w:val="superscript"/>
          <w:lang w:val="en-US" w:eastAsia="zh-CN"/>
        </w:rPr>
        <w:t>2</w:t>
      </w:r>
      <w:r>
        <w:rPr>
          <w:rFonts w:hint="eastAsia"/>
          <w:highlight w:val="none"/>
          <w:lang w:val="en-US" w:eastAsia="zh-CN"/>
        </w:rPr>
        <w:t>；</w:t>
      </w:r>
    </w:p>
    <w:p w14:paraId="7898C0A1">
      <w:pPr>
        <w:rPr>
          <w:rFonts w:hint="eastAsia"/>
          <w:highlight w:val="none"/>
          <w:lang w:val="en-US" w:eastAsia="zh-CN"/>
        </w:rPr>
      </w:pPr>
      <w:r>
        <w:rPr>
          <w:rFonts w:hint="eastAsia"/>
          <w:highlight w:val="none"/>
          <w:lang w:val="en-US" w:eastAsia="zh-CN"/>
        </w:rPr>
        <w:t>C</w:t>
      </w:r>
      <w:r>
        <w:rPr>
          <w:rFonts w:hint="eastAsia"/>
          <w:highlight w:val="none"/>
          <w:vertAlign w:val="subscript"/>
          <w:lang w:val="en-US" w:eastAsia="zh-CN"/>
        </w:rPr>
        <w:t>2</w:t>
      </w:r>
      <w:r>
        <w:rPr>
          <w:rFonts w:hint="eastAsia"/>
          <w:highlight w:val="none"/>
          <w:lang w:val="en-US" w:eastAsia="zh-CN"/>
        </w:rPr>
        <w:t>—中间覆盖单元渗出系数，宜取（0.4~0.6）C1，本项目取0.6C1，即0.48；</w:t>
      </w:r>
    </w:p>
    <w:p w14:paraId="6D92F3B6">
      <w:pPr>
        <w:rPr>
          <w:rFonts w:hint="eastAsia"/>
          <w:highlight w:val="none"/>
          <w:lang w:val="en-US" w:eastAsia="zh-CN"/>
        </w:rPr>
      </w:pPr>
      <w:r>
        <w:rPr>
          <w:rFonts w:hint="eastAsia"/>
          <w:highlight w:val="none"/>
          <w:lang w:val="en-US" w:eastAsia="zh-CN"/>
        </w:rPr>
        <w:t>A</w:t>
      </w:r>
      <w:r>
        <w:rPr>
          <w:rFonts w:hint="eastAsia"/>
          <w:highlight w:val="none"/>
          <w:vertAlign w:val="subscript"/>
          <w:lang w:val="en-US" w:eastAsia="zh-CN"/>
        </w:rPr>
        <w:t>3</w:t>
      </w:r>
      <w:r>
        <w:rPr>
          <w:rFonts w:hint="eastAsia"/>
          <w:highlight w:val="none"/>
          <w:lang w:val="en-US" w:eastAsia="zh-CN"/>
        </w:rPr>
        <w:t>—终场覆盖单元汇水面积，m</w:t>
      </w:r>
      <w:r>
        <w:rPr>
          <w:rFonts w:hint="eastAsia"/>
          <w:highlight w:val="none"/>
          <w:vertAlign w:val="superscript"/>
          <w:lang w:val="en-US" w:eastAsia="zh-CN"/>
        </w:rPr>
        <w:t>2</w:t>
      </w:r>
      <w:r>
        <w:rPr>
          <w:rFonts w:hint="eastAsia"/>
          <w:highlight w:val="none"/>
          <w:lang w:val="en-US" w:eastAsia="zh-CN"/>
        </w:rPr>
        <w:t>，本项目取0；</w:t>
      </w:r>
    </w:p>
    <w:p w14:paraId="5A5DCFC4">
      <w:pPr>
        <w:rPr>
          <w:rFonts w:hint="eastAsia"/>
          <w:highlight w:val="none"/>
          <w:lang w:val="en-US" w:eastAsia="zh-CN"/>
        </w:rPr>
      </w:pPr>
      <w:r>
        <w:rPr>
          <w:rFonts w:hint="eastAsia"/>
          <w:highlight w:val="none"/>
          <w:lang w:val="en-US" w:eastAsia="zh-CN"/>
        </w:rPr>
        <w:t>C</w:t>
      </w:r>
      <w:r>
        <w:rPr>
          <w:rFonts w:hint="eastAsia"/>
          <w:highlight w:val="none"/>
          <w:vertAlign w:val="subscript"/>
          <w:lang w:val="en-US" w:eastAsia="zh-CN"/>
        </w:rPr>
        <w:t>3</w:t>
      </w:r>
      <w:r>
        <w:rPr>
          <w:rFonts w:hint="eastAsia"/>
          <w:highlight w:val="none"/>
          <w:lang w:val="en-US" w:eastAsia="zh-CN"/>
        </w:rPr>
        <w:t>—终场覆盖单元渗出系数，一般宜取0.1~0.2，本项目取0.2；</w:t>
      </w:r>
    </w:p>
    <w:p w14:paraId="290AE5BC">
      <w:pPr>
        <w:bidi w:val="0"/>
        <w:rPr>
          <w:rFonts w:hint="eastAsia"/>
          <w:highlight w:val="none"/>
          <w:lang w:val="en-US" w:eastAsia="zh-CN"/>
        </w:rPr>
      </w:pPr>
      <w:r>
        <w:rPr>
          <w:rFonts w:hint="eastAsia"/>
          <w:highlight w:val="none"/>
          <w:lang w:val="en-US" w:eastAsia="zh-CN"/>
        </w:rPr>
        <w:t>I—降雨强度，mm/d，平江县为4.25mm/d。</w:t>
      </w:r>
    </w:p>
    <w:p w14:paraId="31F73814">
      <w:pPr>
        <w:rPr>
          <w:rFonts w:hint="default"/>
          <w:highlight w:val="none"/>
          <w:lang w:val="en-US" w:eastAsia="zh-CN"/>
        </w:rPr>
      </w:pPr>
      <w:r>
        <w:rPr>
          <w:rFonts w:hint="eastAsia"/>
          <w:highlight w:val="none"/>
          <w:lang w:val="en-US" w:eastAsia="zh-CN"/>
        </w:rPr>
        <w:t>则项目施工期渗滤液水量Q经计算为17.28m</w:t>
      </w:r>
      <w:r>
        <w:rPr>
          <w:rFonts w:hint="eastAsia"/>
          <w:highlight w:val="none"/>
          <w:vertAlign w:val="superscript"/>
          <w:lang w:val="en-US" w:eastAsia="zh-CN"/>
        </w:rPr>
        <w:t>3</w:t>
      </w:r>
      <w:r>
        <w:rPr>
          <w:rFonts w:hint="eastAsia"/>
          <w:highlight w:val="none"/>
          <w:lang w:val="en-US" w:eastAsia="zh-CN"/>
        </w:rPr>
        <w:t>/d，项目设置一座渗滤液收集池，容积为48m</w:t>
      </w:r>
      <w:r>
        <w:rPr>
          <w:rFonts w:hint="eastAsia"/>
          <w:highlight w:val="none"/>
          <w:vertAlign w:val="superscript"/>
          <w:lang w:val="en-US" w:eastAsia="zh-CN"/>
        </w:rPr>
        <w:t>3</w:t>
      </w:r>
      <w:r>
        <w:rPr>
          <w:rFonts w:hint="eastAsia"/>
          <w:highlight w:val="none"/>
          <w:lang w:val="en-US" w:eastAsia="zh-CN"/>
        </w:rPr>
        <w:t>，渗滤液收集池上方设置盖板，防止雨水混入。本项目渗滤液经一体化污水处理装置处理后由槽罐车托运至湖南黄金天岳矿业有限公司垂拱洞尾矿库废水处理站进行处理。</w:t>
      </w:r>
    </w:p>
    <w:p w14:paraId="183CBB2A">
      <w:pPr>
        <w:bidi w:val="0"/>
        <w:rPr>
          <w:rFonts w:hint="eastAsia"/>
          <w:highlight w:val="none"/>
          <w:lang w:val="en-US" w:eastAsia="zh-CN"/>
        </w:rPr>
      </w:pPr>
      <w:r>
        <w:rPr>
          <w:rFonts w:hint="eastAsia"/>
          <w:highlight w:val="none"/>
          <w:lang w:val="en-US" w:eastAsia="zh-CN"/>
        </w:rPr>
        <w:t>项目填埋场施工期渗滤液水质类比《平江县三阳乡南尧村片区（垂拱组、仙人组）历史遗留重金属废渣污染状况调查报告》（湖南安博检测有限公司，2022年8月）废渣点位水浸监测结果最大值。渗滤液污染物产排情况具体见下表。</w:t>
      </w:r>
    </w:p>
    <w:p w14:paraId="561305A4">
      <w:pPr>
        <w:bidi w:val="0"/>
        <w:ind w:left="0" w:leftChars="0" w:firstLine="0" w:firstLineChars="0"/>
        <w:jc w:val="center"/>
        <w:rPr>
          <w:rFonts w:hint="eastAsia"/>
          <w:b/>
          <w:bCs/>
          <w:sz w:val="21"/>
          <w:szCs w:val="21"/>
          <w:highlight w:val="none"/>
          <w:lang w:val="en-US" w:eastAsia="zh-CN"/>
        </w:rPr>
      </w:pPr>
      <w:r>
        <w:rPr>
          <w:rFonts w:hint="eastAsia"/>
          <w:b/>
          <w:bCs/>
          <w:sz w:val="21"/>
          <w:szCs w:val="21"/>
          <w:highlight w:val="none"/>
          <w:lang w:val="en-US" w:eastAsia="zh-CN"/>
        </w:rPr>
        <w:t>表3.2-5  项目渗滤液主要污染物产排情况一览表</w:t>
      </w:r>
    </w:p>
    <w:tbl>
      <w:tblPr>
        <w:tblStyle w:val="36"/>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009"/>
        <w:gridCol w:w="1644"/>
        <w:gridCol w:w="1644"/>
        <w:gridCol w:w="1644"/>
        <w:gridCol w:w="1644"/>
        <w:gridCol w:w="1647"/>
      </w:tblGrid>
      <w:tr w14:paraId="621FF2F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blHeader/>
        </w:trPr>
        <w:tc>
          <w:tcPr>
            <w:tcW w:w="1009" w:type="dxa"/>
            <w:vAlign w:val="center"/>
          </w:tcPr>
          <w:p w14:paraId="2F21ED2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bCs/>
                <w:sz w:val="21"/>
                <w:szCs w:val="21"/>
                <w:highlight w:val="none"/>
                <w:vertAlign w:val="baseline"/>
                <w:lang w:val="en-US" w:eastAsia="zh-CN"/>
              </w:rPr>
            </w:pPr>
            <w:r>
              <w:rPr>
                <w:rFonts w:hint="eastAsia"/>
                <w:b/>
                <w:bCs/>
                <w:sz w:val="21"/>
                <w:szCs w:val="21"/>
                <w:highlight w:val="none"/>
                <w:vertAlign w:val="baseline"/>
                <w:lang w:val="en-US" w:eastAsia="zh-CN"/>
              </w:rPr>
              <w:t>污染物</w:t>
            </w:r>
          </w:p>
        </w:tc>
        <w:tc>
          <w:tcPr>
            <w:tcW w:w="1644" w:type="dxa"/>
            <w:vAlign w:val="center"/>
          </w:tcPr>
          <w:p w14:paraId="4B6064C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bCs/>
                <w:sz w:val="21"/>
                <w:szCs w:val="21"/>
                <w:highlight w:val="none"/>
                <w:vertAlign w:val="baseline"/>
                <w:lang w:val="en-US" w:eastAsia="zh-CN"/>
              </w:rPr>
            </w:pPr>
            <w:r>
              <w:rPr>
                <w:rFonts w:hint="eastAsia"/>
                <w:b/>
                <w:bCs/>
                <w:sz w:val="21"/>
                <w:szCs w:val="21"/>
                <w:highlight w:val="none"/>
                <w:vertAlign w:val="baseline"/>
                <w:lang w:val="en-US" w:eastAsia="zh-CN"/>
              </w:rPr>
              <w:t>产生浓度（mg/L）</w:t>
            </w:r>
          </w:p>
        </w:tc>
        <w:tc>
          <w:tcPr>
            <w:tcW w:w="1644" w:type="dxa"/>
            <w:vAlign w:val="center"/>
          </w:tcPr>
          <w:p w14:paraId="1AE5612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bCs/>
                <w:sz w:val="21"/>
                <w:szCs w:val="21"/>
                <w:highlight w:val="none"/>
                <w:vertAlign w:val="baseline"/>
                <w:lang w:val="en-US" w:eastAsia="zh-CN"/>
              </w:rPr>
            </w:pPr>
            <w:r>
              <w:rPr>
                <w:rFonts w:hint="eastAsia"/>
                <w:b/>
                <w:bCs/>
                <w:sz w:val="21"/>
                <w:szCs w:val="21"/>
                <w:highlight w:val="none"/>
                <w:vertAlign w:val="baseline"/>
                <w:lang w:val="en-US" w:eastAsia="zh-CN"/>
              </w:rPr>
              <w:t>产生量（kg/d）</w:t>
            </w:r>
          </w:p>
        </w:tc>
        <w:tc>
          <w:tcPr>
            <w:tcW w:w="1644" w:type="dxa"/>
            <w:vAlign w:val="center"/>
          </w:tcPr>
          <w:p w14:paraId="523F20C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bCs/>
                <w:sz w:val="21"/>
                <w:szCs w:val="21"/>
                <w:highlight w:val="none"/>
                <w:vertAlign w:val="baseline"/>
                <w:lang w:val="en-US" w:eastAsia="zh-CN"/>
              </w:rPr>
            </w:pPr>
            <w:r>
              <w:rPr>
                <w:rFonts w:hint="eastAsia"/>
                <w:b/>
                <w:bCs/>
                <w:sz w:val="21"/>
                <w:szCs w:val="21"/>
                <w:highlight w:val="none"/>
                <w:vertAlign w:val="baseline"/>
                <w:lang w:val="en-US" w:eastAsia="zh-CN"/>
              </w:rPr>
              <w:t>处理效率（%）</w:t>
            </w:r>
          </w:p>
        </w:tc>
        <w:tc>
          <w:tcPr>
            <w:tcW w:w="1644" w:type="dxa"/>
            <w:vAlign w:val="center"/>
          </w:tcPr>
          <w:p w14:paraId="7663F2F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bCs/>
                <w:sz w:val="21"/>
                <w:szCs w:val="21"/>
                <w:highlight w:val="none"/>
                <w:vertAlign w:val="baseline"/>
                <w:lang w:val="en-US" w:eastAsia="zh-CN"/>
              </w:rPr>
            </w:pPr>
            <w:r>
              <w:rPr>
                <w:rFonts w:hint="eastAsia"/>
                <w:b/>
                <w:bCs/>
                <w:sz w:val="21"/>
                <w:szCs w:val="21"/>
                <w:highlight w:val="none"/>
                <w:vertAlign w:val="baseline"/>
                <w:lang w:val="en-US" w:eastAsia="zh-CN"/>
              </w:rPr>
              <w:t>处理后浓度（mg/L）</w:t>
            </w:r>
          </w:p>
        </w:tc>
        <w:tc>
          <w:tcPr>
            <w:tcW w:w="1647" w:type="dxa"/>
            <w:vAlign w:val="center"/>
          </w:tcPr>
          <w:p w14:paraId="53245E4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bCs/>
                <w:sz w:val="21"/>
                <w:szCs w:val="21"/>
                <w:highlight w:val="none"/>
                <w:vertAlign w:val="baseline"/>
                <w:lang w:val="en-US" w:eastAsia="zh-CN"/>
              </w:rPr>
            </w:pPr>
            <w:r>
              <w:rPr>
                <w:rFonts w:hint="eastAsia"/>
                <w:b/>
                <w:bCs/>
                <w:sz w:val="21"/>
                <w:szCs w:val="21"/>
                <w:highlight w:val="none"/>
                <w:vertAlign w:val="baseline"/>
                <w:lang w:val="en-US" w:eastAsia="zh-CN"/>
              </w:rPr>
              <w:t>排放量（kg/d）</w:t>
            </w:r>
          </w:p>
        </w:tc>
      </w:tr>
      <w:tr w14:paraId="7FF7458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09" w:type="dxa"/>
            <w:vAlign w:val="center"/>
          </w:tcPr>
          <w:p w14:paraId="13910B6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总铬</w:t>
            </w:r>
          </w:p>
        </w:tc>
        <w:tc>
          <w:tcPr>
            <w:tcW w:w="1644" w:type="dxa"/>
            <w:vAlign w:val="center"/>
          </w:tcPr>
          <w:p w14:paraId="19AD831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0.02</w:t>
            </w:r>
          </w:p>
        </w:tc>
        <w:tc>
          <w:tcPr>
            <w:tcW w:w="1644" w:type="dxa"/>
            <w:vAlign w:val="center"/>
          </w:tcPr>
          <w:p w14:paraId="245F5E3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sz w:val="21"/>
                <w:szCs w:val="21"/>
                <w:highlight w:val="none"/>
                <w:vertAlign w:val="baseline"/>
                <w:lang w:val="en-US" w:eastAsia="zh-CN"/>
              </w:rPr>
            </w:pPr>
            <w:r>
              <w:rPr>
                <w:rFonts w:hint="eastAsia" w:eastAsia="宋体"/>
                <w:sz w:val="21"/>
                <w:szCs w:val="21"/>
                <w:highlight w:val="none"/>
                <w:vertAlign w:val="baseline"/>
                <w:lang w:val="en-US" w:eastAsia="zh-CN"/>
              </w:rPr>
              <w:t>0.00035</w:t>
            </w:r>
          </w:p>
        </w:tc>
        <w:tc>
          <w:tcPr>
            <w:tcW w:w="1644" w:type="dxa"/>
            <w:vAlign w:val="center"/>
          </w:tcPr>
          <w:p w14:paraId="4172899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eastAsia" w:ascii="Times New Roman" w:hAnsi="Times New Roman" w:eastAsia="宋体" w:cs="Times New Roman"/>
                <w:sz w:val="21"/>
                <w:szCs w:val="21"/>
                <w:highlight w:val="none"/>
                <w:vertAlign w:val="baseline"/>
                <w:lang w:val="en-US" w:eastAsia="zh-CN"/>
              </w:rPr>
              <w:t>90</w:t>
            </w:r>
          </w:p>
        </w:tc>
        <w:tc>
          <w:tcPr>
            <w:tcW w:w="1644" w:type="dxa"/>
            <w:vAlign w:val="center"/>
          </w:tcPr>
          <w:p w14:paraId="6500FAA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sz w:val="21"/>
                <w:szCs w:val="21"/>
                <w:highlight w:val="none"/>
                <w:vertAlign w:val="baseline"/>
                <w:lang w:val="en-US" w:eastAsia="zh-CN"/>
              </w:rPr>
            </w:pPr>
            <w:r>
              <w:rPr>
                <w:rFonts w:hint="eastAsia" w:ascii="Times New Roman" w:hAnsi="Times New Roman" w:eastAsia="宋体" w:cs="Times New Roman"/>
                <w:sz w:val="21"/>
                <w:szCs w:val="21"/>
                <w:highlight w:val="none"/>
                <w:vertAlign w:val="baseline"/>
                <w:lang w:val="en-US" w:eastAsia="zh-CN"/>
              </w:rPr>
              <w:t>0.002</w:t>
            </w:r>
          </w:p>
        </w:tc>
        <w:tc>
          <w:tcPr>
            <w:tcW w:w="1647" w:type="dxa"/>
            <w:vAlign w:val="center"/>
          </w:tcPr>
          <w:p w14:paraId="406593C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eastAsia" w:cs="Times New Roman"/>
                <w:sz w:val="21"/>
                <w:szCs w:val="21"/>
                <w:highlight w:val="none"/>
                <w:vertAlign w:val="baseline"/>
                <w:lang w:val="en-US" w:eastAsia="zh-CN"/>
              </w:rPr>
              <w:t>0.000035</w:t>
            </w:r>
          </w:p>
        </w:tc>
      </w:tr>
      <w:tr w14:paraId="26D5B50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009" w:type="dxa"/>
            <w:vAlign w:val="center"/>
          </w:tcPr>
          <w:p w14:paraId="16F11F3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总镍</w:t>
            </w:r>
          </w:p>
        </w:tc>
        <w:tc>
          <w:tcPr>
            <w:tcW w:w="1644" w:type="dxa"/>
            <w:vAlign w:val="center"/>
          </w:tcPr>
          <w:p w14:paraId="3411D2D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0.02</w:t>
            </w:r>
          </w:p>
        </w:tc>
        <w:tc>
          <w:tcPr>
            <w:tcW w:w="1644" w:type="dxa"/>
            <w:vAlign w:val="center"/>
          </w:tcPr>
          <w:p w14:paraId="6F5ACD8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sz w:val="21"/>
                <w:szCs w:val="21"/>
                <w:highlight w:val="none"/>
                <w:vertAlign w:val="baseline"/>
                <w:lang w:val="en-US" w:eastAsia="zh-CN"/>
              </w:rPr>
            </w:pPr>
            <w:r>
              <w:rPr>
                <w:rFonts w:hint="eastAsia" w:eastAsia="宋体"/>
                <w:sz w:val="21"/>
                <w:szCs w:val="21"/>
                <w:highlight w:val="none"/>
                <w:vertAlign w:val="baseline"/>
                <w:lang w:val="en-US" w:eastAsia="zh-CN"/>
              </w:rPr>
              <w:t>0.00035</w:t>
            </w:r>
          </w:p>
        </w:tc>
        <w:tc>
          <w:tcPr>
            <w:tcW w:w="1644" w:type="dxa"/>
            <w:vAlign w:val="center"/>
          </w:tcPr>
          <w:p w14:paraId="7177F9A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eastAsia" w:ascii="Times New Roman" w:hAnsi="Times New Roman" w:eastAsia="宋体" w:cs="Times New Roman"/>
                <w:sz w:val="21"/>
                <w:szCs w:val="21"/>
                <w:highlight w:val="none"/>
                <w:vertAlign w:val="baseline"/>
                <w:lang w:val="en-US" w:eastAsia="zh-CN"/>
              </w:rPr>
              <w:t>90</w:t>
            </w:r>
          </w:p>
        </w:tc>
        <w:tc>
          <w:tcPr>
            <w:tcW w:w="1644" w:type="dxa"/>
            <w:vAlign w:val="center"/>
          </w:tcPr>
          <w:p w14:paraId="1B79153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eastAsia" w:ascii="Times New Roman" w:hAnsi="Times New Roman" w:eastAsia="宋体" w:cs="Times New Roman"/>
                <w:sz w:val="21"/>
                <w:szCs w:val="21"/>
                <w:highlight w:val="none"/>
                <w:vertAlign w:val="baseline"/>
                <w:lang w:val="en-US" w:eastAsia="zh-CN"/>
              </w:rPr>
              <w:t>0.002</w:t>
            </w:r>
          </w:p>
        </w:tc>
        <w:tc>
          <w:tcPr>
            <w:tcW w:w="1647" w:type="dxa"/>
            <w:vAlign w:val="center"/>
          </w:tcPr>
          <w:p w14:paraId="4383219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eastAsia" w:cs="Times New Roman"/>
                <w:sz w:val="21"/>
                <w:szCs w:val="21"/>
                <w:highlight w:val="none"/>
                <w:vertAlign w:val="baseline"/>
                <w:lang w:val="en-US" w:eastAsia="zh-CN"/>
              </w:rPr>
              <w:t>0.000035</w:t>
            </w:r>
          </w:p>
        </w:tc>
      </w:tr>
      <w:tr w14:paraId="61C130D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009" w:type="dxa"/>
            <w:vAlign w:val="center"/>
          </w:tcPr>
          <w:p w14:paraId="08299AA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总铜</w:t>
            </w:r>
          </w:p>
        </w:tc>
        <w:tc>
          <w:tcPr>
            <w:tcW w:w="1644" w:type="dxa"/>
            <w:vAlign w:val="center"/>
          </w:tcPr>
          <w:p w14:paraId="75FC358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0.11</w:t>
            </w:r>
          </w:p>
        </w:tc>
        <w:tc>
          <w:tcPr>
            <w:tcW w:w="1644" w:type="dxa"/>
            <w:vAlign w:val="center"/>
          </w:tcPr>
          <w:p w14:paraId="1DE4FDA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sz w:val="21"/>
                <w:szCs w:val="21"/>
                <w:highlight w:val="none"/>
                <w:vertAlign w:val="baseline"/>
                <w:lang w:val="en-US" w:eastAsia="zh-CN"/>
              </w:rPr>
            </w:pPr>
            <w:r>
              <w:rPr>
                <w:rFonts w:hint="eastAsia" w:eastAsia="宋体"/>
                <w:sz w:val="21"/>
                <w:szCs w:val="21"/>
                <w:highlight w:val="none"/>
                <w:vertAlign w:val="baseline"/>
                <w:lang w:val="en-US" w:eastAsia="zh-CN"/>
              </w:rPr>
              <w:t>0.0019</w:t>
            </w:r>
          </w:p>
        </w:tc>
        <w:tc>
          <w:tcPr>
            <w:tcW w:w="1644" w:type="dxa"/>
            <w:vAlign w:val="center"/>
          </w:tcPr>
          <w:p w14:paraId="2E759C0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eastAsia" w:ascii="Times New Roman" w:hAnsi="Times New Roman" w:eastAsia="宋体" w:cs="Times New Roman"/>
                <w:sz w:val="21"/>
                <w:szCs w:val="21"/>
                <w:highlight w:val="none"/>
                <w:vertAlign w:val="baseline"/>
                <w:lang w:val="en-US" w:eastAsia="zh-CN"/>
              </w:rPr>
              <w:t>90</w:t>
            </w:r>
          </w:p>
        </w:tc>
        <w:tc>
          <w:tcPr>
            <w:tcW w:w="1644" w:type="dxa"/>
            <w:vAlign w:val="center"/>
          </w:tcPr>
          <w:p w14:paraId="733C32A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sz w:val="21"/>
                <w:szCs w:val="21"/>
                <w:highlight w:val="none"/>
                <w:vertAlign w:val="baseline"/>
                <w:lang w:val="en-US" w:eastAsia="zh-CN"/>
              </w:rPr>
            </w:pPr>
            <w:r>
              <w:rPr>
                <w:rFonts w:hint="eastAsia" w:ascii="Times New Roman" w:hAnsi="Times New Roman" w:eastAsia="宋体" w:cs="Times New Roman"/>
                <w:sz w:val="21"/>
                <w:szCs w:val="21"/>
                <w:highlight w:val="none"/>
                <w:vertAlign w:val="baseline"/>
                <w:lang w:val="en-US" w:eastAsia="zh-CN"/>
              </w:rPr>
              <w:t>0.011</w:t>
            </w:r>
          </w:p>
        </w:tc>
        <w:tc>
          <w:tcPr>
            <w:tcW w:w="1647" w:type="dxa"/>
            <w:vAlign w:val="center"/>
          </w:tcPr>
          <w:p w14:paraId="55F3E42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eastAsia" w:cs="Times New Roman"/>
                <w:sz w:val="21"/>
                <w:szCs w:val="21"/>
                <w:highlight w:val="none"/>
                <w:vertAlign w:val="baseline"/>
                <w:lang w:val="en-US" w:eastAsia="zh-CN"/>
              </w:rPr>
              <w:t>0.00019</w:t>
            </w:r>
          </w:p>
        </w:tc>
      </w:tr>
      <w:tr w14:paraId="6C7DCB5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009" w:type="dxa"/>
            <w:vAlign w:val="center"/>
          </w:tcPr>
          <w:p w14:paraId="01BEE95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总锌</w:t>
            </w:r>
          </w:p>
        </w:tc>
        <w:tc>
          <w:tcPr>
            <w:tcW w:w="1644" w:type="dxa"/>
            <w:vAlign w:val="center"/>
          </w:tcPr>
          <w:p w14:paraId="2087BBF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0.27</w:t>
            </w:r>
          </w:p>
        </w:tc>
        <w:tc>
          <w:tcPr>
            <w:tcW w:w="1644" w:type="dxa"/>
            <w:vAlign w:val="center"/>
          </w:tcPr>
          <w:p w14:paraId="3651E82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sz w:val="21"/>
                <w:szCs w:val="21"/>
                <w:highlight w:val="none"/>
                <w:vertAlign w:val="baseline"/>
                <w:lang w:val="en-US" w:eastAsia="zh-CN"/>
              </w:rPr>
            </w:pPr>
            <w:r>
              <w:rPr>
                <w:rFonts w:hint="eastAsia" w:eastAsia="宋体"/>
                <w:sz w:val="21"/>
                <w:szCs w:val="21"/>
                <w:highlight w:val="none"/>
                <w:vertAlign w:val="baseline"/>
                <w:lang w:val="en-US" w:eastAsia="zh-CN"/>
              </w:rPr>
              <w:t>0.0047</w:t>
            </w:r>
          </w:p>
        </w:tc>
        <w:tc>
          <w:tcPr>
            <w:tcW w:w="1644" w:type="dxa"/>
            <w:vAlign w:val="center"/>
          </w:tcPr>
          <w:p w14:paraId="20ACB01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eastAsia" w:ascii="Times New Roman" w:hAnsi="Times New Roman" w:eastAsia="宋体" w:cs="Times New Roman"/>
                <w:sz w:val="21"/>
                <w:szCs w:val="21"/>
                <w:highlight w:val="none"/>
                <w:vertAlign w:val="baseline"/>
                <w:lang w:val="en-US" w:eastAsia="zh-CN"/>
              </w:rPr>
              <w:t>90</w:t>
            </w:r>
          </w:p>
        </w:tc>
        <w:tc>
          <w:tcPr>
            <w:tcW w:w="1644" w:type="dxa"/>
            <w:vAlign w:val="center"/>
          </w:tcPr>
          <w:p w14:paraId="6CF11C4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sz w:val="21"/>
                <w:szCs w:val="21"/>
                <w:highlight w:val="none"/>
                <w:vertAlign w:val="baseline"/>
                <w:lang w:val="en-US" w:eastAsia="zh-CN"/>
              </w:rPr>
            </w:pPr>
            <w:r>
              <w:rPr>
                <w:rFonts w:hint="eastAsia" w:ascii="Times New Roman" w:hAnsi="Times New Roman" w:eastAsia="宋体" w:cs="Times New Roman"/>
                <w:sz w:val="21"/>
                <w:szCs w:val="21"/>
                <w:highlight w:val="none"/>
                <w:vertAlign w:val="baseline"/>
                <w:lang w:val="en-US" w:eastAsia="zh-CN"/>
              </w:rPr>
              <w:t>0.027</w:t>
            </w:r>
          </w:p>
        </w:tc>
        <w:tc>
          <w:tcPr>
            <w:tcW w:w="1647" w:type="dxa"/>
            <w:vAlign w:val="center"/>
          </w:tcPr>
          <w:p w14:paraId="531A082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eastAsia" w:cs="Times New Roman"/>
                <w:sz w:val="21"/>
                <w:szCs w:val="21"/>
                <w:highlight w:val="none"/>
                <w:vertAlign w:val="baseline"/>
                <w:lang w:val="en-US" w:eastAsia="zh-CN"/>
              </w:rPr>
              <w:t>0.0005</w:t>
            </w:r>
          </w:p>
        </w:tc>
      </w:tr>
      <w:tr w14:paraId="5FB6DAD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009" w:type="dxa"/>
            <w:vAlign w:val="center"/>
          </w:tcPr>
          <w:p w14:paraId="786BDAE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总砷</w:t>
            </w:r>
          </w:p>
        </w:tc>
        <w:tc>
          <w:tcPr>
            <w:tcW w:w="1644" w:type="dxa"/>
            <w:vAlign w:val="center"/>
          </w:tcPr>
          <w:p w14:paraId="601B70D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2.48</w:t>
            </w:r>
          </w:p>
        </w:tc>
        <w:tc>
          <w:tcPr>
            <w:tcW w:w="1644" w:type="dxa"/>
            <w:vAlign w:val="center"/>
          </w:tcPr>
          <w:p w14:paraId="06F16EE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sz w:val="21"/>
                <w:szCs w:val="21"/>
                <w:highlight w:val="none"/>
                <w:vertAlign w:val="baseline"/>
                <w:lang w:val="en-US" w:eastAsia="zh-CN"/>
              </w:rPr>
            </w:pPr>
            <w:r>
              <w:rPr>
                <w:rFonts w:hint="eastAsia" w:eastAsia="宋体"/>
                <w:sz w:val="21"/>
                <w:szCs w:val="21"/>
                <w:highlight w:val="none"/>
                <w:vertAlign w:val="baseline"/>
                <w:lang w:val="en-US" w:eastAsia="zh-CN"/>
              </w:rPr>
              <w:t>0.0429</w:t>
            </w:r>
          </w:p>
        </w:tc>
        <w:tc>
          <w:tcPr>
            <w:tcW w:w="1644" w:type="dxa"/>
            <w:vAlign w:val="center"/>
          </w:tcPr>
          <w:p w14:paraId="67D3A04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eastAsia" w:ascii="Times New Roman" w:hAnsi="Times New Roman" w:eastAsia="宋体" w:cs="Times New Roman"/>
                <w:sz w:val="21"/>
                <w:szCs w:val="21"/>
                <w:highlight w:val="none"/>
                <w:vertAlign w:val="baseline"/>
                <w:lang w:val="en-US" w:eastAsia="zh-CN"/>
              </w:rPr>
              <w:t>90</w:t>
            </w:r>
          </w:p>
        </w:tc>
        <w:tc>
          <w:tcPr>
            <w:tcW w:w="1644" w:type="dxa"/>
            <w:vAlign w:val="center"/>
          </w:tcPr>
          <w:p w14:paraId="3E91FBA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sz w:val="21"/>
                <w:szCs w:val="21"/>
                <w:highlight w:val="none"/>
                <w:vertAlign w:val="baseline"/>
                <w:lang w:val="en-US" w:eastAsia="zh-CN"/>
              </w:rPr>
            </w:pPr>
            <w:r>
              <w:rPr>
                <w:rFonts w:hint="eastAsia" w:ascii="Times New Roman" w:hAnsi="Times New Roman" w:eastAsia="宋体" w:cs="Times New Roman"/>
                <w:sz w:val="21"/>
                <w:szCs w:val="21"/>
                <w:highlight w:val="none"/>
                <w:vertAlign w:val="baseline"/>
                <w:lang w:val="en-US" w:eastAsia="zh-CN"/>
              </w:rPr>
              <w:t>0.248</w:t>
            </w:r>
          </w:p>
        </w:tc>
        <w:tc>
          <w:tcPr>
            <w:tcW w:w="1647" w:type="dxa"/>
            <w:vAlign w:val="center"/>
          </w:tcPr>
          <w:p w14:paraId="61AF386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eastAsia" w:cs="Times New Roman"/>
                <w:sz w:val="21"/>
                <w:szCs w:val="21"/>
                <w:highlight w:val="none"/>
                <w:vertAlign w:val="baseline"/>
                <w:lang w:val="en-US" w:eastAsia="zh-CN"/>
              </w:rPr>
              <w:t>0.0043</w:t>
            </w:r>
          </w:p>
        </w:tc>
      </w:tr>
      <w:tr w14:paraId="45323F8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009" w:type="dxa"/>
            <w:vAlign w:val="center"/>
          </w:tcPr>
          <w:p w14:paraId="4C06873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总镉</w:t>
            </w:r>
          </w:p>
        </w:tc>
        <w:tc>
          <w:tcPr>
            <w:tcW w:w="1644" w:type="dxa"/>
            <w:vAlign w:val="center"/>
          </w:tcPr>
          <w:p w14:paraId="1167A2A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0.0012</w:t>
            </w:r>
          </w:p>
        </w:tc>
        <w:tc>
          <w:tcPr>
            <w:tcW w:w="1644" w:type="dxa"/>
            <w:vAlign w:val="center"/>
          </w:tcPr>
          <w:p w14:paraId="24405D9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sz w:val="21"/>
                <w:szCs w:val="21"/>
                <w:highlight w:val="none"/>
                <w:vertAlign w:val="baseline"/>
                <w:lang w:val="en-US" w:eastAsia="zh-CN"/>
              </w:rPr>
            </w:pPr>
            <w:r>
              <w:rPr>
                <w:rFonts w:hint="eastAsia" w:eastAsia="宋体"/>
                <w:sz w:val="21"/>
                <w:szCs w:val="21"/>
                <w:highlight w:val="none"/>
                <w:vertAlign w:val="baseline"/>
                <w:lang w:val="en-US" w:eastAsia="zh-CN"/>
              </w:rPr>
              <w:t>0.000021</w:t>
            </w:r>
          </w:p>
        </w:tc>
        <w:tc>
          <w:tcPr>
            <w:tcW w:w="1644" w:type="dxa"/>
            <w:vAlign w:val="center"/>
          </w:tcPr>
          <w:p w14:paraId="00428D0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eastAsia" w:ascii="Times New Roman" w:hAnsi="Times New Roman" w:eastAsia="宋体" w:cs="Times New Roman"/>
                <w:sz w:val="21"/>
                <w:szCs w:val="21"/>
                <w:highlight w:val="none"/>
                <w:vertAlign w:val="baseline"/>
                <w:lang w:val="en-US" w:eastAsia="zh-CN"/>
              </w:rPr>
              <w:t>90</w:t>
            </w:r>
          </w:p>
        </w:tc>
        <w:tc>
          <w:tcPr>
            <w:tcW w:w="1644" w:type="dxa"/>
            <w:vAlign w:val="center"/>
          </w:tcPr>
          <w:p w14:paraId="1E51629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sz w:val="21"/>
                <w:szCs w:val="21"/>
                <w:highlight w:val="none"/>
                <w:vertAlign w:val="baseline"/>
                <w:lang w:val="en-US" w:eastAsia="zh-CN"/>
              </w:rPr>
            </w:pPr>
            <w:r>
              <w:rPr>
                <w:rFonts w:hint="eastAsia" w:ascii="Times New Roman" w:hAnsi="Times New Roman" w:eastAsia="宋体" w:cs="Times New Roman"/>
                <w:sz w:val="21"/>
                <w:szCs w:val="21"/>
                <w:highlight w:val="none"/>
                <w:vertAlign w:val="baseline"/>
                <w:lang w:val="en-US" w:eastAsia="zh-CN"/>
              </w:rPr>
              <w:t>0.00012</w:t>
            </w:r>
          </w:p>
        </w:tc>
        <w:tc>
          <w:tcPr>
            <w:tcW w:w="1647" w:type="dxa"/>
            <w:vAlign w:val="center"/>
          </w:tcPr>
          <w:p w14:paraId="4D15253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eastAsia" w:cs="Times New Roman"/>
                <w:sz w:val="21"/>
                <w:szCs w:val="21"/>
                <w:highlight w:val="none"/>
                <w:vertAlign w:val="baseline"/>
                <w:lang w:val="en-US" w:eastAsia="zh-CN"/>
              </w:rPr>
              <w:t>0.0000021</w:t>
            </w:r>
          </w:p>
        </w:tc>
      </w:tr>
      <w:tr w14:paraId="4F82D5C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009" w:type="dxa"/>
            <w:vAlign w:val="center"/>
          </w:tcPr>
          <w:p w14:paraId="33CBBC8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总铅</w:t>
            </w:r>
          </w:p>
        </w:tc>
        <w:tc>
          <w:tcPr>
            <w:tcW w:w="1644" w:type="dxa"/>
            <w:vAlign w:val="center"/>
          </w:tcPr>
          <w:p w14:paraId="6358A2F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0.0396</w:t>
            </w:r>
          </w:p>
        </w:tc>
        <w:tc>
          <w:tcPr>
            <w:tcW w:w="1644" w:type="dxa"/>
            <w:vAlign w:val="center"/>
          </w:tcPr>
          <w:p w14:paraId="0701C22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sz w:val="21"/>
                <w:szCs w:val="21"/>
                <w:highlight w:val="none"/>
                <w:vertAlign w:val="baseline"/>
                <w:lang w:val="en-US" w:eastAsia="zh-CN"/>
              </w:rPr>
            </w:pPr>
            <w:r>
              <w:rPr>
                <w:rFonts w:hint="eastAsia" w:eastAsia="宋体"/>
                <w:sz w:val="21"/>
                <w:szCs w:val="21"/>
                <w:highlight w:val="none"/>
                <w:vertAlign w:val="baseline"/>
                <w:lang w:val="en-US" w:eastAsia="zh-CN"/>
              </w:rPr>
              <w:t>0.00068</w:t>
            </w:r>
          </w:p>
        </w:tc>
        <w:tc>
          <w:tcPr>
            <w:tcW w:w="1644" w:type="dxa"/>
            <w:vAlign w:val="center"/>
          </w:tcPr>
          <w:p w14:paraId="0F092DE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eastAsia" w:ascii="Times New Roman" w:hAnsi="Times New Roman" w:eastAsia="宋体" w:cs="Times New Roman"/>
                <w:sz w:val="21"/>
                <w:szCs w:val="21"/>
                <w:highlight w:val="none"/>
                <w:vertAlign w:val="baseline"/>
                <w:lang w:val="en-US" w:eastAsia="zh-CN"/>
              </w:rPr>
              <w:t>90</w:t>
            </w:r>
          </w:p>
        </w:tc>
        <w:tc>
          <w:tcPr>
            <w:tcW w:w="1644" w:type="dxa"/>
            <w:vAlign w:val="center"/>
          </w:tcPr>
          <w:p w14:paraId="5AFEBF1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sz w:val="21"/>
                <w:szCs w:val="21"/>
                <w:highlight w:val="none"/>
                <w:vertAlign w:val="baseline"/>
                <w:lang w:val="en-US" w:eastAsia="zh-CN"/>
              </w:rPr>
            </w:pPr>
            <w:r>
              <w:rPr>
                <w:rFonts w:hint="eastAsia" w:ascii="Times New Roman" w:hAnsi="Times New Roman" w:eastAsia="宋体" w:cs="Times New Roman"/>
                <w:sz w:val="21"/>
                <w:szCs w:val="21"/>
                <w:highlight w:val="none"/>
                <w:vertAlign w:val="baseline"/>
                <w:lang w:val="en-US" w:eastAsia="zh-CN"/>
              </w:rPr>
              <w:t>0.00396</w:t>
            </w:r>
          </w:p>
        </w:tc>
        <w:tc>
          <w:tcPr>
            <w:tcW w:w="1647" w:type="dxa"/>
            <w:vAlign w:val="center"/>
          </w:tcPr>
          <w:p w14:paraId="69B3210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eastAsia" w:cs="Times New Roman"/>
                <w:sz w:val="21"/>
                <w:szCs w:val="21"/>
                <w:highlight w:val="none"/>
                <w:vertAlign w:val="baseline"/>
                <w:lang w:val="en-US" w:eastAsia="zh-CN"/>
              </w:rPr>
              <w:t>0.000068</w:t>
            </w:r>
          </w:p>
        </w:tc>
      </w:tr>
      <w:tr w14:paraId="3FFE717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009" w:type="dxa"/>
            <w:vAlign w:val="center"/>
          </w:tcPr>
          <w:p w14:paraId="1F7A679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总汞</w:t>
            </w:r>
          </w:p>
        </w:tc>
        <w:tc>
          <w:tcPr>
            <w:tcW w:w="1644" w:type="dxa"/>
            <w:vAlign w:val="center"/>
          </w:tcPr>
          <w:p w14:paraId="585DF11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0.00002</w:t>
            </w:r>
          </w:p>
        </w:tc>
        <w:tc>
          <w:tcPr>
            <w:tcW w:w="1644" w:type="dxa"/>
            <w:vAlign w:val="center"/>
          </w:tcPr>
          <w:p w14:paraId="030C058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sz w:val="21"/>
                <w:szCs w:val="21"/>
                <w:highlight w:val="none"/>
                <w:vertAlign w:val="baseline"/>
                <w:lang w:val="en-US" w:eastAsia="zh-CN"/>
              </w:rPr>
            </w:pPr>
            <w:r>
              <w:rPr>
                <w:rFonts w:hint="eastAsia" w:eastAsia="宋体"/>
                <w:sz w:val="21"/>
                <w:szCs w:val="21"/>
                <w:highlight w:val="none"/>
                <w:vertAlign w:val="baseline"/>
                <w:lang w:val="en-US" w:eastAsia="zh-CN"/>
              </w:rPr>
              <w:t>0.00000035</w:t>
            </w:r>
          </w:p>
        </w:tc>
        <w:tc>
          <w:tcPr>
            <w:tcW w:w="1644" w:type="dxa"/>
            <w:vAlign w:val="center"/>
          </w:tcPr>
          <w:p w14:paraId="35FE4E5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eastAsia" w:ascii="Times New Roman" w:hAnsi="Times New Roman" w:eastAsia="宋体" w:cs="Times New Roman"/>
                <w:sz w:val="21"/>
                <w:szCs w:val="21"/>
                <w:highlight w:val="none"/>
                <w:vertAlign w:val="baseline"/>
                <w:lang w:val="en-US" w:eastAsia="zh-CN"/>
              </w:rPr>
              <w:t>90</w:t>
            </w:r>
          </w:p>
        </w:tc>
        <w:tc>
          <w:tcPr>
            <w:tcW w:w="1644" w:type="dxa"/>
            <w:vAlign w:val="center"/>
          </w:tcPr>
          <w:p w14:paraId="0E4536B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sz w:val="21"/>
                <w:szCs w:val="21"/>
                <w:highlight w:val="none"/>
                <w:vertAlign w:val="baseline"/>
                <w:lang w:val="en-US" w:eastAsia="zh-CN"/>
              </w:rPr>
            </w:pPr>
            <w:r>
              <w:rPr>
                <w:rFonts w:hint="eastAsia" w:ascii="Times New Roman" w:hAnsi="Times New Roman" w:eastAsia="宋体" w:cs="Times New Roman"/>
                <w:sz w:val="21"/>
                <w:szCs w:val="21"/>
                <w:highlight w:val="none"/>
                <w:vertAlign w:val="baseline"/>
                <w:lang w:val="en-US" w:eastAsia="zh-CN"/>
              </w:rPr>
              <w:t>0.000002</w:t>
            </w:r>
          </w:p>
        </w:tc>
        <w:tc>
          <w:tcPr>
            <w:tcW w:w="1647" w:type="dxa"/>
            <w:vAlign w:val="center"/>
          </w:tcPr>
          <w:p w14:paraId="1949568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eastAsia" w:cs="Times New Roman"/>
                <w:sz w:val="21"/>
                <w:szCs w:val="21"/>
                <w:highlight w:val="none"/>
                <w:vertAlign w:val="baseline"/>
                <w:lang w:val="en-US" w:eastAsia="zh-CN"/>
              </w:rPr>
              <w:t>0.00000004</w:t>
            </w:r>
          </w:p>
        </w:tc>
      </w:tr>
      <w:tr w14:paraId="339DF40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009" w:type="dxa"/>
            <w:vAlign w:val="center"/>
          </w:tcPr>
          <w:p w14:paraId="6DCA486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六价铬</w:t>
            </w:r>
          </w:p>
        </w:tc>
        <w:tc>
          <w:tcPr>
            <w:tcW w:w="1644" w:type="dxa"/>
            <w:vAlign w:val="center"/>
          </w:tcPr>
          <w:p w14:paraId="013A1DF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0.004</w:t>
            </w:r>
          </w:p>
        </w:tc>
        <w:tc>
          <w:tcPr>
            <w:tcW w:w="1644" w:type="dxa"/>
            <w:vAlign w:val="center"/>
          </w:tcPr>
          <w:p w14:paraId="6917C1B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sz w:val="21"/>
                <w:szCs w:val="21"/>
                <w:highlight w:val="none"/>
                <w:vertAlign w:val="baseline"/>
                <w:lang w:val="en-US" w:eastAsia="zh-CN"/>
              </w:rPr>
            </w:pPr>
            <w:r>
              <w:rPr>
                <w:rFonts w:hint="eastAsia" w:eastAsia="宋体"/>
                <w:sz w:val="21"/>
                <w:szCs w:val="21"/>
                <w:highlight w:val="none"/>
                <w:vertAlign w:val="baseline"/>
                <w:lang w:val="en-US" w:eastAsia="zh-CN"/>
              </w:rPr>
              <w:t>0.000069</w:t>
            </w:r>
          </w:p>
        </w:tc>
        <w:tc>
          <w:tcPr>
            <w:tcW w:w="1644" w:type="dxa"/>
            <w:vAlign w:val="center"/>
          </w:tcPr>
          <w:p w14:paraId="0C8278D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eastAsia" w:ascii="Times New Roman" w:hAnsi="Times New Roman" w:eastAsia="宋体" w:cs="Times New Roman"/>
                <w:sz w:val="21"/>
                <w:szCs w:val="21"/>
                <w:highlight w:val="none"/>
                <w:vertAlign w:val="baseline"/>
                <w:lang w:val="en-US" w:eastAsia="zh-CN"/>
              </w:rPr>
              <w:t>90</w:t>
            </w:r>
          </w:p>
        </w:tc>
        <w:tc>
          <w:tcPr>
            <w:tcW w:w="1644" w:type="dxa"/>
            <w:vAlign w:val="center"/>
          </w:tcPr>
          <w:p w14:paraId="4976008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sz w:val="21"/>
                <w:szCs w:val="21"/>
                <w:highlight w:val="none"/>
                <w:vertAlign w:val="baseline"/>
                <w:lang w:val="en-US" w:eastAsia="zh-CN"/>
              </w:rPr>
            </w:pPr>
            <w:r>
              <w:rPr>
                <w:rFonts w:hint="eastAsia" w:ascii="Times New Roman" w:hAnsi="Times New Roman" w:eastAsia="宋体" w:cs="Times New Roman"/>
                <w:sz w:val="21"/>
                <w:szCs w:val="21"/>
                <w:highlight w:val="none"/>
                <w:vertAlign w:val="baseline"/>
                <w:lang w:val="en-US" w:eastAsia="zh-CN"/>
              </w:rPr>
              <w:t>0.0004</w:t>
            </w:r>
          </w:p>
        </w:tc>
        <w:tc>
          <w:tcPr>
            <w:tcW w:w="1647" w:type="dxa"/>
            <w:vAlign w:val="center"/>
          </w:tcPr>
          <w:p w14:paraId="50C4474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eastAsia" w:cs="Times New Roman"/>
                <w:sz w:val="21"/>
                <w:szCs w:val="21"/>
                <w:highlight w:val="none"/>
                <w:vertAlign w:val="baseline"/>
                <w:lang w:val="en-US" w:eastAsia="zh-CN"/>
              </w:rPr>
              <w:t>0.000007</w:t>
            </w:r>
          </w:p>
        </w:tc>
      </w:tr>
      <w:tr w14:paraId="4886745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009" w:type="dxa"/>
            <w:vAlign w:val="center"/>
          </w:tcPr>
          <w:p w14:paraId="3518F85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氰化物</w:t>
            </w:r>
          </w:p>
        </w:tc>
        <w:tc>
          <w:tcPr>
            <w:tcW w:w="1644" w:type="dxa"/>
            <w:vAlign w:val="center"/>
          </w:tcPr>
          <w:p w14:paraId="390CE57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0.004</w:t>
            </w:r>
          </w:p>
        </w:tc>
        <w:tc>
          <w:tcPr>
            <w:tcW w:w="1644" w:type="dxa"/>
            <w:vAlign w:val="center"/>
          </w:tcPr>
          <w:p w14:paraId="656CBFF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sz w:val="21"/>
                <w:szCs w:val="21"/>
                <w:highlight w:val="none"/>
                <w:vertAlign w:val="baseline"/>
                <w:lang w:val="en-US" w:eastAsia="zh-CN"/>
              </w:rPr>
            </w:pPr>
            <w:r>
              <w:rPr>
                <w:rFonts w:hint="eastAsia" w:eastAsia="宋体"/>
                <w:sz w:val="21"/>
                <w:szCs w:val="21"/>
                <w:highlight w:val="none"/>
                <w:vertAlign w:val="baseline"/>
                <w:lang w:val="en-US" w:eastAsia="zh-CN"/>
              </w:rPr>
              <w:t>0.000069</w:t>
            </w:r>
          </w:p>
        </w:tc>
        <w:tc>
          <w:tcPr>
            <w:tcW w:w="1644" w:type="dxa"/>
            <w:vAlign w:val="center"/>
          </w:tcPr>
          <w:p w14:paraId="116DB00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eastAsia" w:ascii="Times New Roman" w:hAnsi="Times New Roman" w:eastAsia="宋体" w:cs="Times New Roman"/>
                <w:sz w:val="21"/>
                <w:szCs w:val="21"/>
                <w:highlight w:val="none"/>
                <w:vertAlign w:val="baseline"/>
                <w:lang w:val="en-US" w:eastAsia="zh-CN"/>
              </w:rPr>
              <w:t>90</w:t>
            </w:r>
          </w:p>
        </w:tc>
        <w:tc>
          <w:tcPr>
            <w:tcW w:w="1644" w:type="dxa"/>
            <w:vAlign w:val="center"/>
          </w:tcPr>
          <w:p w14:paraId="578CE86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sz w:val="21"/>
                <w:szCs w:val="21"/>
                <w:highlight w:val="none"/>
                <w:vertAlign w:val="baseline"/>
                <w:lang w:val="en-US" w:eastAsia="zh-CN"/>
              </w:rPr>
            </w:pPr>
            <w:r>
              <w:rPr>
                <w:rFonts w:hint="eastAsia" w:ascii="Times New Roman" w:hAnsi="Times New Roman" w:eastAsia="宋体" w:cs="Times New Roman"/>
                <w:sz w:val="21"/>
                <w:szCs w:val="21"/>
                <w:highlight w:val="none"/>
                <w:vertAlign w:val="baseline"/>
                <w:lang w:val="en-US" w:eastAsia="zh-CN"/>
              </w:rPr>
              <w:t>0.0004</w:t>
            </w:r>
          </w:p>
        </w:tc>
        <w:tc>
          <w:tcPr>
            <w:tcW w:w="1647" w:type="dxa"/>
            <w:vAlign w:val="center"/>
          </w:tcPr>
          <w:p w14:paraId="586B330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eastAsia" w:cs="Times New Roman"/>
                <w:sz w:val="21"/>
                <w:szCs w:val="21"/>
                <w:highlight w:val="none"/>
                <w:vertAlign w:val="baseline"/>
                <w:lang w:val="en-US" w:eastAsia="zh-CN"/>
              </w:rPr>
              <w:t>0.000007</w:t>
            </w:r>
          </w:p>
        </w:tc>
      </w:tr>
      <w:tr w14:paraId="6DD5B3F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9232" w:type="dxa"/>
            <w:gridSpan w:val="6"/>
            <w:vAlign w:val="center"/>
          </w:tcPr>
          <w:p w14:paraId="706B3BD4">
            <w:pPr>
              <w:keepNext w:val="0"/>
              <w:keepLines w:val="0"/>
              <w:pageBreakBefore w:val="0"/>
              <w:widowControl w:val="0"/>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eastAsia="宋体" w:cs="Times New Roman"/>
                <w:sz w:val="21"/>
                <w:szCs w:val="21"/>
                <w:highlight w:val="none"/>
                <w:vertAlign w:val="baseline"/>
                <w:lang w:val="en-US" w:eastAsia="zh-CN"/>
              </w:rPr>
            </w:pPr>
            <w:r>
              <w:rPr>
                <w:rFonts w:hint="eastAsia" w:cs="Times New Roman"/>
                <w:b/>
                <w:bCs/>
                <w:sz w:val="21"/>
                <w:szCs w:val="21"/>
                <w:highlight w:val="none"/>
                <w:vertAlign w:val="baseline"/>
                <w:lang w:val="en-US" w:eastAsia="zh-CN"/>
              </w:rPr>
              <w:t>注：总铬、总镍、总铜、总铬、六价铬及氰化物等未检出因子产生浓度为检测方法检出限。</w:t>
            </w:r>
          </w:p>
        </w:tc>
      </w:tr>
    </w:tbl>
    <w:p w14:paraId="4F2B47C5">
      <w:pPr>
        <w:bidi w:val="0"/>
        <w:rPr>
          <w:rFonts w:hint="eastAsia"/>
          <w:highlight w:val="none"/>
          <w:lang w:val="en-US" w:eastAsia="zh-CN"/>
        </w:rPr>
      </w:pPr>
      <w:r>
        <w:rPr>
          <w:rFonts w:hint="eastAsia"/>
          <w:highlight w:val="none"/>
          <w:lang w:val="en-US" w:eastAsia="zh-CN"/>
        </w:rPr>
        <w:t>（3）生活污水</w:t>
      </w:r>
    </w:p>
    <w:p w14:paraId="1689F34A">
      <w:pPr>
        <w:bidi w:val="0"/>
        <w:rPr>
          <w:rFonts w:hint="eastAsia"/>
          <w:highlight w:val="none"/>
          <w:lang w:val="en-US" w:eastAsia="zh-CN"/>
        </w:rPr>
      </w:pPr>
      <w:r>
        <w:rPr>
          <w:rFonts w:hint="eastAsia"/>
          <w:highlight w:val="none"/>
          <w:lang w:val="en-US" w:eastAsia="zh-CN"/>
        </w:rPr>
        <w:t>生活污水主要污染物是COD</w:t>
      </w:r>
      <w:r>
        <w:rPr>
          <w:rFonts w:hint="eastAsia"/>
          <w:highlight w:val="none"/>
          <w:vertAlign w:val="subscript"/>
          <w:lang w:val="en-US" w:eastAsia="zh-CN"/>
        </w:rPr>
        <w:t>Cr</w:t>
      </w:r>
      <w:r>
        <w:rPr>
          <w:rFonts w:hint="eastAsia"/>
          <w:highlight w:val="none"/>
          <w:lang w:val="en-US" w:eastAsia="zh-CN"/>
        </w:rPr>
        <w:t>、BOD</w:t>
      </w:r>
      <w:r>
        <w:rPr>
          <w:rFonts w:hint="eastAsia"/>
          <w:highlight w:val="none"/>
          <w:vertAlign w:val="subscript"/>
          <w:lang w:val="en-US" w:eastAsia="zh-CN"/>
        </w:rPr>
        <w:t>5</w:t>
      </w:r>
      <w:r>
        <w:rPr>
          <w:rFonts w:hint="eastAsia"/>
          <w:highlight w:val="none"/>
          <w:lang w:val="en-US" w:eastAsia="zh-CN"/>
        </w:rPr>
        <w:t>、氨氮和动植物油等。项目共有施工人员约20人，施工人员大部分为当地的居民，不在施工场地内住宿，施工人员就近租用居民区。每天生活用水以80L/人计，生活污水按用水量的80%计，则生活污水的产生量为1.28m</w:t>
      </w:r>
      <w:r>
        <w:rPr>
          <w:rFonts w:hint="eastAsia"/>
          <w:highlight w:val="none"/>
          <w:vertAlign w:val="superscript"/>
          <w:lang w:val="en-US" w:eastAsia="zh-CN"/>
        </w:rPr>
        <w:t>3</w:t>
      </w:r>
      <w:r>
        <w:rPr>
          <w:rFonts w:hint="eastAsia"/>
          <w:highlight w:val="none"/>
          <w:lang w:val="en-US" w:eastAsia="zh-CN"/>
        </w:rPr>
        <w:t>/d。生活污水水质数据为COD</w:t>
      </w:r>
      <w:r>
        <w:rPr>
          <w:rFonts w:hint="eastAsia"/>
          <w:highlight w:val="none"/>
          <w:vertAlign w:val="subscript"/>
          <w:lang w:val="en-US" w:eastAsia="zh-CN"/>
        </w:rPr>
        <w:t>Cr</w:t>
      </w:r>
      <w:r>
        <w:rPr>
          <w:rFonts w:hint="eastAsia"/>
          <w:highlight w:val="none"/>
          <w:lang w:val="en-US" w:eastAsia="zh-CN"/>
        </w:rPr>
        <w:t>：320mg/L，BOD</w:t>
      </w:r>
      <w:r>
        <w:rPr>
          <w:rFonts w:hint="eastAsia"/>
          <w:highlight w:val="none"/>
          <w:vertAlign w:val="subscript"/>
          <w:lang w:val="en-US" w:eastAsia="zh-CN"/>
        </w:rPr>
        <w:t>5</w:t>
      </w:r>
      <w:r>
        <w:rPr>
          <w:rFonts w:hint="eastAsia"/>
          <w:highlight w:val="none"/>
          <w:lang w:val="en-US" w:eastAsia="zh-CN"/>
        </w:rPr>
        <w:t>：180mg/L，氨氮：30mg/L，动植物油：20mg/L。本项目施工人员生活污水经化粪池处理后用于农肥，不外排。</w:t>
      </w:r>
    </w:p>
    <w:p w14:paraId="7AF332BB">
      <w:pPr>
        <w:bidi w:val="0"/>
        <w:rPr>
          <w:rFonts w:hint="eastAsia"/>
          <w:highlight w:val="none"/>
          <w:lang w:val="en-US" w:eastAsia="zh-CN"/>
        </w:rPr>
      </w:pPr>
      <w:r>
        <w:rPr>
          <w:rFonts w:hint="eastAsia"/>
          <w:highlight w:val="none"/>
          <w:lang w:val="en-US" w:eastAsia="zh-CN"/>
        </w:rPr>
        <w:t>（4）车辆清洗废水</w:t>
      </w:r>
    </w:p>
    <w:p w14:paraId="7742B361">
      <w:pPr>
        <w:bidi w:val="0"/>
        <w:rPr>
          <w:rFonts w:hint="eastAsia"/>
          <w:highlight w:val="yellow"/>
          <w:lang w:val="en-US" w:eastAsia="zh-CN"/>
        </w:rPr>
      </w:pPr>
      <w:r>
        <w:rPr>
          <w:rFonts w:hint="eastAsia"/>
          <w:highlight w:val="none"/>
          <w:lang w:val="en-US" w:eastAsia="zh-CN"/>
        </w:rPr>
        <w:t>根据施工方案，废渣区、填埋区和取土场三者距离较远，为防止车辆携带泥土引起扬尘等污染，运输车辆每次均需清洗。废渣运输量为55555.12m</w:t>
      </w:r>
      <w:r>
        <w:rPr>
          <w:rFonts w:hint="eastAsia"/>
          <w:highlight w:val="none"/>
          <w:vertAlign w:val="superscript"/>
          <w:lang w:val="en-US" w:eastAsia="zh-CN"/>
        </w:rPr>
        <w:t>3</w:t>
      </w:r>
      <w:r>
        <w:rPr>
          <w:rFonts w:hint="eastAsia"/>
          <w:highlight w:val="none"/>
          <w:lang w:val="en-US" w:eastAsia="zh-CN"/>
        </w:rPr>
        <w:t>，取土运输总量为16271m</w:t>
      </w:r>
      <w:r>
        <w:rPr>
          <w:rFonts w:hint="eastAsia"/>
          <w:highlight w:val="none"/>
          <w:vertAlign w:val="superscript"/>
          <w:lang w:val="en-US" w:eastAsia="zh-CN"/>
        </w:rPr>
        <w:t>3</w:t>
      </w:r>
      <w:r>
        <w:rPr>
          <w:rFonts w:hint="eastAsia"/>
          <w:highlight w:val="none"/>
          <w:lang w:val="en-US" w:eastAsia="zh-CN"/>
        </w:rPr>
        <w:t>，密度取1.8t/m</w:t>
      </w:r>
      <w:r>
        <w:rPr>
          <w:rFonts w:hint="eastAsia"/>
          <w:highlight w:val="none"/>
          <w:vertAlign w:val="superscript"/>
          <w:lang w:val="en-US" w:eastAsia="zh-CN"/>
        </w:rPr>
        <w:t>3</w:t>
      </w:r>
      <w:r>
        <w:rPr>
          <w:rFonts w:hint="eastAsia"/>
          <w:highlight w:val="none"/>
          <w:lang w:val="en-US" w:eastAsia="zh-CN"/>
        </w:rPr>
        <w:t>，则运输重量为129287t，采用20t车辆运输，共计约6465辆次。车辆冲洗水量大致为0.05m</w:t>
      </w:r>
      <w:r>
        <w:rPr>
          <w:rFonts w:hint="eastAsia"/>
          <w:highlight w:val="none"/>
          <w:vertAlign w:val="superscript"/>
          <w:lang w:val="en-US" w:eastAsia="zh-CN"/>
        </w:rPr>
        <w:t>3</w:t>
      </w:r>
      <w:r>
        <w:rPr>
          <w:rFonts w:hint="eastAsia"/>
          <w:highlight w:val="none"/>
          <w:lang w:val="en-US" w:eastAsia="zh-CN"/>
        </w:rPr>
        <w:t>/辆次，则车辆设备清洗用水323.25m</w:t>
      </w:r>
      <w:r>
        <w:rPr>
          <w:rFonts w:hint="eastAsia"/>
          <w:highlight w:val="none"/>
          <w:vertAlign w:val="superscript"/>
          <w:lang w:val="en-US" w:eastAsia="zh-CN"/>
        </w:rPr>
        <w:t>3</w:t>
      </w:r>
      <w:r>
        <w:rPr>
          <w:rFonts w:hint="eastAsia"/>
          <w:highlight w:val="none"/>
          <w:lang w:val="en-US" w:eastAsia="zh-CN"/>
        </w:rPr>
        <w:t>。车辆清洗废水产污系数按0.8计，则废水产生量为258.6m</w:t>
      </w:r>
      <w:r>
        <w:rPr>
          <w:rFonts w:hint="eastAsia"/>
          <w:highlight w:val="none"/>
          <w:vertAlign w:val="superscript"/>
          <w:lang w:val="en-US" w:eastAsia="zh-CN"/>
        </w:rPr>
        <w:t>3</w:t>
      </w:r>
      <w:r>
        <w:rPr>
          <w:rFonts w:hint="eastAsia"/>
          <w:highlight w:val="none"/>
          <w:vertAlign w:val="baseline"/>
          <w:lang w:val="en-US" w:eastAsia="zh-CN"/>
        </w:rPr>
        <w:t>（1.44m</w:t>
      </w:r>
      <w:r>
        <w:rPr>
          <w:rFonts w:hint="eastAsia"/>
          <w:highlight w:val="none"/>
          <w:vertAlign w:val="superscript"/>
          <w:lang w:val="en-US" w:eastAsia="zh-CN"/>
        </w:rPr>
        <w:t>3</w:t>
      </w:r>
      <w:r>
        <w:rPr>
          <w:rFonts w:hint="eastAsia"/>
          <w:highlight w:val="none"/>
          <w:vertAlign w:val="baseline"/>
          <w:lang w:val="en-US" w:eastAsia="zh-CN"/>
        </w:rPr>
        <w:t>/d）</w:t>
      </w:r>
      <w:r>
        <w:rPr>
          <w:rFonts w:hint="eastAsia"/>
          <w:highlight w:val="none"/>
          <w:lang w:val="en-US" w:eastAsia="zh-CN"/>
        </w:rPr>
        <w:t>。车辆清洗废水主要污染因子为石油类、SS，石油类浓度10~30mg/L、SS浓度500~1000mg/L。在项目地进出口设置洗车平台，洗车废水采用集水池收集，再使用一体化废水处理设备进行处理，经处理后用于洒水降尘，不外排。</w:t>
      </w:r>
    </w:p>
    <w:p w14:paraId="0CF36FC2">
      <w:pPr>
        <w:pStyle w:val="10"/>
        <w:numPr>
          <w:ilvl w:val="3"/>
          <w:numId w:val="1"/>
        </w:numPr>
        <w:bidi w:val="0"/>
        <w:ind w:left="850" w:leftChars="0" w:hanging="850" w:firstLineChars="0"/>
        <w:rPr>
          <w:rFonts w:hint="default"/>
          <w:lang w:val="en-US" w:eastAsia="zh-CN"/>
        </w:rPr>
      </w:pPr>
      <w:r>
        <w:rPr>
          <w:rFonts w:hint="eastAsia"/>
          <w:lang w:val="en-US" w:eastAsia="zh-CN"/>
        </w:rPr>
        <w:t>噪声</w:t>
      </w:r>
    </w:p>
    <w:p w14:paraId="17C883FE">
      <w:pPr>
        <w:rPr>
          <w:rFonts w:hint="eastAsia"/>
          <w:highlight w:val="none"/>
          <w:lang w:val="en-US" w:eastAsia="zh-CN"/>
        </w:rPr>
      </w:pPr>
      <w:r>
        <w:rPr>
          <w:rFonts w:hint="eastAsia"/>
          <w:highlight w:val="none"/>
          <w:lang w:val="en-US" w:eastAsia="zh-CN"/>
        </w:rPr>
        <w:t>本项目施工期主要噪声源为装载机、挖掘机、压实机、推土机、自卸汽车及水泵等，其噪声源强范围为78~90dB（A），施工期噪声源强情况见表3.2-6。</w:t>
      </w:r>
    </w:p>
    <w:p w14:paraId="0EA8870A">
      <w:pPr>
        <w:ind w:left="0" w:leftChars="0" w:firstLine="0" w:firstLineChars="0"/>
        <w:jc w:val="center"/>
        <w:rPr>
          <w:rFonts w:hint="eastAsia"/>
          <w:b/>
          <w:bCs/>
          <w:sz w:val="21"/>
          <w:szCs w:val="21"/>
          <w:highlight w:val="none"/>
          <w:lang w:val="en-US" w:eastAsia="zh-CN"/>
        </w:rPr>
      </w:pPr>
      <w:r>
        <w:rPr>
          <w:rFonts w:hint="eastAsia"/>
          <w:b/>
          <w:bCs/>
          <w:sz w:val="21"/>
          <w:szCs w:val="21"/>
          <w:highlight w:val="none"/>
          <w:lang w:val="en-US" w:eastAsia="zh-CN"/>
        </w:rPr>
        <w:t>表3.2-6  施工机械噪声一览表    单位：dB（A）</w:t>
      </w:r>
    </w:p>
    <w:tbl>
      <w:tblPr>
        <w:tblStyle w:val="35"/>
        <w:tblW w:w="4997" w:type="pct"/>
        <w:jc w:val="center"/>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Layout w:type="autofit"/>
        <w:tblCellMar>
          <w:top w:w="0" w:type="dxa"/>
          <w:left w:w="108" w:type="dxa"/>
          <w:bottom w:w="0" w:type="dxa"/>
          <w:right w:w="108" w:type="dxa"/>
        </w:tblCellMar>
      </w:tblPr>
      <w:tblGrid>
        <w:gridCol w:w="1114"/>
        <w:gridCol w:w="2719"/>
        <w:gridCol w:w="3155"/>
        <w:gridCol w:w="2294"/>
      </w:tblGrid>
      <w:tr w14:paraId="628A00BB">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284" w:hRule="atLeast"/>
          <w:tblHeader/>
          <w:jc w:val="center"/>
        </w:trPr>
        <w:tc>
          <w:tcPr>
            <w:tcW w:w="600" w:type="pct"/>
            <w:noWrap w:val="0"/>
            <w:vAlign w:val="center"/>
          </w:tcPr>
          <w:p w14:paraId="2A5820D4">
            <w:pPr>
              <w:keepNext w:val="0"/>
              <w:keepLines w:val="0"/>
              <w:pageBreakBefore w:val="0"/>
              <w:widowControl w:val="0"/>
              <w:kinsoku/>
              <w:wordWrap/>
              <w:overflowPunct/>
              <w:topLinePunct w:val="0"/>
              <w:autoSpaceDE/>
              <w:autoSpaceDN/>
              <w:bidi w:val="0"/>
              <w:adjustRightInd w:val="0"/>
              <w:snapToGrid/>
              <w:spacing w:line="360" w:lineRule="auto"/>
              <w:ind w:firstLine="0" w:firstLineChars="0"/>
              <w:jc w:val="center"/>
              <w:textAlignment w:val="auto"/>
              <w:rPr>
                <w:rFonts w:hint="eastAsia"/>
                <w:b/>
                <w:bCs/>
                <w:sz w:val="21"/>
                <w:szCs w:val="21"/>
                <w:highlight w:val="none"/>
                <w:lang w:val="en-US" w:eastAsia="zh-CN"/>
              </w:rPr>
            </w:pPr>
            <w:r>
              <w:rPr>
                <w:rFonts w:hint="eastAsia"/>
                <w:b/>
                <w:bCs/>
                <w:sz w:val="21"/>
                <w:szCs w:val="21"/>
                <w:highlight w:val="none"/>
                <w:lang w:val="en-US" w:eastAsia="zh-CN"/>
              </w:rPr>
              <w:t>序号</w:t>
            </w:r>
          </w:p>
        </w:tc>
        <w:tc>
          <w:tcPr>
            <w:tcW w:w="1464" w:type="pct"/>
            <w:noWrap w:val="0"/>
            <w:vAlign w:val="center"/>
          </w:tcPr>
          <w:p w14:paraId="1768182E">
            <w:pPr>
              <w:keepNext w:val="0"/>
              <w:keepLines w:val="0"/>
              <w:pageBreakBefore w:val="0"/>
              <w:widowControl w:val="0"/>
              <w:kinsoku/>
              <w:wordWrap/>
              <w:overflowPunct/>
              <w:topLinePunct w:val="0"/>
              <w:autoSpaceDE/>
              <w:autoSpaceDN/>
              <w:bidi w:val="0"/>
              <w:adjustRightInd w:val="0"/>
              <w:snapToGrid/>
              <w:spacing w:line="360" w:lineRule="auto"/>
              <w:ind w:firstLine="0" w:firstLineChars="0"/>
              <w:jc w:val="center"/>
              <w:textAlignment w:val="auto"/>
              <w:rPr>
                <w:rFonts w:hint="eastAsia"/>
                <w:b/>
                <w:bCs/>
                <w:sz w:val="21"/>
                <w:szCs w:val="21"/>
                <w:highlight w:val="none"/>
                <w:lang w:val="en-US" w:eastAsia="zh-CN"/>
              </w:rPr>
            </w:pPr>
            <w:r>
              <w:rPr>
                <w:rFonts w:hint="eastAsia"/>
                <w:b/>
                <w:bCs/>
                <w:sz w:val="21"/>
                <w:szCs w:val="21"/>
                <w:highlight w:val="none"/>
                <w:lang w:val="en-US" w:eastAsia="zh-CN"/>
              </w:rPr>
              <w:t>噪声源</w:t>
            </w:r>
          </w:p>
        </w:tc>
        <w:tc>
          <w:tcPr>
            <w:tcW w:w="1699" w:type="pct"/>
            <w:noWrap w:val="0"/>
            <w:vAlign w:val="center"/>
          </w:tcPr>
          <w:p w14:paraId="76536F59">
            <w:pPr>
              <w:keepNext w:val="0"/>
              <w:keepLines w:val="0"/>
              <w:pageBreakBefore w:val="0"/>
              <w:widowControl w:val="0"/>
              <w:kinsoku/>
              <w:wordWrap/>
              <w:overflowPunct/>
              <w:topLinePunct w:val="0"/>
              <w:autoSpaceDE/>
              <w:autoSpaceDN/>
              <w:bidi w:val="0"/>
              <w:adjustRightInd w:val="0"/>
              <w:snapToGrid/>
              <w:spacing w:line="360" w:lineRule="auto"/>
              <w:ind w:firstLine="0" w:firstLineChars="0"/>
              <w:jc w:val="center"/>
              <w:textAlignment w:val="auto"/>
              <w:rPr>
                <w:rFonts w:hint="eastAsia"/>
                <w:b/>
                <w:bCs/>
                <w:sz w:val="21"/>
                <w:szCs w:val="21"/>
                <w:highlight w:val="none"/>
                <w:lang w:val="en-US" w:eastAsia="zh-CN"/>
              </w:rPr>
            </w:pPr>
            <w:r>
              <w:rPr>
                <w:rFonts w:hint="eastAsia"/>
                <w:b/>
                <w:bCs/>
                <w:sz w:val="21"/>
                <w:szCs w:val="21"/>
                <w:highlight w:val="none"/>
                <w:lang w:val="en-US" w:eastAsia="zh-CN"/>
              </w:rPr>
              <w:t>发声持续时间</w:t>
            </w:r>
          </w:p>
        </w:tc>
        <w:tc>
          <w:tcPr>
            <w:tcW w:w="1235" w:type="pct"/>
            <w:noWrap w:val="0"/>
            <w:vAlign w:val="center"/>
          </w:tcPr>
          <w:p w14:paraId="4A9CD2B6">
            <w:pPr>
              <w:keepNext w:val="0"/>
              <w:keepLines w:val="0"/>
              <w:pageBreakBefore w:val="0"/>
              <w:widowControl w:val="0"/>
              <w:kinsoku/>
              <w:wordWrap/>
              <w:overflowPunct/>
              <w:topLinePunct w:val="0"/>
              <w:autoSpaceDE/>
              <w:autoSpaceDN/>
              <w:bidi w:val="0"/>
              <w:adjustRightInd w:val="0"/>
              <w:snapToGrid/>
              <w:spacing w:line="360" w:lineRule="auto"/>
              <w:ind w:firstLine="0" w:firstLineChars="0"/>
              <w:jc w:val="center"/>
              <w:textAlignment w:val="auto"/>
              <w:rPr>
                <w:rFonts w:hint="eastAsia"/>
                <w:b/>
                <w:bCs/>
                <w:sz w:val="21"/>
                <w:szCs w:val="21"/>
                <w:highlight w:val="none"/>
                <w:lang w:val="en-US" w:eastAsia="zh-CN"/>
              </w:rPr>
            </w:pPr>
            <w:r>
              <w:rPr>
                <w:rFonts w:hint="eastAsia"/>
                <w:b/>
                <w:bCs/>
                <w:sz w:val="21"/>
                <w:szCs w:val="21"/>
                <w:highlight w:val="none"/>
                <w:lang w:val="en-US" w:eastAsia="zh-CN"/>
              </w:rPr>
              <w:t>最大噪声级</w:t>
            </w:r>
          </w:p>
        </w:tc>
      </w:tr>
      <w:tr w14:paraId="2AC6AD49">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284" w:hRule="atLeast"/>
          <w:jc w:val="center"/>
        </w:trPr>
        <w:tc>
          <w:tcPr>
            <w:tcW w:w="600" w:type="pct"/>
            <w:noWrap w:val="0"/>
            <w:vAlign w:val="center"/>
          </w:tcPr>
          <w:p w14:paraId="27FEC9C8">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1</w:t>
            </w:r>
          </w:p>
        </w:tc>
        <w:tc>
          <w:tcPr>
            <w:tcW w:w="1464" w:type="pct"/>
            <w:noWrap w:val="0"/>
            <w:vAlign w:val="center"/>
          </w:tcPr>
          <w:p w14:paraId="53A1E2C1">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装载机</w:t>
            </w:r>
          </w:p>
        </w:tc>
        <w:tc>
          <w:tcPr>
            <w:tcW w:w="1699" w:type="pct"/>
            <w:noWrap w:val="0"/>
            <w:vAlign w:val="center"/>
          </w:tcPr>
          <w:p w14:paraId="220E1C30">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间断性</w:t>
            </w:r>
          </w:p>
        </w:tc>
        <w:tc>
          <w:tcPr>
            <w:tcW w:w="1235" w:type="pct"/>
            <w:noWrap w:val="0"/>
            <w:vAlign w:val="center"/>
          </w:tcPr>
          <w:p w14:paraId="4AAC05EC">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90</w:t>
            </w:r>
          </w:p>
        </w:tc>
      </w:tr>
      <w:tr w14:paraId="72CAFB37">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284" w:hRule="atLeast"/>
          <w:jc w:val="center"/>
        </w:trPr>
        <w:tc>
          <w:tcPr>
            <w:tcW w:w="600" w:type="pct"/>
            <w:noWrap w:val="0"/>
            <w:vAlign w:val="center"/>
          </w:tcPr>
          <w:p w14:paraId="1129F538">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2</w:t>
            </w:r>
          </w:p>
        </w:tc>
        <w:tc>
          <w:tcPr>
            <w:tcW w:w="1464" w:type="pct"/>
            <w:noWrap w:val="0"/>
            <w:vAlign w:val="center"/>
          </w:tcPr>
          <w:p w14:paraId="52468FB3">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挖掘机</w:t>
            </w:r>
          </w:p>
        </w:tc>
        <w:tc>
          <w:tcPr>
            <w:tcW w:w="1699" w:type="pct"/>
            <w:noWrap w:val="0"/>
            <w:vAlign w:val="center"/>
          </w:tcPr>
          <w:p w14:paraId="318C5A70">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间断性</w:t>
            </w:r>
          </w:p>
        </w:tc>
        <w:tc>
          <w:tcPr>
            <w:tcW w:w="1235" w:type="pct"/>
            <w:noWrap w:val="0"/>
            <w:vAlign w:val="center"/>
          </w:tcPr>
          <w:p w14:paraId="0232CA61">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sz w:val="21"/>
                <w:szCs w:val="21"/>
                <w:highlight w:val="none"/>
                <w:lang w:val="en-US" w:eastAsia="zh-CN"/>
              </w:rPr>
            </w:pPr>
            <w:r>
              <w:rPr>
                <w:rFonts w:hint="eastAsia"/>
                <w:sz w:val="21"/>
                <w:szCs w:val="21"/>
                <w:highlight w:val="none"/>
                <w:lang w:val="en-US" w:eastAsia="zh-CN"/>
              </w:rPr>
              <w:t>89</w:t>
            </w:r>
          </w:p>
        </w:tc>
      </w:tr>
      <w:tr w14:paraId="6EAFC5C5">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284" w:hRule="atLeast"/>
          <w:jc w:val="center"/>
        </w:trPr>
        <w:tc>
          <w:tcPr>
            <w:tcW w:w="600" w:type="pct"/>
            <w:noWrap w:val="0"/>
            <w:vAlign w:val="center"/>
          </w:tcPr>
          <w:p w14:paraId="12214175">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3</w:t>
            </w:r>
          </w:p>
        </w:tc>
        <w:tc>
          <w:tcPr>
            <w:tcW w:w="1464" w:type="pct"/>
            <w:noWrap w:val="0"/>
            <w:vAlign w:val="center"/>
          </w:tcPr>
          <w:p w14:paraId="630785DC">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压实机</w:t>
            </w:r>
          </w:p>
        </w:tc>
        <w:tc>
          <w:tcPr>
            <w:tcW w:w="1699" w:type="pct"/>
            <w:noWrap w:val="0"/>
            <w:vAlign w:val="center"/>
          </w:tcPr>
          <w:p w14:paraId="13DA8702">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间断性</w:t>
            </w:r>
          </w:p>
        </w:tc>
        <w:tc>
          <w:tcPr>
            <w:tcW w:w="1235" w:type="pct"/>
            <w:noWrap w:val="0"/>
            <w:vAlign w:val="center"/>
          </w:tcPr>
          <w:p w14:paraId="3184B230">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sz w:val="21"/>
                <w:szCs w:val="21"/>
                <w:highlight w:val="none"/>
                <w:lang w:val="en-US" w:eastAsia="zh-CN"/>
              </w:rPr>
            </w:pPr>
            <w:r>
              <w:rPr>
                <w:rFonts w:hint="eastAsia"/>
                <w:sz w:val="21"/>
                <w:szCs w:val="21"/>
                <w:highlight w:val="none"/>
                <w:lang w:val="en-US" w:eastAsia="zh-CN"/>
              </w:rPr>
              <w:t>88</w:t>
            </w:r>
          </w:p>
        </w:tc>
      </w:tr>
      <w:tr w14:paraId="31FAB3AB">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284" w:hRule="atLeast"/>
          <w:jc w:val="center"/>
        </w:trPr>
        <w:tc>
          <w:tcPr>
            <w:tcW w:w="600" w:type="pct"/>
            <w:noWrap w:val="0"/>
            <w:vAlign w:val="center"/>
          </w:tcPr>
          <w:p w14:paraId="3F8E595B">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4</w:t>
            </w:r>
          </w:p>
        </w:tc>
        <w:tc>
          <w:tcPr>
            <w:tcW w:w="1464" w:type="pct"/>
            <w:noWrap w:val="0"/>
            <w:vAlign w:val="center"/>
          </w:tcPr>
          <w:p w14:paraId="6FF47F98">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推土机</w:t>
            </w:r>
          </w:p>
        </w:tc>
        <w:tc>
          <w:tcPr>
            <w:tcW w:w="1699" w:type="pct"/>
            <w:noWrap w:val="0"/>
            <w:vAlign w:val="center"/>
          </w:tcPr>
          <w:p w14:paraId="0EDFC3B0">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间断性</w:t>
            </w:r>
          </w:p>
        </w:tc>
        <w:tc>
          <w:tcPr>
            <w:tcW w:w="1235" w:type="pct"/>
            <w:noWrap w:val="0"/>
            <w:vAlign w:val="center"/>
          </w:tcPr>
          <w:p w14:paraId="542BBBFE">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sz w:val="21"/>
                <w:szCs w:val="21"/>
                <w:highlight w:val="none"/>
                <w:lang w:val="en-US" w:eastAsia="zh-CN"/>
              </w:rPr>
            </w:pPr>
            <w:r>
              <w:rPr>
                <w:rFonts w:hint="eastAsia"/>
                <w:sz w:val="21"/>
                <w:szCs w:val="21"/>
                <w:highlight w:val="none"/>
                <w:lang w:val="en-US" w:eastAsia="zh-CN"/>
              </w:rPr>
              <w:t>80</w:t>
            </w:r>
          </w:p>
        </w:tc>
      </w:tr>
      <w:tr w14:paraId="122E880D">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284" w:hRule="atLeast"/>
          <w:jc w:val="center"/>
        </w:trPr>
        <w:tc>
          <w:tcPr>
            <w:tcW w:w="600" w:type="pct"/>
            <w:noWrap w:val="0"/>
            <w:vAlign w:val="center"/>
          </w:tcPr>
          <w:p w14:paraId="0232BC03">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5</w:t>
            </w:r>
          </w:p>
        </w:tc>
        <w:tc>
          <w:tcPr>
            <w:tcW w:w="1464" w:type="pct"/>
            <w:noWrap w:val="0"/>
            <w:vAlign w:val="center"/>
          </w:tcPr>
          <w:p w14:paraId="36A735C9">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sz w:val="21"/>
                <w:szCs w:val="21"/>
                <w:highlight w:val="none"/>
                <w:lang w:val="en-US" w:eastAsia="zh-CN"/>
              </w:rPr>
            </w:pPr>
            <w:r>
              <w:rPr>
                <w:rFonts w:hint="eastAsia"/>
                <w:sz w:val="21"/>
                <w:szCs w:val="21"/>
                <w:highlight w:val="none"/>
                <w:lang w:val="en-US" w:eastAsia="zh-CN"/>
              </w:rPr>
              <w:t>自卸汽车</w:t>
            </w:r>
          </w:p>
        </w:tc>
        <w:tc>
          <w:tcPr>
            <w:tcW w:w="1699" w:type="pct"/>
            <w:noWrap w:val="0"/>
            <w:vAlign w:val="center"/>
          </w:tcPr>
          <w:p w14:paraId="41D08035">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间断性</w:t>
            </w:r>
          </w:p>
        </w:tc>
        <w:tc>
          <w:tcPr>
            <w:tcW w:w="1235" w:type="pct"/>
            <w:noWrap w:val="0"/>
            <w:vAlign w:val="center"/>
          </w:tcPr>
          <w:p w14:paraId="768047AF">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sz w:val="21"/>
                <w:szCs w:val="21"/>
                <w:highlight w:val="none"/>
                <w:lang w:val="en-US" w:eastAsia="zh-CN"/>
              </w:rPr>
            </w:pPr>
            <w:r>
              <w:rPr>
                <w:rFonts w:hint="eastAsia"/>
                <w:sz w:val="21"/>
                <w:szCs w:val="21"/>
                <w:highlight w:val="none"/>
                <w:lang w:val="en-US" w:eastAsia="zh-CN"/>
              </w:rPr>
              <w:t>78</w:t>
            </w:r>
          </w:p>
        </w:tc>
      </w:tr>
      <w:tr w14:paraId="43D0D6F5">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284" w:hRule="atLeast"/>
          <w:jc w:val="center"/>
        </w:trPr>
        <w:tc>
          <w:tcPr>
            <w:tcW w:w="600" w:type="pct"/>
            <w:noWrap w:val="0"/>
            <w:vAlign w:val="center"/>
          </w:tcPr>
          <w:p w14:paraId="5D79081D">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sz w:val="21"/>
                <w:szCs w:val="21"/>
                <w:highlight w:val="none"/>
                <w:lang w:val="en-US" w:eastAsia="zh-CN"/>
              </w:rPr>
            </w:pPr>
            <w:r>
              <w:rPr>
                <w:rFonts w:hint="eastAsia"/>
                <w:sz w:val="21"/>
                <w:szCs w:val="21"/>
                <w:highlight w:val="none"/>
                <w:lang w:val="en-US" w:eastAsia="zh-CN"/>
              </w:rPr>
              <w:t>6</w:t>
            </w:r>
          </w:p>
        </w:tc>
        <w:tc>
          <w:tcPr>
            <w:tcW w:w="1464" w:type="pct"/>
            <w:noWrap w:val="0"/>
            <w:vAlign w:val="center"/>
          </w:tcPr>
          <w:p w14:paraId="0A46A10B">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sz w:val="21"/>
                <w:szCs w:val="21"/>
                <w:highlight w:val="none"/>
                <w:lang w:val="en-US" w:eastAsia="zh-CN"/>
              </w:rPr>
            </w:pPr>
            <w:r>
              <w:rPr>
                <w:rFonts w:hint="eastAsia"/>
                <w:sz w:val="21"/>
                <w:szCs w:val="21"/>
                <w:highlight w:val="none"/>
                <w:lang w:val="en-US" w:eastAsia="zh-CN"/>
              </w:rPr>
              <w:t>水泵</w:t>
            </w:r>
          </w:p>
        </w:tc>
        <w:tc>
          <w:tcPr>
            <w:tcW w:w="1699" w:type="pct"/>
            <w:noWrap w:val="0"/>
            <w:vAlign w:val="center"/>
          </w:tcPr>
          <w:p w14:paraId="2209EFC3">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sz w:val="21"/>
                <w:szCs w:val="21"/>
                <w:highlight w:val="none"/>
                <w:lang w:val="en-US" w:eastAsia="zh-CN"/>
              </w:rPr>
            </w:pPr>
            <w:r>
              <w:rPr>
                <w:rFonts w:hint="eastAsia"/>
                <w:sz w:val="21"/>
                <w:szCs w:val="21"/>
                <w:highlight w:val="none"/>
                <w:lang w:val="en-US" w:eastAsia="zh-CN"/>
              </w:rPr>
              <w:t>间断性</w:t>
            </w:r>
          </w:p>
        </w:tc>
        <w:tc>
          <w:tcPr>
            <w:tcW w:w="1235" w:type="pct"/>
            <w:noWrap w:val="0"/>
            <w:vAlign w:val="center"/>
          </w:tcPr>
          <w:p w14:paraId="0BC3228A">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sz w:val="21"/>
                <w:szCs w:val="21"/>
                <w:highlight w:val="none"/>
                <w:lang w:val="en-US" w:eastAsia="zh-CN"/>
              </w:rPr>
            </w:pPr>
            <w:r>
              <w:rPr>
                <w:rFonts w:hint="eastAsia"/>
                <w:sz w:val="21"/>
                <w:szCs w:val="21"/>
                <w:highlight w:val="none"/>
                <w:lang w:val="en-US" w:eastAsia="zh-CN"/>
              </w:rPr>
              <w:t>80</w:t>
            </w:r>
          </w:p>
        </w:tc>
      </w:tr>
    </w:tbl>
    <w:p w14:paraId="253F5C6B">
      <w:pPr>
        <w:pStyle w:val="10"/>
        <w:numPr>
          <w:ilvl w:val="3"/>
          <w:numId w:val="1"/>
        </w:numPr>
        <w:bidi w:val="0"/>
        <w:ind w:left="850" w:leftChars="0" w:hanging="850" w:firstLineChars="0"/>
        <w:rPr>
          <w:rFonts w:hint="default"/>
          <w:lang w:val="en-US" w:eastAsia="zh-CN"/>
        </w:rPr>
      </w:pPr>
      <w:r>
        <w:rPr>
          <w:rFonts w:hint="eastAsia"/>
          <w:lang w:val="en-US" w:eastAsia="zh-CN"/>
        </w:rPr>
        <w:t>固废</w:t>
      </w:r>
    </w:p>
    <w:p w14:paraId="0F33321C">
      <w:pPr>
        <w:bidi w:val="0"/>
        <w:rPr>
          <w:rFonts w:hint="eastAsia"/>
          <w:highlight w:val="none"/>
          <w:lang w:val="en-US" w:eastAsia="zh-CN"/>
        </w:rPr>
      </w:pPr>
      <w:r>
        <w:rPr>
          <w:rFonts w:hint="eastAsia"/>
          <w:highlight w:val="none"/>
          <w:lang w:val="en-US" w:eastAsia="zh-CN"/>
        </w:rPr>
        <w:t>施工期固体废物主要为废渣区遗留废渣、生活垃圾、废渣填埋场建设产生的废防渗材料、废包装袋、建筑垃圾、污水处理污泥。</w:t>
      </w:r>
    </w:p>
    <w:p w14:paraId="5D25536C">
      <w:pPr>
        <w:bidi w:val="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（1）废渣区废渣</w:t>
      </w:r>
    </w:p>
    <w:p w14:paraId="3CE06B5A">
      <w:pPr>
        <w:bidi w:val="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根据场地调查报告可知，地块遗留废渣42040.12m</w:t>
      </w:r>
      <w:r>
        <w:rPr>
          <w:rFonts w:hint="default" w:ascii="Times New Roman" w:hAnsi="Times New Roman" w:cs="Times New Roman"/>
          <w:highlight w:val="none"/>
          <w:vertAlign w:val="superscript"/>
          <w:lang w:val="en-US" w:eastAsia="zh-CN"/>
        </w:rPr>
        <w:t>3</w:t>
      </w:r>
      <w:r>
        <w:rPr>
          <w:rFonts w:hint="default" w:ascii="Times New Roman" w:hAnsi="Times New Roman" w:cs="Times New Roman"/>
          <w:highlight w:val="none"/>
          <w:lang w:val="en-US" w:eastAsia="zh-CN"/>
        </w:rPr>
        <w:t>，属于一般</w:t>
      </w:r>
      <w:r>
        <w:rPr>
          <w:rFonts w:hint="default" w:ascii="Times New Roman" w:hAnsi="Times New Roman" w:eastAsia="宋体" w:cs="Times New Roman"/>
          <w:highlight w:val="none"/>
          <w:lang w:val="en-US" w:eastAsia="zh-CN"/>
        </w:rPr>
        <w:t>Ⅰ</w:t>
      </w:r>
      <w:r>
        <w:rPr>
          <w:rFonts w:hint="default" w:ascii="Times New Roman" w:hAnsi="Times New Roman" w:cs="Times New Roman"/>
          <w:highlight w:val="none"/>
          <w:lang w:val="en-US" w:eastAsia="zh-CN"/>
        </w:rPr>
        <w:t>类固体废物和一般Ⅱ类固体废物，开挖运送</w:t>
      </w:r>
      <w:r>
        <w:rPr>
          <w:rFonts w:hint="eastAsia" w:ascii="Times New Roman" w:hAnsi="Times New Roman" w:cs="Times New Roman"/>
          <w:highlight w:val="none"/>
          <w:lang w:val="en-US" w:eastAsia="zh-CN"/>
        </w:rPr>
        <w:t>至自建填埋场</w:t>
      </w:r>
      <w:r>
        <w:rPr>
          <w:rFonts w:hint="default" w:ascii="Times New Roman" w:hAnsi="Times New Roman" w:cs="Times New Roman"/>
          <w:highlight w:val="none"/>
          <w:lang w:val="en-US" w:eastAsia="zh-CN"/>
        </w:rPr>
        <w:t>进行集中安全填埋处置。</w:t>
      </w:r>
    </w:p>
    <w:p w14:paraId="7B29BB5D">
      <w:pPr>
        <w:bidi w:val="0"/>
        <w:rPr>
          <w:rFonts w:hint="eastAsia"/>
          <w:highlight w:val="none"/>
          <w:lang w:val="en-US" w:eastAsia="zh-CN"/>
        </w:rPr>
      </w:pPr>
      <w:r>
        <w:rPr>
          <w:rFonts w:hint="eastAsia"/>
          <w:highlight w:val="none"/>
          <w:lang w:val="en-US" w:eastAsia="zh-CN"/>
        </w:rPr>
        <w:t>（2）生活垃圾</w:t>
      </w:r>
    </w:p>
    <w:p w14:paraId="2240E052">
      <w:pPr>
        <w:bidi w:val="0"/>
        <w:rPr>
          <w:rFonts w:hint="eastAsia"/>
          <w:highlight w:val="none"/>
          <w:lang w:val="en-US" w:eastAsia="zh-CN"/>
        </w:rPr>
      </w:pPr>
      <w:r>
        <w:rPr>
          <w:rFonts w:hint="eastAsia"/>
          <w:highlight w:val="none"/>
          <w:lang w:val="en-US" w:eastAsia="zh-CN"/>
        </w:rPr>
        <w:t>项目在治理期间，施工人员日常生活产生生活垃圾。项目施工人数以20人计，生活垃圾产生系数以0.5kg/人</w:t>
      </w:r>
      <w:r>
        <w:rPr>
          <w:rFonts w:hint="default" w:ascii="Times New Roman" w:hAnsi="Times New Roman" w:cs="Times New Roman"/>
          <w:highlight w:val="none"/>
          <w:lang w:val="en-US" w:eastAsia="zh-CN"/>
        </w:rPr>
        <w:t>·</w:t>
      </w:r>
      <w:r>
        <w:rPr>
          <w:rFonts w:hint="eastAsia"/>
          <w:highlight w:val="none"/>
          <w:lang w:val="en-US" w:eastAsia="zh-CN"/>
        </w:rPr>
        <w:t>d计，则生活垃圾产生量为10kg/d。生活垃圾按当地环卫部门要求进行处置。</w:t>
      </w:r>
    </w:p>
    <w:p w14:paraId="613490F0">
      <w:pPr>
        <w:bidi w:val="0"/>
        <w:rPr>
          <w:rFonts w:hint="eastAsia"/>
          <w:highlight w:val="none"/>
          <w:lang w:val="en-US" w:eastAsia="zh-CN"/>
        </w:rPr>
      </w:pPr>
      <w:r>
        <w:rPr>
          <w:rFonts w:hint="eastAsia"/>
          <w:highlight w:val="none"/>
          <w:lang w:val="en-US" w:eastAsia="zh-CN"/>
        </w:rPr>
        <w:t>（3）废防渗材料</w:t>
      </w:r>
    </w:p>
    <w:p w14:paraId="2F69D1F8">
      <w:pPr>
        <w:bidi w:val="0"/>
        <w:rPr>
          <w:rFonts w:hint="eastAsia"/>
          <w:highlight w:val="none"/>
          <w:lang w:val="en-US" w:eastAsia="zh-CN"/>
        </w:rPr>
      </w:pPr>
      <w:r>
        <w:rPr>
          <w:rFonts w:hint="eastAsia"/>
          <w:highlight w:val="none"/>
          <w:lang w:val="en-US" w:eastAsia="zh-CN"/>
        </w:rPr>
        <w:t>根据工程内容可知，项目废渣填埋场采用HDPE防渗膜和无纺土工布进行防渗，其中HDPE防渗膜使用面积为19430m</w:t>
      </w:r>
      <w:r>
        <w:rPr>
          <w:rFonts w:hint="eastAsia"/>
          <w:highlight w:val="none"/>
          <w:vertAlign w:val="superscript"/>
          <w:lang w:val="en-US" w:eastAsia="zh-CN"/>
        </w:rPr>
        <w:t>2</w:t>
      </w:r>
      <w:r>
        <w:rPr>
          <w:rFonts w:hint="eastAsia"/>
          <w:highlight w:val="none"/>
          <w:lang w:val="en-US" w:eastAsia="zh-CN"/>
        </w:rPr>
        <w:t>（密度约为950g/m</w:t>
      </w:r>
      <w:r>
        <w:rPr>
          <w:rFonts w:hint="eastAsia"/>
          <w:highlight w:val="none"/>
          <w:vertAlign w:val="superscript"/>
          <w:lang w:val="en-US" w:eastAsia="zh-CN"/>
        </w:rPr>
        <w:t>2</w:t>
      </w:r>
      <w:r>
        <w:rPr>
          <w:rFonts w:hint="eastAsia"/>
          <w:highlight w:val="none"/>
          <w:lang w:val="en-US" w:eastAsia="zh-CN"/>
        </w:rPr>
        <w:t>），无纺土工布使用面积为38860m</w:t>
      </w:r>
      <w:r>
        <w:rPr>
          <w:rFonts w:hint="eastAsia"/>
          <w:highlight w:val="none"/>
          <w:vertAlign w:val="superscript"/>
          <w:lang w:val="en-US" w:eastAsia="zh-CN"/>
        </w:rPr>
        <w:t>2</w:t>
      </w:r>
      <w:r>
        <w:rPr>
          <w:rFonts w:hint="eastAsia"/>
          <w:highlight w:val="none"/>
          <w:lang w:val="en-US" w:eastAsia="zh-CN"/>
        </w:rPr>
        <w:t>（密度约为600g/m</w:t>
      </w:r>
      <w:r>
        <w:rPr>
          <w:rFonts w:hint="eastAsia"/>
          <w:highlight w:val="none"/>
          <w:vertAlign w:val="superscript"/>
          <w:lang w:val="en-US" w:eastAsia="zh-CN"/>
        </w:rPr>
        <w:t>2</w:t>
      </w:r>
      <w:r>
        <w:rPr>
          <w:rFonts w:hint="eastAsia"/>
          <w:highlight w:val="none"/>
          <w:lang w:val="en-US" w:eastAsia="zh-CN"/>
        </w:rPr>
        <w:t>），则防渗材料总计约为41.77t，其中废防渗材料约为1%，则废防渗材料约为0.42t，废防渗材料交由环卫部门统一清运。</w:t>
      </w:r>
    </w:p>
    <w:p w14:paraId="46431C0D">
      <w:pPr>
        <w:bidi w:val="0"/>
        <w:rPr>
          <w:rFonts w:hint="eastAsia"/>
          <w:highlight w:val="none"/>
          <w:lang w:val="en-US" w:eastAsia="zh-CN"/>
        </w:rPr>
      </w:pPr>
      <w:r>
        <w:rPr>
          <w:rFonts w:hint="eastAsia"/>
          <w:highlight w:val="none"/>
          <w:lang w:val="en-US" w:eastAsia="zh-CN"/>
        </w:rPr>
        <w:t>（4）废包装袋</w:t>
      </w:r>
    </w:p>
    <w:p w14:paraId="4C5BFD98">
      <w:pPr>
        <w:bidi w:val="0"/>
        <w:rPr>
          <w:rFonts w:hint="eastAsia"/>
          <w:highlight w:val="none"/>
          <w:lang w:val="en-US" w:eastAsia="zh-CN"/>
        </w:rPr>
      </w:pPr>
      <w:r>
        <w:rPr>
          <w:rFonts w:hint="eastAsia"/>
          <w:highlight w:val="none"/>
          <w:lang w:val="en-US" w:eastAsia="zh-CN"/>
        </w:rPr>
        <w:t>本项目土工布和HDPE土工膜入场将产生部分废包装袋，废包装袋产生量为约0.2t，交由环卫部门统一清运。</w:t>
      </w:r>
    </w:p>
    <w:p w14:paraId="56327AA9">
      <w:pPr>
        <w:bidi w:val="0"/>
        <w:rPr>
          <w:rFonts w:hint="default"/>
          <w:highlight w:val="none"/>
          <w:lang w:val="en-US" w:eastAsia="zh-CN"/>
        </w:rPr>
      </w:pPr>
      <w:r>
        <w:rPr>
          <w:rFonts w:hint="eastAsia"/>
          <w:highlight w:val="none"/>
          <w:lang w:val="en-US" w:eastAsia="zh-CN"/>
        </w:rPr>
        <w:t>（5）建筑垃圾</w:t>
      </w:r>
    </w:p>
    <w:p w14:paraId="083F9C07">
      <w:pPr>
        <w:bidi w:val="0"/>
        <w:rPr>
          <w:rFonts w:hint="default"/>
          <w:highlight w:val="none"/>
          <w:lang w:val="en-US" w:eastAsia="zh-CN"/>
        </w:rPr>
      </w:pPr>
      <w:r>
        <w:rPr>
          <w:rFonts w:hint="eastAsia"/>
          <w:highlight w:val="none"/>
          <w:lang w:val="en-US" w:eastAsia="zh-CN"/>
        </w:rPr>
        <w:t>本项目填埋场施工及封场产生的建筑垃圾量约2t，交由环卫部门统一清运。</w:t>
      </w:r>
    </w:p>
    <w:p w14:paraId="09FBAFDF">
      <w:pPr>
        <w:bidi w:val="0"/>
        <w:rPr>
          <w:rFonts w:hint="eastAsia"/>
          <w:highlight w:val="none"/>
          <w:lang w:val="en-US" w:eastAsia="zh-CN"/>
        </w:rPr>
      </w:pPr>
      <w:r>
        <w:rPr>
          <w:rFonts w:hint="eastAsia"/>
          <w:highlight w:val="none"/>
          <w:lang w:val="en-US" w:eastAsia="zh-CN"/>
        </w:rPr>
        <w:t>（6）污水处理污泥</w:t>
      </w:r>
    </w:p>
    <w:p w14:paraId="4A10A8EC">
      <w:pPr>
        <w:bidi w:val="0"/>
        <w:rPr>
          <w:rFonts w:hint="eastAsia"/>
          <w:highlight w:val="none"/>
          <w:lang w:val="en-US" w:eastAsia="zh-CN"/>
        </w:rPr>
      </w:pPr>
      <w:r>
        <w:rPr>
          <w:rFonts w:hint="eastAsia"/>
          <w:highlight w:val="none"/>
          <w:lang w:val="en-US" w:eastAsia="zh-CN"/>
        </w:rPr>
        <w:t>项目采用一体化设备对车辆清洗废水、淋溶水等进行处理，期间产生污泥。根据废水处理量计算，污泥产生量约为1.5t。污泥产生量很小，经压滤处理后，运至填埋场填埋处理。</w:t>
      </w:r>
    </w:p>
    <w:p w14:paraId="4D6391F3">
      <w:pPr>
        <w:pStyle w:val="10"/>
        <w:numPr>
          <w:ilvl w:val="3"/>
          <w:numId w:val="1"/>
        </w:numPr>
        <w:bidi w:val="0"/>
        <w:ind w:left="850" w:leftChars="0" w:hanging="850" w:firstLineChars="0"/>
        <w:rPr>
          <w:rFonts w:hint="default"/>
          <w:lang w:val="en-US" w:eastAsia="zh-CN"/>
        </w:rPr>
      </w:pPr>
      <w:r>
        <w:rPr>
          <w:rFonts w:hint="eastAsia"/>
          <w:lang w:val="en-US" w:eastAsia="zh-CN"/>
        </w:rPr>
        <w:t>生态环境</w:t>
      </w:r>
    </w:p>
    <w:p w14:paraId="42C80ECE">
      <w:pPr>
        <w:bidi w:val="0"/>
        <w:rPr>
          <w:rFonts w:hint="eastAsia"/>
          <w:highlight w:val="none"/>
          <w:lang w:val="en-US" w:eastAsia="zh-CN"/>
        </w:rPr>
      </w:pPr>
      <w:r>
        <w:rPr>
          <w:rFonts w:hint="eastAsia"/>
          <w:highlight w:val="none"/>
          <w:lang w:val="en-US" w:eastAsia="zh-CN"/>
        </w:rPr>
        <w:t>工程在建设过程中，弃渣开挖、填埋区建设等活动，扰动了局部原生地貌、破坏植被、影响动物栖息地、造成水土流失，使生态环境遭受一定的影响。</w:t>
      </w:r>
    </w:p>
    <w:p w14:paraId="07E4A4F8">
      <w:pPr>
        <w:bidi w:val="0"/>
        <w:rPr>
          <w:rFonts w:hint="eastAsia"/>
          <w:highlight w:val="none"/>
          <w:lang w:val="en-US" w:eastAsia="zh-CN"/>
        </w:rPr>
      </w:pPr>
      <w:r>
        <w:rPr>
          <w:rFonts w:hint="eastAsia"/>
          <w:highlight w:val="none"/>
          <w:lang w:val="en-US" w:eastAsia="zh-CN"/>
        </w:rPr>
        <w:t>1）工程施工过程土方的开挖和回填，将会在短期内加大水土流失量。</w:t>
      </w:r>
    </w:p>
    <w:p w14:paraId="2DE008D2">
      <w:pPr>
        <w:bidi w:val="0"/>
        <w:rPr>
          <w:rFonts w:hint="eastAsia"/>
          <w:highlight w:val="none"/>
          <w:lang w:val="en-US" w:eastAsia="zh-CN"/>
        </w:rPr>
      </w:pPr>
      <w:r>
        <w:rPr>
          <w:rFonts w:hint="eastAsia"/>
          <w:highlight w:val="none"/>
          <w:lang w:val="en-US" w:eastAsia="zh-CN"/>
        </w:rPr>
        <w:t>2）由于工程的占地和施工场地，将对废渣点和废渣填埋场范围内的植被产生破坏影响。</w:t>
      </w:r>
    </w:p>
    <w:p w14:paraId="72CF7942">
      <w:pPr>
        <w:bidi w:val="0"/>
        <w:rPr>
          <w:rFonts w:hint="eastAsia"/>
          <w:highlight w:val="none"/>
          <w:lang w:val="en-US" w:eastAsia="zh-CN"/>
        </w:rPr>
      </w:pPr>
      <w:r>
        <w:rPr>
          <w:rFonts w:hint="eastAsia"/>
          <w:highlight w:val="none"/>
          <w:lang w:val="en-US" w:eastAsia="zh-CN"/>
        </w:rPr>
        <w:t>项目为环境综合治理项目，治理完毕将对该区域生态进行恢复，对该区域生态有着积极影响。</w:t>
      </w:r>
    </w:p>
    <w:p w14:paraId="5B9E2F27">
      <w:pPr>
        <w:pStyle w:val="10"/>
        <w:numPr>
          <w:ilvl w:val="3"/>
          <w:numId w:val="1"/>
        </w:numPr>
        <w:bidi w:val="0"/>
        <w:ind w:left="850" w:leftChars="0" w:hanging="850" w:firstLineChars="0"/>
        <w:rPr>
          <w:rFonts w:hint="eastAsia"/>
          <w:lang w:val="en-US" w:eastAsia="zh-CN"/>
        </w:rPr>
      </w:pPr>
      <w:r>
        <w:rPr>
          <w:rFonts w:hint="eastAsia"/>
          <w:lang w:val="en-US" w:eastAsia="zh-CN"/>
        </w:rPr>
        <w:t>水土流失</w:t>
      </w:r>
    </w:p>
    <w:p w14:paraId="001F7B49">
      <w:pPr>
        <w:bidi w:val="0"/>
        <w:rPr>
          <w:rFonts w:hint="default"/>
          <w:highlight w:val="none"/>
          <w:lang w:val="en-US" w:eastAsia="zh-CN"/>
        </w:rPr>
      </w:pPr>
      <w:r>
        <w:rPr>
          <w:rFonts w:hint="eastAsia"/>
          <w:highlight w:val="none"/>
          <w:lang w:val="en-US" w:eastAsia="zh-CN"/>
        </w:rPr>
        <w:t>本项目废渣</w:t>
      </w:r>
      <w:r>
        <w:rPr>
          <w:rFonts w:hint="default"/>
          <w:highlight w:val="none"/>
          <w:lang w:val="en-US" w:eastAsia="zh-CN"/>
        </w:rPr>
        <w:t>开挖</w:t>
      </w:r>
      <w:r>
        <w:rPr>
          <w:rFonts w:hint="eastAsia"/>
          <w:highlight w:val="none"/>
          <w:lang w:val="en-US" w:eastAsia="zh-CN"/>
        </w:rPr>
        <w:t>、填埋场及表土</w:t>
      </w:r>
      <w:r>
        <w:rPr>
          <w:rFonts w:hint="default"/>
          <w:highlight w:val="none"/>
          <w:lang w:val="en-US" w:eastAsia="zh-CN"/>
        </w:rPr>
        <w:t>临时堆放时以及施工结束前后一段时间内地表绿化工作尚未完成时，都将造成土壤裸露，致使土壤抗侵蚀能力降低，极易受降水径流冲刷而造成水土流失，特别是暴雨冲刷更为严重。</w:t>
      </w:r>
    </w:p>
    <w:p w14:paraId="6CD3FFA6">
      <w:pPr>
        <w:bidi w:val="0"/>
        <w:rPr>
          <w:rFonts w:hint="default"/>
          <w:highlight w:val="none"/>
          <w:lang w:val="en-US" w:eastAsia="zh-CN"/>
        </w:rPr>
      </w:pPr>
      <w:r>
        <w:rPr>
          <w:rFonts w:hint="default"/>
          <w:highlight w:val="none"/>
          <w:lang w:val="en-US" w:eastAsia="zh-CN"/>
        </w:rPr>
        <w:t>为防治水土流失，项目在施工时合理安排挖填方作业，及时压实填方，场区周边修建截水沟，防治降水径流对开挖面和填方区的冲刷，从根本上减少水土流失量。</w:t>
      </w:r>
    </w:p>
    <w:p w14:paraId="57B27855">
      <w:pPr>
        <w:pStyle w:val="9"/>
        <w:numPr>
          <w:ilvl w:val="2"/>
          <w:numId w:val="1"/>
        </w:numPr>
        <w:bidi w:val="0"/>
        <w:ind w:left="709" w:leftChars="0" w:hanging="709" w:firstLineChars="0"/>
        <w:rPr>
          <w:rFonts w:hint="default"/>
          <w:highlight w:val="none"/>
          <w:lang w:val="en-US" w:eastAsia="zh-CN"/>
        </w:rPr>
      </w:pPr>
      <w:r>
        <w:rPr>
          <w:rFonts w:hint="eastAsia"/>
          <w:highlight w:val="none"/>
          <w:lang w:val="en-US" w:eastAsia="zh-CN"/>
        </w:rPr>
        <w:t>封场后污染源分析</w:t>
      </w:r>
    </w:p>
    <w:p w14:paraId="718C7CBD">
      <w:pPr>
        <w:rPr>
          <w:rFonts w:hint="default"/>
          <w:lang w:val="en-US" w:eastAsia="zh-CN"/>
        </w:rPr>
      </w:pPr>
      <w:r>
        <w:rPr>
          <w:rFonts w:hint="default"/>
          <w:lang w:val="en-US" w:eastAsia="zh-CN"/>
        </w:rPr>
        <w:t>本项目废渣开挖、清运和填埋同时进行，</w:t>
      </w:r>
      <w:r>
        <w:rPr>
          <w:rFonts w:hint="eastAsia"/>
          <w:lang w:val="en-US" w:eastAsia="zh-CN"/>
        </w:rPr>
        <w:t>填埋场</w:t>
      </w:r>
      <w:r>
        <w:rPr>
          <w:rFonts w:hint="default"/>
          <w:lang w:val="en-US" w:eastAsia="zh-CN"/>
        </w:rPr>
        <w:t>只填埋本项目废渣，不承担其他贮存、处置任务。废渣开挖、清运和填埋完成后，</w:t>
      </w:r>
      <w:r>
        <w:rPr>
          <w:rFonts w:hint="eastAsia"/>
          <w:lang w:val="en-US" w:eastAsia="zh-CN"/>
        </w:rPr>
        <w:t>填埋场</w:t>
      </w:r>
      <w:r>
        <w:rPr>
          <w:rFonts w:hint="default"/>
          <w:lang w:val="en-US" w:eastAsia="zh-CN"/>
        </w:rPr>
        <w:t>区立即关闭、封场。关闭或封场前，必须编制关闭或封场计划，报请所在相关环境保护行政主管部门核准，并采取污染防治措施。</w:t>
      </w:r>
    </w:p>
    <w:p w14:paraId="4B42B431">
      <w:pPr>
        <w:pStyle w:val="10"/>
        <w:numPr>
          <w:ilvl w:val="3"/>
          <w:numId w:val="1"/>
        </w:numPr>
        <w:bidi w:val="0"/>
        <w:ind w:left="850" w:leftChars="0" w:hanging="850" w:firstLineChars="0"/>
        <w:rPr>
          <w:rFonts w:hint="default"/>
          <w:highlight w:val="none"/>
          <w:lang w:val="en-US" w:eastAsia="zh-CN"/>
        </w:rPr>
      </w:pPr>
      <w:r>
        <w:rPr>
          <w:rFonts w:hint="eastAsia"/>
          <w:highlight w:val="none"/>
          <w:lang w:val="en-US" w:eastAsia="zh-CN"/>
        </w:rPr>
        <w:t>废气</w:t>
      </w:r>
    </w:p>
    <w:p w14:paraId="5D25D824">
      <w:pPr>
        <w:rPr>
          <w:rFonts w:hint="eastAsia"/>
          <w:highlight w:val="none"/>
          <w:lang w:val="en-US" w:eastAsia="zh-CN"/>
        </w:rPr>
      </w:pPr>
      <w:r>
        <w:rPr>
          <w:rFonts w:hint="eastAsia"/>
          <w:highlight w:val="none"/>
          <w:lang w:val="en-US" w:eastAsia="zh-CN"/>
        </w:rPr>
        <w:t>本项目对遗留废渣进行一次性填埋，废渣均为无机物，在填埋区内不会分解成气态物质，且填埋场为密闭结构，建成后不再有产生大气污染物的排放源。</w:t>
      </w:r>
    </w:p>
    <w:p w14:paraId="360071FB">
      <w:pPr>
        <w:pStyle w:val="10"/>
        <w:numPr>
          <w:ilvl w:val="3"/>
          <w:numId w:val="1"/>
        </w:numPr>
        <w:bidi w:val="0"/>
        <w:ind w:left="850" w:leftChars="0" w:hanging="850" w:firstLineChars="0"/>
        <w:rPr>
          <w:rFonts w:hint="default"/>
          <w:lang w:val="en-US" w:eastAsia="zh-CN"/>
        </w:rPr>
      </w:pPr>
      <w:r>
        <w:rPr>
          <w:rFonts w:hint="eastAsia"/>
          <w:lang w:val="en-US" w:eastAsia="zh-CN"/>
        </w:rPr>
        <w:t>废水</w:t>
      </w:r>
    </w:p>
    <w:p w14:paraId="7FD87B51">
      <w:pPr>
        <w:rPr>
          <w:rFonts w:hint="eastAsia"/>
          <w:highlight w:val="none"/>
          <w:lang w:val="en-US" w:eastAsia="zh-CN"/>
        </w:rPr>
      </w:pPr>
      <w:r>
        <w:rPr>
          <w:rFonts w:hint="eastAsia"/>
          <w:highlight w:val="none"/>
          <w:lang w:val="en-US" w:eastAsia="zh-CN"/>
        </w:rPr>
        <w:t>填埋场封场后主要废水为渗滤液。参考《生活垃圾填埋场渗滤液处理工程技术规范（试行）》（HJ564-2010），有关渗滤液产生量的经验估算公式如下：</w:t>
      </w:r>
    </w:p>
    <w:p w14:paraId="13FD0B8E">
      <w:pPr>
        <w:ind w:left="0" w:leftChars="0" w:firstLine="0" w:firstLineChars="0"/>
        <w:jc w:val="center"/>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Q=（A</w:t>
      </w:r>
      <w:r>
        <w:rPr>
          <w:rFonts w:hint="default" w:ascii="Times New Roman" w:hAnsi="Times New Roman" w:cs="Times New Roman"/>
          <w:highlight w:val="none"/>
          <w:vertAlign w:val="subscript"/>
          <w:lang w:val="en-US" w:eastAsia="zh-CN"/>
        </w:rPr>
        <w:t>1</w:t>
      </w:r>
      <w:r>
        <w:rPr>
          <w:rFonts w:hint="default" w:ascii="Times New Roman" w:hAnsi="Times New Roman" w:cs="Times New Roman"/>
          <w:highlight w:val="none"/>
          <w:lang w:val="en-US" w:eastAsia="zh-CN"/>
        </w:rPr>
        <w:t>×C</w:t>
      </w:r>
      <w:r>
        <w:rPr>
          <w:rFonts w:hint="default" w:ascii="Times New Roman" w:hAnsi="Times New Roman" w:cs="Times New Roman"/>
          <w:highlight w:val="none"/>
          <w:vertAlign w:val="subscript"/>
          <w:lang w:val="en-US" w:eastAsia="zh-CN"/>
        </w:rPr>
        <w:t>1</w:t>
      </w:r>
      <w:r>
        <w:rPr>
          <w:rFonts w:hint="default" w:ascii="Times New Roman" w:hAnsi="Times New Roman" w:cs="Times New Roman"/>
          <w:highlight w:val="none"/>
          <w:lang w:val="en-US" w:eastAsia="zh-CN"/>
        </w:rPr>
        <w:t>+A</w:t>
      </w:r>
      <w:r>
        <w:rPr>
          <w:rFonts w:hint="default" w:ascii="Times New Roman" w:hAnsi="Times New Roman" w:cs="Times New Roman"/>
          <w:highlight w:val="none"/>
          <w:vertAlign w:val="subscript"/>
          <w:lang w:val="en-US" w:eastAsia="zh-CN"/>
        </w:rPr>
        <w:t>2</w:t>
      </w:r>
      <w:r>
        <w:rPr>
          <w:rFonts w:hint="default" w:ascii="Times New Roman" w:hAnsi="Times New Roman" w:cs="Times New Roman"/>
          <w:highlight w:val="none"/>
          <w:lang w:val="en-US" w:eastAsia="zh-CN"/>
        </w:rPr>
        <w:t>×C</w:t>
      </w:r>
      <w:r>
        <w:rPr>
          <w:rFonts w:hint="default" w:ascii="Times New Roman" w:hAnsi="Times New Roman" w:cs="Times New Roman"/>
          <w:highlight w:val="none"/>
          <w:vertAlign w:val="subscript"/>
          <w:lang w:val="en-US" w:eastAsia="zh-CN"/>
        </w:rPr>
        <w:t>2</w:t>
      </w:r>
      <w:r>
        <w:rPr>
          <w:rFonts w:hint="default" w:ascii="Times New Roman" w:hAnsi="Times New Roman" w:cs="Times New Roman"/>
          <w:highlight w:val="none"/>
          <w:lang w:val="en-US" w:eastAsia="zh-CN"/>
        </w:rPr>
        <w:t>+A</w:t>
      </w:r>
      <w:r>
        <w:rPr>
          <w:rFonts w:hint="default" w:ascii="Times New Roman" w:hAnsi="Times New Roman" w:cs="Times New Roman"/>
          <w:highlight w:val="none"/>
          <w:vertAlign w:val="subscript"/>
          <w:lang w:val="en-US" w:eastAsia="zh-CN"/>
        </w:rPr>
        <w:t>3</w:t>
      </w:r>
      <w:r>
        <w:rPr>
          <w:rFonts w:hint="default" w:ascii="Times New Roman" w:hAnsi="Times New Roman" w:cs="Times New Roman"/>
          <w:highlight w:val="none"/>
          <w:lang w:val="en-US" w:eastAsia="zh-CN"/>
        </w:rPr>
        <w:t>×C</w:t>
      </w:r>
      <w:r>
        <w:rPr>
          <w:rFonts w:hint="default" w:ascii="Times New Roman" w:hAnsi="Times New Roman" w:cs="Times New Roman"/>
          <w:highlight w:val="none"/>
          <w:vertAlign w:val="subscript"/>
          <w:lang w:val="en-US" w:eastAsia="zh-CN"/>
        </w:rPr>
        <w:t>3</w:t>
      </w:r>
      <w:r>
        <w:rPr>
          <w:rFonts w:hint="default" w:ascii="Times New Roman" w:hAnsi="Times New Roman" w:cs="Times New Roman"/>
          <w:highlight w:val="none"/>
          <w:lang w:val="en-US" w:eastAsia="zh-CN"/>
        </w:rPr>
        <w:t>）×I×10</w:t>
      </w:r>
      <w:r>
        <w:rPr>
          <w:rFonts w:hint="default" w:ascii="Times New Roman" w:hAnsi="Times New Roman" w:cs="Times New Roman"/>
          <w:highlight w:val="none"/>
          <w:vertAlign w:val="superscript"/>
          <w:lang w:val="en-US" w:eastAsia="zh-CN"/>
        </w:rPr>
        <w:t>-3</w:t>
      </w:r>
    </w:p>
    <w:p w14:paraId="13A2412C">
      <w:pPr>
        <w:rPr>
          <w:rFonts w:hint="eastAsia"/>
          <w:highlight w:val="none"/>
          <w:lang w:val="en-US" w:eastAsia="zh-CN"/>
        </w:rPr>
      </w:pPr>
      <w:r>
        <w:rPr>
          <w:rFonts w:hint="eastAsia"/>
          <w:highlight w:val="none"/>
          <w:lang w:val="en-US" w:eastAsia="zh-CN"/>
        </w:rPr>
        <w:t>式中：</w:t>
      </w:r>
    </w:p>
    <w:p w14:paraId="71ECAFAA">
      <w:pPr>
        <w:rPr>
          <w:rFonts w:hint="eastAsia"/>
          <w:highlight w:val="none"/>
          <w:lang w:val="en-US" w:eastAsia="zh-CN"/>
        </w:rPr>
      </w:pPr>
      <w:r>
        <w:rPr>
          <w:rFonts w:hint="eastAsia"/>
          <w:highlight w:val="none"/>
          <w:lang w:val="en-US" w:eastAsia="zh-CN"/>
        </w:rPr>
        <w:t>Q—渗滤液水量，m</w:t>
      </w:r>
      <w:r>
        <w:rPr>
          <w:rFonts w:hint="eastAsia"/>
          <w:highlight w:val="none"/>
          <w:vertAlign w:val="superscript"/>
          <w:lang w:val="en-US" w:eastAsia="zh-CN"/>
        </w:rPr>
        <w:t>3</w:t>
      </w:r>
      <w:r>
        <w:rPr>
          <w:rFonts w:hint="eastAsia"/>
          <w:highlight w:val="none"/>
          <w:lang w:val="en-US" w:eastAsia="zh-CN"/>
        </w:rPr>
        <w:t>/d；</w:t>
      </w:r>
    </w:p>
    <w:p w14:paraId="73EF53C1">
      <w:pPr>
        <w:rPr>
          <w:rFonts w:hint="default"/>
          <w:highlight w:val="none"/>
          <w:lang w:val="en-US" w:eastAsia="zh-CN"/>
        </w:rPr>
      </w:pPr>
      <w:r>
        <w:rPr>
          <w:rFonts w:hint="eastAsia"/>
          <w:highlight w:val="none"/>
          <w:lang w:val="en-US" w:eastAsia="zh-CN"/>
        </w:rPr>
        <w:t>A</w:t>
      </w:r>
      <w:r>
        <w:rPr>
          <w:rFonts w:hint="eastAsia"/>
          <w:highlight w:val="none"/>
          <w:vertAlign w:val="subscript"/>
          <w:lang w:val="en-US" w:eastAsia="zh-CN"/>
        </w:rPr>
        <w:t>1</w:t>
      </w:r>
      <w:r>
        <w:rPr>
          <w:rFonts w:hint="eastAsia"/>
          <w:highlight w:val="none"/>
          <w:lang w:val="en-US" w:eastAsia="zh-CN"/>
        </w:rPr>
        <w:t>—填埋作业面的面积，m</w:t>
      </w:r>
      <w:r>
        <w:rPr>
          <w:rFonts w:hint="eastAsia"/>
          <w:highlight w:val="none"/>
          <w:vertAlign w:val="superscript"/>
          <w:lang w:val="en-US" w:eastAsia="zh-CN"/>
        </w:rPr>
        <w:t>2</w:t>
      </w:r>
      <w:r>
        <w:rPr>
          <w:rFonts w:hint="eastAsia"/>
          <w:highlight w:val="none"/>
          <w:lang w:val="en-US" w:eastAsia="zh-CN"/>
        </w:rPr>
        <w:t>，本项目取0；</w:t>
      </w:r>
    </w:p>
    <w:p w14:paraId="79D1C566">
      <w:pPr>
        <w:rPr>
          <w:rFonts w:hint="eastAsia"/>
          <w:highlight w:val="none"/>
          <w:lang w:val="en-US" w:eastAsia="zh-CN"/>
        </w:rPr>
      </w:pPr>
      <w:r>
        <w:rPr>
          <w:rFonts w:hint="eastAsia"/>
          <w:highlight w:val="none"/>
          <w:lang w:val="en-US" w:eastAsia="zh-CN"/>
        </w:rPr>
        <w:t>C</w:t>
      </w:r>
      <w:r>
        <w:rPr>
          <w:rFonts w:hint="eastAsia"/>
          <w:highlight w:val="none"/>
          <w:vertAlign w:val="subscript"/>
          <w:lang w:val="en-US" w:eastAsia="zh-CN"/>
        </w:rPr>
        <w:t>1</w:t>
      </w:r>
      <w:r>
        <w:rPr>
          <w:rFonts w:hint="eastAsia"/>
          <w:highlight w:val="none"/>
          <w:lang w:val="en-US" w:eastAsia="zh-CN"/>
        </w:rPr>
        <w:t>—填埋作业区的渗滤系数，一般宜取0.5~0.8，本项目取0.8；</w:t>
      </w:r>
    </w:p>
    <w:p w14:paraId="28596250">
      <w:pPr>
        <w:rPr>
          <w:rFonts w:hint="eastAsia"/>
          <w:highlight w:val="none"/>
          <w:lang w:val="en-US" w:eastAsia="zh-CN"/>
        </w:rPr>
      </w:pPr>
      <w:r>
        <w:rPr>
          <w:rFonts w:hint="eastAsia"/>
          <w:highlight w:val="none"/>
          <w:lang w:val="en-US" w:eastAsia="zh-CN"/>
        </w:rPr>
        <w:t>A</w:t>
      </w:r>
      <w:r>
        <w:rPr>
          <w:rFonts w:hint="eastAsia"/>
          <w:highlight w:val="none"/>
          <w:vertAlign w:val="subscript"/>
          <w:lang w:val="en-US" w:eastAsia="zh-CN"/>
        </w:rPr>
        <w:t>2</w:t>
      </w:r>
      <w:r>
        <w:rPr>
          <w:rFonts w:hint="eastAsia"/>
          <w:highlight w:val="none"/>
          <w:lang w:val="en-US" w:eastAsia="zh-CN"/>
        </w:rPr>
        <w:t>—中间覆盖单元汇水面积，m</w:t>
      </w:r>
      <w:r>
        <w:rPr>
          <w:rFonts w:hint="eastAsia"/>
          <w:highlight w:val="none"/>
          <w:vertAlign w:val="superscript"/>
          <w:lang w:val="en-US" w:eastAsia="zh-CN"/>
        </w:rPr>
        <w:t>2</w:t>
      </w:r>
      <w:r>
        <w:rPr>
          <w:rFonts w:hint="eastAsia"/>
          <w:highlight w:val="none"/>
          <w:lang w:val="en-US" w:eastAsia="zh-CN"/>
        </w:rPr>
        <w:t>，本项目取0；</w:t>
      </w:r>
    </w:p>
    <w:p w14:paraId="601B773A">
      <w:pPr>
        <w:rPr>
          <w:rFonts w:hint="eastAsia"/>
          <w:highlight w:val="none"/>
          <w:lang w:val="en-US" w:eastAsia="zh-CN"/>
        </w:rPr>
      </w:pPr>
      <w:r>
        <w:rPr>
          <w:rFonts w:hint="eastAsia"/>
          <w:highlight w:val="none"/>
          <w:lang w:val="en-US" w:eastAsia="zh-CN"/>
        </w:rPr>
        <w:t>C</w:t>
      </w:r>
      <w:r>
        <w:rPr>
          <w:rFonts w:hint="eastAsia"/>
          <w:highlight w:val="none"/>
          <w:vertAlign w:val="subscript"/>
          <w:lang w:val="en-US" w:eastAsia="zh-CN"/>
        </w:rPr>
        <w:t>2</w:t>
      </w:r>
      <w:r>
        <w:rPr>
          <w:rFonts w:hint="eastAsia"/>
          <w:highlight w:val="none"/>
          <w:lang w:val="en-US" w:eastAsia="zh-CN"/>
        </w:rPr>
        <w:t>—中间覆盖单元渗出系数，宜取（0.4~0.6）C1，本项目取0.6C1，即0.48；</w:t>
      </w:r>
    </w:p>
    <w:p w14:paraId="5FD12CF8">
      <w:pPr>
        <w:rPr>
          <w:rFonts w:hint="eastAsia"/>
          <w:highlight w:val="none"/>
          <w:lang w:val="en-US" w:eastAsia="zh-CN"/>
        </w:rPr>
      </w:pPr>
      <w:r>
        <w:rPr>
          <w:rFonts w:hint="eastAsia"/>
          <w:highlight w:val="none"/>
          <w:lang w:val="en-US" w:eastAsia="zh-CN"/>
        </w:rPr>
        <w:t>A</w:t>
      </w:r>
      <w:r>
        <w:rPr>
          <w:rFonts w:hint="eastAsia"/>
          <w:highlight w:val="none"/>
          <w:vertAlign w:val="subscript"/>
          <w:lang w:val="en-US" w:eastAsia="zh-CN"/>
        </w:rPr>
        <w:t>3</w:t>
      </w:r>
      <w:r>
        <w:rPr>
          <w:rFonts w:hint="eastAsia"/>
          <w:highlight w:val="none"/>
          <w:lang w:val="en-US" w:eastAsia="zh-CN"/>
        </w:rPr>
        <w:t>—终场覆盖单元汇水面积，m</w:t>
      </w:r>
      <w:r>
        <w:rPr>
          <w:rFonts w:hint="eastAsia"/>
          <w:highlight w:val="none"/>
          <w:vertAlign w:val="superscript"/>
          <w:lang w:val="en-US" w:eastAsia="zh-CN"/>
        </w:rPr>
        <w:t>2</w:t>
      </w:r>
      <w:r>
        <w:rPr>
          <w:rFonts w:hint="eastAsia"/>
          <w:highlight w:val="none"/>
          <w:lang w:val="en-US" w:eastAsia="zh-CN"/>
        </w:rPr>
        <w:t>，本项目取7805m</w:t>
      </w:r>
      <w:r>
        <w:rPr>
          <w:rFonts w:hint="eastAsia"/>
          <w:highlight w:val="none"/>
          <w:vertAlign w:val="superscript"/>
          <w:lang w:val="en-US" w:eastAsia="zh-CN"/>
        </w:rPr>
        <w:t>2</w:t>
      </w:r>
      <w:r>
        <w:rPr>
          <w:rFonts w:hint="eastAsia"/>
          <w:highlight w:val="none"/>
          <w:lang w:val="en-US" w:eastAsia="zh-CN"/>
        </w:rPr>
        <w:t>；</w:t>
      </w:r>
    </w:p>
    <w:p w14:paraId="73096B3D">
      <w:pPr>
        <w:rPr>
          <w:rFonts w:hint="default"/>
          <w:highlight w:val="none"/>
          <w:lang w:val="en-US" w:eastAsia="zh-CN"/>
        </w:rPr>
      </w:pPr>
      <w:r>
        <w:rPr>
          <w:rFonts w:hint="eastAsia"/>
          <w:highlight w:val="none"/>
          <w:lang w:val="en-US" w:eastAsia="zh-CN"/>
        </w:rPr>
        <w:t>C</w:t>
      </w:r>
      <w:r>
        <w:rPr>
          <w:rFonts w:hint="eastAsia"/>
          <w:highlight w:val="none"/>
          <w:vertAlign w:val="subscript"/>
          <w:lang w:val="en-US" w:eastAsia="zh-CN"/>
        </w:rPr>
        <w:t>3</w:t>
      </w:r>
      <w:r>
        <w:rPr>
          <w:rFonts w:hint="eastAsia"/>
          <w:highlight w:val="none"/>
          <w:lang w:val="en-US" w:eastAsia="zh-CN"/>
        </w:rPr>
        <w:t>—终场覆盖单元渗出系数，一般宜取0.1~0.2，本项目取0.2；</w:t>
      </w:r>
    </w:p>
    <w:p w14:paraId="2B0553EC">
      <w:pPr>
        <w:rPr>
          <w:rFonts w:hint="eastAsia"/>
          <w:highlight w:val="none"/>
          <w:lang w:val="en-US" w:eastAsia="zh-CN"/>
        </w:rPr>
      </w:pPr>
      <w:r>
        <w:rPr>
          <w:rFonts w:hint="eastAsia"/>
          <w:highlight w:val="none"/>
          <w:lang w:val="en-US" w:eastAsia="zh-CN"/>
        </w:rPr>
        <w:t>I—降雨强度，mm/d，平江县为4.25mm/d。</w:t>
      </w:r>
    </w:p>
    <w:p w14:paraId="5F6555E5">
      <w:pPr>
        <w:rPr>
          <w:rFonts w:hint="eastAsia"/>
          <w:highlight w:val="none"/>
          <w:lang w:val="en-US" w:eastAsia="zh-CN"/>
        </w:rPr>
      </w:pPr>
      <w:r>
        <w:rPr>
          <w:rFonts w:hint="eastAsia"/>
          <w:highlight w:val="none"/>
          <w:lang w:val="en-US" w:eastAsia="zh-CN"/>
        </w:rPr>
        <w:t>查阅平江县相关气象统计资料，平江县日均降雨量4.25mm，同时考虑到填埋场封场覆盖系统采用防渗性能良好的防渗材料，且填埋场四周均建设了截排水沟，可以有效防止场区四周雨水汇入。</w:t>
      </w:r>
    </w:p>
    <w:p w14:paraId="78739014">
      <w:pPr>
        <w:rPr>
          <w:rFonts w:hint="eastAsia"/>
          <w:highlight w:val="none"/>
          <w:lang w:val="en-US" w:eastAsia="zh-CN"/>
        </w:rPr>
      </w:pPr>
      <w:r>
        <w:rPr>
          <w:rFonts w:hint="eastAsia"/>
          <w:highlight w:val="none"/>
          <w:lang w:val="en-US" w:eastAsia="zh-CN"/>
        </w:rPr>
        <w:t>废渣填埋场封场后，无填埋作业面、中间覆盖单元。故本工程填埋区对应的A</w:t>
      </w:r>
      <w:r>
        <w:rPr>
          <w:rFonts w:hint="eastAsia"/>
          <w:highlight w:val="none"/>
          <w:vertAlign w:val="subscript"/>
          <w:lang w:val="en-US" w:eastAsia="zh-CN"/>
        </w:rPr>
        <w:t>1</w:t>
      </w:r>
      <w:r>
        <w:rPr>
          <w:rFonts w:hint="eastAsia"/>
          <w:highlight w:val="none"/>
          <w:lang w:val="en-US" w:eastAsia="zh-CN"/>
        </w:rPr>
        <w:t>、A</w:t>
      </w:r>
      <w:r>
        <w:rPr>
          <w:rFonts w:hint="eastAsia"/>
          <w:highlight w:val="none"/>
          <w:vertAlign w:val="subscript"/>
          <w:lang w:val="en-US" w:eastAsia="zh-CN"/>
        </w:rPr>
        <w:t>2</w:t>
      </w:r>
      <w:r>
        <w:rPr>
          <w:rFonts w:hint="eastAsia"/>
          <w:highlight w:val="none"/>
          <w:lang w:val="en-US" w:eastAsia="zh-CN"/>
        </w:rPr>
        <w:t>及A</w:t>
      </w:r>
      <w:r>
        <w:rPr>
          <w:rFonts w:hint="eastAsia"/>
          <w:highlight w:val="none"/>
          <w:vertAlign w:val="subscript"/>
          <w:lang w:val="en-US" w:eastAsia="zh-CN"/>
        </w:rPr>
        <w:t>3</w:t>
      </w:r>
      <w:r>
        <w:rPr>
          <w:rFonts w:hint="eastAsia"/>
          <w:highlight w:val="none"/>
          <w:lang w:val="en-US" w:eastAsia="zh-CN"/>
        </w:rPr>
        <w:t>值分别0、0及7805m</w:t>
      </w:r>
      <w:r>
        <w:rPr>
          <w:rFonts w:hint="eastAsia"/>
          <w:highlight w:val="none"/>
          <w:vertAlign w:val="superscript"/>
          <w:lang w:val="en-US" w:eastAsia="zh-CN"/>
        </w:rPr>
        <w:t>2</w:t>
      </w:r>
      <w:r>
        <w:rPr>
          <w:rFonts w:hint="eastAsia"/>
          <w:highlight w:val="none"/>
          <w:lang w:val="en-US" w:eastAsia="zh-CN"/>
        </w:rPr>
        <w:t>。填埋后废渣填埋场上部设置有HDPE防渗层，综合考虑，封场区渗出系数C</w:t>
      </w:r>
      <w:r>
        <w:rPr>
          <w:rFonts w:hint="eastAsia"/>
          <w:highlight w:val="none"/>
          <w:vertAlign w:val="subscript"/>
          <w:lang w:val="en-US" w:eastAsia="zh-CN"/>
        </w:rPr>
        <w:t>3</w:t>
      </w:r>
      <w:r>
        <w:rPr>
          <w:rFonts w:hint="eastAsia"/>
          <w:highlight w:val="none"/>
          <w:lang w:val="en-US" w:eastAsia="zh-CN"/>
        </w:rPr>
        <w:t>取0.2考虑。</w:t>
      </w:r>
    </w:p>
    <w:p w14:paraId="3BD73247">
      <w:pPr>
        <w:rPr>
          <w:rFonts w:hint="default"/>
          <w:highlight w:val="none"/>
          <w:lang w:val="en-US" w:eastAsia="zh-CN"/>
        </w:rPr>
      </w:pPr>
      <w:r>
        <w:rPr>
          <w:rFonts w:hint="eastAsia"/>
          <w:highlight w:val="none"/>
          <w:lang w:val="en-US" w:eastAsia="zh-CN"/>
        </w:rPr>
        <w:t>则渗滤液水量Q经计算为6.63m</w:t>
      </w:r>
      <w:r>
        <w:rPr>
          <w:rFonts w:hint="eastAsia"/>
          <w:highlight w:val="none"/>
          <w:vertAlign w:val="superscript"/>
          <w:lang w:val="en-US" w:eastAsia="zh-CN"/>
        </w:rPr>
        <w:t>3</w:t>
      </w:r>
      <w:r>
        <w:rPr>
          <w:rFonts w:hint="eastAsia"/>
          <w:highlight w:val="none"/>
          <w:lang w:val="en-US" w:eastAsia="zh-CN"/>
        </w:rPr>
        <w:t>/d，项目设置一座渗滤液收集池，容积为48m</w:t>
      </w:r>
      <w:r>
        <w:rPr>
          <w:rFonts w:hint="eastAsia"/>
          <w:highlight w:val="none"/>
          <w:vertAlign w:val="superscript"/>
          <w:lang w:val="en-US" w:eastAsia="zh-CN"/>
        </w:rPr>
        <w:t>3</w:t>
      </w:r>
      <w:r>
        <w:rPr>
          <w:rFonts w:hint="eastAsia"/>
          <w:highlight w:val="none"/>
          <w:lang w:val="en-US" w:eastAsia="zh-CN"/>
        </w:rPr>
        <w:t>，渗滤液收集池上方设置盖板，防止雨水混入。本项目渗滤液经一体化污水处理装置处理后后由槽罐车托运至湖南黄金天岳矿业有限公司垂拱洞尾矿库废水处理站进行处理。</w:t>
      </w:r>
    </w:p>
    <w:p w14:paraId="2CA03C40">
      <w:pPr>
        <w:bidi w:val="0"/>
        <w:rPr>
          <w:rFonts w:hint="eastAsia"/>
          <w:highlight w:val="none"/>
          <w:lang w:val="en-US" w:eastAsia="zh-CN"/>
        </w:rPr>
      </w:pPr>
      <w:r>
        <w:rPr>
          <w:rFonts w:hint="eastAsia"/>
          <w:highlight w:val="none"/>
          <w:lang w:val="en-US" w:eastAsia="zh-CN"/>
        </w:rPr>
        <w:t>项目填埋场渗滤液水质类比《平江县三阳乡南尧村片区（垂拱组、仙人组）历史遗留重金属废渣污染状况调查报告》（湖南安博检测有限公司，2022年8月）废渣点位水浸监测结果最大值。渗滤液污染物产排情况具体见下表。</w:t>
      </w:r>
    </w:p>
    <w:p w14:paraId="0DA8DF9C">
      <w:pPr>
        <w:bidi w:val="0"/>
        <w:ind w:left="0" w:leftChars="0" w:firstLine="0" w:firstLineChars="0"/>
        <w:jc w:val="center"/>
        <w:rPr>
          <w:rFonts w:hint="eastAsia"/>
          <w:b/>
          <w:bCs/>
          <w:sz w:val="21"/>
          <w:szCs w:val="21"/>
          <w:highlight w:val="none"/>
          <w:lang w:val="en-US" w:eastAsia="zh-CN"/>
        </w:rPr>
      </w:pPr>
      <w:r>
        <w:rPr>
          <w:rFonts w:hint="eastAsia"/>
          <w:b/>
          <w:bCs/>
          <w:sz w:val="21"/>
          <w:szCs w:val="21"/>
          <w:highlight w:val="none"/>
          <w:lang w:val="en-US" w:eastAsia="zh-CN"/>
        </w:rPr>
        <w:t>表3.2-7  项目渗滤液主要污染物产排情况一览表</w:t>
      </w:r>
    </w:p>
    <w:tbl>
      <w:tblPr>
        <w:tblStyle w:val="36"/>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009"/>
        <w:gridCol w:w="1644"/>
        <w:gridCol w:w="1644"/>
        <w:gridCol w:w="1644"/>
        <w:gridCol w:w="1644"/>
        <w:gridCol w:w="1647"/>
      </w:tblGrid>
      <w:tr w14:paraId="5F578A1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blHeader/>
        </w:trPr>
        <w:tc>
          <w:tcPr>
            <w:tcW w:w="1009" w:type="dxa"/>
            <w:vAlign w:val="center"/>
          </w:tcPr>
          <w:p w14:paraId="0C86E68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bCs/>
                <w:sz w:val="21"/>
                <w:szCs w:val="21"/>
                <w:highlight w:val="none"/>
                <w:vertAlign w:val="baseline"/>
                <w:lang w:val="en-US" w:eastAsia="zh-CN"/>
              </w:rPr>
            </w:pPr>
            <w:r>
              <w:rPr>
                <w:rFonts w:hint="eastAsia"/>
                <w:b/>
                <w:bCs/>
                <w:sz w:val="21"/>
                <w:szCs w:val="21"/>
                <w:highlight w:val="none"/>
                <w:vertAlign w:val="baseline"/>
                <w:lang w:val="en-US" w:eastAsia="zh-CN"/>
              </w:rPr>
              <w:t>污染物</w:t>
            </w:r>
          </w:p>
        </w:tc>
        <w:tc>
          <w:tcPr>
            <w:tcW w:w="1644" w:type="dxa"/>
            <w:vAlign w:val="center"/>
          </w:tcPr>
          <w:p w14:paraId="6683057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bCs/>
                <w:sz w:val="21"/>
                <w:szCs w:val="21"/>
                <w:highlight w:val="none"/>
                <w:vertAlign w:val="baseline"/>
                <w:lang w:val="en-US" w:eastAsia="zh-CN"/>
              </w:rPr>
            </w:pPr>
            <w:r>
              <w:rPr>
                <w:rFonts w:hint="eastAsia"/>
                <w:b/>
                <w:bCs/>
                <w:sz w:val="21"/>
                <w:szCs w:val="21"/>
                <w:highlight w:val="none"/>
                <w:vertAlign w:val="baseline"/>
                <w:lang w:val="en-US" w:eastAsia="zh-CN"/>
              </w:rPr>
              <w:t>产生浓度（mg/L）</w:t>
            </w:r>
          </w:p>
        </w:tc>
        <w:tc>
          <w:tcPr>
            <w:tcW w:w="1644" w:type="dxa"/>
            <w:vAlign w:val="center"/>
          </w:tcPr>
          <w:p w14:paraId="37BE63C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bCs/>
                <w:sz w:val="21"/>
                <w:szCs w:val="21"/>
                <w:highlight w:val="none"/>
                <w:vertAlign w:val="baseline"/>
                <w:lang w:val="en-US" w:eastAsia="zh-CN"/>
              </w:rPr>
            </w:pPr>
            <w:r>
              <w:rPr>
                <w:rFonts w:hint="eastAsia"/>
                <w:b/>
                <w:bCs/>
                <w:sz w:val="21"/>
                <w:szCs w:val="21"/>
                <w:highlight w:val="none"/>
                <w:vertAlign w:val="baseline"/>
                <w:lang w:val="en-US" w:eastAsia="zh-CN"/>
              </w:rPr>
              <w:t>产生量（kg/d）</w:t>
            </w:r>
          </w:p>
        </w:tc>
        <w:tc>
          <w:tcPr>
            <w:tcW w:w="1644" w:type="dxa"/>
            <w:vAlign w:val="center"/>
          </w:tcPr>
          <w:p w14:paraId="3E2D5A3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bCs/>
                <w:sz w:val="21"/>
                <w:szCs w:val="21"/>
                <w:highlight w:val="none"/>
                <w:vertAlign w:val="baseline"/>
                <w:lang w:val="en-US" w:eastAsia="zh-CN"/>
              </w:rPr>
            </w:pPr>
            <w:r>
              <w:rPr>
                <w:rFonts w:hint="eastAsia"/>
                <w:b/>
                <w:bCs/>
                <w:sz w:val="21"/>
                <w:szCs w:val="21"/>
                <w:highlight w:val="none"/>
                <w:vertAlign w:val="baseline"/>
                <w:lang w:val="en-US" w:eastAsia="zh-CN"/>
              </w:rPr>
              <w:t>处理效率（%）</w:t>
            </w:r>
          </w:p>
        </w:tc>
        <w:tc>
          <w:tcPr>
            <w:tcW w:w="1644" w:type="dxa"/>
            <w:vAlign w:val="center"/>
          </w:tcPr>
          <w:p w14:paraId="6420DC9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bCs/>
                <w:sz w:val="21"/>
                <w:szCs w:val="21"/>
                <w:highlight w:val="none"/>
                <w:vertAlign w:val="baseline"/>
                <w:lang w:val="en-US" w:eastAsia="zh-CN"/>
              </w:rPr>
            </w:pPr>
            <w:r>
              <w:rPr>
                <w:rFonts w:hint="eastAsia"/>
                <w:b/>
                <w:bCs/>
                <w:sz w:val="21"/>
                <w:szCs w:val="21"/>
                <w:highlight w:val="none"/>
                <w:vertAlign w:val="baseline"/>
                <w:lang w:val="en-US" w:eastAsia="zh-CN"/>
              </w:rPr>
              <w:t>处理后浓度（mg/L）</w:t>
            </w:r>
          </w:p>
        </w:tc>
        <w:tc>
          <w:tcPr>
            <w:tcW w:w="1647" w:type="dxa"/>
            <w:vAlign w:val="center"/>
          </w:tcPr>
          <w:p w14:paraId="7D7DB1B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bCs/>
                <w:sz w:val="21"/>
                <w:szCs w:val="21"/>
                <w:highlight w:val="none"/>
                <w:vertAlign w:val="baseline"/>
                <w:lang w:val="en-US" w:eastAsia="zh-CN"/>
              </w:rPr>
            </w:pPr>
            <w:r>
              <w:rPr>
                <w:rFonts w:hint="eastAsia"/>
                <w:b/>
                <w:bCs/>
                <w:sz w:val="21"/>
                <w:szCs w:val="21"/>
                <w:highlight w:val="none"/>
                <w:vertAlign w:val="baseline"/>
                <w:lang w:val="en-US" w:eastAsia="zh-CN"/>
              </w:rPr>
              <w:t>排放量（kg/d）</w:t>
            </w:r>
          </w:p>
        </w:tc>
      </w:tr>
      <w:tr w14:paraId="7E4269C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009" w:type="dxa"/>
            <w:vAlign w:val="center"/>
          </w:tcPr>
          <w:p w14:paraId="11D6B19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总铬</w:t>
            </w:r>
          </w:p>
        </w:tc>
        <w:tc>
          <w:tcPr>
            <w:tcW w:w="1644" w:type="dxa"/>
            <w:vAlign w:val="center"/>
          </w:tcPr>
          <w:p w14:paraId="31E725A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0.02</w:t>
            </w:r>
          </w:p>
        </w:tc>
        <w:tc>
          <w:tcPr>
            <w:tcW w:w="1644" w:type="dxa"/>
            <w:vAlign w:val="center"/>
          </w:tcPr>
          <w:p w14:paraId="1747244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sz w:val="21"/>
                <w:szCs w:val="21"/>
                <w:highlight w:val="none"/>
                <w:vertAlign w:val="baseline"/>
                <w:lang w:val="en-US" w:eastAsia="zh-CN"/>
              </w:rPr>
            </w:pPr>
            <w:r>
              <w:rPr>
                <w:rFonts w:hint="eastAsia" w:eastAsia="宋体"/>
                <w:sz w:val="21"/>
                <w:szCs w:val="21"/>
                <w:highlight w:val="none"/>
                <w:vertAlign w:val="baseline"/>
                <w:lang w:val="en-US" w:eastAsia="zh-CN"/>
              </w:rPr>
              <w:t>0.00013</w:t>
            </w:r>
          </w:p>
        </w:tc>
        <w:tc>
          <w:tcPr>
            <w:tcW w:w="1644" w:type="dxa"/>
            <w:vAlign w:val="center"/>
          </w:tcPr>
          <w:p w14:paraId="6C0FDB8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sz w:val="21"/>
                <w:szCs w:val="21"/>
                <w:highlight w:val="none"/>
                <w:vertAlign w:val="baseline"/>
                <w:lang w:val="en-US" w:eastAsia="zh-CN"/>
              </w:rPr>
            </w:pPr>
            <w:r>
              <w:rPr>
                <w:rFonts w:hint="eastAsia" w:eastAsia="宋体"/>
                <w:sz w:val="21"/>
                <w:szCs w:val="21"/>
                <w:highlight w:val="none"/>
                <w:vertAlign w:val="baseline"/>
                <w:lang w:val="en-US" w:eastAsia="zh-CN"/>
              </w:rPr>
              <w:t>90</w:t>
            </w:r>
          </w:p>
        </w:tc>
        <w:tc>
          <w:tcPr>
            <w:tcW w:w="1644" w:type="dxa"/>
            <w:vAlign w:val="center"/>
          </w:tcPr>
          <w:p w14:paraId="05464F9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sz w:val="21"/>
                <w:szCs w:val="21"/>
                <w:highlight w:val="none"/>
                <w:vertAlign w:val="baseline"/>
                <w:lang w:val="en-US" w:eastAsia="zh-CN"/>
              </w:rPr>
            </w:pPr>
            <w:r>
              <w:rPr>
                <w:rFonts w:hint="eastAsia" w:eastAsia="宋体"/>
                <w:sz w:val="21"/>
                <w:szCs w:val="21"/>
                <w:highlight w:val="none"/>
                <w:vertAlign w:val="baseline"/>
                <w:lang w:val="en-US" w:eastAsia="zh-CN"/>
              </w:rPr>
              <w:t>0.002</w:t>
            </w:r>
          </w:p>
        </w:tc>
        <w:tc>
          <w:tcPr>
            <w:tcW w:w="1647" w:type="dxa"/>
            <w:shd w:val="clear" w:color="auto" w:fill="auto"/>
            <w:vAlign w:val="center"/>
          </w:tcPr>
          <w:p w14:paraId="5CBAFFB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sz w:val="21"/>
                <w:szCs w:val="21"/>
                <w:highlight w:val="none"/>
                <w:vertAlign w:val="baseline"/>
                <w:lang w:val="en-US" w:eastAsia="zh-CN"/>
              </w:rPr>
            </w:pPr>
            <w:r>
              <w:rPr>
                <w:rFonts w:hint="eastAsia" w:eastAsia="宋体"/>
                <w:sz w:val="21"/>
                <w:szCs w:val="21"/>
                <w:highlight w:val="none"/>
                <w:vertAlign w:val="baseline"/>
                <w:lang w:val="en-US" w:eastAsia="zh-CN"/>
              </w:rPr>
              <w:t>0.000013</w:t>
            </w:r>
          </w:p>
        </w:tc>
      </w:tr>
      <w:tr w14:paraId="204DD5F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009" w:type="dxa"/>
            <w:vAlign w:val="center"/>
          </w:tcPr>
          <w:p w14:paraId="5CAE41F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总镍</w:t>
            </w:r>
          </w:p>
        </w:tc>
        <w:tc>
          <w:tcPr>
            <w:tcW w:w="1644" w:type="dxa"/>
            <w:vAlign w:val="center"/>
          </w:tcPr>
          <w:p w14:paraId="72D1754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0.02</w:t>
            </w:r>
          </w:p>
        </w:tc>
        <w:tc>
          <w:tcPr>
            <w:tcW w:w="1644" w:type="dxa"/>
            <w:vAlign w:val="center"/>
          </w:tcPr>
          <w:p w14:paraId="584FFC8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sz w:val="21"/>
                <w:szCs w:val="21"/>
                <w:highlight w:val="none"/>
                <w:vertAlign w:val="baseline"/>
                <w:lang w:val="en-US" w:eastAsia="zh-CN"/>
              </w:rPr>
            </w:pPr>
            <w:r>
              <w:rPr>
                <w:rFonts w:hint="eastAsia" w:eastAsia="宋体"/>
                <w:sz w:val="21"/>
                <w:szCs w:val="21"/>
                <w:highlight w:val="none"/>
                <w:vertAlign w:val="baseline"/>
                <w:lang w:val="en-US" w:eastAsia="zh-CN"/>
              </w:rPr>
              <w:t>0.00013</w:t>
            </w:r>
          </w:p>
        </w:tc>
        <w:tc>
          <w:tcPr>
            <w:tcW w:w="1644" w:type="dxa"/>
            <w:vAlign w:val="center"/>
          </w:tcPr>
          <w:p w14:paraId="377DF26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sz w:val="21"/>
                <w:szCs w:val="21"/>
                <w:highlight w:val="none"/>
                <w:vertAlign w:val="baseline"/>
                <w:lang w:val="en-US" w:eastAsia="zh-CN"/>
              </w:rPr>
            </w:pPr>
            <w:r>
              <w:rPr>
                <w:rFonts w:hint="eastAsia" w:eastAsia="宋体"/>
                <w:sz w:val="21"/>
                <w:szCs w:val="21"/>
                <w:highlight w:val="none"/>
                <w:vertAlign w:val="baseline"/>
                <w:lang w:val="en-US" w:eastAsia="zh-CN"/>
              </w:rPr>
              <w:t>90</w:t>
            </w:r>
          </w:p>
        </w:tc>
        <w:tc>
          <w:tcPr>
            <w:tcW w:w="1644" w:type="dxa"/>
            <w:vAlign w:val="center"/>
          </w:tcPr>
          <w:p w14:paraId="4EA4B9F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sz w:val="21"/>
                <w:szCs w:val="21"/>
                <w:highlight w:val="none"/>
                <w:vertAlign w:val="baseline"/>
                <w:lang w:val="en-US" w:eastAsia="zh-CN"/>
              </w:rPr>
            </w:pPr>
            <w:r>
              <w:rPr>
                <w:rFonts w:hint="eastAsia" w:eastAsia="宋体"/>
                <w:sz w:val="21"/>
                <w:szCs w:val="21"/>
                <w:highlight w:val="none"/>
                <w:vertAlign w:val="baseline"/>
                <w:lang w:val="en-US" w:eastAsia="zh-CN"/>
              </w:rPr>
              <w:t>0.002</w:t>
            </w:r>
          </w:p>
        </w:tc>
        <w:tc>
          <w:tcPr>
            <w:tcW w:w="1647" w:type="dxa"/>
            <w:shd w:val="clear" w:color="auto" w:fill="auto"/>
            <w:vAlign w:val="center"/>
          </w:tcPr>
          <w:p w14:paraId="68054CC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sz w:val="21"/>
                <w:szCs w:val="21"/>
                <w:highlight w:val="none"/>
                <w:vertAlign w:val="baseline"/>
                <w:lang w:val="en-US" w:eastAsia="zh-CN"/>
              </w:rPr>
            </w:pPr>
            <w:r>
              <w:rPr>
                <w:rFonts w:hint="eastAsia" w:eastAsia="宋体"/>
                <w:sz w:val="21"/>
                <w:szCs w:val="21"/>
                <w:highlight w:val="none"/>
                <w:vertAlign w:val="baseline"/>
                <w:lang w:val="en-US" w:eastAsia="zh-CN"/>
              </w:rPr>
              <w:t>0.000013</w:t>
            </w:r>
          </w:p>
        </w:tc>
      </w:tr>
      <w:tr w14:paraId="67B4FCB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009" w:type="dxa"/>
            <w:vAlign w:val="center"/>
          </w:tcPr>
          <w:p w14:paraId="0398EC7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总铜</w:t>
            </w:r>
          </w:p>
        </w:tc>
        <w:tc>
          <w:tcPr>
            <w:tcW w:w="1644" w:type="dxa"/>
            <w:vAlign w:val="center"/>
          </w:tcPr>
          <w:p w14:paraId="47C69F7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0.11</w:t>
            </w:r>
          </w:p>
        </w:tc>
        <w:tc>
          <w:tcPr>
            <w:tcW w:w="1644" w:type="dxa"/>
            <w:vAlign w:val="center"/>
          </w:tcPr>
          <w:p w14:paraId="22BF51E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sz w:val="21"/>
                <w:szCs w:val="21"/>
                <w:highlight w:val="none"/>
                <w:vertAlign w:val="baseline"/>
                <w:lang w:val="en-US" w:eastAsia="zh-CN"/>
              </w:rPr>
            </w:pPr>
            <w:r>
              <w:rPr>
                <w:rFonts w:hint="eastAsia" w:eastAsia="宋体"/>
                <w:sz w:val="21"/>
                <w:szCs w:val="21"/>
                <w:highlight w:val="none"/>
                <w:vertAlign w:val="baseline"/>
                <w:lang w:val="en-US" w:eastAsia="zh-CN"/>
              </w:rPr>
              <w:t>0.00073</w:t>
            </w:r>
          </w:p>
        </w:tc>
        <w:tc>
          <w:tcPr>
            <w:tcW w:w="1644" w:type="dxa"/>
            <w:vAlign w:val="center"/>
          </w:tcPr>
          <w:p w14:paraId="2A4AA51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sz w:val="21"/>
                <w:szCs w:val="21"/>
                <w:highlight w:val="none"/>
                <w:vertAlign w:val="baseline"/>
                <w:lang w:val="en-US" w:eastAsia="zh-CN"/>
              </w:rPr>
            </w:pPr>
            <w:r>
              <w:rPr>
                <w:rFonts w:hint="eastAsia" w:eastAsia="宋体"/>
                <w:sz w:val="21"/>
                <w:szCs w:val="21"/>
                <w:highlight w:val="none"/>
                <w:vertAlign w:val="baseline"/>
                <w:lang w:val="en-US" w:eastAsia="zh-CN"/>
              </w:rPr>
              <w:t>90</w:t>
            </w:r>
          </w:p>
        </w:tc>
        <w:tc>
          <w:tcPr>
            <w:tcW w:w="1644" w:type="dxa"/>
            <w:vAlign w:val="center"/>
          </w:tcPr>
          <w:p w14:paraId="2197883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sz w:val="21"/>
                <w:szCs w:val="21"/>
                <w:highlight w:val="none"/>
                <w:vertAlign w:val="baseline"/>
                <w:lang w:val="en-US" w:eastAsia="zh-CN"/>
              </w:rPr>
            </w:pPr>
            <w:r>
              <w:rPr>
                <w:rFonts w:hint="eastAsia" w:eastAsia="宋体"/>
                <w:sz w:val="21"/>
                <w:szCs w:val="21"/>
                <w:highlight w:val="none"/>
                <w:vertAlign w:val="baseline"/>
                <w:lang w:val="en-US" w:eastAsia="zh-CN"/>
              </w:rPr>
              <w:t>0.011</w:t>
            </w:r>
          </w:p>
        </w:tc>
        <w:tc>
          <w:tcPr>
            <w:tcW w:w="1647" w:type="dxa"/>
            <w:shd w:val="clear" w:color="auto" w:fill="auto"/>
            <w:vAlign w:val="center"/>
          </w:tcPr>
          <w:p w14:paraId="1C3819B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sz w:val="21"/>
                <w:szCs w:val="21"/>
                <w:highlight w:val="none"/>
                <w:vertAlign w:val="baseline"/>
                <w:lang w:val="en-US" w:eastAsia="zh-CN"/>
              </w:rPr>
            </w:pPr>
            <w:r>
              <w:rPr>
                <w:rFonts w:hint="eastAsia" w:eastAsia="宋体"/>
                <w:sz w:val="21"/>
                <w:szCs w:val="21"/>
                <w:highlight w:val="none"/>
                <w:vertAlign w:val="baseline"/>
                <w:lang w:val="en-US" w:eastAsia="zh-CN"/>
              </w:rPr>
              <w:t>0.00007</w:t>
            </w:r>
          </w:p>
        </w:tc>
      </w:tr>
      <w:tr w14:paraId="2D0C4AB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009" w:type="dxa"/>
            <w:vAlign w:val="center"/>
          </w:tcPr>
          <w:p w14:paraId="72DA9B0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总锌</w:t>
            </w:r>
          </w:p>
        </w:tc>
        <w:tc>
          <w:tcPr>
            <w:tcW w:w="1644" w:type="dxa"/>
            <w:vAlign w:val="center"/>
          </w:tcPr>
          <w:p w14:paraId="768647A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0.27</w:t>
            </w:r>
          </w:p>
        </w:tc>
        <w:tc>
          <w:tcPr>
            <w:tcW w:w="1644" w:type="dxa"/>
            <w:vAlign w:val="center"/>
          </w:tcPr>
          <w:p w14:paraId="55DB5A8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sz w:val="21"/>
                <w:szCs w:val="21"/>
                <w:highlight w:val="none"/>
                <w:vertAlign w:val="baseline"/>
                <w:lang w:val="en-US" w:eastAsia="zh-CN"/>
              </w:rPr>
            </w:pPr>
            <w:r>
              <w:rPr>
                <w:rFonts w:hint="eastAsia" w:eastAsia="宋体"/>
                <w:sz w:val="21"/>
                <w:szCs w:val="21"/>
                <w:highlight w:val="none"/>
                <w:vertAlign w:val="baseline"/>
                <w:lang w:val="en-US" w:eastAsia="zh-CN"/>
              </w:rPr>
              <w:t>0.0018</w:t>
            </w:r>
          </w:p>
        </w:tc>
        <w:tc>
          <w:tcPr>
            <w:tcW w:w="1644" w:type="dxa"/>
            <w:vAlign w:val="center"/>
          </w:tcPr>
          <w:p w14:paraId="123F8FE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sz w:val="21"/>
                <w:szCs w:val="21"/>
                <w:highlight w:val="none"/>
                <w:vertAlign w:val="baseline"/>
                <w:lang w:val="en-US" w:eastAsia="zh-CN"/>
              </w:rPr>
            </w:pPr>
            <w:r>
              <w:rPr>
                <w:rFonts w:hint="eastAsia" w:eastAsia="宋体"/>
                <w:sz w:val="21"/>
                <w:szCs w:val="21"/>
                <w:highlight w:val="none"/>
                <w:vertAlign w:val="baseline"/>
                <w:lang w:val="en-US" w:eastAsia="zh-CN"/>
              </w:rPr>
              <w:t>90</w:t>
            </w:r>
          </w:p>
        </w:tc>
        <w:tc>
          <w:tcPr>
            <w:tcW w:w="1644" w:type="dxa"/>
            <w:vAlign w:val="center"/>
          </w:tcPr>
          <w:p w14:paraId="427862F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sz w:val="21"/>
                <w:szCs w:val="21"/>
                <w:highlight w:val="none"/>
                <w:vertAlign w:val="baseline"/>
                <w:lang w:val="en-US" w:eastAsia="zh-CN"/>
              </w:rPr>
            </w:pPr>
            <w:r>
              <w:rPr>
                <w:rFonts w:hint="eastAsia" w:eastAsia="宋体"/>
                <w:sz w:val="21"/>
                <w:szCs w:val="21"/>
                <w:highlight w:val="none"/>
                <w:vertAlign w:val="baseline"/>
                <w:lang w:val="en-US" w:eastAsia="zh-CN"/>
              </w:rPr>
              <w:t>0.027</w:t>
            </w:r>
          </w:p>
        </w:tc>
        <w:tc>
          <w:tcPr>
            <w:tcW w:w="1647" w:type="dxa"/>
            <w:shd w:val="clear" w:color="auto" w:fill="auto"/>
            <w:vAlign w:val="center"/>
          </w:tcPr>
          <w:p w14:paraId="1A3EC1F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sz w:val="21"/>
                <w:szCs w:val="21"/>
                <w:highlight w:val="none"/>
                <w:vertAlign w:val="baseline"/>
                <w:lang w:val="en-US" w:eastAsia="zh-CN"/>
              </w:rPr>
            </w:pPr>
            <w:r>
              <w:rPr>
                <w:rFonts w:hint="eastAsia" w:eastAsia="宋体"/>
                <w:sz w:val="21"/>
                <w:szCs w:val="21"/>
                <w:highlight w:val="none"/>
                <w:vertAlign w:val="baseline"/>
                <w:lang w:val="en-US" w:eastAsia="zh-CN"/>
              </w:rPr>
              <w:t>0.0002</w:t>
            </w:r>
          </w:p>
        </w:tc>
      </w:tr>
      <w:tr w14:paraId="59B1B56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009" w:type="dxa"/>
            <w:vAlign w:val="center"/>
          </w:tcPr>
          <w:p w14:paraId="0D77796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总砷</w:t>
            </w:r>
          </w:p>
        </w:tc>
        <w:tc>
          <w:tcPr>
            <w:tcW w:w="1644" w:type="dxa"/>
            <w:vAlign w:val="center"/>
          </w:tcPr>
          <w:p w14:paraId="6D0216F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2.48</w:t>
            </w:r>
          </w:p>
        </w:tc>
        <w:tc>
          <w:tcPr>
            <w:tcW w:w="1644" w:type="dxa"/>
            <w:vAlign w:val="center"/>
          </w:tcPr>
          <w:p w14:paraId="46A169E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sz w:val="21"/>
                <w:szCs w:val="21"/>
                <w:highlight w:val="none"/>
                <w:vertAlign w:val="baseline"/>
                <w:lang w:val="en-US" w:eastAsia="zh-CN"/>
              </w:rPr>
            </w:pPr>
            <w:r>
              <w:rPr>
                <w:rFonts w:hint="eastAsia" w:eastAsia="宋体"/>
                <w:sz w:val="21"/>
                <w:szCs w:val="21"/>
                <w:highlight w:val="none"/>
                <w:vertAlign w:val="baseline"/>
                <w:lang w:val="en-US" w:eastAsia="zh-CN"/>
              </w:rPr>
              <w:t>0.0164</w:t>
            </w:r>
          </w:p>
        </w:tc>
        <w:tc>
          <w:tcPr>
            <w:tcW w:w="1644" w:type="dxa"/>
            <w:vAlign w:val="center"/>
          </w:tcPr>
          <w:p w14:paraId="4D78527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sz w:val="21"/>
                <w:szCs w:val="21"/>
                <w:highlight w:val="none"/>
                <w:vertAlign w:val="baseline"/>
                <w:lang w:val="en-US" w:eastAsia="zh-CN"/>
              </w:rPr>
            </w:pPr>
            <w:r>
              <w:rPr>
                <w:rFonts w:hint="eastAsia" w:eastAsia="宋体"/>
                <w:sz w:val="21"/>
                <w:szCs w:val="21"/>
                <w:highlight w:val="none"/>
                <w:vertAlign w:val="baseline"/>
                <w:lang w:val="en-US" w:eastAsia="zh-CN"/>
              </w:rPr>
              <w:t>90</w:t>
            </w:r>
          </w:p>
        </w:tc>
        <w:tc>
          <w:tcPr>
            <w:tcW w:w="1644" w:type="dxa"/>
            <w:vAlign w:val="center"/>
          </w:tcPr>
          <w:p w14:paraId="71FDF95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sz w:val="21"/>
                <w:szCs w:val="21"/>
                <w:highlight w:val="none"/>
                <w:vertAlign w:val="baseline"/>
                <w:lang w:val="en-US" w:eastAsia="zh-CN"/>
              </w:rPr>
            </w:pPr>
            <w:r>
              <w:rPr>
                <w:rFonts w:hint="eastAsia" w:eastAsia="宋体"/>
                <w:sz w:val="21"/>
                <w:szCs w:val="21"/>
                <w:highlight w:val="none"/>
                <w:vertAlign w:val="baseline"/>
                <w:lang w:val="en-US" w:eastAsia="zh-CN"/>
              </w:rPr>
              <w:t>0.248</w:t>
            </w:r>
          </w:p>
        </w:tc>
        <w:tc>
          <w:tcPr>
            <w:tcW w:w="1647" w:type="dxa"/>
            <w:shd w:val="clear" w:color="auto" w:fill="auto"/>
            <w:vAlign w:val="center"/>
          </w:tcPr>
          <w:p w14:paraId="3F60802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sz w:val="21"/>
                <w:szCs w:val="21"/>
                <w:highlight w:val="none"/>
                <w:vertAlign w:val="baseline"/>
                <w:lang w:val="en-US" w:eastAsia="zh-CN"/>
              </w:rPr>
            </w:pPr>
            <w:r>
              <w:rPr>
                <w:rFonts w:hint="eastAsia" w:eastAsia="宋体"/>
                <w:sz w:val="21"/>
                <w:szCs w:val="21"/>
                <w:highlight w:val="none"/>
                <w:vertAlign w:val="baseline"/>
                <w:lang w:val="en-US" w:eastAsia="zh-CN"/>
              </w:rPr>
              <w:t>0.0016</w:t>
            </w:r>
          </w:p>
        </w:tc>
      </w:tr>
      <w:tr w14:paraId="1A61AE9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009" w:type="dxa"/>
            <w:vAlign w:val="center"/>
          </w:tcPr>
          <w:p w14:paraId="58AD3FC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总镉</w:t>
            </w:r>
          </w:p>
        </w:tc>
        <w:tc>
          <w:tcPr>
            <w:tcW w:w="1644" w:type="dxa"/>
            <w:vAlign w:val="center"/>
          </w:tcPr>
          <w:p w14:paraId="31F76B2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0.0012</w:t>
            </w:r>
          </w:p>
        </w:tc>
        <w:tc>
          <w:tcPr>
            <w:tcW w:w="1644" w:type="dxa"/>
            <w:vAlign w:val="center"/>
          </w:tcPr>
          <w:p w14:paraId="557C51C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sz w:val="21"/>
                <w:szCs w:val="21"/>
                <w:highlight w:val="none"/>
                <w:vertAlign w:val="baseline"/>
                <w:lang w:val="en-US" w:eastAsia="zh-CN"/>
              </w:rPr>
            </w:pPr>
            <w:r>
              <w:rPr>
                <w:rFonts w:hint="eastAsia" w:eastAsia="宋体"/>
                <w:sz w:val="21"/>
                <w:szCs w:val="21"/>
                <w:highlight w:val="none"/>
                <w:vertAlign w:val="baseline"/>
                <w:lang w:val="en-US" w:eastAsia="zh-CN"/>
              </w:rPr>
              <w:t>0.000008</w:t>
            </w:r>
          </w:p>
        </w:tc>
        <w:tc>
          <w:tcPr>
            <w:tcW w:w="1644" w:type="dxa"/>
            <w:vAlign w:val="center"/>
          </w:tcPr>
          <w:p w14:paraId="73A1B85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sz w:val="21"/>
                <w:szCs w:val="21"/>
                <w:highlight w:val="none"/>
                <w:vertAlign w:val="baseline"/>
                <w:lang w:val="en-US" w:eastAsia="zh-CN"/>
              </w:rPr>
            </w:pPr>
            <w:r>
              <w:rPr>
                <w:rFonts w:hint="eastAsia" w:eastAsia="宋体"/>
                <w:sz w:val="21"/>
                <w:szCs w:val="21"/>
                <w:highlight w:val="none"/>
                <w:vertAlign w:val="baseline"/>
                <w:lang w:val="en-US" w:eastAsia="zh-CN"/>
              </w:rPr>
              <w:t>90</w:t>
            </w:r>
          </w:p>
        </w:tc>
        <w:tc>
          <w:tcPr>
            <w:tcW w:w="1644" w:type="dxa"/>
            <w:vAlign w:val="center"/>
          </w:tcPr>
          <w:p w14:paraId="1A37E09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sz w:val="21"/>
                <w:szCs w:val="21"/>
                <w:highlight w:val="none"/>
                <w:vertAlign w:val="baseline"/>
                <w:lang w:val="en-US" w:eastAsia="zh-CN"/>
              </w:rPr>
            </w:pPr>
            <w:r>
              <w:rPr>
                <w:rFonts w:hint="eastAsia" w:eastAsia="宋体"/>
                <w:sz w:val="21"/>
                <w:szCs w:val="21"/>
                <w:highlight w:val="none"/>
                <w:vertAlign w:val="baseline"/>
                <w:lang w:val="en-US" w:eastAsia="zh-CN"/>
              </w:rPr>
              <w:t>0.00012</w:t>
            </w:r>
          </w:p>
        </w:tc>
        <w:tc>
          <w:tcPr>
            <w:tcW w:w="1647" w:type="dxa"/>
            <w:shd w:val="clear" w:color="auto" w:fill="auto"/>
            <w:vAlign w:val="center"/>
          </w:tcPr>
          <w:p w14:paraId="1B21317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sz w:val="21"/>
                <w:szCs w:val="21"/>
                <w:highlight w:val="none"/>
                <w:vertAlign w:val="baseline"/>
                <w:lang w:val="en-US" w:eastAsia="zh-CN"/>
              </w:rPr>
            </w:pPr>
            <w:r>
              <w:rPr>
                <w:rFonts w:hint="eastAsia" w:eastAsia="宋体"/>
                <w:sz w:val="21"/>
                <w:szCs w:val="21"/>
                <w:highlight w:val="none"/>
                <w:vertAlign w:val="baseline"/>
                <w:lang w:val="en-US" w:eastAsia="zh-CN"/>
              </w:rPr>
              <w:t>0.0000008</w:t>
            </w:r>
          </w:p>
        </w:tc>
      </w:tr>
      <w:tr w14:paraId="3C0089E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009" w:type="dxa"/>
            <w:vAlign w:val="center"/>
          </w:tcPr>
          <w:p w14:paraId="0B74771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总铅</w:t>
            </w:r>
          </w:p>
        </w:tc>
        <w:tc>
          <w:tcPr>
            <w:tcW w:w="1644" w:type="dxa"/>
            <w:vAlign w:val="center"/>
          </w:tcPr>
          <w:p w14:paraId="1DC1B31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0.0396</w:t>
            </w:r>
          </w:p>
        </w:tc>
        <w:tc>
          <w:tcPr>
            <w:tcW w:w="1644" w:type="dxa"/>
            <w:vAlign w:val="center"/>
          </w:tcPr>
          <w:p w14:paraId="71E0E52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sz w:val="21"/>
                <w:szCs w:val="21"/>
                <w:highlight w:val="none"/>
                <w:vertAlign w:val="baseline"/>
                <w:lang w:val="en-US" w:eastAsia="zh-CN"/>
              </w:rPr>
            </w:pPr>
            <w:r>
              <w:rPr>
                <w:rFonts w:hint="eastAsia" w:eastAsia="宋体"/>
                <w:sz w:val="21"/>
                <w:szCs w:val="21"/>
                <w:highlight w:val="none"/>
                <w:vertAlign w:val="baseline"/>
                <w:lang w:val="en-US" w:eastAsia="zh-CN"/>
              </w:rPr>
              <w:t>0.00026</w:t>
            </w:r>
          </w:p>
        </w:tc>
        <w:tc>
          <w:tcPr>
            <w:tcW w:w="1644" w:type="dxa"/>
            <w:vAlign w:val="center"/>
          </w:tcPr>
          <w:p w14:paraId="726B2C3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sz w:val="21"/>
                <w:szCs w:val="21"/>
                <w:highlight w:val="none"/>
                <w:vertAlign w:val="baseline"/>
                <w:lang w:val="en-US" w:eastAsia="zh-CN"/>
              </w:rPr>
            </w:pPr>
            <w:r>
              <w:rPr>
                <w:rFonts w:hint="eastAsia" w:eastAsia="宋体"/>
                <w:sz w:val="21"/>
                <w:szCs w:val="21"/>
                <w:highlight w:val="none"/>
                <w:vertAlign w:val="baseline"/>
                <w:lang w:val="en-US" w:eastAsia="zh-CN"/>
              </w:rPr>
              <w:t>90</w:t>
            </w:r>
          </w:p>
        </w:tc>
        <w:tc>
          <w:tcPr>
            <w:tcW w:w="1644" w:type="dxa"/>
            <w:vAlign w:val="center"/>
          </w:tcPr>
          <w:p w14:paraId="7F9C288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sz w:val="21"/>
                <w:szCs w:val="21"/>
                <w:highlight w:val="none"/>
                <w:vertAlign w:val="baseline"/>
                <w:lang w:val="en-US" w:eastAsia="zh-CN"/>
              </w:rPr>
            </w:pPr>
            <w:r>
              <w:rPr>
                <w:rFonts w:hint="eastAsia" w:eastAsia="宋体"/>
                <w:sz w:val="21"/>
                <w:szCs w:val="21"/>
                <w:highlight w:val="none"/>
                <w:vertAlign w:val="baseline"/>
                <w:lang w:val="en-US" w:eastAsia="zh-CN"/>
              </w:rPr>
              <w:t>0.00396</w:t>
            </w:r>
          </w:p>
        </w:tc>
        <w:tc>
          <w:tcPr>
            <w:tcW w:w="1647" w:type="dxa"/>
            <w:shd w:val="clear" w:color="auto" w:fill="auto"/>
            <w:vAlign w:val="center"/>
          </w:tcPr>
          <w:p w14:paraId="7472F9B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sz w:val="21"/>
                <w:szCs w:val="21"/>
                <w:highlight w:val="none"/>
                <w:vertAlign w:val="baseline"/>
                <w:lang w:val="en-US" w:eastAsia="zh-CN"/>
              </w:rPr>
            </w:pPr>
            <w:r>
              <w:rPr>
                <w:rFonts w:hint="eastAsia" w:eastAsia="宋体"/>
                <w:sz w:val="21"/>
                <w:szCs w:val="21"/>
                <w:highlight w:val="none"/>
                <w:vertAlign w:val="baseline"/>
                <w:lang w:val="en-US" w:eastAsia="zh-CN"/>
              </w:rPr>
              <w:t>0.000026</w:t>
            </w:r>
          </w:p>
        </w:tc>
      </w:tr>
      <w:tr w14:paraId="5FDCF82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009" w:type="dxa"/>
            <w:vAlign w:val="center"/>
          </w:tcPr>
          <w:p w14:paraId="66F7B98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总汞</w:t>
            </w:r>
          </w:p>
        </w:tc>
        <w:tc>
          <w:tcPr>
            <w:tcW w:w="1644" w:type="dxa"/>
            <w:vAlign w:val="center"/>
          </w:tcPr>
          <w:p w14:paraId="5BB1740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0.00002</w:t>
            </w:r>
          </w:p>
        </w:tc>
        <w:tc>
          <w:tcPr>
            <w:tcW w:w="1644" w:type="dxa"/>
            <w:vAlign w:val="center"/>
          </w:tcPr>
          <w:p w14:paraId="63A1B43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sz w:val="21"/>
                <w:szCs w:val="21"/>
                <w:highlight w:val="none"/>
                <w:vertAlign w:val="baseline"/>
                <w:lang w:val="en-US" w:eastAsia="zh-CN"/>
              </w:rPr>
            </w:pPr>
            <w:r>
              <w:rPr>
                <w:rFonts w:hint="eastAsia" w:eastAsia="宋体"/>
                <w:sz w:val="21"/>
                <w:szCs w:val="21"/>
                <w:highlight w:val="none"/>
                <w:vertAlign w:val="baseline"/>
                <w:lang w:val="en-US" w:eastAsia="zh-CN"/>
              </w:rPr>
              <w:t>0.00000013</w:t>
            </w:r>
          </w:p>
        </w:tc>
        <w:tc>
          <w:tcPr>
            <w:tcW w:w="1644" w:type="dxa"/>
            <w:vAlign w:val="center"/>
          </w:tcPr>
          <w:p w14:paraId="560F42F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sz w:val="21"/>
                <w:szCs w:val="21"/>
                <w:highlight w:val="none"/>
                <w:vertAlign w:val="baseline"/>
                <w:lang w:val="en-US" w:eastAsia="zh-CN"/>
              </w:rPr>
            </w:pPr>
            <w:r>
              <w:rPr>
                <w:rFonts w:hint="eastAsia" w:eastAsia="宋体"/>
                <w:sz w:val="21"/>
                <w:szCs w:val="21"/>
                <w:highlight w:val="none"/>
                <w:vertAlign w:val="baseline"/>
                <w:lang w:val="en-US" w:eastAsia="zh-CN"/>
              </w:rPr>
              <w:t>90</w:t>
            </w:r>
          </w:p>
        </w:tc>
        <w:tc>
          <w:tcPr>
            <w:tcW w:w="1644" w:type="dxa"/>
            <w:vAlign w:val="center"/>
          </w:tcPr>
          <w:p w14:paraId="65E4061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sz w:val="21"/>
                <w:szCs w:val="21"/>
                <w:highlight w:val="none"/>
                <w:vertAlign w:val="baseline"/>
                <w:lang w:val="en-US" w:eastAsia="zh-CN"/>
              </w:rPr>
            </w:pPr>
            <w:r>
              <w:rPr>
                <w:rFonts w:hint="eastAsia" w:eastAsia="宋体"/>
                <w:sz w:val="21"/>
                <w:szCs w:val="21"/>
                <w:highlight w:val="none"/>
                <w:vertAlign w:val="baseline"/>
                <w:lang w:val="en-US" w:eastAsia="zh-CN"/>
              </w:rPr>
              <w:t>0.000002</w:t>
            </w:r>
          </w:p>
        </w:tc>
        <w:tc>
          <w:tcPr>
            <w:tcW w:w="1647" w:type="dxa"/>
            <w:shd w:val="clear" w:color="auto" w:fill="auto"/>
            <w:vAlign w:val="center"/>
          </w:tcPr>
          <w:p w14:paraId="54FFFCB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sz w:val="21"/>
                <w:szCs w:val="21"/>
                <w:highlight w:val="none"/>
                <w:vertAlign w:val="baseline"/>
                <w:lang w:val="en-US" w:eastAsia="zh-CN"/>
              </w:rPr>
            </w:pPr>
            <w:r>
              <w:rPr>
                <w:rFonts w:hint="eastAsia" w:eastAsia="宋体"/>
                <w:sz w:val="21"/>
                <w:szCs w:val="21"/>
                <w:highlight w:val="none"/>
                <w:vertAlign w:val="baseline"/>
                <w:lang w:val="en-US" w:eastAsia="zh-CN"/>
              </w:rPr>
              <w:t>0.00000001</w:t>
            </w:r>
          </w:p>
        </w:tc>
      </w:tr>
      <w:tr w14:paraId="56D75A7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009" w:type="dxa"/>
            <w:vAlign w:val="center"/>
          </w:tcPr>
          <w:p w14:paraId="2251661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六价铬</w:t>
            </w:r>
          </w:p>
        </w:tc>
        <w:tc>
          <w:tcPr>
            <w:tcW w:w="1644" w:type="dxa"/>
            <w:vAlign w:val="center"/>
          </w:tcPr>
          <w:p w14:paraId="711978F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0.004</w:t>
            </w:r>
          </w:p>
        </w:tc>
        <w:tc>
          <w:tcPr>
            <w:tcW w:w="1644" w:type="dxa"/>
            <w:vAlign w:val="center"/>
          </w:tcPr>
          <w:p w14:paraId="39C32E0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sz w:val="21"/>
                <w:szCs w:val="21"/>
                <w:highlight w:val="none"/>
                <w:vertAlign w:val="baseline"/>
                <w:lang w:val="en-US" w:eastAsia="zh-CN"/>
              </w:rPr>
            </w:pPr>
            <w:r>
              <w:rPr>
                <w:rFonts w:hint="eastAsia" w:eastAsia="宋体"/>
                <w:sz w:val="21"/>
                <w:szCs w:val="21"/>
                <w:highlight w:val="none"/>
                <w:vertAlign w:val="baseline"/>
                <w:lang w:val="en-US" w:eastAsia="zh-CN"/>
              </w:rPr>
              <w:t>0.000027</w:t>
            </w:r>
          </w:p>
        </w:tc>
        <w:tc>
          <w:tcPr>
            <w:tcW w:w="1644" w:type="dxa"/>
            <w:vAlign w:val="center"/>
          </w:tcPr>
          <w:p w14:paraId="2BE60B2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sz w:val="21"/>
                <w:szCs w:val="21"/>
                <w:highlight w:val="none"/>
                <w:vertAlign w:val="baseline"/>
                <w:lang w:val="en-US" w:eastAsia="zh-CN"/>
              </w:rPr>
            </w:pPr>
            <w:r>
              <w:rPr>
                <w:rFonts w:hint="eastAsia" w:eastAsia="宋体"/>
                <w:sz w:val="21"/>
                <w:szCs w:val="21"/>
                <w:highlight w:val="none"/>
                <w:vertAlign w:val="baseline"/>
                <w:lang w:val="en-US" w:eastAsia="zh-CN"/>
              </w:rPr>
              <w:t>90</w:t>
            </w:r>
          </w:p>
        </w:tc>
        <w:tc>
          <w:tcPr>
            <w:tcW w:w="1644" w:type="dxa"/>
            <w:vAlign w:val="center"/>
          </w:tcPr>
          <w:p w14:paraId="2F7A462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sz w:val="21"/>
                <w:szCs w:val="21"/>
                <w:highlight w:val="none"/>
                <w:vertAlign w:val="baseline"/>
                <w:lang w:val="en-US" w:eastAsia="zh-CN"/>
              </w:rPr>
            </w:pPr>
            <w:r>
              <w:rPr>
                <w:rFonts w:hint="eastAsia" w:eastAsia="宋体"/>
                <w:sz w:val="21"/>
                <w:szCs w:val="21"/>
                <w:highlight w:val="none"/>
                <w:vertAlign w:val="baseline"/>
                <w:lang w:val="en-US" w:eastAsia="zh-CN"/>
              </w:rPr>
              <w:t>0.0004</w:t>
            </w:r>
          </w:p>
        </w:tc>
        <w:tc>
          <w:tcPr>
            <w:tcW w:w="1647" w:type="dxa"/>
            <w:shd w:val="clear" w:color="auto" w:fill="auto"/>
            <w:vAlign w:val="center"/>
          </w:tcPr>
          <w:p w14:paraId="47420E8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sz w:val="21"/>
                <w:szCs w:val="21"/>
                <w:highlight w:val="none"/>
                <w:vertAlign w:val="baseline"/>
                <w:lang w:val="en-US" w:eastAsia="zh-CN"/>
              </w:rPr>
            </w:pPr>
            <w:r>
              <w:rPr>
                <w:rFonts w:hint="eastAsia" w:eastAsia="宋体"/>
                <w:sz w:val="21"/>
                <w:szCs w:val="21"/>
                <w:highlight w:val="none"/>
                <w:vertAlign w:val="baseline"/>
                <w:lang w:val="en-US" w:eastAsia="zh-CN"/>
              </w:rPr>
              <w:t>0.0000027</w:t>
            </w:r>
          </w:p>
        </w:tc>
      </w:tr>
      <w:tr w14:paraId="3D08543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009" w:type="dxa"/>
            <w:vAlign w:val="center"/>
          </w:tcPr>
          <w:p w14:paraId="4D18510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氰化物</w:t>
            </w:r>
          </w:p>
        </w:tc>
        <w:tc>
          <w:tcPr>
            <w:tcW w:w="1644" w:type="dxa"/>
            <w:vAlign w:val="center"/>
          </w:tcPr>
          <w:p w14:paraId="4437FB7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0.004</w:t>
            </w:r>
          </w:p>
        </w:tc>
        <w:tc>
          <w:tcPr>
            <w:tcW w:w="1644" w:type="dxa"/>
            <w:vAlign w:val="center"/>
          </w:tcPr>
          <w:p w14:paraId="3CEDC88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sz w:val="21"/>
                <w:szCs w:val="21"/>
                <w:highlight w:val="none"/>
                <w:vertAlign w:val="baseline"/>
                <w:lang w:val="en-US" w:eastAsia="zh-CN"/>
              </w:rPr>
            </w:pPr>
            <w:r>
              <w:rPr>
                <w:rFonts w:hint="eastAsia" w:eastAsia="宋体"/>
                <w:sz w:val="21"/>
                <w:szCs w:val="21"/>
                <w:highlight w:val="none"/>
                <w:vertAlign w:val="baseline"/>
                <w:lang w:val="en-US" w:eastAsia="zh-CN"/>
              </w:rPr>
              <w:t>0.000027</w:t>
            </w:r>
          </w:p>
        </w:tc>
        <w:tc>
          <w:tcPr>
            <w:tcW w:w="1644" w:type="dxa"/>
            <w:vAlign w:val="center"/>
          </w:tcPr>
          <w:p w14:paraId="3FB9A6E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sz w:val="21"/>
                <w:szCs w:val="21"/>
                <w:highlight w:val="none"/>
                <w:vertAlign w:val="baseline"/>
                <w:lang w:val="en-US" w:eastAsia="zh-CN"/>
              </w:rPr>
            </w:pPr>
            <w:r>
              <w:rPr>
                <w:rFonts w:hint="eastAsia" w:eastAsia="宋体"/>
                <w:sz w:val="21"/>
                <w:szCs w:val="21"/>
                <w:highlight w:val="none"/>
                <w:vertAlign w:val="baseline"/>
                <w:lang w:val="en-US" w:eastAsia="zh-CN"/>
              </w:rPr>
              <w:t>90</w:t>
            </w:r>
          </w:p>
        </w:tc>
        <w:tc>
          <w:tcPr>
            <w:tcW w:w="1644" w:type="dxa"/>
            <w:vAlign w:val="center"/>
          </w:tcPr>
          <w:p w14:paraId="0991407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sz w:val="21"/>
                <w:szCs w:val="21"/>
                <w:highlight w:val="none"/>
                <w:vertAlign w:val="baseline"/>
                <w:lang w:val="en-US" w:eastAsia="zh-CN"/>
              </w:rPr>
            </w:pPr>
            <w:r>
              <w:rPr>
                <w:rFonts w:hint="eastAsia" w:eastAsia="宋体"/>
                <w:sz w:val="21"/>
                <w:szCs w:val="21"/>
                <w:highlight w:val="none"/>
                <w:vertAlign w:val="baseline"/>
                <w:lang w:val="en-US" w:eastAsia="zh-CN"/>
              </w:rPr>
              <w:t>0.0004</w:t>
            </w:r>
          </w:p>
        </w:tc>
        <w:tc>
          <w:tcPr>
            <w:tcW w:w="1647" w:type="dxa"/>
            <w:shd w:val="clear" w:color="auto" w:fill="auto"/>
            <w:vAlign w:val="center"/>
          </w:tcPr>
          <w:p w14:paraId="6AB79E1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sz w:val="21"/>
                <w:szCs w:val="21"/>
                <w:highlight w:val="none"/>
                <w:vertAlign w:val="baseline"/>
                <w:lang w:val="en-US" w:eastAsia="zh-CN"/>
              </w:rPr>
            </w:pPr>
            <w:r>
              <w:rPr>
                <w:rFonts w:hint="eastAsia" w:eastAsia="宋体"/>
                <w:sz w:val="21"/>
                <w:szCs w:val="21"/>
                <w:highlight w:val="none"/>
                <w:vertAlign w:val="baseline"/>
                <w:lang w:val="en-US" w:eastAsia="zh-CN"/>
              </w:rPr>
              <w:t>0.0000027</w:t>
            </w:r>
          </w:p>
        </w:tc>
      </w:tr>
    </w:tbl>
    <w:p w14:paraId="468FCE19">
      <w:pPr>
        <w:pStyle w:val="10"/>
        <w:numPr>
          <w:ilvl w:val="3"/>
          <w:numId w:val="1"/>
        </w:numPr>
        <w:bidi w:val="0"/>
        <w:ind w:left="850" w:leftChars="0" w:hanging="850" w:firstLineChars="0"/>
        <w:rPr>
          <w:rFonts w:hint="default"/>
          <w:lang w:val="en-US" w:eastAsia="zh-CN"/>
        </w:rPr>
      </w:pPr>
      <w:r>
        <w:rPr>
          <w:rFonts w:hint="eastAsia"/>
          <w:lang w:val="en-US" w:eastAsia="zh-CN"/>
        </w:rPr>
        <w:t>噪声</w:t>
      </w:r>
    </w:p>
    <w:p w14:paraId="477C46B8">
      <w:pPr>
        <w:rPr>
          <w:rFonts w:hint="eastAsia"/>
          <w:highlight w:val="none"/>
          <w:u w:val="none" w:color="auto"/>
          <w:lang w:val="en-US" w:eastAsia="zh-CN"/>
        </w:rPr>
      </w:pPr>
      <w:r>
        <w:rPr>
          <w:rFonts w:hint="eastAsia"/>
          <w:highlight w:val="none"/>
          <w:u w:val="none" w:color="auto"/>
          <w:lang w:val="en-US" w:eastAsia="zh-CN"/>
        </w:rPr>
        <w:t>本项目治理完成后不再有填埋作业，不会有噪声产生。</w:t>
      </w:r>
    </w:p>
    <w:p w14:paraId="2D46F567">
      <w:pPr>
        <w:pStyle w:val="10"/>
        <w:numPr>
          <w:ilvl w:val="3"/>
          <w:numId w:val="1"/>
        </w:numPr>
        <w:bidi w:val="0"/>
        <w:ind w:left="850" w:leftChars="0" w:hanging="850" w:firstLineChars="0"/>
        <w:rPr>
          <w:rFonts w:hint="default"/>
          <w:lang w:val="en-US" w:eastAsia="zh-CN"/>
        </w:rPr>
      </w:pPr>
      <w:r>
        <w:rPr>
          <w:rFonts w:hint="eastAsia"/>
          <w:lang w:val="en-US" w:eastAsia="zh-CN"/>
        </w:rPr>
        <w:t>固废</w:t>
      </w:r>
    </w:p>
    <w:p w14:paraId="10AFD3FA">
      <w:pPr>
        <w:bidi w:val="0"/>
        <w:rPr>
          <w:rFonts w:hint="default"/>
          <w:highlight w:val="none"/>
          <w:lang w:val="en-US" w:eastAsia="zh-CN"/>
        </w:rPr>
      </w:pPr>
      <w:r>
        <w:rPr>
          <w:rFonts w:hint="default"/>
          <w:highlight w:val="none"/>
          <w:lang w:val="en-US" w:eastAsia="zh-CN"/>
        </w:rPr>
        <w:t>本项目废渣填埋场渗滤液采用一体化废水处理设备处理，治理过程中会产生少量污泥，预计污泥量约2.0t/a，污泥属于一般固废</w:t>
      </w:r>
      <w:r>
        <w:rPr>
          <w:rFonts w:hint="eastAsia"/>
          <w:highlight w:val="none"/>
          <w:lang w:val="en-US" w:eastAsia="zh-CN"/>
        </w:rPr>
        <w:t>，</w:t>
      </w:r>
      <w:r>
        <w:rPr>
          <w:rFonts w:hint="default"/>
          <w:highlight w:val="none"/>
          <w:lang w:val="en-US" w:eastAsia="zh-CN"/>
        </w:rPr>
        <w:t>运往就近砖厂进行资源化利用。渗滤液的产生主要集中在废渣填埋前期（一般为废渣填埋后6个月内），后续在表面阻隔层无破损的情况下，废渣填埋场的渗滤液产生量不大，且呈逐步减少趋势，一定时间后，渗滤液的产生量会几乎为零，治理完成后不会产生固废。</w:t>
      </w:r>
    </w:p>
    <w:p w14:paraId="633A6ACE">
      <w:pPr>
        <w:pStyle w:val="10"/>
        <w:numPr>
          <w:ilvl w:val="3"/>
          <w:numId w:val="1"/>
        </w:numPr>
        <w:bidi w:val="0"/>
        <w:ind w:left="850" w:leftChars="0" w:hanging="850" w:firstLineChars="0"/>
        <w:rPr>
          <w:rFonts w:hint="default"/>
          <w:lang w:val="en-US" w:eastAsia="zh-CN"/>
        </w:rPr>
      </w:pPr>
      <w:r>
        <w:rPr>
          <w:rFonts w:hint="eastAsia"/>
          <w:lang w:val="en-US" w:eastAsia="zh-CN"/>
        </w:rPr>
        <w:t>生态及景观</w:t>
      </w:r>
    </w:p>
    <w:p w14:paraId="0AD6DF28">
      <w:pPr>
        <w:bidi w:val="0"/>
        <w:rPr>
          <w:rFonts w:hint="default"/>
          <w:lang w:val="en-US" w:eastAsia="zh-CN"/>
        </w:rPr>
      </w:pPr>
      <w:r>
        <w:rPr>
          <w:rFonts w:hint="default"/>
          <w:lang w:val="en-US" w:eastAsia="zh-CN"/>
        </w:rPr>
        <w:t>封场后填埋区、废渣</w:t>
      </w:r>
      <w:r>
        <w:rPr>
          <w:rFonts w:hint="eastAsia"/>
          <w:lang w:val="en-US" w:eastAsia="zh-CN"/>
        </w:rPr>
        <w:t>堆</w:t>
      </w:r>
      <w:r>
        <w:rPr>
          <w:rFonts w:hint="default"/>
          <w:lang w:val="en-US" w:eastAsia="zh-CN"/>
        </w:rPr>
        <w:t>（治理区）、取土场全部覆土恢复植被，植被选用当地本土物种，植被恢复为乔草相结合的方式实施，林草成活率高，成林快，最终植被达到该区域植被较好地段的生物量和覆盖度。植被恢复后区域绿化率比工程实施之前将有所提高，对于治理区域、填埋区水土流失的治理将会起到积极的作用；但是植被恢复时需先覆土，覆土时如遇大风、多雨天气会发生水土流失，所以覆土要尽量避开大风、多雨季节，覆土后应及时恢复植被，避免土壤长期裸露带来的水土流失发生。评价区域没有濒危和珍稀保护物种，不会引起物种灭绝。本工程实施后现有的裸露土地将会由花、草、树等植物所取代，而使得物种更为丰富，异质化得到加强，提高了当地物种多样性从而改善生态环境。</w:t>
      </w:r>
    </w:p>
    <w:p w14:paraId="05F747D3">
      <w:pPr>
        <w:pStyle w:val="8"/>
        <w:numPr>
          <w:ilvl w:val="1"/>
          <w:numId w:val="1"/>
        </w:numPr>
        <w:tabs>
          <w:tab w:val="clear" w:pos="420"/>
        </w:tabs>
        <w:bidi w:val="0"/>
        <w:ind w:left="567" w:leftChars="0" w:hanging="567" w:firstLineChars="0"/>
        <w:rPr>
          <w:rFonts w:hint="eastAsia"/>
          <w:highlight w:val="none"/>
          <w:lang w:val="en-US" w:eastAsia="zh-CN"/>
        </w:rPr>
      </w:pPr>
      <w:bookmarkStart w:id="37" w:name="_Toc7931"/>
      <w:bookmarkStart w:id="38" w:name="_Toc16895"/>
      <w:r>
        <w:rPr>
          <w:rFonts w:hint="eastAsia"/>
          <w:highlight w:val="none"/>
          <w:lang w:val="en-US" w:eastAsia="zh-CN"/>
        </w:rPr>
        <w:t>污染源汇总</w:t>
      </w:r>
      <w:bookmarkEnd w:id="37"/>
      <w:bookmarkEnd w:id="38"/>
    </w:p>
    <w:p w14:paraId="23F5BAC7">
      <w:pPr>
        <w:bidi w:val="0"/>
        <w:rPr>
          <w:rFonts w:hint="eastAsia"/>
          <w:highlight w:val="none"/>
          <w:u w:val="none" w:color="auto"/>
          <w:lang w:val="en-US" w:eastAsia="zh-CN"/>
        </w:rPr>
      </w:pPr>
      <w:r>
        <w:rPr>
          <w:rFonts w:hint="eastAsia"/>
          <w:highlight w:val="none"/>
          <w:u w:val="none" w:color="auto"/>
          <w:lang w:val="en-US" w:eastAsia="zh-CN"/>
        </w:rPr>
        <w:t>根据上述分析可知，本项目污染物产排情况见表3.3-1。</w:t>
      </w:r>
    </w:p>
    <w:p w14:paraId="50240AA8">
      <w:pPr>
        <w:bidi w:val="0"/>
        <w:ind w:left="0" w:leftChars="0" w:firstLine="0" w:firstLineChars="0"/>
        <w:jc w:val="center"/>
        <w:rPr>
          <w:rFonts w:hint="default"/>
          <w:b/>
          <w:bCs/>
          <w:sz w:val="21"/>
          <w:szCs w:val="21"/>
          <w:highlight w:val="none"/>
          <w:u w:val="none" w:color="auto"/>
          <w:lang w:val="en-US" w:eastAsia="zh-CN"/>
        </w:rPr>
      </w:pPr>
      <w:r>
        <w:rPr>
          <w:rFonts w:hint="eastAsia"/>
          <w:b/>
          <w:bCs/>
          <w:sz w:val="21"/>
          <w:szCs w:val="21"/>
          <w:highlight w:val="none"/>
          <w:u w:val="none" w:color="auto"/>
          <w:lang w:val="en-US" w:eastAsia="zh-CN"/>
        </w:rPr>
        <w:t>表3.3-1  项目污染物产排情况一览表</w:t>
      </w:r>
    </w:p>
    <w:tbl>
      <w:tblPr>
        <w:tblStyle w:val="36"/>
        <w:tblW w:w="4996"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34"/>
        <w:gridCol w:w="1512"/>
        <w:gridCol w:w="1288"/>
        <w:gridCol w:w="1700"/>
        <w:gridCol w:w="1800"/>
        <w:gridCol w:w="2047"/>
      </w:tblGrid>
      <w:tr w14:paraId="21C7847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blHeader/>
        </w:trPr>
        <w:tc>
          <w:tcPr>
            <w:tcW w:w="1317" w:type="pct"/>
            <w:gridSpan w:val="2"/>
            <w:noWrap w:val="0"/>
            <w:vAlign w:val="center"/>
          </w:tcPr>
          <w:p w14:paraId="3D57A84B">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b/>
                <w:bCs/>
                <w:sz w:val="21"/>
                <w:szCs w:val="21"/>
                <w:highlight w:val="none"/>
                <w:u w:val="none" w:color="auto"/>
                <w:lang w:val="en-US" w:eastAsia="zh-CN"/>
              </w:rPr>
            </w:pPr>
            <w:r>
              <w:rPr>
                <w:rFonts w:hint="eastAsia"/>
                <w:b/>
                <w:bCs/>
                <w:sz w:val="21"/>
                <w:szCs w:val="21"/>
                <w:highlight w:val="none"/>
                <w:u w:val="none" w:color="auto"/>
                <w:lang w:val="en-US" w:eastAsia="zh-CN"/>
              </w:rPr>
              <w:t>类别</w:t>
            </w:r>
          </w:p>
        </w:tc>
        <w:tc>
          <w:tcPr>
            <w:tcW w:w="693" w:type="pct"/>
            <w:noWrap w:val="0"/>
            <w:vAlign w:val="center"/>
          </w:tcPr>
          <w:p w14:paraId="6234FE19">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b/>
                <w:bCs/>
                <w:sz w:val="21"/>
                <w:szCs w:val="21"/>
                <w:highlight w:val="none"/>
                <w:u w:val="none" w:color="auto"/>
                <w:lang w:val="en-US" w:eastAsia="zh-CN"/>
              </w:rPr>
            </w:pPr>
            <w:r>
              <w:rPr>
                <w:rFonts w:hint="eastAsia"/>
                <w:b/>
                <w:bCs/>
                <w:sz w:val="21"/>
                <w:szCs w:val="21"/>
                <w:highlight w:val="none"/>
                <w:u w:val="none" w:color="auto"/>
                <w:lang w:val="en-US" w:eastAsia="zh-CN"/>
              </w:rPr>
              <w:t>污染物名称</w:t>
            </w:r>
          </w:p>
        </w:tc>
        <w:tc>
          <w:tcPr>
            <w:tcW w:w="915" w:type="pct"/>
            <w:noWrap w:val="0"/>
            <w:vAlign w:val="center"/>
          </w:tcPr>
          <w:p w14:paraId="37CA21F4">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b/>
                <w:bCs/>
                <w:sz w:val="21"/>
                <w:szCs w:val="21"/>
                <w:highlight w:val="none"/>
                <w:u w:val="none" w:color="auto"/>
                <w:lang w:val="en-US" w:eastAsia="zh-CN"/>
              </w:rPr>
            </w:pPr>
            <w:r>
              <w:rPr>
                <w:rFonts w:hint="eastAsia"/>
                <w:b/>
                <w:bCs/>
                <w:sz w:val="21"/>
                <w:szCs w:val="21"/>
                <w:highlight w:val="none"/>
                <w:u w:val="none" w:color="auto"/>
                <w:lang w:val="en-US" w:eastAsia="zh-CN"/>
              </w:rPr>
              <w:t>产生量</w:t>
            </w:r>
          </w:p>
        </w:tc>
        <w:tc>
          <w:tcPr>
            <w:tcW w:w="969" w:type="pct"/>
            <w:noWrap w:val="0"/>
            <w:vAlign w:val="center"/>
          </w:tcPr>
          <w:p w14:paraId="23052E9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bCs/>
                <w:sz w:val="21"/>
                <w:szCs w:val="21"/>
                <w:highlight w:val="none"/>
                <w:u w:val="none" w:color="auto"/>
                <w:lang w:val="en-US" w:eastAsia="zh-CN"/>
              </w:rPr>
            </w:pPr>
            <w:r>
              <w:rPr>
                <w:rFonts w:hint="eastAsia"/>
                <w:b/>
                <w:bCs/>
                <w:sz w:val="21"/>
                <w:szCs w:val="21"/>
                <w:highlight w:val="none"/>
                <w:u w:val="none" w:color="auto"/>
                <w:lang w:val="en-US" w:eastAsia="zh-CN"/>
              </w:rPr>
              <w:t>排放量/处置量</w:t>
            </w:r>
          </w:p>
        </w:tc>
        <w:tc>
          <w:tcPr>
            <w:tcW w:w="1102" w:type="pct"/>
            <w:noWrap w:val="0"/>
            <w:vAlign w:val="center"/>
          </w:tcPr>
          <w:p w14:paraId="24CA38D0">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b/>
                <w:bCs/>
                <w:sz w:val="21"/>
                <w:szCs w:val="21"/>
                <w:highlight w:val="none"/>
                <w:u w:val="none" w:color="auto"/>
                <w:lang w:val="en-US" w:eastAsia="zh-CN"/>
              </w:rPr>
            </w:pPr>
            <w:r>
              <w:rPr>
                <w:rFonts w:hint="eastAsia"/>
                <w:b/>
                <w:bCs/>
                <w:sz w:val="21"/>
                <w:szCs w:val="21"/>
                <w:highlight w:val="none"/>
                <w:u w:val="none" w:color="auto"/>
                <w:lang w:val="en-US" w:eastAsia="zh-CN"/>
              </w:rPr>
              <w:t>防治措施</w:t>
            </w:r>
          </w:p>
        </w:tc>
      </w:tr>
      <w:tr w14:paraId="706B989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03" w:type="pct"/>
            <w:vMerge w:val="restart"/>
            <w:noWrap w:val="0"/>
            <w:vAlign w:val="center"/>
          </w:tcPr>
          <w:p w14:paraId="263837E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u w:val="none" w:color="auto"/>
                <w:lang w:val="en-US" w:eastAsia="zh-CN"/>
              </w:rPr>
            </w:pPr>
            <w:r>
              <w:rPr>
                <w:rFonts w:hint="eastAsia"/>
                <w:sz w:val="21"/>
                <w:szCs w:val="21"/>
                <w:highlight w:val="none"/>
                <w:u w:val="none" w:color="auto"/>
                <w:lang w:val="en-US" w:eastAsia="zh-CN"/>
              </w:rPr>
              <w:t>施工期废气</w:t>
            </w:r>
          </w:p>
        </w:tc>
        <w:tc>
          <w:tcPr>
            <w:tcW w:w="814" w:type="pct"/>
            <w:shd w:val="clear" w:color="auto" w:fill="auto"/>
            <w:noWrap w:val="0"/>
            <w:vAlign w:val="center"/>
          </w:tcPr>
          <w:p w14:paraId="4626E33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u w:val="none" w:color="auto"/>
                <w:lang w:val="en-US" w:eastAsia="zh-CN" w:bidi="ar-SA"/>
              </w:rPr>
            </w:pPr>
            <w:r>
              <w:rPr>
                <w:rFonts w:hint="default"/>
                <w:sz w:val="21"/>
                <w:szCs w:val="21"/>
                <w:highlight w:val="none"/>
                <w:u w:val="none" w:color="auto"/>
                <w:lang w:val="en-US" w:eastAsia="zh-CN"/>
              </w:rPr>
              <w:t>装卸料扬尘</w:t>
            </w:r>
          </w:p>
        </w:tc>
        <w:tc>
          <w:tcPr>
            <w:tcW w:w="693" w:type="pct"/>
            <w:noWrap w:val="0"/>
            <w:vAlign w:val="center"/>
          </w:tcPr>
          <w:p w14:paraId="66EC8E9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u w:val="none" w:color="auto"/>
                <w:lang w:val="en-US" w:eastAsia="zh-CN"/>
              </w:rPr>
            </w:pPr>
            <w:r>
              <w:rPr>
                <w:rFonts w:hint="eastAsia"/>
                <w:sz w:val="21"/>
                <w:szCs w:val="21"/>
                <w:highlight w:val="none"/>
                <w:u w:val="none" w:color="auto"/>
                <w:lang w:val="en-US" w:eastAsia="zh-CN"/>
              </w:rPr>
              <w:t>颗粒物</w:t>
            </w:r>
          </w:p>
        </w:tc>
        <w:tc>
          <w:tcPr>
            <w:tcW w:w="915" w:type="pct"/>
            <w:noWrap w:val="0"/>
            <w:vAlign w:val="center"/>
          </w:tcPr>
          <w:p w14:paraId="15AA049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u w:val="none" w:color="auto"/>
                <w:lang w:val="en-US" w:eastAsia="zh-CN"/>
              </w:rPr>
            </w:pPr>
            <w:r>
              <w:rPr>
                <w:rFonts w:hint="eastAsia"/>
                <w:sz w:val="21"/>
                <w:szCs w:val="21"/>
                <w:highlight w:val="none"/>
                <w:u w:val="none" w:color="auto"/>
                <w:lang w:val="en-US" w:eastAsia="zh-CN"/>
              </w:rPr>
              <w:t>22.5kg</w:t>
            </w:r>
          </w:p>
        </w:tc>
        <w:tc>
          <w:tcPr>
            <w:tcW w:w="969" w:type="pct"/>
            <w:noWrap w:val="0"/>
            <w:vAlign w:val="center"/>
          </w:tcPr>
          <w:p w14:paraId="69EEA07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u w:val="none" w:color="auto"/>
                <w:lang w:val="en-US" w:eastAsia="zh-CN"/>
              </w:rPr>
            </w:pPr>
            <w:r>
              <w:rPr>
                <w:rFonts w:hint="eastAsia"/>
                <w:sz w:val="21"/>
                <w:szCs w:val="21"/>
                <w:highlight w:val="none"/>
                <w:u w:val="none" w:color="auto"/>
                <w:lang w:val="en-US" w:eastAsia="zh-CN"/>
              </w:rPr>
              <w:t>5.85kg</w:t>
            </w:r>
          </w:p>
        </w:tc>
        <w:tc>
          <w:tcPr>
            <w:tcW w:w="1102" w:type="pct"/>
            <w:noWrap w:val="0"/>
            <w:vAlign w:val="center"/>
          </w:tcPr>
          <w:p w14:paraId="041E694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u w:val="none" w:color="auto"/>
                <w:lang w:val="en-US" w:eastAsia="zh-CN"/>
              </w:rPr>
            </w:pPr>
            <w:r>
              <w:rPr>
                <w:rFonts w:hint="eastAsia"/>
                <w:sz w:val="21"/>
                <w:szCs w:val="21"/>
                <w:highlight w:val="none"/>
                <w:u w:val="none" w:color="auto"/>
                <w:lang w:val="en-US" w:eastAsia="zh-CN"/>
              </w:rPr>
              <w:t>洒水抑尘</w:t>
            </w:r>
          </w:p>
        </w:tc>
      </w:tr>
      <w:tr w14:paraId="7493BC7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03" w:type="pct"/>
            <w:vMerge w:val="continue"/>
            <w:noWrap w:val="0"/>
            <w:vAlign w:val="center"/>
          </w:tcPr>
          <w:p w14:paraId="0AD3FDB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u w:val="none" w:color="auto"/>
                <w:lang w:val="en-US" w:eastAsia="zh-CN"/>
              </w:rPr>
            </w:pPr>
          </w:p>
        </w:tc>
        <w:tc>
          <w:tcPr>
            <w:tcW w:w="814" w:type="pct"/>
            <w:shd w:val="clear" w:color="auto" w:fill="auto"/>
            <w:noWrap w:val="0"/>
            <w:vAlign w:val="center"/>
          </w:tcPr>
          <w:p w14:paraId="6714325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kern w:val="2"/>
                <w:sz w:val="21"/>
                <w:szCs w:val="21"/>
                <w:highlight w:val="none"/>
                <w:u w:val="none" w:color="auto"/>
                <w:lang w:val="en-US" w:eastAsia="zh-CN" w:bidi="ar-SA"/>
              </w:rPr>
            </w:pPr>
            <w:r>
              <w:rPr>
                <w:rFonts w:hint="default"/>
                <w:sz w:val="21"/>
                <w:szCs w:val="21"/>
                <w:highlight w:val="none"/>
                <w:u w:val="none" w:color="auto"/>
                <w:lang w:val="en-US" w:eastAsia="zh-CN"/>
              </w:rPr>
              <w:t>废渣开挖及填埋摊铺等作业扬尘</w:t>
            </w:r>
          </w:p>
        </w:tc>
        <w:tc>
          <w:tcPr>
            <w:tcW w:w="693" w:type="pct"/>
            <w:noWrap w:val="0"/>
            <w:vAlign w:val="center"/>
          </w:tcPr>
          <w:p w14:paraId="7710B03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u w:val="none" w:color="auto"/>
                <w:lang w:val="en-US" w:eastAsia="zh-CN"/>
              </w:rPr>
            </w:pPr>
            <w:r>
              <w:rPr>
                <w:rFonts w:hint="eastAsia"/>
                <w:sz w:val="21"/>
                <w:szCs w:val="21"/>
                <w:highlight w:val="none"/>
                <w:u w:val="none" w:color="auto"/>
                <w:lang w:val="en-US" w:eastAsia="zh-CN"/>
              </w:rPr>
              <w:t>颗粒物</w:t>
            </w:r>
          </w:p>
        </w:tc>
        <w:tc>
          <w:tcPr>
            <w:tcW w:w="915" w:type="pct"/>
            <w:noWrap w:val="0"/>
            <w:vAlign w:val="center"/>
          </w:tcPr>
          <w:p w14:paraId="6481F63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u w:val="none" w:color="auto"/>
                <w:lang w:val="en-US" w:eastAsia="zh-CN"/>
              </w:rPr>
            </w:pPr>
            <w:r>
              <w:rPr>
                <w:rFonts w:hint="eastAsia"/>
                <w:sz w:val="21"/>
                <w:szCs w:val="21"/>
                <w:highlight w:val="none"/>
                <w:u w:val="none" w:color="auto"/>
                <w:lang w:val="en-US" w:eastAsia="zh-CN"/>
              </w:rPr>
              <w:t>3.42kg</w:t>
            </w:r>
          </w:p>
        </w:tc>
        <w:tc>
          <w:tcPr>
            <w:tcW w:w="969" w:type="pct"/>
            <w:noWrap w:val="0"/>
            <w:vAlign w:val="center"/>
          </w:tcPr>
          <w:p w14:paraId="789D0EE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u w:val="none" w:color="auto"/>
                <w:lang w:val="en-US" w:eastAsia="zh-CN"/>
              </w:rPr>
            </w:pPr>
            <w:r>
              <w:rPr>
                <w:rFonts w:hint="eastAsia"/>
                <w:sz w:val="21"/>
                <w:szCs w:val="21"/>
                <w:highlight w:val="none"/>
                <w:u w:val="none" w:color="auto"/>
                <w:lang w:val="en-US" w:eastAsia="zh-CN"/>
              </w:rPr>
              <w:t>0.89kg</w:t>
            </w:r>
          </w:p>
        </w:tc>
        <w:tc>
          <w:tcPr>
            <w:tcW w:w="1102" w:type="pct"/>
            <w:noWrap w:val="0"/>
            <w:vAlign w:val="center"/>
          </w:tcPr>
          <w:p w14:paraId="42EE80F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u w:val="none" w:color="auto"/>
                <w:lang w:val="en-US" w:eastAsia="zh-CN"/>
              </w:rPr>
            </w:pPr>
            <w:r>
              <w:rPr>
                <w:rFonts w:hint="eastAsia"/>
                <w:sz w:val="21"/>
                <w:szCs w:val="21"/>
                <w:highlight w:val="none"/>
                <w:u w:val="none" w:color="auto"/>
                <w:lang w:val="en-US" w:eastAsia="zh-CN"/>
              </w:rPr>
              <w:t>洒水抑尘</w:t>
            </w:r>
          </w:p>
        </w:tc>
      </w:tr>
      <w:tr w14:paraId="56BFF60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03" w:type="pct"/>
            <w:vMerge w:val="continue"/>
            <w:noWrap w:val="0"/>
            <w:vAlign w:val="center"/>
          </w:tcPr>
          <w:p w14:paraId="7238EFD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u w:val="none" w:color="auto"/>
                <w:lang w:val="en-US" w:eastAsia="zh-CN"/>
              </w:rPr>
            </w:pPr>
          </w:p>
        </w:tc>
        <w:tc>
          <w:tcPr>
            <w:tcW w:w="814" w:type="pct"/>
            <w:shd w:val="clear" w:color="auto" w:fill="auto"/>
            <w:noWrap w:val="0"/>
            <w:vAlign w:val="center"/>
          </w:tcPr>
          <w:p w14:paraId="717E90A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kern w:val="2"/>
                <w:sz w:val="21"/>
                <w:szCs w:val="21"/>
                <w:highlight w:val="none"/>
                <w:u w:val="none" w:color="auto"/>
                <w:lang w:val="en-US" w:eastAsia="zh-CN" w:bidi="ar-SA"/>
              </w:rPr>
            </w:pPr>
            <w:r>
              <w:rPr>
                <w:rFonts w:hint="default"/>
                <w:sz w:val="21"/>
                <w:szCs w:val="21"/>
                <w:highlight w:val="none"/>
                <w:u w:val="none" w:color="auto"/>
                <w:lang w:val="en-US" w:eastAsia="zh-CN"/>
              </w:rPr>
              <w:t>车辆运输扬尘</w:t>
            </w:r>
          </w:p>
        </w:tc>
        <w:tc>
          <w:tcPr>
            <w:tcW w:w="693" w:type="pct"/>
            <w:noWrap w:val="0"/>
            <w:vAlign w:val="center"/>
          </w:tcPr>
          <w:p w14:paraId="0AAD87F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u w:val="none" w:color="auto"/>
                <w:lang w:val="en-US" w:eastAsia="zh-CN"/>
              </w:rPr>
            </w:pPr>
            <w:r>
              <w:rPr>
                <w:rFonts w:hint="eastAsia"/>
                <w:sz w:val="21"/>
                <w:szCs w:val="21"/>
                <w:highlight w:val="none"/>
                <w:u w:val="none" w:color="auto"/>
                <w:lang w:val="en-US" w:eastAsia="zh-CN"/>
              </w:rPr>
              <w:t>颗粒物</w:t>
            </w:r>
          </w:p>
        </w:tc>
        <w:tc>
          <w:tcPr>
            <w:tcW w:w="915" w:type="pct"/>
            <w:noWrap w:val="0"/>
            <w:vAlign w:val="center"/>
          </w:tcPr>
          <w:p w14:paraId="4894E77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u w:val="none" w:color="auto"/>
                <w:lang w:val="en-US" w:eastAsia="zh-CN"/>
              </w:rPr>
            </w:pPr>
            <w:r>
              <w:rPr>
                <w:rFonts w:hint="eastAsia"/>
                <w:sz w:val="21"/>
                <w:szCs w:val="21"/>
                <w:highlight w:val="none"/>
                <w:u w:val="none" w:color="auto"/>
                <w:lang w:val="en-US" w:eastAsia="zh-CN"/>
              </w:rPr>
              <w:t>465.48kg</w:t>
            </w:r>
          </w:p>
        </w:tc>
        <w:tc>
          <w:tcPr>
            <w:tcW w:w="969" w:type="pct"/>
            <w:noWrap w:val="0"/>
            <w:vAlign w:val="center"/>
          </w:tcPr>
          <w:p w14:paraId="005D376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u w:val="none" w:color="auto"/>
                <w:lang w:val="en-US" w:eastAsia="zh-CN"/>
              </w:rPr>
            </w:pPr>
            <w:r>
              <w:rPr>
                <w:rFonts w:hint="eastAsia"/>
                <w:sz w:val="21"/>
                <w:szCs w:val="21"/>
                <w:highlight w:val="none"/>
                <w:u w:val="none" w:color="auto"/>
                <w:lang w:val="en-US" w:eastAsia="zh-CN"/>
              </w:rPr>
              <w:t>121.02kg</w:t>
            </w:r>
          </w:p>
        </w:tc>
        <w:tc>
          <w:tcPr>
            <w:tcW w:w="1102" w:type="pct"/>
            <w:noWrap w:val="0"/>
            <w:vAlign w:val="center"/>
          </w:tcPr>
          <w:p w14:paraId="2792CCC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u w:val="none" w:color="auto"/>
                <w:lang w:val="en-US" w:eastAsia="zh-CN"/>
              </w:rPr>
            </w:pPr>
            <w:r>
              <w:rPr>
                <w:rFonts w:hint="eastAsia"/>
                <w:sz w:val="21"/>
                <w:szCs w:val="21"/>
                <w:highlight w:val="none"/>
                <w:u w:val="none" w:color="auto"/>
                <w:lang w:val="en-US" w:eastAsia="zh-CN"/>
              </w:rPr>
              <w:t>洒水抑尘</w:t>
            </w:r>
          </w:p>
        </w:tc>
      </w:tr>
      <w:tr w14:paraId="0B418C7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03" w:type="pct"/>
            <w:vMerge w:val="continue"/>
            <w:noWrap w:val="0"/>
            <w:vAlign w:val="center"/>
          </w:tcPr>
          <w:p w14:paraId="2D74437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u w:val="none" w:color="auto"/>
                <w:lang w:val="en-US" w:eastAsia="zh-CN"/>
              </w:rPr>
            </w:pPr>
          </w:p>
        </w:tc>
        <w:tc>
          <w:tcPr>
            <w:tcW w:w="814" w:type="pct"/>
            <w:shd w:val="clear" w:color="auto" w:fill="auto"/>
            <w:noWrap w:val="0"/>
            <w:vAlign w:val="center"/>
          </w:tcPr>
          <w:p w14:paraId="0F2CBE7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kern w:val="2"/>
                <w:sz w:val="21"/>
                <w:szCs w:val="21"/>
                <w:highlight w:val="none"/>
                <w:u w:val="none" w:color="auto"/>
                <w:lang w:val="en-US" w:eastAsia="zh-CN" w:bidi="ar-SA"/>
              </w:rPr>
            </w:pPr>
            <w:r>
              <w:rPr>
                <w:rFonts w:hint="default"/>
                <w:sz w:val="21"/>
                <w:szCs w:val="21"/>
                <w:highlight w:val="none"/>
                <w:u w:val="none" w:color="auto"/>
                <w:lang w:val="en-US" w:eastAsia="zh-CN"/>
              </w:rPr>
              <w:t>车辆、机械燃油尾气</w:t>
            </w:r>
          </w:p>
        </w:tc>
        <w:tc>
          <w:tcPr>
            <w:tcW w:w="693" w:type="pct"/>
            <w:noWrap w:val="0"/>
            <w:vAlign w:val="center"/>
          </w:tcPr>
          <w:p w14:paraId="0A66900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u w:val="none" w:color="auto"/>
                <w:lang w:val="en-US" w:eastAsia="zh-CN"/>
              </w:rPr>
            </w:pPr>
            <w:r>
              <w:rPr>
                <w:rFonts w:hint="default"/>
                <w:sz w:val="21"/>
                <w:szCs w:val="21"/>
                <w:highlight w:val="none"/>
                <w:u w:val="none" w:color="auto"/>
                <w:lang w:val="en-US" w:eastAsia="zh-CN"/>
              </w:rPr>
              <w:t>CO、NO</w:t>
            </w:r>
            <w:r>
              <w:rPr>
                <w:rFonts w:hint="default"/>
                <w:sz w:val="21"/>
                <w:szCs w:val="21"/>
                <w:highlight w:val="none"/>
                <w:u w:val="none" w:color="auto"/>
                <w:vertAlign w:val="subscript"/>
                <w:lang w:val="en-US" w:eastAsia="zh-CN"/>
              </w:rPr>
              <w:t>2</w:t>
            </w:r>
            <w:r>
              <w:rPr>
                <w:rFonts w:hint="default"/>
                <w:sz w:val="21"/>
                <w:szCs w:val="21"/>
                <w:highlight w:val="none"/>
                <w:u w:val="none" w:color="auto"/>
                <w:lang w:val="en-US" w:eastAsia="zh-CN"/>
              </w:rPr>
              <w:t>、THC</w:t>
            </w:r>
          </w:p>
        </w:tc>
        <w:tc>
          <w:tcPr>
            <w:tcW w:w="915" w:type="pct"/>
            <w:noWrap w:val="0"/>
            <w:vAlign w:val="center"/>
          </w:tcPr>
          <w:p w14:paraId="2FCC82F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u w:val="none" w:color="auto"/>
                <w:lang w:val="en-US" w:eastAsia="zh-CN"/>
              </w:rPr>
            </w:pPr>
            <w:r>
              <w:rPr>
                <w:rFonts w:hint="eastAsia"/>
                <w:sz w:val="21"/>
                <w:szCs w:val="21"/>
                <w:highlight w:val="none"/>
                <w:u w:val="none" w:color="auto"/>
                <w:lang w:val="en-US" w:eastAsia="zh-CN"/>
              </w:rPr>
              <w:t>少量</w:t>
            </w:r>
          </w:p>
        </w:tc>
        <w:tc>
          <w:tcPr>
            <w:tcW w:w="969" w:type="pct"/>
            <w:noWrap w:val="0"/>
            <w:vAlign w:val="center"/>
          </w:tcPr>
          <w:p w14:paraId="6CEC0E6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u w:val="none" w:color="auto"/>
                <w:lang w:val="en-US" w:eastAsia="zh-CN"/>
              </w:rPr>
            </w:pPr>
            <w:r>
              <w:rPr>
                <w:rFonts w:hint="eastAsia"/>
                <w:sz w:val="21"/>
                <w:szCs w:val="21"/>
                <w:highlight w:val="none"/>
                <w:u w:val="none" w:color="auto"/>
                <w:lang w:val="en-US" w:eastAsia="zh-CN"/>
              </w:rPr>
              <w:t>少量</w:t>
            </w:r>
          </w:p>
        </w:tc>
        <w:tc>
          <w:tcPr>
            <w:tcW w:w="1102" w:type="pct"/>
            <w:noWrap w:val="0"/>
            <w:vAlign w:val="center"/>
          </w:tcPr>
          <w:p w14:paraId="5333FEB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u w:val="none" w:color="auto"/>
                <w:lang w:val="en-US" w:eastAsia="zh-CN"/>
              </w:rPr>
            </w:pPr>
            <w:r>
              <w:rPr>
                <w:rFonts w:hint="eastAsia"/>
                <w:sz w:val="21"/>
                <w:szCs w:val="21"/>
                <w:highlight w:val="none"/>
                <w:u w:val="none" w:color="auto"/>
                <w:lang w:val="en-US" w:eastAsia="zh-CN"/>
              </w:rPr>
              <w:t>控制车速、优质燃油</w:t>
            </w:r>
          </w:p>
        </w:tc>
      </w:tr>
      <w:tr w14:paraId="59D8EDB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03" w:type="pct"/>
            <w:vMerge w:val="restart"/>
            <w:noWrap w:val="0"/>
            <w:vAlign w:val="center"/>
          </w:tcPr>
          <w:p w14:paraId="3DF067F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u w:val="none" w:color="auto"/>
                <w:lang w:val="en-US" w:eastAsia="zh-CN"/>
              </w:rPr>
            </w:pPr>
            <w:r>
              <w:rPr>
                <w:rFonts w:hint="eastAsia"/>
                <w:sz w:val="21"/>
                <w:szCs w:val="21"/>
                <w:highlight w:val="none"/>
                <w:u w:val="none" w:color="auto"/>
                <w:lang w:val="en-US" w:eastAsia="zh-CN"/>
              </w:rPr>
              <w:t>施工期废水</w:t>
            </w:r>
          </w:p>
        </w:tc>
        <w:tc>
          <w:tcPr>
            <w:tcW w:w="814" w:type="pct"/>
            <w:vMerge w:val="restart"/>
            <w:noWrap w:val="0"/>
            <w:vAlign w:val="center"/>
          </w:tcPr>
          <w:p w14:paraId="342BB14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u w:val="none" w:color="auto"/>
                <w:lang w:val="en-US" w:eastAsia="zh-CN"/>
              </w:rPr>
            </w:pPr>
            <w:r>
              <w:rPr>
                <w:rFonts w:hint="default"/>
                <w:sz w:val="21"/>
                <w:szCs w:val="21"/>
                <w:highlight w:val="none"/>
                <w:u w:val="none" w:color="auto"/>
                <w:lang w:val="en-US" w:eastAsia="zh-CN"/>
              </w:rPr>
              <w:t>淋溶水</w:t>
            </w:r>
          </w:p>
          <w:p w14:paraId="6309273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u w:val="none" w:color="auto"/>
                <w:lang w:val="en-US" w:eastAsia="zh-CN"/>
              </w:rPr>
            </w:pPr>
            <w:r>
              <w:rPr>
                <w:rFonts w:hint="eastAsia"/>
                <w:sz w:val="21"/>
                <w:szCs w:val="21"/>
                <w:highlight w:val="none"/>
                <w:u w:val="none" w:color="auto"/>
                <w:lang w:val="en-US" w:eastAsia="zh-CN"/>
              </w:rPr>
              <w:t>（4m</w:t>
            </w:r>
            <w:r>
              <w:rPr>
                <w:rFonts w:hint="eastAsia"/>
                <w:sz w:val="21"/>
                <w:szCs w:val="21"/>
                <w:highlight w:val="none"/>
                <w:u w:val="none" w:color="auto"/>
                <w:vertAlign w:val="superscript"/>
                <w:lang w:val="en-US" w:eastAsia="zh-CN"/>
              </w:rPr>
              <w:t>3</w:t>
            </w:r>
            <w:r>
              <w:rPr>
                <w:rFonts w:hint="eastAsia"/>
                <w:sz w:val="21"/>
                <w:szCs w:val="21"/>
                <w:highlight w:val="none"/>
                <w:u w:val="none" w:color="auto"/>
                <w:vertAlign w:val="baseline"/>
                <w:lang w:val="en-US" w:eastAsia="zh-CN"/>
              </w:rPr>
              <w:t>/d</w:t>
            </w:r>
            <w:r>
              <w:rPr>
                <w:rFonts w:hint="eastAsia"/>
                <w:sz w:val="21"/>
                <w:szCs w:val="21"/>
                <w:highlight w:val="none"/>
                <w:u w:val="none" w:color="auto"/>
                <w:lang w:val="en-US" w:eastAsia="zh-CN"/>
              </w:rPr>
              <w:t>）</w:t>
            </w:r>
          </w:p>
        </w:tc>
        <w:tc>
          <w:tcPr>
            <w:tcW w:w="693" w:type="pct"/>
            <w:shd w:val="clear" w:color="auto" w:fill="auto"/>
            <w:noWrap w:val="0"/>
            <w:vAlign w:val="center"/>
          </w:tcPr>
          <w:p w14:paraId="60EBF9D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eastAsia"/>
                <w:sz w:val="21"/>
                <w:szCs w:val="21"/>
                <w:highlight w:val="none"/>
                <w:vertAlign w:val="baseline"/>
                <w:lang w:val="en-US" w:eastAsia="zh-CN"/>
              </w:rPr>
              <w:t>总铬</w:t>
            </w:r>
          </w:p>
        </w:tc>
        <w:tc>
          <w:tcPr>
            <w:tcW w:w="915" w:type="pct"/>
            <w:shd w:val="clear" w:color="auto" w:fill="auto"/>
            <w:noWrap w:val="0"/>
            <w:vAlign w:val="center"/>
          </w:tcPr>
          <w:p w14:paraId="6A6AA62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eastAsia" w:ascii="Times New Roman" w:hAnsi="Times New Roman" w:eastAsia="宋体" w:cs="Times New Roman"/>
                <w:sz w:val="21"/>
                <w:szCs w:val="21"/>
                <w:highlight w:val="none"/>
                <w:vertAlign w:val="baseline"/>
                <w:lang w:val="en-US" w:eastAsia="zh-CN"/>
              </w:rPr>
              <w:t>0.00008</w:t>
            </w:r>
            <w:r>
              <w:rPr>
                <w:rFonts w:hint="eastAsia" w:cs="Times New Roman"/>
                <w:sz w:val="21"/>
                <w:szCs w:val="21"/>
                <w:highlight w:val="none"/>
                <w:vertAlign w:val="baseline"/>
                <w:lang w:val="en-US" w:eastAsia="zh-CN"/>
              </w:rPr>
              <w:t>kg/d</w:t>
            </w:r>
          </w:p>
        </w:tc>
        <w:tc>
          <w:tcPr>
            <w:tcW w:w="969" w:type="pct"/>
            <w:shd w:val="clear" w:color="auto" w:fill="auto"/>
            <w:noWrap w:val="0"/>
            <w:vAlign w:val="center"/>
          </w:tcPr>
          <w:p w14:paraId="45D86FA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eastAsia" w:ascii="Times New Roman" w:hAnsi="Times New Roman" w:eastAsia="宋体" w:cs="Times New Roman"/>
                <w:sz w:val="21"/>
                <w:szCs w:val="21"/>
                <w:highlight w:val="none"/>
                <w:vertAlign w:val="baseline"/>
                <w:lang w:val="en-US" w:eastAsia="zh-CN"/>
              </w:rPr>
              <w:t>0.000008</w:t>
            </w:r>
            <w:r>
              <w:rPr>
                <w:rFonts w:hint="eastAsia" w:cs="Times New Roman"/>
                <w:sz w:val="21"/>
                <w:szCs w:val="21"/>
                <w:highlight w:val="none"/>
                <w:vertAlign w:val="baseline"/>
                <w:lang w:val="en-US" w:eastAsia="zh-CN"/>
              </w:rPr>
              <w:t>kg/d</w:t>
            </w:r>
          </w:p>
        </w:tc>
        <w:tc>
          <w:tcPr>
            <w:tcW w:w="1102" w:type="pct"/>
            <w:vMerge w:val="restart"/>
            <w:noWrap w:val="0"/>
            <w:vAlign w:val="center"/>
          </w:tcPr>
          <w:p w14:paraId="2986B91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u w:val="none" w:color="auto"/>
                <w:lang w:val="en-US" w:eastAsia="zh-CN"/>
              </w:rPr>
            </w:pPr>
            <w:r>
              <w:rPr>
                <w:rFonts w:hint="default"/>
                <w:sz w:val="21"/>
                <w:szCs w:val="21"/>
                <w:highlight w:val="none"/>
                <w:u w:val="none" w:color="auto"/>
                <w:lang w:val="en-US" w:eastAsia="zh-CN"/>
              </w:rPr>
              <w:t>经一体化污水处理装置处理后</w:t>
            </w:r>
            <w:r>
              <w:rPr>
                <w:rFonts w:hint="eastAsia"/>
                <w:sz w:val="21"/>
                <w:szCs w:val="21"/>
                <w:highlight w:val="none"/>
                <w:u w:val="none" w:color="auto"/>
                <w:lang w:val="en-US" w:eastAsia="zh-CN"/>
              </w:rPr>
              <w:t>回用</w:t>
            </w:r>
          </w:p>
        </w:tc>
      </w:tr>
      <w:tr w14:paraId="179CB0C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03" w:type="pct"/>
            <w:vMerge w:val="continue"/>
            <w:noWrap w:val="0"/>
            <w:vAlign w:val="center"/>
          </w:tcPr>
          <w:p w14:paraId="3F30A29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yellow"/>
                <w:u w:val="none" w:color="auto"/>
                <w:lang w:val="en-US" w:eastAsia="zh-CN"/>
              </w:rPr>
            </w:pPr>
          </w:p>
        </w:tc>
        <w:tc>
          <w:tcPr>
            <w:tcW w:w="814" w:type="pct"/>
            <w:vMerge w:val="continue"/>
            <w:noWrap w:val="0"/>
            <w:vAlign w:val="center"/>
          </w:tcPr>
          <w:p w14:paraId="3F5B439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yellow"/>
                <w:u w:val="none" w:color="auto"/>
                <w:lang w:val="en-US" w:eastAsia="zh-CN"/>
              </w:rPr>
            </w:pPr>
          </w:p>
        </w:tc>
        <w:tc>
          <w:tcPr>
            <w:tcW w:w="693" w:type="pct"/>
            <w:shd w:val="clear" w:color="auto" w:fill="auto"/>
            <w:noWrap w:val="0"/>
            <w:vAlign w:val="center"/>
          </w:tcPr>
          <w:p w14:paraId="6D3907F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kern w:val="2"/>
                <w:sz w:val="21"/>
                <w:szCs w:val="21"/>
                <w:highlight w:val="none"/>
                <w:vertAlign w:val="baseline"/>
                <w:lang w:val="en-US" w:eastAsia="zh-CN" w:bidi="ar-SA"/>
              </w:rPr>
            </w:pPr>
            <w:r>
              <w:rPr>
                <w:rFonts w:hint="eastAsia"/>
                <w:sz w:val="21"/>
                <w:szCs w:val="21"/>
                <w:highlight w:val="none"/>
                <w:vertAlign w:val="baseline"/>
                <w:lang w:val="en-US" w:eastAsia="zh-CN"/>
              </w:rPr>
              <w:t>总镍</w:t>
            </w:r>
          </w:p>
        </w:tc>
        <w:tc>
          <w:tcPr>
            <w:tcW w:w="915" w:type="pct"/>
            <w:shd w:val="clear" w:color="auto" w:fill="auto"/>
            <w:noWrap w:val="0"/>
            <w:vAlign w:val="center"/>
          </w:tcPr>
          <w:p w14:paraId="281AF25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eastAsia" w:ascii="Times New Roman" w:hAnsi="Times New Roman" w:eastAsia="宋体" w:cs="Times New Roman"/>
                <w:sz w:val="21"/>
                <w:szCs w:val="21"/>
                <w:highlight w:val="none"/>
                <w:vertAlign w:val="baseline"/>
                <w:lang w:val="en-US" w:eastAsia="zh-CN"/>
              </w:rPr>
              <w:t>0.00008</w:t>
            </w:r>
            <w:r>
              <w:rPr>
                <w:rFonts w:hint="eastAsia" w:cs="Times New Roman"/>
                <w:sz w:val="21"/>
                <w:szCs w:val="21"/>
                <w:highlight w:val="none"/>
                <w:vertAlign w:val="baseline"/>
                <w:lang w:val="en-US" w:eastAsia="zh-CN"/>
              </w:rPr>
              <w:t>kg/d</w:t>
            </w:r>
          </w:p>
        </w:tc>
        <w:tc>
          <w:tcPr>
            <w:tcW w:w="969" w:type="pct"/>
            <w:shd w:val="clear" w:color="auto" w:fill="auto"/>
            <w:noWrap w:val="0"/>
            <w:vAlign w:val="center"/>
          </w:tcPr>
          <w:p w14:paraId="13AD57E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eastAsia" w:ascii="Times New Roman" w:hAnsi="Times New Roman" w:eastAsia="宋体" w:cs="Times New Roman"/>
                <w:sz w:val="21"/>
                <w:szCs w:val="21"/>
                <w:highlight w:val="none"/>
                <w:vertAlign w:val="baseline"/>
                <w:lang w:val="en-US" w:eastAsia="zh-CN"/>
              </w:rPr>
              <w:t>0.000008</w:t>
            </w:r>
            <w:r>
              <w:rPr>
                <w:rFonts w:hint="eastAsia" w:cs="Times New Roman"/>
                <w:sz w:val="21"/>
                <w:szCs w:val="21"/>
                <w:highlight w:val="none"/>
                <w:vertAlign w:val="baseline"/>
                <w:lang w:val="en-US" w:eastAsia="zh-CN"/>
              </w:rPr>
              <w:t>kg/d</w:t>
            </w:r>
          </w:p>
        </w:tc>
        <w:tc>
          <w:tcPr>
            <w:tcW w:w="1102" w:type="pct"/>
            <w:vMerge w:val="continue"/>
            <w:noWrap w:val="0"/>
            <w:vAlign w:val="center"/>
          </w:tcPr>
          <w:p w14:paraId="16BAFBD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yellow"/>
                <w:u w:val="none" w:color="auto"/>
                <w:lang w:val="en-US" w:eastAsia="zh-CN"/>
              </w:rPr>
            </w:pPr>
          </w:p>
        </w:tc>
      </w:tr>
      <w:tr w14:paraId="62E38E2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03" w:type="pct"/>
            <w:vMerge w:val="continue"/>
            <w:noWrap w:val="0"/>
            <w:vAlign w:val="center"/>
          </w:tcPr>
          <w:p w14:paraId="18C3206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yellow"/>
                <w:u w:val="none" w:color="auto"/>
                <w:lang w:val="en-US" w:eastAsia="zh-CN"/>
              </w:rPr>
            </w:pPr>
          </w:p>
        </w:tc>
        <w:tc>
          <w:tcPr>
            <w:tcW w:w="814" w:type="pct"/>
            <w:vMerge w:val="continue"/>
            <w:noWrap w:val="0"/>
            <w:vAlign w:val="center"/>
          </w:tcPr>
          <w:p w14:paraId="3A99AE0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yellow"/>
                <w:u w:val="none" w:color="auto"/>
                <w:lang w:val="en-US" w:eastAsia="zh-CN"/>
              </w:rPr>
            </w:pPr>
          </w:p>
        </w:tc>
        <w:tc>
          <w:tcPr>
            <w:tcW w:w="693" w:type="pct"/>
            <w:shd w:val="clear" w:color="auto" w:fill="auto"/>
            <w:noWrap w:val="0"/>
            <w:vAlign w:val="center"/>
          </w:tcPr>
          <w:p w14:paraId="05F9ABC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kern w:val="2"/>
                <w:sz w:val="21"/>
                <w:szCs w:val="21"/>
                <w:highlight w:val="none"/>
                <w:vertAlign w:val="baseline"/>
                <w:lang w:val="en-US" w:eastAsia="zh-CN" w:bidi="ar-SA"/>
              </w:rPr>
            </w:pPr>
            <w:r>
              <w:rPr>
                <w:rFonts w:hint="eastAsia"/>
                <w:sz w:val="21"/>
                <w:szCs w:val="21"/>
                <w:highlight w:val="none"/>
                <w:vertAlign w:val="baseline"/>
                <w:lang w:val="en-US" w:eastAsia="zh-CN"/>
              </w:rPr>
              <w:t>总铜</w:t>
            </w:r>
          </w:p>
        </w:tc>
        <w:tc>
          <w:tcPr>
            <w:tcW w:w="915" w:type="pct"/>
            <w:shd w:val="clear" w:color="auto" w:fill="auto"/>
            <w:noWrap w:val="0"/>
            <w:vAlign w:val="center"/>
          </w:tcPr>
          <w:p w14:paraId="16B8A3D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eastAsia" w:ascii="Times New Roman" w:hAnsi="Times New Roman" w:eastAsia="宋体" w:cs="Times New Roman"/>
                <w:sz w:val="21"/>
                <w:szCs w:val="21"/>
                <w:highlight w:val="none"/>
                <w:vertAlign w:val="baseline"/>
                <w:lang w:val="en-US" w:eastAsia="zh-CN"/>
              </w:rPr>
              <w:t>0.00044</w:t>
            </w:r>
            <w:r>
              <w:rPr>
                <w:rFonts w:hint="eastAsia" w:cs="Times New Roman"/>
                <w:sz w:val="21"/>
                <w:szCs w:val="21"/>
                <w:highlight w:val="none"/>
                <w:vertAlign w:val="baseline"/>
                <w:lang w:val="en-US" w:eastAsia="zh-CN"/>
              </w:rPr>
              <w:t>kg/d</w:t>
            </w:r>
          </w:p>
        </w:tc>
        <w:tc>
          <w:tcPr>
            <w:tcW w:w="969" w:type="pct"/>
            <w:shd w:val="clear" w:color="auto" w:fill="auto"/>
            <w:noWrap w:val="0"/>
            <w:vAlign w:val="center"/>
          </w:tcPr>
          <w:p w14:paraId="6F596DB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kern w:val="2"/>
                <w:sz w:val="21"/>
                <w:szCs w:val="21"/>
                <w:highlight w:val="none"/>
                <w:vertAlign w:val="baseline"/>
                <w:lang w:val="en-US" w:eastAsia="zh-CN" w:bidi="ar-SA"/>
              </w:rPr>
            </w:pPr>
            <w:r>
              <w:rPr>
                <w:rFonts w:hint="eastAsia" w:ascii="Times New Roman" w:hAnsi="Times New Roman" w:eastAsia="宋体" w:cs="Times New Roman"/>
                <w:sz w:val="21"/>
                <w:szCs w:val="21"/>
                <w:highlight w:val="none"/>
                <w:vertAlign w:val="baseline"/>
                <w:lang w:val="en-US" w:eastAsia="zh-CN"/>
              </w:rPr>
              <w:t>0.000044</w:t>
            </w:r>
            <w:r>
              <w:rPr>
                <w:rFonts w:hint="eastAsia" w:cs="Times New Roman"/>
                <w:sz w:val="21"/>
                <w:szCs w:val="21"/>
                <w:highlight w:val="none"/>
                <w:vertAlign w:val="baseline"/>
                <w:lang w:val="en-US" w:eastAsia="zh-CN"/>
              </w:rPr>
              <w:t>kg/d</w:t>
            </w:r>
          </w:p>
        </w:tc>
        <w:tc>
          <w:tcPr>
            <w:tcW w:w="1102" w:type="pct"/>
            <w:vMerge w:val="continue"/>
            <w:noWrap w:val="0"/>
            <w:vAlign w:val="center"/>
          </w:tcPr>
          <w:p w14:paraId="0983B61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yellow"/>
                <w:u w:val="none" w:color="auto"/>
                <w:lang w:val="en-US" w:eastAsia="zh-CN"/>
              </w:rPr>
            </w:pPr>
          </w:p>
        </w:tc>
      </w:tr>
      <w:tr w14:paraId="5628D7D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03" w:type="pct"/>
            <w:vMerge w:val="continue"/>
            <w:noWrap w:val="0"/>
            <w:vAlign w:val="center"/>
          </w:tcPr>
          <w:p w14:paraId="06FED0F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yellow"/>
                <w:u w:val="none" w:color="auto"/>
                <w:lang w:val="en-US" w:eastAsia="zh-CN"/>
              </w:rPr>
            </w:pPr>
          </w:p>
        </w:tc>
        <w:tc>
          <w:tcPr>
            <w:tcW w:w="814" w:type="pct"/>
            <w:vMerge w:val="continue"/>
            <w:noWrap w:val="0"/>
            <w:vAlign w:val="center"/>
          </w:tcPr>
          <w:p w14:paraId="7FE402A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yellow"/>
                <w:u w:val="none" w:color="auto"/>
                <w:lang w:val="en-US" w:eastAsia="zh-CN"/>
              </w:rPr>
            </w:pPr>
          </w:p>
        </w:tc>
        <w:tc>
          <w:tcPr>
            <w:tcW w:w="693" w:type="pct"/>
            <w:shd w:val="clear" w:color="auto" w:fill="auto"/>
            <w:noWrap w:val="0"/>
            <w:vAlign w:val="center"/>
          </w:tcPr>
          <w:p w14:paraId="6E20021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kern w:val="2"/>
                <w:sz w:val="21"/>
                <w:szCs w:val="21"/>
                <w:highlight w:val="none"/>
                <w:vertAlign w:val="baseline"/>
                <w:lang w:val="en-US" w:eastAsia="zh-CN" w:bidi="ar-SA"/>
              </w:rPr>
            </w:pPr>
            <w:r>
              <w:rPr>
                <w:rFonts w:hint="eastAsia"/>
                <w:sz w:val="21"/>
                <w:szCs w:val="21"/>
                <w:highlight w:val="none"/>
                <w:vertAlign w:val="baseline"/>
                <w:lang w:val="en-US" w:eastAsia="zh-CN"/>
              </w:rPr>
              <w:t>总锌</w:t>
            </w:r>
          </w:p>
        </w:tc>
        <w:tc>
          <w:tcPr>
            <w:tcW w:w="915" w:type="pct"/>
            <w:shd w:val="clear" w:color="auto" w:fill="auto"/>
            <w:noWrap w:val="0"/>
            <w:vAlign w:val="center"/>
          </w:tcPr>
          <w:p w14:paraId="11D2AB7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eastAsia" w:ascii="Times New Roman" w:hAnsi="Times New Roman" w:eastAsia="宋体" w:cs="Times New Roman"/>
                <w:sz w:val="21"/>
                <w:szCs w:val="21"/>
                <w:highlight w:val="none"/>
                <w:vertAlign w:val="baseline"/>
                <w:lang w:val="en-US" w:eastAsia="zh-CN"/>
              </w:rPr>
              <w:t>0.00108</w:t>
            </w:r>
            <w:r>
              <w:rPr>
                <w:rFonts w:hint="eastAsia" w:cs="Times New Roman"/>
                <w:sz w:val="21"/>
                <w:szCs w:val="21"/>
                <w:highlight w:val="none"/>
                <w:vertAlign w:val="baseline"/>
                <w:lang w:val="en-US" w:eastAsia="zh-CN"/>
              </w:rPr>
              <w:t>kg/d</w:t>
            </w:r>
          </w:p>
        </w:tc>
        <w:tc>
          <w:tcPr>
            <w:tcW w:w="969" w:type="pct"/>
            <w:shd w:val="clear" w:color="auto" w:fill="auto"/>
            <w:noWrap w:val="0"/>
            <w:vAlign w:val="center"/>
          </w:tcPr>
          <w:p w14:paraId="5DF261C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kern w:val="2"/>
                <w:sz w:val="21"/>
                <w:szCs w:val="21"/>
                <w:highlight w:val="none"/>
                <w:vertAlign w:val="baseline"/>
                <w:lang w:val="en-US" w:eastAsia="zh-CN" w:bidi="ar-SA"/>
              </w:rPr>
            </w:pPr>
            <w:r>
              <w:rPr>
                <w:rFonts w:hint="eastAsia" w:ascii="Times New Roman" w:hAnsi="Times New Roman" w:eastAsia="宋体" w:cs="Times New Roman"/>
                <w:sz w:val="21"/>
                <w:szCs w:val="21"/>
                <w:highlight w:val="none"/>
                <w:vertAlign w:val="baseline"/>
                <w:lang w:val="en-US" w:eastAsia="zh-CN"/>
              </w:rPr>
              <w:t>0.000108</w:t>
            </w:r>
            <w:r>
              <w:rPr>
                <w:rFonts w:hint="eastAsia" w:cs="Times New Roman"/>
                <w:sz w:val="21"/>
                <w:szCs w:val="21"/>
                <w:highlight w:val="none"/>
                <w:vertAlign w:val="baseline"/>
                <w:lang w:val="en-US" w:eastAsia="zh-CN"/>
              </w:rPr>
              <w:t>kg/d</w:t>
            </w:r>
          </w:p>
        </w:tc>
        <w:tc>
          <w:tcPr>
            <w:tcW w:w="1102" w:type="pct"/>
            <w:vMerge w:val="continue"/>
            <w:noWrap w:val="0"/>
            <w:vAlign w:val="center"/>
          </w:tcPr>
          <w:p w14:paraId="192066D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yellow"/>
                <w:u w:val="none" w:color="auto"/>
                <w:lang w:val="en-US" w:eastAsia="zh-CN"/>
              </w:rPr>
            </w:pPr>
          </w:p>
        </w:tc>
      </w:tr>
      <w:tr w14:paraId="1197C96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03" w:type="pct"/>
            <w:vMerge w:val="continue"/>
            <w:noWrap w:val="0"/>
            <w:vAlign w:val="center"/>
          </w:tcPr>
          <w:p w14:paraId="0D580F0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yellow"/>
                <w:u w:val="none" w:color="auto"/>
                <w:lang w:val="en-US" w:eastAsia="zh-CN"/>
              </w:rPr>
            </w:pPr>
          </w:p>
        </w:tc>
        <w:tc>
          <w:tcPr>
            <w:tcW w:w="814" w:type="pct"/>
            <w:vMerge w:val="continue"/>
            <w:noWrap w:val="0"/>
            <w:vAlign w:val="center"/>
          </w:tcPr>
          <w:p w14:paraId="30E4C1D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yellow"/>
                <w:u w:val="none" w:color="auto"/>
                <w:lang w:val="en-US" w:eastAsia="zh-CN"/>
              </w:rPr>
            </w:pPr>
          </w:p>
        </w:tc>
        <w:tc>
          <w:tcPr>
            <w:tcW w:w="693" w:type="pct"/>
            <w:shd w:val="clear" w:color="auto" w:fill="auto"/>
            <w:noWrap w:val="0"/>
            <w:vAlign w:val="center"/>
          </w:tcPr>
          <w:p w14:paraId="13B8CC8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kern w:val="2"/>
                <w:sz w:val="21"/>
                <w:szCs w:val="21"/>
                <w:highlight w:val="none"/>
                <w:vertAlign w:val="baseline"/>
                <w:lang w:val="en-US" w:eastAsia="zh-CN" w:bidi="ar-SA"/>
              </w:rPr>
            </w:pPr>
            <w:r>
              <w:rPr>
                <w:rFonts w:hint="eastAsia"/>
                <w:sz w:val="21"/>
                <w:szCs w:val="21"/>
                <w:highlight w:val="none"/>
                <w:vertAlign w:val="baseline"/>
                <w:lang w:val="en-US" w:eastAsia="zh-CN"/>
              </w:rPr>
              <w:t>总砷</w:t>
            </w:r>
          </w:p>
        </w:tc>
        <w:tc>
          <w:tcPr>
            <w:tcW w:w="915" w:type="pct"/>
            <w:shd w:val="clear" w:color="auto" w:fill="auto"/>
            <w:noWrap w:val="0"/>
            <w:vAlign w:val="center"/>
          </w:tcPr>
          <w:p w14:paraId="7D99C3E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eastAsia" w:ascii="Times New Roman" w:hAnsi="Times New Roman" w:eastAsia="宋体" w:cs="Times New Roman"/>
                <w:sz w:val="21"/>
                <w:szCs w:val="21"/>
                <w:highlight w:val="none"/>
                <w:vertAlign w:val="baseline"/>
                <w:lang w:val="en-US" w:eastAsia="zh-CN"/>
              </w:rPr>
              <w:t>0.00992</w:t>
            </w:r>
            <w:r>
              <w:rPr>
                <w:rFonts w:hint="eastAsia" w:cs="Times New Roman"/>
                <w:sz w:val="21"/>
                <w:szCs w:val="21"/>
                <w:highlight w:val="none"/>
                <w:vertAlign w:val="baseline"/>
                <w:lang w:val="en-US" w:eastAsia="zh-CN"/>
              </w:rPr>
              <w:t>kg/d</w:t>
            </w:r>
          </w:p>
        </w:tc>
        <w:tc>
          <w:tcPr>
            <w:tcW w:w="969" w:type="pct"/>
            <w:shd w:val="clear" w:color="auto" w:fill="auto"/>
            <w:noWrap w:val="0"/>
            <w:vAlign w:val="center"/>
          </w:tcPr>
          <w:p w14:paraId="0A0669B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kern w:val="2"/>
                <w:sz w:val="21"/>
                <w:szCs w:val="21"/>
                <w:highlight w:val="none"/>
                <w:vertAlign w:val="baseline"/>
                <w:lang w:val="en-US" w:eastAsia="zh-CN" w:bidi="ar-SA"/>
              </w:rPr>
            </w:pPr>
            <w:r>
              <w:rPr>
                <w:rFonts w:hint="eastAsia" w:ascii="Times New Roman" w:hAnsi="Times New Roman" w:eastAsia="宋体" w:cs="Times New Roman"/>
                <w:sz w:val="21"/>
                <w:szCs w:val="21"/>
                <w:highlight w:val="none"/>
                <w:vertAlign w:val="baseline"/>
                <w:lang w:val="en-US" w:eastAsia="zh-CN"/>
              </w:rPr>
              <w:t>0.000992</w:t>
            </w:r>
            <w:r>
              <w:rPr>
                <w:rFonts w:hint="eastAsia" w:cs="Times New Roman"/>
                <w:sz w:val="21"/>
                <w:szCs w:val="21"/>
                <w:highlight w:val="none"/>
                <w:vertAlign w:val="baseline"/>
                <w:lang w:val="en-US" w:eastAsia="zh-CN"/>
              </w:rPr>
              <w:t>kg/d</w:t>
            </w:r>
          </w:p>
        </w:tc>
        <w:tc>
          <w:tcPr>
            <w:tcW w:w="1102" w:type="pct"/>
            <w:vMerge w:val="continue"/>
            <w:noWrap w:val="0"/>
            <w:vAlign w:val="center"/>
          </w:tcPr>
          <w:p w14:paraId="74085DE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yellow"/>
                <w:u w:val="none" w:color="auto"/>
                <w:lang w:val="en-US" w:eastAsia="zh-CN"/>
              </w:rPr>
            </w:pPr>
          </w:p>
        </w:tc>
      </w:tr>
      <w:tr w14:paraId="284B7E3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03" w:type="pct"/>
            <w:vMerge w:val="continue"/>
            <w:noWrap w:val="0"/>
            <w:vAlign w:val="center"/>
          </w:tcPr>
          <w:p w14:paraId="0C23089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yellow"/>
                <w:u w:val="none" w:color="auto"/>
                <w:lang w:val="en-US" w:eastAsia="zh-CN"/>
              </w:rPr>
            </w:pPr>
          </w:p>
        </w:tc>
        <w:tc>
          <w:tcPr>
            <w:tcW w:w="814" w:type="pct"/>
            <w:vMerge w:val="continue"/>
            <w:noWrap w:val="0"/>
            <w:vAlign w:val="center"/>
          </w:tcPr>
          <w:p w14:paraId="6D53E4C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yellow"/>
                <w:u w:val="none" w:color="auto"/>
                <w:lang w:val="en-US" w:eastAsia="zh-CN"/>
              </w:rPr>
            </w:pPr>
          </w:p>
        </w:tc>
        <w:tc>
          <w:tcPr>
            <w:tcW w:w="693" w:type="pct"/>
            <w:shd w:val="clear" w:color="auto" w:fill="auto"/>
            <w:noWrap w:val="0"/>
            <w:vAlign w:val="center"/>
          </w:tcPr>
          <w:p w14:paraId="0E9BF5E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kern w:val="2"/>
                <w:sz w:val="21"/>
                <w:szCs w:val="21"/>
                <w:highlight w:val="none"/>
                <w:vertAlign w:val="baseline"/>
                <w:lang w:val="en-US" w:eastAsia="zh-CN" w:bidi="ar-SA"/>
              </w:rPr>
            </w:pPr>
            <w:r>
              <w:rPr>
                <w:rFonts w:hint="eastAsia"/>
                <w:sz w:val="21"/>
                <w:szCs w:val="21"/>
                <w:highlight w:val="none"/>
                <w:vertAlign w:val="baseline"/>
                <w:lang w:val="en-US" w:eastAsia="zh-CN"/>
              </w:rPr>
              <w:t>总镉</w:t>
            </w:r>
          </w:p>
        </w:tc>
        <w:tc>
          <w:tcPr>
            <w:tcW w:w="915" w:type="pct"/>
            <w:shd w:val="clear" w:color="auto" w:fill="auto"/>
            <w:noWrap w:val="0"/>
            <w:vAlign w:val="center"/>
          </w:tcPr>
          <w:p w14:paraId="7119B99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eastAsia" w:ascii="Times New Roman" w:hAnsi="Times New Roman" w:eastAsia="宋体" w:cs="Times New Roman"/>
                <w:sz w:val="21"/>
                <w:szCs w:val="21"/>
                <w:highlight w:val="none"/>
                <w:vertAlign w:val="baseline"/>
                <w:lang w:val="en-US" w:eastAsia="zh-CN"/>
              </w:rPr>
              <w:t>0.0000048</w:t>
            </w:r>
            <w:r>
              <w:rPr>
                <w:rFonts w:hint="eastAsia" w:cs="Times New Roman"/>
                <w:sz w:val="21"/>
                <w:szCs w:val="21"/>
                <w:highlight w:val="none"/>
                <w:vertAlign w:val="baseline"/>
                <w:lang w:val="en-US" w:eastAsia="zh-CN"/>
              </w:rPr>
              <w:t>kg/d</w:t>
            </w:r>
          </w:p>
        </w:tc>
        <w:tc>
          <w:tcPr>
            <w:tcW w:w="969" w:type="pct"/>
            <w:shd w:val="clear" w:color="auto" w:fill="auto"/>
            <w:noWrap w:val="0"/>
            <w:vAlign w:val="center"/>
          </w:tcPr>
          <w:p w14:paraId="397F4EC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kern w:val="2"/>
                <w:sz w:val="21"/>
                <w:szCs w:val="21"/>
                <w:highlight w:val="none"/>
                <w:vertAlign w:val="baseline"/>
                <w:lang w:val="en-US" w:eastAsia="zh-CN" w:bidi="ar-SA"/>
              </w:rPr>
            </w:pPr>
            <w:r>
              <w:rPr>
                <w:rFonts w:hint="eastAsia" w:ascii="Times New Roman" w:hAnsi="Times New Roman" w:eastAsia="宋体" w:cs="Times New Roman"/>
                <w:sz w:val="21"/>
                <w:szCs w:val="21"/>
                <w:highlight w:val="none"/>
                <w:vertAlign w:val="baseline"/>
                <w:lang w:val="en-US" w:eastAsia="zh-CN"/>
              </w:rPr>
              <w:t>0.00000048</w:t>
            </w:r>
            <w:r>
              <w:rPr>
                <w:rFonts w:hint="eastAsia" w:cs="Times New Roman"/>
                <w:sz w:val="21"/>
                <w:szCs w:val="21"/>
                <w:highlight w:val="none"/>
                <w:vertAlign w:val="baseline"/>
                <w:lang w:val="en-US" w:eastAsia="zh-CN"/>
              </w:rPr>
              <w:t>kg/d</w:t>
            </w:r>
          </w:p>
        </w:tc>
        <w:tc>
          <w:tcPr>
            <w:tcW w:w="1102" w:type="pct"/>
            <w:vMerge w:val="continue"/>
            <w:noWrap w:val="0"/>
            <w:vAlign w:val="center"/>
          </w:tcPr>
          <w:p w14:paraId="716C786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yellow"/>
                <w:u w:val="none" w:color="auto"/>
                <w:lang w:val="en-US" w:eastAsia="zh-CN"/>
              </w:rPr>
            </w:pPr>
          </w:p>
        </w:tc>
      </w:tr>
      <w:tr w14:paraId="2FC7D10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03" w:type="pct"/>
            <w:vMerge w:val="continue"/>
            <w:noWrap w:val="0"/>
            <w:vAlign w:val="center"/>
          </w:tcPr>
          <w:p w14:paraId="1BC0A0A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yellow"/>
                <w:u w:val="none" w:color="auto"/>
                <w:lang w:val="en-US" w:eastAsia="zh-CN"/>
              </w:rPr>
            </w:pPr>
          </w:p>
        </w:tc>
        <w:tc>
          <w:tcPr>
            <w:tcW w:w="814" w:type="pct"/>
            <w:vMerge w:val="continue"/>
            <w:noWrap w:val="0"/>
            <w:vAlign w:val="center"/>
          </w:tcPr>
          <w:p w14:paraId="3BACEEA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yellow"/>
                <w:u w:val="none" w:color="auto"/>
                <w:lang w:val="en-US" w:eastAsia="zh-CN"/>
              </w:rPr>
            </w:pPr>
          </w:p>
        </w:tc>
        <w:tc>
          <w:tcPr>
            <w:tcW w:w="693" w:type="pct"/>
            <w:shd w:val="clear" w:color="auto" w:fill="auto"/>
            <w:noWrap w:val="0"/>
            <w:vAlign w:val="center"/>
          </w:tcPr>
          <w:p w14:paraId="717E190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kern w:val="2"/>
                <w:sz w:val="21"/>
                <w:szCs w:val="21"/>
                <w:highlight w:val="none"/>
                <w:vertAlign w:val="baseline"/>
                <w:lang w:val="en-US" w:eastAsia="zh-CN" w:bidi="ar-SA"/>
              </w:rPr>
            </w:pPr>
            <w:r>
              <w:rPr>
                <w:rFonts w:hint="eastAsia"/>
                <w:sz w:val="21"/>
                <w:szCs w:val="21"/>
                <w:highlight w:val="none"/>
                <w:vertAlign w:val="baseline"/>
                <w:lang w:val="en-US" w:eastAsia="zh-CN"/>
              </w:rPr>
              <w:t>总铅</w:t>
            </w:r>
          </w:p>
        </w:tc>
        <w:tc>
          <w:tcPr>
            <w:tcW w:w="915" w:type="pct"/>
            <w:shd w:val="clear" w:color="auto" w:fill="auto"/>
            <w:noWrap w:val="0"/>
            <w:vAlign w:val="center"/>
          </w:tcPr>
          <w:p w14:paraId="67FF988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eastAsia" w:ascii="Times New Roman" w:hAnsi="Times New Roman" w:eastAsia="宋体" w:cs="Times New Roman"/>
                <w:sz w:val="21"/>
                <w:szCs w:val="21"/>
                <w:highlight w:val="none"/>
                <w:vertAlign w:val="baseline"/>
                <w:lang w:val="en-US" w:eastAsia="zh-CN"/>
              </w:rPr>
              <w:t>0.0001584</w:t>
            </w:r>
            <w:r>
              <w:rPr>
                <w:rFonts w:hint="eastAsia" w:cs="Times New Roman"/>
                <w:sz w:val="21"/>
                <w:szCs w:val="21"/>
                <w:highlight w:val="none"/>
                <w:vertAlign w:val="baseline"/>
                <w:lang w:val="en-US" w:eastAsia="zh-CN"/>
              </w:rPr>
              <w:t>kg/d</w:t>
            </w:r>
          </w:p>
        </w:tc>
        <w:tc>
          <w:tcPr>
            <w:tcW w:w="969" w:type="pct"/>
            <w:shd w:val="clear" w:color="auto" w:fill="auto"/>
            <w:noWrap w:val="0"/>
            <w:vAlign w:val="center"/>
          </w:tcPr>
          <w:p w14:paraId="0A96BA9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kern w:val="2"/>
                <w:sz w:val="21"/>
                <w:szCs w:val="21"/>
                <w:highlight w:val="none"/>
                <w:vertAlign w:val="baseline"/>
                <w:lang w:val="en-US" w:eastAsia="zh-CN" w:bidi="ar-SA"/>
              </w:rPr>
            </w:pPr>
            <w:r>
              <w:rPr>
                <w:rFonts w:hint="eastAsia" w:ascii="Times New Roman" w:hAnsi="Times New Roman" w:eastAsia="宋体" w:cs="Times New Roman"/>
                <w:sz w:val="21"/>
                <w:szCs w:val="21"/>
                <w:highlight w:val="none"/>
                <w:vertAlign w:val="baseline"/>
                <w:lang w:val="en-US" w:eastAsia="zh-CN"/>
              </w:rPr>
              <w:t>0.00001584</w:t>
            </w:r>
            <w:r>
              <w:rPr>
                <w:rFonts w:hint="eastAsia" w:cs="Times New Roman"/>
                <w:sz w:val="21"/>
                <w:szCs w:val="21"/>
                <w:highlight w:val="none"/>
                <w:vertAlign w:val="baseline"/>
                <w:lang w:val="en-US" w:eastAsia="zh-CN"/>
              </w:rPr>
              <w:t>kg/d</w:t>
            </w:r>
          </w:p>
        </w:tc>
        <w:tc>
          <w:tcPr>
            <w:tcW w:w="1102" w:type="pct"/>
            <w:vMerge w:val="continue"/>
            <w:noWrap w:val="0"/>
            <w:vAlign w:val="center"/>
          </w:tcPr>
          <w:p w14:paraId="283746E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yellow"/>
                <w:u w:val="none" w:color="auto"/>
                <w:lang w:val="en-US" w:eastAsia="zh-CN"/>
              </w:rPr>
            </w:pPr>
          </w:p>
        </w:tc>
      </w:tr>
      <w:tr w14:paraId="39D804E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03" w:type="pct"/>
            <w:vMerge w:val="continue"/>
            <w:noWrap w:val="0"/>
            <w:vAlign w:val="center"/>
          </w:tcPr>
          <w:p w14:paraId="6ED2EDA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yellow"/>
                <w:u w:val="none" w:color="auto"/>
                <w:lang w:val="en-US" w:eastAsia="zh-CN"/>
              </w:rPr>
            </w:pPr>
          </w:p>
        </w:tc>
        <w:tc>
          <w:tcPr>
            <w:tcW w:w="814" w:type="pct"/>
            <w:vMerge w:val="continue"/>
            <w:noWrap w:val="0"/>
            <w:vAlign w:val="center"/>
          </w:tcPr>
          <w:p w14:paraId="7CC2D65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yellow"/>
                <w:u w:val="none" w:color="auto"/>
                <w:lang w:val="en-US" w:eastAsia="zh-CN"/>
              </w:rPr>
            </w:pPr>
          </w:p>
        </w:tc>
        <w:tc>
          <w:tcPr>
            <w:tcW w:w="693" w:type="pct"/>
            <w:shd w:val="clear" w:color="auto" w:fill="auto"/>
            <w:noWrap w:val="0"/>
            <w:vAlign w:val="center"/>
          </w:tcPr>
          <w:p w14:paraId="4871FF1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kern w:val="2"/>
                <w:sz w:val="21"/>
                <w:szCs w:val="21"/>
                <w:highlight w:val="none"/>
                <w:vertAlign w:val="baseline"/>
                <w:lang w:val="en-US" w:eastAsia="zh-CN" w:bidi="ar-SA"/>
              </w:rPr>
            </w:pPr>
            <w:r>
              <w:rPr>
                <w:rFonts w:hint="eastAsia"/>
                <w:sz w:val="21"/>
                <w:szCs w:val="21"/>
                <w:highlight w:val="none"/>
                <w:vertAlign w:val="baseline"/>
                <w:lang w:val="en-US" w:eastAsia="zh-CN"/>
              </w:rPr>
              <w:t>总汞</w:t>
            </w:r>
          </w:p>
        </w:tc>
        <w:tc>
          <w:tcPr>
            <w:tcW w:w="915" w:type="pct"/>
            <w:shd w:val="clear" w:color="auto" w:fill="auto"/>
            <w:noWrap w:val="0"/>
            <w:vAlign w:val="center"/>
          </w:tcPr>
          <w:p w14:paraId="538FD9C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eastAsia" w:ascii="Times New Roman" w:hAnsi="Times New Roman" w:eastAsia="宋体" w:cs="Times New Roman"/>
                <w:sz w:val="21"/>
                <w:szCs w:val="21"/>
                <w:highlight w:val="none"/>
                <w:vertAlign w:val="baseline"/>
                <w:lang w:val="en-US" w:eastAsia="zh-CN"/>
              </w:rPr>
              <w:t>0.00000008</w:t>
            </w:r>
            <w:r>
              <w:rPr>
                <w:rFonts w:hint="eastAsia" w:cs="Times New Roman"/>
                <w:sz w:val="21"/>
                <w:szCs w:val="21"/>
                <w:highlight w:val="none"/>
                <w:vertAlign w:val="baseline"/>
                <w:lang w:val="en-US" w:eastAsia="zh-CN"/>
              </w:rPr>
              <w:t>kg/d</w:t>
            </w:r>
          </w:p>
        </w:tc>
        <w:tc>
          <w:tcPr>
            <w:tcW w:w="969" w:type="pct"/>
            <w:shd w:val="clear" w:color="auto" w:fill="auto"/>
            <w:noWrap w:val="0"/>
            <w:vAlign w:val="center"/>
          </w:tcPr>
          <w:p w14:paraId="1978FC3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kern w:val="2"/>
                <w:sz w:val="21"/>
                <w:szCs w:val="21"/>
                <w:highlight w:val="none"/>
                <w:vertAlign w:val="baseline"/>
                <w:lang w:val="en-US" w:eastAsia="zh-CN" w:bidi="ar-SA"/>
              </w:rPr>
            </w:pPr>
            <w:r>
              <w:rPr>
                <w:rFonts w:hint="eastAsia" w:ascii="Times New Roman" w:hAnsi="Times New Roman" w:eastAsia="宋体" w:cs="Times New Roman"/>
                <w:sz w:val="21"/>
                <w:szCs w:val="21"/>
                <w:highlight w:val="none"/>
                <w:vertAlign w:val="baseline"/>
                <w:lang w:val="en-US" w:eastAsia="zh-CN"/>
              </w:rPr>
              <w:t>0.000000008</w:t>
            </w:r>
            <w:r>
              <w:rPr>
                <w:rFonts w:hint="eastAsia" w:cs="Times New Roman"/>
                <w:sz w:val="21"/>
                <w:szCs w:val="21"/>
                <w:highlight w:val="none"/>
                <w:vertAlign w:val="baseline"/>
                <w:lang w:val="en-US" w:eastAsia="zh-CN"/>
              </w:rPr>
              <w:t>kg/d</w:t>
            </w:r>
          </w:p>
        </w:tc>
        <w:tc>
          <w:tcPr>
            <w:tcW w:w="1102" w:type="pct"/>
            <w:vMerge w:val="continue"/>
            <w:noWrap w:val="0"/>
            <w:vAlign w:val="center"/>
          </w:tcPr>
          <w:p w14:paraId="136F756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yellow"/>
                <w:u w:val="none" w:color="auto"/>
                <w:lang w:val="en-US" w:eastAsia="zh-CN"/>
              </w:rPr>
            </w:pPr>
          </w:p>
        </w:tc>
      </w:tr>
      <w:tr w14:paraId="1DD6533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03" w:type="pct"/>
            <w:vMerge w:val="continue"/>
            <w:noWrap w:val="0"/>
            <w:vAlign w:val="center"/>
          </w:tcPr>
          <w:p w14:paraId="003EBE6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yellow"/>
                <w:u w:val="none" w:color="auto"/>
                <w:lang w:val="en-US" w:eastAsia="zh-CN"/>
              </w:rPr>
            </w:pPr>
          </w:p>
        </w:tc>
        <w:tc>
          <w:tcPr>
            <w:tcW w:w="814" w:type="pct"/>
            <w:vMerge w:val="continue"/>
            <w:noWrap w:val="0"/>
            <w:vAlign w:val="center"/>
          </w:tcPr>
          <w:p w14:paraId="0A7E8CD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yellow"/>
                <w:u w:val="none" w:color="auto"/>
                <w:lang w:val="en-US" w:eastAsia="zh-CN"/>
              </w:rPr>
            </w:pPr>
          </w:p>
        </w:tc>
        <w:tc>
          <w:tcPr>
            <w:tcW w:w="693" w:type="pct"/>
            <w:shd w:val="clear" w:color="auto" w:fill="auto"/>
            <w:noWrap w:val="0"/>
            <w:vAlign w:val="center"/>
          </w:tcPr>
          <w:p w14:paraId="64F7317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kern w:val="2"/>
                <w:sz w:val="21"/>
                <w:szCs w:val="21"/>
                <w:highlight w:val="none"/>
                <w:vertAlign w:val="baseline"/>
                <w:lang w:val="en-US" w:eastAsia="zh-CN" w:bidi="ar-SA"/>
              </w:rPr>
            </w:pPr>
            <w:r>
              <w:rPr>
                <w:rFonts w:hint="eastAsia"/>
                <w:sz w:val="21"/>
                <w:szCs w:val="21"/>
                <w:highlight w:val="none"/>
                <w:vertAlign w:val="baseline"/>
                <w:lang w:val="en-US" w:eastAsia="zh-CN"/>
              </w:rPr>
              <w:t>六价铬</w:t>
            </w:r>
          </w:p>
        </w:tc>
        <w:tc>
          <w:tcPr>
            <w:tcW w:w="915" w:type="pct"/>
            <w:shd w:val="clear" w:color="auto" w:fill="auto"/>
            <w:noWrap w:val="0"/>
            <w:vAlign w:val="center"/>
          </w:tcPr>
          <w:p w14:paraId="1B8674F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eastAsia" w:ascii="Times New Roman" w:hAnsi="Times New Roman" w:eastAsia="宋体" w:cs="Times New Roman"/>
                <w:sz w:val="21"/>
                <w:szCs w:val="21"/>
                <w:highlight w:val="none"/>
                <w:vertAlign w:val="baseline"/>
                <w:lang w:val="en-US" w:eastAsia="zh-CN"/>
              </w:rPr>
              <w:t>0.000016</w:t>
            </w:r>
            <w:r>
              <w:rPr>
                <w:rFonts w:hint="eastAsia" w:cs="Times New Roman"/>
                <w:sz w:val="21"/>
                <w:szCs w:val="21"/>
                <w:highlight w:val="none"/>
                <w:vertAlign w:val="baseline"/>
                <w:lang w:val="en-US" w:eastAsia="zh-CN"/>
              </w:rPr>
              <w:t>kg/d</w:t>
            </w:r>
          </w:p>
        </w:tc>
        <w:tc>
          <w:tcPr>
            <w:tcW w:w="969" w:type="pct"/>
            <w:shd w:val="clear" w:color="auto" w:fill="auto"/>
            <w:noWrap w:val="0"/>
            <w:vAlign w:val="center"/>
          </w:tcPr>
          <w:p w14:paraId="4E1D635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kern w:val="2"/>
                <w:sz w:val="21"/>
                <w:szCs w:val="21"/>
                <w:highlight w:val="none"/>
                <w:vertAlign w:val="baseline"/>
                <w:lang w:val="en-US" w:eastAsia="zh-CN" w:bidi="ar-SA"/>
              </w:rPr>
            </w:pPr>
            <w:r>
              <w:rPr>
                <w:rFonts w:hint="eastAsia" w:ascii="Times New Roman" w:hAnsi="Times New Roman" w:eastAsia="宋体" w:cs="Times New Roman"/>
                <w:sz w:val="21"/>
                <w:szCs w:val="21"/>
                <w:highlight w:val="none"/>
                <w:vertAlign w:val="baseline"/>
                <w:lang w:val="en-US" w:eastAsia="zh-CN"/>
              </w:rPr>
              <w:t>0.0000016</w:t>
            </w:r>
            <w:r>
              <w:rPr>
                <w:rFonts w:hint="eastAsia" w:cs="Times New Roman"/>
                <w:sz w:val="21"/>
                <w:szCs w:val="21"/>
                <w:highlight w:val="none"/>
                <w:vertAlign w:val="baseline"/>
                <w:lang w:val="en-US" w:eastAsia="zh-CN"/>
              </w:rPr>
              <w:t>kg/d</w:t>
            </w:r>
          </w:p>
        </w:tc>
        <w:tc>
          <w:tcPr>
            <w:tcW w:w="1102" w:type="pct"/>
            <w:vMerge w:val="continue"/>
            <w:noWrap w:val="0"/>
            <w:vAlign w:val="center"/>
          </w:tcPr>
          <w:p w14:paraId="72321E8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yellow"/>
                <w:u w:val="none" w:color="auto"/>
                <w:lang w:val="en-US" w:eastAsia="zh-CN"/>
              </w:rPr>
            </w:pPr>
          </w:p>
        </w:tc>
      </w:tr>
      <w:tr w14:paraId="57DC559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03" w:type="pct"/>
            <w:vMerge w:val="continue"/>
            <w:noWrap w:val="0"/>
            <w:vAlign w:val="center"/>
          </w:tcPr>
          <w:p w14:paraId="5B83434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yellow"/>
                <w:u w:val="none" w:color="auto"/>
                <w:lang w:val="en-US" w:eastAsia="zh-CN"/>
              </w:rPr>
            </w:pPr>
          </w:p>
        </w:tc>
        <w:tc>
          <w:tcPr>
            <w:tcW w:w="814" w:type="pct"/>
            <w:vMerge w:val="continue"/>
            <w:noWrap w:val="0"/>
            <w:vAlign w:val="center"/>
          </w:tcPr>
          <w:p w14:paraId="0223C34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yellow"/>
                <w:u w:val="none" w:color="auto"/>
                <w:lang w:val="en-US" w:eastAsia="zh-CN"/>
              </w:rPr>
            </w:pPr>
          </w:p>
        </w:tc>
        <w:tc>
          <w:tcPr>
            <w:tcW w:w="693" w:type="pct"/>
            <w:shd w:val="clear" w:color="auto" w:fill="auto"/>
            <w:noWrap w:val="0"/>
            <w:vAlign w:val="center"/>
          </w:tcPr>
          <w:p w14:paraId="42BAE8C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kern w:val="2"/>
                <w:sz w:val="21"/>
                <w:szCs w:val="21"/>
                <w:highlight w:val="none"/>
                <w:vertAlign w:val="baseline"/>
                <w:lang w:val="en-US" w:eastAsia="zh-CN" w:bidi="ar-SA"/>
              </w:rPr>
            </w:pPr>
            <w:r>
              <w:rPr>
                <w:rFonts w:hint="eastAsia"/>
                <w:sz w:val="21"/>
                <w:szCs w:val="21"/>
                <w:highlight w:val="none"/>
                <w:vertAlign w:val="baseline"/>
                <w:lang w:val="en-US" w:eastAsia="zh-CN"/>
              </w:rPr>
              <w:t>氰化物</w:t>
            </w:r>
          </w:p>
        </w:tc>
        <w:tc>
          <w:tcPr>
            <w:tcW w:w="915" w:type="pct"/>
            <w:shd w:val="clear" w:color="auto" w:fill="auto"/>
            <w:noWrap w:val="0"/>
            <w:vAlign w:val="center"/>
          </w:tcPr>
          <w:p w14:paraId="29D9C5D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eastAsia" w:ascii="Times New Roman" w:hAnsi="Times New Roman" w:eastAsia="宋体" w:cs="Times New Roman"/>
                <w:sz w:val="21"/>
                <w:szCs w:val="21"/>
                <w:highlight w:val="none"/>
                <w:vertAlign w:val="baseline"/>
                <w:lang w:val="en-US" w:eastAsia="zh-CN"/>
              </w:rPr>
              <w:t>0.000016</w:t>
            </w:r>
            <w:r>
              <w:rPr>
                <w:rFonts w:hint="eastAsia" w:cs="Times New Roman"/>
                <w:sz w:val="21"/>
                <w:szCs w:val="21"/>
                <w:highlight w:val="none"/>
                <w:vertAlign w:val="baseline"/>
                <w:lang w:val="en-US" w:eastAsia="zh-CN"/>
              </w:rPr>
              <w:t>kg/d</w:t>
            </w:r>
          </w:p>
        </w:tc>
        <w:tc>
          <w:tcPr>
            <w:tcW w:w="969" w:type="pct"/>
            <w:shd w:val="clear" w:color="auto" w:fill="auto"/>
            <w:noWrap w:val="0"/>
            <w:vAlign w:val="center"/>
          </w:tcPr>
          <w:p w14:paraId="7957886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kern w:val="2"/>
                <w:sz w:val="21"/>
                <w:szCs w:val="21"/>
                <w:highlight w:val="none"/>
                <w:vertAlign w:val="baseline"/>
                <w:lang w:val="en-US" w:eastAsia="zh-CN" w:bidi="ar-SA"/>
              </w:rPr>
            </w:pPr>
            <w:r>
              <w:rPr>
                <w:rFonts w:hint="eastAsia" w:ascii="Times New Roman" w:hAnsi="Times New Roman" w:eastAsia="宋体" w:cs="Times New Roman"/>
                <w:sz w:val="21"/>
                <w:szCs w:val="21"/>
                <w:highlight w:val="none"/>
                <w:vertAlign w:val="baseline"/>
                <w:lang w:val="en-US" w:eastAsia="zh-CN"/>
              </w:rPr>
              <w:t>0.0000016</w:t>
            </w:r>
            <w:r>
              <w:rPr>
                <w:rFonts w:hint="eastAsia" w:cs="Times New Roman"/>
                <w:sz w:val="21"/>
                <w:szCs w:val="21"/>
                <w:highlight w:val="none"/>
                <w:vertAlign w:val="baseline"/>
                <w:lang w:val="en-US" w:eastAsia="zh-CN"/>
              </w:rPr>
              <w:t>kg/d</w:t>
            </w:r>
          </w:p>
        </w:tc>
        <w:tc>
          <w:tcPr>
            <w:tcW w:w="1102" w:type="pct"/>
            <w:vMerge w:val="continue"/>
            <w:noWrap w:val="0"/>
            <w:vAlign w:val="center"/>
          </w:tcPr>
          <w:p w14:paraId="64FA3B6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yellow"/>
                <w:u w:val="none" w:color="auto"/>
                <w:lang w:val="en-US" w:eastAsia="zh-CN"/>
              </w:rPr>
            </w:pPr>
          </w:p>
        </w:tc>
      </w:tr>
      <w:tr w14:paraId="4AD11CB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03" w:type="pct"/>
            <w:vMerge w:val="continue"/>
            <w:noWrap w:val="0"/>
            <w:vAlign w:val="center"/>
          </w:tcPr>
          <w:p w14:paraId="37D5573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yellow"/>
                <w:u w:val="none" w:color="auto"/>
                <w:lang w:val="en-US" w:eastAsia="zh-CN"/>
              </w:rPr>
            </w:pPr>
          </w:p>
        </w:tc>
        <w:tc>
          <w:tcPr>
            <w:tcW w:w="814" w:type="pct"/>
            <w:vMerge w:val="restart"/>
            <w:noWrap w:val="0"/>
            <w:vAlign w:val="center"/>
          </w:tcPr>
          <w:p w14:paraId="3220E6C5">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none"/>
                <w:u w:val="none" w:color="auto"/>
                <w:lang w:val="en-US" w:eastAsia="zh-CN"/>
              </w:rPr>
            </w:pPr>
            <w:r>
              <w:rPr>
                <w:rFonts w:hint="eastAsia"/>
                <w:sz w:val="21"/>
                <w:szCs w:val="21"/>
                <w:highlight w:val="none"/>
                <w:u w:val="none" w:color="auto"/>
                <w:lang w:val="en-US" w:eastAsia="zh-CN"/>
              </w:rPr>
              <w:t>车辆冲洗废水（1.44m</w:t>
            </w:r>
            <w:r>
              <w:rPr>
                <w:rFonts w:hint="eastAsia"/>
                <w:sz w:val="21"/>
                <w:szCs w:val="21"/>
                <w:highlight w:val="none"/>
                <w:u w:val="none" w:color="auto"/>
                <w:vertAlign w:val="superscript"/>
                <w:lang w:val="en-US" w:eastAsia="zh-CN"/>
              </w:rPr>
              <w:t>3</w:t>
            </w:r>
            <w:r>
              <w:rPr>
                <w:rFonts w:hint="eastAsia"/>
                <w:sz w:val="21"/>
                <w:szCs w:val="21"/>
                <w:highlight w:val="none"/>
                <w:u w:val="none" w:color="auto"/>
                <w:vertAlign w:val="baseline"/>
                <w:lang w:val="en-US" w:eastAsia="zh-CN"/>
              </w:rPr>
              <w:t>/d</w:t>
            </w:r>
            <w:r>
              <w:rPr>
                <w:rFonts w:hint="eastAsia"/>
                <w:sz w:val="21"/>
                <w:szCs w:val="21"/>
                <w:highlight w:val="none"/>
                <w:u w:val="none" w:color="auto"/>
                <w:lang w:val="en-US" w:eastAsia="zh-CN"/>
              </w:rPr>
              <w:t>）</w:t>
            </w:r>
          </w:p>
        </w:tc>
        <w:tc>
          <w:tcPr>
            <w:tcW w:w="693" w:type="pct"/>
            <w:shd w:val="clear" w:color="auto" w:fill="auto"/>
            <w:noWrap w:val="0"/>
            <w:vAlign w:val="center"/>
          </w:tcPr>
          <w:p w14:paraId="7046A75F">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kern w:val="2"/>
                <w:sz w:val="21"/>
                <w:szCs w:val="21"/>
                <w:highlight w:val="none"/>
                <w:u w:val="none" w:color="auto"/>
                <w:lang w:val="en-US" w:eastAsia="zh-CN" w:bidi="ar-SA"/>
              </w:rPr>
            </w:pPr>
            <w:r>
              <w:rPr>
                <w:rFonts w:hint="eastAsia" w:cs="Times New Roman"/>
                <w:kern w:val="2"/>
                <w:sz w:val="21"/>
                <w:szCs w:val="21"/>
                <w:highlight w:val="none"/>
                <w:u w:val="none" w:color="auto"/>
                <w:lang w:val="en-US" w:eastAsia="zh-CN" w:bidi="ar-SA"/>
              </w:rPr>
              <w:t>石油类</w:t>
            </w:r>
          </w:p>
        </w:tc>
        <w:tc>
          <w:tcPr>
            <w:tcW w:w="915" w:type="pct"/>
            <w:shd w:val="clear" w:color="auto" w:fill="auto"/>
            <w:noWrap w:val="0"/>
            <w:vAlign w:val="center"/>
          </w:tcPr>
          <w:p w14:paraId="510C0E52">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kern w:val="2"/>
                <w:sz w:val="21"/>
                <w:szCs w:val="21"/>
                <w:highlight w:val="none"/>
                <w:u w:val="none" w:color="auto"/>
                <w:lang w:val="en-US" w:eastAsia="zh-CN" w:bidi="ar-SA"/>
              </w:rPr>
            </w:pPr>
            <w:r>
              <w:rPr>
                <w:rFonts w:hint="eastAsia" w:cs="Times New Roman"/>
                <w:kern w:val="2"/>
                <w:sz w:val="21"/>
                <w:szCs w:val="21"/>
                <w:highlight w:val="none"/>
                <w:u w:val="none" w:color="auto"/>
                <w:lang w:val="en-US" w:eastAsia="zh-CN" w:bidi="ar-SA"/>
              </w:rPr>
              <w:t>0.0432</w:t>
            </w:r>
            <w:r>
              <w:rPr>
                <w:rFonts w:hint="eastAsia" w:cs="Times New Roman"/>
                <w:sz w:val="21"/>
                <w:szCs w:val="21"/>
                <w:highlight w:val="none"/>
                <w:vertAlign w:val="baseline"/>
                <w:lang w:val="en-US" w:eastAsia="zh-CN"/>
              </w:rPr>
              <w:t>kg/d</w:t>
            </w:r>
          </w:p>
        </w:tc>
        <w:tc>
          <w:tcPr>
            <w:tcW w:w="969" w:type="pct"/>
            <w:shd w:val="clear" w:color="auto" w:fill="auto"/>
            <w:noWrap w:val="0"/>
            <w:vAlign w:val="center"/>
          </w:tcPr>
          <w:p w14:paraId="4EBDA92C">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kern w:val="2"/>
                <w:sz w:val="21"/>
                <w:szCs w:val="21"/>
                <w:highlight w:val="none"/>
                <w:u w:val="none" w:color="auto"/>
                <w:lang w:val="en-US" w:eastAsia="zh-CN" w:bidi="ar-SA"/>
              </w:rPr>
            </w:pPr>
            <w:r>
              <w:rPr>
                <w:rFonts w:hint="eastAsia" w:cs="Times New Roman"/>
                <w:kern w:val="2"/>
                <w:sz w:val="21"/>
                <w:szCs w:val="21"/>
                <w:highlight w:val="none"/>
                <w:u w:val="none" w:color="auto"/>
                <w:lang w:val="en-US" w:eastAsia="zh-CN" w:bidi="ar-SA"/>
              </w:rPr>
              <w:t>0.0144</w:t>
            </w:r>
            <w:r>
              <w:rPr>
                <w:rFonts w:hint="eastAsia" w:cs="Times New Roman"/>
                <w:sz w:val="21"/>
                <w:szCs w:val="21"/>
                <w:highlight w:val="none"/>
                <w:vertAlign w:val="baseline"/>
                <w:lang w:val="en-US" w:eastAsia="zh-CN"/>
              </w:rPr>
              <w:t>kg/d</w:t>
            </w:r>
          </w:p>
        </w:tc>
        <w:tc>
          <w:tcPr>
            <w:tcW w:w="1102" w:type="pct"/>
            <w:vMerge w:val="continue"/>
            <w:shd w:val="clear" w:color="auto" w:fill="auto"/>
            <w:noWrap w:val="0"/>
            <w:vAlign w:val="center"/>
          </w:tcPr>
          <w:p w14:paraId="4DA6D877">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yellow"/>
                <w:u w:val="none" w:color="auto"/>
                <w:lang w:val="en-US" w:eastAsia="zh-CN" w:bidi="ar-SA"/>
              </w:rPr>
            </w:pPr>
          </w:p>
        </w:tc>
      </w:tr>
      <w:tr w14:paraId="52888F9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03" w:type="pct"/>
            <w:vMerge w:val="continue"/>
            <w:noWrap w:val="0"/>
            <w:vAlign w:val="center"/>
          </w:tcPr>
          <w:p w14:paraId="6435735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yellow"/>
                <w:u w:val="none" w:color="auto"/>
                <w:lang w:val="en-US" w:eastAsia="zh-CN"/>
              </w:rPr>
            </w:pPr>
          </w:p>
        </w:tc>
        <w:tc>
          <w:tcPr>
            <w:tcW w:w="814" w:type="pct"/>
            <w:vMerge w:val="continue"/>
            <w:noWrap w:val="0"/>
            <w:vAlign w:val="center"/>
          </w:tcPr>
          <w:p w14:paraId="6F4D57C0">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none"/>
                <w:u w:val="none" w:color="auto"/>
                <w:lang w:val="en-US" w:eastAsia="zh-CN"/>
              </w:rPr>
            </w:pPr>
          </w:p>
        </w:tc>
        <w:tc>
          <w:tcPr>
            <w:tcW w:w="693" w:type="pct"/>
            <w:shd w:val="clear" w:color="auto" w:fill="auto"/>
            <w:noWrap w:val="0"/>
            <w:vAlign w:val="center"/>
          </w:tcPr>
          <w:p w14:paraId="7EF41037">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kern w:val="2"/>
                <w:sz w:val="21"/>
                <w:szCs w:val="21"/>
                <w:highlight w:val="none"/>
                <w:u w:val="none" w:color="auto"/>
                <w:lang w:val="en-US" w:eastAsia="zh-CN" w:bidi="ar-SA"/>
              </w:rPr>
            </w:pPr>
            <w:r>
              <w:rPr>
                <w:rFonts w:hint="eastAsia" w:cs="Times New Roman"/>
                <w:kern w:val="2"/>
                <w:sz w:val="21"/>
                <w:szCs w:val="21"/>
                <w:highlight w:val="none"/>
                <w:u w:val="none" w:color="auto"/>
                <w:lang w:val="en-US" w:eastAsia="zh-CN" w:bidi="ar-SA"/>
              </w:rPr>
              <w:t>SS</w:t>
            </w:r>
          </w:p>
        </w:tc>
        <w:tc>
          <w:tcPr>
            <w:tcW w:w="915" w:type="pct"/>
            <w:shd w:val="clear" w:color="auto" w:fill="auto"/>
            <w:noWrap w:val="0"/>
            <w:vAlign w:val="center"/>
          </w:tcPr>
          <w:p w14:paraId="68B27974">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kern w:val="2"/>
                <w:sz w:val="21"/>
                <w:szCs w:val="21"/>
                <w:highlight w:val="none"/>
                <w:u w:val="none" w:color="auto"/>
                <w:lang w:val="en-US" w:eastAsia="zh-CN" w:bidi="ar-SA"/>
              </w:rPr>
            </w:pPr>
            <w:r>
              <w:rPr>
                <w:rFonts w:hint="eastAsia" w:cs="Times New Roman"/>
                <w:kern w:val="2"/>
                <w:sz w:val="21"/>
                <w:szCs w:val="21"/>
                <w:highlight w:val="none"/>
                <w:u w:val="none" w:color="auto"/>
                <w:lang w:val="en-US" w:eastAsia="zh-CN" w:bidi="ar-SA"/>
              </w:rPr>
              <w:t>1.44</w:t>
            </w:r>
            <w:r>
              <w:rPr>
                <w:rFonts w:hint="eastAsia" w:cs="Times New Roman"/>
                <w:sz w:val="21"/>
                <w:szCs w:val="21"/>
                <w:highlight w:val="none"/>
                <w:vertAlign w:val="baseline"/>
                <w:lang w:val="en-US" w:eastAsia="zh-CN"/>
              </w:rPr>
              <w:t>kg/d</w:t>
            </w:r>
          </w:p>
        </w:tc>
        <w:tc>
          <w:tcPr>
            <w:tcW w:w="969" w:type="pct"/>
            <w:shd w:val="clear" w:color="auto" w:fill="auto"/>
            <w:noWrap w:val="0"/>
            <w:vAlign w:val="center"/>
          </w:tcPr>
          <w:p w14:paraId="0CA47259">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kern w:val="2"/>
                <w:sz w:val="21"/>
                <w:szCs w:val="21"/>
                <w:highlight w:val="none"/>
                <w:u w:val="none" w:color="auto"/>
                <w:lang w:val="en-US" w:eastAsia="zh-CN" w:bidi="ar-SA"/>
              </w:rPr>
            </w:pPr>
            <w:r>
              <w:rPr>
                <w:rFonts w:hint="eastAsia" w:cs="Times New Roman"/>
                <w:kern w:val="2"/>
                <w:sz w:val="21"/>
                <w:szCs w:val="21"/>
                <w:highlight w:val="none"/>
                <w:u w:val="none" w:color="auto"/>
                <w:lang w:val="en-US" w:eastAsia="zh-CN" w:bidi="ar-SA"/>
              </w:rPr>
              <w:t>0.144</w:t>
            </w:r>
            <w:r>
              <w:rPr>
                <w:rFonts w:hint="eastAsia" w:cs="Times New Roman"/>
                <w:sz w:val="21"/>
                <w:szCs w:val="21"/>
                <w:highlight w:val="none"/>
                <w:vertAlign w:val="baseline"/>
                <w:lang w:val="en-US" w:eastAsia="zh-CN"/>
              </w:rPr>
              <w:t>kg/d</w:t>
            </w:r>
          </w:p>
        </w:tc>
        <w:tc>
          <w:tcPr>
            <w:tcW w:w="1102" w:type="pct"/>
            <w:vMerge w:val="continue"/>
            <w:shd w:val="clear" w:color="auto" w:fill="auto"/>
            <w:noWrap w:val="0"/>
            <w:vAlign w:val="center"/>
          </w:tcPr>
          <w:p w14:paraId="2945BAC5">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yellow"/>
                <w:u w:val="none" w:color="auto"/>
                <w:lang w:val="en-US" w:eastAsia="zh-CN" w:bidi="ar-SA"/>
              </w:rPr>
            </w:pPr>
          </w:p>
        </w:tc>
      </w:tr>
      <w:tr w14:paraId="7F5170A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03" w:type="pct"/>
            <w:vMerge w:val="continue"/>
            <w:noWrap w:val="0"/>
            <w:vAlign w:val="center"/>
          </w:tcPr>
          <w:p w14:paraId="2C24883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yellow"/>
                <w:u w:val="none" w:color="auto"/>
                <w:lang w:val="en-US" w:eastAsia="zh-CN"/>
              </w:rPr>
            </w:pPr>
          </w:p>
        </w:tc>
        <w:tc>
          <w:tcPr>
            <w:tcW w:w="814" w:type="pct"/>
            <w:vMerge w:val="restart"/>
            <w:noWrap w:val="0"/>
            <w:vAlign w:val="center"/>
          </w:tcPr>
          <w:p w14:paraId="35D9EAB7">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sz w:val="21"/>
                <w:szCs w:val="21"/>
                <w:highlight w:val="none"/>
                <w:u w:val="none" w:color="auto"/>
                <w:lang w:val="en-US" w:eastAsia="zh-CN"/>
              </w:rPr>
            </w:pPr>
            <w:r>
              <w:rPr>
                <w:rFonts w:hint="eastAsia"/>
                <w:sz w:val="21"/>
                <w:szCs w:val="21"/>
                <w:highlight w:val="none"/>
                <w:u w:val="none" w:color="auto"/>
                <w:lang w:val="en-US" w:eastAsia="zh-CN"/>
              </w:rPr>
              <w:t>渗滤液（17.28m</w:t>
            </w:r>
            <w:r>
              <w:rPr>
                <w:rFonts w:hint="eastAsia"/>
                <w:sz w:val="21"/>
                <w:szCs w:val="21"/>
                <w:highlight w:val="none"/>
                <w:u w:val="none" w:color="auto"/>
                <w:vertAlign w:val="superscript"/>
                <w:lang w:val="en-US" w:eastAsia="zh-CN"/>
              </w:rPr>
              <w:t>3</w:t>
            </w:r>
            <w:r>
              <w:rPr>
                <w:rFonts w:hint="eastAsia"/>
                <w:sz w:val="21"/>
                <w:szCs w:val="21"/>
                <w:highlight w:val="none"/>
                <w:u w:val="none" w:color="auto"/>
                <w:lang w:val="en-US" w:eastAsia="zh-CN"/>
              </w:rPr>
              <w:t>/d）</w:t>
            </w:r>
          </w:p>
        </w:tc>
        <w:tc>
          <w:tcPr>
            <w:tcW w:w="693" w:type="pct"/>
            <w:shd w:val="clear" w:color="auto" w:fill="auto"/>
            <w:noWrap w:val="0"/>
            <w:vAlign w:val="center"/>
          </w:tcPr>
          <w:p w14:paraId="659B5CE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kern w:val="2"/>
                <w:sz w:val="21"/>
                <w:szCs w:val="21"/>
                <w:highlight w:val="none"/>
                <w:vertAlign w:val="baseline"/>
                <w:lang w:val="en-US" w:eastAsia="zh-CN" w:bidi="ar-SA"/>
              </w:rPr>
            </w:pPr>
            <w:r>
              <w:rPr>
                <w:rFonts w:hint="eastAsia"/>
                <w:sz w:val="21"/>
                <w:szCs w:val="21"/>
                <w:highlight w:val="none"/>
                <w:vertAlign w:val="baseline"/>
                <w:lang w:val="en-US" w:eastAsia="zh-CN"/>
              </w:rPr>
              <w:t>总铬</w:t>
            </w:r>
          </w:p>
        </w:tc>
        <w:tc>
          <w:tcPr>
            <w:tcW w:w="915" w:type="pct"/>
            <w:shd w:val="clear" w:color="auto" w:fill="auto"/>
            <w:noWrap w:val="0"/>
            <w:vAlign w:val="center"/>
          </w:tcPr>
          <w:p w14:paraId="199A157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kern w:val="2"/>
                <w:sz w:val="21"/>
                <w:szCs w:val="21"/>
                <w:highlight w:val="none"/>
                <w:vertAlign w:val="baseline"/>
                <w:lang w:val="en-US" w:eastAsia="zh-CN" w:bidi="ar-SA"/>
              </w:rPr>
            </w:pPr>
            <w:r>
              <w:rPr>
                <w:rFonts w:hint="eastAsia" w:eastAsia="宋体"/>
                <w:sz w:val="21"/>
                <w:szCs w:val="21"/>
                <w:highlight w:val="none"/>
                <w:vertAlign w:val="baseline"/>
                <w:lang w:val="en-US" w:eastAsia="zh-CN"/>
              </w:rPr>
              <w:t>0.00035</w:t>
            </w:r>
            <w:r>
              <w:rPr>
                <w:rFonts w:hint="eastAsia" w:cs="Times New Roman"/>
                <w:sz w:val="21"/>
                <w:szCs w:val="21"/>
                <w:highlight w:val="none"/>
                <w:vertAlign w:val="baseline"/>
                <w:lang w:val="en-US" w:eastAsia="zh-CN"/>
              </w:rPr>
              <w:t>kg/d</w:t>
            </w:r>
          </w:p>
        </w:tc>
        <w:tc>
          <w:tcPr>
            <w:tcW w:w="969" w:type="pct"/>
            <w:shd w:val="clear" w:color="auto" w:fill="auto"/>
            <w:noWrap w:val="0"/>
            <w:vAlign w:val="center"/>
          </w:tcPr>
          <w:p w14:paraId="30051F1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kern w:val="2"/>
                <w:sz w:val="21"/>
                <w:szCs w:val="21"/>
                <w:highlight w:val="none"/>
                <w:vertAlign w:val="baseline"/>
                <w:lang w:val="en-US" w:eastAsia="zh-CN" w:bidi="ar-SA"/>
              </w:rPr>
            </w:pPr>
            <w:r>
              <w:rPr>
                <w:rFonts w:hint="eastAsia" w:cs="Times New Roman"/>
                <w:sz w:val="21"/>
                <w:szCs w:val="21"/>
                <w:highlight w:val="none"/>
                <w:vertAlign w:val="baseline"/>
                <w:lang w:val="en-US" w:eastAsia="zh-CN"/>
              </w:rPr>
              <w:t>0.000035kg/d</w:t>
            </w:r>
          </w:p>
        </w:tc>
        <w:tc>
          <w:tcPr>
            <w:tcW w:w="1102" w:type="pct"/>
            <w:vMerge w:val="restart"/>
            <w:shd w:val="clear" w:color="auto" w:fill="auto"/>
            <w:noWrap w:val="0"/>
            <w:vAlign w:val="center"/>
          </w:tcPr>
          <w:p w14:paraId="2558B723">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u w:val="none" w:color="auto"/>
                <w:lang w:val="en-US" w:eastAsia="zh-CN" w:bidi="ar-SA"/>
              </w:rPr>
            </w:pPr>
            <w:r>
              <w:rPr>
                <w:rFonts w:hint="eastAsia" w:ascii="Times New Roman" w:hAnsi="Times New Roman" w:eastAsia="宋体" w:cs="Times New Roman"/>
                <w:kern w:val="2"/>
                <w:sz w:val="21"/>
                <w:szCs w:val="21"/>
                <w:highlight w:val="none"/>
                <w:u w:val="none" w:color="auto"/>
                <w:lang w:val="en-US" w:eastAsia="zh-CN" w:bidi="ar-SA"/>
              </w:rPr>
              <w:t>经一体化污水处理装置处理后后由槽罐车托运至湖南黄金天岳矿业有限公司垂拱洞尾矿库废水处理站进行处理</w:t>
            </w:r>
          </w:p>
        </w:tc>
      </w:tr>
      <w:tr w14:paraId="43406F2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03" w:type="pct"/>
            <w:vMerge w:val="continue"/>
            <w:noWrap w:val="0"/>
            <w:vAlign w:val="center"/>
          </w:tcPr>
          <w:p w14:paraId="7EFE008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yellow"/>
                <w:u w:val="none" w:color="auto"/>
                <w:lang w:val="en-US" w:eastAsia="zh-CN"/>
              </w:rPr>
            </w:pPr>
          </w:p>
        </w:tc>
        <w:tc>
          <w:tcPr>
            <w:tcW w:w="814" w:type="pct"/>
            <w:vMerge w:val="continue"/>
            <w:noWrap w:val="0"/>
            <w:vAlign w:val="center"/>
          </w:tcPr>
          <w:p w14:paraId="073B18FF">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none"/>
                <w:u w:val="none" w:color="auto"/>
                <w:lang w:val="en-US" w:eastAsia="zh-CN"/>
              </w:rPr>
            </w:pPr>
          </w:p>
        </w:tc>
        <w:tc>
          <w:tcPr>
            <w:tcW w:w="693" w:type="pct"/>
            <w:shd w:val="clear" w:color="auto" w:fill="auto"/>
            <w:noWrap w:val="0"/>
            <w:vAlign w:val="center"/>
          </w:tcPr>
          <w:p w14:paraId="48B4E26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kern w:val="2"/>
                <w:sz w:val="21"/>
                <w:szCs w:val="21"/>
                <w:highlight w:val="none"/>
                <w:vertAlign w:val="baseline"/>
                <w:lang w:val="en-US" w:eastAsia="zh-CN" w:bidi="ar-SA"/>
              </w:rPr>
            </w:pPr>
            <w:r>
              <w:rPr>
                <w:rFonts w:hint="eastAsia"/>
                <w:sz w:val="21"/>
                <w:szCs w:val="21"/>
                <w:highlight w:val="none"/>
                <w:vertAlign w:val="baseline"/>
                <w:lang w:val="en-US" w:eastAsia="zh-CN"/>
              </w:rPr>
              <w:t>总镍</w:t>
            </w:r>
          </w:p>
        </w:tc>
        <w:tc>
          <w:tcPr>
            <w:tcW w:w="915" w:type="pct"/>
            <w:shd w:val="clear" w:color="auto" w:fill="auto"/>
            <w:noWrap w:val="0"/>
            <w:vAlign w:val="center"/>
          </w:tcPr>
          <w:p w14:paraId="3945AA2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kern w:val="2"/>
                <w:sz w:val="21"/>
                <w:szCs w:val="21"/>
                <w:highlight w:val="none"/>
                <w:vertAlign w:val="baseline"/>
                <w:lang w:val="en-US" w:eastAsia="zh-CN" w:bidi="ar-SA"/>
              </w:rPr>
            </w:pPr>
            <w:r>
              <w:rPr>
                <w:rFonts w:hint="eastAsia" w:eastAsia="宋体"/>
                <w:sz w:val="21"/>
                <w:szCs w:val="21"/>
                <w:highlight w:val="none"/>
                <w:vertAlign w:val="baseline"/>
                <w:lang w:val="en-US" w:eastAsia="zh-CN"/>
              </w:rPr>
              <w:t>0.00035</w:t>
            </w:r>
            <w:r>
              <w:rPr>
                <w:rFonts w:hint="eastAsia" w:cs="Times New Roman"/>
                <w:sz w:val="21"/>
                <w:szCs w:val="21"/>
                <w:highlight w:val="none"/>
                <w:vertAlign w:val="baseline"/>
                <w:lang w:val="en-US" w:eastAsia="zh-CN"/>
              </w:rPr>
              <w:t>kg/d</w:t>
            </w:r>
          </w:p>
        </w:tc>
        <w:tc>
          <w:tcPr>
            <w:tcW w:w="969" w:type="pct"/>
            <w:shd w:val="clear" w:color="auto" w:fill="auto"/>
            <w:noWrap w:val="0"/>
            <w:vAlign w:val="center"/>
          </w:tcPr>
          <w:p w14:paraId="5D857CF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kern w:val="2"/>
                <w:sz w:val="21"/>
                <w:szCs w:val="21"/>
                <w:highlight w:val="none"/>
                <w:vertAlign w:val="baseline"/>
                <w:lang w:val="en-US" w:eastAsia="zh-CN" w:bidi="ar-SA"/>
              </w:rPr>
            </w:pPr>
            <w:r>
              <w:rPr>
                <w:rFonts w:hint="eastAsia" w:cs="Times New Roman"/>
                <w:sz w:val="21"/>
                <w:szCs w:val="21"/>
                <w:highlight w:val="none"/>
                <w:vertAlign w:val="baseline"/>
                <w:lang w:val="en-US" w:eastAsia="zh-CN"/>
              </w:rPr>
              <w:t>0.000035kg/d</w:t>
            </w:r>
          </w:p>
        </w:tc>
        <w:tc>
          <w:tcPr>
            <w:tcW w:w="1102" w:type="pct"/>
            <w:vMerge w:val="continue"/>
            <w:shd w:val="clear" w:color="auto" w:fill="auto"/>
            <w:noWrap w:val="0"/>
            <w:vAlign w:val="center"/>
          </w:tcPr>
          <w:p w14:paraId="188C1A87">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u w:val="none" w:color="auto"/>
                <w:lang w:val="en-US" w:eastAsia="zh-CN" w:bidi="ar-SA"/>
              </w:rPr>
            </w:pPr>
          </w:p>
        </w:tc>
      </w:tr>
      <w:tr w14:paraId="17AAB90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03" w:type="pct"/>
            <w:vMerge w:val="continue"/>
            <w:noWrap w:val="0"/>
            <w:vAlign w:val="center"/>
          </w:tcPr>
          <w:p w14:paraId="1834E15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yellow"/>
                <w:u w:val="none" w:color="auto"/>
                <w:lang w:val="en-US" w:eastAsia="zh-CN"/>
              </w:rPr>
            </w:pPr>
          </w:p>
        </w:tc>
        <w:tc>
          <w:tcPr>
            <w:tcW w:w="814" w:type="pct"/>
            <w:vMerge w:val="continue"/>
            <w:noWrap w:val="0"/>
            <w:vAlign w:val="center"/>
          </w:tcPr>
          <w:p w14:paraId="7171C0DD">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none"/>
                <w:u w:val="none" w:color="auto"/>
                <w:lang w:val="en-US" w:eastAsia="zh-CN"/>
              </w:rPr>
            </w:pPr>
          </w:p>
        </w:tc>
        <w:tc>
          <w:tcPr>
            <w:tcW w:w="693" w:type="pct"/>
            <w:shd w:val="clear" w:color="auto" w:fill="auto"/>
            <w:noWrap w:val="0"/>
            <w:vAlign w:val="center"/>
          </w:tcPr>
          <w:p w14:paraId="2379CD0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kern w:val="2"/>
                <w:sz w:val="21"/>
                <w:szCs w:val="21"/>
                <w:highlight w:val="none"/>
                <w:vertAlign w:val="baseline"/>
                <w:lang w:val="en-US" w:eastAsia="zh-CN" w:bidi="ar-SA"/>
              </w:rPr>
            </w:pPr>
            <w:r>
              <w:rPr>
                <w:rFonts w:hint="eastAsia"/>
                <w:sz w:val="21"/>
                <w:szCs w:val="21"/>
                <w:highlight w:val="none"/>
                <w:vertAlign w:val="baseline"/>
                <w:lang w:val="en-US" w:eastAsia="zh-CN"/>
              </w:rPr>
              <w:t>总铜</w:t>
            </w:r>
          </w:p>
        </w:tc>
        <w:tc>
          <w:tcPr>
            <w:tcW w:w="915" w:type="pct"/>
            <w:shd w:val="clear" w:color="auto" w:fill="auto"/>
            <w:noWrap w:val="0"/>
            <w:vAlign w:val="center"/>
          </w:tcPr>
          <w:p w14:paraId="5DF5803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kern w:val="2"/>
                <w:sz w:val="21"/>
                <w:szCs w:val="21"/>
                <w:highlight w:val="none"/>
                <w:vertAlign w:val="baseline"/>
                <w:lang w:val="en-US" w:eastAsia="zh-CN" w:bidi="ar-SA"/>
              </w:rPr>
            </w:pPr>
            <w:r>
              <w:rPr>
                <w:rFonts w:hint="eastAsia" w:eastAsia="宋体"/>
                <w:sz w:val="21"/>
                <w:szCs w:val="21"/>
                <w:highlight w:val="none"/>
                <w:vertAlign w:val="baseline"/>
                <w:lang w:val="en-US" w:eastAsia="zh-CN"/>
              </w:rPr>
              <w:t>0.0019</w:t>
            </w:r>
            <w:r>
              <w:rPr>
                <w:rFonts w:hint="eastAsia" w:cs="Times New Roman"/>
                <w:sz w:val="21"/>
                <w:szCs w:val="21"/>
                <w:highlight w:val="none"/>
                <w:vertAlign w:val="baseline"/>
                <w:lang w:val="en-US" w:eastAsia="zh-CN"/>
              </w:rPr>
              <w:t>kg/d</w:t>
            </w:r>
          </w:p>
        </w:tc>
        <w:tc>
          <w:tcPr>
            <w:tcW w:w="969" w:type="pct"/>
            <w:shd w:val="clear" w:color="auto" w:fill="auto"/>
            <w:noWrap w:val="0"/>
            <w:vAlign w:val="center"/>
          </w:tcPr>
          <w:p w14:paraId="0A0ACD6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kern w:val="2"/>
                <w:sz w:val="21"/>
                <w:szCs w:val="21"/>
                <w:highlight w:val="none"/>
                <w:vertAlign w:val="baseline"/>
                <w:lang w:val="en-US" w:eastAsia="zh-CN" w:bidi="ar-SA"/>
              </w:rPr>
            </w:pPr>
            <w:r>
              <w:rPr>
                <w:rFonts w:hint="eastAsia" w:cs="Times New Roman"/>
                <w:sz w:val="21"/>
                <w:szCs w:val="21"/>
                <w:highlight w:val="none"/>
                <w:vertAlign w:val="baseline"/>
                <w:lang w:val="en-US" w:eastAsia="zh-CN"/>
              </w:rPr>
              <w:t>0.00019kg/d</w:t>
            </w:r>
          </w:p>
        </w:tc>
        <w:tc>
          <w:tcPr>
            <w:tcW w:w="1102" w:type="pct"/>
            <w:vMerge w:val="continue"/>
            <w:shd w:val="clear" w:color="auto" w:fill="auto"/>
            <w:noWrap w:val="0"/>
            <w:vAlign w:val="center"/>
          </w:tcPr>
          <w:p w14:paraId="3B50A75D">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u w:val="none" w:color="auto"/>
                <w:lang w:val="en-US" w:eastAsia="zh-CN" w:bidi="ar-SA"/>
              </w:rPr>
            </w:pPr>
          </w:p>
        </w:tc>
      </w:tr>
      <w:tr w14:paraId="7AB0D57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03" w:type="pct"/>
            <w:vMerge w:val="continue"/>
            <w:noWrap w:val="0"/>
            <w:vAlign w:val="center"/>
          </w:tcPr>
          <w:p w14:paraId="1E0883C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yellow"/>
                <w:u w:val="none" w:color="auto"/>
                <w:lang w:val="en-US" w:eastAsia="zh-CN"/>
              </w:rPr>
            </w:pPr>
          </w:p>
        </w:tc>
        <w:tc>
          <w:tcPr>
            <w:tcW w:w="814" w:type="pct"/>
            <w:vMerge w:val="continue"/>
            <w:noWrap w:val="0"/>
            <w:vAlign w:val="center"/>
          </w:tcPr>
          <w:p w14:paraId="4C3FD758">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none"/>
                <w:u w:val="none" w:color="auto"/>
                <w:lang w:val="en-US" w:eastAsia="zh-CN"/>
              </w:rPr>
            </w:pPr>
          </w:p>
        </w:tc>
        <w:tc>
          <w:tcPr>
            <w:tcW w:w="693" w:type="pct"/>
            <w:shd w:val="clear" w:color="auto" w:fill="auto"/>
            <w:noWrap w:val="0"/>
            <w:vAlign w:val="center"/>
          </w:tcPr>
          <w:p w14:paraId="757D3A6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kern w:val="2"/>
                <w:sz w:val="21"/>
                <w:szCs w:val="21"/>
                <w:highlight w:val="none"/>
                <w:vertAlign w:val="baseline"/>
                <w:lang w:val="en-US" w:eastAsia="zh-CN" w:bidi="ar-SA"/>
              </w:rPr>
            </w:pPr>
            <w:r>
              <w:rPr>
                <w:rFonts w:hint="eastAsia"/>
                <w:sz w:val="21"/>
                <w:szCs w:val="21"/>
                <w:highlight w:val="none"/>
                <w:vertAlign w:val="baseline"/>
                <w:lang w:val="en-US" w:eastAsia="zh-CN"/>
              </w:rPr>
              <w:t>总锌</w:t>
            </w:r>
          </w:p>
        </w:tc>
        <w:tc>
          <w:tcPr>
            <w:tcW w:w="915" w:type="pct"/>
            <w:shd w:val="clear" w:color="auto" w:fill="auto"/>
            <w:noWrap w:val="0"/>
            <w:vAlign w:val="center"/>
          </w:tcPr>
          <w:p w14:paraId="556AE85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kern w:val="2"/>
                <w:sz w:val="21"/>
                <w:szCs w:val="21"/>
                <w:highlight w:val="none"/>
                <w:vertAlign w:val="baseline"/>
                <w:lang w:val="en-US" w:eastAsia="zh-CN" w:bidi="ar-SA"/>
              </w:rPr>
            </w:pPr>
            <w:r>
              <w:rPr>
                <w:rFonts w:hint="eastAsia" w:eastAsia="宋体"/>
                <w:sz w:val="21"/>
                <w:szCs w:val="21"/>
                <w:highlight w:val="none"/>
                <w:vertAlign w:val="baseline"/>
                <w:lang w:val="en-US" w:eastAsia="zh-CN"/>
              </w:rPr>
              <w:t>0.0047</w:t>
            </w:r>
            <w:r>
              <w:rPr>
                <w:rFonts w:hint="eastAsia" w:cs="Times New Roman"/>
                <w:sz w:val="21"/>
                <w:szCs w:val="21"/>
                <w:highlight w:val="none"/>
                <w:vertAlign w:val="baseline"/>
                <w:lang w:val="en-US" w:eastAsia="zh-CN"/>
              </w:rPr>
              <w:t>kg/d</w:t>
            </w:r>
          </w:p>
        </w:tc>
        <w:tc>
          <w:tcPr>
            <w:tcW w:w="969" w:type="pct"/>
            <w:shd w:val="clear" w:color="auto" w:fill="auto"/>
            <w:noWrap w:val="0"/>
            <w:vAlign w:val="center"/>
          </w:tcPr>
          <w:p w14:paraId="67C531E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kern w:val="2"/>
                <w:sz w:val="21"/>
                <w:szCs w:val="21"/>
                <w:highlight w:val="none"/>
                <w:vertAlign w:val="baseline"/>
                <w:lang w:val="en-US" w:eastAsia="zh-CN" w:bidi="ar-SA"/>
              </w:rPr>
            </w:pPr>
            <w:r>
              <w:rPr>
                <w:rFonts w:hint="eastAsia" w:cs="Times New Roman"/>
                <w:sz w:val="21"/>
                <w:szCs w:val="21"/>
                <w:highlight w:val="none"/>
                <w:vertAlign w:val="baseline"/>
                <w:lang w:val="en-US" w:eastAsia="zh-CN"/>
              </w:rPr>
              <w:t>0.0005kg/d</w:t>
            </w:r>
          </w:p>
        </w:tc>
        <w:tc>
          <w:tcPr>
            <w:tcW w:w="1102" w:type="pct"/>
            <w:vMerge w:val="continue"/>
            <w:shd w:val="clear" w:color="auto" w:fill="auto"/>
            <w:noWrap w:val="0"/>
            <w:vAlign w:val="center"/>
          </w:tcPr>
          <w:p w14:paraId="1C48CE5E">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u w:val="none" w:color="auto"/>
                <w:lang w:val="en-US" w:eastAsia="zh-CN" w:bidi="ar-SA"/>
              </w:rPr>
            </w:pPr>
          </w:p>
        </w:tc>
      </w:tr>
      <w:tr w14:paraId="4E7B113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03" w:type="pct"/>
            <w:vMerge w:val="continue"/>
            <w:noWrap w:val="0"/>
            <w:vAlign w:val="center"/>
          </w:tcPr>
          <w:p w14:paraId="3B5DFB0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yellow"/>
                <w:u w:val="none" w:color="auto"/>
                <w:lang w:val="en-US" w:eastAsia="zh-CN"/>
              </w:rPr>
            </w:pPr>
          </w:p>
        </w:tc>
        <w:tc>
          <w:tcPr>
            <w:tcW w:w="814" w:type="pct"/>
            <w:vMerge w:val="continue"/>
            <w:noWrap w:val="0"/>
            <w:vAlign w:val="center"/>
          </w:tcPr>
          <w:p w14:paraId="56BE85CE">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none"/>
                <w:u w:val="none" w:color="auto"/>
                <w:lang w:val="en-US" w:eastAsia="zh-CN"/>
              </w:rPr>
            </w:pPr>
          </w:p>
        </w:tc>
        <w:tc>
          <w:tcPr>
            <w:tcW w:w="693" w:type="pct"/>
            <w:shd w:val="clear" w:color="auto" w:fill="auto"/>
            <w:noWrap w:val="0"/>
            <w:vAlign w:val="center"/>
          </w:tcPr>
          <w:p w14:paraId="3C45789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kern w:val="2"/>
                <w:sz w:val="21"/>
                <w:szCs w:val="21"/>
                <w:highlight w:val="none"/>
                <w:vertAlign w:val="baseline"/>
                <w:lang w:val="en-US" w:eastAsia="zh-CN" w:bidi="ar-SA"/>
              </w:rPr>
            </w:pPr>
            <w:r>
              <w:rPr>
                <w:rFonts w:hint="eastAsia"/>
                <w:sz w:val="21"/>
                <w:szCs w:val="21"/>
                <w:highlight w:val="none"/>
                <w:vertAlign w:val="baseline"/>
                <w:lang w:val="en-US" w:eastAsia="zh-CN"/>
              </w:rPr>
              <w:t>总砷</w:t>
            </w:r>
          </w:p>
        </w:tc>
        <w:tc>
          <w:tcPr>
            <w:tcW w:w="915" w:type="pct"/>
            <w:shd w:val="clear" w:color="auto" w:fill="auto"/>
            <w:noWrap w:val="0"/>
            <w:vAlign w:val="center"/>
          </w:tcPr>
          <w:p w14:paraId="573C6C4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kern w:val="2"/>
                <w:sz w:val="21"/>
                <w:szCs w:val="21"/>
                <w:highlight w:val="none"/>
                <w:vertAlign w:val="baseline"/>
                <w:lang w:val="en-US" w:eastAsia="zh-CN" w:bidi="ar-SA"/>
              </w:rPr>
            </w:pPr>
            <w:r>
              <w:rPr>
                <w:rFonts w:hint="eastAsia" w:eastAsia="宋体"/>
                <w:sz w:val="21"/>
                <w:szCs w:val="21"/>
                <w:highlight w:val="none"/>
                <w:vertAlign w:val="baseline"/>
                <w:lang w:val="en-US" w:eastAsia="zh-CN"/>
              </w:rPr>
              <w:t>0.0429</w:t>
            </w:r>
            <w:r>
              <w:rPr>
                <w:rFonts w:hint="eastAsia" w:cs="Times New Roman"/>
                <w:sz w:val="21"/>
                <w:szCs w:val="21"/>
                <w:highlight w:val="none"/>
                <w:vertAlign w:val="baseline"/>
                <w:lang w:val="en-US" w:eastAsia="zh-CN"/>
              </w:rPr>
              <w:t>kg/d</w:t>
            </w:r>
          </w:p>
        </w:tc>
        <w:tc>
          <w:tcPr>
            <w:tcW w:w="969" w:type="pct"/>
            <w:shd w:val="clear" w:color="auto" w:fill="auto"/>
            <w:noWrap w:val="0"/>
            <w:vAlign w:val="center"/>
          </w:tcPr>
          <w:p w14:paraId="149FBC2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kern w:val="2"/>
                <w:sz w:val="21"/>
                <w:szCs w:val="21"/>
                <w:highlight w:val="none"/>
                <w:vertAlign w:val="baseline"/>
                <w:lang w:val="en-US" w:eastAsia="zh-CN" w:bidi="ar-SA"/>
              </w:rPr>
            </w:pPr>
            <w:r>
              <w:rPr>
                <w:rFonts w:hint="eastAsia" w:cs="Times New Roman"/>
                <w:sz w:val="21"/>
                <w:szCs w:val="21"/>
                <w:highlight w:val="none"/>
                <w:vertAlign w:val="baseline"/>
                <w:lang w:val="en-US" w:eastAsia="zh-CN"/>
              </w:rPr>
              <w:t>0.0043kg/d</w:t>
            </w:r>
          </w:p>
        </w:tc>
        <w:tc>
          <w:tcPr>
            <w:tcW w:w="1102" w:type="pct"/>
            <w:vMerge w:val="continue"/>
            <w:shd w:val="clear" w:color="auto" w:fill="auto"/>
            <w:noWrap w:val="0"/>
            <w:vAlign w:val="center"/>
          </w:tcPr>
          <w:p w14:paraId="09313A02">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u w:val="none" w:color="auto"/>
                <w:lang w:val="en-US" w:eastAsia="zh-CN" w:bidi="ar-SA"/>
              </w:rPr>
            </w:pPr>
          </w:p>
        </w:tc>
      </w:tr>
      <w:tr w14:paraId="4E0E133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03" w:type="pct"/>
            <w:vMerge w:val="continue"/>
            <w:noWrap w:val="0"/>
            <w:vAlign w:val="center"/>
          </w:tcPr>
          <w:p w14:paraId="5C5AD86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yellow"/>
                <w:u w:val="none" w:color="auto"/>
                <w:lang w:val="en-US" w:eastAsia="zh-CN"/>
              </w:rPr>
            </w:pPr>
          </w:p>
        </w:tc>
        <w:tc>
          <w:tcPr>
            <w:tcW w:w="814" w:type="pct"/>
            <w:vMerge w:val="continue"/>
            <w:noWrap w:val="0"/>
            <w:vAlign w:val="center"/>
          </w:tcPr>
          <w:p w14:paraId="788BCC52">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none"/>
                <w:u w:val="none" w:color="auto"/>
                <w:lang w:val="en-US" w:eastAsia="zh-CN"/>
              </w:rPr>
            </w:pPr>
          </w:p>
        </w:tc>
        <w:tc>
          <w:tcPr>
            <w:tcW w:w="693" w:type="pct"/>
            <w:shd w:val="clear" w:color="auto" w:fill="auto"/>
            <w:noWrap w:val="0"/>
            <w:vAlign w:val="center"/>
          </w:tcPr>
          <w:p w14:paraId="4BA0B79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kern w:val="2"/>
                <w:sz w:val="21"/>
                <w:szCs w:val="21"/>
                <w:highlight w:val="none"/>
                <w:vertAlign w:val="baseline"/>
                <w:lang w:val="en-US" w:eastAsia="zh-CN" w:bidi="ar-SA"/>
              </w:rPr>
            </w:pPr>
            <w:r>
              <w:rPr>
                <w:rFonts w:hint="eastAsia"/>
                <w:sz w:val="21"/>
                <w:szCs w:val="21"/>
                <w:highlight w:val="none"/>
                <w:vertAlign w:val="baseline"/>
                <w:lang w:val="en-US" w:eastAsia="zh-CN"/>
              </w:rPr>
              <w:t>总镉</w:t>
            </w:r>
          </w:p>
        </w:tc>
        <w:tc>
          <w:tcPr>
            <w:tcW w:w="915" w:type="pct"/>
            <w:shd w:val="clear" w:color="auto" w:fill="auto"/>
            <w:noWrap w:val="0"/>
            <w:vAlign w:val="center"/>
          </w:tcPr>
          <w:p w14:paraId="406DDFB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kern w:val="2"/>
                <w:sz w:val="21"/>
                <w:szCs w:val="21"/>
                <w:highlight w:val="none"/>
                <w:vertAlign w:val="baseline"/>
                <w:lang w:val="en-US" w:eastAsia="zh-CN" w:bidi="ar-SA"/>
              </w:rPr>
            </w:pPr>
            <w:r>
              <w:rPr>
                <w:rFonts w:hint="eastAsia" w:eastAsia="宋体"/>
                <w:sz w:val="21"/>
                <w:szCs w:val="21"/>
                <w:highlight w:val="none"/>
                <w:vertAlign w:val="baseline"/>
                <w:lang w:val="en-US" w:eastAsia="zh-CN"/>
              </w:rPr>
              <w:t>0.000021</w:t>
            </w:r>
            <w:r>
              <w:rPr>
                <w:rFonts w:hint="eastAsia" w:cs="Times New Roman"/>
                <w:sz w:val="21"/>
                <w:szCs w:val="21"/>
                <w:highlight w:val="none"/>
                <w:vertAlign w:val="baseline"/>
                <w:lang w:val="en-US" w:eastAsia="zh-CN"/>
              </w:rPr>
              <w:t>kg/d</w:t>
            </w:r>
          </w:p>
        </w:tc>
        <w:tc>
          <w:tcPr>
            <w:tcW w:w="969" w:type="pct"/>
            <w:shd w:val="clear" w:color="auto" w:fill="auto"/>
            <w:noWrap w:val="0"/>
            <w:vAlign w:val="center"/>
          </w:tcPr>
          <w:p w14:paraId="0590447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kern w:val="2"/>
                <w:sz w:val="21"/>
                <w:szCs w:val="21"/>
                <w:highlight w:val="none"/>
                <w:vertAlign w:val="baseline"/>
                <w:lang w:val="en-US" w:eastAsia="zh-CN" w:bidi="ar-SA"/>
              </w:rPr>
            </w:pPr>
            <w:r>
              <w:rPr>
                <w:rFonts w:hint="eastAsia" w:cs="Times New Roman"/>
                <w:sz w:val="21"/>
                <w:szCs w:val="21"/>
                <w:highlight w:val="none"/>
                <w:vertAlign w:val="baseline"/>
                <w:lang w:val="en-US" w:eastAsia="zh-CN"/>
              </w:rPr>
              <w:t>0.0000021kg/d</w:t>
            </w:r>
          </w:p>
        </w:tc>
        <w:tc>
          <w:tcPr>
            <w:tcW w:w="1102" w:type="pct"/>
            <w:vMerge w:val="continue"/>
            <w:shd w:val="clear" w:color="auto" w:fill="auto"/>
            <w:noWrap w:val="0"/>
            <w:vAlign w:val="center"/>
          </w:tcPr>
          <w:p w14:paraId="5D852BCC">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u w:val="none" w:color="auto"/>
                <w:lang w:val="en-US" w:eastAsia="zh-CN" w:bidi="ar-SA"/>
              </w:rPr>
            </w:pPr>
          </w:p>
        </w:tc>
      </w:tr>
      <w:tr w14:paraId="595E6BB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03" w:type="pct"/>
            <w:vMerge w:val="continue"/>
            <w:noWrap w:val="0"/>
            <w:vAlign w:val="center"/>
          </w:tcPr>
          <w:p w14:paraId="1B751A7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yellow"/>
                <w:u w:val="none" w:color="auto"/>
                <w:lang w:val="en-US" w:eastAsia="zh-CN"/>
              </w:rPr>
            </w:pPr>
          </w:p>
        </w:tc>
        <w:tc>
          <w:tcPr>
            <w:tcW w:w="814" w:type="pct"/>
            <w:vMerge w:val="continue"/>
            <w:noWrap w:val="0"/>
            <w:vAlign w:val="center"/>
          </w:tcPr>
          <w:p w14:paraId="26746FC2">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none"/>
                <w:u w:val="none" w:color="auto"/>
                <w:lang w:val="en-US" w:eastAsia="zh-CN"/>
              </w:rPr>
            </w:pPr>
          </w:p>
        </w:tc>
        <w:tc>
          <w:tcPr>
            <w:tcW w:w="693" w:type="pct"/>
            <w:shd w:val="clear" w:color="auto" w:fill="auto"/>
            <w:noWrap w:val="0"/>
            <w:vAlign w:val="center"/>
          </w:tcPr>
          <w:p w14:paraId="67FE2BF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kern w:val="2"/>
                <w:sz w:val="21"/>
                <w:szCs w:val="21"/>
                <w:highlight w:val="none"/>
                <w:vertAlign w:val="baseline"/>
                <w:lang w:val="en-US" w:eastAsia="zh-CN" w:bidi="ar-SA"/>
              </w:rPr>
            </w:pPr>
            <w:r>
              <w:rPr>
                <w:rFonts w:hint="eastAsia"/>
                <w:sz w:val="21"/>
                <w:szCs w:val="21"/>
                <w:highlight w:val="none"/>
                <w:vertAlign w:val="baseline"/>
                <w:lang w:val="en-US" w:eastAsia="zh-CN"/>
              </w:rPr>
              <w:t>总铅</w:t>
            </w:r>
          </w:p>
        </w:tc>
        <w:tc>
          <w:tcPr>
            <w:tcW w:w="915" w:type="pct"/>
            <w:shd w:val="clear" w:color="auto" w:fill="auto"/>
            <w:noWrap w:val="0"/>
            <w:vAlign w:val="center"/>
          </w:tcPr>
          <w:p w14:paraId="163EF84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kern w:val="2"/>
                <w:sz w:val="21"/>
                <w:szCs w:val="21"/>
                <w:highlight w:val="none"/>
                <w:vertAlign w:val="baseline"/>
                <w:lang w:val="en-US" w:eastAsia="zh-CN" w:bidi="ar-SA"/>
              </w:rPr>
            </w:pPr>
            <w:r>
              <w:rPr>
                <w:rFonts w:hint="eastAsia" w:eastAsia="宋体"/>
                <w:sz w:val="21"/>
                <w:szCs w:val="21"/>
                <w:highlight w:val="none"/>
                <w:vertAlign w:val="baseline"/>
                <w:lang w:val="en-US" w:eastAsia="zh-CN"/>
              </w:rPr>
              <w:t>0.00068</w:t>
            </w:r>
            <w:r>
              <w:rPr>
                <w:rFonts w:hint="eastAsia" w:cs="Times New Roman"/>
                <w:sz w:val="21"/>
                <w:szCs w:val="21"/>
                <w:highlight w:val="none"/>
                <w:vertAlign w:val="baseline"/>
                <w:lang w:val="en-US" w:eastAsia="zh-CN"/>
              </w:rPr>
              <w:t>kg/d</w:t>
            </w:r>
          </w:p>
        </w:tc>
        <w:tc>
          <w:tcPr>
            <w:tcW w:w="969" w:type="pct"/>
            <w:shd w:val="clear" w:color="auto" w:fill="auto"/>
            <w:noWrap w:val="0"/>
            <w:vAlign w:val="center"/>
          </w:tcPr>
          <w:p w14:paraId="233BD30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kern w:val="2"/>
                <w:sz w:val="21"/>
                <w:szCs w:val="21"/>
                <w:highlight w:val="none"/>
                <w:vertAlign w:val="baseline"/>
                <w:lang w:val="en-US" w:eastAsia="zh-CN" w:bidi="ar-SA"/>
              </w:rPr>
            </w:pPr>
            <w:r>
              <w:rPr>
                <w:rFonts w:hint="eastAsia" w:cs="Times New Roman"/>
                <w:sz w:val="21"/>
                <w:szCs w:val="21"/>
                <w:highlight w:val="none"/>
                <w:vertAlign w:val="baseline"/>
                <w:lang w:val="en-US" w:eastAsia="zh-CN"/>
              </w:rPr>
              <w:t>0.000068kg/d</w:t>
            </w:r>
          </w:p>
        </w:tc>
        <w:tc>
          <w:tcPr>
            <w:tcW w:w="1102" w:type="pct"/>
            <w:vMerge w:val="continue"/>
            <w:shd w:val="clear" w:color="auto" w:fill="auto"/>
            <w:noWrap w:val="0"/>
            <w:vAlign w:val="center"/>
          </w:tcPr>
          <w:p w14:paraId="5F782344">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u w:val="none" w:color="auto"/>
                <w:lang w:val="en-US" w:eastAsia="zh-CN" w:bidi="ar-SA"/>
              </w:rPr>
            </w:pPr>
          </w:p>
        </w:tc>
      </w:tr>
      <w:tr w14:paraId="58DDDAD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23" w:hRule="atLeast"/>
        </w:trPr>
        <w:tc>
          <w:tcPr>
            <w:tcW w:w="503" w:type="pct"/>
            <w:vMerge w:val="continue"/>
            <w:noWrap w:val="0"/>
            <w:vAlign w:val="center"/>
          </w:tcPr>
          <w:p w14:paraId="2488A51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yellow"/>
                <w:u w:val="none" w:color="auto"/>
                <w:lang w:val="en-US" w:eastAsia="zh-CN"/>
              </w:rPr>
            </w:pPr>
          </w:p>
        </w:tc>
        <w:tc>
          <w:tcPr>
            <w:tcW w:w="814" w:type="pct"/>
            <w:vMerge w:val="continue"/>
            <w:noWrap w:val="0"/>
            <w:vAlign w:val="center"/>
          </w:tcPr>
          <w:p w14:paraId="7935F9EC">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none"/>
                <w:u w:val="none" w:color="auto"/>
                <w:lang w:val="en-US" w:eastAsia="zh-CN"/>
              </w:rPr>
            </w:pPr>
          </w:p>
        </w:tc>
        <w:tc>
          <w:tcPr>
            <w:tcW w:w="693" w:type="pct"/>
            <w:shd w:val="clear" w:color="auto" w:fill="auto"/>
            <w:noWrap w:val="0"/>
            <w:vAlign w:val="center"/>
          </w:tcPr>
          <w:p w14:paraId="59D0E74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kern w:val="2"/>
                <w:sz w:val="21"/>
                <w:szCs w:val="21"/>
                <w:highlight w:val="none"/>
                <w:vertAlign w:val="baseline"/>
                <w:lang w:val="en-US" w:eastAsia="zh-CN" w:bidi="ar-SA"/>
              </w:rPr>
            </w:pPr>
            <w:r>
              <w:rPr>
                <w:rFonts w:hint="eastAsia"/>
                <w:sz w:val="21"/>
                <w:szCs w:val="21"/>
                <w:highlight w:val="none"/>
                <w:vertAlign w:val="baseline"/>
                <w:lang w:val="en-US" w:eastAsia="zh-CN"/>
              </w:rPr>
              <w:t>总汞</w:t>
            </w:r>
          </w:p>
        </w:tc>
        <w:tc>
          <w:tcPr>
            <w:tcW w:w="915" w:type="pct"/>
            <w:shd w:val="clear" w:color="auto" w:fill="auto"/>
            <w:noWrap w:val="0"/>
            <w:vAlign w:val="center"/>
          </w:tcPr>
          <w:p w14:paraId="1A299B8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kern w:val="2"/>
                <w:sz w:val="21"/>
                <w:szCs w:val="21"/>
                <w:highlight w:val="none"/>
                <w:vertAlign w:val="baseline"/>
                <w:lang w:val="en-US" w:eastAsia="zh-CN" w:bidi="ar-SA"/>
              </w:rPr>
            </w:pPr>
            <w:r>
              <w:rPr>
                <w:rFonts w:hint="eastAsia" w:eastAsia="宋体"/>
                <w:sz w:val="21"/>
                <w:szCs w:val="21"/>
                <w:highlight w:val="none"/>
                <w:vertAlign w:val="baseline"/>
                <w:lang w:val="en-US" w:eastAsia="zh-CN"/>
              </w:rPr>
              <w:t>0.00000035</w:t>
            </w:r>
            <w:r>
              <w:rPr>
                <w:rFonts w:hint="eastAsia" w:cs="Times New Roman"/>
                <w:sz w:val="21"/>
                <w:szCs w:val="21"/>
                <w:highlight w:val="none"/>
                <w:vertAlign w:val="baseline"/>
                <w:lang w:val="en-US" w:eastAsia="zh-CN"/>
              </w:rPr>
              <w:t>kg/d</w:t>
            </w:r>
          </w:p>
        </w:tc>
        <w:tc>
          <w:tcPr>
            <w:tcW w:w="969" w:type="pct"/>
            <w:shd w:val="clear" w:color="auto" w:fill="auto"/>
            <w:noWrap w:val="0"/>
            <w:vAlign w:val="center"/>
          </w:tcPr>
          <w:p w14:paraId="459C273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kern w:val="2"/>
                <w:sz w:val="21"/>
                <w:szCs w:val="21"/>
                <w:highlight w:val="none"/>
                <w:vertAlign w:val="baseline"/>
                <w:lang w:val="en-US" w:eastAsia="zh-CN" w:bidi="ar-SA"/>
              </w:rPr>
            </w:pPr>
            <w:r>
              <w:rPr>
                <w:rFonts w:hint="eastAsia" w:cs="Times New Roman"/>
                <w:sz w:val="21"/>
                <w:szCs w:val="21"/>
                <w:highlight w:val="none"/>
                <w:vertAlign w:val="baseline"/>
                <w:lang w:val="en-US" w:eastAsia="zh-CN"/>
              </w:rPr>
              <w:t>0.00000004kg/d</w:t>
            </w:r>
          </w:p>
        </w:tc>
        <w:tc>
          <w:tcPr>
            <w:tcW w:w="1102" w:type="pct"/>
            <w:vMerge w:val="continue"/>
            <w:shd w:val="clear" w:color="auto" w:fill="auto"/>
            <w:noWrap w:val="0"/>
            <w:vAlign w:val="center"/>
          </w:tcPr>
          <w:p w14:paraId="261C3B67">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u w:val="none" w:color="auto"/>
                <w:lang w:val="en-US" w:eastAsia="zh-CN" w:bidi="ar-SA"/>
              </w:rPr>
            </w:pPr>
          </w:p>
        </w:tc>
      </w:tr>
      <w:tr w14:paraId="63E7549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03" w:type="pct"/>
            <w:vMerge w:val="continue"/>
            <w:noWrap w:val="0"/>
            <w:vAlign w:val="center"/>
          </w:tcPr>
          <w:p w14:paraId="6E974EA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yellow"/>
                <w:u w:val="none" w:color="auto"/>
                <w:lang w:val="en-US" w:eastAsia="zh-CN"/>
              </w:rPr>
            </w:pPr>
          </w:p>
        </w:tc>
        <w:tc>
          <w:tcPr>
            <w:tcW w:w="814" w:type="pct"/>
            <w:vMerge w:val="continue"/>
            <w:noWrap w:val="0"/>
            <w:vAlign w:val="center"/>
          </w:tcPr>
          <w:p w14:paraId="39793053">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none"/>
                <w:u w:val="none" w:color="auto"/>
                <w:lang w:val="en-US" w:eastAsia="zh-CN"/>
              </w:rPr>
            </w:pPr>
          </w:p>
        </w:tc>
        <w:tc>
          <w:tcPr>
            <w:tcW w:w="693" w:type="pct"/>
            <w:shd w:val="clear" w:color="auto" w:fill="auto"/>
            <w:noWrap w:val="0"/>
            <w:vAlign w:val="center"/>
          </w:tcPr>
          <w:p w14:paraId="51624E9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kern w:val="2"/>
                <w:sz w:val="21"/>
                <w:szCs w:val="21"/>
                <w:highlight w:val="none"/>
                <w:vertAlign w:val="baseline"/>
                <w:lang w:val="en-US" w:eastAsia="zh-CN" w:bidi="ar-SA"/>
              </w:rPr>
            </w:pPr>
            <w:r>
              <w:rPr>
                <w:rFonts w:hint="eastAsia"/>
                <w:sz w:val="21"/>
                <w:szCs w:val="21"/>
                <w:highlight w:val="none"/>
                <w:vertAlign w:val="baseline"/>
                <w:lang w:val="en-US" w:eastAsia="zh-CN"/>
              </w:rPr>
              <w:t>六价铬</w:t>
            </w:r>
          </w:p>
        </w:tc>
        <w:tc>
          <w:tcPr>
            <w:tcW w:w="915" w:type="pct"/>
            <w:shd w:val="clear" w:color="auto" w:fill="auto"/>
            <w:noWrap w:val="0"/>
            <w:vAlign w:val="center"/>
          </w:tcPr>
          <w:p w14:paraId="656D456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kern w:val="2"/>
                <w:sz w:val="21"/>
                <w:szCs w:val="21"/>
                <w:highlight w:val="none"/>
                <w:vertAlign w:val="baseline"/>
                <w:lang w:val="en-US" w:eastAsia="zh-CN" w:bidi="ar-SA"/>
              </w:rPr>
            </w:pPr>
            <w:r>
              <w:rPr>
                <w:rFonts w:hint="eastAsia" w:eastAsia="宋体"/>
                <w:sz w:val="21"/>
                <w:szCs w:val="21"/>
                <w:highlight w:val="none"/>
                <w:vertAlign w:val="baseline"/>
                <w:lang w:val="en-US" w:eastAsia="zh-CN"/>
              </w:rPr>
              <w:t>0.000069</w:t>
            </w:r>
            <w:r>
              <w:rPr>
                <w:rFonts w:hint="eastAsia" w:cs="Times New Roman"/>
                <w:sz w:val="21"/>
                <w:szCs w:val="21"/>
                <w:highlight w:val="none"/>
                <w:vertAlign w:val="baseline"/>
                <w:lang w:val="en-US" w:eastAsia="zh-CN"/>
              </w:rPr>
              <w:t>kg/d</w:t>
            </w:r>
          </w:p>
        </w:tc>
        <w:tc>
          <w:tcPr>
            <w:tcW w:w="969" w:type="pct"/>
            <w:shd w:val="clear" w:color="auto" w:fill="auto"/>
            <w:noWrap w:val="0"/>
            <w:vAlign w:val="center"/>
          </w:tcPr>
          <w:p w14:paraId="36C4DF9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kern w:val="2"/>
                <w:sz w:val="21"/>
                <w:szCs w:val="21"/>
                <w:highlight w:val="none"/>
                <w:vertAlign w:val="baseline"/>
                <w:lang w:val="en-US" w:eastAsia="zh-CN" w:bidi="ar-SA"/>
              </w:rPr>
            </w:pPr>
            <w:r>
              <w:rPr>
                <w:rFonts w:hint="eastAsia" w:cs="Times New Roman"/>
                <w:sz w:val="21"/>
                <w:szCs w:val="21"/>
                <w:highlight w:val="none"/>
                <w:vertAlign w:val="baseline"/>
                <w:lang w:val="en-US" w:eastAsia="zh-CN"/>
              </w:rPr>
              <w:t>0.000007kg/d</w:t>
            </w:r>
          </w:p>
        </w:tc>
        <w:tc>
          <w:tcPr>
            <w:tcW w:w="1102" w:type="pct"/>
            <w:vMerge w:val="continue"/>
            <w:shd w:val="clear" w:color="auto" w:fill="auto"/>
            <w:noWrap w:val="0"/>
            <w:vAlign w:val="center"/>
          </w:tcPr>
          <w:p w14:paraId="4C075AC0">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u w:val="none" w:color="auto"/>
                <w:lang w:val="en-US" w:eastAsia="zh-CN" w:bidi="ar-SA"/>
              </w:rPr>
            </w:pPr>
          </w:p>
        </w:tc>
      </w:tr>
      <w:tr w14:paraId="68EB5BF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03" w:type="pct"/>
            <w:vMerge w:val="continue"/>
            <w:noWrap w:val="0"/>
            <w:vAlign w:val="center"/>
          </w:tcPr>
          <w:p w14:paraId="579E331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yellow"/>
                <w:u w:val="none" w:color="auto"/>
                <w:lang w:val="en-US" w:eastAsia="zh-CN"/>
              </w:rPr>
            </w:pPr>
          </w:p>
        </w:tc>
        <w:tc>
          <w:tcPr>
            <w:tcW w:w="814" w:type="pct"/>
            <w:vMerge w:val="continue"/>
            <w:noWrap w:val="0"/>
            <w:vAlign w:val="center"/>
          </w:tcPr>
          <w:p w14:paraId="622FE39F">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none"/>
                <w:u w:val="none" w:color="auto"/>
                <w:lang w:val="en-US" w:eastAsia="zh-CN"/>
              </w:rPr>
            </w:pPr>
          </w:p>
        </w:tc>
        <w:tc>
          <w:tcPr>
            <w:tcW w:w="693" w:type="pct"/>
            <w:shd w:val="clear" w:color="auto" w:fill="auto"/>
            <w:noWrap w:val="0"/>
            <w:vAlign w:val="center"/>
          </w:tcPr>
          <w:p w14:paraId="7E74616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kern w:val="2"/>
                <w:sz w:val="21"/>
                <w:szCs w:val="21"/>
                <w:highlight w:val="none"/>
                <w:vertAlign w:val="baseline"/>
                <w:lang w:val="en-US" w:eastAsia="zh-CN" w:bidi="ar-SA"/>
              </w:rPr>
            </w:pPr>
            <w:r>
              <w:rPr>
                <w:rFonts w:hint="eastAsia"/>
                <w:sz w:val="21"/>
                <w:szCs w:val="21"/>
                <w:highlight w:val="none"/>
                <w:vertAlign w:val="baseline"/>
                <w:lang w:val="en-US" w:eastAsia="zh-CN"/>
              </w:rPr>
              <w:t>氰化物</w:t>
            </w:r>
          </w:p>
        </w:tc>
        <w:tc>
          <w:tcPr>
            <w:tcW w:w="915" w:type="pct"/>
            <w:shd w:val="clear" w:color="auto" w:fill="auto"/>
            <w:noWrap w:val="0"/>
            <w:vAlign w:val="center"/>
          </w:tcPr>
          <w:p w14:paraId="280CD43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kern w:val="2"/>
                <w:sz w:val="21"/>
                <w:szCs w:val="21"/>
                <w:highlight w:val="none"/>
                <w:vertAlign w:val="baseline"/>
                <w:lang w:val="en-US" w:eastAsia="zh-CN" w:bidi="ar-SA"/>
              </w:rPr>
            </w:pPr>
            <w:r>
              <w:rPr>
                <w:rFonts w:hint="eastAsia" w:eastAsia="宋体"/>
                <w:sz w:val="21"/>
                <w:szCs w:val="21"/>
                <w:highlight w:val="none"/>
                <w:vertAlign w:val="baseline"/>
                <w:lang w:val="en-US" w:eastAsia="zh-CN"/>
              </w:rPr>
              <w:t>0.000069</w:t>
            </w:r>
            <w:r>
              <w:rPr>
                <w:rFonts w:hint="eastAsia" w:cs="Times New Roman"/>
                <w:sz w:val="21"/>
                <w:szCs w:val="21"/>
                <w:highlight w:val="none"/>
                <w:vertAlign w:val="baseline"/>
                <w:lang w:val="en-US" w:eastAsia="zh-CN"/>
              </w:rPr>
              <w:t>kg/d</w:t>
            </w:r>
          </w:p>
        </w:tc>
        <w:tc>
          <w:tcPr>
            <w:tcW w:w="969" w:type="pct"/>
            <w:shd w:val="clear" w:color="auto" w:fill="auto"/>
            <w:noWrap w:val="0"/>
            <w:vAlign w:val="center"/>
          </w:tcPr>
          <w:p w14:paraId="7D594BF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kern w:val="2"/>
                <w:sz w:val="21"/>
                <w:szCs w:val="21"/>
                <w:highlight w:val="none"/>
                <w:vertAlign w:val="baseline"/>
                <w:lang w:val="en-US" w:eastAsia="zh-CN" w:bidi="ar-SA"/>
              </w:rPr>
            </w:pPr>
            <w:r>
              <w:rPr>
                <w:rFonts w:hint="eastAsia" w:cs="Times New Roman"/>
                <w:sz w:val="21"/>
                <w:szCs w:val="21"/>
                <w:highlight w:val="none"/>
                <w:vertAlign w:val="baseline"/>
                <w:lang w:val="en-US" w:eastAsia="zh-CN"/>
              </w:rPr>
              <w:t>0.000007kg/d</w:t>
            </w:r>
          </w:p>
        </w:tc>
        <w:tc>
          <w:tcPr>
            <w:tcW w:w="1102" w:type="pct"/>
            <w:vMerge w:val="continue"/>
            <w:shd w:val="clear" w:color="auto" w:fill="auto"/>
            <w:noWrap w:val="0"/>
            <w:vAlign w:val="center"/>
          </w:tcPr>
          <w:p w14:paraId="5F5D4A74">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u w:val="none" w:color="auto"/>
                <w:lang w:val="en-US" w:eastAsia="zh-CN" w:bidi="ar-SA"/>
              </w:rPr>
            </w:pPr>
          </w:p>
        </w:tc>
      </w:tr>
      <w:tr w14:paraId="2DA4EBE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03" w:type="pct"/>
            <w:vMerge w:val="continue"/>
            <w:noWrap w:val="0"/>
            <w:vAlign w:val="center"/>
          </w:tcPr>
          <w:p w14:paraId="69BBE67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yellow"/>
                <w:u w:val="none" w:color="auto"/>
                <w:lang w:val="en-US" w:eastAsia="zh-CN"/>
              </w:rPr>
            </w:pPr>
          </w:p>
        </w:tc>
        <w:tc>
          <w:tcPr>
            <w:tcW w:w="814" w:type="pct"/>
            <w:vMerge w:val="restart"/>
            <w:noWrap w:val="0"/>
            <w:vAlign w:val="center"/>
          </w:tcPr>
          <w:p w14:paraId="3C45397F">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none"/>
                <w:u w:val="none" w:color="auto"/>
                <w:lang w:val="en-US" w:eastAsia="zh-CN"/>
              </w:rPr>
            </w:pPr>
            <w:r>
              <w:rPr>
                <w:rFonts w:hint="eastAsia"/>
                <w:sz w:val="21"/>
                <w:szCs w:val="21"/>
                <w:highlight w:val="none"/>
                <w:u w:val="none" w:color="auto"/>
                <w:lang w:val="en-US" w:eastAsia="zh-CN"/>
              </w:rPr>
              <w:t>生活污水</w:t>
            </w:r>
          </w:p>
          <w:p w14:paraId="4B5EB49B">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none"/>
                <w:u w:val="none" w:color="auto"/>
                <w:lang w:val="en-US" w:eastAsia="zh-CN"/>
              </w:rPr>
            </w:pPr>
            <w:r>
              <w:rPr>
                <w:rFonts w:hint="eastAsia"/>
                <w:sz w:val="21"/>
                <w:szCs w:val="21"/>
                <w:highlight w:val="none"/>
                <w:u w:val="none" w:color="auto"/>
                <w:lang w:val="en-US" w:eastAsia="zh-CN"/>
              </w:rPr>
              <w:t>（1.28m</w:t>
            </w:r>
            <w:r>
              <w:rPr>
                <w:rFonts w:hint="eastAsia"/>
                <w:sz w:val="21"/>
                <w:szCs w:val="21"/>
                <w:highlight w:val="none"/>
                <w:u w:val="none" w:color="auto"/>
                <w:vertAlign w:val="superscript"/>
                <w:lang w:val="en-US" w:eastAsia="zh-CN"/>
              </w:rPr>
              <w:t>3</w:t>
            </w:r>
            <w:r>
              <w:rPr>
                <w:rFonts w:hint="eastAsia"/>
                <w:sz w:val="21"/>
                <w:szCs w:val="21"/>
                <w:highlight w:val="none"/>
                <w:u w:val="none" w:color="auto"/>
                <w:vertAlign w:val="baseline"/>
                <w:lang w:val="en-US" w:eastAsia="zh-CN"/>
              </w:rPr>
              <w:t>/d</w:t>
            </w:r>
            <w:r>
              <w:rPr>
                <w:rFonts w:hint="eastAsia"/>
                <w:sz w:val="21"/>
                <w:szCs w:val="21"/>
                <w:highlight w:val="none"/>
                <w:u w:val="none" w:color="auto"/>
                <w:lang w:val="en-US" w:eastAsia="zh-CN"/>
              </w:rPr>
              <w:t>）</w:t>
            </w:r>
          </w:p>
        </w:tc>
        <w:tc>
          <w:tcPr>
            <w:tcW w:w="693" w:type="pct"/>
            <w:shd w:val="clear" w:color="auto" w:fill="auto"/>
            <w:noWrap w:val="0"/>
            <w:vAlign w:val="center"/>
          </w:tcPr>
          <w:p w14:paraId="35C620F5">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yellow"/>
                <w:u w:val="none" w:color="auto"/>
                <w:lang w:val="en-US" w:eastAsia="zh-CN" w:bidi="ar-SA"/>
              </w:rPr>
            </w:pPr>
            <w:r>
              <w:rPr>
                <w:rFonts w:hint="eastAsia"/>
                <w:sz w:val="21"/>
                <w:szCs w:val="21"/>
                <w:highlight w:val="none"/>
                <w:lang w:val="en-US" w:eastAsia="zh-CN"/>
              </w:rPr>
              <w:t>COD</w:t>
            </w:r>
            <w:r>
              <w:rPr>
                <w:rFonts w:hint="eastAsia"/>
                <w:sz w:val="21"/>
                <w:szCs w:val="21"/>
                <w:highlight w:val="none"/>
                <w:vertAlign w:val="subscript"/>
                <w:lang w:val="en-US" w:eastAsia="zh-CN"/>
              </w:rPr>
              <w:t>Cr</w:t>
            </w:r>
          </w:p>
        </w:tc>
        <w:tc>
          <w:tcPr>
            <w:tcW w:w="915" w:type="pct"/>
            <w:shd w:val="clear" w:color="auto" w:fill="auto"/>
            <w:noWrap w:val="0"/>
            <w:vAlign w:val="center"/>
          </w:tcPr>
          <w:p w14:paraId="5CCDFA1F">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kern w:val="2"/>
                <w:sz w:val="21"/>
                <w:szCs w:val="21"/>
                <w:highlight w:val="none"/>
                <w:u w:val="none" w:color="auto"/>
                <w:lang w:val="en-US" w:eastAsia="zh-CN" w:bidi="ar-SA"/>
              </w:rPr>
            </w:pPr>
            <w:r>
              <w:rPr>
                <w:rFonts w:hint="eastAsia" w:cs="Times New Roman"/>
                <w:kern w:val="2"/>
                <w:sz w:val="21"/>
                <w:szCs w:val="21"/>
                <w:highlight w:val="none"/>
                <w:u w:val="none" w:color="auto"/>
                <w:lang w:val="en-US" w:eastAsia="zh-CN" w:bidi="ar-SA"/>
              </w:rPr>
              <w:t>0.4096</w:t>
            </w:r>
            <w:r>
              <w:rPr>
                <w:rFonts w:hint="eastAsia" w:cs="Times New Roman"/>
                <w:sz w:val="21"/>
                <w:szCs w:val="21"/>
                <w:highlight w:val="none"/>
                <w:vertAlign w:val="baseline"/>
                <w:lang w:val="en-US" w:eastAsia="zh-CN"/>
              </w:rPr>
              <w:t>kg/d</w:t>
            </w:r>
          </w:p>
        </w:tc>
        <w:tc>
          <w:tcPr>
            <w:tcW w:w="969" w:type="pct"/>
            <w:shd w:val="clear" w:color="auto" w:fill="auto"/>
            <w:noWrap w:val="0"/>
            <w:vAlign w:val="center"/>
          </w:tcPr>
          <w:p w14:paraId="6EBEEC62">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kern w:val="2"/>
                <w:sz w:val="21"/>
                <w:szCs w:val="21"/>
                <w:highlight w:val="none"/>
                <w:u w:val="none" w:color="auto"/>
                <w:lang w:val="en-US" w:eastAsia="zh-CN" w:bidi="ar-SA"/>
              </w:rPr>
            </w:pPr>
            <w:r>
              <w:rPr>
                <w:rFonts w:hint="eastAsia" w:cs="Times New Roman"/>
                <w:kern w:val="2"/>
                <w:sz w:val="21"/>
                <w:szCs w:val="21"/>
                <w:highlight w:val="none"/>
                <w:u w:val="none" w:color="auto"/>
                <w:lang w:val="en-US" w:eastAsia="zh-CN" w:bidi="ar-SA"/>
              </w:rPr>
              <w:t>0.4096</w:t>
            </w:r>
            <w:r>
              <w:rPr>
                <w:rFonts w:hint="eastAsia" w:cs="Times New Roman"/>
                <w:sz w:val="21"/>
                <w:szCs w:val="21"/>
                <w:highlight w:val="none"/>
                <w:vertAlign w:val="baseline"/>
                <w:lang w:val="en-US" w:eastAsia="zh-CN"/>
              </w:rPr>
              <w:t>kg/d</w:t>
            </w:r>
          </w:p>
        </w:tc>
        <w:tc>
          <w:tcPr>
            <w:tcW w:w="1102" w:type="pct"/>
            <w:vMerge w:val="restart"/>
            <w:shd w:val="clear" w:color="auto" w:fill="auto"/>
            <w:noWrap w:val="0"/>
            <w:vAlign w:val="center"/>
          </w:tcPr>
          <w:p w14:paraId="0642D7FA">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u w:val="none" w:color="auto"/>
                <w:lang w:val="en-US" w:eastAsia="zh-CN" w:bidi="ar-SA"/>
              </w:rPr>
            </w:pPr>
            <w:r>
              <w:rPr>
                <w:rFonts w:hint="eastAsia" w:ascii="Times New Roman" w:hAnsi="Times New Roman" w:eastAsia="宋体" w:cs="Times New Roman"/>
                <w:kern w:val="2"/>
                <w:sz w:val="21"/>
                <w:szCs w:val="21"/>
                <w:highlight w:val="none"/>
                <w:u w:val="none" w:color="auto"/>
                <w:lang w:val="en-US" w:eastAsia="zh-CN" w:bidi="ar-SA"/>
              </w:rPr>
              <w:t>依托化粪池处理后用于农肥，不外排</w:t>
            </w:r>
          </w:p>
        </w:tc>
      </w:tr>
      <w:tr w14:paraId="4BD8D17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03" w:type="pct"/>
            <w:vMerge w:val="continue"/>
            <w:noWrap w:val="0"/>
            <w:vAlign w:val="center"/>
          </w:tcPr>
          <w:p w14:paraId="6CDB8E3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yellow"/>
                <w:u w:val="none" w:color="auto"/>
                <w:lang w:val="en-US" w:eastAsia="zh-CN"/>
              </w:rPr>
            </w:pPr>
          </w:p>
        </w:tc>
        <w:tc>
          <w:tcPr>
            <w:tcW w:w="814" w:type="pct"/>
            <w:vMerge w:val="continue"/>
            <w:noWrap w:val="0"/>
            <w:vAlign w:val="center"/>
          </w:tcPr>
          <w:p w14:paraId="63789226">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yellow"/>
                <w:u w:val="none" w:color="auto"/>
                <w:lang w:val="en-US" w:eastAsia="zh-CN"/>
              </w:rPr>
            </w:pPr>
          </w:p>
        </w:tc>
        <w:tc>
          <w:tcPr>
            <w:tcW w:w="693" w:type="pct"/>
            <w:shd w:val="clear" w:color="auto" w:fill="auto"/>
            <w:noWrap w:val="0"/>
            <w:vAlign w:val="center"/>
          </w:tcPr>
          <w:p w14:paraId="60228E48">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u w:val="none" w:color="auto"/>
                <w:lang w:val="en-US" w:eastAsia="zh-CN" w:bidi="ar-SA"/>
              </w:rPr>
            </w:pPr>
            <w:r>
              <w:rPr>
                <w:rFonts w:hint="eastAsia" w:ascii="Times New Roman" w:hAnsi="Times New Roman" w:eastAsia="宋体" w:cs="Times New Roman"/>
                <w:kern w:val="2"/>
                <w:sz w:val="21"/>
                <w:szCs w:val="21"/>
                <w:highlight w:val="none"/>
                <w:u w:val="none" w:color="auto"/>
                <w:lang w:val="en-US" w:eastAsia="zh-CN" w:bidi="ar-SA"/>
              </w:rPr>
              <w:t>BOD</w:t>
            </w:r>
            <w:r>
              <w:rPr>
                <w:rFonts w:hint="eastAsia" w:ascii="Times New Roman" w:hAnsi="Times New Roman" w:eastAsia="宋体" w:cs="Times New Roman"/>
                <w:kern w:val="2"/>
                <w:sz w:val="21"/>
                <w:szCs w:val="21"/>
                <w:highlight w:val="none"/>
                <w:u w:val="none" w:color="auto"/>
                <w:vertAlign w:val="subscript"/>
                <w:lang w:val="en-US" w:eastAsia="zh-CN" w:bidi="ar-SA"/>
              </w:rPr>
              <w:t>5</w:t>
            </w:r>
          </w:p>
        </w:tc>
        <w:tc>
          <w:tcPr>
            <w:tcW w:w="915" w:type="pct"/>
            <w:shd w:val="clear" w:color="auto" w:fill="auto"/>
            <w:noWrap w:val="0"/>
            <w:vAlign w:val="center"/>
          </w:tcPr>
          <w:p w14:paraId="158B24F9">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kern w:val="2"/>
                <w:sz w:val="21"/>
                <w:szCs w:val="21"/>
                <w:highlight w:val="none"/>
                <w:u w:val="none" w:color="auto"/>
                <w:lang w:val="en-US" w:eastAsia="zh-CN" w:bidi="ar-SA"/>
              </w:rPr>
            </w:pPr>
            <w:r>
              <w:rPr>
                <w:rFonts w:hint="eastAsia" w:cs="Times New Roman"/>
                <w:kern w:val="2"/>
                <w:sz w:val="21"/>
                <w:szCs w:val="21"/>
                <w:highlight w:val="none"/>
                <w:u w:val="none" w:color="auto"/>
                <w:lang w:val="en-US" w:eastAsia="zh-CN" w:bidi="ar-SA"/>
              </w:rPr>
              <w:t>0.2304</w:t>
            </w:r>
            <w:r>
              <w:rPr>
                <w:rFonts w:hint="eastAsia" w:cs="Times New Roman"/>
                <w:sz w:val="21"/>
                <w:szCs w:val="21"/>
                <w:highlight w:val="none"/>
                <w:vertAlign w:val="baseline"/>
                <w:lang w:val="en-US" w:eastAsia="zh-CN"/>
              </w:rPr>
              <w:t>kg/d</w:t>
            </w:r>
          </w:p>
        </w:tc>
        <w:tc>
          <w:tcPr>
            <w:tcW w:w="969" w:type="pct"/>
            <w:shd w:val="clear" w:color="auto" w:fill="auto"/>
            <w:noWrap w:val="0"/>
            <w:vAlign w:val="center"/>
          </w:tcPr>
          <w:p w14:paraId="2E0E3A2E">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kern w:val="2"/>
                <w:sz w:val="21"/>
                <w:szCs w:val="21"/>
                <w:highlight w:val="none"/>
                <w:u w:val="none" w:color="auto"/>
                <w:lang w:val="en-US" w:eastAsia="zh-CN" w:bidi="ar-SA"/>
              </w:rPr>
            </w:pPr>
            <w:r>
              <w:rPr>
                <w:rFonts w:hint="eastAsia" w:cs="Times New Roman"/>
                <w:kern w:val="2"/>
                <w:sz w:val="21"/>
                <w:szCs w:val="21"/>
                <w:highlight w:val="none"/>
                <w:u w:val="none" w:color="auto"/>
                <w:lang w:val="en-US" w:eastAsia="zh-CN" w:bidi="ar-SA"/>
              </w:rPr>
              <w:t>0.2304</w:t>
            </w:r>
            <w:r>
              <w:rPr>
                <w:rFonts w:hint="eastAsia" w:cs="Times New Roman"/>
                <w:sz w:val="21"/>
                <w:szCs w:val="21"/>
                <w:highlight w:val="none"/>
                <w:vertAlign w:val="baseline"/>
                <w:lang w:val="en-US" w:eastAsia="zh-CN"/>
              </w:rPr>
              <w:t>kg/d</w:t>
            </w:r>
          </w:p>
        </w:tc>
        <w:tc>
          <w:tcPr>
            <w:tcW w:w="1102" w:type="pct"/>
            <w:vMerge w:val="continue"/>
            <w:shd w:val="clear" w:color="auto" w:fill="auto"/>
            <w:noWrap w:val="0"/>
            <w:vAlign w:val="center"/>
          </w:tcPr>
          <w:p w14:paraId="1FF93404">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yellow"/>
                <w:u w:val="none" w:color="auto"/>
                <w:lang w:val="en-US" w:eastAsia="zh-CN" w:bidi="ar-SA"/>
              </w:rPr>
            </w:pPr>
          </w:p>
        </w:tc>
      </w:tr>
      <w:tr w14:paraId="05EC472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03" w:type="pct"/>
            <w:vMerge w:val="continue"/>
            <w:noWrap w:val="0"/>
            <w:vAlign w:val="center"/>
          </w:tcPr>
          <w:p w14:paraId="5FA6E91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yellow"/>
                <w:u w:val="none" w:color="auto"/>
                <w:lang w:val="en-US" w:eastAsia="zh-CN"/>
              </w:rPr>
            </w:pPr>
          </w:p>
        </w:tc>
        <w:tc>
          <w:tcPr>
            <w:tcW w:w="814" w:type="pct"/>
            <w:vMerge w:val="continue"/>
            <w:noWrap w:val="0"/>
            <w:vAlign w:val="center"/>
          </w:tcPr>
          <w:p w14:paraId="65995FB0">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yellow"/>
                <w:u w:val="none" w:color="auto"/>
                <w:lang w:val="en-US" w:eastAsia="zh-CN"/>
              </w:rPr>
            </w:pPr>
          </w:p>
        </w:tc>
        <w:tc>
          <w:tcPr>
            <w:tcW w:w="693" w:type="pct"/>
            <w:shd w:val="clear" w:color="auto" w:fill="auto"/>
            <w:noWrap w:val="0"/>
            <w:vAlign w:val="center"/>
          </w:tcPr>
          <w:p w14:paraId="2D7DC178">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kern w:val="2"/>
                <w:sz w:val="21"/>
                <w:szCs w:val="21"/>
                <w:highlight w:val="none"/>
                <w:u w:val="none" w:color="auto"/>
                <w:lang w:val="en-US" w:eastAsia="zh-CN" w:bidi="ar-SA"/>
              </w:rPr>
            </w:pPr>
            <w:r>
              <w:rPr>
                <w:rFonts w:hint="eastAsia" w:cs="Times New Roman"/>
                <w:kern w:val="2"/>
                <w:sz w:val="21"/>
                <w:szCs w:val="21"/>
                <w:highlight w:val="none"/>
                <w:u w:val="none" w:color="auto"/>
                <w:lang w:val="en-US" w:eastAsia="zh-CN" w:bidi="ar-SA"/>
              </w:rPr>
              <w:t>氨氮</w:t>
            </w:r>
          </w:p>
        </w:tc>
        <w:tc>
          <w:tcPr>
            <w:tcW w:w="915" w:type="pct"/>
            <w:shd w:val="clear" w:color="auto" w:fill="auto"/>
            <w:noWrap w:val="0"/>
            <w:vAlign w:val="center"/>
          </w:tcPr>
          <w:p w14:paraId="2739EE23">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kern w:val="2"/>
                <w:sz w:val="21"/>
                <w:szCs w:val="21"/>
                <w:highlight w:val="none"/>
                <w:u w:val="none" w:color="auto"/>
                <w:lang w:val="en-US" w:eastAsia="zh-CN" w:bidi="ar-SA"/>
              </w:rPr>
            </w:pPr>
            <w:r>
              <w:rPr>
                <w:rFonts w:hint="eastAsia" w:cs="Times New Roman"/>
                <w:kern w:val="2"/>
                <w:sz w:val="21"/>
                <w:szCs w:val="21"/>
                <w:highlight w:val="none"/>
                <w:u w:val="none" w:color="auto"/>
                <w:lang w:val="en-US" w:eastAsia="zh-CN" w:bidi="ar-SA"/>
              </w:rPr>
              <w:t>0.0384</w:t>
            </w:r>
            <w:r>
              <w:rPr>
                <w:rFonts w:hint="eastAsia" w:cs="Times New Roman"/>
                <w:sz w:val="21"/>
                <w:szCs w:val="21"/>
                <w:highlight w:val="none"/>
                <w:vertAlign w:val="baseline"/>
                <w:lang w:val="en-US" w:eastAsia="zh-CN"/>
              </w:rPr>
              <w:t>kg/d</w:t>
            </w:r>
          </w:p>
        </w:tc>
        <w:tc>
          <w:tcPr>
            <w:tcW w:w="969" w:type="pct"/>
            <w:shd w:val="clear" w:color="auto" w:fill="auto"/>
            <w:noWrap w:val="0"/>
            <w:vAlign w:val="center"/>
          </w:tcPr>
          <w:p w14:paraId="238B2102">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kern w:val="2"/>
                <w:sz w:val="21"/>
                <w:szCs w:val="21"/>
                <w:highlight w:val="none"/>
                <w:u w:val="none" w:color="auto"/>
                <w:lang w:val="en-US" w:eastAsia="zh-CN" w:bidi="ar-SA"/>
              </w:rPr>
            </w:pPr>
            <w:r>
              <w:rPr>
                <w:rFonts w:hint="eastAsia" w:cs="Times New Roman"/>
                <w:kern w:val="2"/>
                <w:sz w:val="21"/>
                <w:szCs w:val="21"/>
                <w:highlight w:val="none"/>
                <w:u w:val="none" w:color="auto"/>
                <w:lang w:val="en-US" w:eastAsia="zh-CN" w:bidi="ar-SA"/>
              </w:rPr>
              <w:t>0.0384</w:t>
            </w:r>
            <w:r>
              <w:rPr>
                <w:rFonts w:hint="eastAsia" w:cs="Times New Roman"/>
                <w:sz w:val="21"/>
                <w:szCs w:val="21"/>
                <w:highlight w:val="none"/>
                <w:vertAlign w:val="baseline"/>
                <w:lang w:val="en-US" w:eastAsia="zh-CN"/>
              </w:rPr>
              <w:t>kg/d</w:t>
            </w:r>
          </w:p>
        </w:tc>
        <w:tc>
          <w:tcPr>
            <w:tcW w:w="1102" w:type="pct"/>
            <w:vMerge w:val="continue"/>
            <w:shd w:val="clear" w:color="auto" w:fill="auto"/>
            <w:noWrap w:val="0"/>
            <w:vAlign w:val="center"/>
          </w:tcPr>
          <w:p w14:paraId="0C62EE35">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yellow"/>
                <w:u w:val="none" w:color="auto"/>
                <w:lang w:val="en-US" w:eastAsia="zh-CN" w:bidi="ar-SA"/>
              </w:rPr>
            </w:pPr>
          </w:p>
        </w:tc>
      </w:tr>
      <w:tr w14:paraId="2DABBA3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03" w:type="pct"/>
            <w:vMerge w:val="continue"/>
            <w:noWrap w:val="0"/>
            <w:vAlign w:val="center"/>
          </w:tcPr>
          <w:p w14:paraId="39E1435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yellow"/>
                <w:u w:val="none" w:color="auto"/>
                <w:lang w:val="en-US" w:eastAsia="zh-CN"/>
              </w:rPr>
            </w:pPr>
          </w:p>
        </w:tc>
        <w:tc>
          <w:tcPr>
            <w:tcW w:w="814" w:type="pct"/>
            <w:vMerge w:val="continue"/>
            <w:noWrap w:val="0"/>
            <w:vAlign w:val="center"/>
          </w:tcPr>
          <w:p w14:paraId="15706E04">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yellow"/>
                <w:u w:val="none" w:color="auto"/>
                <w:lang w:val="en-US" w:eastAsia="zh-CN"/>
              </w:rPr>
            </w:pPr>
          </w:p>
        </w:tc>
        <w:tc>
          <w:tcPr>
            <w:tcW w:w="693" w:type="pct"/>
            <w:shd w:val="clear" w:color="auto" w:fill="auto"/>
            <w:noWrap w:val="0"/>
            <w:vAlign w:val="center"/>
          </w:tcPr>
          <w:p w14:paraId="74323633">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cs="Times New Roman"/>
                <w:kern w:val="2"/>
                <w:sz w:val="21"/>
                <w:szCs w:val="21"/>
                <w:highlight w:val="none"/>
                <w:u w:val="none" w:color="auto"/>
                <w:lang w:val="en-US" w:eastAsia="zh-CN" w:bidi="ar-SA"/>
              </w:rPr>
            </w:pPr>
            <w:r>
              <w:rPr>
                <w:rFonts w:hint="eastAsia" w:cs="Times New Roman"/>
                <w:kern w:val="2"/>
                <w:sz w:val="21"/>
                <w:szCs w:val="21"/>
                <w:highlight w:val="none"/>
                <w:u w:val="none" w:color="auto"/>
                <w:lang w:val="en-US" w:eastAsia="zh-CN" w:bidi="ar-SA"/>
              </w:rPr>
              <w:t>动植物油</w:t>
            </w:r>
          </w:p>
        </w:tc>
        <w:tc>
          <w:tcPr>
            <w:tcW w:w="915" w:type="pct"/>
            <w:shd w:val="clear" w:color="auto" w:fill="auto"/>
            <w:noWrap w:val="0"/>
            <w:vAlign w:val="center"/>
          </w:tcPr>
          <w:p w14:paraId="003566C0">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kern w:val="2"/>
                <w:sz w:val="21"/>
                <w:szCs w:val="21"/>
                <w:highlight w:val="none"/>
                <w:u w:val="none" w:color="auto"/>
                <w:lang w:val="en-US" w:eastAsia="zh-CN" w:bidi="ar-SA"/>
              </w:rPr>
            </w:pPr>
            <w:r>
              <w:rPr>
                <w:rFonts w:hint="eastAsia" w:cs="Times New Roman"/>
                <w:kern w:val="2"/>
                <w:sz w:val="21"/>
                <w:szCs w:val="21"/>
                <w:highlight w:val="none"/>
                <w:u w:val="none" w:color="auto"/>
                <w:lang w:val="en-US" w:eastAsia="zh-CN" w:bidi="ar-SA"/>
              </w:rPr>
              <w:t>0.0256</w:t>
            </w:r>
            <w:r>
              <w:rPr>
                <w:rFonts w:hint="eastAsia" w:cs="Times New Roman"/>
                <w:sz w:val="21"/>
                <w:szCs w:val="21"/>
                <w:highlight w:val="none"/>
                <w:vertAlign w:val="baseline"/>
                <w:lang w:val="en-US" w:eastAsia="zh-CN"/>
              </w:rPr>
              <w:t>kg/d</w:t>
            </w:r>
          </w:p>
        </w:tc>
        <w:tc>
          <w:tcPr>
            <w:tcW w:w="969" w:type="pct"/>
            <w:shd w:val="clear" w:color="auto" w:fill="auto"/>
            <w:noWrap w:val="0"/>
            <w:vAlign w:val="center"/>
          </w:tcPr>
          <w:p w14:paraId="17C36B6E">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kern w:val="2"/>
                <w:sz w:val="21"/>
                <w:szCs w:val="21"/>
                <w:highlight w:val="none"/>
                <w:u w:val="none" w:color="auto"/>
                <w:lang w:val="en-US" w:eastAsia="zh-CN" w:bidi="ar-SA"/>
              </w:rPr>
            </w:pPr>
            <w:r>
              <w:rPr>
                <w:rFonts w:hint="eastAsia" w:cs="Times New Roman"/>
                <w:kern w:val="2"/>
                <w:sz w:val="21"/>
                <w:szCs w:val="21"/>
                <w:highlight w:val="none"/>
                <w:u w:val="none" w:color="auto"/>
                <w:lang w:val="en-US" w:eastAsia="zh-CN" w:bidi="ar-SA"/>
              </w:rPr>
              <w:t>0.0256</w:t>
            </w:r>
            <w:r>
              <w:rPr>
                <w:rFonts w:hint="eastAsia" w:cs="Times New Roman"/>
                <w:sz w:val="21"/>
                <w:szCs w:val="21"/>
                <w:highlight w:val="none"/>
                <w:vertAlign w:val="baseline"/>
                <w:lang w:val="en-US" w:eastAsia="zh-CN"/>
              </w:rPr>
              <w:t>kg/d</w:t>
            </w:r>
          </w:p>
        </w:tc>
        <w:tc>
          <w:tcPr>
            <w:tcW w:w="1102" w:type="pct"/>
            <w:vMerge w:val="continue"/>
            <w:shd w:val="clear" w:color="auto" w:fill="auto"/>
            <w:noWrap w:val="0"/>
            <w:vAlign w:val="center"/>
          </w:tcPr>
          <w:p w14:paraId="39712DA0">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yellow"/>
                <w:u w:val="none" w:color="auto"/>
                <w:lang w:val="en-US" w:eastAsia="zh-CN" w:bidi="ar-SA"/>
              </w:rPr>
            </w:pPr>
          </w:p>
        </w:tc>
      </w:tr>
      <w:tr w14:paraId="7C5D423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03" w:type="pct"/>
            <w:vMerge w:val="restart"/>
            <w:noWrap w:val="0"/>
            <w:vAlign w:val="center"/>
          </w:tcPr>
          <w:p w14:paraId="0F74A10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u w:val="none" w:color="auto"/>
                <w:lang w:val="en-US" w:eastAsia="zh-CN"/>
              </w:rPr>
            </w:pPr>
            <w:r>
              <w:rPr>
                <w:rFonts w:hint="eastAsia"/>
                <w:sz w:val="21"/>
                <w:szCs w:val="21"/>
                <w:highlight w:val="none"/>
                <w:u w:val="none" w:color="auto"/>
                <w:lang w:val="en-US" w:eastAsia="zh-CN"/>
              </w:rPr>
              <w:t>封场期废水</w:t>
            </w:r>
          </w:p>
        </w:tc>
        <w:tc>
          <w:tcPr>
            <w:tcW w:w="814" w:type="pct"/>
            <w:vMerge w:val="restart"/>
            <w:noWrap w:val="0"/>
            <w:vAlign w:val="center"/>
          </w:tcPr>
          <w:p w14:paraId="61A98141">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none"/>
                <w:u w:val="none" w:color="auto"/>
                <w:lang w:val="en-US" w:eastAsia="zh-CN"/>
              </w:rPr>
            </w:pPr>
            <w:r>
              <w:rPr>
                <w:rFonts w:hint="eastAsia"/>
                <w:sz w:val="21"/>
                <w:szCs w:val="21"/>
                <w:highlight w:val="none"/>
                <w:u w:val="none" w:color="auto"/>
                <w:lang w:val="en-US" w:eastAsia="zh-CN"/>
              </w:rPr>
              <w:t>渗滤液</w:t>
            </w:r>
          </w:p>
          <w:p w14:paraId="1748ADC9">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sz w:val="21"/>
                <w:szCs w:val="21"/>
                <w:highlight w:val="none"/>
                <w:u w:val="none" w:color="auto"/>
                <w:lang w:val="en-US" w:eastAsia="zh-CN"/>
              </w:rPr>
            </w:pPr>
            <w:r>
              <w:rPr>
                <w:rFonts w:hint="eastAsia"/>
                <w:sz w:val="21"/>
                <w:szCs w:val="21"/>
                <w:highlight w:val="none"/>
                <w:u w:val="none" w:color="auto"/>
                <w:lang w:val="en-US" w:eastAsia="zh-CN"/>
              </w:rPr>
              <w:t>（6.63m</w:t>
            </w:r>
            <w:r>
              <w:rPr>
                <w:rFonts w:hint="eastAsia"/>
                <w:sz w:val="21"/>
                <w:szCs w:val="21"/>
                <w:highlight w:val="none"/>
                <w:u w:val="none" w:color="auto"/>
                <w:vertAlign w:val="superscript"/>
                <w:lang w:val="en-US" w:eastAsia="zh-CN"/>
              </w:rPr>
              <w:t>3</w:t>
            </w:r>
            <w:r>
              <w:rPr>
                <w:rFonts w:hint="eastAsia"/>
                <w:sz w:val="21"/>
                <w:szCs w:val="21"/>
                <w:highlight w:val="none"/>
                <w:u w:val="none" w:color="auto"/>
                <w:vertAlign w:val="baseline"/>
                <w:lang w:val="en-US" w:eastAsia="zh-CN"/>
              </w:rPr>
              <w:t>/d</w:t>
            </w:r>
            <w:r>
              <w:rPr>
                <w:rFonts w:hint="eastAsia"/>
                <w:sz w:val="21"/>
                <w:szCs w:val="21"/>
                <w:highlight w:val="none"/>
                <w:u w:val="none" w:color="auto"/>
                <w:lang w:val="en-US" w:eastAsia="zh-CN"/>
              </w:rPr>
              <w:t>）</w:t>
            </w:r>
          </w:p>
        </w:tc>
        <w:tc>
          <w:tcPr>
            <w:tcW w:w="693" w:type="pct"/>
            <w:shd w:val="clear" w:color="auto" w:fill="auto"/>
            <w:noWrap w:val="0"/>
            <w:vAlign w:val="center"/>
          </w:tcPr>
          <w:p w14:paraId="3B3BBE6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kern w:val="2"/>
                <w:sz w:val="21"/>
                <w:szCs w:val="21"/>
                <w:highlight w:val="none"/>
                <w:vertAlign w:val="baseline"/>
                <w:lang w:val="en-US" w:eastAsia="zh-CN" w:bidi="ar-SA"/>
              </w:rPr>
            </w:pPr>
            <w:r>
              <w:rPr>
                <w:rFonts w:hint="eastAsia"/>
                <w:sz w:val="21"/>
                <w:szCs w:val="21"/>
                <w:highlight w:val="none"/>
                <w:vertAlign w:val="baseline"/>
                <w:lang w:val="en-US" w:eastAsia="zh-CN"/>
              </w:rPr>
              <w:t>总铬</w:t>
            </w:r>
          </w:p>
        </w:tc>
        <w:tc>
          <w:tcPr>
            <w:tcW w:w="915" w:type="pct"/>
            <w:shd w:val="clear" w:color="auto" w:fill="auto"/>
            <w:noWrap w:val="0"/>
            <w:vAlign w:val="center"/>
          </w:tcPr>
          <w:p w14:paraId="5EEADCF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kern w:val="2"/>
                <w:sz w:val="21"/>
                <w:szCs w:val="21"/>
                <w:highlight w:val="none"/>
                <w:vertAlign w:val="baseline"/>
                <w:lang w:val="en-US" w:eastAsia="zh-CN" w:bidi="ar-SA"/>
              </w:rPr>
            </w:pPr>
            <w:r>
              <w:rPr>
                <w:rFonts w:hint="eastAsia" w:eastAsia="宋体"/>
                <w:sz w:val="21"/>
                <w:szCs w:val="21"/>
                <w:highlight w:val="none"/>
                <w:vertAlign w:val="baseline"/>
                <w:lang w:val="en-US" w:eastAsia="zh-CN"/>
              </w:rPr>
              <w:t>0.00013</w:t>
            </w:r>
            <w:r>
              <w:rPr>
                <w:rFonts w:hint="eastAsia" w:cs="Times New Roman"/>
                <w:sz w:val="21"/>
                <w:szCs w:val="21"/>
                <w:highlight w:val="none"/>
                <w:vertAlign w:val="baseline"/>
                <w:lang w:val="en-US" w:eastAsia="zh-CN"/>
              </w:rPr>
              <w:t>kg/d</w:t>
            </w:r>
          </w:p>
        </w:tc>
        <w:tc>
          <w:tcPr>
            <w:tcW w:w="969" w:type="pct"/>
            <w:shd w:val="clear" w:color="auto" w:fill="auto"/>
            <w:noWrap w:val="0"/>
            <w:vAlign w:val="center"/>
          </w:tcPr>
          <w:p w14:paraId="0D89BFA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eastAsia" w:eastAsia="宋体"/>
                <w:sz w:val="21"/>
                <w:szCs w:val="21"/>
                <w:highlight w:val="none"/>
                <w:vertAlign w:val="baseline"/>
                <w:lang w:val="en-US" w:eastAsia="zh-CN"/>
              </w:rPr>
              <w:t>0.000013</w:t>
            </w:r>
            <w:r>
              <w:rPr>
                <w:rFonts w:hint="eastAsia" w:cs="Times New Roman"/>
                <w:sz w:val="21"/>
                <w:szCs w:val="21"/>
                <w:highlight w:val="none"/>
                <w:vertAlign w:val="baseline"/>
                <w:lang w:val="en-US" w:eastAsia="zh-CN"/>
              </w:rPr>
              <w:t>kg/d</w:t>
            </w:r>
          </w:p>
        </w:tc>
        <w:tc>
          <w:tcPr>
            <w:tcW w:w="1102" w:type="pct"/>
            <w:vMerge w:val="restart"/>
            <w:shd w:val="clear" w:color="auto" w:fill="auto"/>
            <w:noWrap w:val="0"/>
            <w:vAlign w:val="center"/>
          </w:tcPr>
          <w:p w14:paraId="008765E7">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u w:val="none" w:color="auto"/>
                <w:lang w:val="en-US" w:eastAsia="zh-CN" w:bidi="ar-SA"/>
              </w:rPr>
            </w:pPr>
            <w:r>
              <w:rPr>
                <w:rFonts w:hint="eastAsia" w:ascii="Times New Roman" w:hAnsi="Times New Roman" w:eastAsia="宋体" w:cs="Times New Roman"/>
                <w:kern w:val="2"/>
                <w:sz w:val="21"/>
                <w:szCs w:val="21"/>
                <w:highlight w:val="none"/>
                <w:u w:val="none" w:color="auto"/>
                <w:lang w:val="en-US" w:eastAsia="zh-CN" w:bidi="ar-SA"/>
              </w:rPr>
              <w:t>经一体化污水处理装置处理后后由槽罐车托运至湖南黄金天岳矿业有限公司垂拱洞尾矿库废水处理站进行处理</w:t>
            </w:r>
          </w:p>
        </w:tc>
      </w:tr>
      <w:tr w14:paraId="45A6E29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03" w:type="pct"/>
            <w:vMerge w:val="continue"/>
            <w:noWrap w:val="0"/>
            <w:vAlign w:val="center"/>
          </w:tcPr>
          <w:p w14:paraId="5160D9D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yellow"/>
                <w:u w:val="none" w:color="auto"/>
                <w:lang w:val="en-US" w:eastAsia="zh-CN"/>
              </w:rPr>
            </w:pPr>
          </w:p>
        </w:tc>
        <w:tc>
          <w:tcPr>
            <w:tcW w:w="814" w:type="pct"/>
            <w:vMerge w:val="continue"/>
            <w:noWrap w:val="0"/>
            <w:vAlign w:val="center"/>
          </w:tcPr>
          <w:p w14:paraId="188EBB5E">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yellow"/>
                <w:u w:val="none" w:color="auto"/>
                <w:lang w:val="en-US" w:eastAsia="zh-CN"/>
              </w:rPr>
            </w:pPr>
          </w:p>
        </w:tc>
        <w:tc>
          <w:tcPr>
            <w:tcW w:w="693" w:type="pct"/>
            <w:shd w:val="clear" w:color="auto" w:fill="auto"/>
            <w:noWrap w:val="0"/>
            <w:vAlign w:val="center"/>
          </w:tcPr>
          <w:p w14:paraId="7BDE969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kern w:val="2"/>
                <w:sz w:val="21"/>
                <w:szCs w:val="21"/>
                <w:highlight w:val="none"/>
                <w:vertAlign w:val="baseline"/>
                <w:lang w:val="en-US" w:eastAsia="zh-CN" w:bidi="ar-SA"/>
              </w:rPr>
            </w:pPr>
            <w:r>
              <w:rPr>
                <w:rFonts w:hint="eastAsia"/>
                <w:sz w:val="21"/>
                <w:szCs w:val="21"/>
                <w:highlight w:val="none"/>
                <w:vertAlign w:val="baseline"/>
                <w:lang w:val="en-US" w:eastAsia="zh-CN"/>
              </w:rPr>
              <w:t>总镍</w:t>
            </w:r>
          </w:p>
        </w:tc>
        <w:tc>
          <w:tcPr>
            <w:tcW w:w="915" w:type="pct"/>
            <w:shd w:val="clear" w:color="auto" w:fill="auto"/>
            <w:noWrap w:val="0"/>
            <w:vAlign w:val="center"/>
          </w:tcPr>
          <w:p w14:paraId="2A38421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kern w:val="2"/>
                <w:sz w:val="21"/>
                <w:szCs w:val="21"/>
                <w:highlight w:val="none"/>
                <w:vertAlign w:val="baseline"/>
                <w:lang w:val="en-US" w:eastAsia="zh-CN" w:bidi="ar-SA"/>
              </w:rPr>
            </w:pPr>
            <w:r>
              <w:rPr>
                <w:rFonts w:hint="eastAsia" w:eastAsia="宋体"/>
                <w:sz w:val="21"/>
                <w:szCs w:val="21"/>
                <w:highlight w:val="none"/>
                <w:vertAlign w:val="baseline"/>
                <w:lang w:val="en-US" w:eastAsia="zh-CN"/>
              </w:rPr>
              <w:t>0.00013</w:t>
            </w:r>
            <w:r>
              <w:rPr>
                <w:rFonts w:hint="eastAsia" w:cs="Times New Roman"/>
                <w:sz w:val="21"/>
                <w:szCs w:val="21"/>
                <w:highlight w:val="none"/>
                <w:vertAlign w:val="baseline"/>
                <w:lang w:val="en-US" w:eastAsia="zh-CN"/>
              </w:rPr>
              <w:t>kg/d</w:t>
            </w:r>
          </w:p>
        </w:tc>
        <w:tc>
          <w:tcPr>
            <w:tcW w:w="969" w:type="pct"/>
            <w:shd w:val="clear" w:color="auto" w:fill="auto"/>
            <w:noWrap w:val="0"/>
            <w:vAlign w:val="center"/>
          </w:tcPr>
          <w:p w14:paraId="67EF8D3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kern w:val="2"/>
                <w:sz w:val="21"/>
                <w:szCs w:val="21"/>
                <w:highlight w:val="none"/>
                <w:vertAlign w:val="baseline"/>
                <w:lang w:val="en-US" w:eastAsia="zh-CN" w:bidi="ar-SA"/>
              </w:rPr>
            </w:pPr>
            <w:r>
              <w:rPr>
                <w:rFonts w:hint="eastAsia" w:eastAsia="宋体"/>
                <w:sz w:val="21"/>
                <w:szCs w:val="21"/>
                <w:highlight w:val="none"/>
                <w:vertAlign w:val="baseline"/>
                <w:lang w:val="en-US" w:eastAsia="zh-CN"/>
              </w:rPr>
              <w:t>0.000013</w:t>
            </w:r>
            <w:r>
              <w:rPr>
                <w:rFonts w:hint="eastAsia" w:cs="Times New Roman"/>
                <w:sz w:val="21"/>
                <w:szCs w:val="21"/>
                <w:highlight w:val="none"/>
                <w:vertAlign w:val="baseline"/>
                <w:lang w:val="en-US" w:eastAsia="zh-CN"/>
              </w:rPr>
              <w:t>kg/d</w:t>
            </w:r>
          </w:p>
        </w:tc>
        <w:tc>
          <w:tcPr>
            <w:tcW w:w="1102" w:type="pct"/>
            <w:vMerge w:val="continue"/>
            <w:shd w:val="clear" w:color="auto" w:fill="auto"/>
            <w:noWrap w:val="0"/>
            <w:vAlign w:val="center"/>
          </w:tcPr>
          <w:p w14:paraId="733F9F44">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yellow"/>
                <w:u w:val="none" w:color="auto"/>
                <w:lang w:val="en-US" w:eastAsia="zh-CN" w:bidi="ar-SA"/>
              </w:rPr>
            </w:pPr>
          </w:p>
        </w:tc>
      </w:tr>
      <w:tr w14:paraId="7D70276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03" w:type="pct"/>
            <w:vMerge w:val="continue"/>
            <w:noWrap w:val="0"/>
            <w:vAlign w:val="center"/>
          </w:tcPr>
          <w:p w14:paraId="4E59B2C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yellow"/>
                <w:u w:val="none" w:color="auto"/>
                <w:lang w:val="en-US" w:eastAsia="zh-CN"/>
              </w:rPr>
            </w:pPr>
          </w:p>
        </w:tc>
        <w:tc>
          <w:tcPr>
            <w:tcW w:w="814" w:type="pct"/>
            <w:vMerge w:val="continue"/>
            <w:noWrap w:val="0"/>
            <w:vAlign w:val="center"/>
          </w:tcPr>
          <w:p w14:paraId="6D9E877B">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yellow"/>
                <w:u w:val="none" w:color="auto"/>
                <w:lang w:val="en-US" w:eastAsia="zh-CN"/>
              </w:rPr>
            </w:pPr>
          </w:p>
        </w:tc>
        <w:tc>
          <w:tcPr>
            <w:tcW w:w="693" w:type="pct"/>
            <w:shd w:val="clear" w:color="auto" w:fill="auto"/>
            <w:noWrap w:val="0"/>
            <w:vAlign w:val="center"/>
          </w:tcPr>
          <w:p w14:paraId="11D2DA9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kern w:val="2"/>
                <w:sz w:val="21"/>
                <w:szCs w:val="21"/>
                <w:highlight w:val="none"/>
                <w:vertAlign w:val="baseline"/>
                <w:lang w:val="en-US" w:eastAsia="zh-CN" w:bidi="ar-SA"/>
              </w:rPr>
            </w:pPr>
            <w:r>
              <w:rPr>
                <w:rFonts w:hint="eastAsia"/>
                <w:sz w:val="21"/>
                <w:szCs w:val="21"/>
                <w:highlight w:val="none"/>
                <w:vertAlign w:val="baseline"/>
                <w:lang w:val="en-US" w:eastAsia="zh-CN"/>
              </w:rPr>
              <w:t>总铜</w:t>
            </w:r>
          </w:p>
        </w:tc>
        <w:tc>
          <w:tcPr>
            <w:tcW w:w="915" w:type="pct"/>
            <w:shd w:val="clear" w:color="auto" w:fill="auto"/>
            <w:noWrap w:val="0"/>
            <w:vAlign w:val="center"/>
          </w:tcPr>
          <w:p w14:paraId="2B49062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kern w:val="2"/>
                <w:sz w:val="21"/>
                <w:szCs w:val="21"/>
                <w:highlight w:val="none"/>
                <w:vertAlign w:val="baseline"/>
                <w:lang w:val="en-US" w:eastAsia="zh-CN" w:bidi="ar-SA"/>
              </w:rPr>
            </w:pPr>
            <w:r>
              <w:rPr>
                <w:rFonts w:hint="eastAsia" w:eastAsia="宋体"/>
                <w:sz w:val="21"/>
                <w:szCs w:val="21"/>
                <w:highlight w:val="none"/>
                <w:vertAlign w:val="baseline"/>
                <w:lang w:val="en-US" w:eastAsia="zh-CN"/>
              </w:rPr>
              <w:t>0.00073</w:t>
            </w:r>
            <w:r>
              <w:rPr>
                <w:rFonts w:hint="eastAsia" w:cs="Times New Roman"/>
                <w:sz w:val="21"/>
                <w:szCs w:val="21"/>
                <w:highlight w:val="none"/>
                <w:vertAlign w:val="baseline"/>
                <w:lang w:val="en-US" w:eastAsia="zh-CN"/>
              </w:rPr>
              <w:t>kg/d</w:t>
            </w:r>
          </w:p>
        </w:tc>
        <w:tc>
          <w:tcPr>
            <w:tcW w:w="969" w:type="pct"/>
            <w:shd w:val="clear" w:color="auto" w:fill="auto"/>
            <w:noWrap w:val="0"/>
            <w:vAlign w:val="center"/>
          </w:tcPr>
          <w:p w14:paraId="4B917F0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kern w:val="2"/>
                <w:sz w:val="21"/>
                <w:szCs w:val="21"/>
                <w:highlight w:val="none"/>
                <w:vertAlign w:val="baseline"/>
                <w:lang w:val="en-US" w:eastAsia="zh-CN" w:bidi="ar-SA"/>
              </w:rPr>
            </w:pPr>
            <w:r>
              <w:rPr>
                <w:rFonts w:hint="eastAsia" w:eastAsia="宋体"/>
                <w:sz w:val="21"/>
                <w:szCs w:val="21"/>
                <w:highlight w:val="none"/>
                <w:vertAlign w:val="baseline"/>
                <w:lang w:val="en-US" w:eastAsia="zh-CN"/>
              </w:rPr>
              <w:t>0.00007</w:t>
            </w:r>
            <w:r>
              <w:rPr>
                <w:rFonts w:hint="eastAsia" w:cs="Times New Roman"/>
                <w:sz w:val="21"/>
                <w:szCs w:val="21"/>
                <w:highlight w:val="none"/>
                <w:vertAlign w:val="baseline"/>
                <w:lang w:val="en-US" w:eastAsia="zh-CN"/>
              </w:rPr>
              <w:t>kg/d</w:t>
            </w:r>
          </w:p>
        </w:tc>
        <w:tc>
          <w:tcPr>
            <w:tcW w:w="1102" w:type="pct"/>
            <w:vMerge w:val="continue"/>
            <w:shd w:val="clear" w:color="auto" w:fill="auto"/>
            <w:noWrap w:val="0"/>
            <w:vAlign w:val="center"/>
          </w:tcPr>
          <w:p w14:paraId="7C79EFC2">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yellow"/>
                <w:u w:val="none" w:color="auto"/>
                <w:lang w:val="en-US" w:eastAsia="zh-CN" w:bidi="ar-SA"/>
              </w:rPr>
            </w:pPr>
          </w:p>
        </w:tc>
      </w:tr>
      <w:tr w14:paraId="2FB7402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03" w:type="pct"/>
            <w:vMerge w:val="continue"/>
            <w:noWrap w:val="0"/>
            <w:vAlign w:val="center"/>
          </w:tcPr>
          <w:p w14:paraId="08DE2B3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yellow"/>
                <w:u w:val="none" w:color="auto"/>
                <w:lang w:val="en-US" w:eastAsia="zh-CN"/>
              </w:rPr>
            </w:pPr>
          </w:p>
        </w:tc>
        <w:tc>
          <w:tcPr>
            <w:tcW w:w="814" w:type="pct"/>
            <w:vMerge w:val="continue"/>
            <w:noWrap w:val="0"/>
            <w:vAlign w:val="center"/>
          </w:tcPr>
          <w:p w14:paraId="6BD1D6F9">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yellow"/>
                <w:u w:val="none" w:color="auto"/>
                <w:lang w:val="en-US" w:eastAsia="zh-CN"/>
              </w:rPr>
            </w:pPr>
          </w:p>
        </w:tc>
        <w:tc>
          <w:tcPr>
            <w:tcW w:w="693" w:type="pct"/>
            <w:shd w:val="clear" w:color="auto" w:fill="auto"/>
            <w:noWrap w:val="0"/>
            <w:vAlign w:val="center"/>
          </w:tcPr>
          <w:p w14:paraId="44DA483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kern w:val="2"/>
                <w:sz w:val="21"/>
                <w:szCs w:val="21"/>
                <w:highlight w:val="none"/>
                <w:vertAlign w:val="baseline"/>
                <w:lang w:val="en-US" w:eastAsia="zh-CN" w:bidi="ar-SA"/>
              </w:rPr>
            </w:pPr>
            <w:r>
              <w:rPr>
                <w:rFonts w:hint="eastAsia"/>
                <w:sz w:val="21"/>
                <w:szCs w:val="21"/>
                <w:highlight w:val="none"/>
                <w:vertAlign w:val="baseline"/>
                <w:lang w:val="en-US" w:eastAsia="zh-CN"/>
              </w:rPr>
              <w:t>总锌</w:t>
            </w:r>
          </w:p>
        </w:tc>
        <w:tc>
          <w:tcPr>
            <w:tcW w:w="915" w:type="pct"/>
            <w:shd w:val="clear" w:color="auto" w:fill="auto"/>
            <w:noWrap w:val="0"/>
            <w:vAlign w:val="center"/>
          </w:tcPr>
          <w:p w14:paraId="32ACB46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kern w:val="2"/>
                <w:sz w:val="21"/>
                <w:szCs w:val="21"/>
                <w:highlight w:val="none"/>
                <w:vertAlign w:val="baseline"/>
                <w:lang w:val="en-US" w:eastAsia="zh-CN" w:bidi="ar-SA"/>
              </w:rPr>
            </w:pPr>
            <w:r>
              <w:rPr>
                <w:rFonts w:hint="eastAsia" w:eastAsia="宋体"/>
                <w:sz w:val="21"/>
                <w:szCs w:val="21"/>
                <w:highlight w:val="none"/>
                <w:vertAlign w:val="baseline"/>
                <w:lang w:val="en-US" w:eastAsia="zh-CN"/>
              </w:rPr>
              <w:t>0.0018</w:t>
            </w:r>
            <w:r>
              <w:rPr>
                <w:rFonts w:hint="eastAsia" w:cs="Times New Roman"/>
                <w:sz w:val="21"/>
                <w:szCs w:val="21"/>
                <w:highlight w:val="none"/>
                <w:vertAlign w:val="baseline"/>
                <w:lang w:val="en-US" w:eastAsia="zh-CN"/>
              </w:rPr>
              <w:t>kg/d</w:t>
            </w:r>
          </w:p>
        </w:tc>
        <w:tc>
          <w:tcPr>
            <w:tcW w:w="969" w:type="pct"/>
            <w:shd w:val="clear" w:color="auto" w:fill="auto"/>
            <w:noWrap w:val="0"/>
            <w:vAlign w:val="center"/>
          </w:tcPr>
          <w:p w14:paraId="702105D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kern w:val="2"/>
                <w:sz w:val="21"/>
                <w:szCs w:val="21"/>
                <w:highlight w:val="none"/>
                <w:vertAlign w:val="baseline"/>
                <w:lang w:val="en-US" w:eastAsia="zh-CN" w:bidi="ar-SA"/>
              </w:rPr>
            </w:pPr>
            <w:r>
              <w:rPr>
                <w:rFonts w:hint="eastAsia" w:eastAsia="宋体"/>
                <w:sz w:val="21"/>
                <w:szCs w:val="21"/>
                <w:highlight w:val="none"/>
                <w:vertAlign w:val="baseline"/>
                <w:lang w:val="en-US" w:eastAsia="zh-CN"/>
              </w:rPr>
              <w:t>0.0002</w:t>
            </w:r>
            <w:r>
              <w:rPr>
                <w:rFonts w:hint="eastAsia" w:cs="Times New Roman"/>
                <w:sz w:val="21"/>
                <w:szCs w:val="21"/>
                <w:highlight w:val="none"/>
                <w:vertAlign w:val="baseline"/>
                <w:lang w:val="en-US" w:eastAsia="zh-CN"/>
              </w:rPr>
              <w:t>kg/d</w:t>
            </w:r>
          </w:p>
        </w:tc>
        <w:tc>
          <w:tcPr>
            <w:tcW w:w="1102" w:type="pct"/>
            <w:vMerge w:val="continue"/>
            <w:shd w:val="clear" w:color="auto" w:fill="auto"/>
            <w:noWrap w:val="0"/>
            <w:vAlign w:val="center"/>
          </w:tcPr>
          <w:p w14:paraId="0956F7E9">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yellow"/>
                <w:u w:val="none" w:color="auto"/>
                <w:lang w:val="en-US" w:eastAsia="zh-CN" w:bidi="ar-SA"/>
              </w:rPr>
            </w:pPr>
          </w:p>
        </w:tc>
      </w:tr>
      <w:tr w14:paraId="009E15E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03" w:type="pct"/>
            <w:vMerge w:val="continue"/>
            <w:noWrap w:val="0"/>
            <w:vAlign w:val="center"/>
          </w:tcPr>
          <w:p w14:paraId="78B114F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yellow"/>
                <w:u w:val="none" w:color="auto"/>
                <w:lang w:val="en-US" w:eastAsia="zh-CN"/>
              </w:rPr>
            </w:pPr>
          </w:p>
        </w:tc>
        <w:tc>
          <w:tcPr>
            <w:tcW w:w="814" w:type="pct"/>
            <w:vMerge w:val="continue"/>
            <w:noWrap w:val="0"/>
            <w:vAlign w:val="center"/>
          </w:tcPr>
          <w:p w14:paraId="13651926">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yellow"/>
                <w:u w:val="none" w:color="auto"/>
                <w:lang w:val="en-US" w:eastAsia="zh-CN"/>
              </w:rPr>
            </w:pPr>
          </w:p>
        </w:tc>
        <w:tc>
          <w:tcPr>
            <w:tcW w:w="693" w:type="pct"/>
            <w:shd w:val="clear" w:color="auto" w:fill="auto"/>
            <w:noWrap w:val="0"/>
            <w:vAlign w:val="center"/>
          </w:tcPr>
          <w:p w14:paraId="6BFE4F5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kern w:val="2"/>
                <w:sz w:val="21"/>
                <w:szCs w:val="21"/>
                <w:highlight w:val="none"/>
                <w:vertAlign w:val="baseline"/>
                <w:lang w:val="en-US" w:eastAsia="zh-CN" w:bidi="ar-SA"/>
              </w:rPr>
            </w:pPr>
            <w:r>
              <w:rPr>
                <w:rFonts w:hint="eastAsia"/>
                <w:sz w:val="21"/>
                <w:szCs w:val="21"/>
                <w:highlight w:val="none"/>
                <w:vertAlign w:val="baseline"/>
                <w:lang w:val="en-US" w:eastAsia="zh-CN"/>
              </w:rPr>
              <w:t>总砷</w:t>
            </w:r>
          </w:p>
        </w:tc>
        <w:tc>
          <w:tcPr>
            <w:tcW w:w="915" w:type="pct"/>
            <w:shd w:val="clear" w:color="auto" w:fill="auto"/>
            <w:noWrap w:val="0"/>
            <w:vAlign w:val="center"/>
          </w:tcPr>
          <w:p w14:paraId="064D7B8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kern w:val="2"/>
                <w:sz w:val="21"/>
                <w:szCs w:val="21"/>
                <w:highlight w:val="none"/>
                <w:vertAlign w:val="baseline"/>
                <w:lang w:val="en-US" w:eastAsia="zh-CN" w:bidi="ar-SA"/>
              </w:rPr>
            </w:pPr>
            <w:r>
              <w:rPr>
                <w:rFonts w:hint="eastAsia" w:eastAsia="宋体"/>
                <w:sz w:val="21"/>
                <w:szCs w:val="21"/>
                <w:highlight w:val="none"/>
                <w:vertAlign w:val="baseline"/>
                <w:lang w:val="en-US" w:eastAsia="zh-CN"/>
              </w:rPr>
              <w:t>0.0164</w:t>
            </w:r>
            <w:r>
              <w:rPr>
                <w:rFonts w:hint="eastAsia" w:cs="Times New Roman"/>
                <w:sz w:val="21"/>
                <w:szCs w:val="21"/>
                <w:highlight w:val="none"/>
                <w:vertAlign w:val="baseline"/>
                <w:lang w:val="en-US" w:eastAsia="zh-CN"/>
              </w:rPr>
              <w:t>kg/d</w:t>
            </w:r>
          </w:p>
        </w:tc>
        <w:tc>
          <w:tcPr>
            <w:tcW w:w="969" w:type="pct"/>
            <w:shd w:val="clear" w:color="auto" w:fill="auto"/>
            <w:noWrap w:val="0"/>
            <w:vAlign w:val="center"/>
          </w:tcPr>
          <w:p w14:paraId="1E89F2C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kern w:val="2"/>
                <w:sz w:val="21"/>
                <w:szCs w:val="21"/>
                <w:highlight w:val="none"/>
                <w:vertAlign w:val="baseline"/>
                <w:lang w:val="en-US" w:eastAsia="zh-CN" w:bidi="ar-SA"/>
              </w:rPr>
            </w:pPr>
            <w:r>
              <w:rPr>
                <w:rFonts w:hint="eastAsia" w:eastAsia="宋体"/>
                <w:sz w:val="21"/>
                <w:szCs w:val="21"/>
                <w:highlight w:val="none"/>
                <w:vertAlign w:val="baseline"/>
                <w:lang w:val="en-US" w:eastAsia="zh-CN"/>
              </w:rPr>
              <w:t>0.0016</w:t>
            </w:r>
            <w:r>
              <w:rPr>
                <w:rFonts w:hint="eastAsia" w:cs="Times New Roman"/>
                <w:sz w:val="21"/>
                <w:szCs w:val="21"/>
                <w:highlight w:val="none"/>
                <w:vertAlign w:val="baseline"/>
                <w:lang w:val="en-US" w:eastAsia="zh-CN"/>
              </w:rPr>
              <w:t>kg/d</w:t>
            </w:r>
          </w:p>
        </w:tc>
        <w:tc>
          <w:tcPr>
            <w:tcW w:w="1102" w:type="pct"/>
            <w:vMerge w:val="continue"/>
            <w:shd w:val="clear" w:color="auto" w:fill="auto"/>
            <w:noWrap w:val="0"/>
            <w:vAlign w:val="center"/>
          </w:tcPr>
          <w:p w14:paraId="3249A041">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yellow"/>
                <w:u w:val="none" w:color="auto"/>
                <w:lang w:val="en-US" w:eastAsia="zh-CN" w:bidi="ar-SA"/>
              </w:rPr>
            </w:pPr>
          </w:p>
        </w:tc>
      </w:tr>
      <w:tr w14:paraId="3F8EA29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03" w:type="pct"/>
            <w:vMerge w:val="continue"/>
            <w:noWrap w:val="0"/>
            <w:vAlign w:val="center"/>
          </w:tcPr>
          <w:p w14:paraId="1E301DC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yellow"/>
                <w:u w:val="none" w:color="auto"/>
                <w:lang w:val="en-US" w:eastAsia="zh-CN"/>
              </w:rPr>
            </w:pPr>
          </w:p>
        </w:tc>
        <w:tc>
          <w:tcPr>
            <w:tcW w:w="814" w:type="pct"/>
            <w:vMerge w:val="continue"/>
            <w:noWrap w:val="0"/>
            <w:vAlign w:val="center"/>
          </w:tcPr>
          <w:p w14:paraId="709BF3B1">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yellow"/>
                <w:u w:val="none" w:color="auto"/>
                <w:lang w:val="en-US" w:eastAsia="zh-CN"/>
              </w:rPr>
            </w:pPr>
          </w:p>
        </w:tc>
        <w:tc>
          <w:tcPr>
            <w:tcW w:w="693" w:type="pct"/>
            <w:shd w:val="clear" w:color="auto" w:fill="auto"/>
            <w:noWrap w:val="0"/>
            <w:vAlign w:val="center"/>
          </w:tcPr>
          <w:p w14:paraId="47B8296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kern w:val="2"/>
                <w:sz w:val="21"/>
                <w:szCs w:val="21"/>
                <w:highlight w:val="none"/>
                <w:vertAlign w:val="baseline"/>
                <w:lang w:val="en-US" w:eastAsia="zh-CN" w:bidi="ar-SA"/>
              </w:rPr>
            </w:pPr>
            <w:r>
              <w:rPr>
                <w:rFonts w:hint="eastAsia"/>
                <w:sz w:val="21"/>
                <w:szCs w:val="21"/>
                <w:highlight w:val="none"/>
                <w:vertAlign w:val="baseline"/>
                <w:lang w:val="en-US" w:eastAsia="zh-CN"/>
              </w:rPr>
              <w:t>总镉</w:t>
            </w:r>
          </w:p>
        </w:tc>
        <w:tc>
          <w:tcPr>
            <w:tcW w:w="915" w:type="pct"/>
            <w:shd w:val="clear" w:color="auto" w:fill="auto"/>
            <w:noWrap w:val="0"/>
            <w:vAlign w:val="center"/>
          </w:tcPr>
          <w:p w14:paraId="29A774A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kern w:val="2"/>
                <w:sz w:val="21"/>
                <w:szCs w:val="21"/>
                <w:highlight w:val="none"/>
                <w:vertAlign w:val="baseline"/>
                <w:lang w:val="en-US" w:eastAsia="zh-CN" w:bidi="ar-SA"/>
              </w:rPr>
            </w:pPr>
            <w:r>
              <w:rPr>
                <w:rFonts w:hint="eastAsia" w:eastAsia="宋体"/>
                <w:sz w:val="21"/>
                <w:szCs w:val="21"/>
                <w:highlight w:val="none"/>
                <w:vertAlign w:val="baseline"/>
                <w:lang w:val="en-US" w:eastAsia="zh-CN"/>
              </w:rPr>
              <w:t>0.000008</w:t>
            </w:r>
            <w:r>
              <w:rPr>
                <w:rFonts w:hint="eastAsia" w:cs="Times New Roman"/>
                <w:sz w:val="21"/>
                <w:szCs w:val="21"/>
                <w:highlight w:val="none"/>
                <w:vertAlign w:val="baseline"/>
                <w:lang w:val="en-US" w:eastAsia="zh-CN"/>
              </w:rPr>
              <w:t>kg/d</w:t>
            </w:r>
          </w:p>
        </w:tc>
        <w:tc>
          <w:tcPr>
            <w:tcW w:w="969" w:type="pct"/>
            <w:shd w:val="clear" w:color="auto" w:fill="auto"/>
            <w:noWrap w:val="0"/>
            <w:vAlign w:val="center"/>
          </w:tcPr>
          <w:p w14:paraId="008EE23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kern w:val="2"/>
                <w:sz w:val="21"/>
                <w:szCs w:val="21"/>
                <w:highlight w:val="none"/>
                <w:vertAlign w:val="baseline"/>
                <w:lang w:val="en-US" w:eastAsia="zh-CN" w:bidi="ar-SA"/>
              </w:rPr>
            </w:pPr>
            <w:r>
              <w:rPr>
                <w:rFonts w:hint="eastAsia" w:eastAsia="宋体"/>
                <w:sz w:val="21"/>
                <w:szCs w:val="21"/>
                <w:highlight w:val="none"/>
                <w:vertAlign w:val="baseline"/>
                <w:lang w:val="en-US" w:eastAsia="zh-CN"/>
              </w:rPr>
              <w:t>0.0000008</w:t>
            </w:r>
            <w:r>
              <w:rPr>
                <w:rFonts w:hint="eastAsia" w:cs="Times New Roman"/>
                <w:sz w:val="21"/>
                <w:szCs w:val="21"/>
                <w:highlight w:val="none"/>
                <w:vertAlign w:val="baseline"/>
                <w:lang w:val="en-US" w:eastAsia="zh-CN"/>
              </w:rPr>
              <w:t>kg/d</w:t>
            </w:r>
          </w:p>
        </w:tc>
        <w:tc>
          <w:tcPr>
            <w:tcW w:w="1102" w:type="pct"/>
            <w:vMerge w:val="continue"/>
            <w:shd w:val="clear" w:color="auto" w:fill="auto"/>
            <w:noWrap w:val="0"/>
            <w:vAlign w:val="center"/>
          </w:tcPr>
          <w:p w14:paraId="7BB1FC25">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yellow"/>
                <w:u w:val="none" w:color="auto"/>
                <w:lang w:val="en-US" w:eastAsia="zh-CN" w:bidi="ar-SA"/>
              </w:rPr>
            </w:pPr>
          </w:p>
        </w:tc>
      </w:tr>
      <w:tr w14:paraId="4089704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03" w:type="pct"/>
            <w:vMerge w:val="continue"/>
            <w:noWrap w:val="0"/>
            <w:vAlign w:val="center"/>
          </w:tcPr>
          <w:p w14:paraId="6CB37FA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yellow"/>
                <w:u w:val="none" w:color="auto"/>
                <w:lang w:val="en-US" w:eastAsia="zh-CN"/>
              </w:rPr>
            </w:pPr>
          </w:p>
        </w:tc>
        <w:tc>
          <w:tcPr>
            <w:tcW w:w="814" w:type="pct"/>
            <w:vMerge w:val="continue"/>
            <w:noWrap w:val="0"/>
            <w:vAlign w:val="center"/>
          </w:tcPr>
          <w:p w14:paraId="19C45291">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yellow"/>
                <w:u w:val="none" w:color="auto"/>
                <w:lang w:val="en-US" w:eastAsia="zh-CN"/>
              </w:rPr>
            </w:pPr>
          </w:p>
        </w:tc>
        <w:tc>
          <w:tcPr>
            <w:tcW w:w="693" w:type="pct"/>
            <w:shd w:val="clear" w:color="auto" w:fill="auto"/>
            <w:noWrap w:val="0"/>
            <w:vAlign w:val="center"/>
          </w:tcPr>
          <w:p w14:paraId="479311C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kern w:val="2"/>
                <w:sz w:val="21"/>
                <w:szCs w:val="21"/>
                <w:highlight w:val="none"/>
                <w:vertAlign w:val="baseline"/>
                <w:lang w:val="en-US" w:eastAsia="zh-CN" w:bidi="ar-SA"/>
              </w:rPr>
            </w:pPr>
            <w:r>
              <w:rPr>
                <w:rFonts w:hint="eastAsia"/>
                <w:sz w:val="21"/>
                <w:szCs w:val="21"/>
                <w:highlight w:val="none"/>
                <w:vertAlign w:val="baseline"/>
                <w:lang w:val="en-US" w:eastAsia="zh-CN"/>
              </w:rPr>
              <w:t>总铅</w:t>
            </w:r>
          </w:p>
        </w:tc>
        <w:tc>
          <w:tcPr>
            <w:tcW w:w="915" w:type="pct"/>
            <w:shd w:val="clear" w:color="auto" w:fill="auto"/>
            <w:noWrap w:val="0"/>
            <w:vAlign w:val="center"/>
          </w:tcPr>
          <w:p w14:paraId="6E158CD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kern w:val="2"/>
                <w:sz w:val="21"/>
                <w:szCs w:val="21"/>
                <w:highlight w:val="none"/>
                <w:vertAlign w:val="baseline"/>
                <w:lang w:val="en-US" w:eastAsia="zh-CN" w:bidi="ar-SA"/>
              </w:rPr>
            </w:pPr>
            <w:r>
              <w:rPr>
                <w:rFonts w:hint="eastAsia" w:eastAsia="宋体"/>
                <w:sz w:val="21"/>
                <w:szCs w:val="21"/>
                <w:highlight w:val="none"/>
                <w:vertAlign w:val="baseline"/>
                <w:lang w:val="en-US" w:eastAsia="zh-CN"/>
              </w:rPr>
              <w:t>0.00026</w:t>
            </w:r>
            <w:r>
              <w:rPr>
                <w:rFonts w:hint="eastAsia" w:cs="Times New Roman"/>
                <w:sz w:val="21"/>
                <w:szCs w:val="21"/>
                <w:highlight w:val="none"/>
                <w:vertAlign w:val="baseline"/>
                <w:lang w:val="en-US" w:eastAsia="zh-CN"/>
              </w:rPr>
              <w:t>kg/d</w:t>
            </w:r>
          </w:p>
        </w:tc>
        <w:tc>
          <w:tcPr>
            <w:tcW w:w="969" w:type="pct"/>
            <w:shd w:val="clear" w:color="auto" w:fill="auto"/>
            <w:noWrap w:val="0"/>
            <w:vAlign w:val="center"/>
          </w:tcPr>
          <w:p w14:paraId="0B30DC1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kern w:val="2"/>
                <w:sz w:val="21"/>
                <w:szCs w:val="21"/>
                <w:highlight w:val="none"/>
                <w:vertAlign w:val="baseline"/>
                <w:lang w:val="en-US" w:eastAsia="zh-CN" w:bidi="ar-SA"/>
              </w:rPr>
            </w:pPr>
            <w:r>
              <w:rPr>
                <w:rFonts w:hint="eastAsia" w:eastAsia="宋体"/>
                <w:sz w:val="21"/>
                <w:szCs w:val="21"/>
                <w:highlight w:val="none"/>
                <w:vertAlign w:val="baseline"/>
                <w:lang w:val="en-US" w:eastAsia="zh-CN"/>
              </w:rPr>
              <w:t>0.000026</w:t>
            </w:r>
            <w:r>
              <w:rPr>
                <w:rFonts w:hint="eastAsia" w:cs="Times New Roman"/>
                <w:sz w:val="21"/>
                <w:szCs w:val="21"/>
                <w:highlight w:val="none"/>
                <w:vertAlign w:val="baseline"/>
                <w:lang w:val="en-US" w:eastAsia="zh-CN"/>
              </w:rPr>
              <w:t>kg/d</w:t>
            </w:r>
          </w:p>
        </w:tc>
        <w:tc>
          <w:tcPr>
            <w:tcW w:w="1102" w:type="pct"/>
            <w:vMerge w:val="continue"/>
            <w:shd w:val="clear" w:color="auto" w:fill="auto"/>
            <w:noWrap w:val="0"/>
            <w:vAlign w:val="center"/>
          </w:tcPr>
          <w:p w14:paraId="196B08B0">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yellow"/>
                <w:u w:val="none" w:color="auto"/>
                <w:lang w:val="en-US" w:eastAsia="zh-CN" w:bidi="ar-SA"/>
              </w:rPr>
            </w:pPr>
          </w:p>
        </w:tc>
      </w:tr>
      <w:tr w14:paraId="5B23436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03" w:type="pct"/>
            <w:vMerge w:val="continue"/>
            <w:noWrap w:val="0"/>
            <w:vAlign w:val="center"/>
          </w:tcPr>
          <w:p w14:paraId="1336EF7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yellow"/>
                <w:u w:val="none" w:color="auto"/>
                <w:lang w:val="en-US" w:eastAsia="zh-CN"/>
              </w:rPr>
            </w:pPr>
          </w:p>
        </w:tc>
        <w:tc>
          <w:tcPr>
            <w:tcW w:w="814" w:type="pct"/>
            <w:vMerge w:val="continue"/>
            <w:noWrap w:val="0"/>
            <w:vAlign w:val="center"/>
          </w:tcPr>
          <w:p w14:paraId="732F83A9">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yellow"/>
                <w:u w:val="none" w:color="auto"/>
                <w:lang w:val="en-US" w:eastAsia="zh-CN"/>
              </w:rPr>
            </w:pPr>
          </w:p>
        </w:tc>
        <w:tc>
          <w:tcPr>
            <w:tcW w:w="693" w:type="pct"/>
            <w:shd w:val="clear" w:color="auto" w:fill="auto"/>
            <w:noWrap w:val="0"/>
            <w:vAlign w:val="center"/>
          </w:tcPr>
          <w:p w14:paraId="5A184C5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kern w:val="2"/>
                <w:sz w:val="21"/>
                <w:szCs w:val="21"/>
                <w:highlight w:val="none"/>
                <w:vertAlign w:val="baseline"/>
                <w:lang w:val="en-US" w:eastAsia="zh-CN" w:bidi="ar-SA"/>
              </w:rPr>
            </w:pPr>
            <w:r>
              <w:rPr>
                <w:rFonts w:hint="eastAsia"/>
                <w:sz w:val="21"/>
                <w:szCs w:val="21"/>
                <w:highlight w:val="none"/>
                <w:vertAlign w:val="baseline"/>
                <w:lang w:val="en-US" w:eastAsia="zh-CN"/>
              </w:rPr>
              <w:t>总汞</w:t>
            </w:r>
          </w:p>
        </w:tc>
        <w:tc>
          <w:tcPr>
            <w:tcW w:w="915" w:type="pct"/>
            <w:shd w:val="clear" w:color="auto" w:fill="auto"/>
            <w:noWrap w:val="0"/>
            <w:vAlign w:val="center"/>
          </w:tcPr>
          <w:p w14:paraId="138770B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kern w:val="2"/>
                <w:sz w:val="21"/>
                <w:szCs w:val="21"/>
                <w:highlight w:val="none"/>
                <w:vertAlign w:val="baseline"/>
                <w:lang w:val="en-US" w:eastAsia="zh-CN" w:bidi="ar-SA"/>
              </w:rPr>
            </w:pPr>
            <w:r>
              <w:rPr>
                <w:rFonts w:hint="eastAsia" w:eastAsia="宋体"/>
                <w:sz w:val="21"/>
                <w:szCs w:val="21"/>
                <w:highlight w:val="none"/>
                <w:vertAlign w:val="baseline"/>
                <w:lang w:val="en-US" w:eastAsia="zh-CN"/>
              </w:rPr>
              <w:t>0.00000013</w:t>
            </w:r>
            <w:r>
              <w:rPr>
                <w:rFonts w:hint="eastAsia" w:cs="Times New Roman"/>
                <w:sz w:val="21"/>
                <w:szCs w:val="21"/>
                <w:highlight w:val="none"/>
                <w:vertAlign w:val="baseline"/>
                <w:lang w:val="en-US" w:eastAsia="zh-CN"/>
              </w:rPr>
              <w:t>kg/d</w:t>
            </w:r>
            <w:r>
              <w:rPr>
                <w:rFonts w:hint="eastAsia" w:eastAsia="宋体"/>
                <w:sz w:val="21"/>
                <w:szCs w:val="21"/>
                <w:highlight w:val="none"/>
                <w:vertAlign w:val="baseline"/>
                <w:lang w:val="en-US" w:eastAsia="zh-CN"/>
              </w:rPr>
              <w:t xml:space="preserve"> </w:t>
            </w:r>
          </w:p>
        </w:tc>
        <w:tc>
          <w:tcPr>
            <w:tcW w:w="969" w:type="pct"/>
            <w:shd w:val="clear" w:color="auto" w:fill="auto"/>
            <w:noWrap w:val="0"/>
            <w:vAlign w:val="center"/>
          </w:tcPr>
          <w:p w14:paraId="16694DE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kern w:val="2"/>
                <w:sz w:val="21"/>
                <w:szCs w:val="21"/>
                <w:highlight w:val="none"/>
                <w:vertAlign w:val="baseline"/>
                <w:lang w:val="en-US" w:eastAsia="zh-CN" w:bidi="ar-SA"/>
              </w:rPr>
            </w:pPr>
            <w:r>
              <w:rPr>
                <w:rFonts w:hint="eastAsia" w:eastAsia="宋体"/>
                <w:sz w:val="21"/>
                <w:szCs w:val="21"/>
                <w:highlight w:val="none"/>
                <w:vertAlign w:val="baseline"/>
                <w:lang w:val="en-US" w:eastAsia="zh-CN"/>
              </w:rPr>
              <w:t>0.00000001</w:t>
            </w:r>
            <w:r>
              <w:rPr>
                <w:rFonts w:hint="eastAsia" w:cs="Times New Roman"/>
                <w:sz w:val="21"/>
                <w:szCs w:val="21"/>
                <w:highlight w:val="none"/>
                <w:vertAlign w:val="baseline"/>
                <w:lang w:val="en-US" w:eastAsia="zh-CN"/>
              </w:rPr>
              <w:t>kg/d</w:t>
            </w:r>
          </w:p>
        </w:tc>
        <w:tc>
          <w:tcPr>
            <w:tcW w:w="1102" w:type="pct"/>
            <w:vMerge w:val="continue"/>
            <w:shd w:val="clear" w:color="auto" w:fill="auto"/>
            <w:noWrap w:val="0"/>
            <w:vAlign w:val="center"/>
          </w:tcPr>
          <w:p w14:paraId="0DABEFC9">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yellow"/>
                <w:u w:val="none" w:color="auto"/>
                <w:lang w:val="en-US" w:eastAsia="zh-CN" w:bidi="ar-SA"/>
              </w:rPr>
            </w:pPr>
          </w:p>
        </w:tc>
      </w:tr>
      <w:tr w14:paraId="5736995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03" w:type="pct"/>
            <w:vMerge w:val="continue"/>
            <w:noWrap w:val="0"/>
            <w:vAlign w:val="center"/>
          </w:tcPr>
          <w:p w14:paraId="6433F5C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yellow"/>
                <w:u w:val="none" w:color="auto"/>
                <w:lang w:val="en-US" w:eastAsia="zh-CN"/>
              </w:rPr>
            </w:pPr>
          </w:p>
        </w:tc>
        <w:tc>
          <w:tcPr>
            <w:tcW w:w="814" w:type="pct"/>
            <w:vMerge w:val="continue"/>
            <w:noWrap w:val="0"/>
            <w:vAlign w:val="center"/>
          </w:tcPr>
          <w:p w14:paraId="3EE96FA0">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yellow"/>
                <w:u w:val="none" w:color="auto"/>
                <w:lang w:val="en-US" w:eastAsia="zh-CN"/>
              </w:rPr>
            </w:pPr>
          </w:p>
        </w:tc>
        <w:tc>
          <w:tcPr>
            <w:tcW w:w="693" w:type="pct"/>
            <w:shd w:val="clear" w:color="auto" w:fill="auto"/>
            <w:noWrap w:val="0"/>
            <w:vAlign w:val="center"/>
          </w:tcPr>
          <w:p w14:paraId="2F9D675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kern w:val="2"/>
                <w:sz w:val="21"/>
                <w:szCs w:val="21"/>
                <w:highlight w:val="none"/>
                <w:vertAlign w:val="baseline"/>
                <w:lang w:val="en-US" w:eastAsia="zh-CN" w:bidi="ar-SA"/>
              </w:rPr>
            </w:pPr>
            <w:r>
              <w:rPr>
                <w:rFonts w:hint="eastAsia"/>
                <w:sz w:val="21"/>
                <w:szCs w:val="21"/>
                <w:highlight w:val="none"/>
                <w:vertAlign w:val="baseline"/>
                <w:lang w:val="en-US" w:eastAsia="zh-CN"/>
              </w:rPr>
              <w:t>六价铬</w:t>
            </w:r>
          </w:p>
        </w:tc>
        <w:tc>
          <w:tcPr>
            <w:tcW w:w="915" w:type="pct"/>
            <w:shd w:val="clear" w:color="auto" w:fill="auto"/>
            <w:noWrap w:val="0"/>
            <w:vAlign w:val="center"/>
          </w:tcPr>
          <w:p w14:paraId="0064EAF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kern w:val="2"/>
                <w:sz w:val="21"/>
                <w:szCs w:val="21"/>
                <w:highlight w:val="none"/>
                <w:vertAlign w:val="baseline"/>
                <w:lang w:val="en-US" w:eastAsia="zh-CN" w:bidi="ar-SA"/>
              </w:rPr>
            </w:pPr>
            <w:r>
              <w:rPr>
                <w:rFonts w:hint="eastAsia" w:eastAsia="宋体"/>
                <w:sz w:val="21"/>
                <w:szCs w:val="21"/>
                <w:highlight w:val="none"/>
                <w:vertAlign w:val="baseline"/>
                <w:lang w:val="en-US" w:eastAsia="zh-CN"/>
              </w:rPr>
              <w:t>0.000027</w:t>
            </w:r>
            <w:r>
              <w:rPr>
                <w:rFonts w:hint="eastAsia" w:cs="Times New Roman"/>
                <w:sz w:val="21"/>
                <w:szCs w:val="21"/>
                <w:highlight w:val="none"/>
                <w:vertAlign w:val="baseline"/>
                <w:lang w:val="en-US" w:eastAsia="zh-CN"/>
              </w:rPr>
              <w:t>kg/d</w:t>
            </w:r>
          </w:p>
        </w:tc>
        <w:tc>
          <w:tcPr>
            <w:tcW w:w="969" w:type="pct"/>
            <w:shd w:val="clear" w:color="auto" w:fill="auto"/>
            <w:noWrap w:val="0"/>
            <w:vAlign w:val="center"/>
          </w:tcPr>
          <w:p w14:paraId="2677E7E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kern w:val="2"/>
                <w:sz w:val="21"/>
                <w:szCs w:val="21"/>
                <w:highlight w:val="none"/>
                <w:vertAlign w:val="baseline"/>
                <w:lang w:val="en-US" w:eastAsia="zh-CN" w:bidi="ar-SA"/>
              </w:rPr>
            </w:pPr>
            <w:r>
              <w:rPr>
                <w:rFonts w:hint="eastAsia" w:eastAsia="宋体"/>
                <w:sz w:val="21"/>
                <w:szCs w:val="21"/>
                <w:highlight w:val="none"/>
                <w:vertAlign w:val="baseline"/>
                <w:lang w:val="en-US" w:eastAsia="zh-CN"/>
              </w:rPr>
              <w:t>0.0000027</w:t>
            </w:r>
            <w:r>
              <w:rPr>
                <w:rFonts w:hint="eastAsia" w:cs="Times New Roman"/>
                <w:sz w:val="21"/>
                <w:szCs w:val="21"/>
                <w:highlight w:val="none"/>
                <w:vertAlign w:val="baseline"/>
                <w:lang w:val="en-US" w:eastAsia="zh-CN"/>
              </w:rPr>
              <w:t>kg/d</w:t>
            </w:r>
          </w:p>
        </w:tc>
        <w:tc>
          <w:tcPr>
            <w:tcW w:w="1102" w:type="pct"/>
            <w:vMerge w:val="continue"/>
            <w:shd w:val="clear" w:color="auto" w:fill="auto"/>
            <w:noWrap w:val="0"/>
            <w:vAlign w:val="center"/>
          </w:tcPr>
          <w:p w14:paraId="2CAD37FD">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yellow"/>
                <w:u w:val="none" w:color="auto"/>
                <w:lang w:val="en-US" w:eastAsia="zh-CN" w:bidi="ar-SA"/>
              </w:rPr>
            </w:pPr>
          </w:p>
        </w:tc>
      </w:tr>
      <w:tr w14:paraId="5400E2D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03" w:type="pct"/>
            <w:vMerge w:val="continue"/>
            <w:noWrap w:val="0"/>
            <w:vAlign w:val="center"/>
          </w:tcPr>
          <w:p w14:paraId="30F88CD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yellow"/>
                <w:u w:val="none" w:color="auto"/>
                <w:lang w:val="en-US" w:eastAsia="zh-CN"/>
              </w:rPr>
            </w:pPr>
          </w:p>
        </w:tc>
        <w:tc>
          <w:tcPr>
            <w:tcW w:w="814" w:type="pct"/>
            <w:vMerge w:val="continue"/>
            <w:noWrap w:val="0"/>
            <w:vAlign w:val="center"/>
          </w:tcPr>
          <w:p w14:paraId="7821279F">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yellow"/>
                <w:u w:val="none" w:color="auto"/>
                <w:lang w:val="en-US" w:eastAsia="zh-CN"/>
              </w:rPr>
            </w:pPr>
          </w:p>
        </w:tc>
        <w:tc>
          <w:tcPr>
            <w:tcW w:w="693" w:type="pct"/>
            <w:shd w:val="clear" w:color="auto" w:fill="auto"/>
            <w:noWrap w:val="0"/>
            <w:vAlign w:val="center"/>
          </w:tcPr>
          <w:p w14:paraId="0642104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kern w:val="2"/>
                <w:sz w:val="21"/>
                <w:szCs w:val="21"/>
                <w:highlight w:val="none"/>
                <w:vertAlign w:val="baseline"/>
                <w:lang w:val="en-US" w:eastAsia="zh-CN" w:bidi="ar-SA"/>
              </w:rPr>
            </w:pPr>
            <w:r>
              <w:rPr>
                <w:rFonts w:hint="eastAsia"/>
                <w:sz w:val="21"/>
                <w:szCs w:val="21"/>
                <w:highlight w:val="none"/>
                <w:vertAlign w:val="baseline"/>
                <w:lang w:val="en-US" w:eastAsia="zh-CN"/>
              </w:rPr>
              <w:t>氰化物</w:t>
            </w:r>
          </w:p>
        </w:tc>
        <w:tc>
          <w:tcPr>
            <w:tcW w:w="915" w:type="pct"/>
            <w:shd w:val="clear" w:color="auto" w:fill="auto"/>
            <w:noWrap w:val="0"/>
            <w:vAlign w:val="center"/>
          </w:tcPr>
          <w:p w14:paraId="061FB8A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kern w:val="2"/>
                <w:sz w:val="21"/>
                <w:szCs w:val="21"/>
                <w:highlight w:val="none"/>
                <w:vertAlign w:val="baseline"/>
                <w:lang w:val="en-US" w:eastAsia="zh-CN" w:bidi="ar-SA"/>
              </w:rPr>
            </w:pPr>
            <w:r>
              <w:rPr>
                <w:rFonts w:hint="eastAsia" w:eastAsia="宋体"/>
                <w:sz w:val="21"/>
                <w:szCs w:val="21"/>
                <w:highlight w:val="none"/>
                <w:vertAlign w:val="baseline"/>
                <w:lang w:val="en-US" w:eastAsia="zh-CN"/>
              </w:rPr>
              <w:t>0.000027</w:t>
            </w:r>
            <w:r>
              <w:rPr>
                <w:rFonts w:hint="eastAsia" w:cs="Times New Roman"/>
                <w:sz w:val="21"/>
                <w:szCs w:val="21"/>
                <w:highlight w:val="none"/>
                <w:vertAlign w:val="baseline"/>
                <w:lang w:val="en-US" w:eastAsia="zh-CN"/>
              </w:rPr>
              <w:t>kg/d</w:t>
            </w:r>
          </w:p>
        </w:tc>
        <w:tc>
          <w:tcPr>
            <w:tcW w:w="969" w:type="pct"/>
            <w:shd w:val="clear" w:color="auto" w:fill="auto"/>
            <w:noWrap w:val="0"/>
            <w:vAlign w:val="center"/>
          </w:tcPr>
          <w:p w14:paraId="1B569C9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kern w:val="2"/>
                <w:sz w:val="21"/>
                <w:szCs w:val="21"/>
                <w:highlight w:val="none"/>
                <w:vertAlign w:val="baseline"/>
                <w:lang w:val="en-US" w:eastAsia="zh-CN" w:bidi="ar-SA"/>
              </w:rPr>
            </w:pPr>
            <w:r>
              <w:rPr>
                <w:rFonts w:hint="eastAsia" w:eastAsia="宋体"/>
                <w:sz w:val="21"/>
                <w:szCs w:val="21"/>
                <w:highlight w:val="none"/>
                <w:vertAlign w:val="baseline"/>
                <w:lang w:val="en-US" w:eastAsia="zh-CN"/>
              </w:rPr>
              <w:t>0.0000027</w:t>
            </w:r>
            <w:r>
              <w:rPr>
                <w:rFonts w:hint="eastAsia" w:cs="Times New Roman"/>
                <w:sz w:val="21"/>
                <w:szCs w:val="21"/>
                <w:highlight w:val="none"/>
                <w:vertAlign w:val="baseline"/>
                <w:lang w:val="en-US" w:eastAsia="zh-CN"/>
              </w:rPr>
              <w:t>kg/d</w:t>
            </w:r>
          </w:p>
        </w:tc>
        <w:tc>
          <w:tcPr>
            <w:tcW w:w="1102" w:type="pct"/>
            <w:vMerge w:val="continue"/>
            <w:shd w:val="clear" w:color="auto" w:fill="auto"/>
            <w:noWrap w:val="0"/>
            <w:vAlign w:val="center"/>
          </w:tcPr>
          <w:p w14:paraId="139C7628">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yellow"/>
                <w:u w:val="none" w:color="auto"/>
                <w:lang w:val="en-US" w:eastAsia="zh-CN" w:bidi="ar-SA"/>
              </w:rPr>
            </w:pPr>
          </w:p>
        </w:tc>
      </w:tr>
      <w:tr w14:paraId="71DB525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03" w:type="pct"/>
            <w:vMerge w:val="restart"/>
            <w:noWrap w:val="0"/>
            <w:vAlign w:val="center"/>
          </w:tcPr>
          <w:p w14:paraId="4F4BDB7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u w:val="none" w:color="auto"/>
                <w:lang w:val="en-US" w:eastAsia="zh-CN"/>
              </w:rPr>
            </w:pPr>
            <w:r>
              <w:rPr>
                <w:rFonts w:hint="eastAsia"/>
                <w:sz w:val="21"/>
                <w:szCs w:val="21"/>
                <w:highlight w:val="none"/>
                <w:u w:val="none" w:color="auto"/>
                <w:lang w:val="en-US" w:eastAsia="zh-CN"/>
              </w:rPr>
              <w:t>施工期固废</w:t>
            </w:r>
          </w:p>
        </w:tc>
        <w:tc>
          <w:tcPr>
            <w:tcW w:w="814" w:type="pct"/>
            <w:vMerge w:val="restart"/>
            <w:noWrap w:val="0"/>
            <w:vAlign w:val="center"/>
          </w:tcPr>
          <w:p w14:paraId="2B0D8CA0">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u w:val="none" w:color="auto"/>
                <w:lang w:val="en-US" w:eastAsia="zh-CN" w:bidi="ar-SA"/>
              </w:rPr>
            </w:pPr>
            <w:r>
              <w:rPr>
                <w:rFonts w:hint="eastAsia"/>
                <w:sz w:val="21"/>
                <w:szCs w:val="21"/>
                <w:highlight w:val="none"/>
                <w:u w:val="none" w:color="auto"/>
                <w:lang w:val="en-US" w:eastAsia="zh-CN"/>
              </w:rPr>
              <w:t>一般固废</w:t>
            </w:r>
          </w:p>
        </w:tc>
        <w:tc>
          <w:tcPr>
            <w:tcW w:w="693" w:type="pct"/>
            <w:shd w:val="clear" w:color="auto" w:fill="auto"/>
            <w:noWrap w:val="0"/>
            <w:vAlign w:val="center"/>
          </w:tcPr>
          <w:p w14:paraId="37AA419F">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u w:val="none" w:color="auto"/>
                <w:lang w:val="en-US" w:eastAsia="zh-CN" w:bidi="ar-SA"/>
              </w:rPr>
            </w:pPr>
            <w:r>
              <w:rPr>
                <w:rFonts w:hint="eastAsia" w:ascii="Times New Roman" w:hAnsi="Times New Roman" w:eastAsia="宋体" w:cs="Times New Roman"/>
                <w:kern w:val="2"/>
                <w:sz w:val="21"/>
                <w:szCs w:val="21"/>
                <w:highlight w:val="none"/>
                <w:u w:val="none" w:color="auto"/>
                <w:lang w:val="en-US" w:eastAsia="zh-CN" w:bidi="ar-SA"/>
              </w:rPr>
              <w:t>废渣区废渣</w:t>
            </w:r>
          </w:p>
        </w:tc>
        <w:tc>
          <w:tcPr>
            <w:tcW w:w="915" w:type="pct"/>
            <w:shd w:val="clear" w:color="auto" w:fill="auto"/>
            <w:noWrap w:val="0"/>
            <w:vAlign w:val="center"/>
          </w:tcPr>
          <w:p w14:paraId="291073A9">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kern w:val="2"/>
                <w:sz w:val="21"/>
                <w:szCs w:val="21"/>
                <w:highlight w:val="none"/>
                <w:u w:val="none" w:color="auto"/>
                <w:lang w:val="en-US" w:eastAsia="zh-CN" w:bidi="ar-SA"/>
              </w:rPr>
            </w:pPr>
            <w:r>
              <w:rPr>
                <w:rFonts w:hint="eastAsia" w:cs="Times New Roman"/>
                <w:kern w:val="2"/>
                <w:sz w:val="21"/>
                <w:szCs w:val="21"/>
                <w:highlight w:val="none"/>
                <w:u w:val="none" w:color="auto"/>
                <w:lang w:val="en-US" w:eastAsia="zh-CN" w:bidi="ar-SA"/>
              </w:rPr>
              <w:t>42040.12m</w:t>
            </w:r>
            <w:r>
              <w:rPr>
                <w:rFonts w:hint="eastAsia" w:cs="Times New Roman"/>
                <w:kern w:val="2"/>
                <w:sz w:val="21"/>
                <w:szCs w:val="21"/>
                <w:highlight w:val="none"/>
                <w:u w:val="none" w:color="auto"/>
                <w:vertAlign w:val="superscript"/>
                <w:lang w:val="en-US" w:eastAsia="zh-CN" w:bidi="ar-SA"/>
              </w:rPr>
              <w:t>3</w:t>
            </w:r>
          </w:p>
        </w:tc>
        <w:tc>
          <w:tcPr>
            <w:tcW w:w="969" w:type="pct"/>
            <w:shd w:val="clear" w:color="auto" w:fill="auto"/>
            <w:noWrap w:val="0"/>
            <w:vAlign w:val="center"/>
          </w:tcPr>
          <w:p w14:paraId="2B3DA64B">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u w:val="none" w:color="auto"/>
                <w:lang w:val="en-US" w:eastAsia="zh-CN" w:bidi="ar-SA"/>
              </w:rPr>
            </w:pPr>
            <w:r>
              <w:rPr>
                <w:rFonts w:hint="eastAsia" w:cs="Times New Roman"/>
                <w:kern w:val="2"/>
                <w:sz w:val="21"/>
                <w:szCs w:val="21"/>
                <w:highlight w:val="none"/>
                <w:u w:val="none" w:color="auto"/>
                <w:lang w:val="en-US" w:eastAsia="zh-CN" w:bidi="ar-SA"/>
              </w:rPr>
              <w:t>42040.12m</w:t>
            </w:r>
            <w:r>
              <w:rPr>
                <w:rFonts w:hint="eastAsia" w:cs="Times New Roman"/>
                <w:kern w:val="2"/>
                <w:sz w:val="21"/>
                <w:szCs w:val="21"/>
                <w:highlight w:val="none"/>
                <w:u w:val="none" w:color="auto"/>
                <w:vertAlign w:val="superscript"/>
                <w:lang w:val="en-US" w:eastAsia="zh-CN" w:bidi="ar-SA"/>
              </w:rPr>
              <w:t>3</w:t>
            </w:r>
          </w:p>
        </w:tc>
        <w:tc>
          <w:tcPr>
            <w:tcW w:w="1102" w:type="pct"/>
            <w:shd w:val="clear" w:color="auto" w:fill="auto"/>
            <w:noWrap w:val="0"/>
            <w:vAlign w:val="center"/>
          </w:tcPr>
          <w:p w14:paraId="34B69579">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kern w:val="2"/>
                <w:sz w:val="21"/>
                <w:szCs w:val="21"/>
                <w:highlight w:val="none"/>
                <w:u w:val="none" w:color="auto"/>
                <w:lang w:val="en-US" w:eastAsia="zh-CN" w:bidi="ar-SA"/>
              </w:rPr>
            </w:pPr>
            <w:r>
              <w:rPr>
                <w:rFonts w:hint="default" w:ascii="Times New Roman" w:hAnsi="Times New Roman" w:eastAsia="宋体" w:cs="Times New Roman"/>
                <w:kern w:val="2"/>
                <w:sz w:val="21"/>
                <w:szCs w:val="21"/>
                <w:highlight w:val="none"/>
                <w:u w:val="none" w:color="auto"/>
                <w:lang w:val="en-US" w:eastAsia="zh-CN" w:bidi="ar-SA"/>
              </w:rPr>
              <w:t>填埋场进行集中安全填埋处置</w:t>
            </w:r>
          </w:p>
        </w:tc>
      </w:tr>
      <w:tr w14:paraId="06F1946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03" w:type="pct"/>
            <w:vMerge w:val="continue"/>
            <w:noWrap w:val="0"/>
            <w:vAlign w:val="center"/>
          </w:tcPr>
          <w:p w14:paraId="2881F01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u w:val="none" w:color="auto"/>
                <w:lang w:val="en-US" w:eastAsia="zh-CN"/>
              </w:rPr>
            </w:pPr>
          </w:p>
        </w:tc>
        <w:tc>
          <w:tcPr>
            <w:tcW w:w="814" w:type="pct"/>
            <w:vMerge w:val="continue"/>
            <w:noWrap w:val="0"/>
            <w:vAlign w:val="center"/>
          </w:tcPr>
          <w:p w14:paraId="5A7174EF">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u w:val="none" w:color="auto"/>
                <w:lang w:val="en-US" w:eastAsia="zh-CN" w:bidi="ar-SA"/>
              </w:rPr>
            </w:pPr>
          </w:p>
        </w:tc>
        <w:tc>
          <w:tcPr>
            <w:tcW w:w="693" w:type="pct"/>
            <w:shd w:val="clear" w:color="auto" w:fill="auto"/>
            <w:noWrap w:val="0"/>
            <w:vAlign w:val="center"/>
          </w:tcPr>
          <w:p w14:paraId="1F52656D">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kern w:val="2"/>
                <w:sz w:val="21"/>
                <w:szCs w:val="21"/>
                <w:highlight w:val="none"/>
                <w:u w:val="none" w:color="auto"/>
                <w:lang w:val="en-US" w:eastAsia="zh-CN" w:bidi="ar-SA"/>
              </w:rPr>
            </w:pPr>
            <w:r>
              <w:rPr>
                <w:rFonts w:hint="default" w:ascii="Times New Roman" w:hAnsi="Times New Roman" w:eastAsia="宋体" w:cs="Times New Roman"/>
                <w:kern w:val="2"/>
                <w:sz w:val="21"/>
                <w:szCs w:val="21"/>
                <w:highlight w:val="none"/>
                <w:u w:val="none" w:color="auto"/>
                <w:lang w:val="en-US" w:eastAsia="zh-CN" w:bidi="ar-SA"/>
              </w:rPr>
              <w:t>废防渗材料</w:t>
            </w:r>
          </w:p>
        </w:tc>
        <w:tc>
          <w:tcPr>
            <w:tcW w:w="915" w:type="pct"/>
            <w:shd w:val="clear" w:color="auto" w:fill="auto"/>
            <w:noWrap w:val="0"/>
            <w:vAlign w:val="center"/>
          </w:tcPr>
          <w:p w14:paraId="6D9F4BBF">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kern w:val="2"/>
                <w:sz w:val="21"/>
                <w:szCs w:val="21"/>
                <w:highlight w:val="none"/>
                <w:u w:val="none" w:color="auto"/>
                <w:lang w:val="en-US" w:eastAsia="zh-CN" w:bidi="ar-SA"/>
              </w:rPr>
            </w:pPr>
            <w:r>
              <w:rPr>
                <w:rFonts w:hint="eastAsia" w:cs="Times New Roman"/>
                <w:kern w:val="2"/>
                <w:sz w:val="21"/>
                <w:szCs w:val="21"/>
                <w:highlight w:val="none"/>
                <w:u w:val="none" w:color="auto"/>
                <w:lang w:val="en-US" w:eastAsia="zh-CN" w:bidi="ar-SA"/>
              </w:rPr>
              <w:t>0.42t</w:t>
            </w:r>
          </w:p>
        </w:tc>
        <w:tc>
          <w:tcPr>
            <w:tcW w:w="969" w:type="pct"/>
            <w:shd w:val="clear" w:color="auto" w:fill="auto"/>
            <w:noWrap w:val="0"/>
            <w:vAlign w:val="center"/>
          </w:tcPr>
          <w:p w14:paraId="23538879">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kern w:val="2"/>
                <w:sz w:val="21"/>
                <w:szCs w:val="21"/>
                <w:highlight w:val="none"/>
                <w:u w:val="none" w:color="auto"/>
                <w:lang w:val="en-US" w:eastAsia="zh-CN" w:bidi="ar-SA"/>
              </w:rPr>
            </w:pPr>
            <w:r>
              <w:rPr>
                <w:rFonts w:hint="eastAsia" w:cs="Times New Roman"/>
                <w:kern w:val="2"/>
                <w:sz w:val="21"/>
                <w:szCs w:val="21"/>
                <w:highlight w:val="none"/>
                <w:u w:val="none" w:color="auto"/>
                <w:lang w:val="en-US" w:eastAsia="zh-CN" w:bidi="ar-SA"/>
              </w:rPr>
              <w:t>0.42t</w:t>
            </w:r>
          </w:p>
        </w:tc>
        <w:tc>
          <w:tcPr>
            <w:tcW w:w="1102" w:type="pct"/>
            <w:shd w:val="clear" w:color="auto" w:fill="auto"/>
            <w:noWrap w:val="0"/>
            <w:vAlign w:val="center"/>
          </w:tcPr>
          <w:p w14:paraId="66769166">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u w:val="none" w:color="auto"/>
                <w:lang w:val="en-US" w:eastAsia="zh-CN" w:bidi="ar-SA"/>
              </w:rPr>
            </w:pPr>
            <w:r>
              <w:rPr>
                <w:rFonts w:hint="eastAsia" w:ascii="Times New Roman" w:hAnsi="Times New Roman" w:eastAsia="宋体" w:cs="Times New Roman"/>
                <w:kern w:val="2"/>
                <w:sz w:val="21"/>
                <w:szCs w:val="21"/>
                <w:highlight w:val="none"/>
                <w:u w:val="none" w:color="auto"/>
                <w:lang w:val="en-US" w:eastAsia="zh-CN" w:bidi="ar-SA"/>
              </w:rPr>
              <w:t>交由环卫部门统一清运</w:t>
            </w:r>
          </w:p>
        </w:tc>
      </w:tr>
      <w:tr w14:paraId="741C868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03" w:type="pct"/>
            <w:vMerge w:val="continue"/>
            <w:noWrap w:val="0"/>
            <w:vAlign w:val="center"/>
          </w:tcPr>
          <w:p w14:paraId="4FC1695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u w:val="none" w:color="auto"/>
                <w:lang w:val="en-US" w:eastAsia="zh-CN"/>
              </w:rPr>
            </w:pPr>
          </w:p>
        </w:tc>
        <w:tc>
          <w:tcPr>
            <w:tcW w:w="814" w:type="pct"/>
            <w:vMerge w:val="continue"/>
            <w:noWrap w:val="0"/>
            <w:vAlign w:val="center"/>
          </w:tcPr>
          <w:p w14:paraId="4A8998FA">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u w:val="none" w:color="auto"/>
                <w:lang w:val="en-US" w:eastAsia="zh-CN" w:bidi="ar-SA"/>
              </w:rPr>
            </w:pPr>
          </w:p>
        </w:tc>
        <w:tc>
          <w:tcPr>
            <w:tcW w:w="693" w:type="pct"/>
            <w:shd w:val="clear" w:color="auto" w:fill="auto"/>
            <w:noWrap w:val="0"/>
            <w:vAlign w:val="center"/>
          </w:tcPr>
          <w:p w14:paraId="4C7A1917">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u w:val="none" w:color="auto"/>
                <w:lang w:val="en-US" w:eastAsia="zh-CN" w:bidi="ar-SA"/>
              </w:rPr>
            </w:pPr>
            <w:r>
              <w:rPr>
                <w:rFonts w:hint="eastAsia" w:ascii="Times New Roman" w:hAnsi="Times New Roman" w:eastAsia="宋体" w:cs="Times New Roman"/>
                <w:kern w:val="2"/>
                <w:sz w:val="21"/>
                <w:szCs w:val="21"/>
                <w:highlight w:val="none"/>
                <w:u w:val="none" w:color="auto"/>
                <w:lang w:val="en-US" w:eastAsia="zh-CN" w:bidi="ar-SA"/>
              </w:rPr>
              <w:t>废包装袋</w:t>
            </w:r>
          </w:p>
        </w:tc>
        <w:tc>
          <w:tcPr>
            <w:tcW w:w="915" w:type="pct"/>
            <w:shd w:val="clear" w:color="auto" w:fill="auto"/>
            <w:noWrap w:val="0"/>
            <w:vAlign w:val="center"/>
          </w:tcPr>
          <w:p w14:paraId="736E1A8D">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kern w:val="2"/>
                <w:sz w:val="21"/>
                <w:szCs w:val="21"/>
                <w:highlight w:val="none"/>
                <w:u w:val="none" w:color="auto"/>
                <w:lang w:val="en-US" w:eastAsia="zh-CN" w:bidi="ar-SA"/>
              </w:rPr>
            </w:pPr>
            <w:r>
              <w:rPr>
                <w:rFonts w:hint="eastAsia" w:cs="Times New Roman"/>
                <w:kern w:val="2"/>
                <w:sz w:val="21"/>
                <w:szCs w:val="21"/>
                <w:highlight w:val="none"/>
                <w:u w:val="none" w:color="auto"/>
                <w:lang w:val="en-US" w:eastAsia="zh-CN" w:bidi="ar-SA"/>
              </w:rPr>
              <w:t>0.2t</w:t>
            </w:r>
          </w:p>
        </w:tc>
        <w:tc>
          <w:tcPr>
            <w:tcW w:w="969" w:type="pct"/>
            <w:shd w:val="clear" w:color="auto" w:fill="auto"/>
            <w:noWrap w:val="0"/>
            <w:vAlign w:val="center"/>
          </w:tcPr>
          <w:p w14:paraId="28EE67EF">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kern w:val="2"/>
                <w:sz w:val="21"/>
                <w:szCs w:val="21"/>
                <w:highlight w:val="none"/>
                <w:u w:val="none" w:color="auto"/>
                <w:lang w:val="en-US" w:eastAsia="zh-CN" w:bidi="ar-SA"/>
              </w:rPr>
            </w:pPr>
            <w:r>
              <w:rPr>
                <w:rFonts w:hint="eastAsia" w:cs="Times New Roman"/>
                <w:kern w:val="2"/>
                <w:sz w:val="21"/>
                <w:szCs w:val="21"/>
                <w:highlight w:val="none"/>
                <w:u w:val="none" w:color="auto"/>
                <w:lang w:val="en-US" w:eastAsia="zh-CN" w:bidi="ar-SA"/>
              </w:rPr>
              <w:t>0.2t</w:t>
            </w:r>
          </w:p>
        </w:tc>
        <w:tc>
          <w:tcPr>
            <w:tcW w:w="1102" w:type="pct"/>
            <w:shd w:val="clear" w:color="auto" w:fill="auto"/>
            <w:noWrap w:val="0"/>
            <w:vAlign w:val="center"/>
          </w:tcPr>
          <w:p w14:paraId="1FA9C013">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u w:val="none" w:color="auto"/>
                <w:lang w:val="en-US" w:eastAsia="zh-CN" w:bidi="ar-SA"/>
              </w:rPr>
            </w:pPr>
            <w:r>
              <w:rPr>
                <w:rFonts w:hint="eastAsia" w:ascii="Times New Roman" w:hAnsi="Times New Roman" w:eastAsia="宋体" w:cs="Times New Roman"/>
                <w:kern w:val="2"/>
                <w:sz w:val="21"/>
                <w:szCs w:val="21"/>
                <w:highlight w:val="none"/>
                <w:u w:val="none" w:color="auto"/>
                <w:lang w:val="en-US" w:eastAsia="zh-CN" w:bidi="ar-SA"/>
              </w:rPr>
              <w:t>交由环卫部门统一清运</w:t>
            </w:r>
          </w:p>
        </w:tc>
      </w:tr>
      <w:tr w14:paraId="1359939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03" w:type="pct"/>
            <w:vMerge w:val="continue"/>
            <w:noWrap w:val="0"/>
            <w:vAlign w:val="center"/>
          </w:tcPr>
          <w:p w14:paraId="7C71A91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u w:val="none" w:color="auto"/>
                <w:lang w:val="en-US" w:eastAsia="zh-CN"/>
              </w:rPr>
            </w:pPr>
          </w:p>
        </w:tc>
        <w:tc>
          <w:tcPr>
            <w:tcW w:w="814" w:type="pct"/>
            <w:vMerge w:val="continue"/>
            <w:noWrap w:val="0"/>
            <w:vAlign w:val="center"/>
          </w:tcPr>
          <w:p w14:paraId="10C454BA">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u w:val="none" w:color="auto"/>
                <w:lang w:val="en-US" w:eastAsia="zh-CN" w:bidi="ar-SA"/>
              </w:rPr>
            </w:pPr>
          </w:p>
        </w:tc>
        <w:tc>
          <w:tcPr>
            <w:tcW w:w="693" w:type="pct"/>
            <w:shd w:val="clear" w:color="auto" w:fill="auto"/>
            <w:noWrap w:val="0"/>
            <w:vAlign w:val="center"/>
          </w:tcPr>
          <w:p w14:paraId="379EC36E">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kern w:val="2"/>
                <w:sz w:val="21"/>
                <w:szCs w:val="21"/>
                <w:highlight w:val="none"/>
                <w:u w:val="none" w:color="auto"/>
                <w:lang w:val="en-US" w:eastAsia="zh-CN" w:bidi="ar-SA"/>
              </w:rPr>
            </w:pPr>
            <w:r>
              <w:rPr>
                <w:rFonts w:hint="eastAsia" w:cs="Times New Roman"/>
                <w:kern w:val="2"/>
                <w:sz w:val="21"/>
                <w:szCs w:val="21"/>
                <w:highlight w:val="none"/>
                <w:u w:val="none" w:color="auto"/>
                <w:lang w:val="en-US" w:eastAsia="zh-CN" w:bidi="ar-SA"/>
              </w:rPr>
              <w:t>建筑垃圾</w:t>
            </w:r>
          </w:p>
        </w:tc>
        <w:tc>
          <w:tcPr>
            <w:tcW w:w="915" w:type="pct"/>
            <w:shd w:val="clear" w:color="auto" w:fill="auto"/>
            <w:noWrap w:val="0"/>
            <w:vAlign w:val="center"/>
          </w:tcPr>
          <w:p w14:paraId="3A1A36F2">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cs="Times New Roman"/>
                <w:kern w:val="2"/>
                <w:sz w:val="21"/>
                <w:szCs w:val="21"/>
                <w:highlight w:val="none"/>
                <w:u w:val="none" w:color="auto"/>
                <w:lang w:val="en-US" w:eastAsia="zh-CN" w:bidi="ar-SA"/>
              </w:rPr>
            </w:pPr>
            <w:r>
              <w:rPr>
                <w:rFonts w:hint="eastAsia" w:cs="Times New Roman"/>
                <w:kern w:val="2"/>
                <w:sz w:val="21"/>
                <w:szCs w:val="21"/>
                <w:highlight w:val="none"/>
                <w:u w:val="none" w:color="auto"/>
                <w:lang w:val="en-US" w:eastAsia="zh-CN" w:bidi="ar-SA"/>
              </w:rPr>
              <w:t>2t</w:t>
            </w:r>
          </w:p>
        </w:tc>
        <w:tc>
          <w:tcPr>
            <w:tcW w:w="969" w:type="pct"/>
            <w:shd w:val="clear" w:color="auto" w:fill="auto"/>
            <w:noWrap w:val="0"/>
            <w:vAlign w:val="center"/>
          </w:tcPr>
          <w:p w14:paraId="4E1D1927">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cs="Times New Roman"/>
                <w:kern w:val="2"/>
                <w:sz w:val="21"/>
                <w:szCs w:val="21"/>
                <w:highlight w:val="none"/>
                <w:u w:val="none" w:color="auto"/>
                <w:lang w:val="en-US" w:eastAsia="zh-CN" w:bidi="ar-SA"/>
              </w:rPr>
            </w:pPr>
            <w:r>
              <w:rPr>
                <w:rFonts w:hint="eastAsia" w:cs="Times New Roman"/>
                <w:kern w:val="2"/>
                <w:sz w:val="21"/>
                <w:szCs w:val="21"/>
                <w:highlight w:val="none"/>
                <w:u w:val="none" w:color="auto"/>
                <w:lang w:val="en-US" w:eastAsia="zh-CN" w:bidi="ar-SA"/>
              </w:rPr>
              <w:t>2t</w:t>
            </w:r>
          </w:p>
        </w:tc>
        <w:tc>
          <w:tcPr>
            <w:tcW w:w="1102" w:type="pct"/>
            <w:shd w:val="clear" w:color="auto" w:fill="auto"/>
            <w:noWrap w:val="0"/>
            <w:vAlign w:val="center"/>
          </w:tcPr>
          <w:p w14:paraId="4765F3DB">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u w:val="none" w:color="auto"/>
                <w:lang w:val="en-US" w:eastAsia="zh-CN" w:bidi="ar-SA"/>
              </w:rPr>
            </w:pPr>
            <w:r>
              <w:rPr>
                <w:rFonts w:hint="eastAsia" w:ascii="Times New Roman" w:hAnsi="Times New Roman" w:eastAsia="宋体" w:cs="Times New Roman"/>
                <w:kern w:val="2"/>
                <w:sz w:val="21"/>
                <w:szCs w:val="21"/>
                <w:highlight w:val="none"/>
                <w:u w:val="none" w:color="auto"/>
                <w:lang w:val="en-US" w:eastAsia="zh-CN" w:bidi="ar-SA"/>
              </w:rPr>
              <w:t>交由环卫部门统一清运</w:t>
            </w:r>
          </w:p>
        </w:tc>
      </w:tr>
      <w:tr w14:paraId="522B3ED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03" w:type="pct"/>
            <w:vMerge w:val="continue"/>
            <w:noWrap w:val="0"/>
            <w:vAlign w:val="center"/>
          </w:tcPr>
          <w:p w14:paraId="6261035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u w:val="none" w:color="auto"/>
                <w:lang w:val="en-US" w:eastAsia="zh-CN"/>
              </w:rPr>
            </w:pPr>
          </w:p>
        </w:tc>
        <w:tc>
          <w:tcPr>
            <w:tcW w:w="814" w:type="pct"/>
            <w:vMerge w:val="continue"/>
            <w:noWrap w:val="0"/>
            <w:vAlign w:val="center"/>
          </w:tcPr>
          <w:p w14:paraId="58263B5A">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u w:val="none" w:color="auto"/>
                <w:lang w:val="en-US" w:eastAsia="zh-CN" w:bidi="ar-SA"/>
              </w:rPr>
            </w:pPr>
          </w:p>
        </w:tc>
        <w:tc>
          <w:tcPr>
            <w:tcW w:w="693" w:type="pct"/>
            <w:shd w:val="clear" w:color="auto" w:fill="auto"/>
            <w:noWrap w:val="0"/>
            <w:vAlign w:val="center"/>
          </w:tcPr>
          <w:p w14:paraId="3B0938A7">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u w:val="none" w:color="auto"/>
                <w:lang w:val="en-US" w:eastAsia="zh-CN" w:bidi="ar-SA"/>
              </w:rPr>
            </w:pPr>
            <w:r>
              <w:rPr>
                <w:rFonts w:hint="eastAsia" w:ascii="Times New Roman" w:hAnsi="Times New Roman" w:eastAsia="宋体" w:cs="Times New Roman"/>
                <w:kern w:val="2"/>
                <w:sz w:val="21"/>
                <w:szCs w:val="21"/>
                <w:highlight w:val="none"/>
                <w:u w:val="none" w:color="auto"/>
                <w:lang w:val="en-US" w:eastAsia="zh-CN" w:bidi="ar-SA"/>
              </w:rPr>
              <w:t>污水处理</w:t>
            </w:r>
          </w:p>
          <w:p w14:paraId="3679372F">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u w:val="none" w:color="auto"/>
                <w:lang w:val="en-US" w:eastAsia="zh-CN" w:bidi="ar-SA"/>
              </w:rPr>
            </w:pPr>
            <w:r>
              <w:rPr>
                <w:rFonts w:hint="eastAsia" w:ascii="Times New Roman" w:hAnsi="Times New Roman" w:eastAsia="宋体" w:cs="Times New Roman"/>
                <w:kern w:val="2"/>
                <w:sz w:val="21"/>
                <w:szCs w:val="21"/>
                <w:highlight w:val="none"/>
                <w:u w:val="none" w:color="auto"/>
                <w:lang w:val="en-US" w:eastAsia="zh-CN" w:bidi="ar-SA"/>
              </w:rPr>
              <w:t>污泥</w:t>
            </w:r>
          </w:p>
        </w:tc>
        <w:tc>
          <w:tcPr>
            <w:tcW w:w="915" w:type="pct"/>
            <w:shd w:val="clear" w:color="auto" w:fill="auto"/>
            <w:noWrap w:val="0"/>
            <w:vAlign w:val="center"/>
          </w:tcPr>
          <w:p w14:paraId="17DB9F10">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kern w:val="2"/>
                <w:sz w:val="21"/>
                <w:szCs w:val="21"/>
                <w:highlight w:val="none"/>
                <w:u w:val="none" w:color="auto"/>
                <w:lang w:val="en-US" w:eastAsia="zh-CN" w:bidi="ar-SA"/>
              </w:rPr>
            </w:pPr>
            <w:r>
              <w:rPr>
                <w:rFonts w:hint="eastAsia" w:cs="Times New Roman"/>
                <w:kern w:val="2"/>
                <w:sz w:val="21"/>
                <w:szCs w:val="21"/>
                <w:highlight w:val="none"/>
                <w:u w:val="none" w:color="auto"/>
                <w:lang w:val="en-US" w:eastAsia="zh-CN" w:bidi="ar-SA"/>
              </w:rPr>
              <w:t>1.5t</w:t>
            </w:r>
          </w:p>
        </w:tc>
        <w:tc>
          <w:tcPr>
            <w:tcW w:w="969" w:type="pct"/>
            <w:shd w:val="clear" w:color="auto" w:fill="auto"/>
            <w:noWrap w:val="0"/>
            <w:vAlign w:val="center"/>
          </w:tcPr>
          <w:p w14:paraId="009072C6">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kern w:val="2"/>
                <w:sz w:val="21"/>
                <w:szCs w:val="21"/>
                <w:highlight w:val="none"/>
                <w:u w:val="none" w:color="auto"/>
                <w:lang w:val="en-US" w:eastAsia="zh-CN" w:bidi="ar-SA"/>
              </w:rPr>
            </w:pPr>
            <w:r>
              <w:rPr>
                <w:rFonts w:hint="eastAsia" w:cs="Times New Roman"/>
                <w:kern w:val="2"/>
                <w:sz w:val="21"/>
                <w:szCs w:val="21"/>
                <w:highlight w:val="none"/>
                <w:u w:val="none" w:color="auto"/>
                <w:lang w:val="en-US" w:eastAsia="zh-CN" w:bidi="ar-SA"/>
              </w:rPr>
              <w:t>1.5t</w:t>
            </w:r>
          </w:p>
        </w:tc>
        <w:tc>
          <w:tcPr>
            <w:tcW w:w="1102" w:type="pct"/>
            <w:shd w:val="clear" w:color="auto" w:fill="auto"/>
            <w:noWrap w:val="0"/>
            <w:vAlign w:val="center"/>
          </w:tcPr>
          <w:p w14:paraId="237F1459">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u w:val="none" w:color="auto"/>
                <w:lang w:val="en-US" w:eastAsia="zh-CN" w:bidi="ar-SA"/>
              </w:rPr>
            </w:pPr>
            <w:r>
              <w:rPr>
                <w:rFonts w:hint="eastAsia" w:cs="Times New Roman"/>
                <w:kern w:val="2"/>
                <w:sz w:val="21"/>
                <w:szCs w:val="21"/>
                <w:highlight w:val="none"/>
                <w:u w:val="none" w:color="auto"/>
                <w:lang w:val="en-US" w:eastAsia="zh-CN" w:bidi="ar-SA"/>
              </w:rPr>
              <w:t>填</w:t>
            </w:r>
            <w:r>
              <w:rPr>
                <w:rFonts w:hint="eastAsia" w:ascii="Times New Roman" w:hAnsi="Times New Roman" w:eastAsia="宋体" w:cs="Times New Roman"/>
                <w:kern w:val="2"/>
                <w:sz w:val="21"/>
                <w:szCs w:val="21"/>
                <w:highlight w:val="none"/>
                <w:u w:val="none" w:color="auto"/>
                <w:lang w:val="en-US" w:eastAsia="zh-CN" w:bidi="ar-SA"/>
              </w:rPr>
              <w:t>埋场进行集中安全填埋处置</w:t>
            </w:r>
          </w:p>
        </w:tc>
      </w:tr>
      <w:tr w14:paraId="5946D8A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03" w:type="pct"/>
            <w:vMerge w:val="continue"/>
            <w:vAlign w:val="center"/>
          </w:tcPr>
          <w:p w14:paraId="7011EFB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u w:val="none" w:color="auto"/>
                <w:lang w:val="en-US" w:eastAsia="zh-CN"/>
              </w:rPr>
            </w:pPr>
          </w:p>
        </w:tc>
        <w:tc>
          <w:tcPr>
            <w:tcW w:w="814" w:type="pct"/>
            <w:vAlign w:val="center"/>
          </w:tcPr>
          <w:p w14:paraId="1BAC9F24">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kern w:val="2"/>
                <w:sz w:val="21"/>
                <w:szCs w:val="21"/>
                <w:highlight w:val="none"/>
                <w:u w:val="none" w:color="auto"/>
                <w:lang w:val="en-US" w:eastAsia="zh-CN" w:bidi="ar-SA"/>
              </w:rPr>
            </w:pPr>
            <w:r>
              <w:rPr>
                <w:rFonts w:hint="eastAsia" w:cs="Times New Roman"/>
                <w:kern w:val="2"/>
                <w:sz w:val="21"/>
                <w:szCs w:val="21"/>
                <w:highlight w:val="none"/>
                <w:u w:val="none" w:color="auto"/>
                <w:lang w:val="en-US" w:eastAsia="zh-CN" w:bidi="ar-SA"/>
              </w:rPr>
              <w:t>生活垃圾</w:t>
            </w:r>
          </w:p>
        </w:tc>
        <w:tc>
          <w:tcPr>
            <w:tcW w:w="693" w:type="pct"/>
            <w:vAlign w:val="center"/>
          </w:tcPr>
          <w:p w14:paraId="4DC45187">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sz w:val="21"/>
                <w:szCs w:val="21"/>
                <w:highlight w:val="none"/>
                <w:u w:val="none" w:color="auto"/>
                <w:lang w:val="en-US" w:eastAsia="zh-CN"/>
              </w:rPr>
            </w:pPr>
            <w:r>
              <w:rPr>
                <w:rFonts w:hint="eastAsia"/>
                <w:sz w:val="21"/>
                <w:szCs w:val="21"/>
                <w:highlight w:val="none"/>
                <w:u w:val="none" w:color="auto"/>
                <w:lang w:val="en-US" w:eastAsia="zh-CN"/>
              </w:rPr>
              <w:t>生活垃圾</w:t>
            </w:r>
          </w:p>
        </w:tc>
        <w:tc>
          <w:tcPr>
            <w:tcW w:w="915" w:type="pct"/>
            <w:vAlign w:val="center"/>
          </w:tcPr>
          <w:p w14:paraId="00FBF17D">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sz w:val="21"/>
                <w:szCs w:val="21"/>
                <w:highlight w:val="none"/>
                <w:u w:val="none" w:color="auto"/>
                <w:lang w:val="en-US" w:eastAsia="zh-CN"/>
              </w:rPr>
            </w:pPr>
            <w:r>
              <w:rPr>
                <w:rFonts w:hint="eastAsia"/>
                <w:sz w:val="21"/>
                <w:szCs w:val="21"/>
                <w:highlight w:val="none"/>
                <w:u w:val="none" w:color="auto"/>
                <w:lang w:val="en-US" w:eastAsia="zh-CN"/>
              </w:rPr>
              <w:t>10kg/d</w:t>
            </w:r>
          </w:p>
        </w:tc>
        <w:tc>
          <w:tcPr>
            <w:tcW w:w="969" w:type="pct"/>
            <w:vAlign w:val="center"/>
          </w:tcPr>
          <w:p w14:paraId="13E44D63">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sz w:val="21"/>
                <w:szCs w:val="21"/>
                <w:highlight w:val="none"/>
                <w:u w:val="none" w:color="auto"/>
                <w:lang w:val="en-US" w:eastAsia="zh-CN"/>
              </w:rPr>
            </w:pPr>
            <w:r>
              <w:rPr>
                <w:rFonts w:hint="eastAsia"/>
                <w:sz w:val="21"/>
                <w:szCs w:val="21"/>
                <w:highlight w:val="none"/>
                <w:u w:val="none" w:color="auto"/>
                <w:lang w:val="en-US" w:eastAsia="zh-CN"/>
              </w:rPr>
              <w:t>10kg/d</w:t>
            </w:r>
          </w:p>
        </w:tc>
        <w:tc>
          <w:tcPr>
            <w:tcW w:w="1102" w:type="pct"/>
            <w:vAlign w:val="center"/>
          </w:tcPr>
          <w:p w14:paraId="0375769D">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u w:val="none" w:color="auto"/>
                <w:lang w:val="en-US" w:eastAsia="zh-CN" w:bidi="ar-SA"/>
              </w:rPr>
            </w:pPr>
            <w:r>
              <w:rPr>
                <w:rFonts w:hint="eastAsia" w:ascii="Times New Roman" w:hAnsi="Times New Roman" w:eastAsia="宋体" w:cs="Times New Roman"/>
                <w:kern w:val="2"/>
                <w:sz w:val="21"/>
                <w:szCs w:val="21"/>
                <w:highlight w:val="none"/>
                <w:u w:val="none" w:color="auto"/>
                <w:lang w:val="en-US" w:eastAsia="zh-CN" w:bidi="ar-SA"/>
              </w:rPr>
              <w:t>交由环卫部门统一清运</w:t>
            </w:r>
          </w:p>
        </w:tc>
      </w:tr>
      <w:tr w14:paraId="3D8E939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03" w:type="pct"/>
            <w:vAlign w:val="center"/>
          </w:tcPr>
          <w:p w14:paraId="5180C49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u w:val="none" w:color="auto"/>
                <w:lang w:val="en-US" w:eastAsia="zh-CN"/>
              </w:rPr>
            </w:pPr>
            <w:r>
              <w:rPr>
                <w:rFonts w:hint="eastAsia"/>
                <w:sz w:val="21"/>
                <w:szCs w:val="21"/>
                <w:highlight w:val="none"/>
                <w:u w:val="none" w:color="auto"/>
                <w:lang w:val="en-US" w:eastAsia="zh-CN"/>
              </w:rPr>
              <w:t>封场后固废</w:t>
            </w:r>
          </w:p>
        </w:tc>
        <w:tc>
          <w:tcPr>
            <w:tcW w:w="814" w:type="pct"/>
            <w:vAlign w:val="center"/>
          </w:tcPr>
          <w:p w14:paraId="2A8EDF27">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cs="Times New Roman"/>
                <w:kern w:val="2"/>
                <w:sz w:val="21"/>
                <w:szCs w:val="21"/>
                <w:highlight w:val="none"/>
                <w:u w:val="none" w:color="auto"/>
                <w:lang w:val="en-US" w:eastAsia="zh-CN" w:bidi="ar-SA"/>
              </w:rPr>
            </w:pPr>
            <w:r>
              <w:rPr>
                <w:rFonts w:hint="eastAsia" w:cs="Times New Roman"/>
                <w:kern w:val="2"/>
                <w:sz w:val="21"/>
                <w:szCs w:val="21"/>
                <w:highlight w:val="none"/>
                <w:u w:val="none" w:color="auto"/>
                <w:lang w:val="en-US" w:eastAsia="zh-CN" w:bidi="ar-SA"/>
              </w:rPr>
              <w:t>一般固废</w:t>
            </w:r>
          </w:p>
        </w:tc>
        <w:tc>
          <w:tcPr>
            <w:tcW w:w="693" w:type="pct"/>
            <w:vAlign w:val="center"/>
          </w:tcPr>
          <w:p w14:paraId="2A321206">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cs="Times New Roman"/>
                <w:kern w:val="2"/>
                <w:sz w:val="21"/>
                <w:szCs w:val="21"/>
                <w:highlight w:val="none"/>
                <w:u w:val="none" w:color="auto"/>
                <w:lang w:val="en-US" w:eastAsia="zh-CN" w:bidi="ar-SA"/>
              </w:rPr>
            </w:pPr>
            <w:r>
              <w:rPr>
                <w:rFonts w:hint="eastAsia" w:cs="Times New Roman"/>
                <w:kern w:val="2"/>
                <w:sz w:val="21"/>
                <w:szCs w:val="21"/>
                <w:highlight w:val="none"/>
                <w:u w:val="none" w:color="auto"/>
                <w:lang w:val="en-US" w:eastAsia="zh-CN" w:bidi="ar-SA"/>
              </w:rPr>
              <w:t>污水处理</w:t>
            </w:r>
          </w:p>
          <w:p w14:paraId="6A03AC57">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none"/>
                <w:u w:val="none" w:color="auto"/>
                <w:lang w:val="en-US" w:eastAsia="zh-CN"/>
              </w:rPr>
            </w:pPr>
            <w:r>
              <w:rPr>
                <w:rFonts w:hint="eastAsia" w:cs="Times New Roman"/>
                <w:kern w:val="2"/>
                <w:sz w:val="21"/>
                <w:szCs w:val="21"/>
                <w:highlight w:val="none"/>
                <w:u w:val="none" w:color="auto"/>
                <w:lang w:val="en-US" w:eastAsia="zh-CN" w:bidi="ar-SA"/>
              </w:rPr>
              <w:t>污泥</w:t>
            </w:r>
          </w:p>
        </w:tc>
        <w:tc>
          <w:tcPr>
            <w:tcW w:w="915" w:type="pct"/>
            <w:vAlign w:val="center"/>
          </w:tcPr>
          <w:p w14:paraId="1BA88EA3">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sz w:val="21"/>
                <w:szCs w:val="21"/>
                <w:highlight w:val="none"/>
                <w:u w:val="none" w:color="auto"/>
                <w:lang w:val="en-US" w:eastAsia="zh-CN"/>
              </w:rPr>
            </w:pPr>
            <w:r>
              <w:rPr>
                <w:rFonts w:hint="eastAsia"/>
                <w:sz w:val="21"/>
                <w:szCs w:val="21"/>
                <w:highlight w:val="none"/>
                <w:u w:val="none" w:color="auto"/>
                <w:lang w:val="en-US" w:eastAsia="zh-CN"/>
              </w:rPr>
              <w:t>2.0t</w:t>
            </w:r>
          </w:p>
        </w:tc>
        <w:tc>
          <w:tcPr>
            <w:tcW w:w="969" w:type="pct"/>
            <w:vAlign w:val="center"/>
          </w:tcPr>
          <w:p w14:paraId="2A89A6EB">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sz w:val="21"/>
                <w:szCs w:val="21"/>
                <w:highlight w:val="none"/>
                <w:u w:val="none" w:color="auto"/>
                <w:lang w:val="en-US" w:eastAsia="zh-CN"/>
              </w:rPr>
            </w:pPr>
            <w:r>
              <w:rPr>
                <w:rFonts w:hint="eastAsia"/>
                <w:sz w:val="21"/>
                <w:szCs w:val="21"/>
                <w:highlight w:val="none"/>
                <w:u w:val="none" w:color="auto"/>
                <w:lang w:val="en-US" w:eastAsia="zh-CN"/>
              </w:rPr>
              <w:t>2.0t</w:t>
            </w:r>
          </w:p>
        </w:tc>
        <w:tc>
          <w:tcPr>
            <w:tcW w:w="1102" w:type="pct"/>
            <w:vAlign w:val="center"/>
          </w:tcPr>
          <w:p w14:paraId="4A33E069">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u w:val="none" w:color="auto"/>
                <w:lang w:val="en-US" w:eastAsia="zh-CN" w:bidi="ar-SA"/>
              </w:rPr>
            </w:pPr>
            <w:r>
              <w:rPr>
                <w:rFonts w:hint="eastAsia" w:ascii="Times New Roman" w:hAnsi="Times New Roman" w:eastAsia="宋体" w:cs="Times New Roman"/>
                <w:kern w:val="2"/>
                <w:sz w:val="21"/>
                <w:szCs w:val="21"/>
                <w:highlight w:val="none"/>
                <w:u w:val="none" w:color="auto"/>
                <w:lang w:val="en-US" w:eastAsia="zh-CN" w:bidi="ar-SA"/>
              </w:rPr>
              <w:t>砖厂进行资源化利用</w:t>
            </w:r>
          </w:p>
        </w:tc>
      </w:tr>
    </w:tbl>
    <w:p w14:paraId="16826703">
      <w:pPr>
        <w:bidi w:val="0"/>
        <w:ind w:left="0" w:leftChars="0" w:firstLine="0" w:firstLineChars="0"/>
        <w:rPr>
          <w:rFonts w:hint="default"/>
          <w:highlight w:val="yellow"/>
          <w:lang w:val="en-US" w:eastAsia="zh-CN"/>
        </w:rPr>
      </w:pPr>
      <w:r>
        <w:rPr>
          <w:rFonts w:hint="default"/>
          <w:highlight w:val="yellow"/>
          <w:lang w:val="en-US" w:eastAsia="zh-CN"/>
        </w:rPr>
        <w:br w:type="page"/>
      </w:r>
    </w:p>
    <w:p w14:paraId="41E44E95">
      <w:pPr>
        <w:pStyle w:val="7"/>
        <w:bidi w:val="0"/>
        <w:jc w:val="center"/>
        <w:rPr>
          <w:rFonts w:hint="default"/>
          <w:highlight w:val="none"/>
          <w:lang w:val="en-US" w:eastAsia="zh-CN"/>
        </w:rPr>
      </w:pPr>
      <w:bookmarkStart w:id="39" w:name="_Toc13681"/>
      <w:r>
        <w:rPr>
          <w:rFonts w:hint="default"/>
          <w:highlight w:val="none"/>
          <w:lang w:val="en-US" w:eastAsia="zh-CN"/>
        </w:rPr>
        <w:t>环境现状调查与评价</w:t>
      </w:r>
      <w:bookmarkEnd w:id="39"/>
    </w:p>
    <w:p w14:paraId="04452E62">
      <w:pPr>
        <w:pStyle w:val="8"/>
        <w:numPr>
          <w:ilvl w:val="1"/>
          <w:numId w:val="1"/>
        </w:numPr>
        <w:tabs>
          <w:tab w:val="clear" w:pos="420"/>
        </w:tabs>
        <w:bidi w:val="0"/>
        <w:ind w:left="567" w:leftChars="0" w:hanging="567" w:firstLineChars="0"/>
        <w:rPr>
          <w:rFonts w:hint="default"/>
          <w:highlight w:val="none"/>
          <w:lang w:val="en-US" w:eastAsia="zh-CN"/>
        </w:rPr>
      </w:pPr>
      <w:bookmarkStart w:id="40" w:name="_Toc30986"/>
      <w:r>
        <w:rPr>
          <w:rFonts w:hint="eastAsia"/>
          <w:highlight w:val="none"/>
          <w:lang w:val="en-US" w:eastAsia="zh-CN"/>
        </w:rPr>
        <w:t>自然环境概况</w:t>
      </w:r>
      <w:bookmarkEnd w:id="40"/>
    </w:p>
    <w:p w14:paraId="19C84B99">
      <w:pPr>
        <w:pStyle w:val="9"/>
        <w:numPr>
          <w:ilvl w:val="2"/>
          <w:numId w:val="1"/>
        </w:numPr>
        <w:bidi w:val="0"/>
        <w:ind w:left="709" w:leftChars="0" w:hanging="709" w:firstLineChars="0"/>
        <w:rPr>
          <w:rFonts w:hint="default"/>
          <w:highlight w:val="none"/>
          <w:lang w:val="en-US" w:eastAsia="zh-CN"/>
        </w:rPr>
      </w:pPr>
      <w:r>
        <w:rPr>
          <w:rFonts w:hint="eastAsia"/>
          <w:highlight w:val="none"/>
          <w:lang w:val="en-US" w:eastAsia="zh-CN"/>
        </w:rPr>
        <w:t>地理位置</w:t>
      </w:r>
    </w:p>
    <w:p w14:paraId="2CA49080">
      <w:pPr>
        <w:rPr>
          <w:rFonts w:hint="default"/>
          <w:highlight w:val="yellow"/>
          <w:lang w:val="en-US" w:eastAsia="zh-CN"/>
        </w:rPr>
      </w:pPr>
      <w:r>
        <w:rPr>
          <w:rFonts w:hint="default"/>
          <w:highlight w:val="none"/>
          <w:lang w:val="en-US" w:eastAsia="zh-CN"/>
        </w:rPr>
        <w:t>平江县位于湖南省东北部。东与江西省修水、铜鼓县交界，北与湖北省通城县和岳阳县相连，南与浏阳市接壤，西与长沙县、汨罗市毗邻。隶属于湖南省岳阳市，位于湖南省东北部，处汨水、罗水上游，汨罗江自东向西贯穿全境，东与江西省修水县、铜鼓县交界，北与湖北省通城县和湖南省岳阳县相连，南与浏阳市接壤，西与长沙县、汨罗市毗邻。三阳乡位于平江县西南部，分别与瓮江镇、安定镇、三市镇、城关镇、天岳开发区接壤</w:t>
      </w:r>
      <w:r>
        <w:rPr>
          <w:rFonts w:hint="eastAsia"/>
          <w:highlight w:val="none"/>
          <w:lang w:val="en-US" w:eastAsia="zh-CN"/>
        </w:rPr>
        <w:t>，</w:t>
      </w:r>
      <w:r>
        <w:rPr>
          <w:rFonts w:hint="default"/>
          <w:highlight w:val="none"/>
          <w:lang w:val="en-US" w:eastAsia="zh-CN"/>
        </w:rPr>
        <w:t>面积214</w:t>
      </w:r>
      <w:r>
        <w:rPr>
          <w:rFonts w:hint="eastAsia"/>
          <w:highlight w:val="none"/>
          <w:lang w:val="en-US" w:eastAsia="zh-CN"/>
        </w:rPr>
        <w:t>km</w:t>
      </w:r>
      <w:r>
        <w:rPr>
          <w:rFonts w:hint="eastAsia"/>
          <w:highlight w:val="none"/>
          <w:vertAlign w:val="superscript"/>
          <w:lang w:val="en-US" w:eastAsia="zh-CN"/>
        </w:rPr>
        <w:t>2</w:t>
      </w:r>
      <w:r>
        <w:rPr>
          <w:rFonts w:hint="default"/>
          <w:highlight w:val="none"/>
          <w:lang w:val="en-US" w:eastAsia="zh-CN"/>
        </w:rPr>
        <w:t>。乡政府驻三阳街，已经融入平江县城区。106国道和207省道、308省道过境</w:t>
      </w:r>
      <w:r>
        <w:rPr>
          <w:rFonts w:hint="eastAsia"/>
          <w:highlight w:val="none"/>
          <w:lang w:val="en-US" w:eastAsia="zh-CN"/>
        </w:rPr>
        <w:t>。</w:t>
      </w:r>
    </w:p>
    <w:p w14:paraId="7029F72C">
      <w:pPr>
        <w:rPr>
          <w:rFonts w:hint="default"/>
          <w:highlight w:val="yellow"/>
          <w:lang w:val="en-US" w:eastAsia="zh-CN"/>
        </w:rPr>
      </w:pPr>
      <w:r>
        <w:rPr>
          <w:rFonts w:hint="default"/>
          <w:highlight w:val="none"/>
          <w:lang w:val="en-US" w:eastAsia="zh-CN"/>
        </w:rPr>
        <w:t>本项目历史遗留</w:t>
      </w:r>
      <w:r>
        <w:rPr>
          <w:rFonts w:hint="eastAsia"/>
          <w:highlight w:val="none"/>
          <w:lang w:val="en-US" w:eastAsia="zh-CN"/>
        </w:rPr>
        <w:t>重金属</w:t>
      </w:r>
      <w:r>
        <w:rPr>
          <w:rFonts w:hint="default"/>
          <w:highlight w:val="none"/>
          <w:lang w:val="en-US" w:eastAsia="zh-CN"/>
        </w:rPr>
        <w:t>废渣地块位于平江县三阳乡南尧村，</w:t>
      </w:r>
      <w:r>
        <w:rPr>
          <w:rFonts w:hint="eastAsia"/>
          <w:highlight w:val="none"/>
          <w:lang w:val="en-US" w:eastAsia="zh-CN"/>
        </w:rPr>
        <w:t>1#废渣堆</w:t>
      </w:r>
      <w:r>
        <w:rPr>
          <w:rFonts w:hint="default"/>
          <w:highlight w:val="none"/>
          <w:lang w:val="en-US" w:eastAsia="zh-CN"/>
        </w:rPr>
        <w:t>中心坐标为：</w:t>
      </w:r>
      <w:r>
        <w:rPr>
          <w:rFonts w:hint="default" w:ascii="Times New Roman" w:hAnsi="Times New Roman" w:cs="Times New Roman"/>
          <w:highlight w:val="none"/>
          <w:lang w:val="en-US" w:eastAsia="zh-CN"/>
        </w:rPr>
        <w:t>东经113°32′58.12″，北纬28°38′55.23″；2</w:t>
      </w:r>
      <w:r>
        <w:rPr>
          <w:rFonts w:hint="eastAsia" w:cs="Times New Roman"/>
          <w:highlight w:val="none"/>
          <w:lang w:val="en-US" w:eastAsia="zh-CN"/>
        </w:rPr>
        <w:t>#</w:t>
      </w:r>
      <w:r>
        <w:rPr>
          <w:rFonts w:hint="default" w:ascii="Times New Roman" w:hAnsi="Times New Roman" w:cs="Times New Roman"/>
          <w:highlight w:val="none"/>
          <w:lang w:val="en-US" w:eastAsia="zh-CN"/>
        </w:rPr>
        <w:t>废渣</w:t>
      </w:r>
      <w:r>
        <w:rPr>
          <w:rFonts w:hint="eastAsia" w:cs="Times New Roman"/>
          <w:highlight w:val="none"/>
          <w:lang w:val="en-US" w:eastAsia="zh-CN"/>
        </w:rPr>
        <w:t>堆</w:t>
      </w:r>
      <w:r>
        <w:rPr>
          <w:rFonts w:hint="default" w:ascii="Times New Roman" w:hAnsi="Times New Roman" w:cs="Times New Roman"/>
          <w:highlight w:val="none"/>
          <w:lang w:val="en-US" w:eastAsia="zh-CN"/>
        </w:rPr>
        <w:t>中心坐标为：113°33′3.76″，北纬28°38′48.08″；填埋区中心坐标为：东经113°33′6.75″，北纬28°38′51.27″。</w:t>
      </w:r>
      <w:r>
        <w:rPr>
          <w:rFonts w:hint="eastAsia"/>
          <w:highlight w:val="none"/>
          <w:lang w:val="en-US" w:eastAsia="zh-CN"/>
        </w:rPr>
        <w:t>具体</w:t>
      </w:r>
      <w:r>
        <w:rPr>
          <w:rFonts w:hint="default"/>
          <w:highlight w:val="none"/>
          <w:lang w:val="en-US" w:eastAsia="zh-CN"/>
        </w:rPr>
        <w:t>地理位置详见附图1。</w:t>
      </w:r>
    </w:p>
    <w:p w14:paraId="7297345C">
      <w:pPr>
        <w:pStyle w:val="9"/>
        <w:numPr>
          <w:ilvl w:val="2"/>
          <w:numId w:val="1"/>
        </w:numPr>
        <w:bidi w:val="0"/>
        <w:ind w:left="709" w:leftChars="0" w:hanging="709" w:firstLineChars="0"/>
        <w:rPr>
          <w:rFonts w:hint="default"/>
          <w:highlight w:val="none"/>
          <w:lang w:val="en-US" w:eastAsia="zh-CN"/>
        </w:rPr>
      </w:pPr>
      <w:r>
        <w:rPr>
          <w:rFonts w:hint="eastAsia"/>
          <w:highlight w:val="none"/>
          <w:lang w:val="en-US" w:eastAsia="zh-CN"/>
        </w:rPr>
        <w:t>地形地貌</w:t>
      </w:r>
    </w:p>
    <w:p w14:paraId="416A87BA">
      <w:pPr>
        <w:rPr>
          <w:rFonts w:hint="eastAsia"/>
          <w:highlight w:val="yellow"/>
          <w:lang w:val="en-US" w:eastAsia="zh-CN"/>
        </w:rPr>
      </w:pPr>
      <w:r>
        <w:rPr>
          <w:rFonts w:hint="eastAsia"/>
          <w:highlight w:val="none"/>
          <w:lang w:val="en-US" w:eastAsia="zh-CN"/>
        </w:rPr>
        <w:t>平江县地貌类型多样，山地、丘陵、岗地、平原俱全。其中山地1164.28km</w:t>
      </w:r>
      <w:r>
        <w:rPr>
          <w:rFonts w:hint="eastAsia"/>
          <w:highlight w:val="none"/>
          <w:vertAlign w:val="superscript"/>
          <w:lang w:val="en-US" w:eastAsia="zh-CN"/>
        </w:rPr>
        <w:t>2</w:t>
      </w:r>
      <w:r>
        <w:rPr>
          <w:rFonts w:hint="eastAsia"/>
          <w:highlight w:val="none"/>
          <w:lang w:val="en-US" w:eastAsia="zh-CN"/>
        </w:rPr>
        <w:t>，占总面积的46.62%；丘陵385.05km</w:t>
      </w:r>
      <w:r>
        <w:rPr>
          <w:rFonts w:hint="eastAsia"/>
          <w:highlight w:val="none"/>
          <w:vertAlign w:val="superscript"/>
          <w:lang w:val="en-US" w:eastAsia="zh-CN"/>
        </w:rPr>
        <w:t>2</w:t>
      </w:r>
      <w:r>
        <w:rPr>
          <w:rFonts w:hint="eastAsia"/>
          <w:highlight w:val="none"/>
          <w:lang w:val="en-US" w:eastAsia="zh-CN"/>
        </w:rPr>
        <w:t>，占总面积的15.42%；岗地390.01km</w:t>
      </w:r>
      <w:r>
        <w:rPr>
          <w:rFonts w:hint="eastAsia"/>
          <w:highlight w:val="none"/>
          <w:vertAlign w:val="superscript"/>
          <w:lang w:val="en-US" w:eastAsia="zh-CN"/>
        </w:rPr>
        <w:t>2</w:t>
      </w:r>
      <w:r>
        <w:rPr>
          <w:rFonts w:hint="eastAsia"/>
          <w:highlight w:val="none"/>
          <w:lang w:val="en-US" w:eastAsia="zh-CN"/>
        </w:rPr>
        <w:t>，占15.625%；平原498.59km</w:t>
      </w:r>
      <w:r>
        <w:rPr>
          <w:rFonts w:hint="eastAsia"/>
          <w:highlight w:val="none"/>
          <w:vertAlign w:val="superscript"/>
          <w:lang w:val="en-US" w:eastAsia="zh-CN"/>
        </w:rPr>
        <w:t>2</w:t>
      </w:r>
      <w:r>
        <w:rPr>
          <w:rFonts w:hint="eastAsia"/>
          <w:highlight w:val="none"/>
          <w:lang w:val="en-US" w:eastAsia="zh-CN"/>
        </w:rPr>
        <w:t>，占总用地面积的19.975%；水面59.10km</w:t>
      </w:r>
      <w:r>
        <w:rPr>
          <w:rFonts w:hint="eastAsia"/>
          <w:highlight w:val="none"/>
          <w:vertAlign w:val="superscript"/>
          <w:lang w:val="en-US" w:eastAsia="zh-CN"/>
        </w:rPr>
        <w:t>2</w:t>
      </w:r>
      <w:r>
        <w:rPr>
          <w:rFonts w:hint="eastAsia"/>
          <w:highlight w:val="none"/>
          <w:lang w:val="en-US" w:eastAsia="zh-CN"/>
        </w:rPr>
        <w:t>，占2.36%。县境地势起伏大，海拔相对高差大。全县有海拔300m以上的山峰1498座，海拔高度1000~1500m的150座，最高的连云山海拔为1600.3m。</w:t>
      </w:r>
    </w:p>
    <w:p w14:paraId="6B8144BB">
      <w:pPr>
        <w:bidi w:val="0"/>
        <w:rPr>
          <w:rFonts w:hint="eastAsia"/>
          <w:highlight w:val="none"/>
          <w:lang w:val="en-US" w:eastAsia="zh-CN"/>
        </w:rPr>
      </w:pPr>
      <w:r>
        <w:rPr>
          <w:rFonts w:hint="eastAsia"/>
          <w:highlight w:val="none"/>
          <w:lang w:val="en-US" w:eastAsia="zh-CN"/>
        </w:rPr>
        <w:t>根据《中国地震动参数区划图》（GB18306-2015），拟建项目所在区域地震动峰值加速度</w:t>
      </w:r>
      <w:r>
        <w:rPr>
          <w:rFonts w:hint="default" w:ascii="Times New Roman" w:hAnsi="Times New Roman" w:cs="Times New Roman"/>
          <w:highlight w:val="none"/>
          <w:lang w:val="en-US" w:eastAsia="zh-CN"/>
        </w:rPr>
        <w:t>˂</w:t>
      </w:r>
      <w:r>
        <w:rPr>
          <w:rFonts w:hint="eastAsia"/>
          <w:highlight w:val="none"/>
          <w:lang w:val="en-US" w:eastAsia="zh-CN"/>
        </w:rPr>
        <w:t>0.05g，地震反应谱特征周期为0.35s，地震基本烈度小于</w:t>
      </w:r>
      <w:r>
        <w:rPr>
          <w:rFonts w:hint="default" w:ascii="Times New Roman" w:hAnsi="Times New Roman" w:eastAsia="微软雅黑" w:cs="Times New Roman"/>
          <w:highlight w:val="none"/>
          <w:lang w:val="en-US" w:eastAsia="zh-CN"/>
        </w:rPr>
        <w:t>Ⅵ</w:t>
      </w:r>
      <w:r>
        <w:rPr>
          <w:rFonts w:hint="eastAsia"/>
          <w:highlight w:val="none"/>
          <w:lang w:val="en-US" w:eastAsia="zh-CN"/>
        </w:rPr>
        <w:t>度。</w:t>
      </w:r>
    </w:p>
    <w:p w14:paraId="395B85C0">
      <w:pPr>
        <w:pStyle w:val="9"/>
        <w:numPr>
          <w:ilvl w:val="2"/>
          <w:numId w:val="1"/>
        </w:numPr>
        <w:bidi w:val="0"/>
        <w:ind w:left="709" w:leftChars="0" w:hanging="709" w:firstLineChars="0"/>
        <w:rPr>
          <w:rFonts w:hint="default"/>
          <w:highlight w:val="none"/>
          <w:lang w:val="en-US" w:eastAsia="zh-CN"/>
        </w:rPr>
      </w:pPr>
      <w:r>
        <w:rPr>
          <w:rFonts w:hint="eastAsia"/>
          <w:highlight w:val="none"/>
          <w:lang w:val="en-US" w:eastAsia="zh-CN"/>
        </w:rPr>
        <w:t>气候气象</w:t>
      </w:r>
    </w:p>
    <w:p w14:paraId="53DAEAE6">
      <w:pPr>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平江县境属大陆性季风气候区，东亚热带向北亚热带过度气候带。主要气候特征为：春温多雨、寒流频繁，降水集中；夏秋多旱；严寒期短，无霜期长；风小、雾多、湿度大，全年无霜期263天。</w:t>
      </w:r>
    </w:p>
    <w:p w14:paraId="2DEA2846">
      <w:pPr>
        <w:rPr>
          <w:rFonts w:hint="default" w:ascii="Times New Roman" w:hAnsi="Times New Roman" w:cs="Times New Roman"/>
          <w:highlight w:val="none"/>
          <w:lang w:val="en-US" w:eastAsia="zh-CN"/>
        </w:rPr>
      </w:pPr>
      <w:r>
        <w:rPr>
          <w:rFonts w:hint="default" w:ascii="Times New Roman" w:hAnsi="Times New Roman" w:cs="Times New Roman"/>
          <w:b/>
          <w:bCs/>
          <w:highlight w:val="none"/>
          <w:lang w:val="en-US" w:eastAsia="zh-CN"/>
        </w:rPr>
        <w:t>气温：</w:t>
      </w:r>
      <w:r>
        <w:rPr>
          <w:rFonts w:hint="default" w:ascii="Times New Roman" w:hAnsi="Times New Roman" w:cs="Times New Roman"/>
          <w:highlight w:val="none"/>
          <w:lang w:val="en-US" w:eastAsia="zh-CN"/>
        </w:rPr>
        <w:t>平江县气候属亚热带湿润季风气候，四季分明，平均气温18.4℃，一月份平均气温4.9℃，极端最低气温为-12℃（1972年2月9日），七月份平均气温28.6℃，极端最高气温40.3℃（1971年7月26日），年平均气温5℃以上的时期为295天。</w:t>
      </w:r>
    </w:p>
    <w:p w14:paraId="5BBC537C">
      <w:pPr>
        <w:rPr>
          <w:rFonts w:hint="default" w:ascii="Times New Roman" w:hAnsi="Times New Roman" w:cs="Times New Roman"/>
          <w:highlight w:val="none"/>
          <w:lang w:val="en-US" w:eastAsia="zh-CN"/>
        </w:rPr>
      </w:pPr>
      <w:r>
        <w:rPr>
          <w:rFonts w:hint="default" w:ascii="Times New Roman" w:hAnsi="Times New Roman" w:cs="Times New Roman"/>
          <w:b/>
          <w:bCs/>
          <w:highlight w:val="none"/>
          <w:lang w:val="en-US" w:eastAsia="zh-CN"/>
        </w:rPr>
        <w:t>日照：</w:t>
      </w:r>
      <w:r>
        <w:rPr>
          <w:rFonts w:hint="default" w:ascii="Times New Roman" w:hAnsi="Times New Roman" w:cs="Times New Roman"/>
          <w:highlight w:val="none"/>
          <w:lang w:val="en-US" w:eastAsia="zh-CN"/>
        </w:rPr>
        <w:t>年均日照时数1731.1小时。</w:t>
      </w:r>
    </w:p>
    <w:p w14:paraId="01114875">
      <w:pPr>
        <w:rPr>
          <w:rFonts w:hint="default" w:ascii="Times New Roman" w:hAnsi="Times New Roman" w:cs="Times New Roman"/>
          <w:highlight w:val="none"/>
          <w:lang w:val="en-US" w:eastAsia="zh-CN"/>
        </w:rPr>
      </w:pPr>
      <w:r>
        <w:rPr>
          <w:rFonts w:hint="default" w:ascii="Times New Roman" w:hAnsi="Times New Roman" w:cs="Times New Roman"/>
          <w:b/>
          <w:bCs/>
          <w:highlight w:val="none"/>
          <w:lang w:val="en-US" w:eastAsia="zh-CN"/>
        </w:rPr>
        <w:t>风向风速：</w:t>
      </w:r>
      <w:r>
        <w:rPr>
          <w:rFonts w:hint="default" w:ascii="Times New Roman" w:hAnsi="Times New Roman" w:cs="Times New Roman"/>
          <w:highlight w:val="none"/>
          <w:lang w:val="en-US" w:eastAsia="zh-CN"/>
        </w:rPr>
        <w:t>平江县地处湿润的大陆季风气候区，属中亚热带向北区亚热带过度气候带，夏季多东南风，冬季多西北风，偏西风占20%，偏南风占5%，静风日142天，长年静风期占39%。多年均风速为1.4</w:t>
      </w:r>
      <w:r>
        <w:rPr>
          <w:rFonts w:hint="eastAsia" w:ascii="Times New Roman" w:hAnsi="Times New Roman" w:cs="Times New Roman"/>
          <w:highlight w:val="none"/>
          <w:lang w:val="en-US" w:eastAsia="zh-CN"/>
        </w:rPr>
        <w:t>m</w:t>
      </w:r>
      <w:r>
        <w:rPr>
          <w:rFonts w:hint="default" w:ascii="Times New Roman" w:hAnsi="Times New Roman" w:cs="Times New Roman"/>
          <w:highlight w:val="none"/>
          <w:lang w:val="en-US" w:eastAsia="zh-CN"/>
        </w:rPr>
        <w:t>/</w:t>
      </w:r>
      <w:r>
        <w:rPr>
          <w:rFonts w:hint="eastAsia" w:ascii="Times New Roman" w:hAnsi="Times New Roman" w:cs="Times New Roman"/>
          <w:highlight w:val="none"/>
          <w:lang w:val="en-US" w:eastAsia="zh-CN"/>
        </w:rPr>
        <w:t>s</w:t>
      </w:r>
      <w:r>
        <w:rPr>
          <w:rFonts w:hint="default" w:ascii="Times New Roman" w:hAnsi="Times New Roman" w:cs="Times New Roman"/>
          <w:highlight w:val="none"/>
          <w:lang w:val="en-US" w:eastAsia="zh-CN"/>
        </w:rPr>
        <w:t>，最大风速为28</w:t>
      </w:r>
      <w:r>
        <w:rPr>
          <w:rFonts w:hint="eastAsia" w:ascii="Times New Roman" w:hAnsi="Times New Roman" w:cs="Times New Roman"/>
          <w:highlight w:val="none"/>
          <w:lang w:val="en-US" w:eastAsia="zh-CN"/>
        </w:rPr>
        <w:t>m</w:t>
      </w:r>
      <w:r>
        <w:rPr>
          <w:rFonts w:hint="default" w:ascii="Times New Roman" w:hAnsi="Times New Roman" w:cs="Times New Roman"/>
          <w:highlight w:val="none"/>
          <w:lang w:val="en-US" w:eastAsia="zh-CN"/>
        </w:rPr>
        <w:t>/</w:t>
      </w:r>
      <w:r>
        <w:rPr>
          <w:rFonts w:hint="eastAsia" w:ascii="Times New Roman" w:hAnsi="Times New Roman" w:cs="Times New Roman"/>
          <w:highlight w:val="none"/>
          <w:lang w:val="en-US" w:eastAsia="zh-CN"/>
        </w:rPr>
        <w:t>s</w:t>
      </w:r>
      <w:r>
        <w:rPr>
          <w:rFonts w:hint="default" w:ascii="Times New Roman" w:hAnsi="Times New Roman" w:cs="Times New Roman"/>
          <w:highlight w:val="none"/>
          <w:lang w:val="en-US" w:eastAsia="zh-CN"/>
        </w:rPr>
        <w:t>（1957年6月4日），大风发生的机会以4、7、8月较多，占全年大风天数的57.8%。</w:t>
      </w:r>
    </w:p>
    <w:p w14:paraId="74717A10">
      <w:pPr>
        <w:rPr>
          <w:rFonts w:hint="default" w:ascii="Times New Roman" w:hAnsi="Times New Roman" w:cs="Times New Roman"/>
          <w:highlight w:val="yellow"/>
          <w:lang w:val="en-US" w:eastAsia="zh-CN"/>
        </w:rPr>
      </w:pPr>
      <w:r>
        <w:rPr>
          <w:rFonts w:hint="default" w:ascii="Times New Roman" w:hAnsi="Times New Roman" w:cs="Times New Roman"/>
          <w:b/>
          <w:bCs/>
          <w:highlight w:val="none"/>
          <w:lang w:val="en-US" w:eastAsia="zh-CN"/>
        </w:rPr>
        <w:t>降水：</w:t>
      </w:r>
      <w:r>
        <w:rPr>
          <w:rFonts w:hint="default" w:ascii="Times New Roman" w:hAnsi="Times New Roman" w:cs="Times New Roman"/>
          <w:highlight w:val="none"/>
          <w:lang w:val="en-US" w:eastAsia="zh-CN"/>
        </w:rPr>
        <w:t>平江县由于地形复杂，降水地域分布有较大差异，年降水量自西向东沿汨罗江顺流而上逐步增加。下游栗山年降水为1310</w:t>
      </w:r>
      <w:r>
        <w:rPr>
          <w:rFonts w:hint="eastAsia" w:ascii="Times New Roman" w:hAnsi="Times New Roman" w:cs="Times New Roman"/>
          <w:highlight w:val="none"/>
          <w:lang w:val="en-US" w:eastAsia="zh-CN"/>
        </w:rPr>
        <w:t>mm</w:t>
      </w:r>
      <w:r>
        <w:rPr>
          <w:rFonts w:hint="default" w:ascii="Times New Roman" w:hAnsi="Times New Roman" w:cs="Times New Roman"/>
          <w:highlight w:val="none"/>
          <w:lang w:val="en-US" w:eastAsia="zh-CN"/>
        </w:rPr>
        <w:t>，上游浆市为1610</w:t>
      </w:r>
      <w:r>
        <w:rPr>
          <w:rFonts w:hint="eastAsia" w:ascii="Times New Roman" w:hAnsi="Times New Roman" w:cs="Times New Roman"/>
          <w:highlight w:val="none"/>
          <w:lang w:val="en-US" w:eastAsia="zh-CN"/>
        </w:rPr>
        <w:t>mm</w:t>
      </w:r>
      <w:r>
        <w:rPr>
          <w:rFonts w:hint="default" w:ascii="Times New Roman" w:hAnsi="Times New Roman" w:cs="Times New Roman"/>
          <w:highlight w:val="none"/>
          <w:lang w:val="en-US" w:eastAsia="zh-CN"/>
        </w:rPr>
        <w:t>，最多年份为2020</w:t>
      </w:r>
      <w:r>
        <w:rPr>
          <w:rFonts w:hint="eastAsia" w:ascii="Times New Roman" w:hAnsi="Times New Roman" w:cs="Times New Roman"/>
          <w:highlight w:val="none"/>
          <w:lang w:val="en-US" w:eastAsia="zh-CN"/>
        </w:rPr>
        <w:t>mm</w:t>
      </w:r>
      <w:r>
        <w:rPr>
          <w:rFonts w:hint="default" w:ascii="Times New Roman" w:hAnsi="Times New Roman" w:cs="Times New Roman"/>
          <w:highlight w:val="none"/>
          <w:lang w:val="en-US" w:eastAsia="zh-CN"/>
        </w:rPr>
        <w:t>，相差710</w:t>
      </w:r>
      <w:r>
        <w:rPr>
          <w:rFonts w:hint="eastAsia" w:ascii="Times New Roman" w:hAnsi="Times New Roman" w:cs="Times New Roman"/>
          <w:highlight w:val="none"/>
          <w:lang w:val="en-US" w:eastAsia="zh-CN"/>
        </w:rPr>
        <w:t>mm</w:t>
      </w:r>
      <w:r>
        <w:rPr>
          <w:rFonts w:hint="default" w:ascii="Times New Roman" w:hAnsi="Times New Roman" w:cs="Times New Roman"/>
          <w:highlight w:val="none"/>
          <w:lang w:val="en-US" w:eastAsia="zh-CN"/>
        </w:rPr>
        <w:t>。由于受季风和副热带高气压的影响，降水量在年内也分布不均匀，呈春夏多秋冬少的规律，多年平均降雨量1550.78</w:t>
      </w:r>
      <w:r>
        <w:rPr>
          <w:rFonts w:hint="eastAsia" w:ascii="Times New Roman" w:hAnsi="Times New Roman" w:cs="Times New Roman"/>
          <w:highlight w:val="none"/>
          <w:lang w:val="en-US" w:eastAsia="zh-CN"/>
        </w:rPr>
        <w:t>mm</w:t>
      </w:r>
      <w:r>
        <w:rPr>
          <w:rFonts w:hint="default" w:ascii="Times New Roman" w:hAnsi="Times New Roman" w:cs="Times New Roman"/>
          <w:highlight w:val="none"/>
          <w:lang w:val="en-US" w:eastAsia="zh-CN"/>
        </w:rPr>
        <w:t>，年最大降水量2749.9</w:t>
      </w:r>
      <w:r>
        <w:rPr>
          <w:rFonts w:hint="eastAsia" w:ascii="Times New Roman" w:hAnsi="Times New Roman" w:cs="Times New Roman"/>
          <w:highlight w:val="none"/>
          <w:lang w:val="en-US" w:eastAsia="zh-CN"/>
        </w:rPr>
        <w:t>mm</w:t>
      </w:r>
      <w:r>
        <w:rPr>
          <w:rFonts w:hint="eastAsia" w:cs="Times New Roman"/>
          <w:highlight w:val="none"/>
          <w:lang w:val="en-US" w:eastAsia="zh-CN"/>
        </w:rPr>
        <w:t>，</w:t>
      </w:r>
      <w:r>
        <w:rPr>
          <w:rFonts w:hint="default" w:ascii="Times New Roman" w:hAnsi="Times New Roman" w:cs="Times New Roman"/>
          <w:highlight w:val="none"/>
          <w:lang w:val="en-US" w:eastAsia="zh-CN"/>
        </w:rPr>
        <w:t>最小降雨量992.8</w:t>
      </w:r>
      <w:r>
        <w:rPr>
          <w:rFonts w:hint="eastAsia" w:ascii="Times New Roman" w:hAnsi="Times New Roman" w:cs="Times New Roman"/>
          <w:highlight w:val="none"/>
          <w:lang w:val="en-US" w:eastAsia="zh-CN"/>
        </w:rPr>
        <w:t>mm</w:t>
      </w:r>
      <w:r>
        <w:rPr>
          <w:rFonts w:hint="default" w:ascii="Times New Roman" w:hAnsi="Times New Roman" w:cs="Times New Roman"/>
          <w:highlight w:val="none"/>
          <w:lang w:val="en-US" w:eastAsia="zh-CN"/>
        </w:rPr>
        <w:t>；春秋雨季降雨量905.65</w:t>
      </w:r>
      <w:r>
        <w:rPr>
          <w:rFonts w:hint="eastAsia" w:ascii="Times New Roman" w:hAnsi="Times New Roman" w:cs="Times New Roman"/>
          <w:highlight w:val="none"/>
          <w:lang w:val="en-US" w:eastAsia="zh-CN"/>
        </w:rPr>
        <w:t>mm</w:t>
      </w:r>
      <w:r>
        <w:rPr>
          <w:rFonts w:hint="default" w:ascii="Times New Roman" w:hAnsi="Times New Roman" w:cs="Times New Roman"/>
          <w:highlight w:val="none"/>
          <w:lang w:val="en-US" w:eastAsia="zh-CN"/>
        </w:rPr>
        <w:t>，占年降雨量的58.4%，年均蒸发量为741.5</w:t>
      </w:r>
      <w:r>
        <w:rPr>
          <w:rFonts w:hint="eastAsia" w:ascii="Times New Roman" w:hAnsi="Times New Roman" w:cs="Times New Roman"/>
          <w:highlight w:val="none"/>
          <w:lang w:val="en-US" w:eastAsia="zh-CN"/>
        </w:rPr>
        <w:t>mm</w:t>
      </w:r>
      <w:r>
        <w:rPr>
          <w:rFonts w:hint="default" w:ascii="Times New Roman" w:hAnsi="Times New Roman" w:cs="Times New Roman"/>
          <w:highlight w:val="none"/>
          <w:lang w:val="en-US" w:eastAsia="zh-CN"/>
        </w:rPr>
        <w:t>，相对湿度为82%，最小相对湿度为9%。多年平均降水日为160天，降水年际变化大</w:t>
      </w:r>
      <w:r>
        <w:rPr>
          <w:rFonts w:hint="eastAsia" w:cs="Times New Roman"/>
          <w:highlight w:val="none"/>
          <w:lang w:val="en-US" w:eastAsia="zh-CN"/>
        </w:rPr>
        <w:t>。</w:t>
      </w:r>
    </w:p>
    <w:p w14:paraId="029EC8B6">
      <w:pPr>
        <w:pStyle w:val="9"/>
        <w:numPr>
          <w:ilvl w:val="2"/>
          <w:numId w:val="1"/>
        </w:numPr>
        <w:bidi w:val="0"/>
        <w:ind w:left="709" w:leftChars="0" w:hanging="709" w:firstLineChars="0"/>
        <w:rPr>
          <w:rFonts w:hint="eastAsia"/>
          <w:highlight w:val="none"/>
          <w:lang w:val="en-US" w:eastAsia="zh-CN"/>
        </w:rPr>
      </w:pPr>
      <w:r>
        <w:rPr>
          <w:rFonts w:hint="eastAsia"/>
          <w:highlight w:val="none"/>
          <w:lang w:val="en-US" w:eastAsia="zh-CN"/>
        </w:rPr>
        <w:t>水文特征</w:t>
      </w:r>
    </w:p>
    <w:p w14:paraId="10379793">
      <w:pPr>
        <w:rPr>
          <w:rFonts w:hint="default" w:ascii="Times New Roman" w:hAnsi="Times New Roman" w:cs="Times New Roman"/>
          <w:b/>
          <w:bCs/>
          <w:highlight w:val="none"/>
          <w:lang w:val="en-US" w:eastAsia="zh-CN"/>
        </w:rPr>
      </w:pPr>
      <w:r>
        <w:rPr>
          <w:rFonts w:hint="eastAsia" w:cs="Times New Roman"/>
          <w:b/>
          <w:bCs/>
          <w:highlight w:val="none"/>
          <w:lang w:val="en-US" w:eastAsia="zh-CN"/>
        </w:rPr>
        <w:t>（1）地表水</w:t>
      </w:r>
    </w:p>
    <w:p w14:paraId="33888B9E">
      <w:pPr>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平江县境内河网密布，分属汨罗江和新墙河两大水系。汨罗江流域面积占96.1%；新墙河流面积占3.9%。</w:t>
      </w:r>
      <w:r>
        <w:rPr>
          <w:rFonts w:hint="eastAsia" w:cs="Times New Roman"/>
          <w:highlight w:val="none"/>
          <w:lang w:val="en-US" w:eastAsia="zh-CN"/>
        </w:rPr>
        <w:t>汨罗江</w:t>
      </w:r>
      <w:r>
        <w:rPr>
          <w:rFonts w:hint="default" w:ascii="Times New Roman" w:hAnsi="Times New Roman" w:cs="Times New Roman"/>
          <w:highlight w:val="none"/>
          <w:lang w:val="en-US" w:eastAsia="zh-CN"/>
        </w:rPr>
        <w:t>自东向西贯穿全境，境内全长192.9</w:t>
      </w:r>
      <w:r>
        <w:rPr>
          <w:rFonts w:hint="eastAsia" w:ascii="Times New Roman" w:hAnsi="Times New Roman" w:cs="Times New Roman"/>
          <w:highlight w:val="none"/>
          <w:lang w:val="en-US" w:eastAsia="zh-CN"/>
        </w:rPr>
        <w:t>km</w:t>
      </w:r>
      <w:r>
        <w:rPr>
          <w:rFonts w:hint="default" w:ascii="Times New Roman" w:hAnsi="Times New Roman" w:cs="Times New Roman"/>
          <w:highlight w:val="none"/>
          <w:lang w:val="en-US" w:eastAsia="zh-CN"/>
        </w:rPr>
        <w:t>，有大小支流141条，总长2656.9</w:t>
      </w:r>
      <w:r>
        <w:rPr>
          <w:rFonts w:hint="eastAsia" w:ascii="Times New Roman" w:hAnsi="Times New Roman" w:cs="Times New Roman"/>
          <w:highlight w:val="none"/>
          <w:lang w:val="en-US" w:eastAsia="zh-CN"/>
        </w:rPr>
        <w:t>km</w:t>
      </w:r>
      <w:r>
        <w:rPr>
          <w:rFonts w:hint="default" w:ascii="Times New Roman" w:hAnsi="Times New Roman" w:cs="Times New Roman"/>
          <w:highlight w:val="none"/>
          <w:lang w:val="en-US" w:eastAsia="zh-CN"/>
        </w:rPr>
        <w:t>，河网密度0.64</w:t>
      </w:r>
      <w:r>
        <w:rPr>
          <w:rFonts w:hint="eastAsia" w:ascii="Times New Roman" w:hAnsi="Times New Roman" w:cs="Times New Roman"/>
          <w:highlight w:val="none"/>
          <w:lang w:val="en-US" w:eastAsia="zh-CN"/>
        </w:rPr>
        <w:t>km</w:t>
      </w:r>
      <w:r>
        <w:rPr>
          <w:rFonts w:hint="default" w:ascii="Times New Roman" w:hAnsi="Times New Roman" w:cs="Times New Roman"/>
          <w:highlight w:val="none"/>
          <w:lang w:val="en-US" w:eastAsia="zh-CN"/>
        </w:rPr>
        <w:t>/</w:t>
      </w:r>
      <w:r>
        <w:rPr>
          <w:rFonts w:hint="eastAsia" w:ascii="Times New Roman" w:hAnsi="Times New Roman" w:cs="Times New Roman"/>
          <w:highlight w:val="none"/>
          <w:lang w:val="en-US" w:eastAsia="zh-CN"/>
        </w:rPr>
        <w:t>km</w:t>
      </w:r>
      <w:r>
        <w:rPr>
          <w:rFonts w:hint="eastAsia" w:ascii="Times New Roman" w:hAnsi="Times New Roman" w:cs="Times New Roman"/>
          <w:highlight w:val="none"/>
          <w:vertAlign w:val="superscript"/>
          <w:lang w:val="en-US" w:eastAsia="zh-CN"/>
        </w:rPr>
        <w:t>2</w:t>
      </w:r>
      <w:r>
        <w:rPr>
          <w:rFonts w:hint="default" w:ascii="Times New Roman" w:hAnsi="Times New Roman" w:cs="Times New Roman"/>
          <w:highlight w:val="none"/>
          <w:lang w:val="en-US" w:eastAsia="zh-CN"/>
        </w:rPr>
        <w:t>。径流总量32.56亿</w:t>
      </w:r>
      <w:r>
        <w:rPr>
          <w:rFonts w:hint="eastAsia" w:ascii="Times New Roman" w:hAnsi="Times New Roman" w:cs="Times New Roman"/>
          <w:highlight w:val="none"/>
          <w:lang w:val="en-US" w:eastAsia="zh-CN"/>
        </w:rPr>
        <w:t>m</w:t>
      </w:r>
      <w:r>
        <w:rPr>
          <w:rFonts w:hint="eastAsia" w:ascii="Times New Roman" w:hAnsi="Times New Roman" w:cs="Times New Roman"/>
          <w:highlight w:val="none"/>
          <w:vertAlign w:val="superscript"/>
          <w:lang w:val="en-US" w:eastAsia="zh-CN"/>
        </w:rPr>
        <w:t>3</w:t>
      </w:r>
      <w:r>
        <w:rPr>
          <w:rFonts w:hint="default" w:ascii="Times New Roman" w:hAnsi="Times New Roman" w:cs="Times New Roman"/>
          <w:highlight w:val="none"/>
          <w:lang w:val="en-US" w:eastAsia="zh-CN"/>
        </w:rPr>
        <w:t>。</w:t>
      </w:r>
    </w:p>
    <w:p w14:paraId="44A4AC03">
      <w:pPr>
        <w:rPr>
          <w:rFonts w:hint="eastAsia"/>
          <w:highlight w:val="yellow"/>
          <w:lang w:val="en-US" w:eastAsia="zh-CN"/>
        </w:rPr>
      </w:pPr>
      <w:r>
        <w:rPr>
          <w:rFonts w:hint="default" w:ascii="Times New Roman" w:hAnsi="Times New Roman" w:cs="Times New Roman"/>
          <w:highlight w:val="none"/>
          <w:lang w:val="en-US" w:eastAsia="zh-CN"/>
        </w:rPr>
        <w:t>汨罗江发源于黄龙山梨树埚（江西修水县境）。经修水白石桥至龙门进入县境，自东向西贯穿全县，由新市街入汨罗市。境内全长192.9</w:t>
      </w:r>
      <w:r>
        <w:rPr>
          <w:rFonts w:hint="eastAsia" w:ascii="Times New Roman" w:hAnsi="Times New Roman" w:cs="Times New Roman"/>
          <w:highlight w:val="none"/>
          <w:lang w:val="en-US" w:eastAsia="zh-CN"/>
        </w:rPr>
        <w:t>km</w:t>
      </w:r>
      <w:r>
        <w:rPr>
          <w:rFonts w:hint="default" w:ascii="Times New Roman" w:hAnsi="Times New Roman" w:cs="Times New Roman"/>
          <w:highlight w:val="none"/>
          <w:lang w:val="en-US" w:eastAsia="zh-CN"/>
        </w:rPr>
        <w:t>，流经金龙、长寿、嘉义、安定、三阳、城关、瓮江、谈岑、栗山等9个区（镇）、22个乡、122个村。流域面积4053.3</w:t>
      </w:r>
      <w:r>
        <w:rPr>
          <w:rFonts w:hint="eastAsia" w:ascii="Times New Roman" w:hAnsi="Times New Roman" w:cs="Times New Roman"/>
          <w:highlight w:val="none"/>
          <w:lang w:val="en-US" w:eastAsia="zh-CN"/>
        </w:rPr>
        <w:t>km</w:t>
      </w:r>
      <w:r>
        <w:rPr>
          <w:rFonts w:hint="eastAsia" w:ascii="Times New Roman" w:hAnsi="Times New Roman" w:cs="Times New Roman"/>
          <w:highlight w:val="none"/>
          <w:vertAlign w:val="superscript"/>
          <w:lang w:val="en-US" w:eastAsia="zh-CN"/>
        </w:rPr>
        <w:t>2</w:t>
      </w:r>
      <w:r>
        <w:rPr>
          <w:rFonts w:hint="default" w:ascii="Times New Roman" w:hAnsi="Times New Roman" w:cs="Times New Roman"/>
          <w:highlight w:val="none"/>
          <w:lang w:val="en-US" w:eastAsia="zh-CN"/>
        </w:rPr>
        <w:t>，落差107.5</w:t>
      </w:r>
      <w:r>
        <w:rPr>
          <w:rFonts w:hint="eastAsia" w:ascii="Times New Roman" w:hAnsi="Times New Roman" w:cs="Times New Roman"/>
          <w:highlight w:val="none"/>
          <w:lang w:val="en-US" w:eastAsia="zh-CN"/>
        </w:rPr>
        <w:t>m</w:t>
      </w:r>
      <w:r>
        <w:rPr>
          <w:rFonts w:hint="default" w:ascii="Times New Roman" w:hAnsi="Times New Roman" w:cs="Times New Roman"/>
          <w:highlight w:val="none"/>
          <w:lang w:val="en-US" w:eastAsia="zh-CN"/>
        </w:rPr>
        <w:t>。汨罗江流域降水量充沛，雨量多发在4</w:t>
      </w:r>
      <w:r>
        <w:rPr>
          <w:rFonts w:hint="eastAsia" w:ascii="Times New Roman" w:hAnsi="Times New Roman" w:cs="Times New Roman"/>
          <w:highlight w:val="none"/>
          <w:lang w:val="en-US" w:eastAsia="zh-CN"/>
        </w:rPr>
        <w:t>~</w:t>
      </w:r>
      <w:r>
        <w:rPr>
          <w:rFonts w:hint="default" w:ascii="Times New Roman" w:hAnsi="Times New Roman" w:cs="Times New Roman"/>
          <w:highlight w:val="none"/>
          <w:lang w:val="en-US" w:eastAsia="zh-CN"/>
        </w:rPr>
        <w:t>8月，河水受降水影响明显。根据当地黄旗水文站资料，该河流域历史最高水位为47.69m，最低水位为31.5m，河流断面流量825m</w:t>
      </w:r>
      <w:r>
        <w:rPr>
          <w:rFonts w:hint="default" w:ascii="Times New Roman" w:hAnsi="Times New Roman" w:cs="Times New Roman"/>
          <w:highlight w:val="none"/>
          <w:vertAlign w:val="superscript"/>
          <w:lang w:val="en-US" w:eastAsia="zh-CN"/>
        </w:rPr>
        <w:t>3</w:t>
      </w:r>
      <w:r>
        <w:rPr>
          <w:rFonts w:hint="default" w:ascii="Times New Roman" w:hAnsi="Times New Roman" w:cs="Times New Roman"/>
          <w:highlight w:val="none"/>
          <w:lang w:val="en-US" w:eastAsia="zh-CN"/>
        </w:rPr>
        <w:t>/s，平均流速0.95m/s，水面宽230</w:t>
      </w:r>
      <w:r>
        <w:rPr>
          <w:rFonts w:hint="eastAsia" w:ascii="Times New Roman" w:hAnsi="Times New Roman" w:cs="Times New Roman"/>
          <w:highlight w:val="none"/>
          <w:lang w:val="en-US" w:eastAsia="zh-CN"/>
        </w:rPr>
        <w:t>m</w:t>
      </w:r>
      <w:r>
        <w:rPr>
          <w:rFonts w:hint="default" w:ascii="Times New Roman" w:hAnsi="Times New Roman" w:cs="Times New Roman"/>
          <w:highlight w:val="none"/>
          <w:lang w:val="en-US" w:eastAsia="zh-CN"/>
        </w:rPr>
        <w:t>，平均水深3.9m，最大水深5.7m，历史未发生特大水灾及断流。干流多年平均径流量为43.04亿</w:t>
      </w:r>
      <w:r>
        <w:rPr>
          <w:rFonts w:hint="eastAsia" w:ascii="Times New Roman" w:hAnsi="Times New Roman" w:cs="Times New Roman"/>
          <w:highlight w:val="none"/>
          <w:lang w:val="en-US" w:eastAsia="zh-CN"/>
        </w:rPr>
        <w:t>m</w:t>
      </w:r>
      <w:r>
        <w:rPr>
          <w:rFonts w:hint="eastAsia" w:ascii="Times New Roman" w:hAnsi="Times New Roman" w:cs="Times New Roman"/>
          <w:highlight w:val="none"/>
          <w:vertAlign w:val="superscript"/>
          <w:lang w:val="en-US" w:eastAsia="zh-CN"/>
        </w:rPr>
        <w:t>3</w:t>
      </w:r>
      <w:r>
        <w:rPr>
          <w:rFonts w:hint="default" w:ascii="Times New Roman" w:hAnsi="Times New Roman" w:cs="Times New Roman"/>
          <w:highlight w:val="none"/>
          <w:lang w:val="en-US" w:eastAsia="zh-CN"/>
        </w:rPr>
        <w:t>，汛期为5</w:t>
      </w:r>
      <w:r>
        <w:rPr>
          <w:rFonts w:hint="eastAsia" w:ascii="Times New Roman" w:hAnsi="Times New Roman" w:cs="Times New Roman"/>
          <w:highlight w:val="none"/>
          <w:lang w:val="en-US" w:eastAsia="zh-CN"/>
        </w:rPr>
        <w:t>~</w:t>
      </w:r>
      <w:r>
        <w:rPr>
          <w:rFonts w:hint="default" w:ascii="Times New Roman" w:hAnsi="Times New Roman" w:cs="Times New Roman"/>
          <w:highlight w:val="none"/>
          <w:lang w:val="en-US" w:eastAsia="zh-CN"/>
        </w:rPr>
        <w:t>8月，径流量占全年总量46.2%，保证率95%的枯水年径流量为5.33亿</w:t>
      </w:r>
      <w:r>
        <w:rPr>
          <w:rFonts w:hint="eastAsia" w:ascii="Times New Roman" w:hAnsi="Times New Roman" w:cs="Times New Roman"/>
          <w:highlight w:val="none"/>
          <w:lang w:val="en-US" w:eastAsia="zh-CN"/>
        </w:rPr>
        <w:t>m</w:t>
      </w:r>
      <w:r>
        <w:rPr>
          <w:rFonts w:hint="eastAsia" w:ascii="Times New Roman" w:hAnsi="Times New Roman" w:cs="Times New Roman"/>
          <w:highlight w:val="none"/>
          <w:vertAlign w:val="superscript"/>
          <w:lang w:val="en-US" w:eastAsia="zh-CN"/>
        </w:rPr>
        <w:t>3</w:t>
      </w:r>
      <w:r>
        <w:rPr>
          <w:rFonts w:hint="default" w:ascii="Times New Roman" w:hAnsi="Times New Roman" w:cs="Times New Roman"/>
          <w:highlight w:val="none"/>
          <w:lang w:val="en-US" w:eastAsia="zh-CN"/>
        </w:rPr>
        <w:t>，多年平均流量129m</w:t>
      </w:r>
      <w:r>
        <w:rPr>
          <w:rFonts w:hint="default" w:ascii="Times New Roman" w:hAnsi="Times New Roman" w:cs="Times New Roman"/>
          <w:highlight w:val="none"/>
          <w:vertAlign w:val="superscript"/>
          <w:lang w:val="en-US" w:eastAsia="zh-CN"/>
        </w:rPr>
        <w:t>3</w:t>
      </w:r>
      <w:r>
        <w:rPr>
          <w:rFonts w:hint="default" w:ascii="Times New Roman" w:hAnsi="Times New Roman" w:cs="Times New Roman"/>
          <w:highlight w:val="none"/>
          <w:lang w:val="en-US" w:eastAsia="zh-CN"/>
        </w:rPr>
        <w:t>/s，多年最大月平均流量231m</w:t>
      </w:r>
      <w:r>
        <w:rPr>
          <w:rFonts w:hint="default" w:ascii="Times New Roman" w:hAnsi="Times New Roman" w:cs="Times New Roman"/>
          <w:highlight w:val="none"/>
          <w:vertAlign w:val="superscript"/>
          <w:lang w:val="en-US" w:eastAsia="zh-CN"/>
        </w:rPr>
        <w:t>3</w:t>
      </w:r>
      <w:r>
        <w:rPr>
          <w:rFonts w:hint="default" w:ascii="Times New Roman" w:hAnsi="Times New Roman" w:cs="Times New Roman"/>
          <w:highlight w:val="none"/>
          <w:lang w:val="en-US" w:eastAsia="zh-CN"/>
        </w:rPr>
        <w:t>/s（5月），最小月平均流量26.2m</w:t>
      </w:r>
      <w:r>
        <w:rPr>
          <w:rFonts w:hint="default" w:ascii="Times New Roman" w:hAnsi="Times New Roman" w:cs="Times New Roman"/>
          <w:highlight w:val="none"/>
          <w:vertAlign w:val="superscript"/>
          <w:lang w:val="en-US" w:eastAsia="zh-CN"/>
        </w:rPr>
        <w:t>3</w:t>
      </w:r>
      <w:r>
        <w:rPr>
          <w:rFonts w:hint="default" w:ascii="Times New Roman" w:hAnsi="Times New Roman" w:cs="Times New Roman"/>
          <w:highlight w:val="none"/>
          <w:lang w:val="en-US" w:eastAsia="zh-CN"/>
        </w:rPr>
        <w:t>/s（1月、12月）。</w:t>
      </w:r>
    </w:p>
    <w:p w14:paraId="4F0427FE">
      <w:pPr>
        <w:rPr>
          <w:rFonts w:hint="eastAsia"/>
          <w:highlight w:val="none"/>
          <w:lang w:val="en-US" w:eastAsia="zh-CN"/>
        </w:rPr>
      </w:pPr>
      <w:r>
        <w:rPr>
          <w:rFonts w:hint="eastAsia"/>
          <w:highlight w:val="none"/>
          <w:lang w:val="en-US" w:eastAsia="zh-CN"/>
        </w:rPr>
        <w:t>项目位于平江县三阳乡南尧村，项目所在地主要的地表水系为山涧小溪，山涧小溪沿地形最终汇流至汨罗江。</w:t>
      </w:r>
    </w:p>
    <w:p w14:paraId="06CFCF81">
      <w:pPr>
        <w:rPr>
          <w:rFonts w:hint="default"/>
          <w:b/>
          <w:bCs/>
          <w:highlight w:val="none"/>
          <w:lang w:val="en-US" w:eastAsia="zh-CN"/>
        </w:rPr>
      </w:pPr>
      <w:r>
        <w:rPr>
          <w:rFonts w:hint="eastAsia"/>
          <w:b/>
          <w:bCs/>
          <w:highlight w:val="none"/>
          <w:lang w:val="en-US" w:eastAsia="zh-CN"/>
        </w:rPr>
        <w:t>（2）地下水</w:t>
      </w:r>
    </w:p>
    <w:p w14:paraId="5A032831">
      <w:pPr>
        <w:rPr>
          <w:rFonts w:hint="eastAsia"/>
          <w:highlight w:val="none"/>
          <w:lang w:val="en-US" w:eastAsia="zh-CN"/>
        </w:rPr>
      </w:pPr>
      <w:r>
        <w:rPr>
          <w:rFonts w:hint="eastAsia"/>
          <w:highlight w:val="none"/>
          <w:lang w:val="en-US" w:eastAsia="zh-CN"/>
        </w:rPr>
        <w:t>项目区域位于湘东北断褶山地丘陵水文地质系统内，含水层以裂隙水为主，局部发育岩溶水‌。主要含水层为古生代碳酸盐岩（如石炭系、二叠系）和碎屑岩（如板溪群浅变质岩），其中碳酸盐岩区岩溶发育，形成管状地下河系统，单条地下河长度可达数十公里，最大流量超过7000L/s‌。碎屑岩区则以网状裂隙水为主，富水性受构造控制明显。</w:t>
      </w:r>
    </w:p>
    <w:p w14:paraId="0167C4E3">
      <w:pPr>
        <w:rPr>
          <w:rFonts w:hint="eastAsia"/>
          <w:highlight w:val="none"/>
          <w:lang w:val="en-US" w:eastAsia="zh-CN"/>
        </w:rPr>
      </w:pPr>
      <w:r>
        <w:rPr>
          <w:rFonts w:hint="eastAsia"/>
          <w:highlight w:val="none"/>
          <w:lang w:val="en-US" w:eastAsia="zh-CN"/>
        </w:rPr>
        <w:t>‌补给‌：降水通过岩溶洼地、落水洞等垂直渗入，年均补给量受地形坡度影响显著，山区补给强度高于丘陵区‌。</w:t>
      </w:r>
    </w:p>
    <w:p w14:paraId="4BE18CE8">
      <w:pPr>
        <w:rPr>
          <w:rFonts w:hint="eastAsia"/>
          <w:highlight w:val="none"/>
          <w:lang w:val="en-US" w:eastAsia="zh-CN"/>
        </w:rPr>
      </w:pPr>
      <w:r>
        <w:rPr>
          <w:rFonts w:hint="eastAsia"/>
          <w:highlight w:val="none"/>
          <w:lang w:val="en-US" w:eastAsia="zh-CN"/>
        </w:rPr>
        <w:t>‌径流‌：地下水沿北东向断裂带运移，岩溶水以树枝状或管状径流为主，非岩溶区则沿裂隙网络缓慢径流‌。</w:t>
      </w:r>
    </w:p>
    <w:p w14:paraId="37908B7E">
      <w:pPr>
        <w:rPr>
          <w:rFonts w:hint="eastAsia"/>
          <w:highlight w:val="none"/>
          <w:lang w:val="en-US" w:eastAsia="zh-CN"/>
        </w:rPr>
      </w:pPr>
      <w:r>
        <w:rPr>
          <w:rFonts w:hint="eastAsia"/>
          <w:highlight w:val="none"/>
          <w:lang w:val="en-US" w:eastAsia="zh-CN"/>
        </w:rPr>
        <w:t>‌排泄‌：以泉群和地下河出口形式集中排泄，部分通过侧向径流进入湘江支流‌</w:t>
      </w:r>
    </w:p>
    <w:p w14:paraId="1C7280FF">
      <w:pPr>
        <w:rPr>
          <w:rFonts w:hint="eastAsia"/>
          <w:highlight w:val="none"/>
          <w:lang w:val="en-US" w:eastAsia="zh-CN"/>
        </w:rPr>
      </w:pPr>
      <w:r>
        <w:rPr>
          <w:rFonts w:hint="eastAsia"/>
          <w:highlight w:val="none"/>
          <w:lang w:val="en-US" w:eastAsia="zh-CN"/>
        </w:rPr>
        <w:t>区域地下水总体由南向北流动，受构造控制形成局部次级流向：南部山区（如幕阜山余脉）为补给区，水流向东北方向径流；中部丘陵区转为近水平径流；北部河谷地带为排泄区，最终汇入汨罗江水系。</w:t>
      </w:r>
    </w:p>
    <w:p w14:paraId="1273B0CA">
      <w:pPr>
        <w:pStyle w:val="9"/>
        <w:numPr>
          <w:ilvl w:val="2"/>
          <w:numId w:val="1"/>
        </w:numPr>
        <w:bidi w:val="0"/>
        <w:ind w:left="709" w:leftChars="0" w:hanging="709" w:firstLineChars="0"/>
        <w:rPr>
          <w:rFonts w:hint="eastAsia"/>
          <w:highlight w:val="none"/>
          <w:lang w:val="en-US" w:eastAsia="zh-CN"/>
        </w:rPr>
      </w:pPr>
      <w:r>
        <w:rPr>
          <w:rFonts w:hint="eastAsia"/>
          <w:highlight w:val="none"/>
          <w:lang w:val="en-US" w:eastAsia="zh-CN"/>
        </w:rPr>
        <w:t>生态环境</w:t>
      </w:r>
    </w:p>
    <w:p w14:paraId="4B797F73">
      <w:pPr>
        <w:rPr>
          <w:rFonts w:hint="eastAsia"/>
          <w:highlight w:val="none"/>
          <w:lang w:val="en-US" w:eastAsia="zh-CN"/>
        </w:rPr>
      </w:pPr>
      <w:r>
        <w:rPr>
          <w:rFonts w:hint="eastAsia"/>
          <w:highlight w:val="none"/>
          <w:lang w:val="en-US" w:eastAsia="zh-CN"/>
        </w:rPr>
        <w:t>平江县成土母岩质主要有变质岩类、花岗岩类、第三纪红岩类、第四纪红土37</w:t>
      </w:r>
      <w:bookmarkStart w:id="41" w:name="page46"/>
      <w:bookmarkEnd w:id="41"/>
      <w:r>
        <w:rPr>
          <w:rFonts w:hint="eastAsia"/>
          <w:highlight w:val="none"/>
          <w:lang w:val="en-US" w:eastAsia="zh-CN"/>
        </w:rPr>
        <w:t>类等，全县土壤分7个大类，13个亚类，43个土属，66个土种。其中由变质岩类发育而成的土壤面积占全县的55.6%，由花岗岩、第三纪红岩类、砾岩类、第四纪红土类，河流冲积物发育而成的土壤面积分别占全境的18.4%、15.1%、1.1%、9.8%。山地土壤主要有山地红壤、山地黄壤及山地黄棕壤。</w:t>
      </w:r>
    </w:p>
    <w:p w14:paraId="679B54B9">
      <w:pPr>
        <w:rPr>
          <w:rFonts w:hint="eastAsia"/>
          <w:highlight w:val="none"/>
          <w:lang w:val="en-US" w:eastAsia="zh-CN"/>
        </w:rPr>
      </w:pPr>
      <w:r>
        <w:rPr>
          <w:rFonts w:hint="eastAsia"/>
          <w:highlight w:val="none"/>
          <w:lang w:val="en-US" w:eastAsia="zh-CN"/>
        </w:rPr>
        <w:t>评价区以农地、林地为主，植被发育良好。区内农作物主要有水稻、包菜、白菜、萝卜等粮食作物和蔬菜类作物。</w:t>
      </w:r>
    </w:p>
    <w:p w14:paraId="745544F7">
      <w:pPr>
        <w:rPr>
          <w:rFonts w:hint="eastAsia"/>
          <w:highlight w:val="yellow"/>
          <w:lang w:val="en-US" w:eastAsia="zh-CN"/>
        </w:rPr>
      </w:pPr>
      <w:r>
        <w:rPr>
          <w:rFonts w:hint="eastAsia"/>
          <w:highlight w:val="none"/>
          <w:lang w:val="en-US" w:eastAsia="zh-CN"/>
        </w:rPr>
        <w:t>区域内野生动物较少，主要有蛇、鼠、蛙、昆虫类及麻雀、八哥等。家畜主要有猪、牛、羊、鸡、鸭等。</w:t>
      </w:r>
    </w:p>
    <w:p w14:paraId="40A55A6D">
      <w:pPr>
        <w:rPr>
          <w:rFonts w:hint="eastAsia"/>
          <w:highlight w:val="none"/>
          <w:lang w:val="en-US" w:eastAsia="zh-CN"/>
        </w:rPr>
      </w:pPr>
      <w:r>
        <w:rPr>
          <w:rFonts w:hint="eastAsia"/>
          <w:highlight w:val="none"/>
          <w:lang w:val="en-US" w:eastAsia="zh-CN"/>
        </w:rPr>
        <w:t>根据实地调查，项目评价范围内无自然保护区、风景名胜区、文物保护区等环境敏感区，无需特殊保护的珍稀动植物。</w:t>
      </w:r>
    </w:p>
    <w:p w14:paraId="602F58CA">
      <w:pPr>
        <w:pStyle w:val="8"/>
        <w:numPr>
          <w:ilvl w:val="1"/>
          <w:numId w:val="1"/>
        </w:numPr>
        <w:tabs>
          <w:tab w:val="clear" w:pos="420"/>
        </w:tabs>
        <w:bidi w:val="0"/>
        <w:ind w:left="567" w:leftChars="0" w:hanging="567" w:firstLineChars="0"/>
        <w:rPr>
          <w:rFonts w:hint="default"/>
          <w:highlight w:val="none"/>
          <w:lang w:val="en-US" w:eastAsia="zh-CN"/>
        </w:rPr>
      </w:pPr>
      <w:bookmarkStart w:id="42" w:name="_Toc15741"/>
      <w:r>
        <w:rPr>
          <w:rFonts w:hint="eastAsia"/>
          <w:highlight w:val="none"/>
          <w:lang w:val="en-US" w:eastAsia="zh-CN"/>
        </w:rPr>
        <w:t>环境质量现状评价</w:t>
      </w:r>
      <w:bookmarkEnd w:id="42"/>
    </w:p>
    <w:p w14:paraId="67443982">
      <w:pPr>
        <w:pStyle w:val="9"/>
        <w:numPr>
          <w:ilvl w:val="2"/>
          <w:numId w:val="1"/>
        </w:numPr>
        <w:bidi w:val="0"/>
        <w:ind w:left="709" w:leftChars="0" w:hanging="709" w:firstLineChars="0"/>
        <w:rPr>
          <w:rFonts w:hint="eastAsia"/>
          <w:highlight w:val="none"/>
          <w:lang w:val="en-US" w:eastAsia="zh-CN"/>
        </w:rPr>
      </w:pPr>
      <w:r>
        <w:rPr>
          <w:rFonts w:hint="eastAsia"/>
          <w:highlight w:val="none"/>
          <w:lang w:val="en-US" w:eastAsia="zh-CN"/>
        </w:rPr>
        <w:t>环境空气质量现状</w:t>
      </w:r>
    </w:p>
    <w:p w14:paraId="60563620">
      <w:pPr>
        <w:pStyle w:val="10"/>
        <w:numPr>
          <w:ilvl w:val="3"/>
          <w:numId w:val="1"/>
        </w:numPr>
        <w:bidi w:val="0"/>
        <w:ind w:left="850" w:leftChars="0" w:hanging="850" w:firstLineChars="0"/>
        <w:rPr>
          <w:rFonts w:hint="eastAsia"/>
          <w:highlight w:val="none"/>
          <w:lang w:val="en-US" w:eastAsia="zh-CN"/>
        </w:rPr>
      </w:pPr>
      <w:r>
        <w:rPr>
          <w:rFonts w:hint="eastAsia"/>
          <w:highlight w:val="none"/>
          <w:lang w:val="en-US" w:eastAsia="zh-CN"/>
        </w:rPr>
        <w:t>环境空气达标区判定</w:t>
      </w:r>
    </w:p>
    <w:p w14:paraId="6F6A17DA">
      <w:pPr>
        <w:rPr>
          <w:rFonts w:hint="eastAsia"/>
          <w:highlight w:val="none"/>
          <w:lang w:val="en-US" w:eastAsia="zh-CN"/>
        </w:rPr>
      </w:pPr>
      <w:r>
        <w:rPr>
          <w:rFonts w:hint="eastAsia"/>
          <w:highlight w:val="none"/>
          <w:lang w:val="en-US" w:eastAsia="zh-CN"/>
        </w:rPr>
        <w:t>拟建项目选址所在区域属于环境空气质量功能区二类区，环境空气质量执行《环境空气质量标准》（GB3095-2012）二级标准。</w:t>
      </w:r>
    </w:p>
    <w:p w14:paraId="1F296A7E">
      <w:pPr>
        <w:rPr>
          <w:rFonts w:hint="eastAsia"/>
          <w:highlight w:val="yellow"/>
          <w:lang w:val="en-US" w:eastAsia="zh-CN"/>
        </w:rPr>
      </w:pPr>
      <w:r>
        <w:rPr>
          <w:rFonts w:hint="eastAsia"/>
          <w:highlight w:val="none"/>
          <w:lang w:val="en-US" w:eastAsia="zh-CN"/>
        </w:rPr>
        <w:t>根据《环境影响评价技术导则  大气环境》（HJ2.2-2018）中“6.2.1.1项目所在地区域达标判定，优先采用国家或地方生态环境主管部门公开发布的评价基准年环境质量公告或环境质量报告中的数据或结论”和“6.4.1.2根据国家或地方生态环境主管部门公开发布的城市环境空气质量达标情况，判断项目所在区域是否属于达标区”。根据《环境影响评价技术导则  大气环境》（HJ2.2-2018），判定项目所在区域达标情况，优先采用国家或地方生态环境主管部门发布的近3年中相对完整的1个日历年环境质量公告或环境质量报告中的数据或结论，本次评价选取基准年为2024年，按照《环境空气质量标准》（GB3095-2012）监测六个基本项目：二氧化硫、可吸入颗粒物（PM</w:t>
      </w:r>
      <w:r>
        <w:rPr>
          <w:rFonts w:hint="eastAsia"/>
          <w:highlight w:val="none"/>
          <w:vertAlign w:val="subscript"/>
          <w:lang w:val="en-US" w:eastAsia="zh-CN"/>
        </w:rPr>
        <w:t>10</w:t>
      </w:r>
      <w:r>
        <w:rPr>
          <w:rFonts w:hint="eastAsia"/>
          <w:highlight w:val="none"/>
          <w:lang w:val="en-US" w:eastAsia="zh-CN"/>
        </w:rPr>
        <w:t>）、二氧化氮、细颗粒物（PM</w:t>
      </w:r>
      <w:r>
        <w:rPr>
          <w:rFonts w:hint="eastAsia"/>
          <w:highlight w:val="none"/>
          <w:vertAlign w:val="subscript"/>
          <w:lang w:val="en-US" w:eastAsia="zh-CN"/>
        </w:rPr>
        <w:t>2.5</w:t>
      </w:r>
      <w:r>
        <w:rPr>
          <w:rFonts w:hint="eastAsia"/>
          <w:highlight w:val="none"/>
          <w:lang w:val="en-US" w:eastAsia="zh-CN"/>
        </w:rPr>
        <w:t>）、一氧化碳、臭氧。</w:t>
      </w:r>
    </w:p>
    <w:p w14:paraId="39F27818">
      <w:pPr>
        <w:rPr>
          <w:rFonts w:hint="eastAsia"/>
          <w:highlight w:val="none"/>
          <w:lang w:val="en-US" w:eastAsia="zh-CN"/>
        </w:rPr>
      </w:pPr>
      <w:r>
        <w:rPr>
          <w:rFonts w:hint="eastAsia"/>
          <w:highlight w:val="none"/>
          <w:lang w:val="en-US" w:eastAsia="zh-CN"/>
        </w:rPr>
        <w:t>拟建项目位于岳阳市平江县三阳乡，为了解项目区域环境空气质量现状，本次评价首先引用岳阳市生态环境局发布的《岳阳市2024年度生态环境质量公报》中平江县环境空气质量状况数据，详见下表。</w:t>
      </w:r>
    </w:p>
    <w:p w14:paraId="76074346">
      <w:pPr>
        <w:ind w:left="0" w:leftChars="0" w:firstLine="0" w:firstLineChars="0"/>
        <w:jc w:val="center"/>
        <w:rPr>
          <w:rFonts w:hint="eastAsia"/>
          <w:b/>
          <w:bCs/>
          <w:sz w:val="21"/>
          <w:szCs w:val="21"/>
          <w:highlight w:val="none"/>
          <w:lang w:val="en-US" w:eastAsia="zh-CN"/>
        </w:rPr>
      </w:pPr>
      <w:r>
        <w:rPr>
          <w:rFonts w:hint="eastAsia"/>
          <w:b/>
          <w:bCs/>
          <w:sz w:val="21"/>
          <w:szCs w:val="21"/>
          <w:highlight w:val="none"/>
          <w:lang w:val="en-US" w:eastAsia="zh-CN"/>
        </w:rPr>
        <w:t>表4.2-1  2024年岳阳市平江县空气质量现状评价表</w:t>
      </w:r>
    </w:p>
    <w:tbl>
      <w:tblPr>
        <w:tblStyle w:val="106"/>
        <w:tblW w:w="4998" w:type="pct"/>
        <w:tblInd w:w="0" w:type="dxa"/>
        <w:tblBorders>
          <w:top w:val="single" w:color="auto" w:sz="12" w:space="0"/>
          <w:left w:val="single" w:color="auto" w:sz="12" w:space="0"/>
          <w:bottom w:val="single" w:color="auto" w:sz="12" w:space="0"/>
          <w:right w:val="single" w:color="auto" w:sz="12" w:space="0"/>
          <w:insideH w:val="single" w:color="000000" w:sz="2" w:space="0"/>
          <w:insideV w:val="single" w:color="000000" w:sz="2" w:space="0"/>
        </w:tblBorders>
        <w:tblLayout w:type="autofit"/>
        <w:tblCellMar>
          <w:top w:w="0" w:type="dxa"/>
          <w:left w:w="0" w:type="dxa"/>
          <w:bottom w:w="0" w:type="dxa"/>
          <w:right w:w="0" w:type="dxa"/>
        </w:tblCellMar>
      </w:tblPr>
      <w:tblGrid>
        <w:gridCol w:w="818"/>
        <w:gridCol w:w="4206"/>
        <w:gridCol w:w="927"/>
        <w:gridCol w:w="1020"/>
        <w:gridCol w:w="1038"/>
        <w:gridCol w:w="1089"/>
      </w:tblGrid>
      <w:tr w14:paraId="1406D47B">
        <w:tblPrEx>
          <w:tblBorders>
            <w:top w:val="single" w:color="auto" w:sz="12" w:space="0"/>
            <w:left w:val="single" w:color="auto" w:sz="12" w:space="0"/>
            <w:bottom w:val="single" w:color="auto" w:sz="12" w:space="0"/>
            <w:right w:val="single" w:color="auto" w:sz="12" w:space="0"/>
            <w:insideH w:val="single" w:color="000000" w:sz="2" w:space="0"/>
            <w:insideV w:val="single" w:color="000000" w:sz="2" w:space="0"/>
          </w:tblBorders>
          <w:tblCellMar>
            <w:top w:w="0" w:type="dxa"/>
            <w:left w:w="0" w:type="dxa"/>
            <w:bottom w:w="0" w:type="dxa"/>
            <w:right w:w="0" w:type="dxa"/>
          </w:tblCellMar>
        </w:tblPrEx>
        <w:trPr>
          <w:trHeight w:val="23" w:hRule="atLeast"/>
          <w:tblHeader/>
        </w:trPr>
        <w:tc>
          <w:tcPr>
            <w:tcW w:w="450" w:type="pct"/>
            <w:vAlign w:val="center"/>
          </w:tcPr>
          <w:p w14:paraId="0717DD99">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cs="Times New Roman"/>
                <w:b/>
                <w:bCs/>
                <w:sz w:val="21"/>
                <w:szCs w:val="21"/>
                <w:highlight w:val="none"/>
                <w:lang w:val="en-US" w:eastAsia="zh-CN"/>
              </w:rPr>
            </w:pPr>
            <w:r>
              <w:rPr>
                <w:rFonts w:hint="default" w:ascii="Times New Roman" w:hAnsi="Times New Roman" w:cs="Times New Roman"/>
                <w:b/>
                <w:bCs/>
                <w:sz w:val="21"/>
                <w:szCs w:val="21"/>
                <w:highlight w:val="none"/>
                <w:lang w:val="en-US" w:eastAsia="zh-CN"/>
              </w:rPr>
              <w:t>污染物</w:t>
            </w:r>
          </w:p>
        </w:tc>
        <w:tc>
          <w:tcPr>
            <w:tcW w:w="2310" w:type="pct"/>
            <w:vAlign w:val="center"/>
          </w:tcPr>
          <w:p w14:paraId="3939FDB9">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cs="Times New Roman"/>
                <w:b/>
                <w:bCs/>
                <w:sz w:val="21"/>
                <w:szCs w:val="21"/>
                <w:highlight w:val="none"/>
                <w:lang w:val="en-US" w:eastAsia="zh-CN"/>
              </w:rPr>
            </w:pPr>
            <w:r>
              <w:rPr>
                <w:rFonts w:hint="default" w:ascii="Times New Roman" w:hAnsi="Times New Roman" w:cs="Times New Roman"/>
                <w:b/>
                <w:bCs/>
                <w:sz w:val="21"/>
                <w:szCs w:val="21"/>
                <w:highlight w:val="none"/>
                <w:lang w:val="en-US" w:eastAsia="zh-CN"/>
              </w:rPr>
              <w:t>年评价指标</w:t>
            </w:r>
          </w:p>
        </w:tc>
        <w:tc>
          <w:tcPr>
            <w:tcW w:w="509" w:type="pct"/>
            <w:vAlign w:val="center"/>
          </w:tcPr>
          <w:p w14:paraId="5E449E06">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cs="Times New Roman"/>
                <w:b/>
                <w:bCs/>
                <w:sz w:val="21"/>
                <w:szCs w:val="21"/>
                <w:highlight w:val="none"/>
                <w:lang w:val="en-US" w:eastAsia="zh-CN"/>
              </w:rPr>
            </w:pPr>
            <w:r>
              <w:rPr>
                <w:rFonts w:hint="default" w:ascii="Times New Roman" w:hAnsi="Times New Roman" w:cs="Times New Roman"/>
                <w:b/>
                <w:bCs/>
                <w:sz w:val="21"/>
                <w:szCs w:val="21"/>
                <w:highlight w:val="none"/>
                <w:lang w:val="en-US" w:eastAsia="zh-CN"/>
              </w:rPr>
              <w:t>年均值</w:t>
            </w:r>
          </w:p>
        </w:tc>
        <w:tc>
          <w:tcPr>
            <w:tcW w:w="560" w:type="pct"/>
            <w:vAlign w:val="center"/>
          </w:tcPr>
          <w:p w14:paraId="33ADFB54">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cs="Times New Roman"/>
                <w:b/>
                <w:bCs/>
                <w:sz w:val="21"/>
                <w:szCs w:val="21"/>
                <w:highlight w:val="none"/>
                <w:lang w:val="en-US" w:eastAsia="zh-CN"/>
              </w:rPr>
            </w:pPr>
            <w:r>
              <w:rPr>
                <w:rFonts w:hint="default" w:ascii="Times New Roman" w:hAnsi="Times New Roman" w:cs="Times New Roman"/>
                <w:b/>
                <w:bCs/>
                <w:sz w:val="21"/>
                <w:szCs w:val="21"/>
                <w:highlight w:val="none"/>
                <w:lang w:val="en-US" w:eastAsia="zh-CN"/>
              </w:rPr>
              <w:t>标准值</w:t>
            </w:r>
          </w:p>
        </w:tc>
        <w:tc>
          <w:tcPr>
            <w:tcW w:w="570" w:type="pct"/>
            <w:vAlign w:val="center"/>
          </w:tcPr>
          <w:p w14:paraId="6C6943D4">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cs="Times New Roman"/>
                <w:b/>
                <w:bCs/>
                <w:sz w:val="21"/>
                <w:szCs w:val="21"/>
                <w:highlight w:val="none"/>
                <w:lang w:val="en-US" w:eastAsia="zh-CN"/>
              </w:rPr>
            </w:pPr>
            <w:r>
              <w:rPr>
                <w:rFonts w:hint="default" w:ascii="Times New Roman" w:hAnsi="Times New Roman" w:cs="Times New Roman"/>
                <w:b/>
                <w:bCs/>
                <w:sz w:val="21"/>
                <w:szCs w:val="21"/>
                <w:highlight w:val="none"/>
                <w:lang w:val="en-US" w:eastAsia="zh-CN"/>
              </w:rPr>
              <w:t>占标率%</w:t>
            </w:r>
          </w:p>
        </w:tc>
        <w:tc>
          <w:tcPr>
            <w:tcW w:w="598" w:type="pct"/>
            <w:vAlign w:val="center"/>
          </w:tcPr>
          <w:p w14:paraId="15D4D807">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cs="Times New Roman"/>
                <w:b/>
                <w:bCs/>
                <w:sz w:val="21"/>
                <w:szCs w:val="21"/>
                <w:highlight w:val="none"/>
                <w:lang w:val="en-US" w:eastAsia="zh-CN"/>
              </w:rPr>
            </w:pPr>
            <w:r>
              <w:rPr>
                <w:rFonts w:hint="default" w:ascii="Times New Roman" w:hAnsi="Times New Roman" w:cs="Times New Roman"/>
                <w:b/>
                <w:bCs/>
                <w:sz w:val="21"/>
                <w:szCs w:val="21"/>
                <w:highlight w:val="none"/>
                <w:lang w:val="en-US" w:eastAsia="zh-CN"/>
              </w:rPr>
              <w:t>达标情况</w:t>
            </w:r>
          </w:p>
        </w:tc>
      </w:tr>
      <w:tr w14:paraId="397A2B40">
        <w:tblPrEx>
          <w:tblBorders>
            <w:top w:val="single" w:color="auto" w:sz="12" w:space="0"/>
            <w:left w:val="single" w:color="auto" w:sz="12" w:space="0"/>
            <w:bottom w:val="single" w:color="auto" w:sz="12" w:space="0"/>
            <w:right w:val="single" w:color="auto" w:sz="12" w:space="0"/>
            <w:insideH w:val="single" w:color="000000" w:sz="2" w:space="0"/>
            <w:insideV w:val="single" w:color="000000" w:sz="2" w:space="0"/>
          </w:tblBorders>
          <w:tblCellMar>
            <w:top w:w="0" w:type="dxa"/>
            <w:left w:w="0" w:type="dxa"/>
            <w:bottom w:w="0" w:type="dxa"/>
            <w:right w:w="0" w:type="dxa"/>
          </w:tblCellMar>
        </w:tblPrEx>
        <w:trPr>
          <w:trHeight w:val="23" w:hRule="atLeast"/>
        </w:trPr>
        <w:tc>
          <w:tcPr>
            <w:tcW w:w="450" w:type="pct"/>
            <w:vAlign w:val="center"/>
          </w:tcPr>
          <w:p w14:paraId="59C931C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SO</w:t>
            </w:r>
            <w:r>
              <w:rPr>
                <w:rFonts w:hint="default" w:ascii="Times New Roman" w:hAnsi="Times New Roman" w:cs="Times New Roman"/>
                <w:sz w:val="21"/>
                <w:szCs w:val="21"/>
                <w:highlight w:val="none"/>
                <w:vertAlign w:val="subscript"/>
                <w:lang w:val="en-US" w:eastAsia="zh-CN"/>
              </w:rPr>
              <w:t>2</w:t>
            </w:r>
          </w:p>
        </w:tc>
        <w:tc>
          <w:tcPr>
            <w:tcW w:w="2310" w:type="pct"/>
            <w:vAlign w:val="center"/>
          </w:tcPr>
          <w:p w14:paraId="1CD86C4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年平均质量浓度</w:t>
            </w:r>
            <w:r>
              <w:rPr>
                <w:rFonts w:hint="eastAsia" w:ascii="Times New Roman" w:hAnsi="Times New Roman" w:cs="Times New Roman"/>
                <w:sz w:val="21"/>
                <w:szCs w:val="21"/>
                <w:highlight w:val="none"/>
                <w:lang w:val="en-US" w:eastAsia="zh-CN"/>
              </w:rPr>
              <w:t>（</w:t>
            </w:r>
            <w:r>
              <w:rPr>
                <w:rFonts w:hint="default" w:ascii="Times New Roman" w:hAnsi="Times New Roman" w:cs="Times New Roman"/>
                <w:sz w:val="21"/>
                <w:szCs w:val="21"/>
                <w:highlight w:val="none"/>
                <w:lang w:val="en-US" w:eastAsia="zh-CN"/>
              </w:rPr>
              <w:t>μg/m</w:t>
            </w:r>
            <w:r>
              <w:rPr>
                <w:rFonts w:hint="default" w:ascii="Times New Roman" w:hAnsi="Times New Roman" w:cs="Times New Roman"/>
                <w:sz w:val="21"/>
                <w:szCs w:val="21"/>
                <w:highlight w:val="none"/>
                <w:vertAlign w:val="superscript"/>
                <w:lang w:val="en-US" w:eastAsia="zh-CN"/>
              </w:rPr>
              <w:t>3</w:t>
            </w:r>
            <w:r>
              <w:rPr>
                <w:rFonts w:hint="eastAsia" w:ascii="Times New Roman" w:hAnsi="Times New Roman" w:cs="Times New Roman"/>
                <w:sz w:val="21"/>
                <w:szCs w:val="21"/>
                <w:highlight w:val="none"/>
                <w:lang w:val="en-US" w:eastAsia="zh-CN"/>
              </w:rPr>
              <w:t>）</w:t>
            </w:r>
          </w:p>
        </w:tc>
        <w:tc>
          <w:tcPr>
            <w:tcW w:w="509" w:type="pct"/>
            <w:vAlign w:val="center"/>
          </w:tcPr>
          <w:p w14:paraId="0DEDB80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highlight w:val="none"/>
                <w:lang w:val="en-US" w:eastAsia="zh-CN"/>
              </w:rPr>
            </w:pPr>
            <w:r>
              <w:rPr>
                <w:rFonts w:hint="eastAsia" w:cs="Times New Roman"/>
                <w:sz w:val="21"/>
                <w:szCs w:val="21"/>
                <w:highlight w:val="none"/>
                <w:lang w:val="en-US" w:eastAsia="zh-CN"/>
              </w:rPr>
              <w:t>6</w:t>
            </w:r>
          </w:p>
        </w:tc>
        <w:tc>
          <w:tcPr>
            <w:tcW w:w="560" w:type="pct"/>
            <w:vAlign w:val="center"/>
          </w:tcPr>
          <w:p w14:paraId="0034014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60</w:t>
            </w:r>
          </w:p>
        </w:tc>
        <w:tc>
          <w:tcPr>
            <w:tcW w:w="570" w:type="pct"/>
            <w:vAlign w:val="center"/>
          </w:tcPr>
          <w:p w14:paraId="08A6C4A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highlight w:val="none"/>
                <w:lang w:val="en-US" w:eastAsia="zh-CN"/>
              </w:rPr>
            </w:pPr>
            <w:r>
              <w:rPr>
                <w:rFonts w:hint="eastAsia" w:cs="Times New Roman"/>
                <w:sz w:val="21"/>
                <w:szCs w:val="21"/>
                <w:highlight w:val="none"/>
                <w:lang w:val="en-US" w:eastAsia="zh-CN"/>
              </w:rPr>
              <w:t>10</w:t>
            </w:r>
          </w:p>
        </w:tc>
        <w:tc>
          <w:tcPr>
            <w:tcW w:w="598" w:type="pct"/>
            <w:vAlign w:val="center"/>
          </w:tcPr>
          <w:p w14:paraId="4381986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达标</w:t>
            </w:r>
          </w:p>
        </w:tc>
      </w:tr>
      <w:tr w14:paraId="12F476E0">
        <w:tblPrEx>
          <w:tblBorders>
            <w:top w:val="single" w:color="auto" w:sz="12" w:space="0"/>
            <w:left w:val="single" w:color="auto" w:sz="12" w:space="0"/>
            <w:bottom w:val="single" w:color="auto" w:sz="12" w:space="0"/>
            <w:right w:val="single" w:color="auto" w:sz="12" w:space="0"/>
            <w:insideH w:val="single" w:color="000000" w:sz="2" w:space="0"/>
            <w:insideV w:val="single" w:color="000000" w:sz="2" w:space="0"/>
          </w:tblBorders>
          <w:tblCellMar>
            <w:top w:w="0" w:type="dxa"/>
            <w:left w:w="0" w:type="dxa"/>
            <w:bottom w:w="0" w:type="dxa"/>
            <w:right w:w="0" w:type="dxa"/>
          </w:tblCellMar>
        </w:tblPrEx>
        <w:trPr>
          <w:trHeight w:val="23" w:hRule="atLeast"/>
        </w:trPr>
        <w:tc>
          <w:tcPr>
            <w:tcW w:w="450" w:type="pct"/>
            <w:vAlign w:val="center"/>
          </w:tcPr>
          <w:p w14:paraId="3F31EA6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NO</w:t>
            </w:r>
            <w:r>
              <w:rPr>
                <w:rFonts w:hint="default" w:ascii="Times New Roman" w:hAnsi="Times New Roman" w:cs="Times New Roman"/>
                <w:sz w:val="21"/>
                <w:szCs w:val="21"/>
                <w:highlight w:val="none"/>
                <w:vertAlign w:val="subscript"/>
                <w:lang w:val="en-US" w:eastAsia="zh-CN"/>
              </w:rPr>
              <w:t>2</w:t>
            </w:r>
          </w:p>
        </w:tc>
        <w:tc>
          <w:tcPr>
            <w:tcW w:w="2310" w:type="pct"/>
            <w:vAlign w:val="center"/>
          </w:tcPr>
          <w:p w14:paraId="471FE96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年平均质量浓度</w:t>
            </w:r>
            <w:r>
              <w:rPr>
                <w:rFonts w:hint="eastAsia" w:ascii="Times New Roman" w:hAnsi="Times New Roman" w:cs="Times New Roman"/>
                <w:sz w:val="21"/>
                <w:szCs w:val="21"/>
                <w:highlight w:val="none"/>
                <w:lang w:val="en-US" w:eastAsia="zh-CN"/>
              </w:rPr>
              <w:t>（</w:t>
            </w:r>
            <w:r>
              <w:rPr>
                <w:rFonts w:hint="default" w:ascii="Times New Roman" w:hAnsi="Times New Roman" w:cs="Times New Roman"/>
                <w:sz w:val="21"/>
                <w:szCs w:val="21"/>
                <w:highlight w:val="none"/>
                <w:lang w:val="en-US" w:eastAsia="zh-CN"/>
              </w:rPr>
              <w:t>μg/m</w:t>
            </w:r>
            <w:r>
              <w:rPr>
                <w:rFonts w:hint="default" w:ascii="Times New Roman" w:hAnsi="Times New Roman" w:cs="Times New Roman"/>
                <w:sz w:val="21"/>
                <w:szCs w:val="21"/>
                <w:highlight w:val="none"/>
                <w:vertAlign w:val="superscript"/>
                <w:lang w:val="en-US" w:eastAsia="zh-CN"/>
              </w:rPr>
              <w:t>3</w:t>
            </w:r>
            <w:r>
              <w:rPr>
                <w:rFonts w:hint="eastAsia" w:ascii="Times New Roman" w:hAnsi="Times New Roman" w:cs="Times New Roman"/>
                <w:sz w:val="21"/>
                <w:szCs w:val="21"/>
                <w:highlight w:val="none"/>
                <w:lang w:val="en-US" w:eastAsia="zh-CN"/>
              </w:rPr>
              <w:t>）</w:t>
            </w:r>
          </w:p>
        </w:tc>
        <w:tc>
          <w:tcPr>
            <w:tcW w:w="509" w:type="pct"/>
            <w:vAlign w:val="center"/>
          </w:tcPr>
          <w:p w14:paraId="6599842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highlight w:val="none"/>
                <w:lang w:val="en-US" w:eastAsia="zh-CN"/>
              </w:rPr>
            </w:pPr>
            <w:r>
              <w:rPr>
                <w:rFonts w:hint="eastAsia" w:cs="Times New Roman"/>
                <w:sz w:val="21"/>
                <w:szCs w:val="21"/>
                <w:highlight w:val="none"/>
                <w:lang w:val="en-US" w:eastAsia="zh-CN"/>
              </w:rPr>
              <w:t>14</w:t>
            </w:r>
          </w:p>
        </w:tc>
        <w:tc>
          <w:tcPr>
            <w:tcW w:w="560" w:type="pct"/>
            <w:vAlign w:val="center"/>
          </w:tcPr>
          <w:p w14:paraId="20EAE2F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40</w:t>
            </w:r>
          </w:p>
        </w:tc>
        <w:tc>
          <w:tcPr>
            <w:tcW w:w="570" w:type="pct"/>
            <w:vAlign w:val="center"/>
          </w:tcPr>
          <w:p w14:paraId="033B9F8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highlight w:val="none"/>
                <w:lang w:val="en-US" w:eastAsia="zh-CN"/>
              </w:rPr>
            </w:pPr>
            <w:r>
              <w:rPr>
                <w:rFonts w:hint="eastAsia" w:cs="Times New Roman"/>
                <w:sz w:val="21"/>
                <w:szCs w:val="21"/>
                <w:highlight w:val="none"/>
                <w:lang w:val="en-US" w:eastAsia="zh-CN"/>
              </w:rPr>
              <w:t>35</w:t>
            </w:r>
          </w:p>
        </w:tc>
        <w:tc>
          <w:tcPr>
            <w:tcW w:w="598" w:type="pct"/>
            <w:vAlign w:val="center"/>
          </w:tcPr>
          <w:p w14:paraId="6B7F3DA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达标</w:t>
            </w:r>
          </w:p>
        </w:tc>
      </w:tr>
      <w:tr w14:paraId="6D8A3FFA">
        <w:tblPrEx>
          <w:tblBorders>
            <w:top w:val="single" w:color="auto" w:sz="12" w:space="0"/>
            <w:left w:val="single" w:color="auto" w:sz="12" w:space="0"/>
            <w:bottom w:val="single" w:color="auto" w:sz="12" w:space="0"/>
            <w:right w:val="single" w:color="auto" w:sz="12" w:space="0"/>
            <w:insideH w:val="single" w:color="000000" w:sz="2" w:space="0"/>
            <w:insideV w:val="single" w:color="000000" w:sz="2" w:space="0"/>
          </w:tblBorders>
          <w:tblCellMar>
            <w:top w:w="0" w:type="dxa"/>
            <w:left w:w="0" w:type="dxa"/>
            <w:bottom w:w="0" w:type="dxa"/>
            <w:right w:w="0" w:type="dxa"/>
          </w:tblCellMar>
        </w:tblPrEx>
        <w:trPr>
          <w:trHeight w:val="23" w:hRule="atLeast"/>
        </w:trPr>
        <w:tc>
          <w:tcPr>
            <w:tcW w:w="450" w:type="pct"/>
            <w:vAlign w:val="center"/>
          </w:tcPr>
          <w:p w14:paraId="303B43B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PM</w:t>
            </w:r>
            <w:r>
              <w:rPr>
                <w:rFonts w:hint="default" w:ascii="Times New Roman" w:hAnsi="Times New Roman" w:cs="Times New Roman"/>
                <w:sz w:val="21"/>
                <w:szCs w:val="21"/>
                <w:highlight w:val="none"/>
                <w:vertAlign w:val="subscript"/>
                <w:lang w:val="en-US" w:eastAsia="zh-CN"/>
              </w:rPr>
              <w:t>10</w:t>
            </w:r>
          </w:p>
        </w:tc>
        <w:tc>
          <w:tcPr>
            <w:tcW w:w="2310" w:type="pct"/>
            <w:vAlign w:val="center"/>
          </w:tcPr>
          <w:p w14:paraId="049CD05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年平均质量浓度</w:t>
            </w:r>
            <w:r>
              <w:rPr>
                <w:rFonts w:hint="eastAsia" w:ascii="Times New Roman" w:hAnsi="Times New Roman" w:cs="Times New Roman"/>
                <w:sz w:val="21"/>
                <w:szCs w:val="21"/>
                <w:highlight w:val="none"/>
                <w:lang w:val="en-US" w:eastAsia="zh-CN"/>
              </w:rPr>
              <w:t>（</w:t>
            </w:r>
            <w:r>
              <w:rPr>
                <w:rFonts w:hint="default" w:ascii="Times New Roman" w:hAnsi="Times New Roman" w:cs="Times New Roman"/>
                <w:sz w:val="21"/>
                <w:szCs w:val="21"/>
                <w:highlight w:val="none"/>
                <w:lang w:val="en-US" w:eastAsia="zh-CN"/>
              </w:rPr>
              <w:t>μg/m</w:t>
            </w:r>
            <w:r>
              <w:rPr>
                <w:rFonts w:hint="default" w:ascii="Times New Roman" w:hAnsi="Times New Roman" w:cs="Times New Roman"/>
                <w:sz w:val="21"/>
                <w:szCs w:val="21"/>
                <w:highlight w:val="none"/>
                <w:vertAlign w:val="superscript"/>
                <w:lang w:val="en-US" w:eastAsia="zh-CN"/>
              </w:rPr>
              <w:t>3</w:t>
            </w:r>
            <w:r>
              <w:rPr>
                <w:rFonts w:hint="eastAsia" w:ascii="Times New Roman" w:hAnsi="Times New Roman" w:cs="Times New Roman"/>
                <w:sz w:val="21"/>
                <w:szCs w:val="21"/>
                <w:highlight w:val="none"/>
                <w:lang w:val="en-US" w:eastAsia="zh-CN"/>
              </w:rPr>
              <w:t>）</w:t>
            </w:r>
          </w:p>
        </w:tc>
        <w:tc>
          <w:tcPr>
            <w:tcW w:w="509" w:type="pct"/>
            <w:vAlign w:val="center"/>
          </w:tcPr>
          <w:p w14:paraId="5D4A3DC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highlight w:val="none"/>
                <w:lang w:val="en-US" w:eastAsia="zh-CN"/>
              </w:rPr>
            </w:pPr>
            <w:r>
              <w:rPr>
                <w:rFonts w:hint="eastAsia" w:cs="Times New Roman"/>
                <w:sz w:val="21"/>
                <w:szCs w:val="21"/>
                <w:highlight w:val="none"/>
                <w:lang w:val="en-US" w:eastAsia="zh-CN"/>
              </w:rPr>
              <w:t>45</w:t>
            </w:r>
          </w:p>
        </w:tc>
        <w:tc>
          <w:tcPr>
            <w:tcW w:w="560" w:type="pct"/>
            <w:vAlign w:val="center"/>
          </w:tcPr>
          <w:p w14:paraId="1864424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70</w:t>
            </w:r>
          </w:p>
        </w:tc>
        <w:tc>
          <w:tcPr>
            <w:tcW w:w="570" w:type="pct"/>
            <w:vAlign w:val="center"/>
          </w:tcPr>
          <w:p w14:paraId="5151A08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highlight w:val="none"/>
                <w:lang w:val="en-US" w:eastAsia="zh-CN"/>
              </w:rPr>
            </w:pPr>
            <w:r>
              <w:rPr>
                <w:rFonts w:hint="eastAsia" w:cs="Times New Roman"/>
                <w:sz w:val="21"/>
                <w:szCs w:val="21"/>
                <w:highlight w:val="none"/>
                <w:lang w:val="en-US" w:eastAsia="zh-CN"/>
              </w:rPr>
              <w:t>64.29</w:t>
            </w:r>
          </w:p>
        </w:tc>
        <w:tc>
          <w:tcPr>
            <w:tcW w:w="598" w:type="pct"/>
            <w:vAlign w:val="center"/>
          </w:tcPr>
          <w:p w14:paraId="28B0CEE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达标</w:t>
            </w:r>
          </w:p>
        </w:tc>
      </w:tr>
      <w:tr w14:paraId="593288F1">
        <w:tblPrEx>
          <w:tblBorders>
            <w:top w:val="single" w:color="auto" w:sz="12" w:space="0"/>
            <w:left w:val="single" w:color="auto" w:sz="12" w:space="0"/>
            <w:bottom w:val="single" w:color="auto" w:sz="12" w:space="0"/>
            <w:right w:val="single" w:color="auto" w:sz="12" w:space="0"/>
            <w:insideH w:val="single" w:color="000000" w:sz="2" w:space="0"/>
            <w:insideV w:val="single" w:color="000000" w:sz="2" w:space="0"/>
          </w:tblBorders>
          <w:tblCellMar>
            <w:top w:w="0" w:type="dxa"/>
            <w:left w:w="0" w:type="dxa"/>
            <w:bottom w:w="0" w:type="dxa"/>
            <w:right w:w="0" w:type="dxa"/>
          </w:tblCellMar>
        </w:tblPrEx>
        <w:trPr>
          <w:trHeight w:val="23" w:hRule="atLeast"/>
        </w:trPr>
        <w:tc>
          <w:tcPr>
            <w:tcW w:w="450" w:type="pct"/>
            <w:vAlign w:val="center"/>
          </w:tcPr>
          <w:p w14:paraId="3C5E520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PM</w:t>
            </w:r>
            <w:r>
              <w:rPr>
                <w:rFonts w:hint="default" w:ascii="Times New Roman" w:hAnsi="Times New Roman" w:cs="Times New Roman"/>
                <w:sz w:val="21"/>
                <w:szCs w:val="21"/>
                <w:highlight w:val="none"/>
                <w:vertAlign w:val="subscript"/>
                <w:lang w:val="en-US" w:eastAsia="zh-CN"/>
              </w:rPr>
              <w:t>2.5</w:t>
            </w:r>
          </w:p>
        </w:tc>
        <w:tc>
          <w:tcPr>
            <w:tcW w:w="2310" w:type="pct"/>
            <w:vAlign w:val="center"/>
          </w:tcPr>
          <w:p w14:paraId="584F076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年平均质量浓度</w:t>
            </w:r>
            <w:r>
              <w:rPr>
                <w:rFonts w:hint="eastAsia" w:ascii="Times New Roman" w:hAnsi="Times New Roman" w:cs="Times New Roman"/>
                <w:sz w:val="21"/>
                <w:szCs w:val="21"/>
                <w:highlight w:val="none"/>
                <w:lang w:val="en-US" w:eastAsia="zh-CN"/>
              </w:rPr>
              <w:t>（</w:t>
            </w:r>
            <w:r>
              <w:rPr>
                <w:rFonts w:hint="default" w:ascii="Times New Roman" w:hAnsi="Times New Roman" w:cs="Times New Roman"/>
                <w:sz w:val="21"/>
                <w:szCs w:val="21"/>
                <w:highlight w:val="none"/>
                <w:lang w:val="en-US" w:eastAsia="zh-CN"/>
              </w:rPr>
              <w:t>μg/m</w:t>
            </w:r>
            <w:r>
              <w:rPr>
                <w:rFonts w:hint="default" w:ascii="Times New Roman" w:hAnsi="Times New Roman" w:cs="Times New Roman"/>
                <w:sz w:val="21"/>
                <w:szCs w:val="21"/>
                <w:highlight w:val="none"/>
                <w:vertAlign w:val="superscript"/>
                <w:lang w:val="en-US" w:eastAsia="zh-CN"/>
              </w:rPr>
              <w:t>3</w:t>
            </w:r>
            <w:r>
              <w:rPr>
                <w:rFonts w:hint="eastAsia" w:ascii="Times New Roman" w:hAnsi="Times New Roman" w:cs="Times New Roman"/>
                <w:sz w:val="21"/>
                <w:szCs w:val="21"/>
                <w:highlight w:val="none"/>
                <w:lang w:val="en-US" w:eastAsia="zh-CN"/>
              </w:rPr>
              <w:t>）</w:t>
            </w:r>
          </w:p>
        </w:tc>
        <w:tc>
          <w:tcPr>
            <w:tcW w:w="509" w:type="pct"/>
            <w:vAlign w:val="center"/>
          </w:tcPr>
          <w:p w14:paraId="54D4418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highlight w:val="none"/>
                <w:lang w:val="en-US" w:eastAsia="zh-CN"/>
              </w:rPr>
            </w:pPr>
            <w:r>
              <w:rPr>
                <w:rFonts w:hint="eastAsia" w:cs="Times New Roman"/>
                <w:sz w:val="21"/>
                <w:szCs w:val="21"/>
                <w:highlight w:val="none"/>
                <w:lang w:val="en-US" w:eastAsia="zh-CN"/>
              </w:rPr>
              <w:t>29</w:t>
            </w:r>
          </w:p>
        </w:tc>
        <w:tc>
          <w:tcPr>
            <w:tcW w:w="560" w:type="pct"/>
            <w:vAlign w:val="center"/>
          </w:tcPr>
          <w:p w14:paraId="1EA8AFE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35</w:t>
            </w:r>
          </w:p>
        </w:tc>
        <w:tc>
          <w:tcPr>
            <w:tcW w:w="570" w:type="pct"/>
            <w:vAlign w:val="center"/>
          </w:tcPr>
          <w:p w14:paraId="1ECF5D8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highlight w:val="none"/>
                <w:lang w:val="en-US" w:eastAsia="zh-CN"/>
              </w:rPr>
            </w:pPr>
            <w:r>
              <w:rPr>
                <w:rFonts w:hint="eastAsia" w:cs="Times New Roman"/>
                <w:sz w:val="21"/>
                <w:szCs w:val="21"/>
                <w:highlight w:val="none"/>
                <w:lang w:val="en-US" w:eastAsia="zh-CN"/>
              </w:rPr>
              <w:t>82.86</w:t>
            </w:r>
          </w:p>
        </w:tc>
        <w:tc>
          <w:tcPr>
            <w:tcW w:w="598" w:type="pct"/>
            <w:vAlign w:val="center"/>
          </w:tcPr>
          <w:p w14:paraId="5B0121A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highlight w:val="none"/>
                <w:lang w:val="en-US" w:eastAsia="zh-CN"/>
              </w:rPr>
            </w:pPr>
            <w:r>
              <w:rPr>
                <w:rFonts w:hint="eastAsia" w:cs="Times New Roman"/>
                <w:sz w:val="21"/>
                <w:szCs w:val="21"/>
                <w:highlight w:val="none"/>
                <w:lang w:val="en-US" w:eastAsia="zh-CN"/>
              </w:rPr>
              <w:t>达</w:t>
            </w:r>
            <w:r>
              <w:rPr>
                <w:rFonts w:hint="default" w:ascii="Times New Roman" w:hAnsi="Times New Roman" w:cs="Times New Roman"/>
                <w:sz w:val="21"/>
                <w:szCs w:val="21"/>
                <w:highlight w:val="none"/>
                <w:lang w:val="en-US" w:eastAsia="zh-CN"/>
              </w:rPr>
              <w:t>标</w:t>
            </w:r>
          </w:p>
        </w:tc>
      </w:tr>
      <w:tr w14:paraId="2A739EE7">
        <w:tblPrEx>
          <w:tblBorders>
            <w:top w:val="single" w:color="auto" w:sz="12" w:space="0"/>
            <w:left w:val="single" w:color="auto" w:sz="12" w:space="0"/>
            <w:bottom w:val="single" w:color="auto" w:sz="12" w:space="0"/>
            <w:right w:val="single" w:color="auto" w:sz="12" w:space="0"/>
            <w:insideH w:val="single" w:color="000000" w:sz="2" w:space="0"/>
            <w:insideV w:val="single" w:color="000000" w:sz="2" w:space="0"/>
          </w:tblBorders>
          <w:tblCellMar>
            <w:top w:w="0" w:type="dxa"/>
            <w:left w:w="0" w:type="dxa"/>
            <w:bottom w:w="0" w:type="dxa"/>
            <w:right w:w="0" w:type="dxa"/>
          </w:tblCellMar>
        </w:tblPrEx>
        <w:trPr>
          <w:trHeight w:val="23" w:hRule="atLeast"/>
        </w:trPr>
        <w:tc>
          <w:tcPr>
            <w:tcW w:w="450" w:type="pct"/>
            <w:vAlign w:val="center"/>
          </w:tcPr>
          <w:p w14:paraId="22C503A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CO</w:t>
            </w:r>
          </w:p>
        </w:tc>
        <w:tc>
          <w:tcPr>
            <w:tcW w:w="2310" w:type="pct"/>
            <w:vAlign w:val="center"/>
          </w:tcPr>
          <w:p w14:paraId="0C485C1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95百分位数日平均质量浓度（mg/m</w:t>
            </w:r>
            <w:r>
              <w:rPr>
                <w:rFonts w:hint="default" w:ascii="Times New Roman" w:hAnsi="Times New Roman" w:cs="Times New Roman"/>
                <w:sz w:val="21"/>
                <w:szCs w:val="21"/>
                <w:highlight w:val="none"/>
                <w:vertAlign w:val="superscript"/>
                <w:lang w:val="en-US" w:eastAsia="zh-CN"/>
              </w:rPr>
              <w:t>3</w:t>
            </w:r>
            <w:r>
              <w:rPr>
                <w:rFonts w:hint="default" w:ascii="Times New Roman" w:hAnsi="Times New Roman" w:cs="Times New Roman"/>
                <w:sz w:val="21"/>
                <w:szCs w:val="21"/>
                <w:highlight w:val="none"/>
                <w:lang w:val="en-US" w:eastAsia="zh-CN"/>
              </w:rPr>
              <w:t>）</w:t>
            </w:r>
          </w:p>
        </w:tc>
        <w:tc>
          <w:tcPr>
            <w:tcW w:w="509" w:type="pct"/>
            <w:vAlign w:val="center"/>
          </w:tcPr>
          <w:p w14:paraId="7E2B78A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highlight w:val="none"/>
                <w:lang w:val="en-US" w:eastAsia="zh-CN"/>
              </w:rPr>
            </w:pPr>
            <w:r>
              <w:rPr>
                <w:rFonts w:hint="eastAsia" w:cs="Times New Roman"/>
                <w:sz w:val="21"/>
                <w:szCs w:val="21"/>
                <w:highlight w:val="none"/>
                <w:lang w:val="en-US" w:eastAsia="zh-CN"/>
              </w:rPr>
              <w:t>1</w:t>
            </w:r>
          </w:p>
        </w:tc>
        <w:tc>
          <w:tcPr>
            <w:tcW w:w="560" w:type="pct"/>
            <w:vAlign w:val="center"/>
          </w:tcPr>
          <w:p w14:paraId="78DAA9C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4</w:t>
            </w:r>
          </w:p>
        </w:tc>
        <w:tc>
          <w:tcPr>
            <w:tcW w:w="570" w:type="pct"/>
            <w:vAlign w:val="center"/>
          </w:tcPr>
          <w:p w14:paraId="08B5FED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highlight w:val="none"/>
                <w:lang w:val="en-US" w:eastAsia="zh-CN"/>
              </w:rPr>
            </w:pPr>
            <w:r>
              <w:rPr>
                <w:rFonts w:hint="eastAsia" w:cs="Times New Roman"/>
                <w:sz w:val="21"/>
                <w:szCs w:val="21"/>
                <w:highlight w:val="none"/>
                <w:lang w:val="en-US" w:eastAsia="zh-CN"/>
              </w:rPr>
              <w:t>25</w:t>
            </w:r>
          </w:p>
        </w:tc>
        <w:tc>
          <w:tcPr>
            <w:tcW w:w="598" w:type="pct"/>
            <w:vAlign w:val="center"/>
          </w:tcPr>
          <w:p w14:paraId="2EE0807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达标</w:t>
            </w:r>
          </w:p>
        </w:tc>
      </w:tr>
      <w:tr w14:paraId="52B1C3D5">
        <w:tblPrEx>
          <w:tblBorders>
            <w:top w:val="single" w:color="auto" w:sz="12" w:space="0"/>
            <w:left w:val="single" w:color="auto" w:sz="12" w:space="0"/>
            <w:bottom w:val="single" w:color="auto" w:sz="12" w:space="0"/>
            <w:right w:val="single" w:color="auto" w:sz="12" w:space="0"/>
            <w:insideH w:val="single" w:color="000000" w:sz="2" w:space="0"/>
            <w:insideV w:val="single" w:color="000000" w:sz="2" w:space="0"/>
          </w:tblBorders>
          <w:tblCellMar>
            <w:top w:w="0" w:type="dxa"/>
            <w:left w:w="0" w:type="dxa"/>
            <w:bottom w:w="0" w:type="dxa"/>
            <w:right w:w="0" w:type="dxa"/>
          </w:tblCellMar>
        </w:tblPrEx>
        <w:trPr>
          <w:trHeight w:val="23" w:hRule="atLeast"/>
        </w:trPr>
        <w:tc>
          <w:tcPr>
            <w:tcW w:w="450" w:type="pct"/>
            <w:vAlign w:val="center"/>
          </w:tcPr>
          <w:p w14:paraId="3AB95A9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O</w:t>
            </w:r>
            <w:r>
              <w:rPr>
                <w:rFonts w:hint="default" w:ascii="Times New Roman" w:hAnsi="Times New Roman" w:cs="Times New Roman"/>
                <w:sz w:val="21"/>
                <w:szCs w:val="21"/>
                <w:highlight w:val="none"/>
                <w:vertAlign w:val="subscript"/>
                <w:lang w:val="en-US" w:eastAsia="zh-CN"/>
              </w:rPr>
              <w:t>3</w:t>
            </w:r>
          </w:p>
        </w:tc>
        <w:tc>
          <w:tcPr>
            <w:tcW w:w="2310" w:type="pct"/>
            <w:vAlign w:val="center"/>
          </w:tcPr>
          <w:p w14:paraId="734D09C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90百分位数最大8小时平均质量浓度（</w:t>
            </w:r>
            <w:r>
              <w:rPr>
                <w:rFonts w:hint="default" w:ascii="Times New Roman" w:hAnsi="Times New Roman" w:cs="Times New Roman"/>
                <w:sz w:val="21"/>
                <w:szCs w:val="21"/>
                <w:highlight w:val="none"/>
                <w:lang w:val="en-US" w:eastAsia="zh-CN"/>
              </w:rPr>
              <w:t>μg/m</w:t>
            </w:r>
            <w:r>
              <w:rPr>
                <w:rFonts w:hint="default" w:ascii="Times New Roman" w:hAnsi="Times New Roman" w:cs="Times New Roman"/>
                <w:sz w:val="21"/>
                <w:szCs w:val="21"/>
                <w:highlight w:val="none"/>
                <w:vertAlign w:val="superscript"/>
                <w:lang w:val="en-US" w:eastAsia="zh-CN"/>
              </w:rPr>
              <w:t>3</w:t>
            </w:r>
            <w:r>
              <w:rPr>
                <w:rFonts w:hint="eastAsia" w:ascii="Times New Roman" w:hAnsi="Times New Roman" w:cs="Times New Roman"/>
                <w:sz w:val="21"/>
                <w:szCs w:val="21"/>
                <w:highlight w:val="none"/>
                <w:lang w:val="en-US" w:eastAsia="zh-CN"/>
              </w:rPr>
              <w:t>）</w:t>
            </w:r>
          </w:p>
        </w:tc>
        <w:tc>
          <w:tcPr>
            <w:tcW w:w="509" w:type="pct"/>
            <w:vAlign w:val="center"/>
          </w:tcPr>
          <w:p w14:paraId="0E1A199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highlight w:val="none"/>
                <w:lang w:val="en-US" w:eastAsia="zh-CN"/>
              </w:rPr>
            </w:pPr>
            <w:r>
              <w:rPr>
                <w:rFonts w:hint="eastAsia" w:cs="Times New Roman"/>
                <w:sz w:val="21"/>
                <w:szCs w:val="21"/>
                <w:highlight w:val="none"/>
                <w:lang w:val="en-US" w:eastAsia="zh-CN"/>
              </w:rPr>
              <w:t>130</w:t>
            </w:r>
          </w:p>
        </w:tc>
        <w:tc>
          <w:tcPr>
            <w:tcW w:w="560" w:type="pct"/>
            <w:vAlign w:val="center"/>
          </w:tcPr>
          <w:p w14:paraId="2741669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160</w:t>
            </w:r>
          </w:p>
        </w:tc>
        <w:tc>
          <w:tcPr>
            <w:tcW w:w="570" w:type="pct"/>
            <w:vAlign w:val="center"/>
          </w:tcPr>
          <w:p w14:paraId="4D39DA1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highlight w:val="none"/>
                <w:lang w:val="en-US" w:eastAsia="zh-CN"/>
              </w:rPr>
            </w:pPr>
            <w:r>
              <w:rPr>
                <w:rFonts w:hint="eastAsia" w:cs="Times New Roman"/>
                <w:sz w:val="21"/>
                <w:szCs w:val="21"/>
                <w:highlight w:val="none"/>
                <w:lang w:val="en-US" w:eastAsia="zh-CN"/>
              </w:rPr>
              <w:t>81.25</w:t>
            </w:r>
          </w:p>
        </w:tc>
        <w:tc>
          <w:tcPr>
            <w:tcW w:w="598" w:type="pct"/>
            <w:vAlign w:val="center"/>
          </w:tcPr>
          <w:p w14:paraId="07C1099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达标</w:t>
            </w:r>
          </w:p>
        </w:tc>
      </w:tr>
    </w:tbl>
    <w:p w14:paraId="49F91DC0">
      <w:pPr>
        <w:rPr>
          <w:rFonts w:hint="eastAsia"/>
          <w:highlight w:val="none"/>
          <w:u w:val="none"/>
          <w:lang w:val="en-US" w:eastAsia="zh-CN"/>
        </w:rPr>
      </w:pPr>
      <w:r>
        <w:rPr>
          <w:rFonts w:hint="eastAsia"/>
          <w:highlight w:val="none"/>
          <w:u w:val="none"/>
          <w:lang w:val="en-US" w:eastAsia="zh-CN"/>
        </w:rPr>
        <w:t>根据上表可知，项目所在地的PM</w:t>
      </w:r>
      <w:r>
        <w:rPr>
          <w:rFonts w:hint="eastAsia"/>
          <w:highlight w:val="none"/>
          <w:u w:val="none"/>
          <w:vertAlign w:val="subscript"/>
          <w:lang w:val="en-US" w:eastAsia="zh-CN"/>
        </w:rPr>
        <w:t>2.5</w:t>
      </w:r>
      <w:r>
        <w:rPr>
          <w:rFonts w:hint="eastAsia"/>
          <w:highlight w:val="none"/>
          <w:u w:val="none"/>
          <w:lang w:val="en-US" w:eastAsia="zh-CN"/>
        </w:rPr>
        <w:t>、PM</w:t>
      </w:r>
      <w:r>
        <w:rPr>
          <w:rFonts w:hint="eastAsia"/>
          <w:highlight w:val="none"/>
          <w:u w:val="none"/>
          <w:vertAlign w:val="subscript"/>
          <w:lang w:val="en-US" w:eastAsia="zh-CN"/>
        </w:rPr>
        <w:t>10</w:t>
      </w:r>
      <w:r>
        <w:rPr>
          <w:rFonts w:hint="eastAsia"/>
          <w:highlight w:val="none"/>
          <w:u w:val="none"/>
          <w:lang w:val="en-US" w:eastAsia="zh-CN"/>
        </w:rPr>
        <w:t>、SO</w:t>
      </w:r>
      <w:r>
        <w:rPr>
          <w:rFonts w:hint="eastAsia"/>
          <w:highlight w:val="none"/>
          <w:u w:val="none"/>
          <w:vertAlign w:val="subscript"/>
          <w:lang w:val="en-US" w:eastAsia="zh-CN"/>
        </w:rPr>
        <w:t>2</w:t>
      </w:r>
      <w:r>
        <w:rPr>
          <w:rFonts w:hint="eastAsia"/>
          <w:highlight w:val="none"/>
          <w:u w:val="none"/>
          <w:lang w:val="en-US" w:eastAsia="zh-CN"/>
        </w:rPr>
        <w:t>、NO</w:t>
      </w:r>
      <w:r>
        <w:rPr>
          <w:rFonts w:hint="eastAsia"/>
          <w:highlight w:val="none"/>
          <w:u w:val="none"/>
          <w:vertAlign w:val="subscript"/>
          <w:lang w:val="en-US" w:eastAsia="zh-CN"/>
        </w:rPr>
        <w:t>2</w:t>
      </w:r>
      <w:r>
        <w:rPr>
          <w:rFonts w:hint="eastAsia"/>
          <w:highlight w:val="none"/>
          <w:u w:val="none"/>
          <w:lang w:val="en-US" w:eastAsia="zh-CN"/>
        </w:rPr>
        <w:t>、O</w:t>
      </w:r>
      <w:r>
        <w:rPr>
          <w:rFonts w:hint="eastAsia"/>
          <w:highlight w:val="none"/>
          <w:u w:val="none"/>
          <w:vertAlign w:val="subscript"/>
          <w:lang w:val="en-US" w:eastAsia="zh-CN"/>
        </w:rPr>
        <w:t>3</w:t>
      </w:r>
      <w:r>
        <w:rPr>
          <w:rFonts w:hint="eastAsia"/>
          <w:highlight w:val="none"/>
          <w:u w:val="none"/>
          <w:lang w:val="en-US" w:eastAsia="zh-CN"/>
        </w:rPr>
        <w:t>、CO年平均浓度值符合《环境空气质量标准》（GB3095-2012）中二级标准要求。根据《环境影响评价技术导则  大气环境》（HJ2.2-2018）中“6.4.1.1城市环境空气质量达标情况评价指标为二氧化硫、二氧化氮、可吸入粉尘、细粉尘、一氧化碳和臭氧，六项污染物全部达标即为城市环境空气质量达标”，可判定本项目所在区域2024年属于达标区。</w:t>
      </w:r>
    </w:p>
    <w:p w14:paraId="7EC6EDF7">
      <w:pPr>
        <w:pStyle w:val="10"/>
        <w:numPr>
          <w:ilvl w:val="3"/>
          <w:numId w:val="1"/>
        </w:numPr>
        <w:bidi w:val="0"/>
        <w:ind w:left="850" w:leftChars="0" w:hanging="850" w:firstLineChars="0"/>
        <w:rPr>
          <w:rFonts w:hint="eastAsia"/>
          <w:highlight w:val="none"/>
          <w:lang w:val="en-US" w:eastAsia="zh-CN"/>
        </w:rPr>
      </w:pPr>
      <w:r>
        <w:rPr>
          <w:rFonts w:hint="eastAsia"/>
          <w:highlight w:val="none"/>
          <w:lang w:val="en-US" w:eastAsia="zh-CN"/>
        </w:rPr>
        <w:t>环境空气特征因子补充监测与评价</w:t>
      </w:r>
    </w:p>
    <w:p w14:paraId="51D1AD1B">
      <w:pPr>
        <w:rPr>
          <w:rFonts w:hint="default"/>
          <w:b/>
          <w:bCs/>
          <w:highlight w:val="none"/>
          <w:lang w:val="en-US" w:eastAsia="zh-CN"/>
        </w:rPr>
      </w:pPr>
      <w:r>
        <w:rPr>
          <w:rFonts w:hint="eastAsia"/>
          <w:b/>
          <w:bCs/>
          <w:highlight w:val="none"/>
          <w:lang w:val="en-US" w:eastAsia="zh-CN"/>
        </w:rPr>
        <w:t>（1）监测因子</w:t>
      </w:r>
    </w:p>
    <w:p w14:paraId="27E5A8AF">
      <w:pPr>
        <w:rPr>
          <w:rFonts w:hint="eastAsia"/>
          <w:highlight w:val="none"/>
          <w:lang w:val="en-US" w:eastAsia="zh-CN"/>
        </w:rPr>
      </w:pPr>
      <w:r>
        <w:rPr>
          <w:rFonts w:hint="eastAsia"/>
          <w:highlight w:val="none"/>
          <w:lang w:val="en-US" w:eastAsia="zh-CN"/>
        </w:rPr>
        <w:t>TSP</w:t>
      </w:r>
    </w:p>
    <w:p w14:paraId="04A9E3B4">
      <w:pPr>
        <w:rPr>
          <w:rFonts w:hint="default"/>
          <w:b/>
          <w:bCs/>
          <w:highlight w:val="none"/>
          <w:lang w:val="en-US" w:eastAsia="zh-CN"/>
        </w:rPr>
      </w:pPr>
      <w:r>
        <w:rPr>
          <w:rFonts w:hint="eastAsia"/>
          <w:b/>
          <w:bCs/>
          <w:highlight w:val="none"/>
          <w:lang w:val="en-US" w:eastAsia="zh-CN"/>
        </w:rPr>
        <w:t>（2）监测时间</w:t>
      </w:r>
    </w:p>
    <w:p w14:paraId="37442A40">
      <w:pPr>
        <w:rPr>
          <w:rFonts w:hint="default"/>
          <w:highlight w:val="none"/>
          <w:lang w:val="en-US" w:eastAsia="zh-CN"/>
        </w:rPr>
      </w:pPr>
      <w:r>
        <w:rPr>
          <w:rFonts w:hint="eastAsia"/>
          <w:highlight w:val="none"/>
          <w:lang w:val="en-US" w:eastAsia="zh-CN"/>
        </w:rPr>
        <w:t>2025年8月21日~27日连续监测7天</w:t>
      </w:r>
    </w:p>
    <w:p w14:paraId="7C4F1A73">
      <w:pPr>
        <w:rPr>
          <w:rFonts w:hint="default"/>
          <w:b/>
          <w:bCs/>
          <w:highlight w:val="none"/>
          <w:lang w:val="en-US" w:eastAsia="zh-CN"/>
        </w:rPr>
      </w:pPr>
      <w:r>
        <w:rPr>
          <w:rFonts w:hint="eastAsia"/>
          <w:b/>
          <w:bCs/>
          <w:highlight w:val="none"/>
          <w:lang w:val="en-US" w:eastAsia="zh-CN"/>
        </w:rPr>
        <w:t>（3）监测布点</w:t>
      </w:r>
    </w:p>
    <w:p w14:paraId="25B77121">
      <w:pPr>
        <w:rPr>
          <w:rFonts w:hint="default"/>
          <w:highlight w:val="none"/>
          <w:lang w:val="en-US" w:eastAsia="zh-CN"/>
        </w:rPr>
      </w:pPr>
      <w:r>
        <w:rPr>
          <w:rFonts w:hint="eastAsia"/>
          <w:highlight w:val="none"/>
          <w:lang w:val="en-US" w:eastAsia="zh-CN"/>
        </w:rPr>
        <w:t>本次环境空气现状监测共布设1个环境空气监测点，监测布点见表4.2-2。</w:t>
      </w:r>
    </w:p>
    <w:p w14:paraId="28C1E832">
      <w:pPr>
        <w:ind w:left="0" w:leftChars="0" w:firstLine="0" w:firstLineChars="0"/>
        <w:jc w:val="center"/>
        <w:rPr>
          <w:rFonts w:hint="default"/>
          <w:b/>
          <w:bCs/>
          <w:sz w:val="21"/>
          <w:szCs w:val="21"/>
          <w:highlight w:val="none"/>
          <w:lang w:val="en-US" w:eastAsia="zh-CN"/>
        </w:rPr>
      </w:pPr>
      <w:r>
        <w:rPr>
          <w:rFonts w:hint="eastAsia"/>
          <w:b/>
          <w:bCs/>
          <w:sz w:val="21"/>
          <w:szCs w:val="21"/>
          <w:highlight w:val="none"/>
          <w:lang w:val="en-US" w:eastAsia="zh-CN"/>
        </w:rPr>
        <w:t>表4.2-2  环境空气补充监测点位一览表</w:t>
      </w:r>
    </w:p>
    <w:tbl>
      <w:tblPr>
        <w:tblStyle w:val="35"/>
        <w:tblW w:w="4996"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684"/>
        <w:gridCol w:w="1635"/>
        <w:gridCol w:w="1642"/>
        <w:gridCol w:w="3312"/>
        <w:gridCol w:w="2008"/>
      </w:tblGrid>
      <w:tr w14:paraId="64573AB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trPr>
        <w:tc>
          <w:tcPr>
            <w:tcW w:w="369" w:type="pct"/>
            <w:tcBorders>
              <w:top w:val="single" w:color="auto" w:sz="12" w:space="0"/>
            </w:tcBorders>
            <w:vAlign w:val="center"/>
          </w:tcPr>
          <w:p w14:paraId="6F0AA23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
                <w:bCs/>
                <w:color w:val="auto"/>
                <w:sz w:val="21"/>
                <w:szCs w:val="21"/>
                <w:highlight w:val="none"/>
              </w:rPr>
            </w:pPr>
            <w:r>
              <w:rPr>
                <w:rFonts w:hint="eastAsia"/>
                <w:b/>
                <w:bCs/>
                <w:color w:val="auto"/>
                <w:sz w:val="21"/>
                <w:szCs w:val="21"/>
                <w:highlight w:val="none"/>
              </w:rPr>
              <w:t>序号</w:t>
            </w:r>
          </w:p>
        </w:tc>
        <w:tc>
          <w:tcPr>
            <w:tcW w:w="880" w:type="pct"/>
            <w:tcBorders>
              <w:top w:val="single" w:color="auto" w:sz="12" w:space="0"/>
            </w:tcBorders>
            <w:vAlign w:val="center"/>
          </w:tcPr>
          <w:p w14:paraId="644DDB7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
                <w:bCs/>
                <w:color w:val="auto"/>
                <w:sz w:val="21"/>
                <w:szCs w:val="21"/>
                <w:highlight w:val="none"/>
              </w:rPr>
            </w:pPr>
            <w:r>
              <w:rPr>
                <w:rFonts w:hint="eastAsia"/>
                <w:b/>
                <w:bCs/>
                <w:color w:val="auto"/>
                <w:sz w:val="21"/>
                <w:szCs w:val="21"/>
                <w:highlight w:val="none"/>
              </w:rPr>
              <w:t>监测布点</w:t>
            </w:r>
          </w:p>
        </w:tc>
        <w:tc>
          <w:tcPr>
            <w:tcW w:w="884" w:type="pct"/>
            <w:tcBorders>
              <w:top w:val="single" w:color="auto" w:sz="12" w:space="0"/>
            </w:tcBorders>
            <w:vAlign w:val="center"/>
          </w:tcPr>
          <w:p w14:paraId="014ED4C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
                <w:bCs/>
                <w:color w:val="auto"/>
                <w:sz w:val="21"/>
                <w:szCs w:val="21"/>
                <w:highlight w:val="none"/>
              </w:rPr>
            </w:pPr>
            <w:r>
              <w:rPr>
                <w:rFonts w:hint="eastAsia"/>
                <w:b/>
                <w:bCs/>
                <w:color w:val="auto"/>
                <w:sz w:val="21"/>
                <w:szCs w:val="21"/>
                <w:highlight w:val="none"/>
              </w:rPr>
              <w:t>与拟建工程</w:t>
            </w:r>
          </w:p>
          <w:p w14:paraId="7EFBB7B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
                <w:bCs/>
                <w:color w:val="auto"/>
                <w:sz w:val="21"/>
                <w:szCs w:val="21"/>
                <w:highlight w:val="none"/>
              </w:rPr>
            </w:pPr>
            <w:r>
              <w:rPr>
                <w:rFonts w:hint="eastAsia"/>
                <w:b/>
                <w:bCs/>
                <w:color w:val="auto"/>
                <w:sz w:val="21"/>
                <w:szCs w:val="21"/>
                <w:highlight w:val="none"/>
              </w:rPr>
              <w:t>相对位置</w:t>
            </w:r>
          </w:p>
        </w:tc>
        <w:tc>
          <w:tcPr>
            <w:tcW w:w="1783" w:type="pct"/>
            <w:tcBorders>
              <w:top w:val="single" w:color="auto" w:sz="12" w:space="0"/>
              <w:bottom w:val="single" w:color="auto" w:sz="4" w:space="0"/>
            </w:tcBorders>
            <w:vAlign w:val="center"/>
          </w:tcPr>
          <w:p w14:paraId="50153B1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
                <w:bCs/>
                <w:color w:val="auto"/>
                <w:sz w:val="21"/>
                <w:szCs w:val="21"/>
                <w:highlight w:val="none"/>
              </w:rPr>
            </w:pPr>
            <w:r>
              <w:rPr>
                <w:rFonts w:hint="eastAsia"/>
                <w:b/>
                <w:bCs/>
                <w:color w:val="auto"/>
                <w:sz w:val="21"/>
                <w:szCs w:val="21"/>
                <w:highlight w:val="none"/>
              </w:rPr>
              <w:t>经纬度</w:t>
            </w:r>
          </w:p>
        </w:tc>
        <w:tc>
          <w:tcPr>
            <w:tcW w:w="1081" w:type="pct"/>
            <w:tcBorders>
              <w:top w:val="single" w:color="auto" w:sz="12" w:space="0"/>
              <w:bottom w:val="single" w:color="auto" w:sz="4" w:space="0"/>
            </w:tcBorders>
            <w:vAlign w:val="center"/>
          </w:tcPr>
          <w:p w14:paraId="40A0292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
                <w:bCs/>
                <w:color w:val="auto"/>
                <w:sz w:val="21"/>
                <w:szCs w:val="21"/>
                <w:highlight w:val="none"/>
              </w:rPr>
            </w:pPr>
            <w:r>
              <w:rPr>
                <w:rFonts w:hint="eastAsia"/>
                <w:b/>
                <w:bCs/>
                <w:color w:val="auto"/>
                <w:sz w:val="21"/>
                <w:szCs w:val="21"/>
                <w:highlight w:val="none"/>
              </w:rPr>
              <w:t>监测因子</w:t>
            </w:r>
          </w:p>
        </w:tc>
      </w:tr>
      <w:tr w14:paraId="716E234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2" w:hRule="atLeast"/>
        </w:trPr>
        <w:tc>
          <w:tcPr>
            <w:tcW w:w="369" w:type="pct"/>
            <w:vAlign w:val="center"/>
          </w:tcPr>
          <w:p w14:paraId="153F7A1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color w:val="auto"/>
                <w:sz w:val="21"/>
                <w:szCs w:val="21"/>
                <w:highlight w:val="none"/>
                <w:lang w:val="en-US" w:eastAsia="zh-CN"/>
              </w:rPr>
            </w:pPr>
            <w:r>
              <w:rPr>
                <w:rFonts w:hint="eastAsia"/>
                <w:color w:val="auto"/>
                <w:sz w:val="21"/>
                <w:szCs w:val="21"/>
                <w:highlight w:val="none"/>
                <w:lang w:val="en-US" w:eastAsia="zh-CN"/>
              </w:rPr>
              <w:t>G1</w:t>
            </w:r>
          </w:p>
        </w:tc>
        <w:tc>
          <w:tcPr>
            <w:tcW w:w="880" w:type="pct"/>
            <w:vAlign w:val="center"/>
          </w:tcPr>
          <w:p w14:paraId="5A31186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项目所在地</w:t>
            </w:r>
          </w:p>
        </w:tc>
        <w:tc>
          <w:tcPr>
            <w:tcW w:w="884" w:type="pct"/>
            <w:vAlign w:val="center"/>
          </w:tcPr>
          <w:p w14:paraId="05A2CBC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w:t>
            </w:r>
          </w:p>
        </w:tc>
        <w:tc>
          <w:tcPr>
            <w:tcW w:w="1783" w:type="pct"/>
            <w:vAlign w:val="center"/>
          </w:tcPr>
          <w:p w14:paraId="2FD6395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113°</w:t>
            </w:r>
            <w:r>
              <w:rPr>
                <w:rFonts w:hint="eastAsia" w:cs="Times New Roman"/>
                <w:color w:val="auto"/>
                <w:sz w:val="21"/>
                <w:szCs w:val="21"/>
                <w:highlight w:val="none"/>
                <w:lang w:val="en-US" w:eastAsia="zh-CN"/>
              </w:rPr>
              <w:t>33</w:t>
            </w:r>
            <w:r>
              <w:rPr>
                <w:rFonts w:hint="default" w:ascii="Times New Roman" w:hAnsi="Times New Roman" w:cs="Times New Roman"/>
                <w:color w:val="auto"/>
                <w:sz w:val="21"/>
                <w:szCs w:val="21"/>
                <w:highlight w:val="none"/>
                <w:lang w:val="en-US" w:eastAsia="zh-CN"/>
              </w:rPr>
              <w:t>′</w:t>
            </w:r>
            <w:r>
              <w:rPr>
                <w:rFonts w:hint="eastAsia" w:cs="Times New Roman"/>
                <w:color w:val="auto"/>
                <w:sz w:val="21"/>
                <w:szCs w:val="21"/>
                <w:highlight w:val="none"/>
                <w:lang w:val="en-US" w:eastAsia="zh-CN"/>
              </w:rPr>
              <w:t>6.53</w:t>
            </w:r>
            <w:r>
              <w:rPr>
                <w:rFonts w:hint="default" w:ascii="Times New Roman" w:hAnsi="Times New Roman" w:cs="Times New Roman"/>
                <w:color w:val="auto"/>
                <w:sz w:val="21"/>
                <w:szCs w:val="21"/>
                <w:highlight w:val="none"/>
                <w:lang w:val="en-US" w:eastAsia="zh-CN"/>
              </w:rPr>
              <w:t>″E，28°3</w:t>
            </w:r>
            <w:r>
              <w:rPr>
                <w:rFonts w:hint="eastAsia" w:cs="Times New Roman"/>
                <w:color w:val="auto"/>
                <w:sz w:val="21"/>
                <w:szCs w:val="21"/>
                <w:highlight w:val="none"/>
                <w:lang w:val="en-US" w:eastAsia="zh-CN"/>
              </w:rPr>
              <w:t>8</w:t>
            </w:r>
            <w:r>
              <w:rPr>
                <w:rFonts w:hint="default" w:ascii="Times New Roman" w:hAnsi="Times New Roman" w:cs="Times New Roman"/>
                <w:color w:val="auto"/>
                <w:sz w:val="21"/>
                <w:szCs w:val="21"/>
                <w:highlight w:val="none"/>
                <w:lang w:val="en-US" w:eastAsia="zh-CN"/>
              </w:rPr>
              <w:t>′</w:t>
            </w:r>
            <w:r>
              <w:rPr>
                <w:rFonts w:hint="eastAsia" w:cs="Times New Roman"/>
                <w:color w:val="auto"/>
                <w:sz w:val="21"/>
                <w:szCs w:val="21"/>
                <w:highlight w:val="none"/>
                <w:lang w:val="en-US" w:eastAsia="zh-CN"/>
              </w:rPr>
              <w:t>50.96</w:t>
            </w:r>
            <w:r>
              <w:rPr>
                <w:rFonts w:hint="default" w:ascii="Times New Roman" w:hAnsi="Times New Roman" w:cs="Times New Roman"/>
                <w:color w:val="auto"/>
                <w:sz w:val="21"/>
                <w:szCs w:val="21"/>
                <w:highlight w:val="none"/>
                <w:lang w:val="en-US" w:eastAsia="zh-CN"/>
              </w:rPr>
              <w:t>″</w:t>
            </w:r>
            <w:r>
              <w:rPr>
                <w:rFonts w:hint="eastAsia" w:ascii="Times New Roman" w:hAnsi="Times New Roman" w:cs="Times New Roman"/>
                <w:color w:val="auto"/>
                <w:sz w:val="21"/>
                <w:szCs w:val="21"/>
                <w:highlight w:val="none"/>
                <w:lang w:val="en-US" w:eastAsia="zh-CN"/>
              </w:rPr>
              <w:t>N</w:t>
            </w:r>
          </w:p>
        </w:tc>
        <w:tc>
          <w:tcPr>
            <w:tcW w:w="1081" w:type="pct"/>
            <w:vAlign w:val="center"/>
          </w:tcPr>
          <w:p w14:paraId="4085067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rPr>
              <w:t>TSP</w:t>
            </w:r>
          </w:p>
        </w:tc>
      </w:tr>
    </w:tbl>
    <w:p w14:paraId="1B1A8D22">
      <w:pPr>
        <w:rPr>
          <w:rFonts w:hint="default" w:ascii="Times New Roman" w:hAnsi="Times New Roman" w:eastAsia="宋体"/>
          <w:b/>
          <w:bCs/>
          <w:highlight w:val="none"/>
          <w:lang w:val="en-US" w:eastAsia="zh-CN"/>
        </w:rPr>
      </w:pPr>
      <w:r>
        <w:rPr>
          <w:rFonts w:hint="eastAsia" w:ascii="Times New Roman" w:hAnsi="Times New Roman" w:eastAsia="宋体"/>
          <w:b/>
          <w:bCs/>
          <w:highlight w:val="none"/>
          <w:lang w:val="en-US" w:eastAsia="zh-CN"/>
        </w:rPr>
        <w:t>（4）监测时间和频次</w:t>
      </w:r>
    </w:p>
    <w:p w14:paraId="40A5983F">
      <w:pPr>
        <w:rPr>
          <w:rFonts w:hint="eastAsia" w:ascii="Times New Roman" w:hAnsi="Times New Roman" w:eastAsia="宋体"/>
          <w:b/>
          <w:bCs/>
          <w:highlight w:val="none"/>
          <w:lang w:val="en-US" w:eastAsia="zh-CN"/>
        </w:rPr>
      </w:pPr>
      <w:r>
        <w:rPr>
          <w:rFonts w:hint="eastAsia"/>
          <w:highlight w:val="none"/>
          <w:lang w:val="en-US" w:eastAsia="zh-CN"/>
        </w:rPr>
        <w:t>按照《环境影响评价技术导则  大气环境》（HJ2.2-2018），连续7天采样监测，TSP监测日均值，同时记录风向、温度、气压、风速、相对湿度以及天气状况。</w:t>
      </w:r>
    </w:p>
    <w:p w14:paraId="7C114A9B">
      <w:pPr>
        <w:bidi w:val="0"/>
        <w:rPr>
          <w:rFonts w:hint="eastAsia"/>
          <w:b/>
          <w:bCs/>
          <w:highlight w:val="none"/>
          <w:lang w:val="en-US" w:eastAsia="zh-CN"/>
        </w:rPr>
      </w:pPr>
      <w:r>
        <w:rPr>
          <w:rFonts w:hint="eastAsia"/>
          <w:b/>
          <w:bCs/>
          <w:highlight w:val="none"/>
          <w:lang w:val="en-US" w:eastAsia="zh-CN"/>
        </w:rPr>
        <w:t>（5）监测分析方法</w:t>
      </w:r>
    </w:p>
    <w:p w14:paraId="7D4A27FA">
      <w:pPr>
        <w:rPr>
          <w:rFonts w:hint="eastAsia"/>
          <w:highlight w:val="none"/>
          <w:lang w:val="en-US" w:eastAsia="zh-CN"/>
        </w:rPr>
      </w:pPr>
      <w:r>
        <w:rPr>
          <w:rFonts w:hint="eastAsia"/>
          <w:highlight w:val="none"/>
          <w:lang w:val="en-US" w:eastAsia="zh-CN"/>
        </w:rPr>
        <w:t>监测分析方法按《环境监测技术规范》和《环境空气质量标准》（GB3095-2012）有关部分进行。</w:t>
      </w:r>
    </w:p>
    <w:p w14:paraId="27AB9CDD">
      <w:pPr>
        <w:rPr>
          <w:rFonts w:hint="default"/>
          <w:b/>
          <w:bCs/>
          <w:highlight w:val="none"/>
          <w:lang w:val="en-US" w:eastAsia="zh-CN"/>
        </w:rPr>
      </w:pPr>
      <w:r>
        <w:rPr>
          <w:rFonts w:hint="eastAsia"/>
          <w:b/>
          <w:bCs/>
          <w:highlight w:val="none"/>
          <w:lang w:val="en-US" w:eastAsia="zh-CN"/>
        </w:rPr>
        <w:t>（6）监测结果</w:t>
      </w:r>
    </w:p>
    <w:p w14:paraId="138FBDB6">
      <w:pPr>
        <w:rPr>
          <w:rFonts w:hint="eastAsia"/>
          <w:highlight w:val="none"/>
          <w:lang w:val="en-US" w:eastAsia="zh-CN"/>
        </w:rPr>
      </w:pPr>
      <w:r>
        <w:rPr>
          <w:rFonts w:hint="eastAsia"/>
          <w:highlight w:val="none"/>
          <w:lang w:val="en-US" w:eastAsia="zh-CN"/>
        </w:rPr>
        <w:t>监测期间气象参数见表4.2-3，监测结果见表4.2-4。</w:t>
      </w:r>
    </w:p>
    <w:p w14:paraId="29930288">
      <w:pPr>
        <w:bidi w:val="0"/>
        <w:ind w:left="0" w:leftChars="0" w:firstLine="0" w:firstLineChars="0"/>
        <w:jc w:val="center"/>
        <w:rPr>
          <w:rFonts w:hint="eastAsia"/>
          <w:b/>
          <w:bCs/>
          <w:sz w:val="21"/>
          <w:szCs w:val="21"/>
          <w:highlight w:val="none"/>
          <w:lang w:val="en-US" w:eastAsia="zh-CN"/>
        </w:rPr>
      </w:pPr>
      <w:r>
        <w:rPr>
          <w:rFonts w:hint="eastAsia"/>
          <w:b/>
          <w:bCs/>
          <w:sz w:val="21"/>
          <w:szCs w:val="21"/>
          <w:highlight w:val="none"/>
          <w:lang w:val="en-US" w:eastAsia="zh-CN"/>
        </w:rPr>
        <w:t>表4.2-3  环境空气质量现状监测期间气象参数</w:t>
      </w:r>
    </w:p>
    <w:tbl>
      <w:tblPr>
        <w:tblStyle w:val="35"/>
        <w:tblW w:w="4997"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337"/>
        <w:gridCol w:w="1255"/>
        <w:gridCol w:w="1701"/>
        <w:gridCol w:w="1367"/>
        <w:gridCol w:w="1211"/>
        <w:gridCol w:w="1261"/>
        <w:gridCol w:w="1150"/>
      </w:tblGrid>
      <w:tr w14:paraId="373988E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20" w:type="pct"/>
            <w:noWrap w:val="0"/>
            <w:vAlign w:val="center"/>
          </w:tcPr>
          <w:p w14:paraId="561D72C8">
            <w:pPr>
              <w:bidi w:val="0"/>
              <w:spacing w:line="360" w:lineRule="auto"/>
              <w:ind w:left="0" w:leftChars="0" w:firstLine="0" w:firstLineChars="0"/>
              <w:jc w:val="center"/>
              <w:rPr>
                <w:rFonts w:hint="default" w:ascii="Times New Roman" w:hAnsi="Times New Roman" w:cs="Times New Roman"/>
                <w:b/>
                <w:bCs/>
                <w:sz w:val="21"/>
                <w:szCs w:val="21"/>
                <w:highlight w:val="none"/>
                <w:lang w:val="en-US" w:eastAsia="zh-CN"/>
              </w:rPr>
            </w:pPr>
            <w:r>
              <w:rPr>
                <w:rFonts w:hint="default" w:ascii="Times New Roman" w:hAnsi="Times New Roman" w:cs="Times New Roman"/>
                <w:b/>
                <w:bCs/>
                <w:sz w:val="21"/>
                <w:szCs w:val="21"/>
                <w:highlight w:val="none"/>
                <w:lang w:val="en-US" w:eastAsia="zh-CN"/>
              </w:rPr>
              <w:t>日期</w:t>
            </w:r>
          </w:p>
        </w:tc>
        <w:tc>
          <w:tcPr>
            <w:tcW w:w="676" w:type="pct"/>
            <w:noWrap w:val="0"/>
            <w:vAlign w:val="center"/>
          </w:tcPr>
          <w:p w14:paraId="7AF1A36F">
            <w:pPr>
              <w:bidi w:val="0"/>
              <w:spacing w:line="360" w:lineRule="auto"/>
              <w:ind w:left="0" w:leftChars="0" w:firstLine="0" w:firstLineChars="0"/>
              <w:jc w:val="center"/>
              <w:rPr>
                <w:rFonts w:hint="default" w:ascii="Times New Roman" w:hAnsi="Times New Roman" w:cs="Times New Roman"/>
                <w:b/>
                <w:bCs/>
                <w:sz w:val="21"/>
                <w:szCs w:val="21"/>
                <w:highlight w:val="none"/>
                <w:lang w:val="en-US" w:eastAsia="zh-CN"/>
              </w:rPr>
            </w:pPr>
            <w:r>
              <w:rPr>
                <w:rFonts w:hint="default" w:ascii="Times New Roman" w:hAnsi="Times New Roman" w:cs="Times New Roman"/>
                <w:b/>
                <w:bCs/>
                <w:sz w:val="21"/>
                <w:szCs w:val="21"/>
                <w:highlight w:val="none"/>
                <w:lang w:val="en-US" w:eastAsia="zh-CN"/>
              </w:rPr>
              <w:t>天气</w:t>
            </w:r>
          </w:p>
        </w:tc>
        <w:tc>
          <w:tcPr>
            <w:tcW w:w="916" w:type="pct"/>
            <w:noWrap w:val="0"/>
            <w:vAlign w:val="center"/>
          </w:tcPr>
          <w:p w14:paraId="18FE557D">
            <w:pPr>
              <w:bidi w:val="0"/>
              <w:spacing w:line="360" w:lineRule="auto"/>
              <w:ind w:left="0" w:leftChars="0" w:firstLine="0" w:firstLineChars="0"/>
              <w:jc w:val="center"/>
              <w:rPr>
                <w:rFonts w:hint="default" w:ascii="Times New Roman" w:hAnsi="Times New Roman" w:cs="Times New Roman"/>
                <w:b/>
                <w:bCs/>
                <w:sz w:val="21"/>
                <w:szCs w:val="21"/>
                <w:highlight w:val="none"/>
                <w:lang w:val="en-US" w:eastAsia="zh-CN"/>
              </w:rPr>
            </w:pPr>
            <w:r>
              <w:rPr>
                <w:rFonts w:hint="default" w:ascii="Times New Roman" w:hAnsi="Times New Roman" w:cs="Times New Roman"/>
                <w:b/>
                <w:bCs/>
                <w:sz w:val="21"/>
                <w:szCs w:val="21"/>
                <w:highlight w:val="none"/>
                <w:lang w:val="en-US" w:eastAsia="zh-CN"/>
              </w:rPr>
              <w:t>气温</w:t>
            </w:r>
            <w:r>
              <w:rPr>
                <w:rFonts w:hint="eastAsia" w:ascii="Times New Roman" w:hAnsi="Times New Roman" w:cs="Times New Roman"/>
                <w:b/>
                <w:bCs/>
                <w:sz w:val="21"/>
                <w:szCs w:val="21"/>
                <w:highlight w:val="none"/>
                <w:lang w:val="en-US" w:eastAsia="zh-CN"/>
              </w:rPr>
              <w:t>（</w:t>
            </w:r>
            <w:r>
              <w:rPr>
                <w:rFonts w:hint="default" w:ascii="Times New Roman" w:hAnsi="Times New Roman" w:cs="Times New Roman"/>
                <w:b/>
                <w:bCs/>
                <w:sz w:val="21"/>
                <w:szCs w:val="21"/>
                <w:highlight w:val="none"/>
                <w:lang w:val="en-US" w:eastAsia="zh-CN"/>
              </w:rPr>
              <w:t>℃</w:t>
            </w:r>
            <w:r>
              <w:rPr>
                <w:rFonts w:hint="eastAsia" w:ascii="Times New Roman" w:hAnsi="Times New Roman" w:cs="Times New Roman"/>
                <w:b/>
                <w:bCs/>
                <w:sz w:val="21"/>
                <w:szCs w:val="21"/>
                <w:highlight w:val="none"/>
                <w:lang w:val="en-US" w:eastAsia="zh-CN"/>
              </w:rPr>
              <w:t>）</w:t>
            </w:r>
          </w:p>
        </w:tc>
        <w:tc>
          <w:tcPr>
            <w:tcW w:w="736" w:type="pct"/>
            <w:noWrap w:val="0"/>
            <w:vAlign w:val="center"/>
          </w:tcPr>
          <w:p w14:paraId="0E5BE782">
            <w:pPr>
              <w:bidi w:val="0"/>
              <w:spacing w:line="360" w:lineRule="auto"/>
              <w:ind w:left="0" w:leftChars="0" w:firstLine="0" w:firstLineChars="0"/>
              <w:jc w:val="center"/>
              <w:rPr>
                <w:rFonts w:hint="default" w:ascii="Times New Roman" w:hAnsi="Times New Roman" w:cs="Times New Roman"/>
                <w:b/>
                <w:bCs/>
                <w:sz w:val="21"/>
                <w:szCs w:val="21"/>
                <w:highlight w:val="none"/>
                <w:lang w:val="en-US" w:eastAsia="zh-CN"/>
              </w:rPr>
            </w:pPr>
            <w:r>
              <w:rPr>
                <w:rFonts w:hint="default" w:ascii="Times New Roman" w:hAnsi="Times New Roman" w:cs="Times New Roman"/>
                <w:b/>
                <w:bCs/>
                <w:sz w:val="21"/>
                <w:szCs w:val="21"/>
                <w:highlight w:val="none"/>
                <w:lang w:val="en-US" w:eastAsia="zh-CN"/>
              </w:rPr>
              <w:t>风向</w:t>
            </w:r>
          </w:p>
        </w:tc>
        <w:tc>
          <w:tcPr>
            <w:tcW w:w="652" w:type="pct"/>
            <w:noWrap w:val="0"/>
            <w:vAlign w:val="center"/>
          </w:tcPr>
          <w:p w14:paraId="021666A2">
            <w:pPr>
              <w:bidi w:val="0"/>
              <w:spacing w:line="360" w:lineRule="auto"/>
              <w:ind w:left="0" w:leftChars="0" w:firstLine="0" w:firstLineChars="0"/>
              <w:jc w:val="center"/>
              <w:rPr>
                <w:rFonts w:hint="default" w:ascii="Times New Roman" w:hAnsi="Times New Roman" w:cs="Times New Roman"/>
                <w:b/>
                <w:bCs/>
                <w:sz w:val="21"/>
                <w:szCs w:val="21"/>
                <w:highlight w:val="none"/>
                <w:lang w:val="en-US" w:eastAsia="zh-CN"/>
              </w:rPr>
            </w:pPr>
            <w:r>
              <w:rPr>
                <w:rFonts w:hint="default" w:ascii="Times New Roman" w:hAnsi="Times New Roman" w:cs="Times New Roman"/>
                <w:b/>
                <w:bCs/>
                <w:sz w:val="21"/>
                <w:szCs w:val="21"/>
                <w:highlight w:val="none"/>
                <w:lang w:val="en-US" w:eastAsia="zh-CN"/>
              </w:rPr>
              <w:t>风速</w:t>
            </w:r>
            <w:r>
              <w:rPr>
                <w:rFonts w:hint="eastAsia" w:ascii="Times New Roman" w:hAnsi="Times New Roman" w:cs="Times New Roman"/>
                <w:b/>
                <w:bCs/>
                <w:sz w:val="21"/>
                <w:szCs w:val="21"/>
                <w:highlight w:val="none"/>
                <w:lang w:val="en-US" w:eastAsia="zh-CN"/>
              </w:rPr>
              <w:t>（</w:t>
            </w:r>
            <w:r>
              <w:rPr>
                <w:rFonts w:hint="default" w:ascii="Times New Roman" w:hAnsi="Times New Roman" w:cs="Times New Roman"/>
                <w:b/>
                <w:bCs/>
                <w:sz w:val="21"/>
                <w:szCs w:val="21"/>
                <w:highlight w:val="none"/>
                <w:lang w:val="en-US" w:eastAsia="zh-CN"/>
              </w:rPr>
              <w:t>m/s</w:t>
            </w:r>
            <w:r>
              <w:rPr>
                <w:rFonts w:hint="eastAsia" w:ascii="Times New Roman" w:hAnsi="Times New Roman" w:cs="Times New Roman"/>
                <w:b/>
                <w:bCs/>
                <w:sz w:val="21"/>
                <w:szCs w:val="21"/>
                <w:highlight w:val="none"/>
                <w:lang w:val="en-US" w:eastAsia="zh-CN"/>
              </w:rPr>
              <w:t>）</w:t>
            </w:r>
          </w:p>
        </w:tc>
        <w:tc>
          <w:tcPr>
            <w:tcW w:w="679" w:type="pct"/>
            <w:noWrap w:val="0"/>
            <w:vAlign w:val="center"/>
          </w:tcPr>
          <w:p w14:paraId="60E4A70D">
            <w:pPr>
              <w:bidi w:val="0"/>
              <w:spacing w:line="360" w:lineRule="auto"/>
              <w:ind w:left="0" w:leftChars="0" w:firstLine="0" w:firstLineChars="0"/>
              <w:jc w:val="center"/>
              <w:rPr>
                <w:rFonts w:hint="default" w:ascii="Times New Roman" w:hAnsi="Times New Roman" w:cs="Times New Roman"/>
                <w:b/>
                <w:bCs/>
                <w:sz w:val="21"/>
                <w:szCs w:val="21"/>
                <w:highlight w:val="none"/>
                <w:lang w:val="en-US" w:eastAsia="zh-CN"/>
              </w:rPr>
            </w:pPr>
            <w:r>
              <w:rPr>
                <w:rFonts w:hint="default" w:ascii="Times New Roman" w:hAnsi="Times New Roman" w:cs="Times New Roman"/>
                <w:b/>
                <w:bCs/>
                <w:sz w:val="21"/>
                <w:szCs w:val="21"/>
                <w:highlight w:val="none"/>
                <w:lang w:val="en-US" w:eastAsia="zh-CN"/>
              </w:rPr>
              <w:t>气压</w:t>
            </w:r>
            <w:r>
              <w:rPr>
                <w:rFonts w:hint="eastAsia" w:ascii="Times New Roman" w:hAnsi="Times New Roman" w:cs="Times New Roman"/>
                <w:b/>
                <w:bCs/>
                <w:sz w:val="21"/>
                <w:szCs w:val="21"/>
                <w:highlight w:val="none"/>
                <w:lang w:val="en-US" w:eastAsia="zh-CN"/>
              </w:rPr>
              <w:t>（</w:t>
            </w:r>
            <w:r>
              <w:rPr>
                <w:rFonts w:hint="eastAsia" w:cs="Times New Roman"/>
                <w:b/>
                <w:bCs/>
                <w:sz w:val="21"/>
                <w:szCs w:val="21"/>
                <w:highlight w:val="none"/>
                <w:lang w:val="en-US" w:eastAsia="zh-CN"/>
              </w:rPr>
              <w:t>k</w:t>
            </w:r>
            <w:r>
              <w:rPr>
                <w:rFonts w:hint="default" w:ascii="Times New Roman" w:hAnsi="Times New Roman" w:cs="Times New Roman"/>
                <w:b/>
                <w:bCs/>
                <w:sz w:val="21"/>
                <w:szCs w:val="21"/>
                <w:highlight w:val="none"/>
                <w:lang w:val="en-US" w:eastAsia="zh-CN"/>
              </w:rPr>
              <w:t>Pa</w:t>
            </w:r>
            <w:r>
              <w:rPr>
                <w:rFonts w:hint="eastAsia" w:ascii="Times New Roman" w:hAnsi="Times New Roman" w:cs="Times New Roman"/>
                <w:b/>
                <w:bCs/>
                <w:sz w:val="21"/>
                <w:szCs w:val="21"/>
                <w:highlight w:val="none"/>
                <w:lang w:val="en-US" w:eastAsia="zh-CN"/>
              </w:rPr>
              <w:t>）</w:t>
            </w:r>
          </w:p>
        </w:tc>
        <w:tc>
          <w:tcPr>
            <w:tcW w:w="619" w:type="pct"/>
            <w:noWrap w:val="0"/>
            <w:vAlign w:val="center"/>
          </w:tcPr>
          <w:p w14:paraId="5A12B31D">
            <w:pPr>
              <w:bidi w:val="0"/>
              <w:spacing w:line="360" w:lineRule="auto"/>
              <w:ind w:left="0" w:leftChars="0" w:firstLine="0" w:firstLineChars="0"/>
              <w:jc w:val="center"/>
              <w:rPr>
                <w:rFonts w:hint="default" w:ascii="Times New Roman" w:hAnsi="Times New Roman" w:cs="Times New Roman"/>
                <w:b/>
                <w:bCs/>
                <w:sz w:val="21"/>
                <w:szCs w:val="21"/>
                <w:highlight w:val="none"/>
                <w:lang w:val="en-US" w:eastAsia="zh-CN"/>
              </w:rPr>
            </w:pPr>
            <w:r>
              <w:rPr>
                <w:rFonts w:hint="default" w:ascii="Times New Roman" w:hAnsi="Times New Roman" w:cs="Times New Roman"/>
                <w:b/>
                <w:bCs/>
                <w:sz w:val="21"/>
                <w:szCs w:val="21"/>
                <w:highlight w:val="none"/>
                <w:lang w:val="en-US" w:eastAsia="zh-CN"/>
              </w:rPr>
              <w:t>湿度</w:t>
            </w:r>
            <w:r>
              <w:rPr>
                <w:rFonts w:hint="eastAsia" w:ascii="Times New Roman" w:hAnsi="Times New Roman" w:cs="Times New Roman"/>
                <w:b/>
                <w:bCs/>
                <w:sz w:val="21"/>
                <w:szCs w:val="21"/>
                <w:highlight w:val="none"/>
                <w:lang w:val="en-US" w:eastAsia="zh-CN"/>
              </w:rPr>
              <w:t>（</w:t>
            </w:r>
            <w:r>
              <w:rPr>
                <w:rFonts w:hint="default" w:ascii="Times New Roman" w:hAnsi="Times New Roman" w:cs="Times New Roman"/>
                <w:b/>
                <w:bCs/>
                <w:sz w:val="21"/>
                <w:szCs w:val="21"/>
                <w:highlight w:val="none"/>
                <w:lang w:val="en-US" w:eastAsia="zh-CN"/>
              </w:rPr>
              <w:t>%</w:t>
            </w:r>
            <w:r>
              <w:rPr>
                <w:rFonts w:hint="eastAsia" w:ascii="Times New Roman" w:hAnsi="Times New Roman" w:cs="Times New Roman"/>
                <w:b/>
                <w:bCs/>
                <w:sz w:val="21"/>
                <w:szCs w:val="21"/>
                <w:highlight w:val="none"/>
                <w:lang w:val="en-US" w:eastAsia="zh-CN"/>
              </w:rPr>
              <w:t>）</w:t>
            </w:r>
          </w:p>
        </w:tc>
      </w:tr>
      <w:tr w14:paraId="5B84E88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20" w:type="pct"/>
            <w:noWrap w:val="0"/>
            <w:vAlign w:val="center"/>
          </w:tcPr>
          <w:p w14:paraId="5D689642">
            <w:pPr>
              <w:bidi w:val="0"/>
              <w:spacing w:line="240" w:lineRule="auto"/>
              <w:ind w:left="0" w:leftChars="0" w:firstLine="0" w:firstLineChars="0"/>
              <w:jc w:val="center"/>
              <w:rPr>
                <w:rFonts w:hint="default" w:ascii="Times New Roman" w:hAnsi="Times New Roman" w:eastAsia="宋体" w:cs="Times New Roman"/>
                <w:sz w:val="21"/>
                <w:szCs w:val="21"/>
                <w:highlight w:val="none"/>
                <w:lang w:val="en-US" w:eastAsia="zh-CN"/>
              </w:rPr>
            </w:pPr>
            <w:r>
              <w:rPr>
                <w:rFonts w:hint="eastAsia" w:cs="Times New Roman"/>
                <w:sz w:val="21"/>
                <w:szCs w:val="21"/>
                <w:highlight w:val="none"/>
                <w:lang w:val="en-US" w:eastAsia="zh-CN"/>
              </w:rPr>
              <w:t>2025.8.21</w:t>
            </w:r>
          </w:p>
        </w:tc>
        <w:tc>
          <w:tcPr>
            <w:tcW w:w="676" w:type="pct"/>
            <w:noWrap w:val="0"/>
            <w:vAlign w:val="center"/>
          </w:tcPr>
          <w:p w14:paraId="682EA473">
            <w:pPr>
              <w:bidi w:val="0"/>
              <w:spacing w:line="240" w:lineRule="auto"/>
              <w:ind w:left="0" w:leftChars="0" w:firstLine="0" w:firstLineChars="0"/>
              <w:jc w:val="center"/>
              <w:rPr>
                <w:rFonts w:hint="default" w:ascii="Times New Roman" w:hAnsi="Times New Roman" w:eastAsia="宋体" w:cs="Times New Roman"/>
                <w:sz w:val="21"/>
                <w:szCs w:val="21"/>
                <w:highlight w:val="none"/>
                <w:lang w:val="en-US" w:eastAsia="zh-CN"/>
              </w:rPr>
            </w:pPr>
            <w:r>
              <w:rPr>
                <w:rFonts w:hint="eastAsia" w:cs="Times New Roman"/>
                <w:sz w:val="21"/>
                <w:szCs w:val="21"/>
                <w:highlight w:val="none"/>
                <w:lang w:val="en-US" w:eastAsia="zh-CN"/>
              </w:rPr>
              <w:t>多云</w:t>
            </w:r>
          </w:p>
        </w:tc>
        <w:tc>
          <w:tcPr>
            <w:tcW w:w="916" w:type="pct"/>
            <w:noWrap w:val="0"/>
            <w:vAlign w:val="center"/>
          </w:tcPr>
          <w:p w14:paraId="7F0AFECB">
            <w:pPr>
              <w:bidi w:val="0"/>
              <w:spacing w:line="240" w:lineRule="auto"/>
              <w:ind w:left="0" w:leftChars="0" w:firstLine="0" w:firstLineChars="0"/>
              <w:jc w:val="center"/>
              <w:rPr>
                <w:rFonts w:hint="default" w:ascii="Times New Roman" w:hAnsi="Times New Roman" w:eastAsia="宋体" w:cs="Times New Roman"/>
                <w:sz w:val="21"/>
                <w:szCs w:val="21"/>
                <w:highlight w:val="none"/>
                <w:lang w:val="en-US" w:eastAsia="zh-CN"/>
              </w:rPr>
            </w:pPr>
            <w:r>
              <w:rPr>
                <w:rFonts w:hint="eastAsia" w:cs="Times New Roman"/>
                <w:sz w:val="21"/>
                <w:szCs w:val="21"/>
                <w:highlight w:val="none"/>
                <w:lang w:val="en-US" w:eastAsia="zh-CN"/>
              </w:rPr>
              <w:t>27~35</w:t>
            </w:r>
          </w:p>
        </w:tc>
        <w:tc>
          <w:tcPr>
            <w:tcW w:w="736" w:type="pct"/>
            <w:noWrap w:val="0"/>
            <w:vAlign w:val="center"/>
          </w:tcPr>
          <w:p w14:paraId="4E92869E">
            <w:pPr>
              <w:bidi w:val="0"/>
              <w:spacing w:line="240" w:lineRule="auto"/>
              <w:ind w:left="0" w:leftChars="0" w:firstLine="0" w:firstLineChars="0"/>
              <w:jc w:val="center"/>
              <w:rPr>
                <w:rFonts w:hint="default" w:ascii="Times New Roman" w:hAnsi="Times New Roman" w:eastAsia="宋体" w:cs="Times New Roman"/>
                <w:sz w:val="21"/>
                <w:szCs w:val="21"/>
                <w:highlight w:val="none"/>
                <w:lang w:val="en-US" w:eastAsia="zh-CN"/>
              </w:rPr>
            </w:pPr>
            <w:r>
              <w:rPr>
                <w:rFonts w:hint="eastAsia" w:cs="Times New Roman"/>
                <w:sz w:val="21"/>
                <w:szCs w:val="21"/>
                <w:highlight w:val="none"/>
                <w:lang w:val="en-US" w:eastAsia="zh-CN"/>
              </w:rPr>
              <w:t>东南</w:t>
            </w:r>
          </w:p>
        </w:tc>
        <w:tc>
          <w:tcPr>
            <w:tcW w:w="652" w:type="pct"/>
            <w:noWrap w:val="0"/>
            <w:vAlign w:val="center"/>
          </w:tcPr>
          <w:p w14:paraId="45D368F9">
            <w:pPr>
              <w:bidi w:val="0"/>
              <w:spacing w:line="240" w:lineRule="auto"/>
              <w:ind w:left="0" w:leftChars="0" w:firstLine="0" w:firstLineChars="0"/>
              <w:jc w:val="center"/>
              <w:rPr>
                <w:rFonts w:hint="default" w:ascii="Times New Roman" w:hAnsi="Times New Roman" w:eastAsia="宋体" w:cs="Times New Roman"/>
                <w:sz w:val="21"/>
                <w:szCs w:val="21"/>
                <w:highlight w:val="none"/>
                <w:lang w:val="en-US" w:eastAsia="zh-CN"/>
              </w:rPr>
            </w:pPr>
            <w:r>
              <w:rPr>
                <w:rFonts w:hint="eastAsia" w:cs="Times New Roman"/>
                <w:sz w:val="21"/>
                <w:szCs w:val="21"/>
                <w:highlight w:val="none"/>
                <w:lang w:val="en-US" w:eastAsia="zh-CN"/>
              </w:rPr>
              <w:t>1.7</w:t>
            </w:r>
          </w:p>
        </w:tc>
        <w:tc>
          <w:tcPr>
            <w:tcW w:w="679" w:type="pct"/>
            <w:noWrap w:val="0"/>
            <w:vAlign w:val="center"/>
          </w:tcPr>
          <w:p w14:paraId="5B54A4CF">
            <w:pPr>
              <w:bidi w:val="0"/>
              <w:spacing w:line="240" w:lineRule="auto"/>
              <w:ind w:left="0" w:leftChars="0" w:firstLine="0" w:firstLineChars="0"/>
              <w:jc w:val="center"/>
              <w:rPr>
                <w:rFonts w:hint="default" w:ascii="Times New Roman" w:hAnsi="Times New Roman" w:eastAsia="宋体" w:cs="Times New Roman"/>
                <w:sz w:val="21"/>
                <w:szCs w:val="21"/>
                <w:highlight w:val="none"/>
                <w:lang w:val="en-US" w:eastAsia="zh-CN"/>
              </w:rPr>
            </w:pPr>
            <w:r>
              <w:rPr>
                <w:rFonts w:hint="eastAsia" w:cs="Times New Roman"/>
                <w:sz w:val="21"/>
                <w:szCs w:val="21"/>
                <w:highlight w:val="none"/>
                <w:lang w:val="en-US" w:eastAsia="zh-CN"/>
              </w:rPr>
              <w:t>99.9</w:t>
            </w:r>
          </w:p>
        </w:tc>
        <w:tc>
          <w:tcPr>
            <w:tcW w:w="619" w:type="pct"/>
            <w:noWrap w:val="0"/>
            <w:vAlign w:val="center"/>
          </w:tcPr>
          <w:p w14:paraId="57230741">
            <w:pPr>
              <w:bidi w:val="0"/>
              <w:spacing w:line="240" w:lineRule="auto"/>
              <w:ind w:left="0" w:leftChars="0" w:firstLine="0" w:firstLineChars="0"/>
              <w:jc w:val="center"/>
              <w:rPr>
                <w:rFonts w:hint="default" w:ascii="Times New Roman" w:hAnsi="Times New Roman" w:eastAsia="宋体" w:cs="Times New Roman"/>
                <w:sz w:val="21"/>
                <w:szCs w:val="21"/>
                <w:highlight w:val="none"/>
                <w:lang w:val="en-US" w:eastAsia="zh-CN"/>
              </w:rPr>
            </w:pPr>
            <w:r>
              <w:rPr>
                <w:rFonts w:hint="eastAsia" w:cs="Times New Roman"/>
                <w:sz w:val="21"/>
                <w:szCs w:val="21"/>
                <w:highlight w:val="none"/>
                <w:lang w:val="en-US" w:eastAsia="zh-CN"/>
              </w:rPr>
              <w:t>64</w:t>
            </w:r>
          </w:p>
        </w:tc>
      </w:tr>
      <w:tr w14:paraId="3008A7D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20" w:type="pct"/>
            <w:noWrap w:val="0"/>
            <w:vAlign w:val="center"/>
          </w:tcPr>
          <w:p w14:paraId="541426BB">
            <w:pPr>
              <w:bidi w:val="0"/>
              <w:spacing w:line="240" w:lineRule="auto"/>
              <w:ind w:left="0" w:leftChars="0" w:firstLine="0" w:firstLineChars="0"/>
              <w:jc w:val="center"/>
              <w:rPr>
                <w:rFonts w:hint="default" w:ascii="Times New Roman" w:hAnsi="Times New Roman" w:eastAsia="宋体" w:cs="Times New Roman"/>
                <w:sz w:val="21"/>
                <w:szCs w:val="21"/>
                <w:highlight w:val="none"/>
                <w:lang w:val="en-US" w:eastAsia="zh-CN"/>
              </w:rPr>
            </w:pPr>
            <w:r>
              <w:rPr>
                <w:rFonts w:hint="eastAsia" w:cs="Times New Roman"/>
                <w:sz w:val="21"/>
                <w:szCs w:val="21"/>
                <w:highlight w:val="none"/>
                <w:lang w:val="en-US" w:eastAsia="zh-CN"/>
              </w:rPr>
              <w:t>2025.8.22</w:t>
            </w:r>
          </w:p>
        </w:tc>
        <w:tc>
          <w:tcPr>
            <w:tcW w:w="676" w:type="pct"/>
            <w:noWrap w:val="0"/>
            <w:vAlign w:val="center"/>
          </w:tcPr>
          <w:p w14:paraId="21588E2B">
            <w:pPr>
              <w:bidi w:val="0"/>
              <w:spacing w:line="240" w:lineRule="auto"/>
              <w:ind w:left="0" w:leftChars="0" w:firstLine="0" w:firstLineChars="0"/>
              <w:jc w:val="center"/>
              <w:rPr>
                <w:rFonts w:hint="default" w:ascii="Times New Roman" w:hAnsi="Times New Roman" w:eastAsia="宋体" w:cs="Times New Roman"/>
                <w:sz w:val="21"/>
                <w:szCs w:val="21"/>
                <w:highlight w:val="none"/>
                <w:lang w:val="en-US" w:eastAsia="zh-CN"/>
              </w:rPr>
            </w:pPr>
            <w:r>
              <w:rPr>
                <w:rFonts w:hint="eastAsia" w:cs="Times New Roman"/>
                <w:sz w:val="21"/>
                <w:szCs w:val="21"/>
                <w:highlight w:val="none"/>
                <w:lang w:val="en-US" w:eastAsia="zh-CN"/>
              </w:rPr>
              <w:t>多云</w:t>
            </w:r>
          </w:p>
        </w:tc>
        <w:tc>
          <w:tcPr>
            <w:tcW w:w="916" w:type="pct"/>
            <w:noWrap w:val="0"/>
            <w:vAlign w:val="center"/>
          </w:tcPr>
          <w:p w14:paraId="27EF8770">
            <w:pPr>
              <w:bidi w:val="0"/>
              <w:spacing w:line="240" w:lineRule="auto"/>
              <w:ind w:left="0" w:leftChars="0" w:firstLine="0" w:firstLineChars="0"/>
              <w:jc w:val="center"/>
              <w:rPr>
                <w:rFonts w:hint="default" w:ascii="Times New Roman" w:hAnsi="Times New Roman" w:eastAsia="宋体" w:cs="Times New Roman"/>
                <w:sz w:val="21"/>
                <w:szCs w:val="21"/>
                <w:highlight w:val="none"/>
                <w:lang w:val="en-US" w:eastAsia="zh-CN"/>
              </w:rPr>
            </w:pPr>
            <w:r>
              <w:rPr>
                <w:rFonts w:hint="eastAsia" w:cs="Times New Roman"/>
                <w:sz w:val="21"/>
                <w:szCs w:val="21"/>
                <w:highlight w:val="none"/>
                <w:lang w:val="en-US" w:eastAsia="zh-CN"/>
              </w:rPr>
              <w:t>24~34</w:t>
            </w:r>
          </w:p>
        </w:tc>
        <w:tc>
          <w:tcPr>
            <w:tcW w:w="736" w:type="pct"/>
            <w:noWrap w:val="0"/>
            <w:vAlign w:val="center"/>
          </w:tcPr>
          <w:p w14:paraId="0A367FB2">
            <w:pPr>
              <w:bidi w:val="0"/>
              <w:spacing w:line="240" w:lineRule="auto"/>
              <w:ind w:left="0" w:leftChars="0" w:firstLine="0" w:firstLineChars="0"/>
              <w:jc w:val="center"/>
              <w:rPr>
                <w:rFonts w:hint="default" w:ascii="Times New Roman" w:hAnsi="Times New Roman" w:eastAsia="宋体" w:cs="Times New Roman"/>
                <w:sz w:val="21"/>
                <w:szCs w:val="21"/>
                <w:highlight w:val="none"/>
                <w:lang w:val="en-US" w:eastAsia="zh-CN"/>
              </w:rPr>
            </w:pPr>
            <w:r>
              <w:rPr>
                <w:rFonts w:hint="eastAsia" w:cs="Times New Roman"/>
                <w:sz w:val="21"/>
                <w:szCs w:val="21"/>
                <w:highlight w:val="none"/>
                <w:lang w:val="en-US" w:eastAsia="zh-CN"/>
              </w:rPr>
              <w:t>东南</w:t>
            </w:r>
          </w:p>
        </w:tc>
        <w:tc>
          <w:tcPr>
            <w:tcW w:w="652" w:type="pct"/>
            <w:noWrap w:val="0"/>
            <w:vAlign w:val="center"/>
          </w:tcPr>
          <w:p w14:paraId="4C3E7847">
            <w:pPr>
              <w:bidi w:val="0"/>
              <w:spacing w:line="240" w:lineRule="auto"/>
              <w:ind w:left="0" w:leftChars="0" w:firstLine="0" w:firstLineChars="0"/>
              <w:jc w:val="center"/>
              <w:rPr>
                <w:rFonts w:hint="default" w:ascii="Times New Roman" w:hAnsi="Times New Roman" w:eastAsia="宋体" w:cs="Times New Roman"/>
                <w:sz w:val="21"/>
                <w:szCs w:val="21"/>
                <w:highlight w:val="none"/>
                <w:lang w:val="en-US" w:eastAsia="zh-CN"/>
              </w:rPr>
            </w:pPr>
            <w:r>
              <w:rPr>
                <w:rFonts w:hint="eastAsia" w:cs="Times New Roman"/>
                <w:sz w:val="21"/>
                <w:szCs w:val="21"/>
                <w:highlight w:val="none"/>
                <w:lang w:val="en-US" w:eastAsia="zh-CN"/>
              </w:rPr>
              <w:t>1.9</w:t>
            </w:r>
          </w:p>
        </w:tc>
        <w:tc>
          <w:tcPr>
            <w:tcW w:w="679" w:type="pct"/>
            <w:noWrap w:val="0"/>
            <w:vAlign w:val="center"/>
          </w:tcPr>
          <w:p w14:paraId="06D295AB">
            <w:pPr>
              <w:bidi w:val="0"/>
              <w:spacing w:line="240" w:lineRule="auto"/>
              <w:ind w:left="0" w:leftChars="0" w:firstLine="0" w:firstLineChars="0"/>
              <w:jc w:val="center"/>
              <w:rPr>
                <w:rFonts w:hint="default" w:ascii="Times New Roman" w:hAnsi="Times New Roman" w:eastAsia="宋体" w:cs="Times New Roman"/>
                <w:sz w:val="21"/>
                <w:szCs w:val="21"/>
                <w:highlight w:val="none"/>
                <w:lang w:val="en-US" w:eastAsia="zh-CN"/>
              </w:rPr>
            </w:pPr>
            <w:r>
              <w:rPr>
                <w:rFonts w:hint="eastAsia" w:cs="Times New Roman"/>
                <w:sz w:val="21"/>
                <w:szCs w:val="21"/>
                <w:highlight w:val="none"/>
                <w:lang w:val="en-US" w:eastAsia="zh-CN"/>
              </w:rPr>
              <w:t>99.8</w:t>
            </w:r>
          </w:p>
        </w:tc>
        <w:tc>
          <w:tcPr>
            <w:tcW w:w="619" w:type="pct"/>
            <w:noWrap w:val="0"/>
            <w:vAlign w:val="center"/>
          </w:tcPr>
          <w:p w14:paraId="42114096">
            <w:pPr>
              <w:bidi w:val="0"/>
              <w:spacing w:line="240" w:lineRule="auto"/>
              <w:ind w:left="0" w:leftChars="0" w:firstLine="0" w:firstLineChars="0"/>
              <w:jc w:val="center"/>
              <w:rPr>
                <w:rFonts w:hint="default" w:ascii="Times New Roman" w:hAnsi="Times New Roman" w:eastAsia="宋体" w:cs="Times New Roman"/>
                <w:sz w:val="21"/>
                <w:szCs w:val="21"/>
                <w:highlight w:val="none"/>
                <w:lang w:val="en-US" w:eastAsia="zh-CN"/>
              </w:rPr>
            </w:pPr>
            <w:r>
              <w:rPr>
                <w:rFonts w:hint="eastAsia" w:cs="Times New Roman"/>
                <w:sz w:val="21"/>
                <w:szCs w:val="21"/>
                <w:highlight w:val="none"/>
                <w:lang w:val="en-US" w:eastAsia="zh-CN"/>
              </w:rPr>
              <w:t>57</w:t>
            </w:r>
          </w:p>
        </w:tc>
      </w:tr>
      <w:tr w14:paraId="4A14D8F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20" w:type="pct"/>
            <w:noWrap w:val="0"/>
            <w:vAlign w:val="center"/>
          </w:tcPr>
          <w:p w14:paraId="60F3BD44">
            <w:pPr>
              <w:bidi w:val="0"/>
              <w:spacing w:line="240" w:lineRule="auto"/>
              <w:ind w:left="0" w:leftChars="0" w:firstLine="0" w:firstLineChars="0"/>
              <w:jc w:val="center"/>
              <w:rPr>
                <w:rFonts w:hint="default" w:ascii="Times New Roman" w:hAnsi="Times New Roman" w:eastAsia="宋体" w:cs="Times New Roman"/>
                <w:sz w:val="21"/>
                <w:szCs w:val="21"/>
                <w:highlight w:val="none"/>
                <w:lang w:val="en-US" w:eastAsia="zh-CN"/>
              </w:rPr>
            </w:pPr>
            <w:r>
              <w:rPr>
                <w:rFonts w:hint="eastAsia" w:cs="Times New Roman"/>
                <w:sz w:val="21"/>
                <w:szCs w:val="21"/>
                <w:highlight w:val="none"/>
                <w:lang w:val="en-US" w:eastAsia="zh-CN"/>
              </w:rPr>
              <w:t>2025.8.23</w:t>
            </w:r>
          </w:p>
        </w:tc>
        <w:tc>
          <w:tcPr>
            <w:tcW w:w="676" w:type="pct"/>
            <w:noWrap w:val="0"/>
            <w:vAlign w:val="center"/>
          </w:tcPr>
          <w:p w14:paraId="17D7C3DC">
            <w:pPr>
              <w:bidi w:val="0"/>
              <w:spacing w:line="240" w:lineRule="auto"/>
              <w:ind w:left="0" w:leftChars="0" w:firstLine="0" w:firstLineChars="0"/>
              <w:jc w:val="center"/>
              <w:rPr>
                <w:rFonts w:hint="default" w:ascii="Times New Roman" w:hAnsi="Times New Roman" w:eastAsia="宋体" w:cs="Times New Roman"/>
                <w:sz w:val="21"/>
                <w:szCs w:val="21"/>
                <w:highlight w:val="none"/>
                <w:lang w:val="en-US" w:eastAsia="zh-CN"/>
              </w:rPr>
            </w:pPr>
            <w:r>
              <w:rPr>
                <w:rFonts w:hint="eastAsia" w:cs="Times New Roman"/>
                <w:sz w:val="21"/>
                <w:szCs w:val="21"/>
                <w:highlight w:val="none"/>
                <w:lang w:val="en-US" w:eastAsia="zh-CN"/>
              </w:rPr>
              <w:t>多云</w:t>
            </w:r>
          </w:p>
        </w:tc>
        <w:tc>
          <w:tcPr>
            <w:tcW w:w="916" w:type="pct"/>
            <w:noWrap w:val="0"/>
            <w:vAlign w:val="center"/>
          </w:tcPr>
          <w:p w14:paraId="4BFBACC5">
            <w:pPr>
              <w:bidi w:val="0"/>
              <w:spacing w:line="240" w:lineRule="auto"/>
              <w:ind w:left="0" w:leftChars="0" w:firstLine="0" w:firstLineChars="0"/>
              <w:jc w:val="center"/>
              <w:rPr>
                <w:rFonts w:hint="default" w:ascii="Times New Roman" w:hAnsi="Times New Roman" w:eastAsia="宋体" w:cs="Times New Roman"/>
                <w:sz w:val="21"/>
                <w:szCs w:val="21"/>
                <w:highlight w:val="none"/>
                <w:lang w:val="en-US" w:eastAsia="zh-CN"/>
              </w:rPr>
            </w:pPr>
            <w:r>
              <w:rPr>
                <w:rFonts w:hint="eastAsia" w:cs="Times New Roman"/>
                <w:sz w:val="21"/>
                <w:szCs w:val="21"/>
                <w:highlight w:val="none"/>
                <w:lang w:val="en-US" w:eastAsia="zh-CN"/>
              </w:rPr>
              <w:t>24~35</w:t>
            </w:r>
          </w:p>
        </w:tc>
        <w:tc>
          <w:tcPr>
            <w:tcW w:w="736" w:type="pct"/>
            <w:noWrap w:val="0"/>
            <w:vAlign w:val="center"/>
          </w:tcPr>
          <w:p w14:paraId="0DBFC5FD">
            <w:pPr>
              <w:bidi w:val="0"/>
              <w:spacing w:line="240" w:lineRule="auto"/>
              <w:ind w:left="0" w:leftChars="0" w:firstLine="0" w:firstLineChars="0"/>
              <w:jc w:val="center"/>
              <w:rPr>
                <w:rFonts w:hint="default" w:ascii="Times New Roman" w:hAnsi="Times New Roman" w:eastAsia="宋体" w:cs="Times New Roman"/>
                <w:sz w:val="21"/>
                <w:szCs w:val="21"/>
                <w:highlight w:val="none"/>
                <w:lang w:val="en-US" w:eastAsia="zh-CN"/>
              </w:rPr>
            </w:pPr>
            <w:r>
              <w:rPr>
                <w:rFonts w:hint="eastAsia" w:cs="Times New Roman"/>
                <w:sz w:val="21"/>
                <w:szCs w:val="21"/>
                <w:highlight w:val="none"/>
                <w:lang w:val="en-US" w:eastAsia="zh-CN"/>
              </w:rPr>
              <w:t>西南</w:t>
            </w:r>
          </w:p>
        </w:tc>
        <w:tc>
          <w:tcPr>
            <w:tcW w:w="652" w:type="pct"/>
            <w:noWrap w:val="0"/>
            <w:vAlign w:val="center"/>
          </w:tcPr>
          <w:p w14:paraId="30FCFAD7">
            <w:pPr>
              <w:bidi w:val="0"/>
              <w:spacing w:line="240" w:lineRule="auto"/>
              <w:ind w:left="0" w:leftChars="0" w:firstLine="0" w:firstLineChars="0"/>
              <w:jc w:val="center"/>
              <w:rPr>
                <w:rFonts w:hint="default" w:ascii="Times New Roman" w:hAnsi="Times New Roman" w:eastAsia="宋体" w:cs="Times New Roman"/>
                <w:sz w:val="21"/>
                <w:szCs w:val="21"/>
                <w:highlight w:val="none"/>
                <w:lang w:val="en-US" w:eastAsia="zh-CN"/>
              </w:rPr>
            </w:pPr>
            <w:r>
              <w:rPr>
                <w:rFonts w:hint="eastAsia" w:cs="Times New Roman"/>
                <w:sz w:val="21"/>
                <w:szCs w:val="21"/>
                <w:highlight w:val="none"/>
                <w:lang w:val="en-US" w:eastAsia="zh-CN"/>
              </w:rPr>
              <w:t>2.1</w:t>
            </w:r>
          </w:p>
        </w:tc>
        <w:tc>
          <w:tcPr>
            <w:tcW w:w="679" w:type="pct"/>
            <w:noWrap w:val="0"/>
            <w:vAlign w:val="center"/>
          </w:tcPr>
          <w:p w14:paraId="14009060">
            <w:pPr>
              <w:bidi w:val="0"/>
              <w:spacing w:line="240" w:lineRule="auto"/>
              <w:ind w:left="0" w:leftChars="0" w:firstLine="0" w:firstLineChars="0"/>
              <w:jc w:val="center"/>
              <w:rPr>
                <w:rFonts w:hint="default" w:ascii="Times New Roman" w:hAnsi="Times New Roman" w:eastAsia="宋体" w:cs="Times New Roman"/>
                <w:sz w:val="21"/>
                <w:szCs w:val="21"/>
                <w:highlight w:val="none"/>
                <w:lang w:val="en-US" w:eastAsia="zh-CN"/>
              </w:rPr>
            </w:pPr>
            <w:r>
              <w:rPr>
                <w:rFonts w:hint="eastAsia" w:cs="Times New Roman"/>
                <w:sz w:val="21"/>
                <w:szCs w:val="21"/>
                <w:highlight w:val="none"/>
                <w:lang w:val="en-US" w:eastAsia="zh-CN"/>
              </w:rPr>
              <w:t>99.9</w:t>
            </w:r>
          </w:p>
        </w:tc>
        <w:tc>
          <w:tcPr>
            <w:tcW w:w="619" w:type="pct"/>
            <w:noWrap w:val="0"/>
            <w:vAlign w:val="center"/>
          </w:tcPr>
          <w:p w14:paraId="7DBB6C13">
            <w:pPr>
              <w:bidi w:val="0"/>
              <w:spacing w:line="240" w:lineRule="auto"/>
              <w:ind w:left="0" w:leftChars="0" w:firstLine="0" w:firstLineChars="0"/>
              <w:jc w:val="center"/>
              <w:rPr>
                <w:rFonts w:hint="default" w:ascii="Times New Roman" w:hAnsi="Times New Roman" w:eastAsia="宋体" w:cs="Times New Roman"/>
                <w:sz w:val="21"/>
                <w:szCs w:val="21"/>
                <w:highlight w:val="none"/>
                <w:lang w:val="en-US" w:eastAsia="zh-CN"/>
              </w:rPr>
            </w:pPr>
            <w:r>
              <w:rPr>
                <w:rFonts w:hint="eastAsia" w:cs="Times New Roman"/>
                <w:sz w:val="21"/>
                <w:szCs w:val="21"/>
                <w:highlight w:val="none"/>
                <w:lang w:val="en-US" w:eastAsia="zh-CN"/>
              </w:rPr>
              <w:t>66</w:t>
            </w:r>
          </w:p>
        </w:tc>
      </w:tr>
      <w:tr w14:paraId="4F14E6B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20" w:type="pct"/>
            <w:noWrap w:val="0"/>
            <w:vAlign w:val="center"/>
          </w:tcPr>
          <w:p w14:paraId="261DE96F">
            <w:pPr>
              <w:bidi w:val="0"/>
              <w:spacing w:line="240" w:lineRule="auto"/>
              <w:ind w:left="0" w:leftChars="0" w:firstLine="0" w:firstLineChars="0"/>
              <w:jc w:val="center"/>
              <w:rPr>
                <w:rFonts w:hint="default" w:ascii="Times New Roman" w:hAnsi="Times New Roman" w:eastAsia="宋体" w:cs="Times New Roman"/>
                <w:sz w:val="21"/>
                <w:szCs w:val="21"/>
                <w:highlight w:val="none"/>
                <w:lang w:val="en-US" w:eastAsia="zh-CN"/>
              </w:rPr>
            </w:pPr>
            <w:r>
              <w:rPr>
                <w:rFonts w:hint="eastAsia" w:cs="Times New Roman"/>
                <w:sz w:val="21"/>
                <w:szCs w:val="21"/>
                <w:highlight w:val="none"/>
                <w:lang w:val="en-US" w:eastAsia="zh-CN"/>
              </w:rPr>
              <w:t>2025.8.24</w:t>
            </w:r>
          </w:p>
        </w:tc>
        <w:tc>
          <w:tcPr>
            <w:tcW w:w="676" w:type="pct"/>
            <w:noWrap w:val="0"/>
            <w:vAlign w:val="center"/>
          </w:tcPr>
          <w:p w14:paraId="16E119C8">
            <w:pPr>
              <w:bidi w:val="0"/>
              <w:spacing w:line="240" w:lineRule="auto"/>
              <w:ind w:left="0" w:leftChars="0" w:firstLine="0" w:firstLineChars="0"/>
              <w:jc w:val="center"/>
              <w:rPr>
                <w:rFonts w:hint="default" w:ascii="Times New Roman" w:hAnsi="Times New Roman" w:eastAsia="宋体" w:cs="Times New Roman"/>
                <w:sz w:val="21"/>
                <w:szCs w:val="21"/>
                <w:highlight w:val="none"/>
                <w:lang w:val="en-US" w:eastAsia="zh-CN"/>
              </w:rPr>
            </w:pPr>
            <w:r>
              <w:rPr>
                <w:rFonts w:hint="eastAsia" w:cs="Times New Roman"/>
                <w:sz w:val="21"/>
                <w:szCs w:val="21"/>
                <w:highlight w:val="none"/>
                <w:lang w:val="en-US" w:eastAsia="zh-CN"/>
              </w:rPr>
              <w:t>多云</w:t>
            </w:r>
          </w:p>
        </w:tc>
        <w:tc>
          <w:tcPr>
            <w:tcW w:w="916" w:type="pct"/>
            <w:noWrap w:val="0"/>
            <w:vAlign w:val="center"/>
          </w:tcPr>
          <w:p w14:paraId="6BF36E03">
            <w:pPr>
              <w:bidi w:val="0"/>
              <w:spacing w:line="240" w:lineRule="auto"/>
              <w:ind w:left="0" w:leftChars="0" w:firstLine="0" w:firstLineChars="0"/>
              <w:jc w:val="center"/>
              <w:rPr>
                <w:rFonts w:hint="default" w:ascii="Times New Roman" w:hAnsi="Times New Roman" w:eastAsia="宋体" w:cs="Times New Roman"/>
                <w:sz w:val="21"/>
                <w:szCs w:val="21"/>
                <w:highlight w:val="none"/>
                <w:lang w:val="en-US" w:eastAsia="zh-CN"/>
              </w:rPr>
            </w:pPr>
            <w:r>
              <w:rPr>
                <w:rFonts w:hint="eastAsia" w:cs="Times New Roman"/>
                <w:sz w:val="21"/>
                <w:szCs w:val="21"/>
                <w:highlight w:val="none"/>
                <w:lang w:val="en-US" w:eastAsia="zh-CN"/>
              </w:rPr>
              <w:t>24~39</w:t>
            </w:r>
          </w:p>
        </w:tc>
        <w:tc>
          <w:tcPr>
            <w:tcW w:w="736" w:type="pct"/>
            <w:noWrap w:val="0"/>
            <w:vAlign w:val="center"/>
          </w:tcPr>
          <w:p w14:paraId="04234887">
            <w:pPr>
              <w:bidi w:val="0"/>
              <w:spacing w:line="240" w:lineRule="auto"/>
              <w:ind w:left="0" w:leftChars="0" w:firstLine="0" w:firstLineChars="0"/>
              <w:jc w:val="center"/>
              <w:rPr>
                <w:rFonts w:hint="default" w:ascii="Times New Roman" w:hAnsi="Times New Roman" w:eastAsia="宋体" w:cs="Times New Roman"/>
                <w:sz w:val="21"/>
                <w:szCs w:val="21"/>
                <w:highlight w:val="none"/>
                <w:lang w:val="en-US" w:eastAsia="zh-CN"/>
              </w:rPr>
            </w:pPr>
            <w:r>
              <w:rPr>
                <w:rFonts w:hint="eastAsia" w:cs="Times New Roman"/>
                <w:sz w:val="21"/>
                <w:szCs w:val="21"/>
                <w:highlight w:val="none"/>
                <w:lang w:val="en-US" w:eastAsia="zh-CN"/>
              </w:rPr>
              <w:t>西</w:t>
            </w:r>
          </w:p>
        </w:tc>
        <w:tc>
          <w:tcPr>
            <w:tcW w:w="652" w:type="pct"/>
            <w:noWrap w:val="0"/>
            <w:vAlign w:val="center"/>
          </w:tcPr>
          <w:p w14:paraId="6AFF6177">
            <w:pPr>
              <w:bidi w:val="0"/>
              <w:spacing w:line="240" w:lineRule="auto"/>
              <w:ind w:left="0" w:leftChars="0" w:firstLine="0" w:firstLineChars="0"/>
              <w:jc w:val="center"/>
              <w:rPr>
                <w:rFonts w:hint="default" w:ascii="Times New Roman" w:hAnsi="Times New Roman" w:eastAsia="宋体" w:cs="Times New Roman"/>
                <w:sz w:val="21"/>
                <w:szCs w:val="21"/>
                <w:highlight w:val="none"/>
                <w:lang w:val="en-US" w:eastAsia="zh-CN"/>
              </w:rPr>
            </w:pPr>
            <w:r>
              <w:rPr>
                <w:rFonts w:hint="eastAsia" w:cs="Times New Roman"/>
                <w:sz w:val="21"/>
                <w:szCs w:val="21"/>
                <w:highlight w:val="none"/>
                <w:lang w:val="en-US" w:eastAsia="zh-CN"/>
              </w:rPr>
              <w:t>2.4</w:t>
            </w:r>
          </w:p>
        </w:tc>
        <w:tc>
          <w:tcPr>
            <w:tcW w:w="679" w:type="pct"/>
            <w:noWrap w:val="0"/>
            <w:vAlign w:val="center"/>
          </w:tcPr>
          <w:p w14:paraId="4B88D59B">
            <w:pPr>
              <w:bidi w:val="0"/>
              <w:spacing w:line="240" w:lineRule="auto"/>
              <w:ind w:left="0" w:leftChars="0" w:firstLine="0" w:firstLineChars="0"/>
              <w:jc w:val="center"/>
              <w:rPr>
                <w:rFonts w:hint="default" w:ascii="Times New Roman" w:hAnsi="Times New Roman" w:eastAsia="宋体" w:cs="Times New Roman"/>
                <w:sz w:val="21"/>
                <w:szCs w:val="21"/>
                <w:highlight w:val="none"/>
                <w:lang w:val="en-US" w:eastAsia="zh-CN"/>
              </w:rPr>
            </w:pPr>
            <w:r>
              <w:rPr>
                <w:rFonts w:hint="eastAsia" w:cs="Times New Roman"/>
                <w:sz w:val="21"/>
                <w:szCs w:val="21"/>
                <w:highlight w:val="none"/>
                <w:lang w:val="en-US" w:eastAsia="zh-CN"/>
              </w:rPr>
              <w:t>100.1</w:t>
            </w:r>
          </w:p>
        </w:tc>
        <w:tc>
          <w:tcPr>
            <w:tcW w:w="619" w:type="pct"/>
            <w:noWrap w:val="0"/>
            <w:vAlign w:val="center"/>
          </w:tcPr>
          <w:p w14:paraId="29B295CE">
            <w:pPr>
              <w:bidi w:val="0"/>
              <w:spacing w:line="240" w:lineRule="auto"/>
              <w:ind w:left="0" w:leftChars="0" w:firstLine="0" w:firstLineChars="0"/>
              <w:jc w:val="center"/>
              <w:rPr>
                <w:rFonts w:hint="default" w:ascii="Times New Roman" w:hAnsi="Times New Roman" w:eastAsia="宋体" w:cs="Times New Roman"/>
                <w:sz w:val="21"/>
                <w:szCs w:val="21"/>
                <w:highlight w:val="none"/>
                <w:lang w:val="en-US" w:eastAsia="zh-CN"/>
              </w:rPr>
            </w:pPr>
            <w:r>
              <w:rPr>
                <w:rFonts w:hint="eastAsia" w:cs="Times New Roman"/>
                <w:sz w:val="21"/>
                <w:szCs w:val="21"/>
                <w:highlight w:val="none"/>
                <w:lang w:val="en-US" w:eastAsia="zh-CN"/>
              </w:rPr>
              <w:t>67</w:t>
            </w:r>
          </w:p>
        </w:tc>
      </w:tr>
      <w:tr w14:paraId="0C18D80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20" w:type="pct"/>
            <w:noWrap w:val="0"/>
            <w:vAlign w:val="center"/>
          </w:tcPr>
          <w:p w14:paraId="36DE7E60">
            <w:pPr>
              <w:bidi w:val="0"/>
              <w:spacing w:line="240" w:lineRule="auto"/>
              <w:ind w:left="0" w:leftChars="0" w:firstLine="0" w:firstLineChars="0"/>
              <w:jc w:val="center"/>
              <w:rPr>
                <w:rFonts w:hint="default" w:ascii="Times New Roman" w:hAnsi="Times New Roman" w:eastAsia="宋体" w:cs="Times New Roman"/>
                <w:sz w:val="21"/>
                <w:szCs w:val="21"/>
                <w:highlight w:val="none"/>
                <w:lang w:val="en-US" w:eastAsia="zh-CN"/>
              </w:rPr>
            </w:pPr>
            <w:r>
              <w:rPr>
                <w:rFonts w:hint="eastAsia" w:cs="Times New Roman"/>
                <w:sz w:val="21"/>
                <w:szCs w:val="21"/>
                <w:highlight w:val="none"/>
                <w:lang w:val="en-US" w:eastAsia="zh-CN"/>
              </w:rPr>
              <w:t>2025.8.25</w:t>
            </w:r>
          </w:p>
        </w:tc>
        <w:tc>
          <w:tcPr>
            <w:tcW w:w="676" w:type="pct"/>
            <w:noWrap w:val="0"/>
            <w:vAlign w:val="center"/>
          </w:tcPr>
          <w:p w14:paraId="71146F19">
            <w:pPr>
              <w:bidi w:val="0"/>
              <w:spacing w:line="240" w:lineRule="auto"/>
              <w:ind w:left="0" w:leftChars="0" w:firstLine="0" w:firstLineChars="0"/>
              <w:jc w:val="center"/>
              <w:rPr>
                <w:rFonts w:hint="default" w:ascii="Times New Roman" w:hAnsi="Times New Roman" w:eastAsia="宋体" w:cs="Times New Roman"/>
                <w:sz w:val="21"/>
                <w:szCs w:val="21"/>
                <w:highlight w:val="none"/>
                <w:lang w:val="en-US" w:eastAsia="zh-CN"/>
              </w:rPr>
            </w:pPr>
            <w:r>
              <w:rPr>
                <w:rFonts w:hint="eastAsia" w:cs="Times New Roman"/>
                <w:sz w:val="21"/>
                <w:szCs w:val="21"/>
                <w:highlight w:val="none"/>
                <w:lang w:val="en-US" w:eastAsia="zh-CN"/>
              </w:rPr>
              <w:t>晴</w:t>
            </w:r>
          </w:p>
        </w:tc>
        <w:tc>
          <w:tcPr>
            <w:tcW w:w="916" w:type="pct"/>
            <w:noWrap w:val="0"/>
            <w:vAlign w:val="center"/>
          </w:tcPr>
          <w:p w14:paraId="2820D362">
            <w:pPr>
              <w:bidi w:val="0"/>
              <w:spacing w:line="240" w:lineRule="auto"/>
              <w:ind w:left="0" w:leftChars="0" w:firstLine="0" w:firstLineChars="0"/>
              <w:jc w:val="center"/>
              <w:rPr>
                <w:rFonts w:hint="default" w:ascii="Times New Roman" w:hAnsi="Times New Roman" w:eastAsia="宋体" w:cs="Times New Roman"/>
                <w:sz w:val="21"/>
                <w:szCs w:val="21"/>
                <w:highlight w:val="none"/>
                <w:lang w:val="en-US" w:eastAsia="zh-CN"/>
              </w:rPr>
            </w:pPr>
            <w:r>
              <w:rPr>
                <w:rFonts w:hint="eastAsia" w:cs="Times New Roman"/>
                <w:sz w:val="21"/>
                <w:szCs w:val="21"/>
                <w:highlight w:val="none"/>
                <w:lang w:val="en-US" w:eastAsia="zh-CN"/>
              </w:rPr>
              <w:t>28~38</w:t>
            </w:r>
          </w:p>
        </w:tc>
        <w:tc>
          <w:tcPr>
            <w:tcW w:w="736" w:type="pct"/>
            <w:noWrap w:val="0"/>
            <w:vAlign w:val="center"/>
          </w:tcPr>
          <w:p w14:paraId="5DF0006B">
            <w:pPr>
              <w:bidi w:val="0"/>
              <w:spacing w:line="240" w:lineRule="auto"/>
              <w:ind w:left="0" w:leftChars="0" w:firstLine="0" w:firstLineChars="0"/>
              <w:jc w:val="center"/>
              <w:rPr>
                <w:rFonts w:hint="default" w:ascii="Times New Roman" w:hAnsi="Times New Roman" w:eastAsia="宋体" w:cs="Times New Roman"/>
                <w:sz w:val="21"/>
                <w:szCs w:val="21"/>
                <w:highlight w:val="none"/>
                <w:lang w:val="en-US" w:eastAsia="zh-CN"/>
              </w:rPr>
            </w:pPr>
            <w:r>
              <w:rPr>
                <w:rFonts w:hint="eastAsia" w:cs="Times New Roman"/>
                <w:sz w:val="21"/>
                <w:szCs w:val="21"/>
                <w:highlight w:val="none"/>
                <w:lang w:val="en-US" w:eastAsia="zh-CN"/>
              </w:rPr>
              <w:t>东南</w:t>
            </w:r>
          </w:p>
        </w:tc>
        <w:tc>
          <w:tcPr>
            <w:tcW w:w="652" w:type="pct"/>
            <w:noWrap w:val="0"/>
            <w:vAlign w:val="center"/>
          </w:tcPr>
          <w:p w14:paraId="3F79CB74">
            <w:pPr>
              <w:bidi w:val="0"/>
              <w:spacing w:line="240" w:lineRule="auto"/>
              <w:ind w:left="0" w:leftChars="0" w:firstLine="0" w:firstLineChars="0"/>
              <w:jc w:val="center"/>
              <w:rPr>
                <w:rFonts w:hint="default" w:ascii="Times New Roman" w:hAnsi="Times New Roman" w:eastAsia="宋体" w:cs="Times New Roman"/>
                <w:sz w:val="21"/>
                <w:szCs w:val="21"/>
                <w:highlight w:val="none"/>
                <w:lang w:val="en-US" w:eastAsia="zh-CN"/>
              </w:rPr>
            </w:pPr>
            <w:r>
              <w:rPr>
                <w:rFonts w:hint="eastAsia" w:cs="Times New Roman"/>
                <w:sz w:val="21"/>
                <w:szCs w:val="21"/>
                <w:highlight w:val="none"/>
                <w:lang w:val="en-US" w:eastAsia="zh-CN"/>
              </w:rPr>
              <w:t>2.2</w:t>
            </w:r>
          </w:p>
        </w:tc>
        <w:tc>
          <w:tcPr>
            <w:tcW w:w="679" w:type="pct"/>
            <w:noWrap w:val="0"/>
            <w:vAlign w:val="center"/>
          </w:tcPr>
          <w:p w14:paraId="2013E813">
            <w:pPr>
              <w:bidi w:val="0"/>
              <w:spacing w:line="240" w:lineRule="auto"/>
              <w:ind w:left="0" w:leftChars="0" w:firstLine="0" w:firstLineChars="0"/>
              <w:jc w:val="center"/>
              <w:rPr>
                <w:rFonts w:hint="default" w:ascii="Times New Roman" w:hAnsi="Times New Roman" w:eastAsia="宋体" w:cs="Times New Roman"/>
                <w:sz w:val="21"/>
                <w:szCs w:val="21"/>
                <w:highlight w:val="none"/>
                <w:lang w:val="en-US" w:eastAsia="zh-CN"/>
              </w:rPr>
            </w:pPr>
            <w:r>
              <w:rPr>
                <w:rFonts w:hint="eastAsia" w:cs="Times New Roman"/>
                <w:sz w:val="21"/>
                <w:szCs w:val="21"/>
                <w:highlight w:val="none"/>
                <w:lang w:val="en-US" w:eastAsia="zh-CN"/>
              </w:rPr>
              <w:t>99.7</w:t>
            </w:r>
          </w:p>
        </w:tc>
        <w:tc>
          <w:tcPr>
            <w:tcW w:w="619" w:type="pct"/>
            <w:noWrap w:val="0"/>
            <w:vAlign w:val="center"/>
          </w:tcPr>
          <w:p w14:paraId="60B18017">
            <w:pPr>
              <w:bidi w:val="0"/>
              <w:spacing w:line="240" w:lineRule="auto"/>
              <w:ind w:left="0" w:leftChars="0" w:firstLine="0" w:firstLineChars="0"/>
              <w:jc w:val="center"/>
              <w:rPr>
                <w:rFonts w:hint="default" w:ascii="Times New Roman" w:hAnsi="Times New Roman" w:eastAsia="宋体" w:cs="Times New Roman"/>
                <w:sz w:val="21"/>
                <w:szCs w:val="21"/>
                <w:highlight w:val="none"/>
                <w:lang w:val="en-US" w:eastAsia="zh-CN"/>
              </w:rPr>
            </w:pPr>
            <w:r>
              <w:rPr>
                <w:rFonts w:hint="eastAsia" w:cs="Times New Roman"/>
                <w:sz w:val="21"/>
                <w:szCs w:val="21"/>
                <w:highlight w:val="none"/>
                <w:lang w:val="en-US" w:eastAsia="zh-CN"/>
              </w:rPr>
              <w:t>56</w:t>
            </w:r>
          </w:p>
        </w:tc>
      </w:tr>
      <w:tr w14:paraId="298D489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20" w:type="pct"/>
            <w:noWrap w:val="0"/>
            <w:vAlign w:val="center"/>
          </w:tcPr>
          <w:p w14:paraId="3024E56D">
            <w:pPr>
              <w:bidi w:val="0"/>
              <w:spacing w:line="240" w:lineRule="auto"/>
              <w:ind w:left="0" w:leftChars="0" w:firstLine="0" w:firstLineChars="0"/>
              <w:jc w:val="center"/>
              <w:rPr>
                <w:rFonts w:hint="default" w:ascii="Times New Roman" w:hAnsi="Times New Roman" w:eastAsia="宋体" w:cs="Times New Roman"/>
                <w:sz w:val="21"/>
                <w:szCs w:val="21"/>
                <w:highlight w:val="none"/>
                <w:lang w:val="en-US" w:eastAsia="zh-CN"/>
              </w:rPr>
            </w:pPr>
            <w:r>
              <w:rPr>
                <w:rFonts w:hint="eastAsia" w:cs="Times New Roman"/>
                <w:sz w:val="21"/>
                <w:szCs w:val="21"/>
                <w:highlight w:val="none"/>
                <w:lang w:val="en-US" w:eastAsia="zh-CN"/>
              </w:rPr>
              <w:t>2025.8.26</w:t>
            </w:r>
          </w:p>
        </w:tc>
        <w:tc>
          <w:tcPr>
            <w:tcW w:w="676" w:type="pct"/>
            <w:noWrap w:val="0"/>
            <w:vAlign w:val="center"/>
          </w:tcPr>
          <w:p w14:paraId="619AD1A5">
            <w:pPr>
              <w:bidi w:val="0"/>
              <w:spacing w:line="240" w:lineRule="auto"/>
              <w:ind w:left="0" w:leftChars="0" w:firstLine="0" w:firstLineChars="0"/>
              <w:jc w:val="center"/>
              <w:rPr>
                <w:rFonts w:hint="default" w:ascii="Times New Roman" w:hAnsi="Times New Roman" w:eastAsia="宋体" w:cs="Times New Roman"/>
                <w:sz w:val="21"/>
                <w:szCs w:val="21"/>
                <w:highlight w:val="none"/>
                <w:lang w:val="en-US" w:eastAsia="zh-CN"/>
              </w:rPr>
            </w:pPr>
            <w:r>
              <w:rPr>
                <w:rFonts w:hint="eastAsia" w:cs="Times New Roman"/>
                <w:sz w:val="21"/>
                <w:szCs w:val="21"/>
                <w:highlight w:val="none"/>
                <w:lang w:val="en-US" w:eastAsia="zh-CN"/>
              </w:rPr>
              <w:t>晴</w:t>
            </w:r>
          </w:p>
        </w:tc>
        <w:tc>
          <w:tcPr>
            <w:tcW w:w="916" w:type="pct"/>
            <w:noWrap w:val="0"/>
            <w:vAlign w:val="center"/>
          </w:tcPr>
          <w:p w14:paraId="65BEF4A0">
            <w:pPr>
              <w:bidi w:val="0"/>
              <w:spacing w:line="240" w:lineRule="auto"/>
              <w:ind w:left="0" w:leftChars="0" w:firstLine="0" w:firstLineChars="0"/>
              <w:jc w:val="center"/>
              <w:rPr>
                <w:rFonts w:hint="default" w:ascii="Times New Roman" w:hAnsi="Times New Roman" w:eastAsia="宋体" w:cs="Times New Roman"/>
                <w:sz w:val="21"/>
                <w:szCs w:val="21"/>
                <w:highlight w:val="none"/>
                <w:lang w:val="en-US" w:eastAsia="zh-CN"/>
              </w:rPr>
            </w:pPr>
            <w:r>
              <w:rPr>
                <w:rFonts w:hint="eastAsia" w:cs="Times New Roman"/>
                <w:sz w:val="21"/>
                <w:szCs w:val="21"/>
                <w:highlight w:val="none"/>
                <w:lang w:val="en-US" w:eastAsia="zh-CN"/>
              </w:rPr>
              <w:t>24~37</w:t>
            </w:r>
          </w:p>
        </w:tc>
        <w:tc>
          <w:tcPr>
            <w:tcW w:w="736" w:type="pct"/>
            <w:noWrap w:val="0"/>
            <w:vAlign w:val="center"/>
          </w:tcPr>
          <w:p w14:paraId="725A908B">
            <w:pPr>
              <w:bidi w:val="0"/>
              <w:spacing w:line="240" w:lineRule="auto"/>
              <w:ind w:left="0" w:leftChars="0" w:firstLine="0" w:firstLineChars="0"/>
              <w:jc w:val="center"/>
              <w:rPr>
                <w:rFonts w:hint="default" w:ascii="Times New Roman" w:hAnsi="Times New Roman" w:eastAsia="宋体" w:cs="Times New Roman"/>
                <w:sz w:val="21"/>
                <w:szCs w:val="21"/>
                <w:highlight w:val="none"/>
                <w:lang w:val="en-US" w:eastAsia="zh-CN"/>
              </w:rPr>
            </w:pPr>
            <w:r>
              <w:rPr>
                <w:rFonts w:hint="eastAsia" w:cs="Times New Roman"/>
                <w:sz w:val="21"/>
                <w:szCs w:val="21"/>
                <w:highlight w:val="none"/>
                <w:lang w:val="en-US" w:eastAsia="zh-CN"/>
              </w:rPr>
              <w:t>东</w:t>
            </w:r>
          </w:p>
        </w:tc>
        <w:tc>
          <w:tcPr>
            <w:tcW w:w="652" w:type="pct"/>
            <w:noWrap w:val="0"/>
            <w:vAlign w:val="center"/>
          </w:tcPr>
          <w:p w14:paraId="35E41DDA">
            <w:pPr>
              <w:bidi w:val="0"/>
              <w:spacing w:line="240" w:lineRule="auto"/>
              <w:ind w:left="0" w:leftChars="0" w:firstLine="0" w:firstLineChars="0"/>
              <w:jc w:val="center"/>
              <w:rPr>
                <w:rFonts w:hint="default" w:ascii="Times New Roman" w:hAnsi="Times New Roman" w:eastAsia="宋体" w:cs="Times New Roman"/>
                <w:sz w:val="21"/>
                <w:szCs w:val="21"/>
                <w:highlight w:val="none"/>
                <w:lang w:val="en-US" w:eastAsia="zh-CN"/>
              </w:rPr>
            </w:pPr>
            <w:r>
              <w:rPr>
                <w:rFonts w:hint="eastAsia" w:cs="Times New Roman"/>
                <w:sz w:val="21"/>
                <w:szCs w:val="21"/>
                <w:highlight w:val="none"/>
                <w:lang w:val="en-US" w:eastAsia="zh-CN"/>
              </w:rPr>
              <w:t>2.5</w:t>
            </w:r>
          </w:p>
        </w:tc>
        <w:tc>
          <w:tcPr>
            <w:tcW w:w="679" w:type="pct"/>
            <w:noWrap w:val="0"/>
            <w:vAlign w:val="center"/>
          </w:tcPr>
          <w:p w14:paraId="49E2809C">
            <w:pPr>
              <w:bidi w:val="0"/>
              <w:spacing w:line="240" w:lineRule="auto"/>
              <w:ind w:left="0" w:leftChars="0" w:firstLine="0" w:firstLineChars="0"/>
              <w:jc w:val="center"/>
              <w:rPr>
                <w:rFonts w:hint="default" w:ascii="Times New Roman" w:hAnsi="Times New Roman" w:eastAsia="宋体" w:cs="Times New Roman"/>
                <w:sz w:val="21"/>
                <w:szCs w:val="21"/>
                <w:highlight w:val="none"/>
                <w:lang w:val="en-US" w:eastAsia="zh-CN"/>
              </w:rPr>
            </w:pPr>
            <w:r>
              <w:rPr>
                <w:rFonts w:hint="eastAsia" w:cs="Times New Roman"/>
                <w:sz w:val="21"/>
                <w:szCs w:val="21"/>
                <w:highlight w:val="none"/>
                <w:lang w:val="en-US" w:eastAsia="zh-CN"/>
              </w:rPr>
              <w:t>99.5</w:t>
            </w:r>
          </w:p>
        </w:tc>
        <w:tc>
          <w:tcPr>
            <w:tcW w:w="619" w:type="pct"/>
            <w:noWrap w:val="0"/>
            <w:vAlign w:val="center"/>
          </w:tcPr>
          <w:p w14:paraId="2E2FB6F1">
            <w:pPr>
              <w:bidi w:val="0"/>
              <w:spacing w:line="240" w:lineRule="auto"/>
              <w:ind w:left="0" w:leftChars="0" w:firstLine="0" w:firstLineChars="0"/>
              <w:jc w:val="center"/>
              <w:rPr>
                <w:rFonts w:hint="default" w:ascii="Times New Roman" w:hAnsi="Times New Roman" w:eastAsia="宋体" w:cs="Times New Roman"/>
                <w:sz w:val="21"/>
                <w:szCs w:val="21"/>
                <w:highlight w:val="none"/>
                <w:lang w:val="en-US" w:eastAsia="zh-CN"/>
              </w:rPr>
            </w:pPr>
            <w:r>
              <w:rPr>
                <w:rFonts w:hint="eastAsia" w:cs="Times New Roman"/>
                <w:sz w:val="21"/>
                <w:szCs w:val="21"/>
                <w:highlight w:val="none"/>
                <w:lang w:val="en-US" w:eastAsia="zh-CN"/>
              </w:rPr>
              <w:t>54</w:t>
            </w:r>
          </w:p>
        </w:tc>
      </w:tr>
      <w:tr w14:paraId="49BC9EE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20" w:type="pct"/>
            <w:noWrap w:val="0"/>
            <w:vAlign w:val="center"/>
          </w:tcPr>
          <w:p w14:paraId="5A8888AF">
            <w:pPr>
              <w:bidi w:val="0"/>
              <w:spacing w:line="240" w:lineRule="auto"/>
              <w:ind w:left="0" w:leftChars="0" w:firstLine="0" w:firstLineChars="0"/>
              <w:jc w:val="center"/>
              <w:rPr>
                <w:rFonts w:hint="default" w:ascii="Times New Roman" w:hAnsi="Times New Roman" w:eastAsia="宋体" w:cs="Times New Roman"/>
                <w:sz w:val="21"/>
                <w:szCs w:val="21"/>
                <w:highlight w:val="none"/>
                <w:lang w:val="en-US" w:eastAsia="zh-CN"/>
              </w:rPr>
            </w:pPr>
            <w:r>
              <w:rPr>
                <w:rFonts w:hint="eastAsia" w:cs="Times New Roman"/>
                <w:sz w:val="21"/>
                <w:szCs w:val="21"/>
                <w:highlight w:val="none"/>
                <w:lang w:val="en-US" w:eastAsia="zh-CN"/>
              </w:rPr>
              <w:t>2025.8.27</w:t>
            </w:r>
          </w:p>
        </w:tc>
        <w:tc>
          <w:tcPr>
            <w:tcW w:w="676" w:type="pct"/>
            <w:noWrap w:val="0"/>
            <w:vAlign w:val="center"/>
          </w:tcPr>
          <w:p w14:paraId="6E5B4765">
            <w:pPr>
              <w:bidi w:val="0"/>
              <w:spacing w:line="240" w:lineRule="auto"/>
              <w:ind w:left="0" w:leftChars="0" w:firstLine="0" w:firstLineChars="0"/>
              <w:jc w:val="center"/>
              <w:rPr>
                <w:rFonts w:hint="default" w:ascii="Times New Roman" w:hAnsi="Times New Roman" w:eastAsia="宋体" w:cs="Times New Roman"/>
                <w:sz w:val="21"/>
                <w:szCs w:val="21"/>
                <w:highlight w:val="none"/>
                <w:lang w:val="en-US" w:eastAsia="zh-CN"/>
              </w:rPr>
            </w:pPr>
            <w:r>
              <w:rPr>
                <w:rFonts w:hint="eastAsia" w:cs="Times New Roman"/>
                <w:sz w:val="21"/>
                <w:szCs w:val="21"/>
                <w:highlight w:val="none"/>
                <w:lang w:val="en-US" w:eastAsia="zh-CN"/>
              </w:rPr>
              <w:t>晴</w:t>
            </w:r>
          </w:p>
        </w:tc>
        <w:tc>
          <w:tcPr>
            <w:tcW w:w="916" w:type="pct"/>
            <w:noWrap w:val="0"/>
            <w:vAlign w:val="center"/>
          </w:tcPr>
          <w:p w14:paraId="0040D88F">
            <w:pPr>
              <w:bidi w:val="0"/>
              <w:spacing w:line="240" w:lineRule="auto"/>
              <w:ind w:left="0" w:leftChars="0" w:firstLine="0" w:firstLineChars="0"/>
              <w:jc w:val="center"/>
              <w:rPr>
                <w:rFonts w:hint="default" w:ascii="Times New Roman" w:hAnsi="Times New Roman" w:eastAsia="宋体" w:cs="Times New Roman"/>
                <w:sz w:val="21"/>
                <w:szCs w:val="21"/>
                <w:highlight w:val="none"/>
                <w:lang w:val="en-US" w:eastAsia="zh-CN"/>
              </w:rPr>
            </w:pPr>
            <w:r>
              <w:rPr>
                <w:rFonts w:hint="eastAsia" w:cs="Times New Roman"/>
                <w:sz w:val="21"/>
                <w:szCs w:val="21"/>
                <w:highlight w:val="none"/>
                <w:lang w:val="en-US" w:eastAsia="zh-CN"/>
              </w:rPr>
              <w:t>25~37</w:t>
            </w:r>
          </w:p>
        </w:tc>
        <w:tc>
          <w:tcPr>
            <w:tcW w:w="736" w:type="pct"/>
            <w:noWrap w:val="0"/>
            <w:vAlign w:val="center"/>
          </w:tcPr>
          <w:p w14:paraId="40F06D19">
            <w:pPr>
              <w:bidi w:val="0"/>
              <w:spacing w:line="240" w:lineRule="auto"/>
              <w:ind w:left="0" w:leftChars="0" w:firstLine="0" w:firstLineChars="0"/>
              <w:jc w:val="center"/>
              <w:rPr>
                <w:rFonts w:hint="default" w:ascii="Times New Roman" w:hAnsi="Times New Roman" w:eastAsia="宋体" w:cs="Times New Roman"/>
                <w:sz w:val="21"/>
                <w:szCs w:val="21"/>
                <w:highlight w:val="none"/>
                <w:lang w:val="en-US" w:eastAsia="zh-CN"/>
              </w:rPr>
            </w:pPr>
            <w:r>
              <w:rPr>
                <w:rFonts w:hint="eastAsia" w:cs="Times New Roman"/>
                <w:sz w:val="21"/>
                <w:szCs w:val="21"/>
                <w:highlight w:val="none"/>
                <w:lang w:val="en-US" w:eastAsia="zh-CN"/>
              </w:rPr>
              <w:t>东</w:t>
            </w:r>
          </w:p>
        </w:tc>
        <w:tc>
          <w:tcPr>
            <w:tcW w:w="652" w:type="pct"/>
            <w:noWrap w:val="0"/>
            <w:vAlign w:val="center"/>
          </w:tcPr>
          <w:p w14:paraId="418990E6">
            <w:pPr>
              <w:bidi w:val="0"/>
              <w:spacing w:line="240" w:lineRule="auto"/>
              <w:ind w:left="0" w:leftChars="0" w:firstLine="0" w:firstLineChars="0"/>
              <w:jc w:val="center"/>
              <w:rPr>
                <w:rFonts w:hint="default" w:ascii="Times New Roman" w:hAnsi="Times New Roman" w:eastAsia="宋体" w:cs="Times New Roman"/>
                <w:sz w:val="21"/>
                <w:szCs w:val="21"/>
                <w:highlight w:val="none"/>
                <w:lang w:val="en-US" w:eastAsia="zh-CN"/>
              </w:rPr>
            </w:pPr>
            <w:r>
              <w:rPr>
                <w:rFonts w:hint="eastAsia" w:cs="Times New Roman"/>
                <w:sz w:val="21"/>
                <w:szCs w:val="21"/>
                <w:highlight w:val="none"/>
                <w:lang w:val="en-US" w:eastAsia="zh-CN"/>
              </w:rPr>
              <w:t>1.9</w:t>
            </w:r>
          </w:p>
        </w:tc>
        <w:tc>
          <w:tcPr>
            <w:tcW w:w="679" w:type="pct"/>
            <w:noWrap w:val="0"/>
            <w:vAlign w:val="center"/>
          </w:tcPr>
          <w:p w14:paraId="481B343E">
            <w:pPr>
              <w:bidi w:val="0"/>
              <w:spacing w:line="240" w:lineRule="auto"/>
              <w:ind w:left="0" w:leftChars="0" w:firstLine="0" w:firstLineChars="0"/>
              <w:jc w:val="center"/>
              <w:rPr>
                <w:rFonts w:hint="default" w:ascii="Times New Roman" w:hAnsi="Times New Roman" w:eastAsia="宋体" w:cs="Times New Roman"/>
                <w:sz w:val="21"/>
                <w:szCs w:val="21"/>
                <w:highlight w:val="none"/>
                <w:lang w:val="en-US" w:eastAsia="zh-CN"/>
              </w:rPr>
            </w:pPr>
            <w:r>
              <w:rPr>
                <w:rFonts w:hint="eastAsia" w:cs="Times New Roman"/>
                <w:sz w:val="21"/>
                <w:szCs w:val="21"/>
                <w:highlight w:val="none"/>
                <w:lang w:val="en-US" w:eastAsia="zh-CN"/>
              </w:rPr>
              <w:t>99.8</w:t>
            </w:r>
          </w:p>
        </w:tc>
        <w:tc>
          <w:tcPr>
            <w:tcW w:w="619" w:type="pct"/>
            <w:noWrap w:val="0"/>
            <w:vAlign w:val="center"/>
          </w:tcPr>
          <w:p w14:paraId="0986F302">
            <w:pPr>
              <w:bidi w:val="0"/>
              <w:spacing w:line="240" w:lineRule="auto"/>
              <w:ind w:left="0" w:leftChars="0" w:firstLine="0" w:firstLineChars="0"/>
              <w:jc w:val="center"/>
              <w:rPr>
                <w:rFonts w:hint="default" w:ascii="Times New Roman" w:hAnsi="Times New Roman" w:eastAsia="宋体" w:cs="Times New Roman"/>
                <w:sz w:val="21"/>
                <w:szCs w:val="21"/>
                <w:highlight w:val="none"/>
                <w:lang w:val="en-US" w:eastAsia="zh-CN"/>
              </w:rPr>
            </w:pPr>
            <w:r>
              <w:rPr>
                <w:rFonts w:hint="eastAsia" w:cs="Times New Roman"/>
                <w:sz w:val="21"/>
                <w:szCs w:val="21"/>
                <w:highlight w:val="none"/>
                <w:lang w:val="en-US" w:eastAsia="zh-CN"/>
              </w:rPr>
              <w:t>65</w:t>
            </w:r>
          </w:p>
        </w:tc>
      </w:tr>
    </w:tbl>
    <w:p w14:paraId="6B229CA9">
      <w:pPr>
        <w:ind w:left="0" w:leftChars="0" w:firstLine="0" w:firstLineChars="0"/>
        <w:jc w:val="center"/>
        <w:rPr>
          <w:rFonts w:hint="eastAsia"/>
          <w:b/>
          <w:bCs/>
          <w:sz w:val="21"/>
          <w:szCs w:val="21"/>
          <w:highlight w:val="none"/>
          <w:lang w:val="en-US" w:eastAsia="zh-CN"/>
        </w:rPr>
      </w:pPr>
      <w:r>
        <w:rPr>
          <w:rFonts w:hint="eastAsia"/>
          <w:b/>
          <w:bCs/>
          <w:sz w:val="21"/>
          <w:szCs w:val="21"/>
          <w:highlight w:val="none"/>
          <w:lang w:val="en-US" w:eastAsia="zh-CN"/>
        </w:rPr>
        <w:t>表4.3-4  环境空气质量监测结果一览表</w:t>
      </w:r>
    </w:p>
    <w:tbl>
      <w:tblPr>
        <w:tblStyle w:val="106"/>
        <w:tblW w:w="4997" w:type="pct"/>
        <w:tblInd w:w="0" w:type="dxa"/>
        <w:tblBorders>
          <w:top w:val="single" w:color="auto" w:sz="12" w:space="0"/>
          <w:left w:val="single" w:color="auto" w:sz="12" w:space="0"/>
          <w:bottom w:val="single" w:color="auto" w:sz="12" w:space="0"/>
          <w:right w:val="single" w:color="auto" w:sz="12" w:space="0"/>
          <w:insideH w:val="single" w:color="000000" w:sz="2" w:space="0"/>
          <w:insideV w:val="single" w:color="000000" w:sz="2" w:space="0"/>
        </w:tblBorders>
        <w:tblLayout w:type="autofit"/>
        <w:tblCellMar>
          <w:top w:w="0" w:type="dxa"/>
          <w:left w:w="0" w:type="dxa"/>
          <w:bottom w:w="0" w:type="dxa"/>
          <w:right w:w="0" w:type="dxa"/>
        </w:tblCellMar>
      </w:tblPr>
      <w:tblGrid>
        <w:gridCol w:w="1187"/>
        <w:gridCol w:w="1317"/>
        <w:gridCol w:w="1442"/>
        <w:gridCol w:w="1606"/>
        <w:gridCol w:w="1599"/>
        <w:gridCol w:w="1122"/>
        <w:gridCol w:w="824"/>
      </w:tblGrid>
      <w:tr w14:paraId="6DECDFD3">
        <w:tblPrEx>
          <w:tblBorders>
            <w:top w:val="single" w:color="auto" w:sz="12" w:space="0"/>
            <w:left w:val="single" w:color="auto" w:sz="12" w:space="0"/>
            <w:bottom w:val="single" w:color="auto" w:sz="12" w:space="0"/>
            <w:right w:val="single" w:color="auto" w:sz="12" w:space="0"/>
            <w:insideH w:val="single" w:color="000000" w:sz="2" w:space="0"/>
            <w:insideV w:val="single" w:color="000000" w:sz="2" w:space="0"/>
          </w:tblBorders>
          <w:tblCellMar>
            <w:top w:w="0" w:type="dxa"/>
            <w:left w:w="0" w:type="dxa"/>
            <w:bottom w:w="0" w:type="dxa"/>
            <w:right w:w="0" w:type="dxa"/>
          </w:tblCellMar>
        </w:tblPrEx>
        <w:trPr>
          <w:trHeight w:val="0" w:hRule="atLeast"/>
          <w:tblHeader/>
        </w:trPr>
        <w:tc>
          <w:tcPr>
            <w:tcW w:w="652" w:type="pct"/>
            <w:vAlign w:val="center"/>
          </w:tcPr>
          <w:p w14:paraId="2760FC8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b/>
                <w:bCs/>
                <w:sz w:val="21"/>
                <w:szCs w:val="21"/>
                <w:highlight w:val="none"/>
                <w:lang w:val="en-US" w:eastAsia="zh-CN"/>
              </w:rPr>
            </w:pPr>
            <w:r>
              <w:rPr>
                <w:rFonts w:hint="eastAsia"/>
                <w:b/>
                <w:bCs/>
                <w:sz w:val="21"/>
                <w:szCs w:val="21"/>
                <w:highlight w:val="none"/>
                <w:lang w:val="en-US" w:eastAsia="zh-CN"/>
              </w:rPr>
              <w:t>监测点位</w:t>
            </w:r>
          </w:p>
        </w:tc>
        <w:tc>
          <w:tcPr>
            <w:tcW w:w="723" w:type="pct"/>
            <w:vAlign w:val="center"/>
          </w:tcPr>
          <w:p w14:paraId="0353992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b/>
                <w:bCs/>
                <w:sz w:val="21"/>
                <w:szCs w:val="21"/>
                <w:highlight w:val="none"/>
                <w:lang w:val="en-US" w:eastAsia="zh-CN"/>
              </w:rPr>
            </w:pPr>
            <w:r>
              <w:rPr>
                <w:rFonts w:hint="eastAsia"/>
                <w:b/>
                <w:bCs/>
                <w:sz w:val="21"/>
                <w:szCs w:val="21"/>
                <w:highlight w:val="none"/>
                <w:lang w:val="en-US" w:eastAsia="zh-CN"/>
              </w:rPr>
              <w:t>污染物</w:t>
            </w:r>
          </w:p>
        </w:tc>
        <w:tc>
          <w:tcPr>
            <w:tcW w:w="792" w:type="pct"/>
            <w:vAlign w:val="center"/>
          </w:tcPr>
          <w:p w14:paraId="3DE4CDE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b/>
                <w:bCs/>
                <w:sz w:val="21"/>
                <w:szCs w:val="21"/>
                <w:highlight w:val="none"/>
                <w:lang w:val="en-US" w:eastAsia="zh-CN"/>
              </w:rPr>
            </w:pPr>
            <w:r>
              <w:rPr>
                <w:rFonts w:hint="eastAsia"/>
                <w:b/>
                <w:bCs/>
                <w:sz w:val="21"/>
                <w:szCs w:val="21"/>
                <w:highlight w:val="none"/>
                <w:lang w:val="en-US" w:eastAsia="zh-CN"/>
              </w:rPr>
              <w:t>评价标准（mg/m</w:t>
            </w:r>
            <w:r>
              <w:rPr>
                <w:rFonts w:hint="eastAsia"/>
                <w:b/>
                <w:bCs/>
                <w:sz w:val="21"/>
                <w:szCs w:val="21"/>
                <w:highlight w:val="none"/>
                <w:vertAlign w:val="superscript"/>
                <w:lang w:val="en-US" w:eastAsia="zh-CN"/>
              </w:rPr>
              <w:t>3</w:t>
            </w:r>
            <w:r>
              <w:rPr>
                <w:rFonts w:hint="eastAsia"/>
                <w:b/>
                <w:bCs/>
                <w:sz w:val="21"/>
                <w:szCs w:val="21"/>
                <w:highlight w:val="none"/>
                <w:lang w:val="en-US" w:eastAsia="zh-CN"/>
              </w:rPr>
              <w:t>）</w:t>
            </w:r>
          </w:p>
        </w:tc>
        <w:tc>
          <w:tcPr>
            <w:tcW w:w="882" w:type="pct"/>
            <w:vAlign w:val="center"/>
          </w:tcPr>
          <w:p w14:paraId="3FAEDA7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b/>
                <w:bCs/>
                <w:sz w:val="21"/>
                <w:szCs w:val="21"/>
                <w:highlight w:val="none"/>
                <w:lang w:val="en-US" w:eastAsia="zh-CN"/>
              </w:rPr>
            </w:pPr>
            <w:r>
              <w:rPr>
                <w:rFonts w:hint="eastAsia"/>
                <w:b/>
                <w:bCs/>
                <w:sz w:val="21"/>
                <w:szCs w:val="21"/>
                <w:highlight w:val="none"/>
                <w:lang w:val="en-US" w:eastAsia="zh-CN"/>
              </w:rPr>
              <w:t>监测浓度范围</w:t>
            </w:r>
          </w:p>
          <w:p w14:paraId="260C466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b/>
                <w:bCs/>
                <w:sz w:val="21"/>
                <w:szCs w:val="21"/>
                <w:highlight w:val="none"/>
                <w:lang w:val="en-US" w:eastAsia="zh-CN"/>
              </w:rPr>
            </w:pPr>
            <w:r>
              <w:rPr>
                <w:rFonts w:hint="eastAsia"/>
                <w:b/>
                <w:bCs/>
                <w:sz w:val="21"/>
                <w:szCs w:val="21"/>
                <w:highlight w:val="none"/>
                <w:lang w:val="en-US" w:eastAsia="zh-CN"/>
              </w:rPr>
              <w:t>（mg/m</w:t>
            </w:r>
            <w:r>
              <w:rPr>
                <w:rFonts w:hint="eastAsia"/>
                <w:b/>
                <w:bCs/>
                <w:sz w:val="21"/>
                <w:szCs w:val="21"/>
                <w:highlight w:val="none"/>
                <w:vertAlign w:val="superscript"/>
                <w:lang w:val="en-US" w:eastAsia="zh-CN"/>
              </w:rPr>
              <w:t>3</w:t>
            </w:r>
            <w:r>
              <w:rPr>
                <w:rFonts w:hint="eastAsia"/>
                <w:b/>
                <w:bCs/>
                <w:sz w:val="21"/>
                <w:szCs w:val="21"/>
                <w:highlight w:val="none"/>
                <w:lang w:val="en-US" w:eastAsia="zh-CN"/>
              </w:rPr>
              <w:t>）</w:t>
            </w:r>
          </w:p>
        </w:tc>
        <w:tc>
          <w:tcPr>
            <w:tcW w:w="878" w:type="pct"/>
            <w:vAlign w:val="center"/>
          </w:tcPr>
          <w:p w14:paraId="3D46863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b/>
                <w:bCs/>
                <w:sz w:val="21"/>
                <w:szCs w:val="21"/>
                <w:highlight w:val="none"/>
                <w:lang w:val="en-US" w:eastAsia="zh-CN"/>
              </w:rPr>
            </w:pPr>
            <w:r>
              <w:rPr>
                <w:rFonts w:hint="eastAsia"/>
                <w:b/>
                <w:bCs/>
                <w:sz w:val="21"/>
                <w:szCs w:val="21"/>
                <w:highlight w:val="none"/>
                <w:lang w:val="en-US" w:eastAsia="zh-CN"/>
              </w:rPr>
              <w:t>最大浓度占标率（%）</w:t>
            </w:r>
          </w:p>
        </w:tc>
        <w:tc>
          <w:tcPr>
            <w:tcW w:w="616" w:type="pct"/>
            <w:vAlign w:val="center"/>
          </w:tcPr>
          <w:p w14:paraId="0B39969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b/>
                <w:bCs/>
                <w:sz w:val="21"/>
                <w:szCs w:val="21"/>
                <w:highlight w:val="none"/>
                <w:lang w:val="en-US" w:eastAsia="zh-CN"/>
              </w:rPr>
            </w:pPr>
            <w:r>
              <w:rPr>
                <w:rFonts w:hint="eastAsia"/>
                <w:b/>
                <w:bCs/>
                <w:sz w:val="21"/>
                <w:szCs w:val="21"/>
                <w:highlight w:val="none"/>
                <w:lang w:val="en-US" w:eastAsia="zh-CN"/>
              </w:rPr>
              <w:t>超标率</w:t>
            </w:r>
          </w:p>
          <w:p w14:paraId="4A62EA1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b/>
                <w:bCs/>
                <w:sz w:val="21"/>
                <w:szCs w:val="21"/>
                <w:highlight w:val="none"/>
                <w:lang w:val="en-US" w:eastAsia="zh-CN"/>
              </w:rPr>
            </w:pPr>
            <w:r>
              <w:rPr>
                <w:rFonts w:hint="eastAsia"/>
                <w:b/>
                <w:bCs/>
                <w:sz w:val="21"/>
                <w:szCs w:val="21"/>
                <w:highlight w:val="none"/>
                <w:lang w:val="en-US" w:eastAsia="zh-CN"/>
              </w:rPr>
              <w:t>（%）</w:t>
            </w:r>
          </w:p>
        </w:tc>
        <w:tc>
          <w:tcPr>
            <w:tcW w:w="452" w:type="pct"/>
            <w:vAlign w:val="center"/>
          </w:tcPr>
          <w:p w14:paraId="1200509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b/>
                <w:bCs/>
                <w:sz w:val="21"/>
                <w:szCs w:val="21"/>
                <w:highlight w:val="none"/>
                <w:lang w:val="en-US" w:eastAsia="zh-CN"/>
              </w:rPr>
            </w:pPr>
            <w:r>
              <w:rPr>
                <w:rFonts w:hint="eastAsia"/>
                <w:b/>
                <w:bCs/>
                <w:sz w:val="21"/>
                <w:szCs w:val="21"/>
                <w:highlight w:val="none"/>
                <w:lang w:val="en-US" w:eastAsia="zh-CN"/>
              </w:rPr>
              <w:t>达标</w:t>
            </w:r>
          </w:p>
          <w:p w14:paraId="06B046D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b/>
                <w:bCs/>
                <w:sz w:val="21"/>
                <w:szCs w:val="21"/>
                <w:highlight w:val="none"/>
                <w:lang w:val="en-US" w:eastAsia="zh-CN"/>
              </w:rPr>
            </w:pPr>
            <w:r>
              <w:rPr>
                <w:rFonts w:hint="eastAsia"/>
                <w:b/>
                <w:bCs/>
                <w:sz w:val="21"/>
                <w:szCs w:val="21"/>
                <w:highlight w:val="none"/>
                <w:lang w:val="en-US" w:eastAsia="zh-CN"/>
              </w:rPr>
              <w:t>情况</w:t>
            </w:r>
          </w:p>
        </w:tc>
      </w:tr>
      <w:tr w14:paraId="41E6BC38">
        <w:tblPrEx>
          <w:tblBorders>
            <w:top w:val="single" w:color="auto" w:sz="12" w:space="0"/>
            <w:left w:val="single" w:color="auto" w:sz="12" w:space="0"/>
            <w:bottom w:val="single" w:color="auto" w:sz="12" w:space="0"/>
            <w:right w:val="single" w:color="auto" w:sz="1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652" w:type="pct"/>
            <w:vAlign w:val="center"/>
          </w:tcPr>
          <w:p w14:paraId="082AAA2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lang w:val="en-US" w:eastAsia="zh-CN"/>
              </w:rPr>
            </w:pPr>
            <w:r>
              <w:rPr>
                <w:rFonts w:hint="eastAsia"/>
                <w:sz w:val="21"/>
                <w:szCs w:val="21"/>
                <w:highlight w:val="none"/>
                <w:lang w:val="en-US" w:eastAsia="zh-CN"/>
              </w:rPr>
              <w:t>G1：项目所在地</w:t>
            </w:r>
          </w:p>
        </w:tc>
        <w:tc>
          <w:tcPr>
            <w:tcW w:w="723" w:type="pct"/>
            <w:vAlign w:val="center"/>
          </w:tcPr>
          <w:p w14:paraId="6224EB2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lang w:val="en-US" w:eastAsia="zh-CN"/>
              </w:rPr>
            </w:pPr>
            <w:r>
              <w:rPr>
                <w:rFonts w:hint="eastAsia"/>
                <w:sz w:val="21"/>
                <w:szCs w:val="21"/>
                <w:highlight w:val="none"/>
                <w:lang w:val="en-US" w:eastAsia="zh-CN"/>
              </w:rPr>
              <w:t>TSP</w:t>
            </w:r>
          </w:p>
        </w:tc>
        <w:tc>
          <w:tcPr>
            <w:tcW w:w="792" w:type="pct"/>
            <w:vAlign w:val="center"/>
          </w:tcPr>
          <w:p w14:paraId="791B247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lang w:val="en-US" w:eastAsia="zh-CN"/>
              </w:rPr>
            </w:pPr>
            <w:r>
              <w:rPr>
                <w:rFonts w:hint="eastAsia"/>
                <w:sz w:val="21"/>
                <w:szCs w:val="21"/>
                <w:highlight w:val="none"/>
                <w:lang w:val="en-US" w:eastAsia="zh-CN"/>
              </w:rPr>
              <w:t>0.3</w:t>
            </w:r>
          </w:p>
        </w:tc>
        <w:tc>
          <w:tcPr>
            <w:tcW w:w="882" w:type="pct"/>
            <w:vAlign w:val="center"/>
          </w:tcPr>
          <w:p w14:paraId="63E6151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lang w:val="en-US" w:eastAsia="zh-CN"/>
              </w:rPr>
            </w:pPr>
            <w:r>
              <w:rPr>
                <w:rFonts w:hint="eastAsia"/>
                <w:sz w:val="21"/>
                <w:szCs w:val="21"/>
                <w:highlight w:val="none"/>
                <w:lang w:val="en-US" w:eastAsia="zh-CN"/>
              </w:rPr>
              <w:t>0.097~0.138</w:t>
            </w:r>
          </w:p>
        </w:tc>
        <w:tc>
          <w:tcPr>
            <w:tcW w:w="878" w:type="pct"/>
            <w:vAlign w:val="center"/>
          </w:tcPr>
          <w:p w14:paraId="77A20DD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lang w:val="en-US" w:eastAsia="zh-CN"/>
              </w:rPr>
            </w:pPr>
            <w:r>
              <w:rPr>
                <w:rFonts w:hint="eastAsia"/>
                <w:sz w:val="21"/>
                <w:szCs w:val="21"/>
                <w:highlight w:val="none"/>
                <w:lang w:val="en-US" w:eastAsia="zh-CN"/>
              </w:rPr>
              <w:t>0.46</w:t>
            </w:r>
          </w:p>
        </w:tc>
        <w:tc>
          <w:tcPr>
            <w:tcW w:w="616" w:type="pct"/>
            <w:vAlign w:val="center"/>
          </w:tcPr>
          <w:p w14:paraId="2448417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lang w:val="en-US" w:eastAsia="zh-CN"/>
              </w:rPr>
            </w:pPr>
            <w:r>
              <w:rPr>
                <w:rFonts w:hint="eastAsia"/>
                <w:sz w:val="21"/>
                <w:szCs w:val="21"/>
                <w:highlight w:val="none"/>
                <w:lang w:val="en-US" w:eastAsia="zh-CN"/>
              </w:rPr>
              <w:t>0</w:t>
            </w:r>
          </w:p>
        </w:tc>
        <w:tc>
          <w:tcPr>
            <w:tcW w:w="452" w:type="pct"/>
            <w:vAlign w:val="center"/>
          </w:tcPr>
          <w:p w14:paraId="228D501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lang w:val="en-US" w:eastAsia="zh-CN"/>
              </w:rPr>
            </w:pPr>
            <w:r>
              <w:rPr>
                <w:rFonts w:hint="eastAsia"/>
                <w:sz w:val="21"/>
                <w:szCs w:val="21"/>
                <w:highlight w:val="none"/>
                <w:lang w:val="en-US" w:eastAsia="zh-CN"/>
              </w:rPr>
              <w:t>达标</w:t>
            </w:r>
          </w:p>
        </w:tc>
      </w:tr>
    </w:tbl>
    <w:p w14:paraId="2A5647CD">
      <w:pPr>
        <w:rPr>
          <w:rFonts w:hint="eastAsia"/>
          <w:highlight w:val="none"/>
          <w:lang w:val="en-US" w:eastAsia="zh-CN"/>
        </w:rPr>
      </w:pPr>
      <w:r>
        <w:rPr>
          <w:rFonts w:hint="eastAsia"/>
          <w:highlight w:val="none"/>
          <w:lang w:val="en-US" w:eastAsia="zh-CN"/>
        </w:rPr>
        <w:t>由监测结果可知，监测期间该监测点位的TSP满足</w:t>
      </w:r>
      <w:r>
        <w:rPr>
          <w:rFonts w:hint="eastAsia"/>
          <w:highlight w:val="none"/>
          <w:u w:val="none" w:color="auto"/>
          <w:lang w:val="en-US" w:eastAsia="zh-CN"/>
        </w:rPr>
        <w:t>《环境空气质量标准》（GB3095-2012）中标准限值要求</w:t>
      </w:r>
      <w:r>
        <w:rPr>
          <w:rFonts w:hint="eastAsia"/>
          <w:highlight w:val="none"/>
          <w:lang w:val="en-US" w:eastAsia="zh-CN"/>
        </w:rPr>
        <w:t>。</w:t>
      </w:r>
    </w:p>
    <w:p w14:paraId="7D3EF171">
      <w:pPr>
        <w:pStyle w:val="9"/>
        <w:numPr>
          <w:ilvl w:val="2"/>
          <w:numId w:val="1"/>
        </w:numPr>
        <w:bidi w:val="0"/>
        <w:ind w:left="709" w:leftChars="0" w:hanging="709" w:firstLineChars="0"/>
        <w:rPr>
          <w:rFonts w:hint="eastAsia"/>
          <w:highlight w:val="none"/>
          <w:lang w:val="en-US" w:eastAsia="zh-CN"/>
        </w:rPr>
      </w:pPr>
      <w:r>
        <w:rPr>
          <w:rFonts w:hint="eastAsia"/>
          <w:highlight w:val="none"/>
          <w:lang w:val="en-US" w:eastAsia="zh-CN"/>
        </w:rPr>
        <w:t>地表水环境质量现状调查与评价</w:t>
      </w:r>
    </w:p>
    <w:p w14:paraId="15C54B2C">
      <w:pPr>
        <w:bidi w:val="0"/>
        <w:rPr>
          <w:rFonts w:hint="eastAsia"/>
          <w:highlight w:val="none"/>
          <w:lang w:val="en-US" w:eastAsia="zh-CN"/>
        </w:rPr>
      </w:pPr>
      <w:r>
        <w:rPr>
          <w:rFonts w:hint="eastAsia"/>
          <w:lang w:val="en-US" w:eastAsia="zh-CN"/>
        </w:rPr>
        <w:t>施工清挖过程中雨季产生的淋溶水、车辆冲洗废水</w:t>
      </w:r>
      <w:r>
        <w:rPr>
          <w:rFonts w:hint="eastAsia"/>
          <w:highlight w:val="none"/>
          <w:lang w:val="en-US" w:eastAsia="zh-CN"/>
        </w:rPr>
        <w:t>经处理后回用于施工场地洒水抑尘等，不外排；施工期生活污水依托周边村庄化粪池处理后用于农肥，不外排。</w:t>
      </w:r>
    </w:p>
    <w:p w14:paraId="5F87D72A">
      <w:pPr>
        <w:rPr>
          <w:rFonts w:hint="eastAsia"/>
          <w:highlight w:val="yellow"/>
          <w:lang w:val="en-US" w:eastAsia="zh-CN"/>
        </w:rPr>
      </w:pPr>
      <w:r>
        <w:rPr>
          <w:rFonts w:hint="eastAsia"/>
          <w:highlight w:val="none"/>
          <w:lang w:val="en-US" w:eastAsia="zh-CN"/>
        </w:rPr>
        <w:t>渗滤液经一体化废水处理设施处理达到《污水综合排放标准》（GB8978-1996）中第一类污染物最高允许排放浓度和第二类污染物最高允许排放浓度一级标准后委托湖南黄金天岳矿业有限公司垂拱洞尾矿库废水处理站进一步处理后排放。</w:t>
      </w:r>
    </w:p>
    <w:p w14:paraId="7B5780BC">
      <w:pPr>
        <w:rPr>
          <w:rFonts w:hint="default"/>
          <w:highlight w:val="none"/>
          <w:lang w:val="en-US" w:eastAsia="zh-CN"/>
        </w:rPr>
      </w:pPr>
      <w:r>
        <w:rPr>
          <w:rFonts w:hint="eastAsia"/>
          <w:highlight w:val="none"/>
          <w:lang w:val="en-US" w:eastAsia="zh-CN"/>
        </w:rPr>
        <w:t>为了解该区域水环境质量现状，本次环评收集了岳阳市生态环境局发布的2024年1月~12月岳阳市水环境质量报告中汨罗江各断面（加义、杨源洲、严家滩）水质状况报告，具体见表4.3-5。</w:t>
      </w:r>
    </w:p>
    <w:p w14:paraId="1EB4DAE2">
      <w:pPr>
        <w:ind w:left="0" w:leftChars="0" w:firstLine="0" w:firstLineChars="0"/>
        <w:jc w:val="center"/>
        <w:rPr>
          <w:rFonts w:hint="eastAsia"/>
          <w:b/>
          <w:bCs/>
          <w:sz w:val="21"/>
          <w:szCs w:val="21"/>
          <w:highlight w:val="none"/>
          <w:lang w:val="en-US" w:eastAsia="zh-CN"/>
        </w:rPr>
      </w:pPr>
      <w:r>
        <w:rPr>
          <w:rFonts w:hint="eastAsia"/>
          <w:b/>
          <w:bCs/>
          <w:sz w:val="21"/>
          <w:szCs w:val="21"/>
          <w:highlight w:val="none"/>
          <w:lang w:val="en-US" w:eastAsia="zh-CN"/>
        </w:rPr>
        <w:t>表4.3-5  2024年1月~12月汨罗江各断面地表水水质监测情况统计表</w:t>
      </w:r>
    </w:p>
    <w:tbl>
      <w:tblPr>
        <w:tblStyle w:val="106"/>
        <w:tblW w:w="4999" w:type="pct"/>
        <w:tblInd w:w="0" w:type="dxa"/>
        <w:tblBorders>
          <w:top w:val="single" w:color="auto" w:sz="12" w:space="0"/>
          <w:left w:val="single" w:color="auto" w:sz="12" w:space="0"/>
          <w:bottom w:val="single" w:color="auto" w:sz="12" w:space="0"/>
          <w:right w:val="single" w:color="auto" w:sz="12" w:space="0"/>
          <w:insideH w:val="single" w:color="000000" w:sz="2" w:space="0"/>
          <w:insideV w:val="single" w:color="000000" w:sz="2" w:space="0"/>
        </w:tblBorders>
        <w:tblLayout w:type="autofit"/>
        <w:tblCellMar>
          <w:top w:w="0" w:type="dxa"/>
          <w:left w:w="0" w:type="dxa"/>
          <w:bottom w:w="0" w:type="dxa"/>
          <w:right w:w="0" w:type="dxa"/>
        </w:tblCellMar>
      </w:tblPr>
      <w:tblGrid>
        <w:gridCol w:w="1308"/>
        <w:gridCol w:w="1287"/>
        <w:gridCol w:w="1287"/>
        <w:gridCol w:w="1289"/>
        <w:gridCol w:w="1289"/>
        <w:gridCol w:w="1289"/>
        <w:gridCol w:w="1351"/>
      </w:tblGrid>
      <w:tr w14:paraId="1DCA1952">
        <w:tblPrEx>
          <w:tblBorders>
            <w:top w:val="single" w:color="auto" w:sz="12" w:space="0"/>
            <w:left w:val="single" w:color="auto" w:sz="12" w:space="0"/>
            <w:bottom w:val="single" w:color="auto" w:sz="12" w:space="0"/>
            <w:right w:val="single" w:color="auto" w:sz="12" w:space="0"/>
            <w:insideH w:val="single" w:color="000000" w:sz="2" w:space="0"/>
            <w:insideV w:val="single" w:color="000000" w:sz="2" w:space="0"/>
          </w:tblBorders>
        </w:tblPrEx>
        <w:trPr>
          <w:trHeight w:val="23" w:hRule="atLeast"/>
          <w:tblHeader/>
        </w:trPr>
        <w:tc>
          <w:tcPr>
            <w:tcW w:w="719" w:type="pct"/>
            <w:vMerge w:val="restart"/>
            <w:tcBorders>
              <w:bottom w:val="nil"/>
            </w:tcBorders>
            <w:vAlign w:val="center"/>
          </w:tcPr>
          <w:p w14:paraId="357BD2F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bCs/>
                <w:sz w:val="21"/>
                <w:szCs w:val="21"/>
                <w:highlight w:val="none"/>
                <w:lang w:val="en-US" w:eastAsia="zh-CN"/>
              </w:rPr>
            </w:pPr>
            <w:r>
              <w:rPr>
                <w:rFonts w:hint="default" w:ascii="Times New Roman" w:hAnsi="Times New Roman" w:cs="Times New Roman"/>
                <w:b/>
                <w:bCs/>
                <w:sz w:val="21"/>
                <w:szCs w:val="21"/>
                <w:highlight w:val="none"/>
                <w:lang w:val="en-US" w:eastAsia="zh-CN"/>
              </w:rPr>
              <w:t>断面</w:t>
            </w:r>
          </w:p>
        </w:tc>
        <w:tc>
          <w:tcPr>
            <w:tcW w:w="4280" w:type="pct"/>
            <w:gridSpan w:val="6"/>
            <w:vAlign w:val="center"/>
          </w:tcPr>
          <w:p w14:paraId="34A9F9C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bCs/>
                <w:sz w:val="21"/>
                <w:szCs w:val="21"/>
                <w:highlight w:val="none"/>
                <w:lang w:val="en-US" w:eastAsia="zh-CN"/>
              </w:rPr>
            </w:pPr>
            <w:r>
              <w:rPr>
                <w:rFonts w:hint="default" w:ascii="Times New Roman" w:hAnsi="Times New Roman" w:cs="Times New Roman"/>
                <w:b/>
                <w:bCs/>
                <w:sz w:val="21"/>
                <w:szCs w:val="21"/>
                <w:highlight w:val="none"/>
                <w:lang w:val="en-US" w:eastAsia="zh-CN"/>
              </w:rPr>
              <w:t>水质情况</w:t>
            </w:r>
          </w:p>
        </w:tc>
      </w:tr>
      <w:tr w14:paraId="1D34A271">
        <w:tblPrEx>
          <w:tblBorders>
            <w:top w:val="single" w:color="auto" w:sz="12" w:space="0"/>
            <w:left w:val="single" w:color="auto" w:sz="12" w:space="0"/>
            <w:bottom w:val="single" w:color="auto" w:sz="12" w:space="0"/>
            <w:right w:val="single" w:color="auto" w:sz="12" w:space="0"/>
            <w:insideH w:val="single" w:color="000000" w:sz="2" w:space="0"/>
            <w:insideV w:val="single" w:color="000000" w:sz="2" w:space="0"/>
          </w:tblBorders>
          <w:tblCellMar>
            <w:top w:w="0" w:type="dxa"/>
            <w:left w:w="0" w:type="dxa"/>
            <w:bottom w:w="0" w:type="dxa"/>
            <w:right w:w="0" w:type="dxa"/>
          </w:tblCellMar>
        </w:tblPrEx>
        <w:trPr>
          <w:trHeight w:val="23" w:hRule="atLeast"/>
        </w:trPr>
        <w:tc>
          <w:tcPr>
            <w:tcW w:w="719" w:type="pct"/>
            <w:vMerge w:val="continue"/>
            <w:tcBorders>
              <w:top w:val="nil"/>
            </w:tcBorders>
            <w:vAlign w:val="center"/>
          </w:tcPr>
          <w:p w14:paraId="2B1CE00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bCs/>
                <w:sz w:val="21"/>
                <w:szCs w:val="21"/>
                <w:highlight w:val="none"/>
                <w:lang w:val="en-US" w:eastAsia="zh-CN"/>
              </w:rPr>
            </w:pPr>
          </w:p>
        </w:tc>
        <w:tc>
          <w:tcPr>
            <w:tcW w:w="707" w:type="pct"/>
            <w:vAlign w:val="center"/>
          </w:tcPr>
          <w:p w14:paraId="428FB75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bCs/>
                <w:sz w:val="21"/>
                <w:szCs w:val="21"/>
                <w:highlight w:val="none"/>
                <w:lang w:val="en-US" w:eastAsia="zh-CN"/>
              </w:rPr>
            </w:pPr>
            <w:r>
              <w:rPr>
                <w:rFonts w:hint="default" w:ascii="Times New Roman" w:hAnsi="Times New Roman" w:cs="Times New Roman"/>
                <w:b/>
                <w:bCs/>
                <w:sz w:val="21"/>
                <w:szCs w:val="21"/>
                <w:highlight w:val="none"/>
                <w:lang w:val="en-US" w:eastAsia="zh-CN"/>
              </w:rPr>
              <w:t>1月</w:t>
            </w:r>
          </w:p>
        </w:tc>
        <w:tc>
          <w:tcPr>
            <w:tcW w:w="707" w:type="pct"/>
            <w:vAlign w:val="center"/>
          </w:tcPr>
          <w:p w14:paraId="6D883C1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bCs/>
                <w:sz w:val="21"/>
                <w:szCs w:val="21"/>
                <w:highlight w:val="none"/>
                <w:lang w:val="en-US" w:eastAsia="zh-CN"/>
              </w:rPr>
            </w:pPr>
            <w:r>
              <w:rPr>
                <w:rFonts w:hint="default" w:ascii="Times New Roman" w:hAnsi="Times New Roman" w:cs="Times New Roman"/>
                <w:b/>
                <w:bCs/>
                <w:sz w:val="21"/>
                <w:szCs w:val="21"/>
                <w:highlight w:val="none"/>
                <w:lang w:val="en-US" w:eastAsia="zh-CN"/>
              </w:rPr>
              <w:t>2月</w:t>
            </w:r>
          </w:p>
        </w:tc>
        <w:tc>
          <w:tcPr>
            <w:tcW w:w="708" w:type="pct"/>
            <w:vAlign w:val="center"/>
          </w:tcPr>
          <w:p w14:paraId="43D80EA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bCs/>
                <w:sz w:val="21"/>
                <w:szCs w:val="21"/>
                <w:highlight w:val="none"/>
                <w:lang w:val="en-US" w:eastAsia="zh-CN"/>
              </w:rPr>
            </w:pPr>
            <w:r>
              <w:rPr>
                <w:rFonts w:hint="default" w:ascii="Times New Roman" w:hAnsi="Times New Roman" w:cs="Times New Roman"/>
                <w:b/>
                <w:bCs/>
                <w:sz w:val="21"/>
                <w:szCs w:val="21"/>
                <w:highlight w:val="none"/>
                <w:lang w:val="en-US" w:eastAsia="zh-CN"/>
              </w:rPr>
              <w:t>3月</w:t>
            </w:r>
          </w:p>
        </w:tc>
        <w:tc>
          <w:tcPr>
            <w:tcW w:w="708" w:type="pct"/>
            <w:vAlign w:val="center"/>
          </w:tcPr>
          <w:p w14:paraId="467509B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bCs/>
                <w:sz w:val="21"/>
                <w:szCs w:val="21"/>
                <w:highlight w:val="none"/>
                <w:lang w:val="en-US" w:eastAsia="zh-CN"/>
              </w:rPr>
            </w:pPr>
            <w:r>
              <w:rPr>
                <w:rFonts w:hint="default" w:ascii="Times New Roman" w:hAnsi="Times New Roman" w:cs="Times New Roman"/>
                <w:b/>
                <w:bCs/>
                <w:sz w:val="21"/>
                <w:szCs w:val="21"/>
                <w:highlight w:val="none"/>
                <w:lang w:val="en-US" w:eastAsia="zh-CN"/>
              </w:rPr>
              <w:t>4月</w:t>
            </w:r>
          </w:p>
        </w:tc>
        <w:tc>
          <w:tcPr>
            <w:tcW w:w="708" w:type="pct"/>
            <w:vAlign w:val="center"/>
          </w:tcPr>
          <w:p w14:paraId="21593D6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bCs/>
                <w:sz w:val="21"/>
                <w:szCs w:val="21"/>
                <w:highlight w:val="none"/>
                <w:lang w:val="en-US" w:eastAsia="zh-CN"/>
              </w:rPr>
            </w:pPr>
            <w:r>
              <w:rPr>
                <w:rFonts w:hint="default" w:ascii="Times New Roman" w:hAnsi="Times New Roman" w:cs="Times New Roman"/>
                <w:b/>
                <w:bCs/>
                <w:sz w:val="21"/>
                <w:szCs w:val="21"/>
                <w:highlight w:val="none"/>
                <w:lang w:val="en-US" w:eastAsia="zh-CN"/>
              </w:rPr>
              <w:t>5月</w:t>
            </w:r>
          </w:p>
        </w:tc>
        <w:tc>
          <w:tcPr>
            <w:tcW w:w="738" w:type="pct"/>
            <w:vAlign w:val="center"/>
          </w:tcPr>
          <w:p w14:paraId="3CF1FBB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bCs/>
                <w:sz w:val="21"/>
                <w:szCs w:val="21"/>
                <w:highlight w:val="none"/>
                <w:lang w:val="en-US" w:eastAsia="zh-CN"/>
              </w:rPr>
            </w:pPr>
            <w:r>
              <w:rPr>
                <w:rFonts w:hint="default" w:ascii="Times New Roman" w:hAnsi="Times New Roman" w:cs="Times New Roman"/>
                <w:b/>
                <w:bCs/>
                <w:sz w:val="21"/>
                <w:szCs w:val="21"/>
                <w:highlight w:val="none"/>
                <w:lang w:val="en-US" w:eastAsia="zh-CN"/>
              </w:rPr>
              <w:t>6月</w:t>
            </w:r>
          </w:p>
        </w:tc>
      </w:tr>
      <w:tr w14:paraId="28265E11">
        <w:tblPrEx>
          <w:tblBorders>
            <w:top w:val="single" w:color="auto" w:sz="12" w:space="0"/>
            <w:left w:val="single" w:color="auto" w:sz="12" w:space="0"/>
            <w:bottom w:val="single" w:color="auto" w:sz="12" w:space="0"/>
            <w:right w:val="single" w:color="auto" w:sz="12" w:space="0"/>
            <w:insideH w:val="single" w:color="000000" w:sz="2" w:space="0"/>
            <w:insideV w:val="single" w:color="000000" w:sz="2" w:space="0"/>
          </w:tblBorders>
          <w:tblCellMar>
            <w:top w:w="0" w:type="dxa"/>
            <w:left w:w="0" w:type="dxa"/>
            <w:bottom w:w="0" w:type="dxa"/>
            <w:right w:w="0" w:type="dxa"/>
          </w:tblCellMar>
        </w:tblPrEx>
        <w:trPr>
          <w:trHeight w:val="23" w:hRule="atLeast"/>
        </w:trPr>
        <w:tc>
          <w:tcPr>
            <w:tcW w:w="719" w:type="pct"/>
            <w:vAlign w:val="center"/>
          </w:tcPr>
          <w:p w14:paraId="3F42E30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highlight w:val="none"/>
                <w:lang w:val="en-US" w:eastAsia="zh-CN"/>
              </w:rPr>
            </w:pPr>
            <w:r>
              <w:rPr>
                <w:rFonts w:hint="eastAsia" w:cs="Times New Roman"/>
                <w:sz w:val="21"/>
                <w:szCs w:val="21"/>
                <w:highlight w:val="none"/>
                <w:lang w:val="en-US" w:eastAsia="zh-CN"/>
              </w:rPr>
              <w:t>加义</w:t>
            </w:r>
          </w:p>
        </w:tc>
        <w:tc>
          <w:tcPr>
            <w:tcW w:w="707" w:type="pct"/>
            <w:shd w:val="clear" w:color="auto" w:fill="auto"/>
            <w:vAlign w:val="center"/>
          </w:tcPr>
          <w:p w14:paraId="16CE213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lang w:val="en-US" w:eastAsia="zh-CN"/>
              </w:rPr>
              <w:t>Ⅱ类</w:t>
            </w:r>
          </w:p>
        </w:tc>
        <w:tc>
          <w:tcPr>
            <w:tcW w:w="707" w:type="pct"/>
            <w:shd w:val="clear" w:color="auto" w:fill="auto"/>
            <w:vAlign w:val="center"/>
          </w:tcPr>
          <w:p w14:paraId="1E050FA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z w:val="21"/>
                <w:szCs w:val="21"/>
                <w:highlight w:val="none"/>
                <w:lang w:val="en-US" w:eastAsia="zh-CN"/>
              </w:rPr>
              <w:t>Ⅲ</w:t>
            </w:r>
            <w:r>
              <w:rPr>
                <w:rFonts w:hint="eastAsia" w:cs="Times New Roman"/>
                <w:sz w:val="21"/>
                <w:szCs w:val="21"/>
                <w:highlight w:val="none"/>
                <w:lang w:val="en-US" w:eastAsia="zh-CN"/>
              </w:rPr>
              <w:t>类</w:t>
            </w:r>
          </w:p>
        </w:tc>
        <w:tc>
          <w:tcPr>
            <w:tcW w:w="708" w:type="pct"/>
            <w:shd w:val="clear" w:color="auto" w:fill="auto"/>
            <w:vAlign w:val="center"/>
          </w:tcPr>
          <w:p w14:paraId="7958154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lang w:val="en-US" w:eastAsia="zh-CN"/>
              </w:rPr>
              <w:t>Ⅱ类</w:t>
            </w:r>
          </w:p>
        </w:tc>
        <w:tc>
          <w:tcPr>
            <w:tcW w:w="708" w:type="pct"/>
            <w:shd w:val="clear" w:color="auto" w:fill="auto"/>
            <w:vAlign w:val="center"/>
          </w:tcPr>
          <w:p w14:paraId="2973745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lang w:val="en-US" w:eastAsia="zh-CN"/>
              </w:rPr>
              <w:t>Ⅱ类</w:t>
            </w:r>
          </w:p>
        </w:tc>
        <w:tc>
          <w:tcPr>
            <w:tcW w:w="708" w:type="pct"/>
            <w:shd w:val="clear" w:color="auto" w:fill="auto"/>
            <w:vAlign w:val="center"/>
          </w:tcPr>
          <w:p w14:paraId="700CE74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lang w:val="en-US" w:eastAsia="zh-CN"/>
              </w:rPr>
              <w:t>Ⅱ类</w:t>
            </w:r>
          </w:p>
        </w:tc>
        <w:tc>
          <w:tcPr>
            <w:tcW w:w="738" w:type="pct"/>
            <w:shd w:val="clear" w:color="auto" w:fill="auto"/>
            <w:vAlign w:val="center"/>
          </w:tcPr>
          <w:p w14:paraId="03D1023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lang w:val="en-US" w:eastAsia="zh-CN"/>
              </w:rPr>
              <w:t>Ⅱ类</w:t>
            </w:r>
          </w:p>
        </w:tc>
      </w:tr>
      <w:tr w14:paraId="76908136">
        <w:tblPrEx>
          <w:tblBorders>
            <w:top w:val="single" w:color="auto" w:sz="12" w:space="0"/>
            <w:left w:val="single" w:color="auto" w:sz="12" w:space="0"/>
            <w:bottom w:val="single" w:color="auto" w:sz="12" w:space="0"/>
            <w:right w:val="single" w:color="auto" w:sz="12" w:space="0"/>
            <w:insideH w:val="single" w:color="000000" w:sz="2" w:space="0"/>
            <w:insideV w:val="single" w:color="000000" w:sz="2" w:space="0"/>
          </w:tblBorders>
          <w:tblCellMar>
            <w:top w:w="0" w:type="dxa"/>
            <w:left w:w="0" w:type="dxa"/>
            <w:bottom w:w="0" w:type="dxa"/>
            <w:right w:w="0" w:type="dxa"/>
          </w:tblCellMar>
        </w:tblPrEx>
        <w:trPr>
          <w:trHeight w:val="23" w:hRule="atLeast"/>
        </w:trPr>
        <w:tc>
          <w:tcPr>
            <w:tcW w:w="719" w:type="pct"/>
            <w:vAlign w:val="center"/>
          </w:tcPr>
          <w:p w14:paraId="207E60D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highlight w:val="none"/>
                <w:lang w:val="en-US" w:eastAsia="zh-CN"/>
              </w:rPr>
            </w:pPr>
            <w:r>
              <w:rPr>
                <w:rFonts w:hint="eastAsia" w:cs="Times New Roman"/>
                <w:sz w:val="21"/>
                <w:szCs w:val="21"/>
                <w:highlight w:val="none"/>
                <w:lang w:val="en-US" w:eastAsia="zh-CN"/>
              </w:rPr>
              <w:t>杨源洲</w:t>
            </w:r>
          </w:p>
        </w:tc>
        <w:tc>
          <w:tcPr>
            <w:tcW w:w="707" w:type="pct"/>
            <w:shd w:val="clear" w:color="auto" w:fill="auto"/>
            <w:vAlign w:val="center"/>
          </w:tcPr>
          <w:p w14:paraId="3EEFB44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lang w:val="en-US" w:eastAsia="zh-CN"/>
              </w:rPr>
              <w:t>Ⅱ类</w:t>
            </w:r>
          </w:p>
        </w:tc>
        <w:tc>
          <w:tcPr>
            <w:tcW w:w="707" w:type="pct"/>
            <w:shd w:val="clear" w:color="auto" w:fill="auto"/>
            <w:vAlign w:val="center"/>
          </w:tcPr>
          <w:p w14:paraId="2424058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lang w:val="en-US" w:eastAsia="zh-CN"/>
              </w:rPr>
              <w:t>Ⅱ类</w:t>
            </w:r>
          </w:p>
        </w:tc>
        <w:tc>
          <w:tcPr>
            <w:tcW w:w="708" w:type="pct"/>
            <w:shd w:val="clear" w:color="auto" w:fill="auto"/>
            <w:vAlign w:val="center"/>
          </w:tcPr>
          <w:p w14:paraId="39189AB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lang w:val="en-US" w:eastAsia="zh-CN"/>
              </w:rPr>
              <w:t>Ⅱ类</w:t>
            </w:r>
          </w:p>
        </w:tc>
        <w:tc>
          <w:tcPr>
            <w:tcW w:w="708" w:type="pct"/>
            <w:shd w:val="clear" w:color="auto" w:fill="auto"/>
            <w:vAlign w:val="center"/>
          </w:tcPr>
          <w:p w14:paraId="7E4A34C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lang w:val="en-US" w:eastAsia="zh-CN"/>
              </w:rPr>
              <w:t>Ⅱ类</w:t>
            </w:r>
          </w:p>
        </w:tc>
        <w:tc>
          <w:tcPr>
            <w:tcW w:w="708" w:type="pct"/>
            <w:shd w:val="clear" w:color="auto" w:fill="auto"/>
            <w:vAlign w:val="center"/>
          </w:tcPr>
          <w:p w14:paraId="0E16A1D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lang w:val="en-US" w:eastAsia="zh-CN"/>
              </w:rPr>
              <w:t>Ⅱ类</w:t>
            </w:r>
          </w:p>
        </w:tc>
        <w:tc>
          <w:tcPr>
            <w:tcW w:w="738" w:type="pct"/>
            <w:shd w:val="clear" w:color="auto" w:fill="auto"/>
            <w:vAlign w:val="center"/>
          </w:tcPr>
          <w:p w14:paraId="7585AA1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lang w:val="en-US" w:eastAsia="zh-CN"/>
              </w:rPr>
              <w:t>Ⅱ类</w:t>
            </w:r>
          </w:p>
        </w:tc>
      </w:tr>
      <w:tr w14:paraId="50EA73BE">
        <w:tblPrEx>
          <w:tblBorders>
            <w:top w:val="single" w:color="auto" w:sz="12" w:space="0"/>
            <w:left w:val="single" w:color="auto" w:sz="12" w:space="0"/>
            <w:bottom w:val="single" w:color="auto" w:sz="12" w:space="0"/>
            <w:right w:val="single" w:color="auto" w:sz="12" w:space="0"/>
            <w:insideH w:val="single" w:color="000000" w:sz="2" w:space="0"/>
            <w:insideV w:val="single" w:color="000000" w:sz="2" w:space="0"/>
          </w:tblBorders>
          <w:tblCellMar>
            <w:top w:w="0" w:type="dxa"/>
            <w:left w:w="0" w:type="dxa"/>
            <w:bottom w:w="0" w:type="dxa"/>
            <w:right w:w="0" w:type="dxa"/>
          </w:tblCellMar>
        </w:tblPrEx>
        <w:trPr>
          <w:trHeight w:val="23" w:hRule="atLeast"/>
        </w:trPr>
        <w:tc>
          <w:tcPr>
            <w:tcW w:w="719" w:type="pct"/>
            <w:vAlign w:val="center"/>
          </w:tcPr>
          <w:p w14:paraId="52F065C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highlight w:val="none"/>
                <w:lang w:val="en-US" w:eastAsia="zh-CN"/>
              </w:rPr>
            </w:pPr>
            <w:r>
              <w:rPr>
                <w:rFonts w:hint="eastAsia" w:cs="Times New Roman"/>
                <w:sz w:val="21"/>
                <w:szCs w:val="21"/>
                <w:highlight w:val="none"/>
                <w:lang w:val="en-US" w:eastAsia="zh-CN"/>
              </w:rPr>
              <w:t>严家滩</w:t>
            </w:r>
          </w:p>
        </w:tc>
        <w:tc>
          <w:tcPr>
            <w:tcW w:w="707" w:type="pct"/>
            <w:shd w:val="clear" w:color="auto" w:fill="auto"/>
            <w:vAlign w:val="center"/>
          </w:tcPr>
          <w:p w14:paraId="56FD17F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lang w:val="en-US" w:eastAsia="zh-CN"/>
              </w:rPr>
              <w:t>Ⅱ类</w:t>
            </w:r>
          </w:p>
        </w:tc>
        <w:tc>
          <w:tcPr>
            <w:tcW w:w="707" w:type="pct"/>
            <w:shd w:val="clear" w:color="auto" w:fill="auto"/>
            <w:vAlign w:val="center"/>
          </w:tcPr>
          <w:p w14:paraId="2978DD7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lang w:val="en-US" w:eastAsia="zh-CN"/>
              </w:rPr>
              <w:t>Ⅱ类</w:t>
            </w:r>
          </w:p>
        </w:tc>
        <w:tc>
          <w:tcPr>
            <w:tcW w:w="708" w:type="pct"/>
            <w:shd w:val="clear" w:color="auto" w:fill="auto"/>
            <w:vAlign w:val="center"/>
          </w:tcPr>
          <w:p w14:paraId="160573C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lang w:val="en-US" w:eastAsia="zh-CN"/>
              </w:rPr>
              <w:t>Ⅱ类</w:t>
            </w:r>
          </w:p>
        </w:tc>
        <w:tc>
          <w:tcPr>
            <w:tcW w:w="708" w:type="pct"/>
            <w:shd w:val="clear" w:color="auto" w:fill="auto"/>
            <w:vAlign w:val="center"/>
          </w:tcPr>
          <w:p w14:paraId="303D7C9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lang w:val="en-US" w:eastAsia="zh-CN"/>
              </w:rPr>
              <w:t>Ⅱ类</w:t>
            </w:r>
          </w:p>
        </w:tc>
        <w:tc>
          <w:tcPr>
            <w:tcW w:w="708" w:type="pct"/>
            <w:shd w:val="clear" w:color="auto" w:fill="auto"/>
            <w:vAlign w:val="center"/>
          </w:tcPr>
          <w:p w14:paraId="67F3994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lang w:val="en-US" w:eastAsia="zh-CN"/>
              </w:rPr>
              <w:t>Ⅱ类</w:t>
            </w:r>
          </w:p>
        </w:tc>
        <w:tc>
          <w:tcPr>
            <w:tcW w:w="738" w:type="pct"/>
            <w:shd w:val="clear" w:color="auto" w:fill="auto"/>
            <w:vAlign w:val="center"/>
          </w:tcPr>
          <w:p w14:paraId="2CB2427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lang w:val="en-US" w:eastAsia="zh-CN"/>
              </w:rPr>
              <w:t>Ⅱ类</w:t>
            </w:r>
          </w:p>
        </w:tc>
      </w:tr>
      <w:tr w14:paraId="7165FB6A">
        <w:tblPrEx>
          <w:tblBorders>
            <w:top w:val="single" w:color="auto" w:sz="12" w:space="0"/>
            <w:left w:val="single" w:color="auto" w:sz="12" w:space="0"/>
            <w:bottom w:val="single" w:color="auto" w:sz="12" w:space="0"/>
            <w:right w:val="single" w:color="auto" w:sz="12" w:space="0"/>
            <w:insideH w:val="single" w:color="000000" w:sz="2" w:space="0"/>
            <w:insideV w:val="single" w:color="000000" w:sz="2" w:space="0"/>
          </w:tblBorders>
          <w:tblCellMar>
            <w:top w:w="0" w:type="dxa"/>
            <w:left w:w="0" w:type="dxa"/>
            <w:bottom w:w="0" w:type="dxa"/>
            <w:right w:w="0" w:type="dxa"/>
          </w:tblCellMar>
        </w:tblPrEx>
        <w:trPr>
          <w:trHeight w:val="23" w:hRule="atLeast"/>
        </w:trPr>
        <w:tc>
          <w:tcPr>
            <w:tcW w:w="719" w:type="pct"/>
            <w:vAlign w:val="center"/>
          </w:tcPr>
          <w:p w14:paraId="03FB306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bCs/>
                <w:sz w:val="21"/>
                <w:szCs w:val="21"/>
                <w:highlight w:val="none"/>
                <w:lang w:val="en-US" w:eastAsia="zh-CN"/>
              </w:rPr>
            </w:pPr>
            <w:r>
              <w:rPr>
                <w:rFonts w:hint="default" w:ascii="Times New Roman" w:hAnsi="Times New Roman" w:cs="Times New Roman"/>
                <w:b/>
                <w:bCs/>
                <w:sz w:val="21"/>
                <w:szCs w:val="21"/>
                <w:highlight w:val="none"/>
                <w:lang w:val="en-US" w:eastAsia="zh-CN"/>
              </w:rPr>
              <w:t>断面</w:t>
            </w:r>
          </w:p>
        </w:tc>
        <w:tc>
          <w:tcPr>
            <w:tcW w:w="707" w:type="pct"/>
            <w:vAlign w:val="center"/>
          </w:tcPr>
          <w:p w14:paraId="6D24C17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bCs/>
                <w:sz w:val="21"/>
                <w:szCs w:val="21"/>
                <w:highlight w:val="none"/>
                <w:lang w:val="en-US" w:eastAsia="zh-CN"/>
              </w:rPr>
            </w:pPr>
            <w:r>
              <w:rPr>
                <w:rFonts w:hint="default" w:ascii="Times New Roman" w:hAnsi="Times New Roman" w:cs="Times New Roman"/>
                <w:b/>
                <w:bCs/>
                <w:sz w:val="21"/>
                <w:szCs w:val="21"/>
                <w:highlight w:val="none"/>
                <w:lang w:val="en-US" w:eastAsia="zh-CN"/>
              </w:rPr>
              <w:t>7月</w:t>
            </w:r>
          </w:p>
        </w:tc>
        <w:tc>
          <w:tcPr>
            <w:tcW w:w="707" w:type="pct"/>
            <w:vAlign w:val="center"/>
          </w:tcPr>
          <w:p w14:paraId="2AE84BD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bCs/>
                <w:sz w:val="21"/>
                <w:szCs w:val="21"/>
                <w:highlight w:val="none"/>
                <w:lang w:val="en-US" w:eastAsia="zh-CN"/>
              </w:rPr>
            </w:pPr>
            <w:r>
              <w:rPr>
                <w:rFonts w:hint="default" w:ascii="Times New Roman" w:hAnsi="Times New Roman" w:cs="Times New Roman"/>
                <w:b/>
                <w:bCs/>
                <w:sz w:val="21"/>
                <w:szCs w:val="21"/>
                <w:highlight w:val="none"/>
                <w:lang w:val="en-US" w:eastAsia="zh-CN"/>
              </w:rPr>
              <w:t>8月</w:t>
            </w:r>
          </w:p>
        </w:tc>
        <w:tc>
          <w:tcPr>
            <w:tcW w:w="708" w:type="pct"/>
            <w:vAlign w:val="center"/>
          </w:tcPr>
          <w:p w14:paraId="3E8B939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bCs/>
                <w:sz w:val="21"/>
                <w:szCs w:val="21"/>
                <w:highlight w:val="none"/>
                <w:lang w:val="en-US" w:eastAsia="zh-CN"/>
              </w:rPr>
            </w:pPr>
            <w:r>
              <w:rPr>
                <w:rFonts w:hint="default" w:ascii="Times New Roman" w:hAnsi="Times New Roman" w:cs="Times New Roman"/>
                <w:b/>
                <w:bCs/>
                <w:sz w:val="21"/>
                <w:szCs w:val="21"/>
                <w:highlight w:val="none"/>
                <w:lang w:val="en-US" w:eastAsia="zh-CN"/>
              </w:rPr>
              <w:t>9月</w:t>
            </w:r>
          </w:p>
        </w:tc>
        <w:tc>
          <w:tcPr>
            <w:tcW w:w="708" w:type="pct"/>
            <w:vAlign w:val="center"/>
          </w:tcPr>
          <w:p w14:paraId="1676709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bCs/>
                <w:sz w:val="21"/>
                <w:szCs w:val="21"/>
                <w:highlight w:val="none"/>
                <w:lang w:val="en-US" w:eastAsia="zh-CN"/>
              </w:rPr>
            </w:pPr>
            <w:r>
              <w:rPr>
                <w:rFonts w:hint="default" w:ascii="Times New Roman" w:hAnsi="Times New Roman" w:cs="Times New Roman"/>
                <w:b/>
                <w:bCs/>
                <w:sz w:val="21"/>
                <w:szCs w:val="21"/>
                <w:highlight w:val="none"/>
                <w:lang w:val="en-US" w:eastAsia="zh-CN"/>
              </w:rPr>
              <w:t>10月</w:t>
            </w:r>
          </w:p>
        </w:tc>
        <w:tc>
          <w:tcPr>
            <w:tcW w:w="708" w:type="pct"/>
            <w:vAlign w:val="center"/>
          </w:tcPr>
          <w:p w14:paraId="6999FFF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bCs/>
                <w:sz w:val="21"/>
                <w:szCs w:val="21"/>
                <w:highlight w:val="none"/>
                <w:lang w:val="en-US" w:eastAsia="zh-CN"/>
              </w:rPr>
            </w:pPr>
            <w:r>
              <w:rPr>
                <w:rFonts w:hint="default" w:ascii="Times New Roman" w:hAnsi="Times New Roman" w:cs="Times New Roman"/>
                <w:b/>
                <w:bCs/>
                <w:sz w:val="21"/>
                <w:szCs w:val="21"/>
                <w:highlight w:val="none"/>
                <w:lang w:val="en-US" w:eastAsia="zh-CN"/>
              </w:rPr>
              <w:t>11月</w:t>
            </w:r>
          </w:p>
        </w:tc>
        <w:tc>
          <w:tcPr>
            <w:tcW w:w="738" w:type="pct"/>
            <w:vAlign w:val="center"/>
          </w:tcPr>
          <w:p w14:paraId="1C9756E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bCs/>
                <w:sz w:val="21"/>
                <w:szCs w:val="21"/>
                <w:highlight w:val="none"/>
                <w:lang w:val="en-US" w:eastAsia="zh-CN"/>
              </w:rPr>
            </w:pPr>
            <w:r>
              <w:rPr>
                <w:rFonts w:hint="default" w:ascii="Times New Roman" w:hAnsi="Times New Roman" w:cs="Times New Roman"/>
                <w:b/>
                <w:bCs/>
                <w:sz w:val="21"/>
                <w:szCs w:val="21"/>
                <w:highlight w:val="none"/>
                <w:lang w:val="en-US" w:eastAsia="zh-CN"/>
              </w:rPr>
              <w:t>12月</w:t>
            </w:r>
          </w:p>
        </w:tc>
      </w:tr>
      <w:tr w14:paraId="5D9436AB">
        <w:tblPrEx>
          <w:tblBorders>
            <w:top w:val="single" w:color="auto" w:sz="12" w:space="0"/>
            <w:left w:val="single" w:color="auto" w:sz="12" w:space="0"/>
            <w:bottom w:val="single" w:color="auto" w:sz="12" w:space="0"/>
            <w:right w:val="single" w:color="auto" w:sz="12" w:space="0"/>
            <w:insideH w:val="single" w:color="000000" w:sz="2" w:space="0"/>
            <w:insideV w:val="single" w:color="000000" w:sz="2" w:space="0"/>
          </w:tblBorders>
          <w:tblCellMar>
            <w:top w:w="0" w:type="dxa"/>
            <w:left w:w="0" w:type="dxa"/>
            <w:bottom w:w="0" w:type="dxa"/>
            <w:right w:w="0" w:type="dxa"/>
          </w:tblCellMar>
        </w:tblPrEx>
        <w:trPr>
          <w:trHeight w:val="23" w:hRule="atLeast"/>
        </w:trPr>
        <w:tc>
          <w:tcPr>
            <w:tcW w:w="719" w:type="pct"/>
            <w:shd w:val="clear" w:color="auto" w:fill="auto"/>
            <w:vAlign w:val="center"/>
          </w:tcPr>
          <w:p w14:paraId="556785D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eastAsia" w:cs="Times New Roman"/>
                <w:sz w:val="21"/>
                <w:szCs w:val="21"/>
                <w:highlight w:val="none"/>
                <w:lang w:val="en-US" w:eastAsia="zh-CN"/>
              </w:rPr>
              <w:t>加义</w:t>
            </w:r>
          </w:p>
        </w:tc>
        <w:tc>
          <w:tcPr>
            <w:tcW w:w="707" w:type="pct"/>
            <w:shd w:val="clear" w:color="auto" w:fill="auto"/>
            <w:vAlign w:val="center"/>
          </w:tcPr>
          <w:p w14:paraId="1E7F1C7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lang w:val="en-US" w:eastAsia="zh-CN"/>
              </w:rPr>
              <w:t>Ⅱ类</w:t>
            </w:r>
          </w:p>
        </w:tc>
        <w:tc>
          <w:tcPr>
            <w:tcW w:w="707" w:type="pct"/>
            <w:vAlign w:val="center"/>
          </w:tcPr>
          <w:p w14:paraId="7D0B1E5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highlight w:val="yellow"/>
                <w:lang w:val="en-US" w:eastAsia="zh-CN"/>
              </w:rPr>
            </w:pPr>
            <w:r>
              <w:rPr>
                <w:rFonts w:hint="default" w:ascii="Times New Roman" w:hAnsi="Times New Roman" w:eastAsia="宋体" w:cs="Times New Roman"/>
                <w:sz w:val="21"/>
                <w:szCs w:val="21"/>
                <w:highlight w:val="none"/>
                <w:lang w:val="en-US" w:eastAsia="zh-CN"/>
              </w:rPr>
              <w:t>Ⅲ</w:t>
            </w:r>
            <w:r>
              <w:rPr>
                <w:rFonts w:hint="eastAsia" w:cs="Times New Roman"/>
                <w:sz w:val="21"/>
                <w:szCs w:val="21"/>
                <w:highlight w:val="none"/>
                <w:lang w:val="en-US" w:eastAsia="zh-CN"/>
              </w:rPr>
              <w:t>类</w:t>
            </w:r>
          </w:p>
        </w:tc>
        <w:tc>
          <w:tcPr>
            <w:tcW w:w="708" w:type="pct"/>
            <w:shd w:val="clear" w:color="auto" w:fill="auto"/>
            <w:vAlign w:val="center"/>
          </w:tcPr>
          <w:p w14:paraId="51D2DC5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lang w:val="en-US" w:eastAsia="zh-CN"/>
              </w:rPr>
              <w:t>Ⅱ类</w:t>
            </w:r>
          </w:p>
        </w:tc>
        <w:tc>
          <w:tcPr>
            <w:tcW w:w="708" w:type="pct"/>
            <w:shd w:val="clear" w:color="auto" w:fill="auto"/>
            <w:vAlign w:val="center"/>
          </w:tcPr>
          <w:p w14:paraId="198B7ED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lang w:val="en-US" w:eastAsia="zh-CN"/>
              </w:rPr>
              <w:t>Ⅱ类</w:t>
            </w:r>
          </w:p>
        </w:tc>
        <w:tc>
          <w:tcPr>
            <w:tcW w:w="708" w:type="pct"/>
            <w:shd w:val="clear" w:color="auto" w:fill="auto"/>
            <w:vAlign w:val="center"/>
          </w:tcPr>
          <w:p w14:paraId="63DBCBD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lang w:val="en-US" w:eastAsia="zh-CN"/>
              </w:rPr>
              <w:t>Ⅱ类</w:t>
            </w:r>
          </w:p>
        </w:tc>
        <w:tc>
          <w:tcPr>
            <w:tcW w:w="738" w:type="pct"/>
            <w:vAlign w:val="center"/>
          </w:tcPr>
          <w:p w14:paraId="78E7FE2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Ⅱ类</w:t>
            </w:r>
          </w:p>
        </w:tc>
      </w:tr>
      <w:tr w14:paraId="0FD2D869">
        <w:tblPrEx>
          <w:tblBorders>
            <w:top w:val="single" w:color="auto" w:sz="12" w:space="0"/>
            <w:left w:val="single" w:color="auto" w:sz="12" w:space="0"/>
            <w:bottom w:val="single" w:color="auto" w:sz="12" w:space="0"/>
            <w:right w:val="single" w:color="auto" w:sz="12" w:space="0"/>
            <w:insideH w:val="single" w:color="000000" w:sz="2" w:space="0"/>
            <w:insideV w:val="single" w:color="000000" w:sz="2" w:space="0"/>
          </w:tblBorders>
          <w:tblCellMar>
            <w:top w:w="0" w:type="dxa"/>
            <w:left w:w="0" w:type="dxa"/>
            <w:bottom w:w="0" w:type="dxa"/>
            <w:right w:w="0" w:type="dxa"/>
          </w:tblCellMar>
        </w:tblPrEx>
        <w:trPr>
          <w:trHeight w:val="23" w:hRule="atLeast"/>
        </w:trPr>
        <w:tc>
          <w:tcPr>
            <w:tcW w:w="719" w:type="pct"/>
            <w:shd w:val="clear" w:color="auto" w:fill="auto"/>
            <w:vAlign w:val="center"/>
          </w:tcPr>
          <w:p w14:paraId="7D727B9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eastAsia" w:cs="Times New Roman"/>
                <w:sz w:val="21"/>
                <w:szCs w:val="21"/>
                <w:highlight w:val="none"/>
                <w:lang w:val="en-US" w:eastAsia="zh-CN"/>
              </w:rPr>
              <w:t>杨源洲</w:t>
            </w:r>
          </w:p>
        </w:tc>
        <w:tc>
          <w:tcPr>
            <w:tcW w:w="707" w:type="pct"/>
            <w:shd w:val="clear" w:color="auto" w:fill="auto"/>
            <w:vAlign w:val="center"/>
          </w:tcPr>
          <w:p w14:paraId="1B28114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lang w:val="en-US" w:eastAsia="zh-CN"/>
              </w:rPr>
              <w:t>Ⅱ类</w:t>
            </w:r>
          </w:p>
        </w:tc>
        <w:tc>
          <w:tcPr>
            <w:tcW w:w="707" w:type="pct"/>
            <w:shd w:val="clear" w:color="auto" w:fill="auto"/>
            <w:vAlign w:val="center"/>
          </w:tcPr>
          <w:p w14:paraId="7776FFC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lang w:val="en-US" w:eastAsia="zh-CN"/>
              </w:rPr>
              <w:t>Ⅱ类</w:t>
            </w:r>
          </w:p>
        </w:tc>
        <w:tc>
          <w:tcPr>
            <w:tcW w:w="708" w:type="pct"/>
            <w:shd w:val="clear" w:color="auto" w:fill="auto"/>
            <w:vAlign w:val="center"/>
          </w:tcPr>
          <w:p w14:paraId="25F9237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lang w:val="en-US" w:eastAsia="zh-CN"/>
              </w:rPr>
              <w:t>Ⅱ类</w:t>
            </w:r>
          </w:p>
        </w:tc>
        <w:tc>
          <w:tcPr>
            <w:tcW w:w="708" w:type="pct"/>
            <w:shd w:val="clear" w:color="auto" w:fill="auto"/>
            <w:vAlign w:val="center"/>
          </w:tcPr>
          <w:p w14:paraId="28E28BD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lang w:val="en-US" w:eastAsia="zh-CN"/>
              </w:rPr>
              <w:t>Ⅱ类</w:t>
            </w:r>
          </w:p>
        </w:tc>
        <w:tc>
          <w:tcPr>
            <w:tcW w:w="708" w:type="pct"/>
            <w:shd w:val="clear" w:color="auto" w:fill="auto"/>
            <w:vAlign w:val="center"/>
          </w:tcPr>
          <w:p w14:paraId="7CD2FDA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lang w:val="en-US" w:eastAsia="zh-CN"/>
              </w:rPr>
              <w:t>Ⅱ类</w:t>
            </w:r>
          </w:p>
        </w:tc>
        <w:tc>
          <w:tcPr>
            <w:tcW w:w="738" w:type="pct"/>
            <w:vAlign w:val="center"/>
          </w:tcPr>
          <w:p w14:paraId="673393F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Ⅱ类</w:t>
            </w:r>
          </w:p>
        </w:tc>
      </w:tr>
      <w:tr w14:paraId="5E8FEB09">
        <w:tblPrEx>
          <w:tblBorders>
            <w:top w:val="single" w:color="auto" w:sz="12" w:space="0"/>
            <w:left w:val="single" w:color="auto" w:sz="12" w:space="0"/>
            <w:bottom w:val="single" w:color="auto" w:sz="12" w:space="0"/>
            <w:right w:val="single" w:color="auto" w:sz="12" w:space="0"/>
            <w:insideH w:val="single" w:color="000000" w:sz="2" w:space="0"/>
            <w:insideV w:val="single" w:color="000000" w:sz="2" w:space="0"/>
          </w:tblBorders>
          <w:tblCellMar>
            <w:top w:w="0" w:type="dxa"/>
            <w:left w:w="0" w:type="dxa"/>
            <w:bottom w:w="0" w:type="dxa"/>
            <w:right w:w="0" w:type="dxa"/>
          </w:tblCellMar>
        </w:tblPrEx>
        <w:trPr>
          <w:trHeight w:val="23" w:hRule="atLeast"/>
        </w:trPr>
        <w:tc>
          <w:tcPr>
            <w:tcW w:w="719" w:type="pct"/>
            <w:shd w:val="clear" w:color="auto" w:fill="auto"/>
            <w:vAlign w:val="center"/>
          </w:tcPr>
          <w:p w14:paraId="5DDD77D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eastAsia" w:cs="Times New Roman"/>
                <w:sz w:val="21"/>
                <w:szCs w:val="21"/>
                <w:highlight w:val="none"/>
                <w:lang w:val="en-US" w:eastAsia="zh-CN"/>
              </w:rPr>
              <w:t>严家滩</w:t>
            </w:r>
          </w:p>
        </w:tc>
        <w:tc>
          <w:tcPr>
            <w:tcW w:w="707" w:type="pct"/>
            <w:shd w:val="clear" w:color="auto" w:fill="auto"/>
            <w:vAlign w:val="center"/>
          </w:tcPr>
          <w:p w14:paraId="0B3B0F3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lang w:val="en-US" w:eastAsia="zh-CN"/>
              </w:rPr>
              <w:t>Ⅱ类</w:t>
            </w:r>
          </w:p>
        </w:tc>
        <w:tc>
          <w:tcPr>
            <w:tcW w:w="707" w:type="pct"/>
            <w:shd w:val="clear" w:color="auto" w:fill="auto"/>
            <w:vAlign w:val="center"/>
          </w:tcPr>
          <w:p w14:paraId="6E147A5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lang w:val="en-US" w:eastAsia="zh-CN"/>
              </w:rPr>
              <w:t>Ⅱ类</w:t>
            </w:r>
          </w:p>
        </w:tc>
        <w:tc>
          <w:tcPr>
            <w:tcW w:w="708" w:type="pct"/>
            <w:shd w:val="clear" w:color="auto" w:fill="auto"/>
            <w:vAlign w:val="center"/>
          </w:tcPr>
          <w:p w14:paraId="0CB6C87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lang w:val="en-US" w:eastAsia="zh-CN"/>
              </w:rPr>
              <w:t>Ⅱ类</w:t>
            </w:r>
          </w:p>
        </w:tc>
        <w:tc>
          <w:tcPr>
            <w:tcW w:w="708" w:type="pct"/>
            <w:shd w:val="clear" w:color="auto" w:fill="auto"/>
            <w:vAlign w:val="center"/>
          </w:tcPr>
          <w:p w14:paraId="4438628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z w:val="21"/>
                <w:szCs w:val="21"/>
                <w:highlight w:val="none"/>
                <w:lang w:val="en-US" w:eastAsia="zh-CN"/>
              </w:rPr>
              <w:t>Ⅲ</w:t>
            </w:r>
            <w:r>
              <w:rPr>
                <w:rFonts w:hint="eastAsia" w:cs="Times New Roman"/>
                <w:sz w:val="21"/>
                <w:szCs w:val="21"/>
                <w:highlight w:val="none"/>
                <w:lang w:val="en-US" w:eastAsia="zh-CN"/>
              </w:rPr>
              <w:t>类</w:t>
            </w:r>
          </w:p>
        </w:tc>
        <w:tc>
          <w:tcPr>
            <w:tcW w:w="708" w:type="pct"/>
            <w:shd w:val="clear" w:color="auto" w:fill="auto"/>
            <w:vAlign w:val="center"/>
          </w:tcPr>
          <w:p w14:paraId="40469D4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z w:val="21"/>
                <w:szCs w:val="21"/>
                <w:highlight w:val="none"/>
                <w:lang w:val="en-US" w:eastAsia="zh-CN"/>
              </w:rPr>
              <w:t>Ⅲ</w:t>
            </w:r>
            <w:r>
              <w:rPr>
                <w:rFonts w:hint="eastAsia" w:cs="Times New Roman"/>
                <w:sz w:val="21"/>
                <w:szCs w:val="21"/>
                <w:highlight w:val="none"/>
                <w:lang w:val="en-US" w:eastAsia="zh-CN"/>
              </w:rPr>
              <w:t>类</w:t>
            </w:r>
          </w:p>
        </w:tc>
        <w:tc>
          <w:tcPr>
            <w:tcW w:w="738" w:type="pct"/>
            <w:vAlign w:val="center"/>
          </w:tcPr>
          <w:p w14:paraId="68AE620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Ⅱ类</w:t>
            </w:r>
          </w:p>
        </w:tc>
      </w:tr>
    </w:tbl>
    <w:p w14:paraId="07F48DBB">
      <w:pPr>
        <w:rPr>
          <w:rFonts w:hint="default" w:ascii="Times New Roman" w:hAnsi="Times New Roman" w:cs="Times New Roman"/>
          <w:highlight w:val="none"/>
          <w:lang w:val="en-US" w:eastAsia="zh-CN"/>
        </w:rPr>
      </w:pPr>
      <w:r>
        <w:rPr>
          <w:rFonts w:hint="eastAsia" w:cs="Times New Roman"/>
          <w:highlight w:val="none"/>
          <w:lang w:val="en-US" w:eastAsia="zh-CN"/>
        </w:rPr>
        <w:t>根据上表可知，</w:t>
      </w:r>
      <w:r>
        <w:rPr>
          <w:rFonts w:hint="default" w:ascii="Times New Roman" w:hAnsi="Times New Roman" w:cs="Times New Roman"/>
          <w:highlight w:val="none"/>
          <w:lang w:val="en-US" w:eastAsia="zh-CN"/>
        </w:rPr>
        <w:t>202</w:t>
      </w:r>
      <w:r>
        <w:rPr>
          <w:rFonts w:hint="eastAsia" w:cs="Times New Roman"/>
          <w:highlight w:val="none"/>
          <w:lang w:val="en-US" w:eastAsia="zh-CN"/>
        </w:rPr>
        <w:t>4</w:t>
      </w:r>
      <w:r>
        <w:rPr>
          <w:rFonts w:hint="default" w:ascii="Times New Roman" w:hAnsi="Times New Roman" w:cs="Times New Roman"/>
          <w:highlight w:val="none"/>
          <w:lang w:val="en-US" w:eastAsia="zh-CN"/>
        </w:rPr>
        <w:t>年汨罗江各断面（加义、杨源洲、严家滩）地表水逐月水质均为《地表水环境质量标准》（GB3838-2002）的Ⅲ类</w:t>
      </w:r>
      <w:r>
        <w:rPr>
          <w:rFonts w:hint="eastAsia" w:cs="Times New Roman"/>
          <w:highlight w:val="none"/>
          <w:lang w:val="en-US" w:eastAsia="zh-CN"/>
        </w:rPr>
        <w:t>及以上</w:t>
      </w:r>
      <w:r>
        <w:rPr>
          <w:rFonts w:hint="default" w:ascii="Times New Roman" w:hAnsi="Times New Roman" w:cs="Times New Roman"/>
          <w:highlight w:val="none"/>
          <w:lang w:val="en-US" w:eastAsia="zh-CN"/>
        </w:rPr>
        <w:t>标准，区域地表水环境质量</w:t>
      </w:r>
      <w:r>
        <w:rPr>
          <w:rFonts w:hint="eastAsia" w:cs="Times New Roman"/>
          <w:highlight w:val="none"/>
          <w:lang w:val="en-US" w:eastAsia="zh-CN"/>
        </w:rPr>
        <w:t>良好</w:t>
      </w:r>
      <w:r>
        <w:rPr>
          <w:rFonts w:hint="default" w:ascii="Times New Roman" w:hAnsi="Times New Roman" w:cs="Times New Roman"/>
          <w:highlight w:val="none"/>
          <w:lang w:val="en-US" w:eastAsia="zh-CN"/>
        </w:rPr>
        <w:t>。</w:t>
      </w:r>
    </w:p>
    <w:p w14:paraId="100B49C4">
      <w:pPr>
        <w:pStyle w:val="9"/>
        <w:numPr>
          <w:ilvl w:val="2"/>
          <w:numId w:val="1"/>
        </w:numPr>
        <w:bidi w:val="0"/>
        <w:ind w:left="709" w:leftChars="0" w:hanging="709" w:firstLineChars="0"/>
        <w:rPr>
          <w:rFonts w:hint="eastAsia"/>
          <w:highlight w:val="none"/>
          <w:lang w:val="en-US" w:eastAsia="zh-CN"/>
        </w:rPr>
      </w:pPr>
      <w:r>
        <w:rPr>
          <w:rFonts w:hint="eastAsia"/>
          <w:highlight w:val="none"/>
          <w:lang w:val="en-US" w:eastAsia="zh-CN"/>
        </w:rPr>
        <w:t>地下水环境质量现状调查与评价</w:t>
      </w:r>
    </w:p>
    <w:p w14:paraId="3D9684C5">
      <w:pPr>
        <w:pStyle w:val="10"/>
        <w:numPr>
          <w:ilvl w:val="3"/>
          <w:numId w:val="1"/>
        </w:numPr>
        <w:bidi w:val="0"/>
        <w:ind w:left="850" w:leftChars="0" w:hanging="850" w:firstLineChars="0"/>
        <w:rPr>
          <w:rFonts w:hint="eastAsia"/>
          <w:lang w:val="en-US" w:eastAsia="zh-CN"/>
        </w:rPr>
      </w:pPr>
      <w:r>
        <w:rPr>
          <w:rFonts w:hint="eastAsia"/>
          <w:lang w:val="en-US" w:eastAsia="zh-CN"/>
        </w:rPr>
        <w:t>水位</w:t>
      </w:r>
    </w:p>
    <w:p w14:paraId="43C202E9">
      <w:pPr>
        <w:bidi w:val="0"/>
        <w:rPr>
          <w:rFonts w:hint="eastAsia"/>
          <w:highlight w:val="none"/>
          <w:lang w:val="en-US" w:eastAsia="zh-CN"/>
        </w:rPr>
      </w:pPr>
      <w:r>
        <w:rPr>
          <w:rFonts w:hint="eastAsia"/>
          <w:highlight w:val="none"/>
          <w:lang w:val="en-US" w:eastAsia="zh-CN"/>
        </w:rPr>
        <w:t>根据项目特点、周边环境概况以及《环境影响评价技术导则  地下水环境》（HJ610-2016）的要求，本次地下水环境质量现状共布设11个水位监测点位，见表4.2-6。</w:t>
      </w:r>
    </w:p>
    <w:p w14:paraId="387EE508">
      <w:pPr>
        <w:bidi w:val="0"/>
        <w:ind w:left="0" w:leftChars="0" w:firstLine="0" w:firstLineChars="0"/>
        <w:jc w:val="center"/>
        <w:rPr>
          <w:rFonts w:hint="eastAsia"/>
          <w:b/>
          <w:bCs/>
          <w:sz w:val="21"/>
          <w:szCs w:val="21"/>
          <w:highlight w:val="none"/>
          <w:lang w:val="en-US" w:eastAsia="zh-CN"/>
        </w:rPr>
      </w:pPr>
      <w:r>
        <w:rPr>
          <w:rFonts w:hint="eastAsia"/>
          <w:b/>
          <w:bCs/>
          <w:sz w:val="21"/>
          <w:szCs w:val="21"/>
          <w:highlight w:val="none"/>
          <w:lang w:val="en-US" w:eastAsia="zh-CN"/>
        </w:rPr>
        <w:t>表4.2-6  地下水环境质量监测点位一览表</w:t>
      </w:r>
    </w:p>
    <w:tbl>
      <w:tblPr>
        <w:tblStyle w:val="35"/>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393"/>
        <w:gridCol w:w="5237"/>
        <w:gridCol w:w="2654"/>
      </w:tblGrid>
      <w:tr w14:paraId="7B4CA23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blHeader/>
          <w:jc w:val="center"/>
        </w:trPr>
        <w:tc>
          <w:tcPr>
            <w:tcW w:w="750" w:type="pct"/>
            <w:noWrap w:val="0"/>
            <w:vAlign w:val="center"/>
          </w:tcPr>
          <w:p w14:paraId="5BAC0D88">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cs="Times New Roman"/>
                <w:b/>
                <w:bCs/>
                <w:sz w:val="21"/>
                <w:szCs w:val="21"/>
                <w:highlight w:val="none"/>
                <w:lang w:val="en-US" w:eastAsia="zh-CN"/>
              </w:rPr>
            </w:pPr>
            <w:r>
              <w:rPr>
                <w:rFonts w:hint="default" w:ascii="Times New Roman" w:hAnsi="Times New Roman" w:cs="Times New Roman"/>
                <w:b/>
                <w:bCs/>
                <w:sz w:val="21"/>
                <w:szCs w:val="21"/>
                <w:highlight w:val="none"/>
                <w:lang w:val="en-US" w:eastAsia="zh-CN"/>
              </w:rPr>
              <w:t>编号</w:t>
            </w:r>
          </w:p>
        </w:tc>
        <w:tc>
          <w:tcPr>
            <w:tcW w:w="2820" w:type="pct"/>
            <w:noWrap w:val="0"/>
            <w:vAlign w:val="center"/>
          </w:tcPr>
          <w:p w14:paraId="77D535B7">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cs="Times New Roman"/>
                <w:b/>
                <w:bCs/>
                <w:sz w:val="21"/>
                <w:szCs w:val="21"/>
                <w:highlight w:val="none"/>
                <w:lang w:val="en-US" w:eastAsia="zh-CN"/>
              </w:rPr>
            </w:pPr>
            <w:r>
              <w:rPr>
                <w:rFonts w:hint="default" w:ascii="Times New Roman" w:hAnsi="Times New Roman" w:cs="Times New Roman"/>
                <w:b/>
                <w:bCs/>
                <w:sz w:val="21"/>
                <w:szCs w:val="21"/>
                <w:highlight w:val="none"/>
                <w:lang w:val="en-US" w:eastAsia="zh-CN"/>
              </w:rPr>
              <w:t>坐标</w:t>
            </w:r>
          </w:p>
        </w:tc>
        <w:tc>
          <w:tcPr>
            <w:tcW w:w="1429" w:type="pct"/>
            <w:noWrap w:val="0"/>
            <w:vAlign w:val="center"/>
          </w:tcPr>
          <w:p w14:paraId="3FEF29DB">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cs="Times New Roman"/>
                <w:b/>
                <w:bCs/>
                <w:sz w:val="21"/>
                <w:szCs w:val="21"/>
                <w:highlight w:val="none"/>
                <w:lang w:val="en-US" w:eastAsia="zh-CN"/>
              </w:rPr>
            </w:pPr>
            <w:r>
              <w:rPr>
                <w:rFonts w:hint="eastAsia" w:cs="Times New Roman"/>
                <w:b/>
                <w:bCs/>
                <w:sz w:val="21"/>
                <w:szCs w:val="21"/>
                <w:highlight w:val="none"/>
                <w:lang w:val="en-US" w:eastAsia="zh-CN"/>
              </w:rPr>
              <w:t>水位</w:t>
            </w:r>
            <w:r>
              <w:rPr>
                <w:rFonts w:hint="default" w:ascii="Times New Roman" w:hAnsi="Times New Roman" w:cs="Times New Roman"/>
                <w:b/>
                <w:bCs/>
                <w:sz w:val="21"/>
                <w:szCs w:val="21"/>
                <w:highlight w:val="none"/>
                <w:lang w:val="en-US" w:eastAsia="zh-CN"/>
              </w:rPr>
              <w:t>（m）</w:t>
            </w:r>
          </w:p>
        </w:tc>
      </w:tr>
      <w:tr w14:paraId="1FACB45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50" w:type="pct"/>
            <w:noWrap w:val="0"/>
            <w:vAlign w:val="center"/>
          </w:tcPr>
          <w:p w14:paraId="7112F3A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D1</w:t>
            </w:r>
          </w:p>
        </w:tc>
        <w:tc>
          <w:tcPr>
            <w:tcW w:w="2820" w:type="pct"/>
            <w:shd w:val="clear" w:color="auto" w:fill="auto"/>
            <w:noWrap w:val="0"/>
            <w:vAlign w:val="center"/>
          </w:tcPr>
          <w:p w14:paraId="72D07DB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kern w:val="2"/>
                <w:sz w:val="21"/>
                <w:szCs w:val="21"/>
                <w:highlight w:val="none"/>
                <w:lang w:val="en-US" w:eastAsia="zh-CN" w:bidi="ar-SA"/>
              </w:rPr>
              <w:t>113.553039E</w:t>
            </w:r>
            <w:r>
              <w:rPr>
                <w:rFonts w:hint="eastAsia" w:cs="Times New Roman"/>
                <w:kern w:val="2"/>
                <w:sz w:val="21"/>
                <w:szCs w:val="21"/>
                <w:highlight w:val="none"/>
                <w:lang w:val="en-US" w:eastAsia="zh-CN" w:bidi="ar-SA"/>
              </w:rPr>
              <w:t>；</w:t>
            </w:r>
            <w:r>
              <w:rPr>
                <w:rFonts w:hint="default" w:ascii="Times New Roman" w:hAnsi="Times New Roman" w:eastAsia="宋体" w:cs="Times New Roman"/>
                <w:kern w:val="2"/>
                <w:sz w:val="21"/>
                <w:szCs w:val="21"/>
                <w:highlight w:val="none"/>
                <w:lang w:val="en-US" w:eastAsia="zh-CN" w:bidi="ar-SA"/>
              </w:rPr>
              <w:t>28.652197N</w:t>
            </w:r>
          </w:p>
        </w:tc>
        <w:tc>
          <w:tcPr>
            <w:tcW w:w="1429" w:type="pct"/>
            <w:noWrap w:val="0"/>
            <w:vAlign w:val="center"/>
          </w:tcPr>
          <w:p w14:paraId="6D225B7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highlight w:val="none"/>
                <w:lang w:val="en-US" w:eastAsia="zh-CN"/>
              </w:rPr>
            </w:pPr>
            <w:r>
              <w:rPr>
                <w:rFonts w:hint="eastAsia" w:cs="Times New Roman"/>
                <w:sz w:val="21"/>
                <w:szCs w:val="21"/>
                <w:highlight w:val="none"/>
                <w:lang w:val="en-US" w:eastAsia="zh-CN"/>
              </w:rPr>
              <w:t>12.4</w:t>
            </w:r>
          </w:p>
        </w:tc>
      </w:tr>
      <w:tr w14:paraId="03DCEE4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50" w:type="pct"/>
            <w:noWrap w:val="0"/>
            <w:vAlign w:val="center"/>
          </w:tcPr>
          <w:p w14:paraId="4A25E00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D2</w:t>
            </w:r>
          </w:p>
        </w:tc>
        <w:tc>
          <w:tcPr>
            <w:tcW w:w="2820" w:type="pct"/>
            <w:shd w:val="clear" w:color="auto" w:fill="auto"/>
            <w:noWrap w:val="0"/>
            <w:vAlign w:val="center"/>
          </w:tcPr>
          <w:p w14:paraId="24A8F12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kern w:val="2"/>
                <w:sz w:val="21"/>
                <w:szCs w:val="21"/>
                <w:highlight w:val="none"/>
                <w:lang w:val="en-US" w:eastAsia="zh-CN" w:bidi="ar-SA"/>
              </w:rPr>
              <w:t>113.549595E</w:t>
            </w:r>
            <w:r>
              <w:rPr>
                <w:rFonts w:hint="eastAsia" w:cs="Times New Roman"/>
                <w:kern w:val="2"/>
                <w:sz w:val="21"/>
                <w:szCs w:val="21"/>
                <w:highlight w:val="none"/>
                <w:lang w:val="en-US" w:eastAsia="zh-CN" w:bidi="ar-SA"/>
              </w:rPr>
              <w:t>；</w:t>
            </w:r>
            <w:r>
              <w:rPr>
                <w:rFonts w:hint="default" w:ascii="Times New Roman" w:hAnsi="Times New Roman" w:eastAsia="宋体" w:cs="Times New Roman"/>
                <w:kern w:val="2"/>
                <w:sz w:val="21"/>
                <w:szCs w:val="21"/>
                <w:highlight w:val="none"/>
                <w:lang w:val="en-US" w:eastAsia="zh-CN" w:bidi="ar-SA"/>
              </w:rPr>
              <w:t>28.654474N</w:t>
            </w:r>
          </w:p>
        </w:tc>
        <w:tc>
          <w:tcPr>
            <w:tcW w:w="1429" w:type="pct"/>
            <w:noWrap w:val="0"/>
            <w:vAlign w:val="center"/>
          </w:tcPr>
          <w:p w14:paraId="6741B3F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highlight w:val="none"/>
                <w:lang w:val="en-US" w:eastAsia="zh-CN"/>
              </w:rPr>
            </w:pPr>
            <w:r>
              <w:rPr>
                <w:rFonts w:hint="eastAsia" w:cs="Times New Roman"/>
                <w:sz w:val="21"/>
                <w:szCs w:val="21"/>
                <w:highlight w:val="none"/>
                <w:lang w:val="en-US" w:eastAsia="zh-CN"/>
              </w:rPr>
              <w:t>11.3</w:t>
            </w:r>
          </w:p>
        </w:tc>
      </w:tr>
      <w:tr w14:paraId="294E88C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50" w:type="pct"/>
            <w:noWrap w:val="0"/>
            <w:vAlign w:val="center"/>
          </w:tcPr>
          <w:p w14:paraId="095E627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D3</w:t>
            </w:r>
          </w:p>
        </w:tc>
        <w:tc>
          <w:tcPr>
            <w:tcW w:w="2820" w:type="pct"/>
            <w:shd w:val="clear" w:color="auto" w:fill="auto"/>
            <w:noWrap w:val="0"/>
            <w:vAlign w:val="center"/>
          </w:tcPr>
          <w:p w14:paraId="531FB15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kern w:val="2"/>
                <w:sz w:val="21"/>
                <w:szCs w:val="21"/>
                <w:highlight w:val="none"/>
                <w:lang w:val="en-US" w:eastAsia="zh-CN" w:bidi="ar-SA"/>
              </w:rPr>
              <w:t>113.545184E</w:t>
            </w:r>
            <w:r>
              <w:rPr>
                <w:rFonts w:hint="eastAsia" w:cs="Times New Roman"/>
                <w:kern w:val="2"/>
                <w:sz w:val="21"/>
                <w:szCs w:val="21"/>
                <w:highlight w:val="none"/>
                <w:lang w:val="en-US" w:eastAsia="zh-CN" w:bidi="ar-SA"/>
              </w:rPr>
              <w:t>；</w:t>
            </w:r>
            <w:r>
              <w:rPr>
                <w:rFonts w:hint="default" w:ascii="Times New Roman" w:hAnsi="Times New Roman" w:eastAsia="宋体" w:cs="Times New Roman"/>
                <w:kern w:val="2"/>
                <w:sz w:val="21"/>
                <w:szCs w:val="21"/>
                <w:highlight w:val="none"/>
                <w:lang w:val="en-US" w:eastAsia="zh-CN" w:bidi="ar-SA"/>
              </w:rPr>
              <w:t>28.649167N</w:t>
            </w:r>
          </w:p>
        </w:tc>
        <w:tc>
          <w:tcPr>
            <w:tcW w:w="1429" w:type="pct"/>
            <w:noWrap w:val="0"/>
            <w:vAlign w:val="center"/>
          </w:tcPr>
          <w:p w14:paraId="6B24E2B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highlight w:val="none"/>
                <w:lang w:val="en-US" w:eastAsia="zh-CN"/>
              </w:rPr>
            </w:pPr>
            <w:r>
              <w:rPr>
                <w:rFonts w:hint="eastAsia" w:cs="Times New Roman"/>
                <w:sz w:val="21"/>
                <w:szCs w:val="21"/>
                <w:highlight w:val="none"/>
                <w:lang w:val="en-US" w:eastAsia="zh-CN"/>
              </w:rPr>
              <w:t>8.2</w:t>
            </w:r>
          </w:p>
        </w:tc>
      </w:tr>
      <w:tr w14:paraId="5BBCAE7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50" w:type="pct"/>
            <w:noWrap w:val="0"/>
            <w:vAlign w:val="center"/>
          </w:tcPr>
          <w:p w14:paraId="26D655D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D4</w:t>
            </w:r>
          </w:p>
        </w:tc>
        <w:tc>
          <w:tcPr>
            <w:tcW w:w="2820" w:type="pct"/>
            <w:shd w:val="clear" w:color="auto" w:fill="auto"/>
            <w:noWrap w:val="0"/>
            <w:vAlign w:val="center"/>
          </w:tcPr>
          <w:p w14:paraId="61DFFA5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eastAsia" w:ascii="TimesNewRomanPSMT" w:hAnsi="TimesNewRomanPSMT" w:eastAsia="TimesNewRomanPSMT"/>
                <w:sz w:val="21"/>
                <w:szCs w:val="24"/>
              </w:rPr>
              <w:t>113.553531E</w:t>
            </w:r>
            <w:r>
              <w:rPr>
                <w:rFonts w:hint="eastAsia" w:ascii="TimesNewRomanPSMT" w:hAnsi="TimesNewRomanPSMT" w:eastAsia="宋体"/>
                <w:sz w:val="21"/>
                <w:szCs w:val="24"/>
                <w:lang w:eastAsia="zh-CN"/>
              </w:rPr>
              <w:t>；</w:t>
            </w:r>
            <w:r>
              <w:rPr>
                <w:rFonts w:hint="eastAsia" w:ascii="TimesNewRomanPSMT" w:hAnsi="TimesNewRomanPSMT" w:eastAsia="TimesNewRomanPSMT"/>
                <w:sz w:val="21"/>
                <w:szCs w:val="24"/>
              </w:rPr>
              <w:t>28.649910N</w:t>
            </w:r>
          </w:p>
        </w:tc>
        <w:tc>
          <w:tcPr>
            <w:tcW w:w="1429" w:type="pct"/>
            <w:noWrap w:val="0"/>
            <w:vAlign w:val="center"/>
          </w:tcPr>
          <w:p w14:paraId="6A32849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highlight w:val="none"/>
                <w:lang w:val="en-US" w:eastAsia="zh-CN"/>
              </w:rPr>
            </w:pPr>
            <w:r>
              <w:rPr>
                <w:rFonts w:hint="eastAsia" w:cs="Times New Roman"/>
                <w:sz w:val="21"/>
                <w:szCs w:val="21"/>
                <w:highlight w:val="none"/>
                <w:lang w:val="en-US" w:eastAsia="zh-CN"/>
              </w:rPr>
              <w:t>9.4</w:t>
            </w:r>
          </w:p>
        </w:tc>
      </w:tr>
      <w:tr w14:paraId="1A0F606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50" w:type="pct"/>
            <w:noWrap w:val="0"/>
            <w:vAlign w:val="center"/>
          </w:tcPr>
          <w:p w14:paraId="13D96E4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D5</w:t>
            </w:r>
          </w:p>
        </w:tc>
        <w:tc>
          <w:tcPr>
            <w:tcW w:w="2820" w:type="pct"/>
            <w:shd w:val="clear" w:color="auto" w:fill="auto"/>
            <w:noWrap w:val="0"/>
            <w:vAlign w:val="center"/>
          </w:tcPr>
          <w:p w14:paraId="2D61A12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eastAsia" w:ascii="TimesNewRomanPSMT" w:hAnsi="TimesNewRomanPSMT" w:eastAsia="TimesNewRomanPSMT"/>
                <w:sz w:val="21"/>
                <w:szCs w:val="24"/>
              </w:rPr>
              <w:t>113.565305E</w:t>
            </w:r>
            <w:r>
              <w:rPr>
                <w:rFonts w:hint="eastAsia" w:ascii="TimesNewRomanPSMT" w:hAnsi="TimesNewRomanPSMT" w:eastAsia="宋体"/>
                <w:sz w:val="21"/>
                <w:szCs w:val="24"/>
                <w:lang w:eastAsia="zh-CN"/>
              </w:rPr>
              <w:t>；</w:t>
            </w:r>
            <w:r>
              <w:rPr>
                <w:rFonts w:hint="eastAsia" w:ascii="TimesNewRomanPSMT" w:hAnsi="TimesNewRomanPSMT" w:eastAsia="TimesNewRomanPSMT"/>
                <w:sz w:val="21"/>
                <w:szCs w:val="24"/>
              </w:rPr>
              <w:t>28.644192N</w:t>
            </w:r>
          </w:p>
        </w:tc>
        <w:tc>
          <w:tcPr>
            <w:tcW w:w="1429" w:type="pct"/>
            <w:noWrap w:val="0"/>
            <w:vAlign w:val="center"/>
          </w:tcPr>
          <w:p w14:paraId="7CD9A3E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highlight w:val="none"/>
                <w:lang w:val="en-US" w:eastAsia="zh-CN"/>
              </w:rPr>
            </w:pPr>
            <w:r>
              <w:rPr>
                <w:rFonts w:hint="eastAsia" w:cs="Times New Roman"/>
                <w:sz w:val="21"/>
                <w:szCs w:val="21"/>
                <w:highlight w:val="none"/>
                <w:lang w:val="en-US" w:eastAsia="zh-CN"/>
              </w:rPr>
              <w:t>2</w:t>
            </w:r>
          </w:p>
        </w:tc>
      </w:tr>
      <w:tr w14:paraId="757165F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50" w:type="pct"/>
            <w:noWrap w:val="0"/>
            <w:vAlign w:val="center"/>
          </w:tcPr>
          <w:p w14:paraId="2992142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D6</w:t>
            </w:r>
          </w:p>
        </w:tc>
        <w:tc>
          <w:tcPr>
            <w:tcW w:w="2820" w:type="pct"/>
            <w:noWrap w:val="0"/>
            <w:vAlign w:val="center"/>
          </w:tcPr>
          <w:p w14:paraId="5A5EDE6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113.566293E</w:t>
            </w:r>
            <w:r>
              <w:rPr>
                <w:rFonts w:hint="eastAsia" w:cs="Times New Roman"/>
                <w:sz w:val="21"/>
                <w:szCs w:val="21"/>
                <w:highlight w:val="none"/>
                <w:lang w:val="en-US" w:eastAsia="zh-CN"/>
              </w:rPr>
              <w:t>；</w:t>
            </w:r>
            <w:r>
              <w:rPr>
                <w:rFonts w:hint="default" w:ascii="Times New Roman" w:hAnsi="Times New Roman" w:cs="Times New Roman"/>
                <w:sz w:val="21"/>
                <w:szCs w:val="21"/>
                <w:highlight w:val="none"/>
                <w:lang w:val="en-US" w:eastAsia="zh-CN"/>
              </w:rPr>
              <w:t>28.647586N</w:t>
            </w:r>
          </w:p>
        </w:tc>
        <w:tc>
          <w:tcPr>
            <w:tcW w:w="1429" w:type="pct"/>
            <w:noWrap w:val="0"/>
            <w:vAlign w:val="center"/>
          </w:tcPr>
          <w:p w14:paraId="79803A8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highlight w:val="none"/>
                <w:lang w:val="en-US" w:eastAsia="zh-CN"/>
              </w:rPr>
            </w:pPr>
            <w:r>
              <w:rPr>
                <w:rFonts w:hint="eastAsia" w:cs="Times New Roman"/>
                <w:sz w:val="21"/>
                <w:szCs w:val="21"/>
                <w:highlight w:val="none"/>
                <w:lang w:val="en-US" w:eastAsia="zh-CN"/>
              </w:rPr>
              <w:t>0.7</w:t>
            </w:r>
          </w:p>
        </w:tc>
      </w:tr>
      <w:tr w14:paraId="74F9DB5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50" w:type="pct"/>
            <w:noWrap w:val="0"/>
            <w:vAlign w:val="center"/>
          </w:tcPr>
          <w:p w14:paraId="450AA83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D7</w:t>
            </w:r>
          </w:p>
        </w:tc>
        <w:tc>
          <w:tcPr>
            <w:tcW w:w="2820" w:type="pct"/>
            <w:noWrap w:val="0"/>
            <w:vAlign w:val="center"/>
          </w:tcPr>
          <w:p w14:paraId="02E30F4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113.555461E</w:t>
            </w:r>
            <w:r>
              <w:rPr>
                <w:rFonts w:hint="eastAsia" w:cs="Times New Roman"/>
                <w:sz w:val="21"/>
                <w:szCs w:val="21"/>
                <w:highlight w:val="none"/>
                <w:lang w:val="en-US" w:eastAsia="zh-CN"/>
              </w:rPr>
              <w:t>；</w:t>
            </w:r>
            <w:r>
              <w:rPr>
                <w:rFonts w:hint="default" w:ascii="Times New Roman" w:hAnsi="Times New Roman" w:cs="Times New Roman"/>
                <w:sz w:val="21"/>
                <w:szCs w:val="21"/>
                <w:highlight w:val="none"/>
                <w:lang w:val="en-US" w:eastAsia="zh-CN"/>
              </w:rPr>
              <w:t>28.637285</w:t>
            </w:r>
            <w:r>
              <w:rPr>
                <w:rFonts w:hint="eastAsia" w:cs="Times New Roman"/>
                <w:sz w:val="21"/>
                <w:szCs w:val="21"/>
                <w:highlight w:val="none"/>
                <w:lang w:val="en-US" w:eastAsia="zh-CN"/>
              </w:rPr>
              <w:t>N</w:t>
            </w:r>
          </w:p>
        </w:tc>
        <w:tc>
          <w:tcPr>
            <w:tcW w:w="1429" w:type="pct"/>
            <w:noWrap w:val="0"/>
            <w:vAlign w:val="center"/>
          </w:tcPr>
          <w:p w14:paraId="7F8C027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highlight w:val="none"/>
                <w:lang w:val="en-US" w:eastAsia="zh-CN"/>
              </w:rPr>
            </w:pPr>
            <w:r>
              <w:rPr>
                <w:rFonts w:hint="eastAsia" w:cs="Times New Roman"/>
                <w:sz w:val="21"/>
                <w:szCs w:val="21"/>
                <w:highlight w:val="none"/>
                <w:lang w:val="en-US" w:eastAsia="zh-CN"/>
              </w:rPr>
              <w:t>4</w:t>
            </w:r>
          </w:p>
        </w:tc>
      </w:tr>
      <w:tr w14:paraId="7C7BDF2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50" w:type="pct"/>
            <w:noWrap w:val="0"/>
            <w:vAlign w:val="center"/>
          </w:tcPr>
          <w:p w14:paraId="7301C75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D8</w:t>
            </w:r>
          </w:p>
        </w:tc>
        <w:tc>
          <w:tcPr>
            <w:tcW w:w="2820" w:type="pct"/>
            <w:noWrap w:val="0"/>
            <w:vAlign w:val="center"/>
          </w:tcPr>
          <w:p w14:paraId="25DEB76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113.551735E</w:t>
            </w:r>
            <w:r>
              <w:rPr>
                <w:rFonts w:hint="eastAsia" w:cs="Times New Roman"/>
                <w:sz w:val="21"/>
                <w:szCs w:val="21"/>
                <w:highlight w:val="none"/>
                <w:lang w:val="en-US" w:eastAsia="zh-CN"/>
              </w:rPr>
              <w:t>；</w:t>
            </w:r>
            <w:r>
              <w:rPr>
                <w:rFonts w:hint="default" w:ascii="Times New Roman" w:hAnsi="Times New Roman" w:cs="Times New Roman"/>
                <w:sz w:val="21"/>
                <w:szCs w:val="21"/>
                <w:highlight w:val="none"/>
                <w:lang w:val="en-US" w:eastAsia="zh-CN"/>
              </w:rPr>
              <w:t>28.654677</w:t>
            </w:r>
            <w:r>
              <w:rPr>
                <w:rFonts w:hint="eastAsia" w:cs="Times New Roman"/>
                <w:sz w:val="21"/>
                <w:szCs w:val="21"/>
                <w:highlight w:val="none"/>
                <w:lang w:val="en-US" w:eastAsia="zh-CN"/>
              </w:rPr>
              <w:t>N</w:t>
            </w:r>
          </w:p>
        </w:tc>
        <w:tc>
          <w:tcPr>
            <w:tcW w:w="1429" w:type="pct"/>
            <w:noWrap w:val="0"/>
            <w:vAlign w:val="center"/>
          </w:tcPr>
          <w:p w14:paraId="036E8F0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highlight w:val="none"/>
                <w:lang w:val="en-US" w:eastAsia="zh-CN"/>
              </w:rPr>
            </w:pPr>
            <w:r>
              <w:rPr>
                <w:rFonts w:hint="eastAsia" w:cs="Times New Roman"/>
                <w:sz w:val="21"/>
                <w:szCs w:val="21"/>
                <w:highlight w:val="none"/>
                <w:lang w:val="en-US" w:eastAsia="zh-CN"/>
              </w:rPr>
              <w:t>4.2</w:t>
            </w:r>
          </w:p>
        </w:tc>
      </w:tr>
      <w:tr w14:paraId="4E5A59E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50" w:type="pct"/>
            <w:noWrap w:val="0"/>
            <w:vAlign w:val="center"/>
          </w:tcPr>
          <w:p w14:paraId="099E5D5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D9</w:t>
            </w:r>
          </w:p>
        </w:tc>
        <w:tc>
          <w:tcPr>
            <w:tcW w:w="2820" w:type="pct"/>
            <w:noWrap w:val="0"/>
            <w:vAlign w:val="center"/>
          </w:tcPr>
          <w:p w14:paraId="71915C3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113.553550E</w:t>
            </w:r>
            <w:r>
              <w:rPr>
                <w:rFonts w:hint="eastAsia" w:cs="Times New Roman"/>
                <w:sz w:val="21"/>
                <w:szCs w:val="21"/>
                <w:highlight w:val="none"/>
                <w:lang w:val="en-US" w:eastAsia="zh-CN"/>
              </w:rPr>
              <w:t>；</w:t>
            </w:r>
            <w:r>
              <w:rPr>
                <w:rFonts w:hint="default" w:ascii="Times New Roman" w:hAnsi="Times New Roman" w:cs="Times New Roman"/>
                <w:sz w:val="21"/>
                <w:szCs w:val="21"/>
                <w:highlight w:val="none"/>
                <w:lang w:val="en-US" w:eastAsia="zh-CN"/>
              </w:rPr>
              <w:t>28.655571</w:t>
            </w:r>
            <w:r>
              <w:rPr>
                <w:rFonts w:hint="eastAsia" w:cs="Times New Roman"/>
                <w:sz w:val="21"/>
                <w:szCs w:val="21"/>
                <w:highlight w:val="none"/>
                <w:lang w:val="en-US" w:eastAsia="zh-CN"/>
              </w:rPr>
              <w:t>N</w:t>
            </w:r>
          </w:p>
        </w:tc>
        <w:tc>
          <w:tcPr>
            <w:tcW w:w="1429" w:type="pct"/>
            <w:noWrap w:val="0"/>
            <w:vAlign w:val="center"/>
          </w:tcPr>
          <w:p w14:paraId="0645E19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highlight w:val="none"/>
                <w:lang w:val="en-US" w:eastAsia="zh-CN"/>
              </w:rPr>
            </w:pPr>
            <w:r>
              <w:rPr>
                <w:rFonts w:hint="eastAsia" w:cs="Times New Roman"/>
                <w:sz w:val="21"/>
                <w:szCs w:val="21"/>
                <w:highlight w:val="none"/>
                <w:lang w:val="en-US" w:eastAsia="zh-CN"/>
              </w:rPr>
              <w:t>5.2</w:t>
            </w:r>
          </w:p>
        </w:tc>
      </w:tr>
      <w:tr w14:paraId="4E30F11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50" w:type="pct"/>
            <w:noWrap w:val="0"/>
            <w:vAlign w:val="center"/>
          </w:tcPr>
          <w:p w14:paraId="55A3AD1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D10</w:t>
            </w:r>
          </w:p>
        </w:tc>
        <w:tc>
          <w:tcPr>
            <w:tcW w:w="2820" w:type="pct"/>
            <w:noWrap w:val="0"/>
            <w:vAlign w:val="center"/>
          </w:tcPr>
          <w:p w14:paraId="438877B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113.554636E</w:t>
            </w:r>
            <w:r>
              <w:rPr>
                <w:rFonts w:hint="eastAsia" w:cs="Times New Roman"/>
                <w:sz w:val="21"/>
                <w:szCs w:val="21"/>
                <w:highlight w:val="none"/>
                <w:lang w:val="en-US" w:eastAsia="zh-CN"/>
              </w:rPr>
              <w:t>；</w:t>
            </w:r>
            <w:r>
              <w:rPr>
                <w:rFonts w:hint="default" w:ascii="Times New Roman" w:hAnsi="Times New Roman" w:cs="Times New Roman"/>
                <w:sz w:val="21"/>
                <w:szCs w:val="21"/>
                <w:highlight w:val="none"/>
                <w:lang w:val="en-US" w:eastAsia="zh-CN"/>
              </w:rPr>
              <w:t>28.657524</w:t>
            </w:r>
            <w:r>
              <w:rPr>
                <w:rFonts w:hint="eastAsia" w:cs="Times New Roman"/>
                <w:sz w:val="21"/>
                <w:szCs w:val="21"/>
                <w:highlight w:val="none"/>
                <w:lang w:val="en-US" w:eastAsia="zh-CN"/>
              </w:rPr>
              <w:t>N</w:t>
            </w:r>
          </w:p>
        </w:tc>
        <w:tc>
          <w:tcPr>
            <w:tcW w:w="1429" w:type="pct"/>
            <w:noWrap w:val="0"/>
            <w:vAlign w:val="center"/>
          </w:tcPr>
          <w:p w14:paraId="4D2A2B3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highlight w:val="none"/>
                <w:lang w:val="en-US" w:eastAsia="zh-CN"/>
              </w:rPr>
            </w:pPr>
            <w:r>
              <w:rPr>
                <w:rFonts w:hint="eastAsia" w:cs="Times New Roman"/>
                <w:sz w:val="21"/>
                <w:szCs w:val="21"/>
                <w:highlight w:val="none"/>
                <w:lang w:val="en-US" w:eastAsia="zh-CN"/>
              </w:rPr>
              <w:t>3.8</w:t>
            </w:r>
          </w:p>
        </w:tc>
      </w:tr>
      <w:tr w14:paraId="550E63B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50" w:type="pct"/>
            <w:noWrap w:val="0"/>
            <w:vAlign w:val="center"/>
          </w:tcPr>
          <w:p w14:paraId="440BB9C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highlight w:val="none"/>
                <w:lang w:val="en-US" w:eastAsia="zh-CN"/>
              </w:rPr>
            </w:pPr>
            <w:r>
              <w:rPr>
                <w:rFonts w:hint="eastAsia" w:cs="Times New Roman"/>
                <w:sz w:val="21"/>
                <w:szCs w:val="21"/>
                <w:highlight w:val="none"/>
                <w:lang w:val="en-US" w:eastAsia="zh-CN"/>
              </w:rPr>
              <w:t>D11</w:t>
            </w:r>
          </w:p>
        </w:tc>
        <w:tc>
          <w:tcPr>
            <w:tcW w:w="2820" w:type="pct"/>
            <w:noWrap w:val="0"/>
            <w:vAlign w:val="center"/>
          </w:tcPr>
          <w:p w14:paraId="57DCD2A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113.555945E</w:t>
            </w:r>
            <w:r>
              <w:rPr>
                <w:rFonts w:hint="eastAsia" w:cs="Times New Roman"/>
                <w:sz w:val="21"/>
                <w:szCs w:val="21"/>
                <w:highlight w:val="none"/>
                <w:lang w:val="en-US" w:eastAsia="zh-CN"/>
              </w:rPr>
              <w:t>；</w:t>
            </w:r>
            <w:r>
              <w:rPr>
                <w:rFonts w:hint="default" w:ascii="Times New Roman" w:hAnsi="Times New Roman" w:cs="Times New Roman"/>
                <w:sz w:val="21"/>
                <w:szCs w:val="21"/>
                <w:highlight w:val="none"/>
                <w:lang w:val="en-US" w:eastAsia="zh-CN"/>
              </w:rPr>
              <w:t>28.655282</w:t>
            </w:r>
            <w:r>
              <w:rPr>
                <w:rFonts w:hint="eastAsia" w:cs="Times New Roman"/>
                <w:sz w:val="21"/>
                <w:szCs w:val="21"/>
                <w:highlight w:val="none"/>
                <w:lang w:val="en-US" w:eastAsia="zh-CN"/>
              </w:rPr>
              <w:t>N</w:t>
            </w:r>
          </w:p>
        </w:tc>
        <w:tc>
          <w:tcPr>
            <w:tcW w:w="1429" w:type="pct"/>
            <w:noWrap w:val="0"/>
            <w:vAlign w:val="center"/>
          </w:tcPr>
          <w:p w14:paraId="6F2257E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sz w:val="21"/>
                <w:szCs w:val="21"/>
                <w:highlight w:val="none"/>
                <w:lang w:val="en-US" w:eastAsia="zh-CN"/>
              </w:rPr>
            </w:pPr>
            <w:r>
              <w:rPr>
                <w:rFonts w:hint="eastAsia" w:cs="Times New Roman"/>
                <w:sz w:val="21"/>
                <w:szCs w:val="21"/>
                <w:highlight w:val="none"/>
                <w:lang w:val="en-US" w:eastAsia="zh-CN"/>
              </w:rPr>
              <w:t>4.2</w:t>
            </w:r>
          </w:p>
        </w:tc>
      </w:tr>
    </w:tbl>
    <w:p w14:paraId="07BA01B5">
      <w:pPr>
        <w:pStyle w:val="10"/>
        <w:numPr>
          <w:ilvl w:val="3"/>
          <w:numId w:val="1"/>
        </w:numPr>
        <w:bidi w:val="0"/>
        <w:ind w:left="850" w:leftChars="0" w:hanging="850" w:firstLineChars="0"/>
        <w:rPr>
          <w:rFonts w:hint="default"/>
          <w:lang w:val="en-US" w:eastAsia="zh-CN"/>
        </w:rPr>
      </w:pPr>
      <w:r>
        <w:rPr>
          <w:rFonts w:hint="eastAsia"/>
          <w:lang w:val="en-US" w:eastAsia="zh-CN"/>
        </w:rPr>
        <w:t>水质</w:t>
      </w:r>
    </w:p>
    <w:p w14:paraId="414099E6">
      <w:pPr>
        <w:bidi w:val="0"/>
        <w:rPr>
          <w:rFonts w:hint="eastAsia"/>
          <w:highlight w:val="none"/>
          <w:lang w:val="en-US" w:eastAsia="zh-CN"/>
        </w:rPr>
      </w:pPr>
      <w:r>
        <w:rPr>
          <w:rFonts w:hint="eastAsia"/>
          <w:highlight w:val="none"/>
          <w:lang w:val="en-US" w:eastAsia="zh-CN"/>
        </w:rPr>
        <w:t>湖南中测湘源检测有限公司于2025年8月25日、9月11日对区域地下水进行采样和检测，详见表4.2-7。</w:t>
      </w:r>
    </w:p>
    <w:p w14:paraId="1AD0CAB7">
      <w:pPr>
        <w:bidi w:val="0"/>
        <w:ind w:left="0" w:leftChars="0" w:firstLine="0" w:firstLineChars="0"/>
        <w:jc w:val="center"/>
        <w:rPr>
          <w:rFonts w:hint="eastAsia"/>
          <w:b/>
          <w:bCs/>
          <w:sz w:val="21"/>
          <w:szCs w:val="21"/>
          <w:highlight w:val="none"/>
          <w:lang w:val="en-US" w:eastAsia="zh-CN"/>
        </w:rPr>
      </w:pPr>
      <w:r>
        <w:rPr>
          <w:rFonts w:hint="eastAsia"/>
          <w:b/>
          <w:bCs/>
          <w:sz w:val="21"/>
          <w:szCs w:val="21"/>
          <w:highlight w:val="none"/>
          <w:lang w:val="en-US" w:eastAsia="zh-CN"/>
        </w:rPr>
        <w:t>表4.2-7  地下水监测点位和监测因子一览表</w:t>
      </w:r>
    </w:p>
    <w:tbl>
      <w:tblPr>
        <w:tblStyle w:val="35"/>
        <w:tblW w:w="4996"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92"/>
        <w:gridCol w:w="1830"/>
        <w:gridCol w:w="1869"/>
        <w:gridCol w:w="4890"/>
      </w:tblGrid>
      <w:tr w14:paraId="2CD3369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blHeader/>
          <w:jc w:val="center"/>
        </w:trPr>
        <w:tc>
          <w:tcPr>
            <w:tcW w:w="372" w:type="pct"/>
            <w:noWrap w:val="0"/>
            <w:vAlign w:val="center"/>
          </w:tcPr>
          <w:p w14:paraId="13D0246F">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cs="Times New Roman"/>
                <w:b/>
                <w:bCs/>
                <w:sz w:val="21"/>
                <w:szCs w:val="21"/>
                <w:highlight w:val="none"/>
                <w:lang w:val="en-US" w:eastAsia="zh-CN"/>
              </w:rPr>
            </w:pPr>
            <w:r>
              <w:rPr>
                <w:rFonts w:hint="default" w:ascii="Times New Roman" w:hAnsi="Times New Roman" w:cs="Times New Roman"/>
                <w:b/>
                <w:bCs/>
                <w:sz w:val="21"/>
                <w:szCs w:val="21"/>
                <w:highlight w:val="none"/>
                <w:lang w:val="en-US" w:eastAsia="zh-CN"/>
              </w:rPr>
              <w:t>序号</w:t>
            </w:r>
          </w:p>
        </w:tc>
        <w:tc>
          <w:tcPr>
            <w:tcW w:w="985" w:type="pct"/>
            <w:noWrap w:val="0"/>
            <w:vAlign w:val="center"/>
          </w:tcPr>
          <w:p w14:paraId="6777CC5C">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cs="Times New Roman"/>
                <w:b/>
                <w:bCs/>
                <w:sz w:val="21"/>
                <w:szCs w:val="21"/>
                <w:highlight w:val="none"/>
                <w:lang w:val="en-US" w:eastAsia="zh-CN"/>
              </w:rPr>
            </w:pPr>
            <w:r>
              <w:rPr>
                <w:rFonts w:hint="default" w:ascii="Times New Roman" w:hAnsi="Times New Roman" w:cs="Times New Roman"/>
                <w:b/>
                <w:bCs/>
                <w:sz w:val="21"/>
                <w:szCs w:val="21"/>
                <w:highlight w:val="none"/>
                <w:lang w:val="en-US" w:eastAsia="zh-CN"/>
              </w:rPr>
              <w:t>点位名称</w:t>
            </w:r>
          </w:p>
        </w:tc>
        <w:tc>
          <w:tcPr>
            <w:tcW w:w="1006" w:type="pct"/>
            <w:noWrap w:val="0"/>
            <w:vAlign w:val="center"/>
          </w:tcPr>
          <w:p w14:paraId="41E2FD07">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cs="Times New Roman"/>
                <w:b/>
                <w:bCs/>
                <w:sz w:val="21"/>
                <w:szCs w:val="21"/>
                <w:highlight w:val="none"/>
                <w:lang w:val="en-US" w:eastAsia="zh-CN"/>
              </w:rPr>
            </w:pPr>
            <w:r>
              <w:rPr>
                <w:rFonts w:hint="default" w:ascii="Times New Roman" w:hAnsi="Times New Roman" w:cs="Times New Roman"/>
                <w:b/>
                <w:bCs/>
                <w:sz w:val="21"/>
                <w:szCs w:val="21"/>
                <w:highlight w:val="none"/>
                <w:lang w:val="en-US" w:eastAsia="zh-CN"/>
              </w:rPr>
              <w:t>坐标</w:t>
            </w:r>
          </w:p>
        </w:tc>
        <w:tc>
          <w:tcPr>
            <w:tcW w:w="2634" w:type="pct"/>
            <w:noWrap w:val="0"/>
            <w:vAlign w:val="center"/>
          </w:tcPr>
          <w:p w14:paraId="21F7F689">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cs="Times New Roman"/>
                <w:b/>
                <w:bCs/>
                <w:sz w:val="21"/>
                <w:szCs w:val="21"/>
                <w:highlight w:val="none"/>
                <w:lang w:val="en-US" w:eastAsia="zh-CN"/>
              </w:rPr>
            </w:pPr>
            <w:r>
              <w:rPr>
                <w:rFonts w:hint="default" w:ascii="Times New Roman" w:hAnsi="Times New Roman" w:cs="Times New Roman"/>
                <w:b/>
                <w:bCs/>
                <w:sz w:val="21"/>
                <w:szCs w:val="21"/>
                <w:highlight w:val="none"/>
                <w:lang w:val="en-US" w:eastAsia="zh-CN"/>
              </w:rPr>
              <w:t>监测因子</w:t>
            </w:r>
          </w:p>
        </w:tc>
      </w:tr>
      <w:tr w14:paraId="560C230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72" w:type="pct"/>
            <w:noWrap w:val="0"/>
            <w:vAlign w:val="center"/>
          </w:tcPr>
          <w:p w14:paraId="66B5E4F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D1</w:t>
            </w:r>
          </w:p>
        </w:tc>
        <w:tc>
          <w:tcPr>
            <w:tcW w:w="985" w:type="pct"/>
            <w:noWrap w:val="0"/>
            <w:vAlign w:val="center"/>
          </w:tcPr>
          <w:p w14:paraId="0C8CD54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填埋场北侧</w:t>
            </w:r>
          </w:p>
          <w:p w14:paraId="1C55530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（垂拱组居民点）</w:t>
            </w:r>
          </w:p>
        </w:tc>
        <w:tc>
          <w:tcPr>
            <w:tcW w:w="1006" w:type="pct"/>
            <w:shd w:val="clear" w:color="auto" w:fill="auto"/>
            <w:noWrap w:val="0"/>
            <w:vAlign w:val="center"/>
          </w:tcPr>
          <w:p w14:paraId="38B2AD9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kern w:val="2"/>
                <w:sz w:val="21"/>
                <w:szCs w:val="21"/>
                <w:highlight w:val="none"/>
                <w:lang w:val="en-US" w:eastAsia="zh-CN" w:bidi="ar-SA"/>
              </w:rPr>
              <w:t>113.553039E</w:t>
            </w:r>
            <w:r>
              <w:rPr>
                <w:rFonts w:hint="eastAsia" w:cs="Times New Roman"/>
                <w:kern w:val="2"/>
                <w:sz w:val="21"/>
                <w:szCs w:val="21"/>
                <w:highlight w:val="none"/>
                <w:lang w:val="en-US" w:eastAsia="zh-CN" w:bidi="ar-SA"/>
              </w:rPr>
              <w:t>；</w:t>
            </w:r>
            <w:r>
              <w:rPr>
                <w:rFonts w:hint="default" w:ascii="Times New Roman" w:hAnsi="Times New Roman" w:eastAsia="宋体" w:cs="Times New Roman"/>
                <w:kern w:val="2"/>
                <w:sz w:val="21"/>
                <w:szCs w:val="21"/>
                <w:highlight w:val="none"/>
                <w:lang w:val="en-US" w:eastAsia="zh-CN" w:bidi="ar-SA"/>
              </w:rPr>
              <w:t>28.652197N</w:t>
            </w:r>
          </w:p>
        </w:tc>
        <w:tc>
          <w:tcPr>
            <w:tcW w:w="2634" w:type="pct"/>
            <w:vMerge w:val="restart"/>
            <w:noWrap w:val="0"/>
            <w:vAlign w:val="center"/>
          </w:tcPr>
          <w:p w14:paraId="7A98EE0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highlight w:val="none"/>
                <w:lang w:val="en-US" w:eastAsia="zh-CN"/>
              </w:rPr>
            </w:pPr>
            <w:r>
              <w:rPr>
                <w:rFonts w:hint="eastAsia" w:cs="Times New Roman"/>
                <w:kern w:val="0"/>
                <w:sz w:val="21"/>
                <w:szCs w:val="21"/>
                <w:highlight w:val="none"/>
                <w:lang w:val="en-US" w:eastAsia="zh-CN" w:bidi="ar"/>
              </w:rPr>
              <w:t>水位、pH、氨氮、硝酸盐、亚硝酸盐、挥发性酚类、氰化物、砷、汞、总铬、铬（六价）、总硬度、铅、氟化物、镉、铁、锰、</w:t>
            </w:r>
            <w:r>
              <w:rPr>
                <w:rFonts w:hint="eastAsia"/>
                <w:color w:val="auto"/>
                <w:sz w:val="21"/>
                <w:szCs w:val="21"/>
                <w:highlight w:val="none"/>
                <w:u w:val="none"/>
                <w:lang w:val="en-US" w:eastAsia="zh-CN"/>
              </w:rPr>
              <w:t>镍、铜、锌、</w:t>
            </w:r>
            <w:r>
              <w:rPr>
                <w:rFonts w:hint="eastAsia" w:cs="Times New Roman"/>
                <w:kern w:val="0"/>
                <w:sz w:val="21"/>
                <w:szCs w:val="21"/>
                <w:highlight w:val="none"/>
                <w:lang w:val="en-US" w:eastAsia="zh-CN" w:bidi="ar"/>
              </w:rPr>
              <w:t>溶解性总固体、高锰酸盐指数、硫酸盐、氯化物、总大肠菌群、细菌总数</w:t>
            </w:r>
            <w:r>
              <w:rPr>
                <w:rFonts w:hint="eastAsia" w:cs="宋体"/>
                <w:kern w:val="0"/>
                <w:sz w:val="21"/>
                <w:szCs w:val="21"/>
                <w:highlight w:val="none"/>
                <w:lang w:val="en-US" w:eastAsia="zh-CN" w:bidi="ar"/>
              </w:rPr>
              <w:t>、</w:t>
            </w:r>
            <w:r>
              <w:rPr>
                <w:rFonts w:hint="default" w:ascii="Times New Roman" w:hAnsi="Times New Roman" w:eastAsia="宋体" w:cs="Times New Roman"/>
                <w:kern w:val="0"/>
                <w:sz w:val="21"/>
                <w:szCs w:val="21"/>
                <w:highlight w:val="none"/>
                <w:lang w:val="en-US" w:eastAsia="zh-CN" w:bidi="ar"/>
              </w:rPr>
              <w:t>K</w:t>
            </w:r>
            <w:r>
              <w:rPr>
                <w:rFonts w:hint="default" w:ascii="Times New Roman" w:hAnsi="Times New Roman" w:eastAsia="宋体" w:cs="Times New Roman"/>
                <w:kern w:val="0"/>
                <w:sz w:val="21"/>
                <w:szCs w:val="21"/>
                <w:highlight w:val="none"/>
                <w:vertAlign w:val="superscript"/>
                <w:lang w:val="en-US" w:eastAsia="zh-CN" w:bidi="ar"/>
              </w:rPr>
              <w:t>+</w:t>
            </w:r>
            <w:r>
              <w:rPr>
                <w:rFonts w:hint="eastAsia" w:ascii="Times New Roman" w:hAnsi="Times New Roman" w:eastAsia="宋体" w:cs="宋体"/>
                <w:kern w:val="0"/>
                <w:sz w:val="21"/>
                <w:szCs w:val="21"/>
                <w:highlight w:val="none"/>
                <w:lang w:val="en-US" w:eastAsia="zh-CN" w:bidi="ar"/>
              </w:rPr>
              <w:t>、</w:t>
            </w:r>
            <w:r>
              <w:rPr>
                <w:rFonts w:hint="default" w:ascii="Times New Roman" w:hAnsi="Times New Roman" w:eastAsia="宋体" w:cs="Times New Roman"/>
                <w:kern w:val="0"/>
                <w:sz w:val="21"/>
                <w:szCs w:val="21"/>
                <w:highlight w:val="none"/>
                <w:lang w:val="en-US" w:eastAsia="zh-CN" w:bidi="ar"/>
              </w:rPr>
              <w:t>Na</w:t>
            </w:r>
            <w:r>
              <w:rPr>
                <w:rFonts w:hint="default" w:ascii="Times New Roman" w:hAnsi="Times New Roman" w:eastAsia="宋体" w:cs="Times New Roman"/>
                <w:kern w:val="0"/>
                <w:sz w:val="21"/>
                <w:szCs w:val="21"/>
                <w:highlight w:val="none"/>
                <w:vertAlign w:val="superscript"/>
                <w:lang w:val="en-US" w:eastAsia="zh-CN" w:bidi="ar"/>
              </w:rPr>
              <w:t>+</w:t>
            </w:r>
            <w:r>
              <w:rPr>
                <w:rFonts w:hint="eastAsia" w:ascii="Times New Roman" w:hAnsi="Times New Roman" w:eastAsia="宋体" w:cs="宋体"/>
                <w:kern w:val="0"/>
                <w:sz w:val="21"/>
                <w:szCs w:val="21"/>
                <w:highlight w:val="none"/>
                <w:lang w:val="en-US" w:eastAsia="zh-CN" w:bidi="ar"/>
              </w:rPr>
              <w:t>、</w:t>
            </w:r>
            <w:r>
              <w:rPr>
                <w:rFonts w:hint="default" w:ascii="Times New Roman" w:hAnsi="Times New Roman" w:eastAsia="宋体" w:cs="Times New Roman"/>
                <w:kern w:val="0"/>
                <w:sz w:val="21"/>
                <w:szCs w:val="21"/>
                <w:highlight w:val="none"/>
                <w:lang w:val="en-US" w:eastAsia="zh-CN" w:bidi="ar"/>
              </w:rPr>
              <w:t>Ca</w:t>
            </w:r>
            <w:r>
              <w:rPr>
                <w:rFonts w:hint="default" w:ascii="Times New Roman" w:hAnsi="Times New Roman" w:eastAsia="宋体" w:cs="Times New Roman"/>
                <w:kern w:val="0"/>
                <w:sz w:val="21"/>
                <w:szCs w:val="21"/>
                <w:highlight w:val="none"/>
                <w:vertAlign w:val="superscript"/>
                <w:lang w:val="en-US" w:eastAsia="zh-CN" w:bidi="ar"/>
              </w:rPr>
              <w:t>2+</w:t>
            </w:r>
            <w:r>
              <w:rPr>
                <w:rFonts w:hint="eastAsia" w:ascii="Times New Roman" w:hAnsi="Times New Roman" w:eastAsia="宋体" w:cs="宋体"/>
                <w:kern w:val="0"/>
                <w:sz w:val="21"/>
                <w:szCs w:val="21"/>
                <w:highlight w:val="none"/>
                <w:lang w:val="en-US" w:eastAsia="zh-CN" w:bidi="ar"/>
              </w:rPr>
              <w:t>、</w:t>
            </w:r>
            <w:r>
              <w:rPr>
                <w:rFonts w:hint="default" w:ascii="Times New Roman" w:hAnsi="Times New Roman" w:eastAsia="宋体" w:cs="Times New Roman"/>
                <w:kern w:val="0"/>
                <w:sz w:val="21"/>
                <w:szCs w:val="21"/>
                <w:highlight w:val="none"/>
                <w:lang w:val="en-US" w:eastAsia="zh-CN" w:bidi="ar"/>
              </w:rPr>
              <w:t>Mg</w:t>
            </w:r>
            <w:r>
              <w:rPr>
                <w:rFonts w:hint="default" w:ascii="Times New Roman" w:hAnsi="Times New Roman" w:eastAsia="宋体" w:cs="Times New Roman"/>
                <w:kern w:val="0"/>
                <w:sz w:val="21"/>
                <w:szCs w:val="21"/>
                <w:highlight w:val="none"/>
                <w:vertAlign w:val="superscript"/>
                <w:lang w:val="en-US" w:eastAsia="zh-CN" w:bidi="ar"/>
              </w:rPr>
              <w:t>2+</w:t>
            </w:r>
            <w:r>
              <w:rPr>
                <w:rFonts w:hint="eastAsia" w:ascii="Times New Roman" w:hAnsi="Times New Roman" w:eastAsia="宋体" w:cs="宋体"/>
                <w:kern w:val="0"/>
                <w:sz w:val="21"/>
                <w:szCs w:val="21"/>
                <w:highlight w:val="none"/>
                <w:lang w:val="en-US" w:eastAsia="zh-CN" w:bidi="ar"/>
              </w:rPr>
              <w:t>、</w:t>
            </w:r>
            <w:r>
              <w:rPr>
                <w:rFonts w:hint="default" w:ascii="Times New Roman" w:hAnsi="Times New Roman" w:eastAsia="宋体" w:cs="Times New Roman"/>
                <w:kern w:val="0"/>
                <w:sz w:val="21"/>
                <w:szCs w:val="21"/>
                <w:highlight w:val="none"/>
                <w:lang w:val="en-US" w:eastAsia="zh-CN" w:bidi="ar"/>
              </w:rPr>
              <w:t>CO</w:t>
            </w:r>
            <w:r>
              <w:rPr>
                <w:rFonts w:hint="default" w:ascii="Times New Roman" w:hAnsi="Times New Roman" w:eastAsia="宋体" w:cs="Times New Roman"/>
                <w:kern w:val="0"/>
                <w:sz w:val="21"/>
                <w:szCs w:val="21"/>
                <w:highlight w:val="none"/>
                <w:vertAlign w:val="subscript"/>
                <w:lang w:val="en-US" w:eastAsia="zh-CN" w:bidi="ar"/>
              </w:rPr>
              <w:t>3</w:t>
            </w:r>
            <w:r>
              <w:rPr>
                <w:rFonts w:hint="default" w:ascii="Times New Roman" w:hAnsi="Times New Roman" w:eastAsia="宋体" w:cs="Times New Roman"/>
                <w:kern w:val="0"/>
                <w:sz w:val="21"/>
                <w:szCs w:val="21"/>
                <w:highlight w:val="none"/>
                <w:vertAlign w:val="superscript"/>
                <w:lang w:val="en-US" w:eastAsia="zh-CN" w:bidi="ar"/>
              </w:rPr>
              <w:t>2-</w:t>
            </w:r>
            <w:r>
              <w:rPr>
                <w:rFonts w:hint="eastAsia" w:ascii="Times New Roman" w:hAnsi="Times New Roman" w:eastAsia="宋体" w:cs="宋体"/>
                <w:kern w:val="0"/>
                <w:sz w:val="21"/>
                <w:szCs w:val="21"/>
                <w:highlight w:val="none"/>
                <w:lang w:val="en-US" w:eastAsia="zh-CN" w:bidi="ar"/>
              </w:rPr>
              <w:t>、</w:t>
            </w:r>
            <w:r>
              <w:rPr>
                <w:rFonts w:hint="default" w:ascii="Times New Roman" w:hAnsi="Times New Roman" w:eastAsia="宋体" w:cs="Times New Roman"/>
                <w:kern w:val="0"/>
                <w:sz w:val="21"/>
                <w:szCs w:val="21"/>
                <w:highlight w:val="none"/>
                <w:lang w:val="en-US" w:eastAsia="zh-CN" w:bidi="ar"/>
              </w:rPr>
              <w:t>HCO</w:t>
            </w:r>
            <w:r>
              <w:rPr>
                <w:rFonts w:hint="default" w:ascii="Times New Roman" w:hAnsi="Times New Roman" w:eastAsia="宋体" w:cs="Times New Roman"/>
                <w:kern w:val="0"/>
                <w:sz w:val="21"/>
                <w:szCs w:val="21"/>
                <w:highlight w:val="none"/>
                <w:vertAlign w:val="subscript"/>
                <w:lang w:val="en-US" w:eastAsia="zh-CN" w:bidi="ar"/>
              </w:rPr>
              <w:t>3</w:t>
            </w:r>
            <w:r>
              <w:rPr>
                <w:rFonts w:hint="default" w:ascii="Times New Roman" w:hAnsi="Times New Roman" w:eastAsia="宋体" w:cs="Times New Roman"/>
                <w:kern w:val="0"/>
                <w:sz w:val="21"/>
                <w:szCs w:val="21"/>
                <w:highlight w:val="none"/>
                <w:vertAlign w:val="superscript"/>
                <w:lang w:val="en-US" w:eastAsia="zh-CN" w:bidi="ar"/>
              </w:rPr>
              <w:t>-</w:t>
            </w:r>
            <w:r>
              <w:rPr>
                <w:rFonts w:hint="eastAsia" w:ascii="Times New Roman" w:hAnsi="Times New Roman" w:eastAsia="宋体" w:cs="宋体"/>
                <w:kern w:val="0"/>
                <w:sz w:val="21"/>
                <w:szCs w:val="21"/>
                <w:highlight w:val="none"/>
                <w:lang w:val="en-US" w:eastAsia="zh-CN" w:bidi="ar"/>
              </w:rPr>
              <w:t>、</w:t>
            </w:r>
            <w:r>
              <w:rPr>
                <w:rFonts w:hint="default" w:ascii="Times New Roman" w:hAnsi="Times New Roman" w:eastAsia="宋体" w:cs="Times New Roman"/>
                <w:kern w:val="0"/>
                <w:sz w:val="21"/>
                <w:szCs w:val="21"/>
                <w:highlight w:val="none"/>
                <w:lang w:val="en-US" w:eastAsia="zh-CN" w:bidi="ar"/>
              </w:rPr>
              <w:t>Cl</w:t>
            </w:r>
            <w:r>
              <w:rPr>
                <w:rFonts w:hint="default" w:ascii="Times New Roman" w:hAnsi="Times New Roman" w:eastAsia="宋体" w:cs="Times New Roman"/>
                <w:kern w:val="0"/>
                <w:sz w:val="21"/>
                <w:szCs w:val="21"/>
                <w:highlight w:val="none"/>
                <w:vertAlign w:val="superscript"/>
                <w:lang w:val="en-US" w:eastAsia="zh-CN" w:bidi="ar"/>
              </w:rPr>
              <w:t>-</w:t>
            </w:r>
            <w:r>
              <w:rPr>
                <w:rFonts w:hint="eastAsia" w:ascii="Times New Roman" w:hAnsi="Times New Roman" w:eastAsia="宋体" w:cs="宋体"/>
                <w:kern w:val="0"/>
                <w:sz w:val="21"/>
                <w:szCs w:val="21"/>
                <w:highlight w:val="none"/>
                <w:lang w:val="en-US" w:eastAsia="zh-CN" w:bidi="ar"/>
              </w:rPr>
              <w:t>、</w:t>
            </w:r>
            <w:r>
              <w:rPr>
                <w:rFonts w:hint="default" w:ascii="Times New Roman" w:hAnsi="Times New Roman" w:eastAsia="宋体" w:cs="Times New Roman"/>
                <w:kern w:val="0"/>
                <w:sz w:val="21"/>
                <w:szCs w:val="21"/>
                <w:highlight w:val="none"/>
                <w:lang w:val="en-US" w:eastAsia="zh-CN" w:bidi="ar"/>
              </w:rPr>
              <w:t>SO</w:t>
            </w:r>
            <w:r>
              <w:rPr>
                <w:rFonts w:hint="default" w:ascii="Times New Roman" w:hAnsi="Times New Roman" w:eastAsia="宋体" w:cs="Times New Roman"/>
                <w:kern w:val="0"/>
                <w:sz w:val="21"/>
                <w:szCs w:val="21"/>
                <w:highlight w:val="none"/>
                <w:vertAlign w:val="subscript"/>
                <w:lang w:val="en-US" w:eastAsia="zh-CN" w:bidi="ar"/>
              </w:rPr>
              <w:t>4</w:t>
            </w:r>
            <w:r>
              <w:rPr>
                <w:rFonts w:hint="default" w:ascii="Times New Roman" w:hAnsi="Times New Roman" w:eastAsia="宋体" w:cs="Times New Roman"/>
                <w:kern w:val="0"/>
                <w:sz w:val="21"/>
                <w:szCs w:val="21"/>
                <w:highlight w:val="none"/>
                <w:vertAlign w:val="superscript"/>
                <w:lang w:val="en-US" w:eastAsia="zh-CN" w:bidi="ar"/>
              </w:rPr>
              <w:t>2-</w:t>
            </w:r>
          </w:p>
        </w:tc>
      </w:tr>
      <w:tr w14:paraId="5281248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72" w:type="pct"/>
            <w:noWrap w:val="0"/>
            <w:vAlign w:val="center"/>
          </w:tcPr>
          <w:p w14:paraId="3726FB7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D2</w:t>
            </w:r>
          </w:p>
        </w:tc>
        <w:tc>
          <w:tcPr>
            <w:tcW w:w="985" w:type="pct"/>
            <w:noWrap w:val="0"/>
            <w:vAlign w:val="center"/>
          </w:tcPr>
          <w:p w14:paraId="648C5BF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填埋场西北侧</w:t>
            </w:r>
          </w:p>
          <w:p w14:paraId="1C6BE22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（仙人组居民点）</w:t>
            </w:r>
          </w:p>
        </w:tc>
        <w:tc>
          <w:tcPr>
            <w:tcW w:w="1006" w:type="pct"/>
            <w:shd w:val="clear" w:color="auto" w:fill="auto"/>
            <w:noWrap w:val="0"/>
            <w:vAlign w:val="center"/>
          </w:tcPr>
          <w:p w14:paraId="6E62DD7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kern w:val="2"/>
                <w:sz w:val="21"/>
                <w:szCs w:val="21"/>
                <w:highlight w:val="none"/>
                <w:lang w:val="en-US" w:eastAsia="zh-CN" w:bidi="ar-SA"/>
              </w:rPr>
              <w:t>113.549595E</w:t>
            </w:r>
            <w:r>
              <w:rPr>
                <w:rFonts w:hint="eastAsia" w:cs="Times New Roman"/>
                <w:kern w:val="2"/>
                <w:sz w:val="21"/>
                <w:szCs w:val="21"/>
                <w:highlight w:val="none"/>
                <w:lang w:val="en-US" w:eastAsia="zh-CN" w:bidi="ar-SA"/>
              </w:rPr>
              <w:t>；</w:t>
            </w:r>
            <w:r>
              <w:rPr>
                <w:rFonts w:hint="default" w:ascii="Times New Roman" w:hAnsi="Times New Roman" w:eastAsia="宋体" w:cs="Times New Roman"/>
                <w:kern w:val="2"/>
                <w:sz w:val="21"/>
                <w:szCs w:val="21"/>
                <w:highlight w:val="none"/>
                <w:lang w:val="en-US" w:eastAsia="zh-CN" w:bidi="ar-SA"/>
              </w:rPr>
              <w:t>28.654474N</w:t>
            </w:r>
          </w:p>
        </w:tc>
        <w:tc>
          <w:tcPr>
            <w:tcW w:w="2634" w:type="pct"/>
            <w:vMerge w:val="continue"/>
            <w:noWrap w:val="0"/>
            <w:vAlign w:val="center"/>
          </w:tcPr>
          <w:p w14:paraId="35EA5CC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lang w:val="en-US" w:eastAsia="zh-CN"/>
              </w:rPr>
            </w:pPr>
          </w:p>
        </w:tc>
      </w:tr>
      <w:tr w14:paraId="6CDD896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72" w:type="pct"/>
            <w:noWrap w:val="0"/>
            <w:vAlign w:val="center"/>
          </w:tcPr>
          <w:p w14:paraId="5E887C2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D3</w:t>
            </w:r>
          </w:p>
        </w:tc>
        <w:tc>
          <w:tcPr>
            <w:tcW w:w="985" w:type="pct"/>
            <w:noWrap w:val="0"/>
            <w:vAlign w:val="center"/>
          </w:tcPr>
          <w:p w14:paraId="689442C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填埋场西南侧</w:t>
            </w:r>
          </w:p>
          <w:p w14:paraId="100C0EB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（鲁沅洞居民点）</w:t>
            </w:r>
          </w:p>
        </w:tc>
        <w:tc>
          <w:tcPr>
            <w:tcW w:w="1006" w:type="pct"/>
            <w:shd w:val="clear" w:color="auto" w:fill="auto"/>
            <w:noWrap w:val="0"/>
            <w:vAlign w:val="center"/>
          </w:tcPr>
          <w:p w14:paraId="728083A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kern w:val="2"/>
                <w:sz w:val="21"/>
                <w:szCs w:val="21"/>
                <w:highlight w:val="none"/>
                <w:lang w:val="en-US" w:eastAsia="zh-CN" w:bidi="ar-SA"/>
              </w:rPr>
              <w:t>113.545184E</w:t>
            </w:r>
            <w:r>
              <w:rPr>
                <w:rFonts w:hint="eastAsia" w:cs="Times New Roman"/>
                <w:kern w:val="2"/>
                <w:sz w:val="21"/>
                <w:szCs w:val="21"/>
                <w:highlight w:val="none"/>
                <w:lang w:val="en-US" w:eastAsia="zh-CN" w:bidi="ar-SA"/>
              </w:rPr>
              <w:t>；</w:t>
            </w:r>
            <w:r>
              <w:rPr>
                <w:rFonts w:hint="default" w:ascii="Times New Roman" w:hAnsi="Times New Roman" w:eastAsia="宋体" w:cs="Times New Roman"/>
                <w:kern w:val="2"/>
                <w:sz w:val="21"/>
                <w:szCs w:val="21"/>
                <w:highlight w:val="none"/>
                <w:lang w:val="en-US" w:eastAsia="zh-CN" w:bidi="ar-SA"/>
              </w:rPr>
              <w:t>28.649167N</w:t>
            </w:r>
          </w:p>
        </w:tc>
        <w:tc>
          <w:tcPr>
            <w:tcW w:w="2634" w:type="pct"/>
            <w:vMerge w:val="continue"/>
            <w:noWrap w:val="0"/>
            <w:vAlign w:val="center"/>
          </w:tcPr>
          <w:p w14:paraId="4AC5102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lang w:val="en-US" w:eastAsia="zh-CN"/>
              </w:rPr>
            </w:pPr>
          </w:p>
        </w:tc>
      </w:tr>
      <w:tr w14:paraId="578F87E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72" w:type="pct"/>
            <w:noWrap w:val="0"/>
            <w:vAlign w:val="center"/>
          </w:tcPr>
          <w:p w14:paraId="7B7321E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lang w:val="en-US" w:eastAsia="zh-CN"/>
              </w:rPr>
            </w:pPr>
            <w:r>
              <w:rPr>
                <w:rFonts w:hint="eastAsia"/>
                <w:sz w:val="21"/>
                <w:szCs w:val="21"/>
                <w:highlight w:val="none"/>
                <w:lang w:val="en-US" w:eastAsia="zh-CN"/>
              </w:rPr>
              <w:t>D4</w:t>
            </w:r>
          </w:p>
        </w:tc>
        <w:tc>
          <w:tcPr>
            <w:tcW w:w="985" w:type="pct"/>
            <w:noWrap w:val="0"/>
            <w:vAlign w:val="center"/>
          </w:tcPr>
          <w:p w14:paraId="6F482DF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lang w:val="en-US" w:eastAsia="zh-CN"/>
              </w:rPr>
            </w:pPr>
            <w:r>
              <w:rPr>
                <w:rFonts w:hint="eastAsia"/>
                <w:sz w:val="21"/>
                <w:szCs w:val="21"/>
                <w:highlight w:val="none"/>
                <w:lang w:val="en-US" w:eastAsia="zh-CN"/>
              </w:rPr>
              <w:t>填埋场内</w:t>
            </w:r>
          </w:p>
        </w:tc>
        <w:tc>
          <w:tcPr>
            <w:tcW w:w="1006" w:type="pct"/>
            <w:shd w:val="clear" w:color="auto" w:fill="auto"/>
            <w:noWrap w:val="0"/>
            <w:vAlign w:val="center"/>
          </w:tcPr>
          <w:p w14:paraId="76AF4A9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eastAsia" w:ascii="TimesNewRomanPSMT" w:hAnsi="TimesNewRomanPSMT" w:eastAsia="TimesNewRomanPSMT"/>
                <w:sz w:val="21"/>
                <w:szCs w:val="24"/>
              </w:rPr>
              <w:t>113.553531E</w:t>
            </w:r>
            <w:r>
              <w:rPr>
                <w:rFonts w:hint="eastAsia" w:ascii="TimesNewRomanPSMT" w:hAnsi="TimesNewRomanPSMT" w:eastAsia="宋体"/>
                <w:sz w:val="21"/>
                <w:szCs w:val="24"/>
                <w:lang w:eastAsia="zh-CN"/>
              </w:rPr>
              <w:t>；</w:t>
            </w:r>
            <w:r>
              <w:rPr>
                <w:rFonts w:hint="eastAsia" w:ascii="TimesNewRomanPSMT" w:hAnsi="TimesNewRomanPSMT" w:eastAsia="TimesNewRomanPSMT"/>
                <w:sz w:val="21"/>
                <w:szCs w:val="24"/>
              </w:rPr>
              <w:t>28.649910N</w:t>
            </w:r>
          </w:p>
        </w:tc>
        <w:tc>
          <w:tcPr>
            <w:tcW w:w="2634" w:type="pct"/>
            <w:vMerge w:val="continue"/>
            <w:noWrap w:val="0"/>
            <w:vAlign w:val="center"/>
          </w:tcPr>
          <w:p w14:paraId="01460EE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lang w:val="en-US" w:eastAsia="zh-CN"/>
              </w:rPr>
            </w:pPr>
          </w:p>
        </w:tc>
      </w:tr>
      <w:tr w14:paraId="3212C4B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72" w:type="pct"/>
            <w:noWrap w:val="0"/>
            <w:vAlign w:val="center"/>
          </w:tcPr>
          <w:p w14:paraId="3EC6AA1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lang w:val="en-US" w:eastAsia="zh-CN"/>
              </w:rPr>
            </w:pPr>
            <w:r>
              <w:rPr>
                <w:rFonts w:hint="eastAsia"/>
                <w:sz w:val="21"/>
                <w:szCs w:val="21"/>
                <w:highlight w:val="none"/>
                <w:lang w:val="en-US" w:eastAsia="zh-CN"/>
              </w:rPr>
              <w:t>D5</w:t>
            </w:r>
          </w:p>
        </w:tc>
        <w:tc>
          <w:tcPr>
            <w:tcW w:w="985" w:type="pct"/>
            <w:noWrap w:val="0"/>
            <w:vAlign w:val="center"/>
          </w:tcPr>
          <w:p w14:paraId="3BAE08F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lang w:val="en-US" w:eastAsia="zh-CN"/>
              </w:rPr>
            </w:pPr>
            <w:r>
              <w:rPr>
                <w:rFonts w:hint="eastAsia"/>
                <w:sz w:val="21"/>
                <w:szCs w:val="21"/>
                <w:highlight w:val="none"/>
                <w:lang w:val="en-US" w:eastAsia="zh-CN"/>
              </w:rPr>
              <w:t>填埋场东南侧</w:t>
            </w:r>
          </w:p>
        </w:tc>
        <w:tc>
          <w:tcPr>
            <w:tcW w:w="1006" w:type="pct"/>
            <w:shd w:val="clear" w:color="auto" w:fill="auto"/>
            <w:noWrap w:val="0"/>
            <w:vAlign w:val="center"/>
          </w:tcPr>
          <w:p w14:paraId="7F8B43B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eastAsia" w:ascii="TimesNewRomanPSMT" w:hAnsi="TimesNewRomanPSMT" w:eastAsia="TimesNewRomanPSMT"/>
                <w:sz w:val="21"/>
                <w:szCs w:val="24"/>
              </w:rPr>
              <w:t>113.565305E</w:t>
            </w:r>
            <w:r>
              <w:rPr>
                <w:rFonts w:hint="eastAsia" w:ascii="TimesNewRomanPSMT" w:hAnsi="TimesNewRomanPSMT" w:eastAsia="宋体"/>
                <w:sz w:val="21"/>
                <w:szCs w:val="24"/>
                <w:lang w:eastAsia="zh-CN"/>
              </w:rPr>
              <w:t>；</w:t>
            </w:r>
            <w:r>
              <w:rPr>
                <w:rFonts w:hint="eastAsia" w:ascii="TimesNewRomanPSMT" w:hAnsi="TimesNewRomanPSMT" w:eastAsia="TimesNewRomanPSMT"/>
                <w:sz w:val="21"/>
                <w:szCs w:val="24"/>
              </w:rPr>
              <w:t>28.644192N</w:t>
            </w:r>
          </w:p>
        </w:tc>
        <w:tc>
          <w:tcPr>
            <w:tcW w:w="2634" w:type="pct"/>
            <w:vMerge w:val="continue"/>
            <w:noWrap w:val="0"/>
            <w:vAlign w:val="center"/>
          </w:tcPr>
          <w:p w14:paraId="454B876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lang w:val="en-US" w:eastAsia="zh-CN"/>
              </w:rPr>
            </w:pPr>
          </w:p>
        </w:tc>
      </w:tr>
    </w:tbl>
    <w:p w14:paraId="387EE694">
      <w:pPr>
        <w:pStyle w:val="10"/>
        <w:numPr>
          <w:ilvl w:val="3"/>
          <w:numId w:val="1"/>
        </w:numPr>
        <w:bidi w:val="0"/>
        <w:ind w:left="850" w:leftChars="0" w:hanging="850" w:firstLineChars="0"/>
        <w:rPr>
          <w:rFonts w:hint="default"/>
          <w:lang w:val="en-US" w:eastAsia="zh-CN"/>
        </w:rPr>
      </w:pPr>
      <w:r>
        <w:rPr>
          <w:rFonts w:hint="default"/>
          <w:lang w:val="en-US" w:eastAsia="zh-CN"/>
        </w:rPr>
        <w:t>评价方法与评价标准</w:t>
      </w:r>
    </w:p>
    <w:p w14:paraId="0ECB3CBB">
      <w:pPr>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评价方法采用标准指数法；评价标准采用《地下水质量标准》（GB/T14848-2017）</w:t>
      </w:r>
      <w:r>
        <w:rPr>
          <w:rFonts w:hint="default" w:ascii="Times New Roman" w:hAnsi="Times New Roman" w:eastAsia="宋体" w:cs="Times New Roman"/>
          <w:highlight w:val="none"/>
          <w:lang w:val="en-US" w:eastAsia="zh-CN"/>
        </w:rPr>
        <w:t>Ⅲ</w:t>
      </w:r>
      <w:r>
        <w:rPr>
          <w:rFonts w:hint="default" w:ascii="Times New Roman" w:hAnsi="Times New Roman" w:cs="Times New Roman"/>
          <w:highlight w:val="none"/>
          <w:lang w:val="en-US" w:eastAsia="zh-CN"/>
        </w:rPr>
        <w:t>类标准。</w:t>
      </w:r>
    </w:p>
    <w:p w14:paraId="7293D6D3">
      <w:pPr>
        <w:pStyle w:val="10"/>
        <w:numPr>
          <w:ilvl w:val="3"/>
          <w:numId w:val="1"/>
        </w:numPr>
        <w:bidi w:val="0"/>
        <w:ind w:left="850" w:leftChars="0" w:hanging="850" w:firstLineChars="0"/>
        <w:rPr>
          <w:rFonts w:hint="default"/>
          <w:lang w:val="en-US" w:eastAsia="zh-CN"/>
        </w:rPr>
      </w:pPr>
      <w:r>
        <w:rPr>
          <w:rFonts w:hint="default"/>
          <w:lang w:val="en-US" w:eastAsia="zh-CN"/>
        </w:rPr>
        <w:t>监测结果</w:t>
      </w:r>
    </w:p>
    <w:p w14:paraId="6BBEE67B">
      <w:pPr>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地下水环境质量现状监测结果见表4.2-8，由表4.2-8可知：</w:t>
      </w:r>
      <w:r>
        <w:rPr>
          <w:rFonts w:hint="eastAsia" w:cs="Times New Roman"/>
          <w:highlight w:val="none"/>
          <w:lang w:val="en-US" w:eastAsia="zh-CN"/>
        </w:rPr>
        <w:t>除</w:t>
      </w:r>
      <w:r>
        <w:rPr>
          <w:rFonts w:hint="default" w:ascii="Times New Roman" w:hAnsi="Times New Roman" w:cs="Times New Roman"/>
          <w:highlight w:val="none"/>
          <w:lang w:val="en-US" w:eastAsia="zh-CN"/>
        </w:rPr>
        <w:t>D3</w:t>
      </w:r>
      <w:r>
        <w:rPr>
          <w:rFonts w:hint="eastAsia" w:cs="Times New Roman"/>
          <w:highlight w:val="none"/>
          <w:lang w:val="en-US" w:eastAsia="zh-CN"/>
        </w:rPr>
        <w:t>点位砷超过</w:t>
      </w:r>
      <w:r>
        <w:rPr>
          <w:rFonts w:hint="default" w:ascii="Times New Roman" w:hAnsi="Times New Roman" w:cs="Times New Roman"/>
          <w:highlight w:val="none"/>
          <w:lang w:val="en-US" w:eastAsia="zh-CN"/>
        </w:rPr>
        <w:t>《地下水质量标准》（GB/T14848-2017）中的Ⅲ类标准</w:t>
      </w:r>
      <w:r>
        <w:rPr>
          <w:rFonts w:hint="eastAsia" w:cs="Times New Roman"/>
          <w:highlight w:val="none"/>
          <w:lang w:val="en-US" w:eastAsia="zh-CN"/>
        </w:rPr>
        <w:t>外，其余</w:t>
      </w:r>
      <w:r>
        <w:rPr>
          <w:rFonts w:hint="default" w:ascii="Times New Roman" w:hAnsi="Times New Roman" w:cs="Times New Roman"/>
          <w:highlight w:val="none"/>
          <w:lang w:val="en-US" w:eastAsia="zh-CN"/>
        </w:rPr>
        <w:t>各监测点位</w:t>
      </w:r>
      <w:r>
        <w:rPr>
          <w:rFonts w:hint="eastAsia" w:cs="Times New Roman"/>
          <w:highlight w:val="none"/>
          <w:lang w:val="en-US" w:eastAsia="zh-CN"/>
        </w:rPr>
        <w:t>各</w:t>
      </w:r>
      <w:r>
        <w:rPr>
          <w:rFonts w:hint="default" w:ascii="Times New Roman" w:hAnsi="Times New Roman" w:cs="Times New Roman"/>
          <w:highlight w:val="none"/>
          <w:lang w:val="en-US" w:eastAsia="zh-CN"/>
        </w:rPr>
        <w:t>监测指标监测结果均未超过《地下水质量标准》（GB/T14848-2017）中的Ⅲ类标准。</w:t>
      </w:r>
    </w:p>
    <w:p w14:paraId="7FEB6817">
      <w:pPr>
        <w:rPr>
          <w:rFonts w:hint="default" w:cs="Times New Roman"/>
          <w:highlight w:val="none"/>
          <w:lang w:val="en-US" w:eastAsia="zh-CN"/>
        </w:rPr>
        <w:sectPr>
          <w:footerReference r:id="rId7" w:type="default"/>
          <w:pgSz w:w="11906" w:h="16838"/>
          <w:pgMar w:top="1417" w:right="1417" w:bottom="1417" w:left="1417" w:header="851" w:footer="992" w:gutter="0"/>
          <w:pgNumType w:fmt="decimal"/>
          <w:cols w:space="425" w:num="1"/>
          <w:docGrid w:type="lines" w:linePitch="312" w:charSpace="0"/>
        </w:sectPr>
      </w:pPr>
      <w:r>
        <w:rPr>
          <w:rFonts w:hint="eastAsia" w:cs="Times New Roman"/>
          <w:highlight w:val="none"/>
          <w:lang w:val="en-US" w:eastAsia="zh-CN"/>
        </w:rPr>
        <w:t>D3点位砷超标原因为</w:t>
      </w:r>
      <w:r>
        <w:rPr>
          <w:rFonts w:hint="default" w:cs="Times New Roman"/>
          <w:highlight w:val="none"/>
          <w:lang w:val="en-US" w:eastAsia="zh-CN"/>
        </w:rPr>
        <w:t>废渣堆在常年雨水冲刷下，产生的重金属浸出液</w:t>
      </w:r>
      <w:r>
        <w:rPr>
          <w:rFonts w:hint="eastAsia" w:cs="Times New Roman"/>
          <w:highlight w:val="none"/>
          <w:lang w:val="en-US" w:eastAsia="zh-CN"/>
        </w:rPr>
        <w:t>下渗</w:t>
      </w:r>
      <w:r>
        <w:rPr>
          <w:rFonts w:hint="default" w:cs="Times New Roman"/>
          <w:highlight w:val="none"/>
          <w:lang w:val="en-US" w:eastAsia="zh-CN"/>
        </w:rPr>
        <w:t>对</w:t>
      </w:r>
      <w:r>
        <w:rPr>
          <w:rFonts w:hint="eastAsia" w:cs="Times New Roman"/>
          <w:highlight w:val="none"/>
          <w:lang w:val="en-US" w:eastAsia="zh-CN"/>
        </w:rPr>
        <w:t>地下水</w:t>
      </w:r>
      <w:r>
        <w:rPr>
          <w:rFonts w:hint="default" w:cs="Times New Roman"/>
          <w:highlight w:val="none"/>
          <w:lang w:val="en-US" w:eastAsia="zh-CN"/>
        </w:rPr>
        <w:t>水质</w:t>
      </w:r>
      <w:r>
        <w:rPr>
          <w:rFonts w:hint="eastAsia" w:cs="Times New Roman"/>
          <w:highlight w:val="none"/>
          <w:lang w:val="en-US" w:eastAsia="zh-CN"/>
        </w:rPr>
        <w:t>产生影响。</w:t>
      </w:r>
    </w:p>
    <w:p w14:paraId="00DE8130">
      <w:pPr>
        <w:ind w:left="0" w:leftChars="0" w:firstLine="0" w:firstLineChars="0"/>
        <w:jc w:val="center"/>
        <w:rPr>
          <w:rFonts w:hint="eastAsia"/>
          <w:b/>
          <w:bCs/>
          <w:sz w:val="21"/>
          <w:szCs w:val="21"/>
          <w:highlight w:val="none"/>
          <w:lang w:val="en-US" w:eastAsia="zh-CN"/>
        </w:rPr>
      </w:pPr>
      <w:r>
        <w:rPr>
          <w:rFonts w:hint="eastAsia"/>
          <w:b/>
          <w:bCs/>
          <w:sz w:val="21"/>
          <w:szCs w:val="21"/>
          <w:highlight w:val="none"/>
          <w:lang w:val="en-US" w:eastAsia="zh-CN"/>
        </w:rPr>
        <w:t>表4.2-8  地下水监测结果一览表    单位：mg/L（pH为无量纲）</w:t>
      </w:r>
    </w:p>
    <w:tbl>
      <w:tblPr>
        <w:tblStyle w:val="35"/>
        <w:tblW w:w="4994" w:type="pct"/>
        <w:jc w:val="center"/>
        <w:tblBorders>
          <w:top w:val="single" w:color="auto" w:sz="12" w:space="0"/>
          <w:left w:val="single" w:color="auto" w:sz="12" w:space="0"/>
          <w:bottom w:val="single" w:color="auto" w:sz="12" w:space="0"/>
          <w:right w:val="single" w:color="auto" w:sz="12" w:space="0"/>
          <w:insideH w:val="none" w:color="auto" w:sz="4" w:space="0"/>
          <w:insideV w:val="none" w:color="auto" w:sz="4" w:space="0"/>
        </w:tblBorders>
        <w:shd w:val="clear" w:color="auto" w:fill="auto"/>
        <w:tblLayout w:type="fixed"/>
        <w:tblCellMar>
          <w:top w:w="0" w:type="dxa"/>
          <w:left w:w="108" w:type="dxa"/>
          <w:bottom w:w="0" w:type="dxa"/>
          <w:right w:w="108" w:type="dxa"/>
        </w:tblCellMar>
      </w:tblPr>
      <w:tblGrid>
        <w:gridCol w:w="685"/>
        <w:gridCol w:w="1104"/>
        <w:gridCol w:w="926"/>
        <w:gridCol w:w="1044"/>
        <w:gridCol w:w="1044"/>
        <w:gridCol w:w="1044"/>
        <w:gridCol w:w="1044"/>
        <w:gridCol w:w="1044"/>
        <w:gridCol w:w="1044"/>
        <w:gridCol w:w="1044"/>
        <w:gridCol w:w="1044"/>
        <w:gridCol w:w="1044"/>
        <w:gridCol w:w="1044"/>
        <w:gridCol w:w="1050"/>
      </w:tblGrid>
      <w:tr w14:paraId="04639D32">
        <w:tblPrEx>
          <w:tblBorders>
            <w:top w:val="single" w:color="auto" w:sz="12" w:space="0"/>
            <w:left w:val="single" w:color="auto" w:sz="12" w:space="0"/>
            <w:bottom w:val="single" w:color="auto" w:sz="12" w:space="0"/>
            <w:right w:val="single" w:color="auto" w:sz="12" w:space="0"/>
            <w:insideH w:val="none" w:color="auto" w:sz="4" w:space="0"/>
            <w:insideV w:val="none" w:color="auto" w:sz="4" w:space="0"/>
          </w:tblBorders>
          <w:shd w:val="clear" w:color="auto" w:fill="auto"/>
          <w:tblCellMar>
            <w:top w:w="0" w:type="dxa"/>
            <w:left w:w="108" w:type="dxa"/>
            <w:bottom w:w="0" w:type="dxa"/>
            <w:right w:w="108" w:type="dxa"/>
          </w:tblCellMar>
        </w:tblPrEx>
        <w:trPr>
          <w:trHeight w:val="23" w:hRule="atLeast"/>
          <w:jc w:val="center"/>
        </w:trPr>
        <w:tc>
          <w:tcPr>
            <w:tcW w:w="241" w:type="pct"/>
            <w:tcBorders>
              <w:bottom w:val="single" w:color="000000" w:sz="4" w:space="0"/>
              <w:right w:val="single" w:color="000000" w:sz="4" w:space="0"/>
            </w:tcBorders>
            <w:shd w:val="clear" w:color="auto" w:fill="auto"/>
            <w:noWrap w:val="0"/>
            <w:vAlign w:val="center"/>
          </w:tcPr>
          <w:p w14:paraId="23032D4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b/>
                <w:bCs/>
                <w:sz w:val="21"/>
                <w:szCs w:val="21"/>
                <w:highlight w:val="none"/>
                <w:lang w:val="en-US" w:eastAsia="zh-CN"/>
              </w:rPr>
            </w:pPr>
            <w:r>
              <w:rPr>
                <w:rFonts w:hint="eastAsia"/>
                <w:b/>
                <w:bCs/>
                <w:sz w:val="21"/>
                <w:szCs w:val="21"/>
                <w:highlight w:val="none"/>
                <w:lang w:val="en-US" w:eastAsia="zh-CN"/>
              </w:rPr>
              <w:t>监测点位</w:t>
            </w:r>
          </w:p>
        </w:tc>
        <w:tc>
          <w:tcPr>
            <w:tcW w:w="388" w:type="pct"/>
            <w:tcBorders>
              <w:left w:val="single" w:color="000000" w:sz="4" w:space="0"/>
              <w:bottom w:val="single" w:color="000000" w:sz="4" w:space="0"/>
              <w:right w:val="single" w:color="000000" w:sz="4" w:space="0"/>
            </w:tcBorders>
            <w:shd w:val="clear" w:color="auto" w:fill="auto"/>
            <w:noWrap w:val="0"/>
            <w:vAlign w:val="center"/>
          </w:tcPr>
          <w:p w14:paraId="7B576E8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bCs/>
                <w:sz w:val="21"/>
                <w:szCs w:val="21"/>
                <w:highlight w:val="none"/>
              </w:rPr>
            </w:pPr>
            <w:r>
              <w:rPr>
                <w:rFonts w:hint="default"/>
                <w:b/>
                <w:bCs/>
                <w:sz w:val="21"/>
                <w:szCs w:val="21"/>
                <w:highlight w:val="none"/>
              </w:rPr>
              <w:t>监测项目</w:t>
            </w:r>
          </w:p>
        </w:tc>
        <w:tc>
          <w:tcPr>
            <w:tcW w:w="325" w:type="pct"/>
            <w:tcBorders>
              <w:left w:val="single" w:color="000000" w:sz="4" w:space="0"/>
              <w:bottom w:val="single" w:color="000000" w:sz="4" w:space="0"/>
              <w:right w:val="single" w:color="000000" w:sz="4" w:space="0"/>
            </w:tcBorders>
            <w:shd w:val="clear" w:color="auto" w:fill="auto"/>
            <w:noWrap w:val="0"/>
            <w:vAlign w:val="center"/>
          </w:tcPr>
          <w:p w14:paraId="4B4BD19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bCs/>
                <w:sz w:val="21"/>
                <w:szCs w:val="21"/>
                <w:highlight w:val="none"/>
              </w:rPr>
            </w:pPr>
            <w:r>
              <w:rPr>
                <w:rFonts w:hint="default"/>
                <w:b/>
                <w:bCs/>
                <w:sz w:val="21"/>
                <w:szCs w:val="21"/>
                <w:highlight w:val="none"/>
              </w:rPr>
              <w:t>pH</w:t>
            </w:r>
          </w:p>
        </w:tc>
        <w:tc>
          <w:tcPr>
            <w:tcW w:w="367" w:type="pct"/>
            <w:tcBorders>
              <w:left w:val="single" w:color="000000" w:sz="4" w:space="0"/>
              <w:bottom w:val="single" w:color="000000" w:sz="4" w:space="0"/>
              <w:right w:val="single" w:color="000000" w:sz="4" w:space="0"/>
            </w:tcBorders>
            <w:shd w:val="clear" w:color="auto" w:fill="auto"/>
            <w:noWrap w:val="0"/>
            <w:vAlign w:val="center"/>
          </w:tcPr>
          <w:p w14:paraId="527154F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bCs/>
                <w:sz w:val="21"/>
                <w:szCs w:val="21"/>
                <w:highlight w:val="none"/>
              </w:rPr>
            </w:pPr>
            <w:r>
              <w:rPr>
                <w:rFonts w:hint="default"/>
                <w:b/>
                <w:bCs/>
                <w:sz w:val="21"/>
                <w:szCs w:val="21"/>
                <w:highlight w:val="none"/>
                <w:lang w:val="en-US" w:eastAsia="zh-CN"/>
              </w:rPr>
              <w:t>氨氮</w:t>
            </w:r>
          </w:p>
        </w:tc>
        <w:tc>
          <w:tcPr>
            <w:tcW w:w="367" w:type="pct"/>
            <w:tcBorders>
              <w:left w:val="single" w:color="000000" w:sz="4" w:space="0"/>
              <w:bottom w:val="single" w:color="000000" w:sz="4" w:space="0"/>
              <w:right w:val="single" w:color="000000" w:sz="4" w:space="0"/>
            </w:tcBorders>
            <w:shd w:val="clear" w:color="auto" w:fill="auto"/>
            <w:noWrap w:val="0"/>
            <w:vAlign w:val="center"/>
          </w:tcPr>
          <w:p w14:paraId="5DDD335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bCs/>
                <w:sz w:val="21"/>
                <w:szCs w:val="21"/>
                <w:highlight w:val="none"/>
              </w:rPr>
            </w:pPr>
            <w:r>
              <w:rPr>
                <w:rFonts w:hint="default"/>
                <w:b/>
                <w:bCs/>
                <w:sz w:val="21"/>
                <w:szCs w:val="21"/>
                <w:highlight w:val="none"/>
                <w:lang w:val="en-US" w:eastAsia="zh-CN"/>
              </w:rPr>
              <w:t>硝酸盐</w:t>
            </w:r>
          </w:p>
        </w:tc>
        <w:tc>
          <w:tcPr>
            <w:tcW w:w="367" w:type="pct"/>
            <w:tcBorders>
              <w:left w:val="single" w:color="000000" w:sz="4" w:space="0"/>
              <w:bottom w:val="single" w:color="000000" w:sz="4" w:space="0"/>
              <w:right w:val="single" w:color="000000" w:sz="4" w:space="0"/>
            </w:tcBorders>
            <w:shd w:val="clear" w:color="auto" w:fill="auto"/>
            <w:noWrap w:val="0"/>
            <w:vAlign w:val="center"/>
          </w:tcPr>
          <w:p w14:paraId="06B6248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bCs/>
                <w:sz w:val="21"/>
                <w:szCs w:val="21"/>
                <w:highlight w:val="none"/>
              </w:rPr>
            </w:pPr>
            <w:r>
              <w:rPr>
                <w:rFonts w:hint="default"/>
                <w:b/>
                <w:bCs/>
                <w:sz w:val="21"/>
                <w:szCs w:val="21"/>
                <w:highlight w:val="none"/>
                <w:lang w:val="en-US" w:eastAsia="zh-CN"/>
              </w:rPr>
              <w:t>亚硝酸盐</w:t>
            </w:r>
          </w:p>
        </w:tc>
        <w:tc>
          <w:tcPr>
            <w:tcW w:w="367" w:type="pct"/>
            <w:tcBorders>
              <w:left w:val="single" w:color="000000" w:sz="4" w:space="0"/>
              <w:bottom w:val="single" w:color="000000" w:sz="4" w:space="0"/>
              <w:right w:val="single" w:color="000000" w:sz="4" w:space="0"/>
            </w:tcBorders>
            <w:shd w:val="clear" w:color="auto" w:fill="auto"/>
            <w:noWrap w:val="0"/>
            <w:vAlign w:val="center"/>
          </w:tcPr>
          <w:p w14:paraId="3C3CB1B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bCs/>
                <w:sz w:val="21"/>
                <w:szCs w:val="21"/>
                <w:highlight w:val="none"/>
              </w:rPr>
            </w:pPr>
            <w:r>
              <w:rPr>
                <w:rFonts w:hint="default"/>
                <w:b/>
                <w:bCs/>
                <w:sz w:val="21"/>
                <w:szCs w:val="21"/>
                <w:highlight w:val="none"/>
                <w:lang w:val="en-US" w:eastAsia="zh-CN"/>
              </w:rPr>
              <w:t>挥发性酚类</w:t>
            </w:r>
          </w:p>
        </w:tc>
        <w:tc>
          <w:tcPr>
            <w:tcW w:w="367" w:type="pct"/>
            <w:tcBorders>
              <w:left w:val="single" w:color="000000" w:sz="4" w:space="0"/>
              <w:bottom w:val="single" w:color="000000" w:sz="4" w:space="0"/>
              <w:right w:val="single" w:color="000000" w:sz="4" w:space="0"/>
            </w:tcBorders>
            <w:shd w:val="clear" w:color="auto" w:fill="auto"/>
            <w:noWrap/>
            <w:vAlign w:val="center"/>
          </w:tcPr>
          <w:p w14:paraId="71B63E0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bCs/>
                <w:sz w:val="21"/>
                <w:szCs w:val="21"/>
                <w:highlight w:val="none"/>
              </w:rPr>
            </w:pPr>
            <w:r>
              <w:rPr>
                <w:rFonts w:hint="default"/>
                <w:b/>
                <w:bCs/>
                <w:sz w:val="21"/>
                <w:szCs w:val="21"/>
                <w:highlight w:val="none"/>
                <w:lang w:val="en-US" w:eastAsia="zh-CN"/>
              </w:rPr>
              <w:t>氰化物</w:t>
            </w:r>
          </w:p>
        </w:tc>
        <w:tc>
          <w:tcPr>
            <w:tcW w:w="367" w:type="pct"/>
            <w:tcBorders>
              <w:left w:val="single" w:color="000000" w:sz="4" w:space="0"/>
              <w:bottom w:val="single" w:color="000000" w:sz="4" w:space="0"/>
              <w:right w:val="single" w:color="000000" w:sz="4" w:space="0"/>
            </w:tcBorders>
            <w:shd w:val="clear" w:color="auto" w:fill="auto"/>
            <w:noWrap/>
            <w:vAlign w:val="center"/>
          </w:tcPr>
          <w:p w14:paraId="1CA6060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bCs/>
                <w:sz w:val="21"/>
                <w:szCs w:val="21"/>
                <w:highlight w:val="none"/>
              </w:rPr>
            </w:pPr>
            <w:r>
              <w:rPr>
                <w:rFonts w:hint="default"/>
                <w:b/>
                <w:bCs/>
                <w:sz w:val="21"/>
                <w:szCs w:val="21"/>
                <w:highlight w:val="none"/>
                <w:lang w:val="en-US" w:eastAsia="zh-CN"/>
              </w:rPr>
              <w:t>砷</w:t>
            </w:r>
          </w:p>
        </w:tc>
        <w:tc>
          <w:tcPr>
            <w:tcW w:w="367" w:type="pct"/>
            <w:tcBorders>
              <w:left w:val="single" w:color="000000" w:sz="4" w:space="0"/>
              <w:bottom w:val="single" w:color="000000" w:sz="4" w:space="0"/>
              <w:right w:val="single" w:color="000000" w:sz="4" w:space="0"/>
            </w:tcBorders>
            <w:shd w:val="clear" w:color="auto" w:fill="auto"/>
            <w:noWrap/>
            <w:vAlign w:val="center"/>
          </w:tcPr>
          <w:p w14:paraId="500D976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bCs/>
                <w:sz w:val="21"/>
                <w:szCs w:val="21"/>
                <w:highlight w:val="none"/>
              </w:rPr>
            </w:pPr>
            <w:r>
              <w:rPr>
                <w:rFonts w:hint="default"/>
                <w:b/>
                <w:bCs/>
                <w:sz w:val="21"/>
                <w:szCs w:val="21"/>
                <w:highlight w:val="none"/>
                <w:lang w:val="en-US" w:eastAsia="zh-CN"/>
              </w:rPr>
              <w:t>汞</w:t>
            </w:r>
          </w:p>
        </w:tc>
        <w:tc>
          <w:tcPr>
            <w:tcW w:w="367" w:type="pct"/>
            <w:tcBorders>
              <w:left w:val="single" w:color="000000" w:sz="4" w:space="0"/>
              <w:bottom w:val="single" w:color="000000" w:sz="4" w:space="0"/>
              <w:right w:val="single" w:color="000000" w:sz="4" w:space="0"/>
            </w:tcBorders>
            <w:shd w:val="clear" w:color="auto" w:fill="auto"/>
            <w:noWrap/>
            <w:vAlign w:val="center"/>
          </w:tcPr>
          <w:p w14:paraId="004FAF4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bCs/>
                <w:sz w:val="21"/>
                <w:szCs w:val="21"/>
                <w:highlight w:val="none"/>
              </w:rPr>
            </w:pPr>
            <w:r>
              <w:rPr>
                <w:rFonts w:hint="default"/>
                <w:b/>
                <w:bCs/>
                <w:sz w:val="21"/>
                <w:szCs w:val="21"/>
                <w:highlight w:val="none"/>
                <w:lang w:val="en-US" w:eastAsia="zh-CN"/>
              </w:rPr>
              <w:t>总铬</w:t>
            </w:r>
          </w:p>
        </w:tc>
        <w:tc>
          <w:tcPr>
            <w:tcW w:w="367" w:type="pct"/>
            <w:tcBorders>
              <w:left w:val="single" w:color="000000" w:sz="4" w:space="0"/>
              <w:bottom w:val="single" w:color="000000" w:sz="4" w:space="0"/>
              <w:right w:val="single" w:color="000000" w:sz="4" w:space="0"/>
            </w:tcBorders>
            <w:shd w:val="clear" w:color="auto" w:fill="auto"/>
            <w:noWrap/>
            <w:vAlign w:val="center"/>
          </w:tcPr>
          <w:p w14:paraId="19381AD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b/>
                <w:bCs/>
                <w:sz w:val="21"/>
                <w:szCs w:val="21"/>
                <w:highlight w:val="none"/>
                <w:lang w:val="en-US" w:eastAsia="zh-CN"/>
              </w:rPr>
            </w:pPr>
            <w:r>
              <w:rPr>
                <w:rFonts w:hint="eastAsia" w:eastAsia="宋体"/>
                <w:b/>
                <w:bCs/>
                <w:sz w:val="21"/>
                <w:szCs w:val="21"/>
                <w:highlight w:val="none"/>
                <w:lang w:val="en-US" w:eastAsia="zh-CN"/>
              </w:rPr>
              <w:t>铬</w:t>
            </w:r>
          </w:p>
          <w:p w14:paraId="4634B83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b/>
                <w:bCs/>
                <w:sz w:val="21"/>
                <w:szCs w:val="21"/>
                <w:highlight w:val="none"/>
                <w:lang w:val="en-US" w:eastAsia="zh-CN"/>
              </w:rPr>
            </w:pPr>
            <w:r>
              <w:rPr>
                <w:rFonts w:hint="eastAsia" w:eastAsia="宋体"/>
                <w:b/>
                <w:bCs/>
                <w:sz w:val="21"/>
                <w:szCs w:val="21"/>
                <w:highlight w:val="none"/>
                <w:lang w:val="en-US" w:eastAsia="zh-CN"/>
              </w:rPr>
              <w:t>（六价）</w:t>
            </w:r>
          </w:p>
        </w:tc>
        <w:tc>
          <w:tcPr>
            <w:tcW w:w="367" w:type="pct"/>
            <w:tcBorders>
              <w:left w:val="single" w:color="000000" w:sz="4" w:space="0"/>
              <w:bottom w:val="single" w:color="000000" w:sz="4" w:space="0"/>
              <w:right w:val="single" w:color="000000" w:sz="4" w:space="0"/>
            </w:tcBorders>
            <w:shd w:val="clear" w:color="auto" w:fill="auto"/>
            <w:noWrap/>
            <w:vAlign w:val="center"/>
          </w:tcPr>
          <w:p w14:paraId="157E087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b/>
                <w:bCs/>
                <w:sz w:val="21"/>
                <w:szCs w:val="21"/>
                <w:highlight w:val="none"/>
                <w:lang w:val="en-US" w:eastAsia="zh-CN"/>
              </w:rPr>
            </w:pPr>
            <w:r>
              <w:rPr>
                <w:rFonts w:hint="eastAsia" w:eastAsia="宋体"/>
                <w:b/>
                <w:bCs/>
                <w:sz w:val="21"/>
                <w:szCs w:val="21"/>
                <w:highlight w:val="none"/>
                <w:lang w:val="en-US" w:eastAsia="zh-CN"/>
              </w:rPr>
              <w:t>总硬度</w:t>
            </w:r>
          </w:p>
        </w:tc>
        <w:tc>
          <w:tcPr>
            <w:tcW w:w="369" w:type="pct"/>
            <w:tcBorders>
              <w:left w:val="single" w:color="000000" w:sz="4" w:space="0"/>
              <w:bottom w:val="single" w:color="000000" w:sz="4" w:space="0"/>
            </w:tcBorders>
            <w:shd w:val="clear" w:color="auto" w:fill="auto"/>
            <w:noWrap/>
            <w:vAlign w:val="center"/>
          </w:tcPr>
          <w:p w14:paraId="30B4709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bCs/>
                <w:sz w:val="21"/>
                <w:szCs w:val="21"/>
                <w:highlight w:val="none"/>
              </w:rPr>
            </w:pPr>
            <w:r>
              <w:rPr>
                <w:rFonts w:hint="default"/>
                <w:b/>
                <w:bCs/>
                <w:sz w:val="21"/>
                <w:szCs w:val="21"/>
                <w:highlight w:val="none"/>
                <w:lang w:val="en-US" w:eastAsia="zh-CN"/>
              </w:rPr>
              <w:t>铅</w:t>
            </w:r>
          </w:p>
        </w:tc>
      </w:tr>
      <w:tr w14:paraId="0E339840">
        <w:tblPrEx>
          <w:tblBorders>
            <w:top w:val="single" w:color="auto" w:sz="12" w:space="0"/>
            <w:left w:val="single" w:color="auto" w:sz="12" w:space="0"/>
            <w:bottom w:val="single" w:color="auto" w:sz="12" w:space="0"/>
            <w:right w:val="single" w:color="auto" w:sz="12" w:space="0"/>
            <w:insideH w:val="none" w:color="auto" w:sz="4" w:space="0"/>
            <w:insideV w:val="none" w:color="auto" w:sz="4" w:space="0"/>
          </w:tblBorders>
          <w:shd w:val="clear" w:color="auto" w:fill="auto"/>
          <w:tblCellMar>
            <w:top w:w="0" w:type="dxa"/>
            <w:left w:w="108" w:type="dxa"/>
            <w:bottom w:w="0" w:type="dxa"/>
            <w:right w:w="108" w:type="dxa"/>
          </w:tblCellMar>
        </w:tblPrEx>
        <w:trPr>
          <w:trHeight w:val="90" w:hRule="atLeast"/>
          <w:jc w:val="center"/>
        </w:trPr>
        <w:tc>
          <w:tcPr>
            <w:tcW w:w="241" w:type="pct"/>
            <w:vMerge w:val="restart"/>
            <w:tcBorders>
              <w:top w:val="single" w:color="000000" w:sz="4" w:space="0"/>
              <w:bottom w:val="single" w:color="000000" w:sz="4" w:space="0"/>
              <w:right w:val="single" w:color="000000" w:sz="4" w:space="0"/>
            </w:tcBorders>
            <w:shd w:val="clear" w:color="auto" w:fill="auto"/>
            <w:noWrap w:val="0"/>
            <w:vAlign w:val="center"/>
          </w:tcPr>
          <w:p w14:paraId="27B1B32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rPr>
            </w:pPr>
            <w:r>
              <w:rPr>
                <w:rFonts w:hint="default"/>
                <w:sz w:val="21"/>
                <w:szCs w:val="21"/>
                <w:highlight w:val="none"/>
              </w:rPr>
              <w:t>D1</w:t>
            </w:r>
          </w:p>
        </w:tc>
        <w:tc>
          <w:tcPr>
            <w:tcW w:w="38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2BADDF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rPr>
            </w:pPr>
            <w:r>
              <w:rPr>
                <w:rFonts w:hint="default"/>
                <w:sz w:val="21"/>
                <w:szCs w:val="21"/>
                <w:highlight w:val="none"/>
              </w:rPr>
              <w:t>监测值</w:t>
            </w:r>
          </w:p>
        </w:tc>
        <w:tc>
          <w:tcPr>
            <w:tcW w:w="325"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1391A8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lang w:val="en-US" w:eastAsia="zh-CN"/>
              </w:rPr>
            </w:pPr>
            <w:r>
              <w:rPr>
                <w:rFonts w:hint="eastAsia"/>
                <w:sz w:val="21"/>
                <w:szCs w:val="21"/>
                <w:highlight w:val="none"/>
                <w:lang w:val="en-US" w:eastAsia="zh-CN"/>
              </w:rPr>
              <w:t>7.3</w:t>
            </w:r>
          </w:p>
        </w:tc>
        <w:tc>
          <w:tcPr>
            <w:tcW w:w="36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FF8352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lang w:val="en-US" w:eastAsia="zh-CN"/>
              </w:rPr>
            </w:pPr>
            <w:r>
              <w:rPr>
                <w:rFonts w:hint="eastAsia"/>
                <w:sz w:val="21"/>
                <w:szCs w:val="21"/>
                <w:highlight w:val="none"/>
                <w:lang w:val="en-US" w:eastAsia="zh-CN"/>
              </w:rPr>
              <w:t>0.053</w:t>
            </w:r>
          </w:p>
        </w:tc>
        <w:tc>
          <w:tcPr>
            <w:tcW w:w="36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A1397E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lang w:val="en-US" w:eastAsia="zh-CN"/>
              </w:rPr>
            </w:pPr>
            <w:r>
              <w:rPr>
                <w:rFonts w:hint="eastAsia"/>
                <w:sz w:val="21"/>
                <w:szCs w:val="21"/>
                <w:highlight w:val="none"/>
                <w:lang w:val="en-US" w:eastAsia="zh-CN"/>
              </w:rPr>
              <w:t>5.60</w:t>
            </w:r>
          </w:p>
        </w:tc>
        <w:tc>
          <w:tcPr>
            <w:tcW w:w="36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DE2603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lang w:val="en-US" w:eastAsia="zh-CN"/>
              </w:rPr>
            </w:pPr>
            <w:r>
              <w:rPr>
                <w:rFonts w:hint="eastAsia"/>
                <w:sz w:val="21"/>
                <w:szCs w:val="21"/>
                <w:highlight w:val="none"/>
                <w:lang w:val="en-US" w:eastAsia="zh-CN"/>
              </w:rPr>
              <w:t>ND</w:t>
            </w:r>
          </w:p>
        </w:tc>
        <w:tc>
          <w:tcPr>
            <w:tcW w:w="36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9AF51F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lang w:val="en-US" w:eastAsia="zh-CN"/>
              </w:rPr>
            </w:pPr>
            <w:r>
              <w:rPr>
                <w:rFonts w:hint="eastAsia"/>
                <w:sz w:val="21"/>
                <w:szCs w:val="21"/>
                <w:highlight w:val="none"/>
                <w:lang w:val="en-US" w:eastAsia="zh-CN"/>
              </w:rPr>
              <w:t>ND</w:t>
            </w:r>
          </w:p>
        </w:tc>
        <w:tc>
          <w:tcPr>
            <w:tcW w:w="36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4AA00D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lang w:val="en-US" w:eastAsia="zh-CN"/>
              </w:rPr>
            </w:pPr>
            <w:r>
              <w:rPr>
                <w:rFonts w:hint="eastAsia"/>
                <w:sz w:val="21"/>
                <w:szCs w:val="21"/>
                <w:highlight w:val="none"/>
                <w:lang w:val="en-US" w:eastAsia="zh-CN"/>
              </w:rPr>
              <w:t>ND</w:t>
            </w:r>
          </w:p>
        </w:tc>
        <w:tc>
          <w:tcPr>
            <w:tcW w:w="36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649B43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lang w:val="en-US" w:eastAsia="zh-CN"/>
              </w:rPr>
            </w:pPr>
            <w:r>
              <w:rPr>
                <w:rFonts w:hint="eastAsia"/>
                <w:sz w:val="21"/>
                <w:szCs w:val="21"/>
                <w:highlight w:val="none"/>
                <w:lang w:val="en-US" w:eastAsia="zh-CN"/>
              </w:rPr>
              <w:t>0.0037</w:t>
            </w:r>
          </w:p>
        </w:tc>
        <w:tc>
          <w:tcPr>
            <w:tcW w:w="36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3DCE88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lang w:val="en-US" w:eastAsia="zh-CN"/>
              </w:rPr>
            </w:pPr>
            <w:r>
              <w:rPr>
                <w:rFonts w:hint="eastAsia"/>
                <w:sz w:val="21"/>
                <w:szCs w:val="21"/>
                <w:highlight w:val="none"/>
                <w:lang w:val="en-US" w:eastAsia="zh-CN"/>
              </w:rPr>
              <w:t>ND</w:t>
            </w:r>
          </w:p>
        </w:tc>
        <w:tc>
          <w:tcPr>
            <w:tcW w:w="36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8844C9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lang w:val="en-US" w:eastAsia="zh-CN"/>
              </w:rPr>
            </w:pPr>
            <w:r>
              <w:rPr>
                <w:rFonts w:hint="eastAsia"/>
                <w:sz w:val="21"/>
                <w:szCs w:val="21"/>
                <w:highlight w:val="none"/>
                <w:lang w:val="en-US" w:eastAsia="zh-CN"/>
              </w:rPr>
              <w:t>0.00017</w:t>
            </w:r>
          </w:p>
        </w:tc>
        <w:tc>
          <w:tcPr>
            <w:tcW w:w="36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A0831A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ND</w:t>
            </w:r>
          </w:p>
        </w:tc>
        <w:tc>
          <w:tcPr>
            <w:tcW w:w="36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4B5C6B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lang w:val="en-US" w:eastAsia="zh-CN"/>
              </w:rPr>
            </w:pPr>
            <w:r>
              <w:rPr>
                <w:rFonts w:hint="eastAsia"/>
                <w:sz w:val="21"/>
                <w:szCs w:val="21"/>
                <w:highlight w:val="none"/>
                <w:lang w:val="en-US" w:eastAsia="zh-CN"/>
              </w:rPr>
              <w:t>58</w:t>
            </w:r>
          </w:p>
        </w:tc>
        <w:tc>
          <w:tcPr>
            <w:tcW w:w="369" w:type="pct"/>
            <w:tcBorders>
              <w:top w:val="single" w:color="000000" w:sz="4" w:space="0"/>
              <w:left w:val="single" w:color="000000" w:sz="4" w:space="0"/>
              <w:bottom w:val="single" w:color="000000" w:sz="4" w:space="0"/>
            </w:tcBorders>
            <w:shd w:val="clear" w:color="auto" w:fill="auto"/>
            <w:noWrap w:val="0"/>
            <w:vAlign w:val="center"/>
          </w:tcPr>
          <w:p w14:paraId="0ED89D6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lang w:val="en-US" w:eastAsia="zh-CN"/>
              </w:rPr>
            </w:pPr>
            <w:r>
              <w:rPr>
                <w:rFonts w:hint="eastAsia"/>
                <w:sz w:val="21"/>
                <w:szCs w:val="21"/>
                <w:highlight w:val="none"/>
                <w:lang w:val="en-US" w:eastAsia="zh-CN"/>
              </w:rPr>
              <w:t>ND</w:t>
            </w:r>
          </w:p>
        </w:tc>
      </w:tr>
      <w:tr w14:paraId="3FD5F8B2">
        <w:tblPrEx>
          <w:tblBorders>
            <w:top w:val="single" w:color="auto" w:sz="12" w:space="0"/>
            <w:left w:val="single" w:color="auto" w:sz="12" w:space="0"/>
            <w:bottom w:val="single" w:color="auto" w:sz="12" w:space="0"/>
            <w:right w:val="single" w:color="auto" w:sz="12" w:space="0"/>
            <w:insideH w:val="none" w:color="auto" w:sz="4" w:space="0"/>
            <w:insideV w:val="none" w:color="auto" w:sz="4" w:space="0"/>
          </w:tblBorders>
          <w:shd w:val="clear" w:color="auto" w:fill="auto"/>
          <w:tblCellMar>
            <w:top w:w="0" w:type="dxa"/>
            <w:left w:w="108" w:type="dxa"/>
            <w:bottom w:w="0" w:type="dxa"/>
            <w:right w:w="108" w:type="dxa"/>
          </w:tblCellMar>
        </w:tblPrEx>
        <w:trPr>
          <w:trHeight w:val="90" w:hRule="atLeast"/>
          <w:jc w:val="center"/>
        </w:trPr>
        <w:tc>
          <w:tcPr>
            <w:tcW w:w="241" w:type="pct"/>
            <w:vMerge w:val="continue"/>
            <w:tcBorders>
              <w:top w:val="single" w:color="000000" w:sz="4" w:space="0"/>
              <w:bottom w:val="single" w:color="000000" w:sz="4" w:space="0"/>
              <w:right w:val="single" w:color="000000" w:sz="4" w:space="0"/>
            </w:tcBorders>
            <w:shd w:val="clear" w:color="auto" w:fill="auto"/>
            <w:noWrap w:val="0"/>
            <w:vAlign w:val="center"/>
          </w:tcPr>
          <w:p w14:paraId="4682FDA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rPr>
            </w:pPr>
          </w:p>
        </w:tc>
        <w:tc>
          <w:tcPr>
            <w:tcW w:w="38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7B0CAE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rPr>
            </w:pPr>
            <w:r>
              <w:rPr>
                <w:rFonts w:hint="default"/>
                <w:sz w:val="21"/>
                <w:szCs w:val="21"/>
                <w:highlight w:val="none"/>
              </w:rPr>
              <w:t>标准指数</w:t>
            </w:r>
          </w:p>
        </w:tc>
        <w:tc>
          <w:tcPr>
            <w:tcW w:w="325"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1C6029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lang w:val="en-US" w:eastAsia="zh-CN"/>
              </w:rPr>
            </w:pPr>
            <w:r>
              <w:rPr>
                <w:rFonts w:hint="eastAsia"/>
                <w:sz w:val="21"/>
                <w:szCs w:val="21"/>
                <w:highlight w:val="none"/>
                <w:lang w:val="en-US" w:eastAsia="zh-CN"/>
              </w:rPr>
              <w:t>0.2</w:t>
            </w:r>
          </w:p>
        </w:tc>
        <w:tc>
          <w:tcPr>
            <w:tcW w:w="36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C4F162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lang w:val="en-US" w:eastAsia="zh-CN"/>
              </w:rPr>
            </w:pPr>
            <w:r>
              <w:rPr>
                <w:rFonts w:hint="eastAsia"/>
                <w:sz w:val="21"/>
                <w:szCs w:val="21"/>
                <w:highlight w:val="none"/>
                <w:lang w:val="en-US" w:eastAsia="zh-CN"/>
              </w:rPr>
              <w:t>0.106</w:t>
            </w:r>
          </w:p>
        </w:tc>
        <w:tc>
          <w:tcPr>
            <w:tcW w:w="36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36801B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lang w:val="en-US" w:eastAsia="zh-CN"/>
              </w:rPr>
            </w:pPr>
            <w:r>
              <w:rPr>
                <w:rFonts w:hint="eastAsia"/>
                <w:sz w:val="21"/>
                <w:szCs w:val="21"/>
                <w:highlight w:val="none"/>
                <w:lang w:val="en-US" w:eastAsia="zh-CN"/>
              </w:rPr>
              <w:t>0.28</w:t>
            </w:r>
          </w:p>
        </w:tc>
        <w:tc>
          <w:tcPr>
            <w:tcW w:w="36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416385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lang w:val="en-US" w:eastAsia="zh-CN"/>
              </w:rPr>
            </w:pPr>
            <w:r>
              <w:rPr>
                <w:rFonts w:hint="eastAsia"/>
                <w:sz w:val="21"/>
                <w:szCs w:val="21"/>
                <w:highlight w:val="none"/>
                <w:lang w:val="en-US" w:eastAsia="zh-CN"/>
              </w:rPr>
              <w:t>/</w:t>
            </w:r>
          </w:p>
        </w:tc>
        <w:tc>
          <w:tcPr>
            <w:tcW w:w="36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CEC259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w:t>
            </w:r>
          </w:p>
        </w:tc>
        <w:tc>
          <w:tcPr>
            <w:tcW w:w="36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BEE4BF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w:t>
            </w:r>
          </w:p>
        </w:tc>
        <w:tc>
          <w:tcPr>
            <w:tcW w:w="36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B37328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heme="minorBidi"/>
                <w:kern w:val="2"/>
                <w:sz w:val="21"/>
                <w:szCs w:val="21"/>
                <w:highlight w:val="none"/>
                <w:lang w:val="en-US" w:eastAsia="zh-CN" w:bidi="ar-SA"/>
              </w:rPr>
            </w:pPr>
            <w:r>
              <w:rPr>
                <w:rFonts w:hint="eastAsia" w:cstheme="minorBidi"/>
                <w:kern w:val="2"/>
                <w:sz w:val="21"/>
                <w:szCs w:val="21"/>
                <w:highlight w:val="none"/>
                <w:lang w:val="en-US" w:eastAsia="zh-CN" w:bidi="ar-SA"/>
              </w:rPr>
              <w:t>0.37</w:t>
            </w:r>
          </w:p>
        </w:tc>
        <w:tc>
          <w:tcPr>
            <w:tcW w:w="36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610240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w:t>
            </w:r>
          </w:p>
        </w:tc>
        <w:tc>
          <w:tcPr>
            <w:tcW w:w="36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8D0E00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lang w:val="en-US" w:eastAsia="zh-CN"/>
              </w:rPr>
            </w:pPr>
            <w:r>
              <w:rPr>
                <w:rFonts w:hint="eastAsia"/>
                <w:sz w:val="21"/>
                <w:szCs w:val="21"/>
                <w:highlight w:val="none"/>
                <w:lang w:val="en-US" w:eastAsia="zh-CN"/>
              </w:rPr>
              <w:t>/</w:t>
            </w:r>
          </w:p>
        </w:tc>
        <w:tc>
          <w:tcPr>
            <w:tcW w:w="36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E1AA7A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w:t>
            </w:r>
          </w:p>
        </w:tc>
        <w:tc>
          <w:tcPr>
            <w:tcW w:w="36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7C8317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heme="minorBidi"/>
                <w:kern w:val="2"/>
                <w:sz w:val="21"/>
                <w:szCs w:val="21"/>
                <w:highlight w:val="none"/>
                <w:lang w:val="en-US" w:eastAsia="zh-CN" w:bidi="ar-SA"/>
              </w:rPr>
            </w:pPr>
            <w:r>
              <w:rPr>
                <w:rFonts w:hint="eastAsia" w:cstheme="minorBidi"/>
                <w:kern w:val="2"/>
                <w:sz w:val="21"/>
                <w:szCs w:val="21"/>
                <w:highlight w:val="none"/>
                <w:lang w:val="en-US" w:eastAsia="zh-CN" w:bidi="ar-SA"/>
              </w:rPr>
              <w:t>0.13</w:t>
            </w:r>
          </w:p>
        </w:tc>
        <w:tc>
          <w:tcPr>
            <w:tcW w:w="369" w:type="pct"/>
            <w:tcBorders>
              <w:top w:val="single" w:color="000000" w:sz="4" w:space="0"/>
              <w:left w:val="single" w:color="000000" w:sz="4" w:space="0"/>
              <w:bottom w:val="single" w:color="000000" w:sz="4" w:space="0"/>
            </w:tcBorders>
            <w:shd w:val="clear" w:color="auto" w:fill="auto"/>
            <w:noWrap w:val="0"/>
            <w:vAlign w:val="center"/>
          </w:tcPr>
          <w:p w14:paraId="3387C9C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w:t>
            </w:r>
          </w:p>
        </w:tc>
      </w:tr>
      <w:tr w14:paraId="43BA1F67">
        <w:tblPrEx>
          <w:tblBorders>
            <w:top w:val="single" w:color="auto" w:sz="12" w:space="0"/>
            <w:left w:val="single" w:color="auto" w:sz="12" w:space="0"/>
            <w:bottom w:val="single" w:color="auto" w:sz="12" w:space="0"/>
            <w:right w:val="single" w:color="auto" w:sz="12" w:space="0"/>
            <w:insideH w:val="none" w:color="auto" w:sz="4" w:space="0"/>
            <w:insideV w:val="none" w:color="auto" w:sz="4" w:space="0"/>
          </w:tblBorders>
          <w:tblCellMar>
            <w:top w:w="0" w:type="dxa"/>
            <w:left w:w="108" w:type="dxa"/>
            <w:bottom w:w="0" w:type="dxa"/>
            <w:right w:w="108" w:type="dxa"/>
          </w:tblCellMar>
        </w:tblPrEx>
        <w:trPr>
          <w:trHeight w:val="23" w:hRule="atLeast"/>
          <w:jc w:val="center"/>
        </w:trPr>
        <w:tc>
          <w:tcPr>
            <w:tcW w:w="241" w:type="pct"/>
            <w:vMerge w:val="continue"/>
            <w:tcBorders>
              <w:top w:val="single" w:color="000000" w:sz="4" w:space="0"/>
              <w:bottom w:val="single" w:color="000000" w:sz="4" w:space="0"/>
              <w:right w:val="single" w:color="000000" w:sz="4" w:space="0"/>
            </w:tcBorders>
            <w:shd w:val="clear" w:color="auto" w:fill="auto"/>
            <w:noWrap w:val="0"/>
            <w:vAlign w:val="center"/>
          </w:tcPr>
          <w:p w14:paraId="2C60E83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rPr>
            </w:pPr>
          </w:p>
        </w:tc>
        <w:tc>
          <w:tcPr>
            <w:tcW w:w="38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9FF369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rPr>
            </w:pPr>
            <w:r>
              <w:rPr>
                <w:rFonts w:hint="default"/>
                <w:sz w:val="21"/>
                <w:szCs w:val="21"/>
                <w:highlight w:val="none"/>
              </w:rPr>
              <w:t>检出率%</w:t>
            </w:r>
          </w:p>
        </w:tc>
        <w:tc>
          <w:tcPr>
            <w:tcW w:w="325"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04EA0D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lang w:val="en-US" w:eastAsia="zh-CN"/>
              </w:rPr>
            </w:pPr>
            <w:r>
              <w:rPr>
                <w:rFonts w:hint="eastAsia"/>
                <w:sz w:val="21"/>
                <w:szCs w:val="21"/>
                <w:highlight w:val="none"/>
                <w:lang w:val="en-US" w:eastAsia="zh-CN"/>
              </w:rPr>
              <w:t>100</w:t>
            </w:r>
          </w:p>
        </w:tc>
        <w:tc>
          <w:tcPr>
            <w:tcW w:w="36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2D6B02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lang w:val="en-US" w:eastAsia="zh-CN"/>
              </w:rPr>
            </w:pPr>
            <w:r>
              <w:rPr>
                <w:rFonts w:hint="eastAsia"/>
                <w:sz w:val="21"/>
                <w:szCs w:val="21"/>
                <w:highlight w:val="none"/>
                <w:lang w:val="en-US" w:eastAsia="zh-CN"/>
              </w:rPr>
              <w:t>100</w:t>
            </w:r>
          </w:p>
        </w:tc>
        <w:tc>
          <w:tcPr>
            <w:tcW w:w="36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4B8114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100</w:t>
            </w:r>
          </w:p>
        </w:tc>
        <w:tc>
          <w:tcPr>
            <w:tcW w:w="36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F076E2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w:t>
            </w:r>
          </w:p>
        </w:tc>
        <w:tc>
          <w:tcPr>
            <w:tcW w:w="36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5BF205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w:t>
            </w:r>
          </w:p>
        </w:tc>
        <w:tc>
          <w:tcPr>
            <w:tcW w:w="36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34648C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w:t>
            </w:r>
          </w:p>
        </w:tc>
        <w:tc>
          <w:tcPr>
            <w:tcW w:w="36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D5BEE1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100</w:t>
            </w:r>
          </w:p>
        </w:tc>
        <w:tc>
          <w:tcPr>
            <w:tcW w:w="36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F97573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w:t>
            </w:r>
          </w:p>
        </w:tc>
        <w:tc>
          <w:tcPr>
            <w:tcW w:w="36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91577B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100</w:t>
            </w:r>
          </w:p>
        </w:tc>
        <w:tc>
          <w:tcPr>
            <w:tcW w:w="36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53B0AD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w:t>
            </w:r>
          </w:p>
        </w:tc>
        <w:tc>
          <w:tcPr>
            <w:tcW w:w="36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8F3696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100</w:t>
            </w:r>
          </w:p>
        </w:tc>
        <w:tc>
          <w:tcPr>
            <w:tcW w:w="369" w:type="pct"/>
            <w:tcBorders>
              <w:top w:val="single" w:color="000000" w:sz="4" w:space="0"/>
              <w:left w:val="single" w:color="000000" w:sz="4" w:space="0"/>
              <w:bottom w:val="single" w:color="000000" w:sz="4" w:space="0"/>
            </w:tcBorders>
            <w:shd w:val="clear" w:color="auto" w:fill="auto"/>
            <w:noWrap w:val="0"/>
            <w:vAlign w:val="center"/>
          </w:tcPr>
          <w:p w14:paraId="565D134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w:t>
            </w:r>
          </w:p>
        </w:tc>
      </w:tr>
      <w:tr w14:paraId="24D837A3">
        <w:tblPrEx>
          <w:tblBorders>
            <w:top w:val="single" w:color="auto" w:sz="12" w:space="0"/>
            <w:left w:val="single" w:color="auto" w:sz="12" w:space="0"/>
            <w:bottom w:val="single" w:color="auto" w:sz="12" w:space="0"/>
            <w:right w:val="single" w:color="auto" w:sz="12" w:space="0"/>
            <w:insideH w:val="none" w:color="auto" w:sz="4" w:space="0"/>
            <w:insideV w:val="none" w:color="auto" w:sz="4" w:space="0"/>
          </w:tblBorders>
          <w:shd w:val="clear" w:color="auto" w:fill="auto"/>
          <w:tblCellMar>
            <w:top w:w="0" w:type="dxa"/>
            <w:left w:w="108" w:type="dxa"/>
            <w:bottom w:w="0" w:type="dxa"/>
            <w:right w:w="108" w:type="dxa"/>
          </w:tblCellMar>
        </w:tblPrEx>
        <w:trPr>
          <w:trHeight w:val="23" w:hRule="atLeast"/>
          <w:jc w:val="center"/>
        </w:trPr>
        <w:tc>
          <w:tcPr>
            <w:tcW w:w="241" w:type="pct"/>
            <w:vMerge w:val="continue"/>
            <w:tcBorders>
              <w:top w:val="single" w:color="000000" w:sz="4" w:space="0"/>
              <w:bottom w:val="single" w:color="000000" w:sz="4" w:space="0"/>
              <w:right w:val="single" w:color="000000" w:sz="4" w:space="0"/>
            </w:tcBorders>
            <w:shd w:val="clear" w:color="auto" w:fill="auto"/>
            <w:noWrap w:val="0"/>
            <w:vAlign w:val="center"/>
          </w:tcPr>
          <w:p w14:paraId="43DB64E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rPr>
            </w:pPr>
          </w:p>
        </w:tc>
        <w:tc>
          <w:tcPr>
            <w:tcW w:w="38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4A2498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rPr>
            </w:pPr>
            <w:r>
              <w:rPr>
                <w:rFonts w:hint="default"/>
                <w:sz w:val="21"/>
                <w:szCs w:val="21"/>
                <w:highlight w:val="none"/>
              </w:rPr>
              <w:t>超标率%</w:t>
            </w:r>
          </w:p>
        </w:tc>
        <w:tc>
          <w:tcPr>
            <w:tcW w:w="325"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0E9474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lang w:val="en-US" w:eastAsia="zh-CN"/>
              </w:rPr>
            </w:pPr>
            <w:r>
              <w:rPr>
                <w:rFonts w:hint="eastAsia"/>
                <w:sz w:val="21"/>
                <w:szCs w:val="21"/>
                <w:highlight w:val="none"/>
                <w:lang w:val="en-US" w:eastAsia="zh-CN"/>
              </w:rPr>
              <w:t>0</w:t>
            </w:r>
          </w:p>
        </w:tc>
        <w:tc>
          <w:tcPr>
            <w:tcW w:w="36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4BD5F1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lang w:val="en-US" w:eastAsia="zh-CN"/>
              </w:rPr>
            </w:pPr>
            <w:r>
              <w:rPr>
                <w:rFonts w:hint="eastAsia"/>
                <w:sz w:val="21"/>
                <w:szCs w:val="21"/>
                <w:highlight w:val="none"/>
                <w:lang w:val="en-US" w:eastAsia="zh-CN"/>
              </w:rPr>
              <w:t>0</w:t>
            </w:r>
          </w:p>
        </w:tc>
        <w:tc>
          <w:tcPr>
            <w:tcW w:w="36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E18550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0</w:t>
            </w:r>
          </w:p>
        </w:tc>
        <w:tc>
          <w:tcPr>
            <w:tcW w:w="36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52D6AA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0</w:t>
            </w:r>
          </w:p>
        </w:tc>
        <w:tc>
          <w:tcPr>
            <w:tcW w:w="36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683212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0</w:t>
            </w:r>
          </w:p>
        </w:tc>
        <w:tc>
          <w:tcPr>
            <w:tcW w:w="36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D3EAAE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0</w:t>
            </w:r>
          </w:p>
        </w:tc>
        <w:tc>
          <w:tcPr>
            <w:tcW w:w="36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1CD89A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0</w:t>
            </w:r>
          </w:p>
        </w:tc>
        <w:tc>
          <w:tcPr>
            <w:tcW w:w="36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9C3A93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0</w:t>
            </w:r>
          </w:p>
        </w:tc>
        <w:tc>
          <w:tcPr>
            <w:tcW w:w="36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62E492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w:t>
            </w:r>
          </w:p>
        </w:tc>
        <w:tc>
          <w:tcPr>
            <w:tcW w:w="36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40AAE8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0</w:t>
            </w:r>
          </w:p>
        </w:tc>
        <w:tc>
          <w:tcPr>
            <w:tcW w:w="36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FAC991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0</w:t>
            </w:r>
          </w:p>
        </w:tc>
        <w:tc>
          <w:tcPr>
            <w:tcW w:w="369" w:type="pct"/>
            <w:tcBorders>
              <w:top w:val="single" w:color="000000" w:sz="4" w:space="0"/>
              <w:left w:val="single" w:color="000000" w:sz="4" w:space="0"/>
              <w:bottom w:val="single" w:color="000000" w:sz="4" w:space="0"/>
            </w:tcBorders>
            <w:shd w:val="clear" w:color="auto" w:fill="auto"/>
            <w:noWrap w:val="0"/>
            <w:vAlign w:val="center"/>
          </w:tcPr>
          <w:p w14:paraId="4A43C19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0</w:t>
            </w:r>
          </w:p>
        </w:tc>
      </w:tr>
      <w:tr w14:paraId="3C748FC4">
        <w:tblPrEx>
          <w:tblBorders>
            <w:top w:val="single" w:color="auto" w:sz="12" w:space="0"/>
            <w:left w:val="single" w:color="auto" w:sz="12" w:space="0"/>
            <w:bottom w:val="single" w:color="auto" w:sz="12" w:space="0"/>
            <w:right w:val="single" w:color="auto" w:sz="12" w:space="0"/>
            <w:insideH w:val="none" w:color="auto" w:sz="4" w:space="0"/>
            <w:insideV w:val="none" w:color="auto" w:sz="4" w:space="0"/>
          </w:tblBorders>
          <w:shd w:val="clear" w:color="auto" w:fill="auto"/>
          <w:tblCellMar>
            <w:top w:w="0" w:type="dxa"/>
            <w:left w:w="108" w:type="dxa"/>
            <w:bottom w:w="0" w:type="dxa"/>
            <w:right w:w="108" w:type="dxa"/>
          </w:tblCellMar>
        </w:tblPrEx>
        <w:trPr>
          <w:trHeight w:val="23" w:hRule="atLeast"/>
          <w:jc w:val="center"/>
        </w:trPr>
        <w:tc>
          <w:tcPr>
            <w:tcW w:w="241" w:type="pct"/>
            <w:vMerge w:val="restart"/>
            <w:tcBorders>
              <w:top w:val="single" w:color="000000" w:sz="4" w:space="0"/>
              <w:bottom w:val="single" w:color="000000" w:sz="4" w:space="0"/>
              <w:right w:val="single" w:color="000000" w:sz="4" w:space="0"/>
            </w:tcBorders>
            <w:shd w:val="clear" w:color="auto" w:fill="auto"/>
            <w:noWrap w:val="0"/>
            <w:vAlign w:val="center"/>
          </w:tcPr>
          <w:p w14:paraId="237FE2E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rPr>
            </w:pPr>
            <w:r>
              <w:rPr>
                <w:rFonts w:hint="default"/>
                <w:sz w:val="21"/>
                <w:szCs w:val="21"/>
                <w:highlight w:val="none"/>
              </w:rPr>
              <w:t>D2</w:t>
            </w:r>
          </w:p>
        </w:tc>
        <w:tc>
          <w:tcPr>
            <w:tcW w:w="38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B04617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rPr>
            </w:pPr>
            <w:r>
              <w:rPr>
                <w:rFonts w:hint="default"/>
                <w:sz w:val="21"/>
                <w:szCs w:val="21"/>
                <w:highlight w:val="none"/>
              </w:rPr>
              <w:t>监测值</w:t>
            </w:r>
          </w:p>
        </w:tc>
        <w:tc>
          <w:tcPr>
            <w:tcW w:w="325"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20E443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lang w:val="en-US" w:eastAsia="zh-CN"/>
              </w:rPr>
            </w:pPr>
            <w:r>
              <w:rPr>
                <w:rFonts w:hint="eastAsia"/>
                <w:sz w:val="21"/>
                <w:szCs w:val="21"/>
                <w:highlight w:val="none"/>
                <w:lang w:val="en-US" w:eastAsia="zh-CN"/>
              </w:rPr>
              <w:t>7.1</w:t>
            </w:r>
          </w:p>
        </w:tc>
        <w:tc>
          <w:tcPr>
            <w:tcW w:w="36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C28BE1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lang w:val="en-US" w:eastAsia="zh-CN"/>
              </w:rPr>
            </w:pPr>
            <w:r>
              <w:rPr>
                <w:rFonts w:hint="eastAsia"/>
                <w:sz w:val="21"/>
                <w:szCs w:val="21"/>
                <w:highlight w:val="none"/>
                <w:lang w:val="en-US" w:eastAsia="zh-CN"/>
              </w:rPr>
              <w:t>0.054</w:t>
            </w:r>
          </w:p>
        </w:tc>
        <w:tc>
          <w:tcPr>
            <w:tcW w:w="36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6DF891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lang w:val="en-US" w:eastAsia="zh-CN"/>
              </w:rPr>
            </w:pPr>
            <w:r>
              <w:rPr>
                <w:rFonts w:hint="eastAsia"/>
                <w:sz w:val="21"/>
                <w:szCs w:val="21"/>
                <w:highlight w:val="none"/>
                <w:lang w:val="en-US" w:eastAsia="zh-CN"/>
              </w:rPr>
              <w:t>0.221</w:t>
            </w:r>
          </w:p>
        </w:tc>
        <w:tc>
          <w:tcPr>
            <w:tcW w:w="36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747600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lang w:val="en-US" w:eastAsia="zh-CN"/>
              </w:rPr>
            </w:pPr>
            <w:r>
              <w:rPr>
                <w:rFonts w:hint="eastAsia"/>
                <w:sz w:val="21"/>
                <w:szCs w:val="21"/>
                <w:highlight w:val="none"/>
                <w:lang w:val="en-US" w:eastAsia="zh-CN"/>
              </w:rPr>
              <w:t>ND</w:t>
            </w:r>
          </w:p>
        </w:tc>
        <w:tc>
          <w:tcPr>
            <w:tcW w:w="36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BC917B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lang w:val="en-US" w:eastAsia="zh-CN"/>
              </w:rPr>
            </w:pPr>
            <w:r>
              <w:rPr>
                <w:rFonts w:hint="eastAsia"/>
                <w:sz w:val="21"/>
                <w:szCs w:val="21"/>
                <w:highlight w:val="none"/>
                <w:lang w:val="en-US" w:eastAsia="zh-CN"/>
              </w:rPr>
              <w:t>ND</w:t>
            </w:r>
          </w:p>
        </w:tc>
        <w:tc>
          <w:tcPr>
            <w:tcW w:w="36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01DBBC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lang w:val="en-US" w:eastAsia="zh-CN"/>
              </w:rPr>
            </w:pPr>
            <w:r>
              <w:rPr>
                <w:rFonts w:hint="eastAsia"/>
                <w:sz w:val="21"/>
                <w:szCs w:val="21"/>
                <w:highlight w:val="none"/>
                <w:lang w:val="en-US" w:eastAsia="zh-CN"/>
              </w:rPr>
              <w:t>ND</w:t>
            </w:r>
          </w:p>
        </w:tc>
        <w:tc>
          <w:tcPr>
            <w:tcW w:w="36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09F4AB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lang w:val="en-US" w:eastAsia="zh-CN"/>
              </w:rPr>
            </w:pPr>
            <w:r>
              <w:rPr>
                <w:rFonts w:hint="eastAsia"/>
                <w:sz w:val="21"/>
                <w:szCs w:val="21"/>
                <w:highlight w:val="none"/>
                <w:lang w:val="en-US" w:eastAsia="zh-CN"/>
              </w:rPr>
              <w:t>0.0011</w:t>
            </w:r>
          </w:p>
        </w:tc>
        <w:tc>
          <w:tcPr>
            <w:tcW w:w="36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357CA0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ND</w:t>
            </w:r>
          </w:p>
        </w:tc>
        <w:tc>
          <w:tcPr>
            <w:tcW w:w="36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AECF39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lang w:val="en-US" w:eastAsia="zh-CN"/>
              </w:rPr>
            </w:pPr>
            <w:r>
              <w:rPr>
                <w:rFonts w:hint="eastAsia"/>
                <w:sz w:val="21"/>
                <w:szCs w:val="21"/>
                <w:highlight w:val="none"/>
                <w:lang w:val="en-US" w:eastAsia="zh-CN"/>
              </w:rPr>
              <w:t>0.00020</w:t>
            </w:r>
          </w:p>
        </w:tc>
        <w:tc>
          <w:tcPr>
            <w:tcW w:w="36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F5AE8C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heme="minorBidi"/>
                <w:kern w:val="2"/>
                <w:sz w:val="21"/>
                <w:szCs w:val="21"/>
                <w:highlight w:val="none"/>
                <w:lang w:val="en-US" w:eastAsia="zh-CN" w:bidi="ar-SA"/>
              </w:rPr>
            </w:pPr>
            <w:r>
              <w:rPr>
                <w:rFonts w:hint="eastAsia"/>
                <w:sz w:val="21"/>
                <w:szCs w:val="21"/>
                <w:highlight w:val="none"/>
                <w:lang w:val="en-US" w:eastAsia="zh-CN"/>
              </w:rPr>
              <w:t>ND</w:t>
            </w:r>
          </w:p>
        </w:tc>
        <w:tc>
          <w:tcPr>
            <w:tcW w:w="36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92229C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heme="minorBidi"/>
                <w:kern w:val="2"/>
                <w:sz w:val="21"/>
                <w:szCs w:val="21"/>
                <w:highlight w:val="none"/>
                <w:lang w:val="en-US" w:eastAsia="zh-CN" w:bidi="ar-SA"/>
              </w:rPr>
            </w:pPr>
            <w:r>
              <w:rPr>
                <w:rFonts w:hint="eastAsia" w:cstheme="minorBidi"/>
                <w:kern w:val="2"/>
                <w:sz w:val="21"/>
                <w:szCs w:val="21"/>
                <w:highlight w:val="none"/>
                <w:lang w:val="en-US" w:eastAsia="zh-CN" w:bidi="ar-SA"/>
              </w:rPr>
              <w:t>30</w:t>
            </w:r>
          </w:p>
        </w:tc>
        <w:tc>
          <w:tcPr>
            <w:tcW w:w="369" w:type="pct"/>
            <w:tcBorders>
              <w:top w:val="single" w:color="000000" w:sz="4" w:space="0"/>
              <w:left w:val="single" w:color="000000" w:sz="4" w:space="0"/>
              <w:bottom w:val="single" w:color="000000" w:sz="4" w:space="0"/>
            </w:tcBorders>
            <w:shd w:val="clear" w:color="auto" w:fill="auto"/>
            <w:noWrap w:val="0"/>
            <w:vAlign w:val="center"/>
          </w:tcPr>
          <w:p w14:paraId="062BC99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lang w:val="en-US" w:eastAsia="zh-CN"/>
              </w:rPr>
            </w:pPr>
            <w:r>
              <w:rPr>
                <w:rFonts w:hint="eastAsia"/>
                <w:sz w:val="21"/>
                <w:szCs w:val="21"/>
                <w:highlight w:val="none"/>
                <w:lang w:val="en-US" w:eastAsia="zh-CN"/>
              </w:rPr>
              <w:t>ND</w:t>
            </w:r>
          </w:p>
        </w:tc>
      </w:tr>
      <w:tr w14:paraId="05D57E83">
        <w:tblPrEx>
          <w:tblBorders>
            <w:top w:val="single" w:color="auto" w:sz="12" w:space="0"/>
            <w:left w:val="single" w:color="auto" w:sz="12" w:space="0"/>
            <w:bottom w:val="single" w:color="auto" w:sz="12" w:space="0"/>
            <w:right w:val="single" w:color="auto" w:sz="12" w:space="0"/>
            <w:insideH w:val="none" w:color="auto" w:sz="4" w:space="0"/>
            <w:insideV w:val="none" w:color="auto" w:sz="4" w:space="0"/>
          </w:tblBorders>
          <w:tblCellMar>
            <w:top w:w="0" w:type="dxa"/>
            <w:left w:w="108" w:type="dxa"/>
            <w:bottom w:w="0" w:type="dxa"/>
            <w:right w:w="108" w:type="dxa"/>
          </w:tblCellMar>
        </w:tblPrEx>
        <w:trPr>
          <w:trHeight w:val="90" w:hRule="atLeast"/>
          <w:jc w:val="center"/>
        </w:trPr>
        <w:tc>
          <w:tcPr>
            <w:tcW w:w="241" w:type="pct"/>
            <w:vMerge w:val="continue"/>
            <w:tcBorders>
              <w:top w:val="single" w:color="000000" w:sz="4" w:space="0"/>
              <w:bottom w:val="single" w:color="000000" w:sz="4" w:space="0"/>
              <w:right w:val="single" w:color="000000" w:sz="4" w:space="0"/>
            </w:tcBorders>
            <w:shd w:val="clear" w:color="auto" w:fill="auto"/>
            <w:noWrap w:val="0"/>
            <w:vAlign w:val="center"/>
          </w:tcPr>
          <w:p w14:paraId="7C10047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rPr>
            </w:pPr>
          </w:p>
        </w:tc>
        <w:tc>
          <w:tcPr>
            <w:tcW w:w="38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CBDF5B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rPr>
            </w:pPr>
            <w:r>
              <w:rPr>
                <w:rFonts w:hint="default"/>
                <w:sz w:val="21"/>
                <w:szCs w:val="21"/>
                <w:highlight w:val="none"/>
              </w:rPr>
              <w:t>标准指数</w:t>
            </w:r>
          </w:p>
        </w:tc>
        <w:tc>
          <w:tcPr>
            <w:tcW w:w="325"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4A6F6B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lang w:val="en-US" w:eastAsia="zh-CN"/>
              </w:rPr>
            </w:pPr>
            <w:r>
              <w:rPr>
                <w:rFonts w:hint="eastAsia"/>
                <w:sz w:val="21"/>
                <w:szCs w:val="21"/>
                <w:highlight w:val="none"/>
                <w:lang w:val="en-US" w:eastAsia="zh-CN"/>
              </w:rPr>
              <w:t>0.07</w:t>
            </w:r>
          </w:p>
        </w:tc>
        <w:tc>
          <w:tcPr>
            <w:tcW w:w="36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B401C0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lang w:val="en-US" w:eastAsia="zh-CN"/>
              </w:rPr>
            </w:pPr>
            <w:r>
              <w:rPr>
                <w:rFonts w:hint="eastAsia"/>
                <w:sz w:val="21"/>
                <w:szCs w:val="21"/>
                <w:highlight w:val="none"/>
                <w:lang w:val="en-US" w:eastAsia="zh-CN"/>
              </w:rPr>
              <w:t>0.108</w:t>
            </w:r>
          </w:p>
        </w:tc>
        <w:tc>
          <w:tcPr>
            <w:tcW w:w="36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AE9EFF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lang w:val="en-US" w:eastAsia="zh-CN"/>
              </w:rPr>
            </w:pPr>
            <w:r>
              <w:rPr>
                <w:rFonts w:hint="eastAsia"/>
                <w:sz w:val="21"/>
                <w:szCs w:val="21"/>
                <w:highlight w:val="none"/>
                <w:lang w:val="en-US" w:eastAsia="zh-CN"/>
              </w:rPr>
              <w:t>0.011</w:t>
            </w:r>
          </w:p>
        </w:tc>
        <w:tc>
          <w:tcPr>
            <w:tcW w:w="36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86AECB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w:t>
            </w:r>
          </w:p>
        </w:tc>
        <w:tc>
          <w:tcPr>
            <w:tcW w:w="36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F4E53F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w:t>
            </w:r>
          </w:p>
        </w:tc>
        <w:tc>
          <w:tcPr>
            <w:tcW w:w="36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DBE111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w:t>
            </w:r>
          </w:p>
        </w:tc>
        <w:tc>
          <w:tcPr>
            <w:tcW w:w="36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4A9AB6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heme="minorBidi"/>
                <w:kern w:val="2"/>
                <w:sz w:val="21"/>
                <w:szCs w:val="21"/>
                <w:highlight w:val="none"/>
                <w:lang w:val="en-US" w:eastAsia="zh-CN" w:bidi="ar-SA"/>
              </w:rPr>
            </w:pPr>
            <w:r>
              <w:rPr>
                <w:rFonts w:hint="eastAsia" w:cstheme="minorBidi"/>
                <w:kern w:val="2"/>
                <w:sz w:val="21"/>
                <w:szCs w:val="21"/>
                <w:highlight w:val="none"/>
                <w:lang w:val="en-US" w:eastAsia="zh-CN" w:bidi="ar-SA"/>
              </w:rPr>
              <w:t>0.11</w:t>
            </w:r>
          </w:p>
        </w:tc>
        <w:tc>
          <w:tcPr>
            <w:tcW w:w="36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BA807C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w:t>
            </w:r>
          </w:p>
        </w:tc>
        <w:tc>
          <w:tcPr>
            <w:tcW w:w="36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FA9831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w:t>
            </w:r>
          </w:p>
        </w:tc>
        <w:tc>
          <w:tcPr>
            <w:tcW w:w="36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FF169A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w:t>
            </w:r>
          </w:p>
        </w:tc>
        <w:tc>
          <w:tcPr>
            <w:tcW w:w="36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00515C2">
            <w:pPr>
              <w:keepNext w:val="0"/>
              <w:keepLines w:val="0"/>
              <w:pageBreakBefore w:val="0"/>
              <w:widowControl w:val="0"/>
              <w:tabs>
                <w:tab w:val="left" w:pos="599"/>
              </w:tabs>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heme="minorBidi"/>
                <w:kern w:val="2"/>
                <w:sz w:val="21"/>
                <w:szCs w:val="21"/>
                <w:highlight w:val="none"/>
                <w:lang w:val="en-US" w:eastAsia="zh-CN" w:bidi="ar-SA"/>
              </w:rPr>
            </w:pPr>
            <w:r>
              <w:rPr>
                <w:rFonts w:hint="eastAsia" w:cstheme="minorBidi"/>
                <w:kern w:val="2"/>
                <w:sz w:val="21"/>
                <w:szCs w:val="21"/>
                <w:highlight w:val="none"/>
                <w:lang w:val="en-US" w:eastAsia="zh-CN" w:bidi="ar-SA"/>
              </w:rPr>
              <w:t>0.07</w:t>
            </w:r>
          </w:p>
        </w:tc>
        <w:tc>
          <w:tcPr>
            <w:tcW w:w="369" w:type="pct"/>
            <w:tcBorders>
              <w:top w:val="single" w:color="000000" w:sz="4" w:space="0"/>
              <w:left w:val="single" w:color="000000" w:sz="4" w:space="0"/>
              <w:bottom w:val="single" w:color="000000" w:sz="4" w:space="0"/>
            </w:tcBorders>
            <w:shd w:val="clear" w:color="auto" w:fill="auto"/>
            <w:noWrap w:val="0"/>
            <w:vAlign w:val="center"/>
          </w:tcPr>
          <w:p w14:paraId="1E6C57A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w:t>
            </w:r>
          </w:p>
        </w:tc>
      </w:tr>
      <w:tr w14:paraId="164B5656">
        <w:tblPrEx>
          <w:tblBorders>
            <w:top w:val="single" w:color="auto" w:sz="12" w:space="0"/>
            <w:left w:val="single" w:color="auto" w:sz="12" w:space="0"/>
            <w:bottom w:val="single" w:color="auto" w:sz="12" w:space="0"/>
            <w:right w:val="single" w:color="auto" w:sz="12" w:space="0"/>
            <w:insideH w:val="none" w:color="auto" w:sz="4" w:space="0"/>
            <w:insideV w:val="none" w:color="auto" w:sz="4" w:space="0"/>
          </w:tblBorders>
          <w:shd w:val="clear" w:color="auto" w:fill="auto"/>
          <w:tblCellMar>
            <w:top w:w="0" w:type="dxa"/>
            <w:left w:w="108" w:type="dxa"/>
            <w:bottom w:w="0" w:type="dxa"/>
            <w:right w:w="108" w:type="dxa"/>
          </w:tblCellMar>
        </w:tblPrEx>
        <w:trPr>
          <w:trHeight w:val="23" w:hRule="atLeast"/>
          <w:jc w:val="center"/>
        </w:trPr>
        <w:tc>
          <w:tcPr>
            <w:tcW w:w="241" w:type="pct"/>
            <w:vMerge w:val="continue"/>
            <w:tcBorders>
              <w:top w:val="single" w:color="000000" w:sz="4" w:space="0"/>
              <w:bottom w:val="single" w:color="000000" w:sz="4" w:space="0"/>
              <w:right w:val="single" w:color="000000" w:sz="4" w:space="0"/>
            </w:tcBorders>
            <w:shd w:val="clear" w:color="auto" w:fill="auto"/>
            <w:noWrap w:val="0"/>
            <w:vAlign w:val="center"/>
          </w:tcPr>
          <w:p w14:paraId="47B99AB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rPr>
            </w:pPr>
          </w:p>
        </w:tc>
        <w:tc>
          <w:tcPr>
            <w:tcW w:w="38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68400C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rPr>
            </w:pPr>
            <w:r>
              <w:rPr>
                <w:rFonts w:hint="default"/>
                <w:sz w:val="21"/>
                <w:szCs w:val="21"/>
                <w:highlight w:val="none"/>
              </w:rPr>
              <w:t>检出率%</w:t>
            </w:r>
          </w:p>
        </w:tc>
        <w:tc>
          <w:tcPr>
            <w:tcW w:w="325"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725C46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lang w:val="en-US" w:eastAsia="zh-CN"/>
              </w:rPr>
            </w:pPr>
            <w:r>
              <w:rPr>
                <w:rFonts w:hint="eastAsia"/>
                <w:sz w:val="21"/>
                <w:szCs w:val="21"/>
                <w:highlight w:val="none"/>
                <w:lang w:val="en-US" w:eastAsia="zh-CN"/>
              </w:rPr>
              <w:t>100</w:t>
            </w:r>
          </w:p>
        </w:tc>
        <w:tc>
          <w:tcPr>
            <w:tcW w:w="36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58748E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100</w:t>
            </w:r>
          </w:p>
        </w:tc>
        <w:tc>
          <w:tcPr>
            <w:tcW w:w="36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AC44A5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100</w:t>
            </w:r>
          </w:p>
        </w:tc>
        <w:tc>
          <w:tcPr>
            <w:tcW w:w="36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971112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w:t>
            </w:r>
          </w:p>
        </w:tc>
        <w:tc>
          <w:tcPr>
            <w:tcW w:w="36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23468C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w:t>
            </w:r>
          </w:p>
        </w:tc>
        <w:tc>
          <w:tcPr>
            <w:tcW w:w="36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92647D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w:t>
            </w:r>
          </w:p>
        </w:tc>
        <w:tc>
          <w:tcPr>
            <w:tcW w:w="36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6AF99E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100</w:t>
            </w:r>
          </w:p>
        </w:tc>
        <w:tc>
          <w:tcPr>
            <w:tcW w:w="36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B9D729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w:t>
            </w:r>
          </w:p>
        </w:tc>
        <w:tc>
          <w:tcPr>
            <w:tcW w:w="36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DE97D9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100</w:t>
            </w:r>
          </w:p>
        </w:tc>
        <w:tc>
          <w:tcPr>
            <w:tcW w:w="36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4B6D99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w:t>
            </w:r>
          </w:p>
        </w:tc>
        <w:tc>
          <w:tcPr>
            <w:tcW w:w="36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60AEEB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100</w:t>
            </w:r>
          </w:p>
        </w:tc>
        <w:tc>
          <w:tcPr>
            <w:tcW w:w="369" w:type="pct"/>
            <w:tcBorders>
              <w:top w:val="single" w:color="000000" w:sz="4" w:space="0"/>
              <w:left w:val="single" w:color="000000" w:sz="4" w:space="0"/>
              <w:bottom w:val="single" w:color="000000" w:sz="4" w:space="0"/>
            </w:tcBorders>
            <w:shd w:val="clear" w:color="auto" w:fill="auto"/>
            <w:noWrap w:val="0"/>
            <w:vAlign w:val="center"/>
          </w:tcPr>
          <w:p w14:paraId="21043A1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w:t>
            </w:r>
          </w:p>
        </w:tc>
      </w:tr>
      <w:tr w14:paraId="2A1C9DC3">
        <w:tblPrEx>
          <w:tblBorders>
            <w:top w:val="single" w:color="auto" w:sz="12" w:space="0"/>
            <w:left w:val="single" w:color="auto" w:sz="12" w:space="0"/>
            <w:bottom w:val="single" w:color="auto" w:sz="12" w:space="0"/>
            <w:right w:val="single" w:color="auto" w:sz="12" w:space="0"/>
            <w:insideH w:val="none" w:color="auto" w:sz="4" w:space="0"/>
            <w:insideV w:val="none" w:color="auto" w:sz="4" w:space="0"/>
          </w:tblBorders>
          <w:shd w:val="clear" w:color="auto" w:fill="auto"/>
          <w:tblCellMar>
            <w:top w:w="0" w:type="dxa"/>
            <w:left w:w="108" w:type="dxa"/>
            <w:bottom w:w="0" w:type="dxa"/>
            <w:right w:w="108" w:type="dxa"/>
          </w:tblCellMar>
        </w:tblPrEx>
        <w:trPr>
          <w:trHeight w:val="23" w:hRule="atLeast"/>
          <w:jc w:val="center"/>
        </w:trPr>
        <w:tc>
          <w:tcPr>
            <w:tcW w:w="241" w:type="pct"/>
            <w:vMerge w:val="continue"/>
            <w:tcBorders>
              <w:top w:val="single" w:color="000000" w:sz="4" w:space="0"/>
              <w:bottom w:val="single" w:color="000000" w:sz="4" w:space="0"/>
              <w:right w:val="single" w:color="000000" w:sz="4" w:space="0"/>
            </w:tcBorders>
            <w:shd w:val="clear" w:color="auto" w:fill="auto"/>
            <w:noWrap w:val="0"/>
            <w:vAlign w:val="center"/>
          </w:tcPr>
          <w:p w14:paraId="34E7C01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rPr>
            </w:pPr>
          </w:p>
        </w:tc>
        <w:tc>
          <w:tcPr>
            <w:tcW w:w="38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1C10F2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rPr>
            </w:pPr>
            <w:r>
              <w:rPr>
                <w:rFonts w:hint="default"/>
                <w:sz w:val="21"/>
                <w:szCs w:val="21"/>
                <w:highlight w:val="none"/>
              </w:rPr>
              <w:t>超标率%</w:t>
            </w:r>
          </w:p>
        </w:tc>
        <w:tc>
          <w:tcPr>
            <w:tcW w:w="325"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EC681F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lang w:val="en-US" w:eastAsia="zh-CN"/>
              </w:rPr>
            </w:pPr>
            <w:r>
              <w:rPr>
                <w:rFonts w:hint="eastAsia"/>
                <w:sz w:val="21"/>
                <w:szCs w:val="21"/>
                <w:highlight w:val="none"/>
                <w:lang w:val="en-US" w:eastAsia="zh-CN"/>
              </w:rPr>
              <w:t>0</w:t>
            </w:r>
          </w:p>
        </w:tc>
        <w:tc>
          <w:tcPr>
            <w:tcW w:w="36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9CFD50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0</w:t>
            </w:r>
          </w:p>
        </w:tc>
        <w:tc>
          <w:tcPr>
            <w:tcW w:w="36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D73F18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0</w:t>
            </w:r>
          </w:p>
        </w:tc>
        <w:tc>
          <w:tcPr>
            <w:tcW w:w="36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6FEB00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0</w:t>
            </w:r>
          </w:p>
        </w:tc>
        <w:tc>
          <w:tcPr>
            <w:tcW w:w="36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08DFBB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0</w:t>
            </w:r>
          </w:p>
        </w:tc>
        <w:tc>
          <w:tcPr>
            <w:tcW w:w="36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4EC1CF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0</w:t>
            </w:r>
          </w:p>
        </w:tc>
        <w:tc>
          <w:tcPr>
            <w:tcW w:w="36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714398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0</w:t>
            </w:r>
          </w:p>
        </w:tc>
        <w:tc>
          <w:tcPr>
            <w:tcW w:w="36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8C582D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0</w:t>
            </w:r>
          </w:p>
        </w:tc>
        <w:tc>
          <w:tcPr>
            <w:tcW w:w="36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11D2CE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w:t>
            </w:r>
          </w:p>
        </w:tc>
        <w:tc>
          <w:tcPr>
            <w:tcW w:w="36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94AEDE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0</w:t>
            </w:r>
          </w:p>
        </w:tc>
        <w:tc>
          <w:tcPr>
            <w:tcW w:w="36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21195C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0</w:t>
            </w:r>
          </w:p>
        </w:tc>
        <w:tc>
          <w:tcPr>
            <w:tcW w:w="369" w:type="pct"/>
            <w:tcBorders>
              <w:top w:val="single" w:color="000000" w:sz="4" w:space="0"/>
              <w:left w:val="single" w:color="000000" w:sz="4" w:space="0"/>
              <w:bottom w:val="single" w:color="000000" w:sz="4" w:space="0"/>
            </w:tcBorders>
            <w:shd w:val="clear" w:color="auto" w:fill="auto"/>
            <w:noWrap w:val="0"/>
            <w:vAlign w:val="center"/>
          </w:tcPr>
          <w:p w14:paraId="64E91DD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0</w:t>
            </w:r>
          </w:p>
        </w:tc>
      </w:tr>
      <w:tr w14:paraId="35DFE5A7">
        <w:tblPrEx>
          <w:tblBorders>
            <w:top w:val="single" w:color="auto" w:sz="12" w:space="0"/>
            <w:left w:val="single" w:color="auto" w:sz="12" w:space="0"/>
            <w:bottom w:val="single" w:color="auto" w:sz="12" w:space="0"/>
            <w:right w:val="single" w:color="auto" w:sz="12" w:space="0"/>
            <w:insideH w:val="none" w:color="auto" w:sz="4" w:space="0"/>
            <w:insideV w:val="none" w:color="auto" w:sz="4" w:space="0"/>
          </w:tblBorders>
          <w:tblCellMar>
            <w:top w:w="0" w:type="dxa"/>
            <w:left w:w="108" w:type="dxa"/>
            <w:bottom w:w="0" w:type="dxa"/>
            <w:right w:w="108" w:type="dxa"/>
          </w:tblCellMar>
        </w:tblPrEx>
        <w:trPr>
          <w:trHeight w:val="23" w:hRule="atLeast"/>
          <w:jc w:val="center"/>
        </w:trPr>
        <w:tc>
          <w:tcPr>
            <w:tcW w:w="241" w:type="pct"/>
            <w:vMerge w:val="restart"/>
            <w:tcBorders>
              <w:top w:val="single" w:color="000000" w:sz="4" w:space="0"/>
              <w:bottom w:val="single" w:color="000000" w:sz="4" w:space="0"/>
              <w:right w:val="single" w:color="000000" w:sz="4" w:space="0"/>
            </w:tcBorders>
            <w:shd w:val="clear" w:color="auto" w:fill="auto"/>
            <w:noWrap w:val="0"/>
            <w:vAlign w:val="center"/>
          </w:tcPr>
          <w:p w14:paraId="300F2C1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rPr>
            </w:pPr>
            <w:r>
              <w:rPr>
                <w:rFonts w:hint="default"/>
                <w:sz w:val="21"/>
                <w:szCs w:val="21"/>
                <w:highlight w:val="none"/>
              </w:rPr>
              <w:t>D3</w:t>
            </w:r>
          </w:p>
        </w:tc>
        <w:tc>
          <w:tcPr>
            <w:tcW w:w="38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11B47A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rPr>
            </w:pPr>
            <w:r>
              <w:rPr>
                <w:rFonts w:hint="default"/>
                <w:sz w:val="21"/>
                <w:szCs w:val="21"/>
                <w:highlight w:val="none"/>
              </w:rPr>
              <w:t>监测值</w:t>
            </w:r>
          </w:p>
        </w:tc>
        <w:tc>
          <w:tcPr>
            <w:tcW w:w="325"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C861E6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lang w:val="en-US" w:eastAsia="zh-CN"/>
              </w:rPr>
            </w:pPr>
            <w:r>
              <w:rPr>
                <w:rFonts w:hint="eastAsia"/>
                <w:sz w:val="21"/>
                <w:szCs w:val="21"/>
                <w:highlight w:val="none"/>
                <w:lang w:val="en-US" w:eastAsia="zh-CN"/>
              </w:rPr>
              <w:t>7.2</w:t>
            </w:r>
          </w:p>
        </w:tc>
        <w:tc>
          <w:tcPr>
            <w:tcW w:w="36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EF8126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lang w:val="en-US" w:eastAsia="zh-CN"/>
              </w:rPr>
            </w:pPr>
            <w:r>
              <w:rPr>
                <w:rFonts w:hint="eastAsia"/>
                <w:sz w:val="21"/>
                <w:szCs w:val="21"/>
                <w:highlight w:val="none"/>
                <w:lang w:val="en-US" w:eastAsia="zh-CN"/>
              </w:rPr>
              <w:t>0.042</w:t>
            </w:r>
          </w:p>
        </w:tc>
        <w:tc>
          <w:tcPr>
            <w:tcW w:w="36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7590C0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lang w:val="en-US" w:eastAsia="zh-CN"/>
              </w:rPr>
            </w:pPr>
            <w:r>
              <w:rPr>
                <w:rFonts w:hint="eastAsia"/>
                <w:sz w:val="21"/>
                <w:szCs w:val="21"/>
                <w:highlight w:val="none"/>
                <w:lang w:val="en-US" w:eastAsia="zh-CN"/>
              </w:rPr>
              <w:t>1.98</w:t>
            </w:r>
          </w:p>
        </w:tc>
        <w:tc>
          <w:tcPr>
            <w:tcW w:w="36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485E88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lang w:val="en-US" w:eastAsia="zh-CN"/>
              </w:rPr>
            </w:pPr>
            <w:r>
              <w:rPr>
                <w:rFonts w:hint="eastAsia"/>
                <w:sz w:val="21"/>
                <w:szCs w:val="21"/>
                <w:highlight w:val="none"/>
                <w:lang w:val="en-US" w:eastAsia="zh-CN"/>
              </w:rPr>
              <w:t>ND</w:t>
            </w:r>
          </w:p>
        </w:tc>
        <w:tc>
          <w:tcPr>
            <w:tcW w:w="36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66232B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lang w:val="en-US" w:eastAsia="zh-CN"/>
              </w:rPr>
            </w:pPr>
            <w:r>
              <w:rPr>
                <w:rFonts w:hint="eastAsia"/>
                <w:sz w:val="21"/>
                <w:szCs w:val="21"/>
                <w:highlight w:val="none"/>
                <w:lang w:val="en-US" w:eastAsia="zh-CN"/>
              </w:rPr>
              <w:t>ND</w:t>
            </w:r>
          </w:p>
        </w:tc>
        <w:tc>
          <w:tcPr>
            <w:tcW w:w="36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3887E0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lang w:val="en-US" w:eastAsia="zh-CN"/>
              </w:rPr>
            </w:pPr>
            <w:r>
              <w:rPr>
                <w:rFonts w:hint="eastAsia"/>
                <w:sz w:val="21"/>
                <w:szCs w:val="21"/>
                <w:highlight w:val="none"/>
                <w:lang w:val="en-US" w:eastAsia="zh-CN"/>
              </w:rPr>
              <w:t>ND</w:t>
            </w:r>
          </w:p>
        </w:tc>
        <w:tc>
          <w:tcPr>
            <w:tcW w:w="36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EC6120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lang w:val="en-US" w:eastAsia="zh-CN"/>
              </w:rPr>
            </w:pPr>
            <w:r>
              <w:rPr>
                <w:rFonts w:hint="eastAsia"/>
                <w:b/>
                <w:bCs/>
                <w:sz w:val="21"/>
                <w:szCs w:val="21"/>
                <w:highlight w:val="none"/>
                <w:lang w:val="en-US" w:eastAsia="zh-CN"/>
              </w:rPr>
              <w:t>0.0176</w:t>
            </w:r>
          </w:p>
        </w:tc>
        <w:tc>
          <w:tcPr>
            <w:tcW w:w="36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4CCD30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ND</w:t>
            </w:r>
          </w:p>
        </w:tc>
        <w:tc>
          <w:tcPr>
            <w:tcW w:w="36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5363F7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lang w:val="en-US" w:eastAsia="zh-CN"/>
              </w:rPr>
            </w:pPr>
            <w:r>
              <w:rPr>
                <w:rFonts w:hint="eastAsia"/>
                <w:sz w:val="21"/>
                <w:szCs w:val="21"/>
                <w:highlight w:val="none"/>
                <w:lang w:val="en-US" w:eastAsia="zh-CN"/>
              </w:rPr>
              <w:t>0.00112</w:t>
            </w:r>
          </w:p>
        </w:tc>
        <w:tc>
          <w:tcPr>
            <w:tcW w:w="36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CF0608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heme="minorBidi"/>
                <w:kern w:val="2"/>
                <w:sz w:val="21"/>
                <w:szCs w:val="21"/>
                <w:highlight w:val="none"/>
                <w:lang w:val="en-US" w:eastAsia="zh-CN" w:bidi="ar-SA"/>
              </w:rPr>
            </w:pPr>
            <w:r>
              <w:rPr>
                <w:rFonts w:hint="eastAsia"/>
                <w:sz w:val="21"/>
                <w:szCs w:val="21"/>
                <w:highlight w:val="none"/>
                <w:lang w:val="en-US" w:eastAsia="zh-CN"/>
              </w:rPr>
              <w:t>ND</w:t>
            </w:r>
          </w:p>
        </w:tc>
        <w:tc>
          <w:tcPr>
            <w:tcW w:w="36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94B7E4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heme="minorBidi"/>
                <w:kern w:val="2"/>
                <w:sz w:val="21"/>
                <w:szCs w:val="21"/>
                <w:highlight w:val="none"/>
                <w:lang w:val="en-US" w:eastAsia="zh-CN" w:bidi="ar-SA"/>
              </w:rPr>
            </w:pPr>
            <w:r>
              <w:rPr>
                <w:rFonts w:hint="eastAsia" w:cstheme="minorBidi"/>
                <w:kern w:val="2"/>
                <w:sz w:val="21"/>
                <w:szCs w:val="21"/>
                <w:highlight w:val="none"/>
                <w:lang w:val="en-US" w:eastAsia="zh-CN" w:bidi="ar-SA"/>
              </w:rPr>
              <w:t>162</w:t>
            </w:r>
          </w:p>
        </w:tc>
        <w:tc>
          <w:tcPr>
            <w:tcW w:w="369" w:type="pct"/>
            <w:tcBorders>
              <w:top w:val="single" w:color="000000" w:sz="4" w:space="0"/>
              <w:left w:val="single" w:color="000000" w:sz="4" w:space="0"/>
              <w:bottom w:val="single" w:color="000000" w:sz="4" w:space="0"/>
            </w:tcBorders>
            <w:shd w:val="clear" w:color="auto" w:fill="auto"/>
            <w:noWrap w:val="0"/>
            <w:vAlign w:val="center"/>
          </w:tcPr>
          <w:p w14:paraId="2C7A495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lang w:val="en-US" w:eastAsia="zh-CN"/>
              </w:rPr>
            </w:pPr>
            <w:r>
              <w:rPr>
                <w:rFonts w:hint="eastAsia"/>
                <w:sz w:val="21"/>
                <w:szCs w:val="21"/>
                <w:highlight w:val="none"/>
                <w:lang w:val="en-US" w:eastAsia="zh-CN"/>
              </w:rPr>
              <w:t>0.00022</w:t>
            </w:r>
          </w:p>
        </w:tc>
      </w:tr>
      <w:tr w14:paraId="1D85D16D">
        <w:tblPrEx>
          <w:tblBorders>
            <w:top w:val="single" w:color="auto" w:sz="12" w:space="0"/>
            <w:left w:val="single" w:color="auto" w:sz="12" w:space="0"/>
            <w:bottom w:val="single" w:color="auto" w:sz="12" w:space="0"/>
            <w:right w:val="single" w:color="auto" w:sz="12" w:space="0"/>
            <w:insideH w:val="none" w:color="auto" w:sz="4" w:space="0"/>
            <w:insideV w:val="none" w:color="auto" w:sz="4" w:space="0"/>
          </w:tblBorders>
          <w:shd w:val="clear" w:color="auto" w:fill="auto"/>
          <w:tblCellMar>
            <w:top w:w="0" w:type="dxa"/>
            <w:left w:w="108" w:type="dxa"/>
            <w:bottom w:w="0" w:type="dxa"/>
            <w:right w:w="108" w:type="dxa"/>
          </w:tblCellMar>
        </w:tblPrEx>
        <w:trPr>
          <w:trHeight w:val="23" w:hRule="atLeast"/>
          <w:jc w:val="center"/>
        </w:trPr>
        <w:tc>
          <w:tcPr>
            <w:tcW w:w="241" w:type="pct"/>
            <w:vMerge w:val="continue"/>
            <w:tcBorders>
              <w:top w:val="single" w:color="000000" w:sz="4" w:space="0"/>
              <w:bottom w:val="single" w:color="000000" w:sz="4" w:space="0"/>
              <w:right w:val="single" w:color="000000" w:sz="4" w:space="0"/>
            </w:tcBorders>
            <w:shd w:val="clear" w:color="auto" w:fill="auto"/>
            <w:noWrap w:val="0"/>
            <w:vAlign w:val="center"/>
          </w:tcPr>
          <w:p w14:paraId="07CBB17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rPr>
            </w:pPr>
          </w:p>
        </w:tc>
        <w:tc>
          <w:tcPr>
            <w:tcW w:w="38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1C2FC1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rPr>
            </w:pPr>
            <w:r>
              <w:rPr>
                <w:rFonts w:hint="default"/>
                <w:sz w:val="21"/>
                <w:szCs w:val="21"/>
                <w:highlight w:val="none"/>
              </w:rPr>
              <w:t>标准指数</w:t>
            </w:r>
          </w:p>
        </w:tc>
        <w:tc>
          <w:tcPr>
            <w:tcW w:w="325"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2CDC2E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lang w:val="en-US" w:eastAsia="zh-CN"/>
              </w:rPr>
            </w:pPr>
            <w:r>
              <w:rPr>
                <w:rFonts w:hint="eastAsia"/>
                <w:sz w:val="21"/>
                <w:szCs w:val="21"/>
                <w:highlight w:val="none"/>
                <w:lang w:val="en-US" w:eastAsia="zh-CN"/>
              </w:rPr>
              <w:t>0.13</w:t>
            </w:r>
          </w:p>
        </w:tc>
        <w:tc>
          <w:tcPr>
            <w:tcW w:w="36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48B2F0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lang w:val="en-US" w:eastAsia="zh-CN"/>
              </w:rPr>
            </w:pPr>
            <w:r>
              <w:rPr>
                <w:rFonts w:hint="eastAsia"/>
                <w:sz w:val="21"/>
                <w:szCs w:val="21"/>
                <w:highlight w:val="none"/>
                <w:lang w:val="en-US" w:eastAsia="zh-CN"/>
              </w:rPr>
              <w:t>0.084</w:t>
            </w:r>
          </w:p>
        </w:tc>
        <w:tc>
          <w:tcPr>
            <w:tcW w:w="36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B8346D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lang w:val="en-US" w:eastAsia="zh-CN"/>
              </w:rPr>
            </w:pPr>
            <w:r>
              <w:rPr>
                <w:rFonts w:hint="eastAsia"/>
                <w:sz w:val="21"/>
                <w:szCs w:val="21"/>
                <w:highlight w:val="none"/>
                <w:lang w:val="en-US" w:eastAsia="zh-CN"/>
              </w:rPr>
              <w:t>0.099</w:t>
            </w:r>
          </w:p>
        </w:tc>
        <w:tc>
          <w:tcPr>
            <w:tcW w:w="36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207B73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w:t>
            </w:r>
          </w:p>
        </w:tc>
        <w:tc>
          <w:tcPr>
            <w:tcW w:w="36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B77341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w:t>
            </w:r>
          </w:p>
        </w:tc>
        <w:tc>
          <w:tcPr>
            <w:tcW w:w="36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1CAADF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w:t>
            </w:r>
          </w:p>
        </w:tc>
        <w:tc>
          <w:tcPr>
            <w:tcW w:w="36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0A8226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heme="minorBidi"/>
                <w:kern w:val="2"/>
                <w:sz w:val="21"/>
                <w:szCs w:val="21"/>
                <w:highlight w:val="none"/>
                <w:lang w:val="en-US" w:eastAsia="zh-CN" w:bidi="ar-SA"/>
              </w:rPr>
            </w:pPr>
            <w:r>
              <w:rPr>
                <w:rFonts w:hint="eastAsia" w:cstheme="minorBidi"/>
                <w:kern w:val="2"/>
                <w:sz w:val="21"/>
                <w:szCs w:val="21"/>
                <w:highlight w:val="none"/>
                <w:lang w:val="en-US" w:eastAsia="zh-CN" w:bidi="ar-SA"/>
              </w:rPr>
              <w:t>1.76</w:t>
            </w:r>
          </w:p>
        </w:tc>
        <w:tc>
          <w:tcPr>
            <w:tcW w:w="36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24043A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w:t>
            </w:r>
          </w:p>
        </w:tc>
        <w:tc>
          <w:tcPr>
            <w:tcW w:w="36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E93A97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w:t>
            </w:r>
          </w:p>
        </w:tc>
        <w:tc>
          <w:tcPr>
            <w:tcW w:w="36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E2D4E5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w:t>
            </w:r>
          </w:p>
        </w:tc>
        <w:tc>
          <w:tcPr>
            <w:tcW w:w="36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7E14C5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heme="minorBidi"/>
                <w:kern w:val="2"/>
                <w:sz w:val="21"/>
                <w:szCs w:val="21"/>
                <w:highlight w:val="none"/>
                <w:lang w:val="en-US" w:eastAsia="zh-CN" w:bidi="ar-SA"/>
              </w:rPr>
            </w:pPr>
            <w:r>
              <w:rPr>
                <w:rFonts w:hint="eastAsia" w:cstheme="minorBidi"/>
                <w:kern w:val="2"/>
                <w:sz w:val="21"/>
                <w:szCs w:val="21"/>
                <w:highlight w:val="none"/>
                <w:lang w:val="en-US" w:eastAsia="zh-CN" w:bidi="ar-SA"/>
              </w:rPr>
              <w:t>0.36</w:t>
            </w:r>
          </w:p>
        </w:tc>
        <w:tc>
          <w:tcPr>
            <w:tcW w:w="369" w:type="pct"/>
            <w:tcBorders>
              <w:top w:val="single" w:color="000000" w:sz="4" w:space="0"/>
              <w:left w:val="single" w:color="000000" w:sz="4" w:space="0"/>
              <w:bottom w:val="single" w:color="000000" w:sz="4" w:space="0"/>
            </w:tcBorders>
            <w:shd w:val="clear" w:color="auto" w:fill="auto"/>
            <w:noWrap w:val="0"/>
            <w:vAlign w:val="center"/>
          </w:tcPr>
          <w:p w14:paraId="41F1CB6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0.022</w:t>
            </w:r>
          </w:p>
        </w:tc>
      </w:tr>
      <w:tr w14:paraId="60FB25A1">
        <w:tblPrEx>
          <w:tblBorders>
            <w:top w:val="single" w:color="auto" w:sz="12" w:space="0"/>
            <w:left w:val="single" w:color="auto" w:sz="12" w:space="0"/>
            <w:bottom w:val="single" w:color="auto" w:sz="12" w:space="0"/>
            <w:right w:val="single" w:color="auto" w:sz="12" w:space="0"/>
            <w:insideH w:val="none" w:color="auto" w:sz="4" w:space="0"/>
            <w:insideV w:val="none" w:color="auto" w:sz="4" w:space="0"/>
          </w:tblBorders>
          <w:shd w:val="clear" w:color="auto" w:fill="auto"/>
          <w:tblCellMar>
            <w:top w:w="0" w:type="dxa"/>
            <w:left w:w="108" w:type="dxa"/>
            <w:bottom w:w="0" w:type="dxa"/>
            <w:right w:w="108" w:type="dxa"/>
          </w:tblCellMar>
        </w:tblPrEx>
        <w:trPr>
          <w:trHeight w:val="90" w:hRule="atLeast"/>
          <w:jc w:val="center"/>
        </w:trPr>
        <w:tc>
          <w:tcPr>
            <w:tcW w:w="241" w:type="pct"/>
            <w:vMerge w:val="continue"/>
            <w:tcBorders>
              <w:top w:val="single" w:color="000000" w:sz="4" w:space="0"/>
              <w:bottom w:val="single" w:color="000000" w:sz="4" w:space="0"/>
              <w:right w:val="single" w:color="000000" w:sz="4" w:space="0"/>
            </w:tcBorders>
            <w:shd w:val="clear" w:color="auto" w:fill="auto"/>
            <w:noWrap w:val="0"/>
            <w:vAlign w:val="center"/>
          </w:tcPr>
          <w:p w14:paraId="66BBB1C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rPr>
            </w:pPr>
          </w:p>
        </w:tc>
        <w:tc>
          <w:tcPr>
            <w:tcW w:w="38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C4A783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rPr>
            </w:pPr>
            <w:r>
              <w:rPr>
                <w:rFonts w:hint="default"/>
                <w:sz w:val="21"/>
                <w:szCs w:val="21"/>
                <w:highlight w:val="none"/>
              </w:rPr>
              <w:t>检出率%</w:t>
            </w:r>
          </w:p>
        </w:tc>
        <w:tc>
          <w:tcPr>
            <w:tcW w:w="325"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CE739A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lang w:val="en-US" w:eastAsia="zh-CN"/>
              </w:rPr>
            </w:pPr>
            <w:r>
              <w:rPr>
                <w:rFonts w:hint="eastAsia"/>
                <w:sz w:val="21"/>
                <w:szCs w:val="21"/>
                <w:highlight w:val="none"/>
                <w:lang w:val="en-US" w:eastAsia="zh-CN"/>
              </w:rPr>
              <w:t>100</w:t>
            </w:r>
          </w:p>
        </w:tc>
        <w:tc>
          <w:tcPr>
            <w:tcW w:w="36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DEF509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100</w:t>
            </w:r>
          </w:p>
        </w:tc>
        <w:tc>
          <w:tcPr>
            <w:tcW w:w="36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0D6CDF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100</w:t>
            </w:r>
          </w:p>
        </w:tc>
        <w:tc>
          <w:tcPr>
            <w:tcW w:w="36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B53183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w:t>
            </w:r>
          </w:p>
        </w:tc>
        <w:tc>
          <w:tcPr>
            <w:tcW w:w="36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7C092F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w:t>
            </w:r>
          </w:p>
        </w:tc>
        <w:tc>
          <w:tcPr>
            <w:tcW w:w="36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F6238A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w:t>
            </w:r>
          </w:p>
        </w:tc>
        <w:tc>
          <w:tcPr>
            <w:tcW w:w="36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B1E5DF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100</w:t>
            </w:r>
          </w:p>
        </w:tc>
        <w:tc>
          <w:tcPr>
            <w:tcW w:w="36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910497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w:t>
            </w:r>
          </w:p>
        </w:tc>
        <w:tc>
          <w:tcPr>
            <w:tcW w:w="36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CC5E47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100</w:t>
            </w:r>
          </w:p>
        </w:tc>
        <w:tc>
          <w:tcPr>
            <w:tcW w:w="36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596881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w:t>
            </w:r>
          </w:p>
        </w:tc>
        <w:tc>
          <w:tcPr>
            <w:tcW w:w="36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F4AE32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100</w:t>
            </w:r>
          </w:p>
        </w:tc>
        <w:tc>
          <w:tcPr>
            <w:tcW w:w="369" w:type="pct"/>
            <w:tcBorders>
              <w:top w:val="single" w:color="000000" w:sz="4" w:space="0"/>
              <w:left w:val="single" w:color="000000" w:sz="4" w:space="0"/>
              <w:bottom w:val="single" w:color="000000" w:sz="4" w:space="0"/>
            </w:tcBorders>
            <w:shd w:val="clear" w:color="auto" w:fill="auto"/>
            <w:noWrap w:val="0"/>
            <w:vAlign w:val="center"/>
          </w:tcPr>
          <w:p w14:paraId="772752D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100</w:t>
            </w:r>
          </w:p>
        </w:tc>
      </w:tr>
      <w:tr w14:paraId="07801C46">
        <w:tblPrEx>
          <w:tblBorders>
            <w:top w:val="single" w:color="auto" w:sz="12" w:space="0"/>
            <w:left w:val="single" w:color="auto" w:sz="12" w:space="0"/>
            <w:bottom w:val="single" w:color="auto" w:sz="12" w:space="0"/>
            <w:right w:val="single" w:color="auto" w:sz="12" w:space="0"/>
            <w:insideH w:val="none" w:color="auto" w:sz="4" w:space="0"/>
            <w:insideV w:val="none" w:color="auto" w:sz="4" w:space="0"/>
          </w:tblBorders>
          <w:tblCellMar>
            <w:top w:w="0" w:type="dxa"/>
            <w:left w:w="108" w:type="dxa"/>
            <w:bottom w:w="0" w:type="dxa"/>
            <w:right w:w="108" w:type="dxa"/>
          </w:tblCellMar>
        </w:tblPrEx>
        <w:trPr>
          <w:trHeight w:val="23" w:hRule="atLeast"/>
          <w:jc w:val="center"/>
        </w:trPr>
        <w:tc>
          <w:tcPr>
            <w:tcW w:w="241" w:type="pct"/>
            <w:vMerge w:val="continue"/>
            <w:tcBorders>
              <w:top w:val="single" w:color="000000" w:sz="4" w:space="0"/>
              <w:bottom w:val="single" w:color="000000" w:sz="4" w:space="0"/>
              <w:right w:val="single" w:color="000000" w:sz="4" w:space="0"/>
            </w:tcBorders>
            <w:shd w:val="clear" w:color="auto" w:fill="auto"/>
            <w:noWrap w:val="0"/>
            <w:vAlign w:val="center"/>
          </w:tcPr>
          <w:p w14:paraId="6356861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rPr>
            </w:pPr>
          </w:p>
        </w:tc>
        <w:tc>
          <w:tcPr>
            <w:tcW w:w="38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1863EE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rPr>
            </w:pPr>
            <w:r>
              <w:rPr>
                <w:rFonts w:hint="default"/>
                <w:sz w:val="21"/>
                <w:szCs w:val="21"/>
                <w:highlight w:val="none"/>
              </w:rPr>
              <w:t>超标率%</w:t>
            </w:r>
          </w:p>
        </w:tc>
        <w:tc>
          <w:tcPr>
            <w:tcW w:w="325"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C65360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lang w:val="en-US" w:eastAsia="zh-CN"/>
              </w:rPr>
            </w:pPr>
            <w:r>
              <w:rPr>
                <w:rFonts w:hint="eastAsia"/>
                <w:sz w:val="21"/>
                <w:szCs w:val="21"/>
                <w:highlight w:val="none"/>
                <w:lang w:val="en-US" w:eastAsia="zh-CN"/>
              </w:rPr>
              <w:t>0</w:t>
            </w:r>
          </w:p>
        </w:tc>
        <w:tc>
          <w:tcPr>
            <w:tcW w:w="36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AAC7DC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0</w:t>
            </w:r>
          </w:p>
        </w:tc>
        <w:tc>
          <w:tcPr>
            <w:tcW w:w="36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B5363A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0</w:t>
            </w:r>
          </w:p>
        </w:tc>
        <w:tc>
          <w:tcPr>
            <w:tcW w:w="36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B26131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0</w:t>
            </w:r>
          </w:p>
        </w:tc>
        <w:tc>
          <w:tcPr>
            <w:tcW w:w="36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E9972C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0</w:t>
            </w:r>
          </w:p>
        </w:tc>
        <w:tc>
          <w:tcPr>
            <w:tcW w:w="36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72F857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0</w:t>
            </w:r>
          </w:p>
        </w:tc>
        <w:tc>
          <w:tcPr>
            <w:tcW w:w="36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2734EF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100</w:t>
            </w:r>
          </w:p>
        </w:tc>
        <w:tc>
          <w:tcPr>
            <w:tcW w:w="36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918635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0</w:t>
            </w:r>
          </w:p>
        </w:tc>
        <w:tc>
          <w:tcPr>
            <w:tcW w:w="36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5DF06E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w:t>
            </w:r>
          </w:p>
        </w:tc>
        <w:tc>
          <w:tcPr>
            <w:tcW w:w="36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9536B6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0</w:t>
            </w:r>
          </w:p>
        </w:tc>
        <w:tc>
          <w:tcPr>
            <w:tcW w:w="36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2F7330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0</w:t>
            </w:r>
          </w:p>
        </w:tc>
        <w:tc>
          <w:tcPr>
            <w:tcW w:w="369" w:type="pct"/>
            <w:tcBorders>
              <w:top w:val="single" w:color="000000" w:sz="4" w:space="0"/>
              <w:left w:val="single" w:color="000000" w:sz="4" w:space="0"/>
              <w:bottom w:val="single" w:color="000000" w:sz="4" w:space="0"/>
            </w:tcBorders>
            <w:shd w:val="clear" w:color="auto" w:fill="auto"/>
            <w:noWrap w:val="0"/>
            <w:vAlign w:val="center"/>
          </w:tcPr>
          <w:p w14:paraId="364C790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0</w:t>
            </w:r>
          </w:p>
        </w:tc>
      </w:tr>
      <w:tr w14:paraId="338F2454">
        <w:tblPrEx>
          <w:tblBorders>
            <w:top w:val="single" w:color="auto" w:sz="12" w:space="0"/>
            <w:left w:val="single" w:color="auto" w:sz="12" w:space="0"/>
            <w:bottom w:val="single" w:color="auto" w:sz="12" w:space="0"/>
            <w:right w:val="single" w:color="auto" w:sz="12" w:space="0"/>
            <w:insideH w:val="none" w:color="auto" w:sz="4" w:space="0"/>
            <w:insideV w:val="none" w:color="auto" w:sz="4" w:space="0"/>
          </w:tblBorders>
          <w:shd w:val="clear" w:color="auto" w:fill="auto"/>
          <w:tblCellMar>
            <w:top w:w="0" w:type="dxa"/>
            <w:left w:w="108" w:type="dxa"/>
            <w:bottom w:w="0" w:type="dxa"/>
            <w:right w:w="108" w:type="dxa"/>
          </w:tblCellMar>
        </w:tblPrEx>
        <w:trPr>
          <w:trHeight w:val="23" w:hRule="atLeast"/>
          <w:jc w:val="center"/>
        </w:trPr>
        <w:tc>
          <w:tcPr>
            <w:tcW w:w="241" w:type="pct"/>
            <w:vMerge w:val="restart"/>
            <w:tcBorders>
              <w:top w:val="single" w:color="000000" w:sz="4" w:space="0"/>
              <w:right w:val="single" w:color="000000" w:sz="4" w:space="0"/>
            </w:tcBorders>
            <w:shd w:val="clear" w:color="auto" w:fill="auto"/>
            <w:noWrap w:val="0"/>
            <w:vAlign w:val="center"/>
          </w:tcPr>
          <w:p w14:paraId="08FE869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sz w:val="21"/>
                <w:szCs w:val="21"/>
                <w:highlight w:val="none"/>
                <w:lang w:val="en-US" w:eastAsia="zh-CN"/>
              </w:rPr>
            </w:pPr>
            <w:r>
              <w:rPr>
                <w:rFonts w:hint="eastAsia"/>
                <w:sz w:val="21"/>
                <w:szCs w:val="21"/>
                <w:highlight w:val="none"/>
                <w:lang w:val="en-US" w:eastAsia="zh-CN"/>
              </w:rPr>
              <w:t>D4</w:t>
            </w:r>
          </w:p>
        </w:tc>
        <w:tc>
          <w:tcPr>
            <w:tcW w:w="38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DB002D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sz w:val="21"/>
                <w:szCs w:val="21"/>
                <w:highlight w:val="none"/>
              </w:rPr>
              <w:t>监测值</w:t>
            </w:r>
          </w:p>
        </w:tc>
        <w:tc>
          <w:tcPr>
            <w:tcW w:w="325"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D89FE0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lang w:val="en-US" w:eastAsia="zh-CN"/>
              </w:rPr>
            </w:pPr>
            <w:r>
              <w:rPr>
                <w:rFonts w:hint="eastAsia"/>
                <w:sz w:val="21"/>
                <w:szCs w:val="21"/>
                <w:highlight w:val="none"/>
                <w:lang w:val="en-US" w:eastAsia="zh-CN"/>
              </w:rPr>
              <w:t>7.2</w:t>
            </w:r>
          </w:p>
        </w:tc>
        <w:tc>
          <w:tcPr>
            <w:tcW w:w="36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E2E44F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lang w:val="en-US" w:eastAsia="zh-CN"/>
              </w:rPr>
            </w:pPr>
            <w:r>
              <w:rPr>
                <w:rFonts w:hint="eastAsia"/>
                <w:sz w:val="21"/>
                <w:szCs w:val="21"/>
                <w:highlight w:val="none"/>
                <w:lang w:val="en-US" w:eastAsia="zh-CN"/>
              </w:rPr>
              <w:t>0.160</w:t>
            </w:r>
          </w:p>
        </w:tc>
        <w:tc>
          <w:tcPr>
            <w:tcW w:w="36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60EAAE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lang w:val="en-US" w:eastAsia="zh-CN"/>
              </w:rPr>
            </w:pPr>
            <w:r>
              <w:rPr>
                <w:rFonts w:hint="eastAsia"/>
                <w:sz w:val="21"/>
                <w:szCs w:val="21"/>
                <w:highlight w:val="none"/>
                <w:lang w:val="en-US" w:eastAsia="zh-CN"/>
              </w:rPr>
              <w:t>0.17</w:t>
            </w:r>
          </w:p>
        </w:tc>
        <w:tc>
          <w:tcPr>
            <w:tcW w:w="36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AE7ED5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ND</w:t>
            </w:r>
          </w:p>
        </w:tc>
        <w:tc>
          <w:tcPr>
            <w:tcW w:w="36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8DE70C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ND</w:t>
            </w:r>
          </w:p>
        </w:tc>
        <w:tc>
          <w:tcPr>
            <w:tcW w:w="36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DEA870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ND</w:t>
            </w:r>
          </w:p>
        </w:tc>
        <w:tc>
          <w:tcPr>
            <w:tcW w:w="36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00AF79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0.0015</w:t>
            </w:r>
          </w:p>
        </w:tc>
        <w:tc>
          <w:tcPr>
            <w:tcW w:w="36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D3AB2D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ND</w:t>
            </w:r>
          </w:p>
        </w:tc>
        <w:tc>
          <w:tcPr>
            <w:tcW w:w="36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910855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0.00107</w:t>
            </w:r>
          </w:p>
        </w:tc>
        <w:tc>
          <w:tcPr>
            <w:tcW w:w="36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C60E14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ND</w:t>
            </w:r>
          </w:p>
        </w:tc>
        <w:tc>
          <w:tcPr>
            <w:tcW w:w="36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168A6B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312</w:t>
            </w:r>
          </w:p>
        </w:tc>
        <w:tc>
          <w:tcPr>
            <w:tcW w:w="369" w:type="pct"/>
            <w:tcBorders>
              <w:top w:val="single" w:color="000000" w:sz="4" w:space="0"/>
              <w:left w:val="single" w:color="000000" w:sz="4" w:space="0"/>
              <w:bottom w:val="single" w:color="000000" w:sz="4" w:space="0"/>
            </w:tcBorders>
            <w:shd w:val="clear" w:color="auto" w:fill="auto"/>
            <w:noWrap w:val="0"/>
            <w:vAlign w:val="center"/>
          </w:tcPr>
          <w:p w14:paraId="64E523A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lang w:val="en-US" w:eastAsia="zh-CN"/>
              </w:rPr>
            </w:pPr>
            <w:r>
              <w:rPr>
                <w:rFonts w:hint="eastAsia"/>
                <w:sz w:val="21"/>
                <w:szCs w:val="21"/>
                <w:highlight w:val="none"/>
                <w:lang w:val="en-US" w:eastAsia="zh-CN"/>
              </w:rPr>
              <w:t>0.00034</w:t>
            </w:r>
          </w:p>
        </w:tc>
      </w:tr>
      <w:tr w14:paraId="0ACEE2D7">
        <w:tblPrEx>
          <w:tblBorders>
            <w:top w:val="single" w:color="auto" w:sz="12" w:space="0"/>
            <w:left w:val="single" w:color="auto" w:sz="12" w:space="0"/>
            <w:bottom w:val="single" w:color="auto" w:sz="12" w:space="0"/>
            <w:right w:val="single" w:color="auto" w:sz="12" w:space="0"/>
            <w:insideH w:val="none" w:color="auto" w:sz="4" w:space="0"/>
            <w:insideV w:val="none" w:color="auto" w:sz="4" w:space="0"/>
          </w:tblBorders>
          <w:shd w:val="clear" w:color="auto" w:fill="auto"/>
          <w:tblCellMar>
            <w:top w:w="0" w:type="dxa"/>
            <w:left w:w="108" w:type="dxa"/>
            <w:bottom w:w="0" w:type="dxa"/>
            <w:right w:w="108" w:type="dxa"/>
          </w:tblCellMar>
        </w:tblPrEx>
        <w:trPr>
          <w:trHeight w:val="23" w:hRule="atLeast"/>
          <w:jc w:val="center"/>
        </w:trPr>
        <w:tc>
          <w:tcPr>
            <w:tcW w:w="241" w:type="pct"/>
            <w:vMerge w:val="continue"/>
            <w:tcBorders>
              <w:right w:val="single" w:color="000000" w:sz="4" w:space="0"/>
            </w:tcBorders>
            <w:shd w:val="clear" w:color="auto" w:fill="auto"/>
            <w:noWrap w:val="0"/>
            <w:vAlign w:val="center"/>
          </w:tcPr>
          <w:p w14:paraId="5B79CF5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rPr>
            </w:pPr>
          </w:p>
        </w:tc>
        <w:tc>
          <w:tcPr>
            <w:tcW w:w="38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93FCED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sz w:val="21"/>
                <w:szCs w:val="21"/>
                <w:highlight w:val="none"/>
              </w:rPr>
              <w:t>标准指数</w:t>
            </w:r>
          </w:p>
        </w:tc>
        <w:tc>
          <w:tcPr>
            <w:tcW w:w="325"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6D6F59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0.13</w:t>
            </w:r>
          </w:p>
        </w:tc>
        <w:tc>
          <w:tcPr>
            <w:tcW w:w="36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0E5817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lang w:val="en-US" w:eastAsia="zh-CN"/>
              </w:rPr>
            </w:pPr>
            <w:r>
              <w:rPr>
                <w:rFonts w:hint="eastAsia"/>
                <w:sz w:val="21"/>
                <w:szCs w:val="21"/>
                <w:highlight w:val="none"/>
                <w:lang w:val="en-US" w:eastAsia="zh-CN"/>
              </w:rPr>
              <w:t>0.32</w:t>
            </w:r>
          </w:p>
        </w:tc>
        <w:tc>
          <w:tcPr>
            <w:tcW w:w="36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15C4C7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lang w:val="en-US" w:eastAsia="zh-CN"/>
              </w:rPr>
            </w:pPr>
            <w:r>
              <w:rPr>
                <w:rFonts w:hint="eastAsia"/>
                <w:sz w:val="21"/>
                <w:szCs w:val="21"/>
                <w:highlight w:val="none"/>
                <w:lang w:val="en-US" w:eastAsia="zh-CN"/>
              </w:rPr>
              <w:t>0.0085</w:t>
            </w:r>
          </w:p>
        </w:tc>
        <w:tc>
          <w:tcPr>
            <w:tcW w:w="36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FF38A5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w:t>
            </w:r>
          </w:p>
        </w:tc>
        <w:tc>
          <w:tcPr>
            <w:tcW w:w="36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9775AB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w:t>
            </w:r>
          </w:p>
        </w:tc>
        <w:tc>
          <w:tcPr>
            <w:tcW w:w="36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F0516B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w:t>
            </w:r>
          </w:p>
        </w:tc>
        <w:tc>
          <w:tcPr>
            <w:tcW w:w="36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8171D8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0.15</w:t>
            </w:r>
          </w:p>
        </w:tc>
        <w:tc>
          <w:tcPr>
            <w:tcW w:w="36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2A9540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w:t>
            </w:r>
          </w:p>
        </w:tc>
        <w:tc>
          <w:tcPr>
            <w:tcW w:w="36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554C2C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w:t>
            </w:r>
          </w:p>
        </w:tc>
        <w:tc>
          <w:tcPr>
            <w:tcW w:w="36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94CF47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w:t>
            </w:r>
          </w:p>
        </w:tc>
        <w:tc>
          <w:tcPr>
            <w:tcW w:w="36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41DDB2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0.69</w:t>
            </w:r>
          </w:p>
        </w:tc>
        <w:tc>
          <w:tcPr>
            <w:tcW w:w="369" w:type="pct"/>
            <w:tcBorders>
              <w:top w:val="single" w:color="000000" w:sz="4" w:space="0"/>
              <w:left w:val="single" w:color="000000" w:sz="4" w:space="0"/>
              <w:bottom w:val="single" w:color="000000" w:sz="4" w:space="0"/>
            </w:tcBorders>
            <w:shd w:val="clear" w:color="auto" w:fill="auto"/>
            <w:noWrap w:val="0"/>
            <w:vAlign w:val="center"/>
          </w:tcPr>
          <w:p w14:paraId="0EB5115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lang w:val="en-US" w:eastAsia="zh-CN"/>
              </w:rPr>
            </w:pPr>
            <w:r>
              <w:rPr>
                <w:rFonts w:hint="eastAsia"/>
                <w:sz w:val="21"/>
                <w:szCs w:val="21"/>
                <w:highlight w:val="none"/>
                <w:lang w:val="en-US" w:eastAsia="zh-CN"/>
              </w:rPr>
              <w:t>0.034</w:t>
            </w:r>
          </w:p>
        </w:tc>
      </w:tr>
      <w:tr w14:paraId="35B40B61">
        <w:tblPrEx>
          <w:tblBorders>
            <w:top w:val="single" w:color="auto" w:sz="12" w:space="0"/>
            <w:left w:val="single" w:color="auto" w:sz="12" w:space="0"/>
            <w:bottom w:val="single" w:color="auto" w:sz="12" w:space="0"/>
            <w:right w:val="single" w:color="auto" w:sz="12" w:space="0"/>
            <w:insideH w:val="none" w:color="auto" w:sz="4" w:space="0"/>
            <w:insideV w:val="none" w:color="auto" w:sz="4" w:space="0"/>
          </w:tblBorders>
          <w:shd w:val="clear" w:color="auto" w:fill="auto"/>
          <w:tblCellMar>
            <w:top w:w="0" w:type="dxa"/>
            <w:left w:w="108" w:type="dxa"/>
            <w:bottom w:w="0" w:type="dxa"/>
            <w:right w:w="108" w:type="dxa"/>
          </w:tblCellMar>
        </w:tblPrEx>
        <w:trPr>
          <w:trHeight w:val="23" w:hRule="atLeast"/>
          <w:jc w:val="center"/>
        </w:trPr>
        <w:tc>
          <w:tcPr>
            <w:tcW w:w="241" w:type="pct"/>
            <w:vMerge w:val="continue"/>
            <w:tcBorders>
              <w:right w:val="single" w:color="000000" w:sz="4" w:space="0"/>
            </w:tcBorders>
            <w:shd w:val="clear" w:color="auto" w:fill="auto"/>
            <w:noWrap w:val="0"/>
            <w:vAlign w:val="center"/>
          </w:tcPr>
          <w:p w14:paraId="1B424AE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rPr>
            </w:pPr>
          </w:p>
        </w:tc>
        <w:tc>
          <w:tcPr>
            <w:tcW w:w="38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4578BE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sz w:val="21"/>
                <w:szCs w:val="21"/>
                <w:highlight w:val="none"/>
              </w:rPr>
              <w:t>检出率%</w:t>
            </w:r>
          </w:p>
        </w:tc>
        <w:tc>
          <w:tcPr>
            <w:tcW w:w="325"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CE630B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lang w:val="en-US" w:eastAsia="zh-CN"/>
              </w:rPr>
            </w:pPr>
            <w:r>
              <w:rPr>
                <w:rFonts w:hint="eastAsia"/>
                <w:sz w:val="21"/>
                <w:szCs w:val="21"/>
                <w:highlight w:val="none"/>
                <w:lang w:val="en-US" w:eastAsia="zh-CN"/>
              </w:rPr>
              <w:t>100</w:t>
            </w:r>
          </w:p>
        </w:tc>
        <w:tc>
          <w:tcPr>
            <w:tcW w:w="36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125AC6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100</w:t>
            </w:r>
          </w:p>
        </w:tc>
        <w:tc>
          <w:tcPr>
            <w:tcW w:w="36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863D38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100</w:t>
            </w:r>
          </w:p>
        </w:tc>
        <w:tc>
          <w:tcPr>
            <w:tcW w:w="36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491B08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w:t>
            </w:r>
          </w:p>
        </w:tc>
        <w:tc>
          <w:tcPr>
            <w:tcW w:w="36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DD4CDC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w:t>
            </w:r>
          </w:p>
        </w:tc>
        <w:tc>
          <w:tcPr>
            <w:tcW w:w="36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B9127F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w:t>
            </w:r>
          </w:p>
        </w:tc>
        <w:tc>
          <w:tcPr>
            <w:tcW w:w="36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A1CBEE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100</w:t>
            </w:r>
          </w:p>
        </w:tc>
        <w:tc>
          <w:tcPr>
            <w:tcW w:w="36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4C044D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w:t>
            </w:r>
          </w:p>
        </w:tc>
        <w:tc>
          <w:tcPr>
            <w:tcW w:w="36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0A6312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100</w:t>
            </w:r>
          </w:p>
        </w:tc>
        <w:tc>
          <w:tcPr>
            <w:tcW w:w="36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D6E197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w:t>
            </w:r>
          </w:p>
        </w:tc>
        <w:tc>
          <w:tcPr>
            <w:tcW w:w="36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4386AC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100</w:t>
            </w:r>
          </w:p>
        </w:tc>
        <w:tc>
          <w:tcPr>
            <w:tcW w:w="369" w:type="pct"/>
            <w:tcBorders>
              <w:top w:val="single" w:color="000000" w:sz="4" w:space="0"/>
              <w:left w:val="single" w:color="000000" w:sz="4" w:space="0"/>
              <w:bottom w:val="single" w:color="000000" w:sz="4" w:space="0"/>
            </w:tcBorders>
            <w:shd w:val="clear" w:color="auto" w:fill="auto"/>
            <w:noWrap w:val="0"/>
            <w:vAlign w:val="center"/>
          </w:tcPr>
          <w:p w14:paraId="277CD92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lang w:val="en-US" w:eastAsia="zh-CN"/>
              </w:rPr>
            </w:pPr>
            <w:r>
              <w:rPr>
                <w:rFonts w:hint="eastAsia"/>
                <w:sz w:val="21"/>
                <w:szCs w:val="21"/>
                <w:highlight w:val="none"/>
                <w:lang w:val="en-US" w:eastAsia="zh-CN"/>
              </w:rPr>
              <w:t>100</w:t>
            </w:r>
          </w:p>
        </w:tc>
      </w:tr>
      <w:tr w14:paraId="4247501B">
        <w:tblPrEx>
          <w:tblBorders>
            <w:top w:val="single" w:color="auto" w:sz="12" w:space="0"/>
            <w:left w:val="single" w:color="auto" w:sz="12" w:space="0"/>
            <w:bottom w:val="single" w:color="auto" w:sz="12" w:space="0"/>
            <w:right w:val="single" w:color="auto" w:sz="12" w:space="0"/>
            <w:insideH w:val="none" w:color="auto" w:sz="4" w:space="0"/>
            <w:insideV w:val="none" w:color="auto" w:sz="4" w:space="0"/>
          </w:tblBorders>
          <w:shd w:val="clear" w:color="auto" w:fill="auto"/>
          <w:tblCellMar>
            <w:top w:w="0" w:type="dxa"/>
            <w:left w:w="108" w:type="dxa"/>
            <w:bottom w:w="0" w:type="dxa"/>
            <w:right w:w="108" w:type="dxa"/>
          </w:tblCellMar>
        </w:tblPrEx>
        <w:trPr>
          <w:trHeight w:val="23" w:hRule="atLeast"/>
          <w:jc w:val="center"/>
        </w:trPr>
        <w:tc>
          <w:tcPr>
            <w:tcW w:w="241" w:type="pct"/>
            <w:vMerge w:val="continue"/>
            <w:tcBorders>
              <w:bottom w:val="single" w:color="000000" w:sz="4" w:space="0"/>
              <w:right w:val="single" w:color="000000" w:sz="4" w:space="0"/>
            </w:tcBorders>
            <w:shd w:val="clear" w:color="auto" w:fill="auto"/>
            <w:noWrap w:val="0"/>
            <w:vAlign w:val="center"/>
          </w:tcPr>
          <w:p w14:paraId="185F2E1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rPr>
            </w:pPr>
          </w:p>
        </w:tc>
        <w:tc>
          <w:tcPr>
            <w:tcW w:w="38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4C239E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sz w:val="21"/>
                <w:szCs w:val="21"/>
                <w:highlight w:val="none"/>
              </w:rPr>
              <w:t>超标率%</w:t>
            </w:r>
          </w:p>
        </w:tc>
        <w:tc>
          <w:tcPr>
            <w:tcW w:w="325"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BC7F30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lang w:val="en-US" w:eastAsia="zh-CN"/>
              </w:rPr>
            </w:pPr>
            <w:r>
              <w:rPr>
                <w:rFonts w:hint="eastAsia"/>
                <w:sz w:val="21"/>
                <w:szCs w:val="21"/>
                <w:highlight w:val="none"/>
                <w:lang w:val="en-US" w:eastAsia="zh-CN"/>
              </w:rPr>
              <w:t>0</w:t>
            </w:r>
          </w:p>
        </w:tc>
        <w:tc>
          <w:tcPr>
            <w:tcW w:w="36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A21B10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0</w:t>
            </w:r>
          </w:p>
        </w:tc>
        <w:tc>
          <w:tcPr>
            <w:tcW w:w="36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55A500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0</w:t>
            </w:r>
          </w:p>
        </w:tc>
        <w:tc>
          <w:tcPr>
            <w:tcW w:w="36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FE9EEE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0</w:t>
            </w:r>
          </w:p>
        </w:tc>
        <w:tc>
          <w:tcPr>
            <w:tcW w:w="36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D6B463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0</w:t>
            </w:r>
          </w:p>
        </w:tc>
        <w:tc>
          <w:tcPr>
            <w:tcW w:w="36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98F5AE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0</w:t>
            </w:r>
          </w:p>
        </w:tc>
        <w:tc>
          <w:tcPr>
            <w:tcW w:w="36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348155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0</w:t>
            </w:r>
          </w:p>
        </w:tc>
        <w:tc>
          <w:tcPr>
            <w:tcW w:w="36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9436A6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0</w:t>
            </w:r>
          </w:p>
        </w:tc>
        <w:tc>
          <w:tcPr>
            <w:tcW w:w="36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D465A3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w:t>
            </w:r>
          </w:p>
        </w:tc>
        <w:tc>
          <w:tcPr>
            <w:tcW w:w="36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CE30B7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0</w:t>
            </w:r>
          </w:p>
        </w:tc>
        <w:tc>
          <w:tcPr>
            <w:tcW w:w="36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FC1E95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0</w:t>
            </w:r>
          </w:p>
        </w:tc>
        <w:tc>
          <w:tcPr>
            <w:tcW w:w="369" w:type="pct"/>
            <w:tcBorders>
              <w:top w:val="single" w:color="000000" w:sz="4" w:space="0"/>
              <w:left w:val="single" w:color="000000" w:sz="4" w:space="0"/>
              <w:bottom w:val="single" w:color="000000" w:sz="4" w:space="0"/>
            </w:tcBorders>
            <w:shd w:val="clear" w:color="auto" w:fill="auto"/>
            <w:noWrap w:val="0"/>
            <w:vAlign w:val="center"/>
          </w:tcPr>
          <w:p w14:paraId="5FCE64E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lang w:val="en-US" w:eastAsia="zh-CN"/>
              </w:rPr>
            </w:pPr>
            <w:r>
              <w:rPr>
                <w:rFonts w:hint="eastAsia"/>
                <w:sz w:val="21"/>
                <w:szCs w:val="21"/>
                <w:highlight w:val="none"/>
                <w:lang w:val="en-US" w:eastAsia="zh-CN"/>
              </w:rPr>
              <w:t>0</w:t>
            </w:r>
          </w:p>
        </w:tc>
      </w:tr>
      <w:tr w14:paraId="4EB57C39">
        <w:tblPrEx>
          <w:tblBorders>
            <w:top w:val="single" w:color="auto" w:sz="12" w:space="0"/>
            <w:left w:val="single" w:color="auto" w:sz="12" w:space="0"/>
            <w:bottom w:val="single" w:color="auto" w:sz="12" w:space="0"/>
            <w:right w:val="single" w:color="auto" w:sz="12" w:space="0"/>
            <w:insideH w:val="none" w:color="auto" w:sz="4" w:space="0"/>
            <w:insideV w:val="none" w:color="auto" w:sz="4" w:space="0"/>
          </w:tblBorders>
          <w:tblCellMar>
            <w:top w:w="0" w:type="dxa"/>
            <w:left w:w="108" w:type="dxa"/>
            <w:bottom w:w="0" w:type="dxa"/>
            <w:right w:w="108" w:type="dxa"/>
          </w:tblCellMar>
        </w:tblPrEx>
        <w:trPr>
          <w:trHeight w:val="23" w:hRule="atLeast"/>
          <w:jc w:val="center"/>
        </w:trPr>
        <w:tc>
          <w:tcPr>
            <w:tcW w:w="241" w:type="pct"/>
            <w:vMerge w:val="restart"/>
            <w:tcBorders>
              <w:top w:val="single" w:color="000000" w:sz="4" w:space="0"/>
              <w:right w:val="single" w:color="000000" w:sz="4" w:space="0"/>
            </w:tcBorders>
            <w:shd w:val="clear" w:color="auto" w:fill="auto"/>
            <w:noWrap w:val="0"/>
            <w:vAlign w:val="center"/>
          </w:tcPr>
          <w:p w14:paraId="3DE514E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sz w:val="21"/>
                <w:szCs w:val="21"/>
                <w:highlight w:val="none"/>
                <w:lang w:val="en-US" w:eastAsia="zh-CN"/>
              </w:rPr>
            </w:pPr>
            <w:r>
              <w:rPr>
                <w:rFonts w:hint="eastAsia"/>
                <w:sz w:val="21"/>
                <w:szCs w:val="21"/>
                <w:highlight w:val="none"/>
                <w:lang w:val="en-US" w:eastAsia="zh-CN"/>
              </w:rPr>
              <w:t>D5</w:t>
            </w:r>
          </w:p>
        </w:tc>
        <w:tc>
          <w:tcPr>
            <w:tcW w:w="38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779686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sz w:val="21"/>
                <w:szCs w:val="21"/>
                <w:highlight w:val="none"/>
              </w:rPr>
              <w:t>监测值</w:t>
            </w:r>
          </w:p>
        </w:tc>
        <w:tc>
          <w:tcPr>
            <w:tcW w:w="325"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9BDAB1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lang w:val="en-US" w:eastAsia="zh-CN"/>
              </w:rPr>
            </w:pPr>
            <w:r>
              <w:rPr>
                <w:rFonts w:hint="eastAsia"/>
                <w:sz w:val="21"/>
                <w:szCs w:val="21"/>
                <w:highlight w:val="none"/>
                <w:lang w:val="en-US" w:eastAsia="zh-CN"/>
              </w:rPr>
              <w:t>7.2</w:t>
            </w:r>
          </w:p>
        </w:tc>
        <w:tc>
          <w:tcPr>
            <w:tcW w:w="36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57C960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lang w:val="en-US" w:eastAsia="zh-CN"/>
              </w:rPr>
            </w:pPr>
            <w:r>
              <w:rPr>
                <w:rFonts w:hint="eastAsia"/>
                <w:sz w:val="21"/>
                <w:szCs w:val="21"/>
                <w:highlight w:val="none"/>
                <w:lang w:val="en-US" w:eastAsia="zh-CN"/>
              </w:rPr>
              <w:t>0.346</w:t>
            </w:r>
          </w:p>
        </w:tc>
        <w:tc>
          <w:tcPr>
            <w:tcW w:w="36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0B4436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lang w:val="en-US" w:eastAsia="zh-CN"/>
              </w:rPr>
            </w:pPr>
            <w:r>
              <w:rPr>
                <w:rFonts w:hint="eastAsia"/>
                <w:sz w:val="21"/>
                <w:szCs w:val="21"/>
                <w:highlight w:val="none"/>
                <w:lang w:val="en-US" w:eastAsia="zh-CN"/>
              </w:rPr>
              <w:t>3.92</w:t>
            </w:r>
          </w:p>
        </w:tc>
        <w:tc>
          <w:tcPr>
            <w:tcW w:w="36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BC16BE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ND</w:t>
            </w:r>
          </w:p>
        </w:tc>
        <w:tc>
          <w:tcPr>
            <w:tcW w:w="36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5FFACF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ND</w:t>
            </w:r>
          </w:p>
        </w:tc>
        <w:tc>
          <w:tcPr>
            <w:tcW w:w="36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252E9C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ND</w:t>
            </w:r>
          </w:p>
        </w:tc>
        <w:tc>
          <w:tcPr>
            <w:tcW w:w="36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DE8B4B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0.0020</w:t>
            </w:r>
          </w:p>
        </w:tc>
        <w:tc>
          <w:tcPr>
            <w:tcW w:w="36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FA80F6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ND</w:t>
            </w:r>
          </w:p>
        </w:tc>
        <w:tc>
          <w:tcPr>
            <w:tcW w:w="36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DADC6D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0.00020</w:t>
            </w:r>
          </w:p>
        </w:tc>
        <w:tc>
          <w:tcPr>
            <w:tcW w:w="36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DBD7A7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ND</w:t>
            </w:r>
          </w:p>
        </w:tc>
        <w:tc>
          <w:tcPr>
            <w:tcW w:w="36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E32889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46</w:t>
            </w:r>
          </w:p>
        </w:tc>
        <w:tc>
          <w:tcPr>
            <w:tcW w:w="369" w:type="pct"/>
            <w:tcBorders>
              <w:top w:val="single" w:color="000000" w:sz="4" w:space="0"/>
              <w:left w:val="single" w:color="000000" w:sz="4" w:space="0"/>
              <w:bottom w:val="single" w:color="000000" w:sz="4" w:space="0"/>
            </w:tcBorders>
            <w:shd w:val="clear" w:color="auto" w:fill="auto"/>
            <w:noWrap w:val="0"/>
            <w:vAlign w:val="center"/>
          </w:tcPr>
          <w:p w14:paraId="633992C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ND</w:t>
            </w:r>
          </w:p>
        </w:tc>
      </w:tr>
      <w:tr w14:paraId="69FE6369">
        <w:tblPrEx>
          <w:tblBorders>
            <w:top w:val="single" w:color="auto" w:sz="12" w:space="0"/>
            <w:left w:val="single" w:color="auto" w:sz="12" w:space="0"/>
            <w:bottom w:val="single" w:color="auto" w:sz="12" w:space="0"/>
            <w:right w:val="single" w:color="auto" w:sz="12" w:space="0"/>
            <w:insideH w:val="none" w:color="auto" w:sz="4" w:space="0"/>
            <w:insideV w:val="none" w:color="auto" w:sz="4" w:space="0"/>
          </w:tblBorders>
          <w:tblCellMar>
            <w:top w:w="0" w:type="dxa"/>
            <w:left w:w="108" w:type="dxa"/>
            <w:bottom w:w="0" w:type="dxa"/>
            <w:right w:w="108" w:type="dxa"/>
          </w:tblCellMar>
        </w:tblPrEx>
        <w:trPr>
          <w:trHeight w:val="23" w:hRule="atLeast"/>
          <w:jc w:val="center"/>
        </w:trPr>
        <w:tc>
          <w:tcPr>
            <w:tcW w:w="241" w:type="pct"/>
            <w:vMerge w:val="continue"/>
            <w:tcBorders>
              <w:right w:val="single" w:color="000000" w:sz="4" w:space="0"/>
            </w:tcBorders>
            <w:shd w:val="clear" w:color="auto" w:fill="auto"/>
            <w:noWrap w:val="0"/>
            <w:vAlign w:val="center"/>
          </w:tcPr>
          <w:p w14:paraId="3AC8339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rPr>
            </w:pPr>
          </w:p>
        </w:tc>
        <w:tc>
          <w:tcPr>
            <w:tcW w:w="38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85EEF1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sz w:val="21"/>
                <w:szCs w:val="21"/>
                <w:highlight w:val="none"/>
              </w:rPr>
              <w:t>标准指数</w:t>
            </w:r>
          </w:p>
        </w:tc>
        <w:tc>
          <w:tcPr>
            <w:tcW w:w="325"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4D82CE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0.13</w:t>
            </w:r>
          </w:p>
        </w:tc>
        <w:tc>
          <w:tcPr>
            <w:tcW w:w="36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036432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lang w:val="en-US" w:eastAsia="zh-CN"/>
              </w:rPr>
            </w:pPr>
            <w:r>
              <w:rPr>
                <w:rFonts w:hint="eastAsia"/>
                <w:sz w:val="21"/>
                <w:szCs w:val="21"/>
                <w:highlight w:val="none"/>
                <w:lang w:val="en-US" w:eastAsia="zh-CN"/>
              </w:rPr>
              <w:t>0.692</w:t>
            </w:r>
          </w:p>
        </w:tc>
        <w:tc>
          <w:tcPr>
            <w:tcW w:w="36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D73813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lang w:val="en-US" w:eastAsia="zh-CN"/>
              </w:rPr>
            </w:pPr>
            <w:r>
              <w:rPr>
                <w:rFonts w:hint="eastAsia"/>
                <w:sz w:val="21"/>
                <w:szCs w:val="21"/>
                <w:highlight w:val="none"/>
                <w:lang w:val="en-US" w:eastAsia="zh-CN"/>
              </w:rPr>
              <w:t>0.196</w:t>
            </w:r>
          </w:p>
        </w:tc>
        <w:tc>
          <w:tcPr>
            <w:tcW w:w="36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3C71BE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w:t>
            </w:r>
          </w:p>
        </w:tc>
        <w:tc>
          <w:tcPr>
            <w:tcW w:w="36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1B25A2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w:t>
            </w:r>
          </w:p>
        </w:tc>
        <w:tc>
          <w:tcPr>
            <w:tcW w:w="36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B0CA10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w:t>
            </w:r>
          </w:p>
        </w:tc>
        <w:tc>
          <w:tcPr>
            <w:tcW w:w="36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C9806D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0.2</w:t>
            </w:r>
          </w:p>
        </w:tc>
        <w:tc>
          <w:tcPr>
            <w:tcW w:w="36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28D8DC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w:t>
            </w:r>
          </w:p>
        </w:tc>
        <w:tc>
          <w:tcPr>
            <w:tcW w:w="36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6244F2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w:t>
            </w:r>
          </w:p>
        </w:tc>
        <w:tc>
          <w:tcPr>
            <w:tcW w:w="36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61954E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w:t>
            </w:r>
          </w:p>
        </w:tc>
        <w:tc>
          <w:tcPr>
            <w:tcW w:w="36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5351DF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0.10</w:t>
            </w:r>
          </w:p>
        </w:tc>
        <w:tc>
          <w:tcPr>
            <w:tcW w:w="369" w:type="pct"/>
            <w:tcBorders>
              <w:top w:val="single" w:color="000000" w:sz="4" w:space="0"/>
              <w:left w:val="single" w:color="000000" w:sz="4" w:space="0"/>
              <w:bottom w:val="single" w:color="000000" w:sz="4" w:space="0"/>
            </w:tcBorders>
            <w:shd w:val="clear" w:color="auto" w:fill="auto"/>
            <w:noWrap w:val="0"/>
            <w:vAlign w:val="center"/>
          </w:tcPr>
          <w:p w14:paraId="432F741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w:t>
            </w:r>
          </w:p>
        </w:tc>
      </w:tr>
      <w:tr w14:paraId="4E4D1CCF">
        <w:tblPrEx>
          <w:tblBorders>
            <w:top w:val="single" w:color="auto" w:sz="12" w:space="0"/>
            <w:left w:val="single" w:color="auto" w:sz="12" w:space="0"/>
            <w:bottom w:val="single" w:color="auto" w:sz="12" w:space="0"/>
            <w:right w:val="single" w:color="auto" w:sz="12" w:space="0"/>
            <w:insideH w:val="none" w:color="auto" w:sz="4" w:space="0"/>
            <w:insideV w:val="none" w:color="auto" w:sz="4" w:space="0"/>
          </w:tblBorders>
          <w:tblCellMar>
            <w:top w:w="0" w:type="dxa"/>
            <w:left w:w="108" w:type="dxa"/>
            <w:bottom w:w="0" w:type="dxa"/>
            <w:right w:w="108" w:type="dxa"/>
          </w:tblCellMar>
        </w:tblPrEx>
        <w:trPr>
          <w:trHeight w:val="23" w:hRule="atLeast"/>
          <w:jc w:val="center"/>
        </w:trPr>
        <w:tc>
          <w:tcPr>
            <w:tcW w:w="241" w:type="pct"/>
            <w:vMerge w:val="continue"/>
            <w:tcBorders>
              <w:right w:val="single" w:color="000000" w:sz="4" w:space="0"/>
            </w:tcBorders>
            <w:shd w:val="clear" w:color="auto" w:fill="auto"/>
            <w:noWrap w:val="0"/>
            <w:vAlign w:val="center"/>
          </w:tcPr>
          <w:p w14:paraId="415C342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rPr>
            </w:pPr>
          </w:p>
        </w:tc>
        <w:tc>
          <w:tcPr>
            <w:tcW w:w="38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F32BE2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sz w:val="21"/>
                <w:szCs w:val="21"/>
                <w:highlight w:val="none"/>
              </w:rPr>
              <w:t>检出率%</w:t>
            </w:r>
          </w:p>
        </w:tc>
        <w:tc>
          <w:tcPr>
            <w:tcW w:w="325"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AD6D8B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lang w:val="en-US" w:eastAsia="zh-CN"/>
              </w:rPr>
            </w:pPr>
            <w:r>
              <w:rPr>
                <w:rFonts w:hint="eastAsia"/>
                <w:sz w:val="21"/>
                <w:szCs w:val="21"/>
                <w:highlight w:val="none"/>
                <w:lang w:val="en-US" w:eastAsia="zh-CN"/>
              </w:rPr>
              <w:t>100</w:t>
            </w:r>
          </w:p>
        </w:tc>
        <w:tc>
          <w:tcPr>
            <w:tcW w:w="36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46829A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100</w:t>
            </w:r>
          </w:p>
        </w:tc>
        <w:tc>
          <w:tcPr>
            <w:tcW w:w="36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FC47F8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100</w:t>
            </w:r>
          </w:p>
        </w:tc>
        <w:tc>
          <w:tcPr>
            <w:tcW w:w="36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9C63E0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w:t>
            </w:r>
          </w:p>
        </w:tc>
        <w:tc>
          <w:tcPr>
            <w:tcW w:w="36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F1B4FD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w:t>
            </w:r>
          </w:p>
        </w:tc>
        <w:tc>
          <w:tcPr>
            <w:tcW w:w="36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415774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w:t>
            </w:r>
          </w:p>
        </w:tc>
        <w:tc>
          <w:tcPr>
            <w:tcW w:w="36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3871DF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100</w:t>
            </w:r>
          </w:p>
        </w:tc>
        <w:tc>
          <w:tcPr>
            <w:tcW w:w="36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DB4884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w:t>
            </w:r>
          </w:p>
        </w:tc>
        <w:tc>
          <w:tcPr>
            <w:tcW w:w="36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B9A54D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100</w:t>
            </w:r>
          </w:p>
        </w:tc>
        <w:tc>
          <w:tcPr>
            <w:tcW w:w="36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807C0D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w:t>
            </w:r>
          </w:p>
        </w:tc>
        <w:tc>
          <w:tcPr>
            <w:tcW w:w="36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AD2034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100</w:t>
            </w:r>
          </w:p>
        </w:tc>
        <w:tc>
          <w:tcPr>
            <w:tcW w:w="369" w:type="pct"/>
            <w:tcBorders>
              <w:top w:val="single" w:color="000000" w:sz="4" w:space="0"/>
              <w:left w:val="single" w:color="000000" w:sz="4" w:space="0"/>
              <w:bottom w:val="single" w:color="000000" w:sz="4" w:space="0"/>
            </w:tcBorders>
            <w:shd w:val="clear" w:color="auto" w:fill="auto"/>
            <w:noWrap w:val="0"/>
            <w:vAlign w:val="center"/>
          </w:tcPr>
          <w:p w14:paraId="2E633F8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w:t>
            </w:r>
          </w:p>
        </w:tc>
      </w:tr>
      <w:tr w14:paraId="7DB92012">
        <w:tblPrEx>
          <w:tblBorders>
            <w:top w:val="single" w:color="auto" w:sz="12" w:space="0"/>
            <w:left w:val="single" w:color="auto" w:sz="12" w:space="0"/>
            <w:bottom w:val="single" w:color="auto" w:sz="12" w:space="0"/>
            <w:right w:val="single" w:color="auto" w:sz="12" w:space="0"/>
            <w:insideH w:val="none" w:color="auto" w:sz="4" w:space="0"/>
            <w:insideV w:val="none" w:color="auto" w:sz="4" w:space="0"/>
          </w:tblBorders>
          <w:shd w:val="clear" w:color="auto" w:fill="auto"/>
          <w:tblCellMar>
            <w:top w:w="0" w:type="dxa"/>
            <w:left w:w="108" w:type="dxa"/>
            <w:bottom w:w="0" w:type="dxa"/>
            <w:right w:w="108" w:type="dxa"/>
          </w:tblCellMar>
        </w:tblPrEx>
        <w:trPr>
          <w:trHeight w:val="23" w:hRule="atLeast"/>
          <w:jc w:val="center"/>
        </w:trPr>
        <w:tc>
          <w:tcPr>
            <w:tcW w:w="241" w:type="pct"/>
            <w:vMerge w:val="continue"/>
            <w:tcBorders>
              <w:bottom w:val="single" w:color="000000" w:sz="4" w:space="0"/>
              <w:right w:val="single" w:color="000000" w:sz="4" w:space="0"/>
            </w:tcBorders>
            <w:shd w:val="clear" w:color="auto" w:fill="auto"/>
            <w:noWrap w:val="0"/>
            <w:vAlign w:val="center"/>
          </w:tcPr>
          <w:p w14:paraId="7664DA1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rPr>
            </w:pPr>
          </w:p>
        </w:tc>
        <w:tc>
          <w:tcPr>
            <w:tcW w:w="38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89615E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sz w:val="21"/>
                <w:szCs w:val="21"/>
                <w:highlight w:val="none"/>
              </w:rPr>
              <w:t>超标率%</w:t>
            </w:r>
          </w:p>
        </w:tc>
        <w:tc>
          <w:tcPr>
            <w:tcW w:w="325"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E975A0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lang w:val="en-US" w:eastAsia="zh-CN"/>
              </w:rPr>
            </w:pPr>
            <w:r>
              <w:rPr>
                <w:rFonts w:hint="eastAsia"/>
                <w:sz w:val="21"/>
                <w:szCs w:val="21"/>
                <w:highlight w:val="none"/>
                <w:lang w:val="en-US" w:eastAsia="zh-CN"/>
              </w:rPr>
              <w:t>0</w:t>
            </w:r>
          </w:p>
        </w:tc>
        <w:tc>
          <w:tcPr>
            <w:tcW w:w="36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C4624C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0</w:t>
            </w:r>
          </w:p>
        </w:tc>
        <w:tc>
          <w:tcPr>
            <w:tcW w:w="36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B6A8FF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0</w:t>
            </w:r>
          </w:p>
        </w:tc>
        <w:tc>
          <w:tcPr>
            <w:tcW w:w="36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B62D74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0</w:t>
            </w:r>
          </w:p>
        </w:tc>
        <w:tc>
          <w:tcPr>
            <w:tcW w:w="36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A4577D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0</w:t>
            </w:r>
          </w:p>
        </w:tc>
        <w:tc>
          <w:tcPr>
            <w:tcW w:w="36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F740F3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0</w:t>
            </w:r>
          </w:p>
        </w:tc>
        <w:tc>
          <w:tcPr>
            <w:tcW w:w="36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55914F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0</w:t>
            </w:r>
          </w:p>
        </w:tc>
        <w:tc>
          <w:tcPr>
            <w:tcW w:w="36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266D85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0</w:t>
            </w:r>
          </w:p>
        </w:tc>
        <w:tc>
          <w:tcPr>
            <w:tcW w:w="36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E0F534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w:t>
            </w:r>
          </w:p>
        </w:tc>
        <w:tc>
          <w:tcPr>
            <w:tcW w:w="36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9E8DA4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0</w:t>
            </w:r>
          </w:p>
        </w:tc>
        <w:tc>
          <w:tcPr>
            <w:tcW w:w="36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011CC0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0</w:t>
            </w:r>
          </w:p>
        </w:tc>
        <w:tc>
          <w:tcPr>
            <w:tcW w:w="369" w:type="pct"/>
            <w:tcBorders>
              <w:top w:val="single" w:color="000000" w:sz="4" w:space="0"/>
              <w:left w:val="single" w:color="000000" w:sz="4" w:space="0"/>
              <w:bottom w:val="single" w:color="000000" w:sz="4" w:space="0"/>
            </w:tcBorders>
            <w:shd w:val="clear" w:color="auto" w:fill="auto"/>
            <w:noWrap w:val="0"/>
            <w:vAlign w:val="center"/>
          </w:tcPr>
          <w:p w14:paraId="5C2DDE3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0</w:t>
            </w:r>
          </w:p>
        </w:tc>
      </w:tr>
      <w:tr w14:paraId="5CD89BFA">
        <w:tblPrEx>
          <w:tblBorders>
            <w:top w:val="single" w:color="auto" w:sz="12" w:space="0"/>
            <w:left w:val="single" w:color="auto" w:sz="12" w:space="0"/>
            <w:bottom w:val="single" w:color="auto" w:sz="12" w:space="0"/>
            <w:right w:val="single" w:color="auto" w:sz="12" w:space="0"/>
            <w:insideH w:val="none" w:color="auto" w:sz="4" w:space="0"/>
            <w:insideV w:val="none" w:color="auto" w:sz="4" w:space="0"/>
          </w:tblBorders>
          <w:shd w:val="clear" w:color="auto" w:fill="auto"/>
          <w:tblCellMar>
            <w:top w:w="0" w:type="dxa"/>
            <w:left w:w="108" w:type="dxa"/>
            <w:bottom w:w="0" w:type="dxa"/>
            <w:right w:w="108" w:type="dxa"/>
          </w:tblCellMar>
        </w:tblPrEx>
        <w:trPr>
          <w:trHeight w:val="321" w:hRule="atLeast"/>
          <w:jc w:val="center"/>
        </w:trPr>
        <w:tc>
          <w:tcPr>
            <w:tcW w:w="629" w:type="pct"/>
            <w:gridSpan w:val="2"/>
            <w:tcBorders>
              <w:top w:val="single" w:color="000000" w:sz="4" w:space="0"/>
              <w:bottom w:val="single" w:color="000000" w:sz="4" w:space="0"/>
              <w:right w:val="single" w:color="000000" w:sz="4" w:space="0"/>
            </w:tcBorders>
            <w:shd w:val="clear" w:color="auto" w:fill="auto"/>
            <w:noWrap w:val="0"/>
            <w:vAlign w:val="center"/>
          </w:tcPr>
          <w:p w14:paraId="42EDACAD">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b/>
                <w:bCs/>
                <w:sz w:val="21"/>
                <w:szCs w:val="21"/>
                <w:highlight w:val="none"/>
              </w:rPr>
            </w:pPr>
            <w:r>
              <w:rPr>
                <w:rFonts w:hint="default"/>
                <w:b/>
                <w:bCs/>
                <w:sz w:val="21"/>
                <w:szCs w:val="21"/>
                <w:highlight w:val="none"/>
              </w:rPr>
              <w:t>评价标准</w:t>
            </w:r>
          </w:p>
        </w:tc>
        <w:tc>
          <w:tcPr>
            <w:tcW w:w="325"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DB7D4C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b/>
                <w:bCs/>
                <w:sz w:val="21"/>
                <w:szCs w:val="21"/>
                <w:highlight w:val="none"/>
                <w:lang w:val="en-US" w:eastAsia="zh-CN"/>
              </w:rPr>
            </w:pPr>
            <w:r>
              <w:rPr>
                <w:rFonts w:hint="eastAsia"/>
                <w:b/>
                <w:bCs/>
                <w:sz w:val="21"/>
                <w:szCs w:val="21"/>
                <w:highlight w:val="none"/>
                <w:lang w:val="en-US" w:eastAsia="zh-CN"/>
              </w:rPr>
              <w:t>6.5~8.5</w:t>
            </w:r>
          </w:p>
        </w:tc>
        <w:tc>
          <w:tcPr>
            <w:tcW w:w="36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B73051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b/>
                <w:bCs/>
                <w:sz w:val="21"/>
                <w:szCs w:val="21"/>
                <w:highlight w:val="none"/>
                <w:lang w:val="en-US" w:eastAsia="zh-CN"/>
              </w:rPr>
            </w:pPr>
            <w:r>
              <w:rPr>
                <w:rFonts w:hint="eastAsia"/>
                <w:b/>
                <w:bCs/>
                <w:sz w:val="21"/>
                <w:szCs w:val="21"/>
                <w:highlight w:val="none"/>
                <w:lang w:val="en-US" w:eastAsia="zh-CN"/>
              </w:rPr>
              <w:t>0.5</w:t>
            </w:r>
          </w:p>
        </w:tc>
        <w:tc>
          <w:tcPr>
            <w:tcW w:w="36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082594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b/>
                <w:bCs/>
                <w:sz w:val="21"/>
                <w:szCs w:val="21"/>
                <w:highlight w:val="none"/>
                <w:lang w:val="en-US" w:eastAsia="zh-CN"/>
              </w:rPr>
            </w:pPr>
            <w:r>
              <w:rPr>
                <w:rFonts w:hint="eastAsia"/>
                <w:b/>
                <w:bCs/>
                <w:sz w:val="21"/>
                <w:szCs w:val="21"/>
                <w:highlight w:val="none"/>
                <w:lang w:val="en-US" w:eastAsia="zh-CN"/>
              </w:rPr>
              <w:t>20.0</w:t>
            </w:r>
          </w:p>
        </w:tc>
        <w:tc>
          <w:tcPr>
            <w:tcW w:w="36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EBD2AA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b/>
                <w:bCs/>
                <w:sz w:val="21"/>
                <w:szCs w:val="21"/>
                <w:highlight w:val="none"/>
                <w:lang w:val="en-US" w:eastAsia="zh-CN"/>
              </w:rPr>
            </w:pPr>
            <w:r>
              <w:rPr>
                <w:rFonts w:hint="eastAsia"/>
                <w:b/>
                <w:bCs/>
                <w:sz w:val="21"/>
                <w:szCs w:val="21"/>
                <w:highlight w:val="none"/>
                <w:lang w:val="en-US" w:eastAsia="zh-CN"/>
              </w:rPr>
              <w:t>1.0</w:t>
            </w:r>
          </w:p>
        </w:tc>
        <w:tc>
          <w:tcPr>
            <w:tcW w:w="36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121803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b/>
                <w:bCs/>
                <w:sz w:val="21"/>
                <w:szCs w:val="21"/>
                <w:highlight w:val="none"/>
                <w:lang w:val="en-US" w:eastAsia="zh-CN"/>
              </w:rPr>
            </w:pPr>
            <w:r>
              <w:rPr>
                <w:rFonts w:hint="eastAsia"/>
                <w:b/>
                <w:bCs/>
                <w:sz w:val="21"/>
                <w:szCs w:val="21"/>
                <w:highlight w:val="none"/>
                <w:lang w:val="en-US" w:eastAsia="zh-CN"/>
              </w:rPr>
              <w:t>0.002</w:t>
            </w:r>
          </w:p>
        </w:tc>
        <w:tc>
          <w:tcPr>
            <w:tcW w:w="36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F36A3D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b/>
                <w:bCs/>
                <w:sz w:val="21"/>
                <w:szCs w:val="21"/>
                <w:highlight w:val="none"/>
                <w:lang w:val="en-US" w:eastAsia="zh-CN"/>
              </w:rPr>
            </w:pPr>
            <w:r>
              <w:rPr>
                <w:rFonts w:hint="eastAsia"/>
                <w:b/>
                <w:bCs/>
                <w:sz w:val="21"/>
                <w:szCs w:val="21"/>
                <w:highlight w:val="none"/>
                <w:lang w:val="en-US" w:eastAsia="zh-CN"/>
              </w:rPr>
              <w:t>0.05</w:t>
            </w:r>
          </w:p>
        </w:tc>
        <w:tc>
          <w:tcPr>
            <w:tcW w:w="36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B49FF1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b/>
                <w:bCs/>
                <w:sz w:val="21"/>
                <w:szCs w:val="21"/>
                <w:highlight w:val="none"/>
                <w:lang w:val="en-US" w:eastAsia="zh-CN"/>
              </w:rPr>
            </w:pPr>
            <w:r>
              <w:rPr>
                <w:rFonts w:hint="eastAsia"/>
                <w:b/>
                <w:bCs/>
                <w:sz w:val="21"/>
                <w:szCs w:val="21"/>
                <w:highlight w:val="none"/>
                <w:lang w:val="en-US" w:eastAsia="zh-CN"/>
              </w:rPr>
              <w:t>0.01</w:t>
            </w:r>
          </w:p>
        </w:tc>
        <w:tc>
          <w:tcPr>
            <w:tcW w:w="36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27944C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b/>
                <w:bCs/>
                <w:sz w:val="21"/>
                <w:szCs w:val="21"/>
                <w:highlight w:val="none"/>
                <w:lang w:val="en-US" w:eastAsia="zh-CN"/>
              </w:rPr>
            </w:pPr>
            <w:r>
              <w:rPr>
                <w:rFonts w:hint="eastAsia"/>
                <w:b/>
                <w:bCs/>
                <w:sz w:val="21"/>
                <w:szCs w:val="21"/>
                <w:highlight w:val="none"/>
                <w:lang w:val="en-US" w:eastAsia="zh-CN"/>
              </w:rPr>
              <w:t>0.001</w:t>
            </w:r>
          </w:p>
        </w:tc>
        <w:tc>
          <w:tcPr>
            <w:tcW w:w="36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F4EBBD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b/>
                <w:bCs/>
                <w:sz w:val="21"/>
                <w:szCs w:val="21"/>
                <w:highlight w:val="none"/>
                <w:lang w:val="en-US" w:eastAsia="zh-CN"/>
              </w:rPr>
            </w:pPr>
            <w:r>
              <w:rPr>
                <w:rFonts w:hint="eastAsia"/>
                <w:b/>
                <w:bCs/>
                <w:sz w:val="21"/>
                <w:szCs w:val="21"/>
                <w:highlight w:val="none"/>
                <w:lang w:val="en-US" w:eastAsia="zh-CN"/>
              </w:rPr>
              <w:t>/</w:t>
            </w:r>
          </w:p>
        </w:tc>
        <w:tc>
          <w:tcPr>
            <w:tcW w:w="36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8989A7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b/>
                <w:bCs/>
                <w:sz w:val="21"/>
                <w:szCs w:val="21"/>
                <w:highlight w:val="none"/>
                <w:lang w:val="en-US" w:eastAsia="zh-CN"/>
              </w:rPr>
            </w:pPr>
            <w:r>
              <w:rPr>
                <w:rFonts w:hint="eastAsia" w:eastAsia="宋体"/>
                <w:b/>
                <w:bCs/>
                <w:sz w:val="21"/>
                <w:szCs w:val="21"/>
                <w:highlight w:val="none"/>
                <w:lang w:val="en-US" w:eastAsia="zh-CN"/>
              </w:rPr>
              <w:t>0.05</w:t>
            </w:r>
          </w:p>
        </w:tc>
        <w:tc>
          <w:tcPr>
            <w:tcW w:w="36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D5B30B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b/>
                <w:bCs/>
                <w:sz w:val="21"/>
                <w:szCs w:val="21"/>
                <w:highlight w:val="none"/>
                <w:lang w:val="en-US" w:eastAsia="zh-CN"/>
              </w:rPr>
            </w:pPr>
            <w:r>
              <w:rPr>
                <w:rFonts w:hint="eastAsia" w:eastAsia="宋体"/>
                <w:b/>
                <w:bCs/>
                <w:sz w:val="21"/>
                <w:szCs w:val="21"/>
                <w:highlight w:val="none"/>
                <w:lang w:val="en-US" w:eastAsia="zh-CN"/>
              </w:rPr>
              <w:t>450</w:t>
            </w:r>
          </w:p>
        </w:tc>
        <w:tc>
          <w:tcPr>
            <w:tcW w:w="369" w:type="pct"/>
            <w:tcBorders>
              <w:top w:val="single" w:color="000000" w:sz="4" w:space="0"/>
              <w:left w:val="single" w:color="000000" w:sz="4" w:space="0"/>
              <w:bottom w:val="single" w:color="000000" w:sz="4" w:space="0"/>
            </w:tcBorders>
            <w:shd w:val="clear" w:color="auto" w:fill="auto"/>
            <w:noWrap w:val="0"/>
            <w:vAlign w:val="center"/>
          </w:tcPr>
          <w:p w14:paraId="668D262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b/>
                <w:bCs/>
                <w:sz w:val="21"/>
                <w:szCs w:val="21"/>
                <w:highlight w:val="none"/>
                <w:lang w:val="en-US" w:eastAsia="zh-CN"/>
              </w:rPr>
            </w:pPr>
            <w:r>
              <w:rPr>
                <w:rFonts w:hint="eastAsia"/>
                <w:b/>
                <w:bCs/>
                <w:sz w:val="21"/>
                <w:szCs w:val="21"/>
                <w:highlight w:val="none"/>
                <w:lang w:val="en-US" w:eastAsia="zh-CN"/>
              </w:rPr>
              <w:t>0.01</w:t>
            </w:r>
          </w:p>
        </w:tc>
      </w:tr>
      <w:tr w14:paraId="0E7B718F">
        <w:tblPrEx>
          <w:tblBorders>
            <w:top w:val="single" w:color="auto" w:sz="12" w:space="0"/>
            <w:left w:val="single" w:color="auto" w:sz="12" w:space="0"/>
            <w:bottom w:val="single" w:color="auto" w:sz="12" w:space="0"/>
            <w:right w:val="single" w:color="auto" w:sz="12" w:space="0"/>
            <w:insideH w:val="none" w:color="auto" w:sz="4" w:space="0"/>
            <w:insideV w:val="none" w:color="auto" w:sz="4" w:space="0"/>
          </w:tblBorders>
          <w:tblCellMar>
            <w:top w:w="0" w:type="dxa"/>
            <w:left w:w="108" w:type="dxa"/>
            <w:bottom w:w="0" w:type="dxa"/>
            <w:right w:w="108" w:type="dxa"/>
          </w:tblCellMar>
        </w:tblPrEx>
        <w:trPr>
          <w:trHeight w:val="90" w:hRule="atLeast"/>
          <w:jc w:val="center"/>
        </w:trPr>
        <w:tc>
          <w:tcPr>
            <w:tcW w:w="5000" w:type="pct"/>
            <w:gridSpan w:val="14"/>
            <w:tcBorders>
              <w:top w:val="single" w:color="000000" w:sz="4" w:space="0"/>
            </w:tcBorders>
            <w:shd w:val="clear" w:color="auto" w:fill="auto"/>
            <w:noWrap w:val="0"/>
            <w:vAlign w:val="center"/>
          </w:tcPr>
          <w:p w14:paraId="4C167682">
            <w:pPr>
              <w:keepNext w:val="0"/>
              <w:keepLines w:val="0"/>
              <w:pageBreakBefore w:val="0"/>
              <w:widowControl w:val="0"/>
              <w:kinsoku/>
              <w:wordWrap/>
              <w:overflowPunct/>
              <w:topLinePunct w:val="0"/>
              <w:autoSpaceDE/>
              <w:autoSpaceDN/>
              <w:bidi w:val="0"/>
              <w:adjustRightInd/>
              <w:snapToGrid/>
              <w:spacing w:line="360" w:lineRule="auto"/>
              <w:ind w:firstLine="0" w:firstLineChars="0"/>
              <w:jc w:val="both"/>
              <w:textAlignment w:val="auto"/>
              <w:rPr>
                <w:rFonts w:hint="default"/>
                <w:b/>
                <w:bCs/>
                <w:sz w:val="21"/>
                <w:szCs w:val="21"/>
                <w:highlight w:val="none"/>
              </w:rPr>
            </w:pPr>
            <w:r>
              <w:rPr>
                <w:rFonts w:hint="default" w:ascii="Times New Roman" w:hAnsi="Times New Roman" w:eastAsia="宋体" w:cs="Times New Roman"/>
                <w:b/>
                <w:bCs/>
                <w:sz w:val="21"/>
                <w:szCs w:val="21"/>
                <w:highlight w:val="none"/>
                <w:u w:val="none"/>
                <w:lang w:val="en-US" w:eastAsia="zh-CN"/>
              </w:rPr>
              <w:t>注：</w:t>
            </w:r>
            <w:r>
              <w:rPr>
                <w:rFonts w:hint="eastAsia" w:ascii="宋体" w:hAnsi="宋体" w:eastAsia="宋体" w:cs="宋体"/>
                <w:b/>
                <w:bCs/>
                <w:sz w:val="21"/>
                <w:szCs w:val="21"/>
                <w:highlight w:val="none"/>
                <w:u w:val="none"/>
                <w:lang w:val="en-US" w:eastAsia="zh-CN"/>
              </w:rPr>
              <w:t>“</w:t>
            </w:r>
            <w:r>
              <w:rPr>
                <w:rFonts w:hint="default" w:ascii="Times New Roman" w:hAnsi="Times New Roman" w:eastAsia="宋体" w:cs="Times New Roman"/>
                <w:b/>
                <w:bCs/>
                <w:sz w:val="21"/>
                <w:szCs w:val="21"/>
                <w:highlight w:val="none"/>
                <w:u w:val="none"/>
                <w:lang w:val="en-US" w:eastAsia="zh-CN"/>
              </w:rPr>
              <w:t>检出限+L</w:t>
            </w:r>
            <w:r>
              <w:rPr>
                <w:rFonts w:hint="eastAsia" w:ascii="宋体" w:hAnsi="宋体" w:eastAsia="宋体" w:cs="宋体"/>
                <w:b/>
                <w:bCs/>
                <w:sz w:val="21"/>
                <w:szCs w:val="21"/>
                <w:highlight w:val="none"/>
                <w:u w:val="none"/>
                <w:lang w:val="en-US" w:eastAsia="zh-CN"/>
              </w:rPr>
              <w:t>”</w:t>
            </w:r>
            <w:r>
              <w:rPr>
                <w:rFonts w:hint="default" w:ascii="Times New Roman" w:hAnsi="Times New Roman" w:eastAsia="宋体" w:cs="Times New Roman"/>
                <w:b/>
                <w:bCs/>
                <w:sz w:val="21"/>
                <w:szCs w:val="21"/>
                <w:highlight w:val="none"/>
                <w:u w:val="none"/>
                <w:lang w:val="en-US" w:eastAsia="zh-CN"/>
              </w:rPr>
              <w:t>表示检测结果低于检出限。</w:t>
            </w:r>
          </w:p>
        </w:tc>
      </w:tr>
    </w:tbl>
    <w:p w14:paraId="3F70BAFE">
      <w:pPr>
        <w:bidi w:val="0"/>
        <w:ind w:left="0" w:leftChars="0" w:firstLine="0" w:firstLineChars="0"/>
        <w:rPr>
          <w:rFonts w:hint="eastAsia"/>
          <w:highlight w:val="yellow"/>
          <w:lang w:val="en-US" w:eastAsia="zh-CN"/>
        </w:rPr>
      </w:pPr>
    </w:p>
    <w:p w14:paraId="17520B10">
      <w:pPr>
        <w:bidi w:val="0"/>
        <w:ind w:left="0" w:leftChars="0" w:firstLine="0" w:firstLineChars="0"/>
        <w:jc w:val="center"/>
        <w:rPr>
          <w:rFonts w:hint="eastAsia"/>
          <w:b/>
          <w:bCs/>
          <w:sz w:val="21"/>
          <w:szCs w:val="21"/>
          <w:lang w:val="en-US" w:eastAsia="zh-CN"/>
        </w:rPr>
      </w:pPr>
      <w:r>
        <w:rPr>
          <w:rFonts w:hint="eastAsia"/>
          <w:b/>
          <w:bCs/>
          <w:sz w:val="21"/>
          <w:szCs w:val="21"/>
          <w:lang w:val="en-US" w:eastAsia="zh-CN"/>
        </w:rPr>
        <w:t>续表4.2-8  地下水监测结果一览表    单位：mg/L（pH为无量纲）</w:t>
      </w:r>
    </w:p>
    <w:tbl>
      <w:tblPr>
        <w:tblStyle w:val="35"/>
        <w:tblW w:w="4994" w:type="pct"/>
        <w:jc w:val="center"/>
        <w:tblBorders>
          <w:top w:val="single" w:color="auto" w:sz="12" w:space="0"/>
          <w:left w:val="single" w:color="auto" w:sz="12" w:space="0"/>
          <w:bottom w:val="single" w:color="auto" w:sz="12" w:space="0"/>
          <w:right w:val="single" w:color="auto" w:sz="12" w:space="0"/>
          <w:insideH w:val="none" w:color="auto" w:sz="4" w:space="0"/>
          <w:insideV w:val="none" w:color="auto" w:sz="4" w:space="0"/>
        </w:tblBorders>
        <w:shd w:val="clear" w:color="auto" w:fill="auto"/>
        <w:tblLayout w:type="fixed"/>
        <w:tblCellMar>
          <w:top w:w="0" w:type="dxa"/>
          <w:left w:w="108" w:type="dxa"/>
          <w:bottom w:w="0" w:type="dxa"/>
          <w:right w:w="108" w:type="dxa"/>
        </w:tblCellMar>
      </w:tblPr>
      <w:tblGrid>
        <w:gridCol w:w="685"/>
        <w:gridCol w:w="1104"/>
        <w:gridCol w:w="926"/>
        <w:gridCol w:w="1044"/>
        <w:gridCol w:w="1044"/>
        <w:gridCol w:w="1044"/>
        <w:gridCol w:w="1044"/>
        <w:gridCol w:w="1044"/>
        <w:gridCol w:w="1044"/>
        <w:gridCol w:w="1044"/>
        <w:gridCol w:w="1044"/>
        <w:gridCol w:w="1044"/>
        <w:gridCol w:w="1044"/>
        <w:gridCol w:w="1050"/>
      </w:tblGrid>
      <w:tr w14:paraId="2BEEAC5A">
        <w:tblPrEx>
          <w:tblBorders>
            <w:top w:val="single" w:color="auto" w:sz="12" w:space="0"/>
            <w:left w:val="single" w:color="auto" w:sz="12" w:space="0"/>
            <w:bottom w:val="single" w:color="auto" w:sz="12" w:space="0"/>
            <w:right w:val="single" w:color="auto" w:sz="12" w:space="0"/>
            <w:insideH w:val="none" w:color="auto" w:sz="4" w:space="0"/>
            <w:insideV w:val="none" w:color="auto" w:sz="4" w:space="0"/>
          </w:tblBorders>
          <w:tblCellMar>
            <w:top w:w="0" w:type="dxa"/>
            <w:left w:w="108" w:type="dxa"/>
            <w:bottom w:w="0" w:type="dxa"/>
            <w:right w:w="108" w:type="dxa"/>
          </w:tblCellMar>
        </w:tblPrEx>
        <w:trPr>
          <w:trHeight w:val="23" w:hRule="atLeast"/>
          <w:jc w:val="center"/>
        </w:trPr>
        <w:tc>
          <w:tcPr>
            <w:tcW w:w="241" w:type="pct"/>
            <w:tcBorders>
              <w:bottom w:val="single" w:color="000000" w:sz="4" w:space="0"/>
              <w:right w:val="single" w:color="000000" w:sz="4" w:space="0"/>
            </w:tcBorders>
            <w:shd w:val="clear" w:color="auto" w:fill="auto"/>
            <w:noWrap w:val="0"/>
            <w:vAlign w:val="center"/>
          </w:tcPr>
          <w:p w14:paraId="4864B89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b/>
                <w:bCs/>
                <w:sz w:val="21"/>
                <w:szCs w:val="21"/>
                <w:highlight w:val="none"/>
                <w:lang w:val="en-US" w:eastAsia="zh-CN"/>
              </w:rPr>
            </w:pPr>
            <w:r>
              <w:rPr>
                <w:rFonts w:hint="eastAsia"/>
                <w:b/>
                <w:bCs/>
                <w:sz w:val="21"/>
                <w:szCs w:val="21"/>
                <w:highlight w:val="none"/>
                <w:lang w:val="en-US" w:eastAsia="zh-CN"/>
              </w:rPr>
              <w:t>监测点位</w:t>
            </w:r>
          </w:p>
        </w:tc>
        <w:tc>
          <w:tcPr>
            <w:tcW w:w="388" w:type="pct"/>
            <w:tcBorders>
              <w:left w:val="single" w:color="000000" w:sz="4" w:space="0"/>
              <w:bottom w:val="single" w:color="000000" w:sz="4" w:space="0"/>
              <w:right w:val="single" w:color="000000" w:sz="4" w:space="0"/>
            </w:tcBorders>
            <w:shd w:val="clear" w:color="auto" w:fill="auto"/>
            <w:noWrap w:val="0"/>
            <w:vAlign w:val="center"/>
          </w:tcPr>
          <w:p w14:paraId="0216319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bCs/>
                <w:sz w:val="21"/>
                <w:szCs w:val="21"/>
                <w:highlight w:val="none"/>
              </w:rPr>
            </w:pPr>
            <w:r>
              <w:rPr>
                <w:rFonts w:hint="default"/>
                <w:b/>
                <w:bCs/>
                <w:sz w:val="21"/>
                <w:szCs w:val="21"/>
                <w:highlight w:val="none"/>
              </w:rPr>
              <w:t>监测项目</w:t>
            </w:r>
          </w:p>
        </w:tc>
        <w:tc>
          <w:tcPr>
            <w:tcW w:w="325" w:type="pct"/>
            <w:tcBorders>
              <w:left w:val="single" w:color="000000" w:sz="4" w:space="0"/>
              <w:bottom w:val="single" w:color="000000" w:sz="4" w:space="0"/>
              <w:right w:val="single" w:color="000000" w:sz="4" w:space="0"/>
            </w:tcBorders>
            <w:shd w:val="clear" w:color="auto" w:fill="auto"/>
            <w:noWrap w:val="0"/>
            <w:vAlign w:val="center"/>
          </w:tcPr>
          <w:p w14:paraId="1D3883F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bCs/>
                <w:sz w:val="21"/>
                <w:szCs w:val="21"/>
                <w:highlight w:val="none"/>
              </w:rPr>
            </w:pPr>
            <w:r>
              <w:rPr>
                <w:rFonts w:hint="default"/>
                <w:b/>
                <w:bCs/>
                <w:sz w:val="21"/>
                <w:szCs w:val="21"/>
                <w:highlight w:val="none"/>
                <w:lang w:val="en-US" w:eastAsia="zh-CN"/>
              </w:rPr>
              <w:t>氟化物</w:t>
            </w:r>
          </w:p>
        </w:tc>
        <w:tc>
          <w:tcPr>
            <w:tcW w:w="367" w:type="pct"/>
            <w:tcBorders>
              <w:left w:val="single" w:color="000000" w:sz="4" w:space="0"/>
              <w:bottom w:val="single" w:color="000000" w:sz="4" w:space="0"/>
              <w:right w:val="single" w:color="000000" w:sz="4" w:space="0"/>
            </w:tcBorders>
            <w:shd w:val="clear" w:color="auto" w:fill="auto"/>
            <w:noWrap w:val="0"/>
            <w:vAlign w:val="center"/>
          </w:tcPr>
          <w:p w14:paraId="30C00B6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bCs/>
                <w:sz w:val="21"/>
                <w:szCs w:val="21"/>
                <w:highlight w:val="none"/>
              </w:rPr>
            </w:pPr>
            <w:r>
              <w:rPr>
                <w:rFonts w:hint="default"/>
                <w:b/>
                <w:bCs/>
                <w:sz w:val="21"/>
                <w:szCs w:val="21"/>
                <w:highlight w:val="none"/>
                <w:lang w:val="en-US" w:eastAsia="zh-CN"/>
              </w:rPr>
              <w:t>镉</w:t>
            </w:r>
          </w:p>
        </w:tc>
        <w:tc>
          <w:tcPr>
            <w:tcW w:w="367" w:type="pct"/>
            <w:tcBorders>
              <w:left w:val="single" w:color="000000" w:sz="4" w:space="0"/>
              <w:bottom w:val="single" w:color="000000" w:sz="4" w:space="0"/>
              <w:right w:val="single" w:color="000000" w:sz="4" w:space="0"/>
            </w:tcBorders>
            <w:shd w:val="clear" w:color="auto" w:fill="auto"/>
            <w:noWrap w:val="0"/>
            <w:vAlign w:val="center"/>
          </w:tcPr>
          <w:p w14:paraId="55CCFF8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b/>
                <w:bCs/>
                <w:sz w:val="21"/>
                <w:szCs w:val="21"/>
                <w:highlight w:val="none"/>
                <w:lang w:val="en-US" w:eastAsia="zh-CN"/>
              </w:rPr>
            </w:pPr>
            <w:r>
              <w:rPr>
                <w:rFonts w:hint="eastAsia"/>
                <w:b/>
                <w:bCs/>
                <w:sz w:val="21"/>
                <w:szCs w:val="21"/>
                <w:highlight w:val="none"/>
                <w:lang w:val="en-US" w:eastAsia="zh-CN"/>
              </w:rPr>
              <w:t>铁</w:t>
            </w:r>
          </w:p>
        </w:tc>
        <w:tc>
          <w:tcPr>
            <w:tcW w:w="367" w:type="pct"/>
            <w:tcBorders>
              <w:left w:val="single" w:color="000000" w:sz="4" w:space="0"/>
              <w:bottom w:val="single" w:color="000000" w:sz="4" w:space="0"/>
              <w:right w:val="single" w:color="000000" w:sz="4" w:space="0"/>
            </w:tcBorders>
            <w:shd w:val="clear" w:color="auto" w:fill="auto"/>
            <w:noWrap w:val="0"/>
            <w:vAlign w:val="center"/>
          </w:tcPr>
          <w:p w14:paraId="71205A6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b/>
                <w:bCs/>
                <w:sz w:val="21"/>
                <w:szCs w:val="21"/>
                <w:highlight w:val="none"/>
                <w:lang w:val="en-US" w:eastAsia="zh-CN"/>
              </w:rPr>
            </w:pPr>
            <w:r>
              <w:rPr>
                <w:rFonts w:hint="eastAsia"/>
                <w:b/>
                <w:bCs/>
                <w:sz w:val="21"/>
                <w:szCs w:val="21"/>
                <w:highlight w:val="none"/>
                <w:lang w:val="en-US" w:eastAsia="zh-CN"/>
              </w:rPr>
              <w:t>锰</w:t>
            </w:r>
          </w:p>
        </w:tc>
        <w:tc>
          <w:tcPr>
            <w:tcW w:w="367" w:type="pct"/>
            <w:tcBorders>
              <w:left w:val="single" w:color="000000" w:sz="4" w:space="0"/>
              <w:bottom w:val="single" w:color="000000" w:sz="4" w:space="0"/>
              <w:right w:val="single" w:color="000000" w:sz="4" w:space="0"/>
            </w:tcBorders>
            <w:shd w:val="clear" w:color="auto" w:fill="auto"/>
            <w:noWrap w:val="0"/>
            <w:vAlign w:val="center"/>
          </w:tcPr>
          <w:p w14:paraId="743E2E0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b/>
                <w:bCs/>
                <w:sz w:val="21"/>
                <w:szCs w:val="21"/>
                <w:highlight w:val="none"/>
                <w:lang w:val="en-US" w:eastAsia="zh-CN"/>
              </w:rPr>
            </w:pPr>
            <w:r>
              <w:rPr>
                <w:rFonts w:hint="eastAsia"/>
                <w:b/>
                <w:bCs/>
                <w:sz w:val="21"/>
                <w:szCs w:val="21"/>
                <w:highlight w:val="none"/>
                <w:lang w:val="en-US" w:eastAsia="zh-CN"/>
              </w:rPr>
              <w:t>镍</w:t>
            </w:r>
          </w:p>
        </w:tc>
        <w:tc>
          <w:tcPr>
            <w:tcW w:w="367" w:type="pct"/>
            <w:tcBorders>
              <w:left w:val="single" w:color="000000" w:sz="4" w:space="0"/>
              <w:bottom w:val="single" w:color="000000" w:sz="4" w:space="0"/>
              <w:right w:val="single" w:color="000000" w:sz="4" w:space="0"/>
            </w:tcBorders>
            <w:shd w:val="clear" w:color="auto" w:fill="auto"/>
            <w:noWrap/>
            <w:vAlign w:val="center"/>
          </w:tcPr>
          <w:p w14:paraId="296B074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b/>
                <w:bCs/>
                <w:sz w:val="21"/>
                <w:szCs w:val="21"/>
                <w:highlight w:val="none"/>
                <w:lang w:val="en-US" w:eastAsia="zh-CN"/>
              </w:rPr>
            </w:pPr>
            <w:r>
              <w:rPr>
                <w:rFonts w:hint="eastAsia"/>
                <w:b/>
                <w:bCs/>
                <w:sz w:val="21"/>
                <w:szCs w:val="21"/>
                <w:highlight w:val="none"/>
                <w:lang w:val="en-US" w:eastAsia="zh-CN"/>
              </w:rPr>
              <w:t>铜</w:t>
            </w:r>
          </w:p>
        </w:tc>
        <w:tc>
          <w:tcPr>
            <w:tcW w:w="367" w:type="pct"/>
            <w:tcBorders>
              <w:left w:val="single" w:color="000000" w:sz="4" w:space="0"/>
              <w:bottom w:val="single" w:color="000000" w:sz="4" w:space="0"/>
              <w:right w:val="single" w:color="000000" w:sz="4" w:space="0"/>
            </w:tcBorders>
            <w:shd w:val="clear" w:color="auto" w:fill="auto"/>
            <w:noWrap/>
            <w:vAlign w:val="center"/>
          </w:tcPr>
          <w:p w14:paraId="2804678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b/>
                <w:bCs/>
                <w:sz w:val="21"/>
                <w:szCs w:val="21"/>
                <w:highlight w:val="none"/>
                <w:lang w:val="en-US" w:eastAsia="zh-CN"/>
              </w:rPr>
            </w:pPr>
            <w:r>
              <w:rPr>
                <w:rFonts w:hint="eastAsia"/>
                <w:b/>
                <w:bCs/>
                <w:sz w:val="21"/>
                <w:szCs w:val="21"/>
                <w:highlight w:val="none"/>
                <w:lang w:val="en-US" w:eastAsia="zh-CN"/>
              </w:rPr>
              <w:t>锌</w:t>
            </w:r>
          </w:p>
        </w:tc>
        <w:tc>
          <w:tcPr>
            <w:tcW w:w="367" w:type="pct"/>
            <w:tcBorders>
              <w:left w:val="single" w:color="000000" w:sz="4" w:space="0"/>
              <w:bottom w:val="single" w:color="000000" w:sz="4" w:space="0"/>
              <w:right w:val="single" w:color="000000" w:sz="4" w:space="0"/>
            </w:tcBorders>
            <w:shd w:val="clear" w:color="auto" w:fill="auto"/>
            <w:noWrap/>
            <w:vAlign w:val="center"/>
          </w:tcPr>
          <w:p w14:paraId="13969C3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b/>
                <w:bCs/>
                <w:sz w:val="21"/>
                <w:szCs w:val="21"/>
                <w:highlight w:val="none"/>
                <w:lang w:val="en-US" w:eastAsia="zh-CN"/>
              </w:rPr>
            </w:pPr>
            <w:r>
              <w:rPr>
                <w:rFonts w:hint="eastAsia"/>
                <w:b/>
                <w:bCs/>
                <w:sz w:val="21"/>
                <w:szCs w:val="21"/>
                <w:highlight w:val="none"/>
                <w:lang w:val="en-US" w:eastAsia="zh-CN"/>
              </w:rPr>
              <w:t>溶解性总固体</w:t>
            </w:r>
          </w:p>
        </w:tc>
        <w:tc>
          <w:tcPr>
            <w:tcW w:w="367" w:type="pct"/>
            <w:tcBorders>
              <w:left w:val="single" w:color="000000" w:sz="4" w:space="0"/>
              <w:bottom w:val="single" w:color="000000" w:sz="4" w:space="0"/>
              <w:right w:val="single" w:color="000000" w:sz="4" w:space="0"/>
            </w:tcBorders>
            <w:shd w:val="clear" w:color="auto" w:fill="auto"/>
            <w:noWrap/>
            <w:vAlign w:val="center"/>
          </w:tcPr>
          <w:p w14:paraId="6DE36DC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b/>
                <w:bCs/>
                <w:sz w:val="21"/>
                <w:szCs w:val="21"/>
                <w:highlight w:val="none"/>
                <w:lang w:val="en-US" w:eastAsia="zh-CN"/>
              </w:rPr>
            </w:pPr>
            <w:r>
              <w:rPr>
                <w:rFonts w:hint="eastAsia"/>
                <w:b/>
                <w:bCs/>
                <w:sz w:val="21"/>
                <w:szCs w:val="21"/>
                <w:highlight w:val="none"/>
                <w:lang w:val="en-US" w:eastAsia="zh-CN"/>
              </w:rPr>
              <w:t>高锰酸盐指数</w:t>
            </w:r>
          </w:p>
        </w:tc>
        <w:tc>
          <w:tcPr>
            <w:tcW w:w="367" w:type="pct"/>
            <w:tcBorders>
              <w:left w:val="single" w:color="000000" w:sz="4" w:space="0"/>
              <w:bottom w:val="single" w:color="000000" w:sz="4" w:space="0"/>
              <w:right w:val="single" w:color="000000" w:sz="4" w:space="0"/>
            </w:tcBorders>
            <w:shd w:val="clear" w:color="auto" w:fill="auto"/>
            <w:noWrap/>
            <w:vAlign w:val="center"/>
          </w:tcPr>
          <w:p w14:paraId="0E2F332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b/>
                <w:bCs/>
                <w:sz w:val="21"/>
                <w:szCs w:val="21"/>
                <w:highlight w:val="none"/>
                <w:lang w:val="en-US" w:eastAsia="zh-CN"/>
              </w:rPr>
            </w:pPr>
            <w:r>
              <w:rPr>
                <w:rFonts w:hint="eastAsia" w:eastAsia="宋体"/>
                <w:b/>
                <w:bCs/>
                <w:sz w:val="21"/>
                <w:szCs w:val="21"/>
                <w:highlight w:val="none"/>
                <w:lang w:val="en-US" w:eastAsia="zh-CN"/>
              </w:rPr>
              <w:t>硫酸盐</w:t>
            </w:r>
          </w:p>
        </w:tc>
        <w:tc>
          <w:tcPr>
            <w:tcW w:w="367" w:type="pct"/>
            <w:tcBorders>
              <w:left w:val="single" w:color="000000" w:sz="4" w:space="0"/>
              <w:bottom w:val="single" w:color="000000" w:sz="4" w:space="0"/>
              <w:right w:val="single" w:color="000000" w:sz="4" w:space="0"/>
            </w:tcBorders>
            <w:shd w:val="clear" w:color="auto" w:fill="auto"/>
            <w:noWrap/>
            <w:vAlign w:val="center"/>
          </w:tcPr>
          <w:p w14:paraId="768FEA8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b/>
                <w:bCs/>
                <w:sz w:val="21"/>
                <w:szCs w:val="21"/>
                <w:highlight w:val="none"/>
                <w:lang w:val="en-US" w:eastAsia="zh-CN"/>
              </w:rPr>
            </w:pPr>
            <w:r>
              <w:rPr>
                <w:rFonts w:hint="eastAsia" w:eastAsia="宋体"/>
                <w:b/>
                <w:bCs/>
                <w:sz w:val="21"/>
                <w:szCs w:val="21"/>
                <w:highlight w:val="none"/>
                <w:lang w:val="en-US" w:eastAsia="zh-CN"/>
              </w:rPr>
              <w:t>氯化物</w:t>
            </w:r>
          </w:p>
        </w:tc>
        <w:tc>
          <w:tcPr>
            <w:tcW w:w="369" w:type="pct"/>
            <w:tcBorders>
              <w:left w:val="single" w:color="000000" w:sz="4" w:space="0"/>
              <w:bottom w:val="single" w:color="000000" w:sz="4" w:space="0"/>
            </w:tcBorders>
            <w:shd w:val="clear" w:color="auto" w:fill="auto"/>
            <w:noWrap/>
            <w:vAlign w:val="center"/>
          </w:tcPr>
          <w:p w14:paraId="54D9C7D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b/>
                <w:bCs/>
                <w:sz w:val="21"/>
                <w:szCs w:val="21"/>
                <w:highlight w:val="none"/>
                <w:lang w:val="en-US" w:eastAsia="zh-CN"/>
              </w:rPr>
            </w:pPr>
            <w:r>
              <w:rPr>
                <w:rFonts w:hint="eastAsia"/>
                <w:b/>
                <w:bCs/>
                <w:sz w:val="21"/>
                <w:szCs w:val="21"/>
                <w:highlight w:val="none"/>
                <w:lang w:val="en-US" w:eastAsia="zh-CN"/>
              </w:rPr>
              <w:t>总大肠菌群</w:t>
            </w:r>
          </w:p>
        </w:tc>
      </w:tr>
      <w:tr w14:paraId="7EEFCD29">
        <w:tblPrEx>
          <w:tblBorders>
            <w:top w:val="single" w:color="auto" w:sz="12" w:space="0"/>
            <w:left w:val="single" w:color="auto" w:sz="12" w:space="0"/>
            <w:bottom w:val="single" w:color="auto" w:sz="12" w:space="0"/>
            <w:right w:val="single" w:color="auto" w:sz="12" w:space="0"/>
            <w:insideH w:val="none" w:color="auto" w:sz="4" w:space="0"/>
            <w:insideV w:val="none" w:color="auto" w:sz="4" w:space="0"/>
          </w:tblBorders>
          <w:shd w:val="clear" w:color="auto" w:fill="auto"/>
          <w:tblCellMar>
            <w:top w:w="0" w:type="dxa"/>
            <w:left w:w="108" w:type="dxa"/>
            <w:bottom w:w="0" w:type="dxa"/>
            <w:right w:w="108" w:type="dxa"/>
          </w:tblCellMar>
        </w:tblPrEx>
        <w:trPr>
          <w:trHeight w:val="90" w:hRule="atLeast"/>
          <w:jc w:val="center"/>
        </w:trPr>
        <w:tc>
          <w:tcPr>
            <w:tcW w:w="241" w:type="pct"/>
            <w:vMerge w:val="restart"/>
            <w:tcBorders>
              <w:top w:val="single" w:color="000000" w:sz="4" w:space="0"/>
              <w:bottom w:val="single" w:color="000000" w:sz="4" w:space="0"/>
              <w:right w:val="single" w:color="000000" w:sz="4" w:space="0"/>
            </w:tcBorders>
            <w:shd w:val="clear" w:color="auto" w:fill="auto"/>
            <w:noWrap w:val="0"/>
            <w:vAlign w:val="center"/>
          </w:tcPr>
          <w:p w14:paraId="76DCCB4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rPr>
            </w:pPr>
            <w:r>
              <w:rPr>
                <w:rFonts w:hint="default"/>
                <w:sz w:val="21"/>
                <w:szCs w:val="21"/>
                <w:highlight w:val="none"/>
              </w:rPr>
              <w:t>D1</w:t>
            </w:r>
          </w:p>
        </w:tc>
        <w:tc>
          <w:tcPr>
            <w:tcW w:w="38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1F03EC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rPr>
            </w:pPr>
            <w:r>
              <w:rPr>
                <w:rFonts w:hint="default"/>
                <w:sz w:val="21"/>
                <w:szCs w:val="21"/>
                <w:highlight w:val="none"/>
              </w:rPr>
              <w:t>监测值</w:t>
            </w:r>
          </w:p>
        </w:tc>
        <w:tc>
          <w:tcPr>
            <w:tcW w:w="325"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39CB99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lang w:val="en-US" w:eastAsia="zh-CN"/>
              </w:rPr>
            </w:pPr>
            <w:r>
              <w:rPr>
                <w:rFonts w:hint="eastAsia"/>
                <w:sz w:val="21"/>
                <w:szCs w:val="21"/>
                <w:highlight w:val="none"/>
                <w:lang w:val="en-US" w:eastAsia="zh-CN"/>
              </w:rPr>
              <w:t>0.015</w:t>
            </w:r>
          </w:p>
        </w:tc>
        <w:tc>
          <w:tcPr>
            <w:tcW w:w="36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CA01EC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lang w:val="en-US" w:eastAsia="zh-CN"/>
              </w:rPr>
            </w:pPr>
            <w:r>
              <w:rPr>
                <w:rFonts w:hint="eastAsia"/>
                <w:sz w:val="21"/>
                <w:szCs w:val="21"/>
                <w:highlight w:val="none"/>
                <w:lang w:val="en-US" w:eastAsia="zh-CN"/>
              </w:rPr>
              <w:t>0.00006</w:t>
            </w:r>
          </w:p>
        </w:tc>
        <w:tc>
          <w:tcPr>
            <w:tcW w:w="36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E8F0F9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lang w:val="en-US" w:eastAsia="zh-CN"/>
              </w:rPr>
            </w:pPr>
            <w:r>
              <w:rPr>
                <w:rFonts w:hint="eastAsia"/>
                <w:sz w:val="21"/>
                <w:szCs w:val="21"/>
                <w:highlight w:val="none"/>
                <w:lang w:val="en-US" w:eastAsia="zh-CN"/>
              </w:rPr>
              <w:t>ND</w:t>
            </w:r>
          </w:p>
        </w:tc>
        <w:tc>
          <w:tcPr>
            <w:tcW w:w="36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8AA6DC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lang w:val="en-US" w:eastAsia="zh-CN"/>
              </w:rPr>
            </w:pPr>
            <w:r>
              <w:rPr>
                <w:rFonts w:hint="eastAsia"/>
                <w:sz w:val="21"/>
                <w:szCs w:val="21"/>
                <w:highlight w:val="none"/>
                <w:lang w:val="en-US" w:eastAsia="zh-CN"/>
              </w:rPr>
              <w:t>ND</w:t>
            </w:r>
          </w:p>
        </w:tc>
        <w:tc>
          <w:tcPr>
            <w:tcW w:w="36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6950B0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lang w:val="en-US" w:eastAsia="zh-CN"/>
              </w:rPr>
            </w:pPr>
            <w:r>
              <w:rPr>
                <w:rFonts w:hint="eastAsia"/>
                <w:sz w:val="21"/>
                <w:szCs w:val="21"/>
                <w:highlight w:val="none"/>
                <w:lang w:val="en-US" w:eastAsia="zh-CN"/>
              </w:rPr>
              <w:t>0.00025</w:t>
            </w:r>
          </w:p>
        </w:tc>
        <w:tc>
          <w:tcPr>
            <w:tcW w:w="36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99F180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lang w:val="en-US" w:eastAsia="zh-CN"/>
              </w:rPr>
            </w:pPr>
            <w:r>
              <w:rPr>
                <w:rFonts w:hint="eastAsia"/>
                <w:sz w:val="21"/>
                <w:szCs w:val="21"/>
                <w:highlight w:val="none"/>
                <w:lang w:val="en-US" w:eastAsia="zh-CN"/>
              </w:rPr>
              <w:t>0.00121</w:t>
            </w:r>
          </w:p>
        </w:tc>
        <w:tc>
          <w:tcPr>
            <w:tcW w:w="36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29F910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lang w:val="en-US" w:eastAsia="zh-CN"/>
              </w:rPr>
            </w:pPr>
            <w:r>
              <w:rPr>
                <w:rFonts w:hint="eastAsia"/>
                <w:sz w:val="21"/>
                <w:szCs w:val="21"/>
                <w:highlight w:val="none"/>
                <w:lang w:val="en-US" w:eastAsia="zh-CN"/>
              </w:rPr>
              <w:t>0.0137</w:t>
            </w:r>
          </w:p>
        </w:tc>
        <w:tc>
          <w:tcPr>
            <w:tcW w:w="36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103B30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lang w:val="en-US" w:eastAsia="zh-CN"/>
              </w:rPr>
            </w:pPr>
            <w:r>
              <w:rPr>
                <w:rFonts w:hint="eastAsia"/>
                <w:sz w:val="21"/>
                <w:szCs w:val="21"/>
                <w:highlight w:val="none"/>
                <w:lang w:val="en-US" w:eastAsia="zh-CN"/>
              </w:rPr>
              <w:t>92</w:t>
            </w:r>
          </w:p>
        </w:tc>
        <w:tc>
          <w:tcPr>
            <w:tcW w:w="36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E8E2FF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lang w:val="en-US" w:eastAsia="zh-CN"/>
              </w:rPr>
            </w:pPr>
            <w:r>
              <w:rPr>
                <w:rFonts w:hint="eastAsia"/>
                <w:sz w:val="21"/>
                <w:szCs w:val="21"/>
                <w:highlight w:val="none"/>
                <w:lang w:val="en-US" w:eastAsia="zh-CN"/>
              </w:rPr>
              <w:t>1.79</w:t>
            </w:r>
          </w:p>
        </w:tc>
        <w:tc>
          <w:tcPr>
            <w:tcW w:w="36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CDBDC4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lang w:val="en-US" w:eastAsia="zh-CN"/>
              </w:rPr>
            </w:pPr>
            <w:r>
              <w:rPr>
                <w:rFonts w:hint="eastAsia"/>
                <w:sz w:val="21"/>
                <w:szCs w:val="21"/>
                <w:highlight w:val="none"/>
                <w:lang w:val="en-US" w:eastAsia="zh-CN"/>
              </w:rPr>
              <w:t>8.16</w:t>
            </w:r>
          </w:p>
        </w:tc>
        <w:tc>
          <w:tcPr>
            <w:tcW w:w="36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2C025D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lang w:val="en-US" w:eastAsia="zh-CN"/>
              </w:rPr>
            </w:pPr>
            <w:r>
              <w:rPr>
                <w:rFonts w:hint="eastAsia"/>
                <w:sz w:val="21"/>
                <w:szCs w:val="21"/>
                <w:highlight w:val="none"/>
                <w:lang w:val="en-US" w:eastAsia="zh-CN"/>
              </w:rPr>
              <w:t>3.26</w:t>
            </w:r>
          </w:p>
        </w:tc>
        <w:tc>
          <w:tcPr>
            <w:tcW w:w="369" w:type="pct"/>
            <w:tcBorders>
              <w:top w:val="single" w:color="000000" w:sz="4" w:space="0"/>
              <w:left w:val="single" w:color="000000" w:sz="4" w:space="0"/>
              <w:bottom w:val="single" w:color="000000" w:sz="4" w:space="0"/>
            </w:tcBorders>
            <w:shd w:val="clear" w:color="auto" w:fill="auto"/>
            <w:noWrap w:val="0"/>
            <w:vAlign w:val="center"/>
          </w:tcPr>
          <w:p w14:paraId="757FAB3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lang w:val="en-US" w:eastAsia="zh-CN"/>
              </w:rPr>
            </w:pPr>
            <w:r>
              <w:rPr>
                <w:rFonts w:hint="eastAsia"/>
                <w:sz w:val="21"/>
                <w:szCs w:val="21"/>
                <w:highlight w:val="none"/>
                <w:lang w:val="en-US" w:eastAsia="zh-CN"/>
              </w:rPr>
              <w:t>未检出</w:t>
            </w:r>
          </w:p>
        </w:tc>
      </w:tr>
      <w:tr w14:paraId="64223C82">
        <w:tblPrEx>
          <w:tblBorders>
            <w:top w:val="single" w:color="auto" w:sz="12" w:space="0"/>
            <w:left w:val="single" w:color="auto" w:sz="12" w:space="0"/>
            <w:bottom w:val="single" w:color="auto" w:sz="12" w:space="0"/>
            <w:right w:val="single" w:color="auto" w:sz="12" w:space="0"/>
            <w:insideH w:val="none" w:color="auto" w:sz="4" w:space="0"/>
            <w:insideV w:val="none" w:color="auto" w:sz="4" w:space="0"/>
          </w:tblBorders>
          <w:shd w:val="clear" w:color="auto" w:fill="auto"/>
          <w:tblCellMar>
            <w:top w:w="0" w:type="dxa"/>
            <w:left w:w="108" w:type="dxa"/>
            <w:bottom w:w="0" w:type="dxa"/>
            <w:right w:w="108" w:type="dxa"/>
          </w:tblCellMar>
        </w:tblPrEx>
        <w:trPr>
          <w:trHeight w:val="23" w:hRule="atLeast"/>
          <w:jc w:val="center"/>
        </w:trPr>
        <w:tc>
          <w:tcPr>
            <w:tcW w:w="241" w:type="pct"/>
            <w:vMerge w:val="continue"/>
            <w:tcBorders>
              <w:top w:val="single" w:color="000000" w:sz="4" w:space="0"/>
              <w:bottom w:val="single" w:color="000000" w:sz="4" w:space="0"/>
              <w:right w:val="single" w:color="000000" w:sz="4" w:space="0"/>
            </w:tcBorders>
            <w:shd w:val="clear" w:color="auto" w:fill="auto"/>
            <w:noWrap w:val="0"/>
            <w:vAlign w:val="center"/>
          </w:tcPr>
          <w:p w14:paraId="2EC4340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rPr>
            </w:pPr>
          </w:p>
        </w:tc>
        <w:tc>
          <w:tcPr>
            <w:tcW w:w="38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08AEBF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rPr>
            </w:pPr>
            <w:r>
              <w:rPr>
                <w:rFonts w:hint="default"/>
                <w:sz w:val="21"/>
                <w:szCs w:val="21"/>
                <w:highlight w:val="none"/>
              </w:rPr>
              <w:t>标准指数</w:t>
            </w:r>
          </w:p>
        </w:tc>
        <w:tc>
          <w:tcPr>
            <w:tcW w:w="325"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BC0D50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lang w:val="en-US" w:eastAsia="zh-CN"/>
              </w:rPr>
            </w:pPr>
            <w:r>
              <w:rPr>
                <w:rFonts w:hint="eastAsia"/>
                <w:sz w:val="21"/>
                <w:szCs w:val="21"/>
                <w:highlight w:val="none"/>
                <w:lang w:val="en-US" w:eastAsia="zh-CN"/>
              </w:rPr>
              <w:t>0.015</w:t>
            </w:r>
          </w:p>
        </w:tc>
        <w:tc>
          <w:tcPr>
            <w:tcW w:w="36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B0C0FE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lang w:val="en-US" w:eastAsia="zh-CN"/>
              </w:rPr>
            </w:pPr>
            <w:r>
              <w:rPr>
                <w:rFonts w:hint="eastAsia"/>
                <w:sz w:val="21"/>
                <w:szCs w:val="21"/>
                <w:highlight w:val="none"/>
                <w:lang w:val="en-US" w:eastAsia="zh-CN"/>
              </w:rPr>
              <w:t>0.012</w:t>
            </w:r>
          </w:p>
        </w:tc>
        <w:tc>
          <w:tcPr>
            <w:tcW w:w="36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6DA8FA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w:t>
            </w:r>
          </w:p>
        </w:tc>
        <w:tc>
          <w:tcPr>
            <w:tcW w:w="36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645135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w:t>
            </w:r>
          </w:p>
        </w:tc>
        <w:tc>
          <w:tcPr>
            <w:tcW w:w="36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E7B26D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lang w:val="en-US" w:eastAsia="zh-CN"/>
              </w:rPr>
            </w:pPr>
            <w:r>
              <w:rPr>
                <w:rFonts w:hint="eastAsia"/>
                <w:sz w:val="21"/>
                <w:szCs w:val="21"/>
                <w:highlight w:val="none"/>
                <w:lang w:val="en-US" w:eastAsia="zh-CN"/>
              </w:rPr>
              <w:t>0.0125</w:t>
            </w:r>
          </w:p>
        </w:tc>
        <w:tc>
          <w:tcPr>
            <w:tcW w:w="36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2A33C4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lang w:val="en-US" w:eastAsia="zh-CN"/>
              </w:rPr>
            </w:pPr>
            <w:r>
              <w:rPr>
                <w:rFonts w:hint="eastAsia"/>
                <w:sz w:val="21"/>
                <w:szCs w:val="21"/>
                <w:highlight w:val="none"/>
                <w:lang w:val="en-US" w:eastAsia="zh-CN"/>
              </w:rPr>
              <w:t>0.00121</w:t>
            </w:r>
          </w:p>
        </w:tc>
        <w:tc>
          <w:tcPr>
            <w:tcW w:w="36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53AD3F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heme="minorBidi"/>
                <w:kern w:val="2"/>
                <w:sz w:val="21"/>
                <w:szCs w:val="21"/>
                <w:highlight w:val="none"/>
                <w:lang w:val="en-US" w:eastAsia="zh-CN" w:bidi="ar-SA"/>
              </w:rPr>
            </w:pPr>
            <w:r>
              <w:rPr>
                <w:rFonts w:hint="eastAsia"/>
                <w:sz w:val="21"/>
                <w:szCs w:val="21"/>
                <w:highlight w:val="none"/>
                <w:lang w:val="en-US" w:eastAsia="zh-CN"/>
              </w:rPr>
              <w:t>0.0137</w:t>
            </w:r>
          </w:p>
        </w:tc>
        <w:tc>
          <w:tcPr>
            <w:tcW w:w="36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F9AE0F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heme="minorBidi"/>
                <w:kern w:val="2"/>
                <w:sz w:val="21"/>
                <w:szCs w:val="21"/>
                <w:highlight w:val="none"/>
                <w:lang w:val="en-US" w:eastAsia="zh-CN" w:bidi="ar-SA"/>
              </w:rPr>
            </w:pPr>
            <w:r>
              <w:rPr>
                <w:rFonts w:hint="eastAsia" w:cstheme="minorBidi"/>
                <w:kern w:val="2"/>
                <w:sz w:val="21"/>
                <w:szCs w:val="21"/>
                <w:highlight w:val="none"/>
                <w:lang w:val="en-US" w:eastAsia="zh-CN" w:bidi="ar-SA"/>
              </w:rPr>
              <w:t>0.092</w:t>
            </w:r>
          </w:p>
        </w:tc>
        <w:tc>
          <w:tcPr>
            <w:tcW w:w="36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8EED1D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lang w:val="en-US" w:eastAsia="zh-CN"/>
              </w:rPr>
            </w:pPr>
            <w:r>
              <w:rPr>
                <w:rFonts w:hint="eastAsia"/>
                <w:sz w:val="21"/>
                <w:szCs w:val="21"/>
                <w:highlight w:val="none"/>
                <w:lang w:val="en-US" w:eastAsia="zh-CN"/>
              </w:rPr>
              <w:t>0.60</w:t>
            </w:r>
          </w:p>
        </w:tc>
        <w:tc>
          <w:tcPr>
            <w:tcW w:w="36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BBBE6C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heme="minorBidi"/>
                <w:kern w:val="2"/>
                <w:sz w:val="21"/>
                <w:szCs w:val="21"/>
                <w:highlight w:val="none"/>
                <w:lang w:val="en-US" w:eastAsia="zh-CN" w:bidi="ar-SA"/>
              </w:rPr>
            </w:pPr>
            <w:r>
              <w:rPr>
                <w:rFonts w:hint="eastAsia" w:cstheme="minorBidi"/>
                <w:kern w:val="2"/>
                <w:sz w:val="21"/>
                <w:szCs w:val="21"/>
                <w:highlight w:val="none"/>
                <w:lang w:val="en-US" w:eastAsia="zh-CN" w:bidi="ar-SA"/>
              </w:rPr>
              <w:t>0.033</w:t>
            </w:r>
          </w:p>
        </w:tc>
        <w:tc>
          <w:tcPr>
            <w:tcW w:w="36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DFAA4A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heme="minorBidi"/>
                <w:kern w:val="2"/>
                <w:sz w:val="21"/>
                <w:szCs w:val="21"/>
                <w:highlight w:val="none"/>
                <w:lang w:val="en-US" w:eastAsia="zh-CN" w:bidi="ar-SA"/>
              </w:rPr>
            </w:pPr>
            <w:r>
              <w:rPr>
                <w:rFonts w:hint="eastAsia" w:cstheme="minorBidi"/>
                <w:kern w:val="2"/>
                <w:sz w:val="21"/>
                <w:szCs w:val="21"/>
                <w:highlight w:val="none"/>
                <w:lang w:val="en-US" w:eastAsia="zh-CN" w:bidi="ar-SA"/>
              </w:rPr>
              <w:t>0.013</w:t>
            </w:r>
          </w:p>
        </w:tc>
        <w:tc>
          <w:tcPr>
            <w:tcW w:w="369" w:type="pct"/>
            <w:tcBorders>
              <w:top w:val="single" w:color="000000" w:sz="4" w:space="0"/>
              <w:left w:val="single" w:color="000000" w:sz="4" w:space="0"/>
              <w:bottom w:val="single" w:color="000000" w:sz="4" w:space="0"/>
            </w:tcBorders>
            <w:shd w:val="clear" w:color="auto" w:fill="auto"/>
            <w:noWrap w:val="0"/>
            <w:vAlign w:val="center"/>
          </w:tcPr>
          <w:p w14:paraId="75D24B5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w:t>
            </w:r>
          </w:p>
        </w:tc>
      </w:tr>
      <w:tr w14:paraId="3C9A839F">
        <w:tblPrEx>
          <w:tblBorders>
            <w:top w:val="single" w:color="auto" w:sz="12" w:space="0"/>
            <w:left w:val="single" w:color="auto" w:sz="12" w:space="0"/>
            <w:bottom w:val="single" w:color="auto" w:sz="12" w:space="0"/>
            <w:right w:val="single" w:color="auto" w:sz="12" w:space="0"/>
            <w:insideH w:val="none" w:color="auto" w:sz="4" w:space="0"/>
            <w:insideV w:val="none" w:color="auto" w:sz="4" w:space="0"/>
          </w:tblBorders>
          <w:shd w:val="clear" w:color="auto" w:fill="auto"/>
          <w:tblCellMar>
            <w:top w:w="0" w:type="dxa"/>
            <w:left w:w="108" w:type="dxa"/>
            <w:bottom w:w="0" w:type="dxa"/>
            <w:right w:w="108" w:type="dxa"/>
          </w:tblCellMar>
        </w:tblPrEx>
        <w:trPr>
          <w:trHeight w:val="23" w:hRule="atLeast"/>
          <w:jc w:val="center"/>
        </w:trPr>
        <w:tc>
          <w:tcPr>
            <w:tcW w:w="241" w:type="pct"/>
            <w:vMerge w:val="continue"/>
            <w:tcBorders>
              <w:top w:val="single" w:color="000000" w:sz="4" w:space="0"/>
              <w:bottom w:val="single" w:color="000000" w:sz="4" w:space="0"/>
              <w:right w:val="single" w:color="000000" w:sz="4" w:space="0"/>
            </w:tcBorders>
            <w:shd w:val="clear" w:color="auto" w:fill="auto"/>
            <w:noWrap w:val="0"/>
            <w:vAlign w:val="center"/>
          </w:tcPr>
          <w:p w14:paraId="7F34F4A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rPr>
            </w:pPr>
          </w:p>
        </w:tc>
        <w:tc>
          <w:tcPr>
            <w:tcW w:w="38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CBD82F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rPr>
            </w:pPr>
            <w:r>
              <w:rPr>
                <w:rFonts w:hint="default"/>
                <w:sz w:val="21"/>
                <w:szCs w:val="21"/>
                <w:highlight w:val="none"/>
              </w:rPr>
              <w:t>检出率%</w:t>
            </w:r>
          </w:p>
        </w:tc>
        <w:tc>
          <w:tcPr>
            <w:tcW w:w="325"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50C515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lang w:val="en-US" w:eastAsia="zh-CN"/>
              </w:rPr>
            </w:pPr>
            <w:r>
              <w:rPr>
                <w:rFonts w:hint="eastAsia"/>
                <w:sz w:val="21"/>
                <w:szCs w:val="21"/>
                <w:highlight w:val="none"/>
                <w:lang w:val="en-US" w:eastAsia="zh-CN"/>
              </w:rPr>
              <w:t>100</w:t>
            </w:r>
          </w:p>
        </w:tc>
        <w:tc>
          <w:tcPr>
            <w:tcW w:w="36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8D34B3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lang w:val="en-US" w:eastAsia="zh-CN"/>
              </w:rPr>
            </w:pPr>
            <w:r>
              <w:rPr>
                <w:rFonts w:hint="eastAsia"/>
                <w:sz w:val="21"/>
                <w:szCs w:val="21"/>
                <w:highlight w:val="none"/>
                <w:lang w:val="en-US" w:eastAsia="zh-CN"/>
              </w:rPr>
              <w:t>100</w:t>
            </w:r>
          </w:p>
        </w:tc>
        <w:tc>
          <w:tcPr>
            <w:tcW w:w="36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1BC7D6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w:t>
            </w:r>
          </w:p>
        </w:tc>
        <w:tc>
          <w:tcPr>
            <w:tcW w:w="36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6ADD2B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w:t>
            </w:r>
          </w:p>
        </w:tc>
        <w:tc>
          <w:tcPr>
            <w:tcW w:w="36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9CA32E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100</w:t>
            </w:r>
          </w:p>
        </w:tc>
        <w:tc>
          <w:tcPr>
            <w:tcW w:w="36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684C68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100</w:t>
            </w:r>
          </w:p>
        </w:tc>
        <w:tc>
          <w:tcPr>
            <w:tcW w:w="36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A1ECC3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100</w:t>
            </w:r>
          </w:p>
        </w:tc>
        <w:tc>
          <w:tcPr>
            <w:tcW w:w="36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5D48B4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100</w:t>
            </w:r>
          </w:p>
        </w:tc>
        <w:tc>
          <w:tcPr>
            <w:tcW w:w="36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6C265A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100</w:t>
            </w:r>
          </w:p>
        </w:tc>
        <w:tc>
          <w:tcPr>
            <w:tcW w:w="36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891865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100</w:t>
            </w:r>
          </w:p>
        </w:tc>
        <w:tc>
          <w:tcPr>
            <w:tcW w:w="36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E42DD3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100</w:t>
            </w:r>
          </w:p>
        </w:tc>
        <w:tc>
          <w:tcPr>
            <w:tcW w:w="369" w:type="pct"/>
            <w:tcBorders>
              <w:top w:val="single" w:color="000000" w:sz="4" w:space="0"/>
              <w:left w:val="single" w:color="000000" w:sz="4" w:space="0"/>
              <w:bottom w:val="single" w:color="000000" w:sz="4" w:space="0"/>
            </w:tcBorders>
            <w:shd w:val="clear" w:color="auto" w:fill="auto"/>
            <w:noWrap w:val="0"/>
            <w:vAlign w:val="center"/>
          </w:tcPr>
          <w:p w14:paraId="4FC8D78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w:t>
            </w:r>
          </w:p>
        </w:tc>
      </w:tr>
      <w:tr w14:paraId="058DEAA5">
        <w:tblPrEx>
          <w:tblBorders>
            <w:top w:val="single" w:color="auto" w:sz="12" w:space="0"/>
            <w:left w:val="single" w:color="auto" w:sz="12" w:space="0"/>
            <w:bottom w:val="single" w:color="auto" w:sz="12" w:space="0"/>
            <w:right w:val="single" w:color="auto" w:sz="12" w:space="0"/>
            <w:insideH w:val="none" w:color="auto" w:sz="4" w:space="0"/>
            <w:insideV w:val="none" w:color="auto" w:sz="4" w:space="0"/>
          </w:tblBorders>
          <w:shd w:val="clear" w:color="auto" w:fill="auto"/>
          <w:tblCellMar>
            <w:top w:w="0" w:type="dxa"/>
            <w:left w:w="108" w:type="dxa"/>
            <w:bottom w:w="0" w:type="dxa"/>
            <w:right w:w="108" w:type="dxa"/>
          </w:tblCellMar>
        </w:tblPrEx>
        <w:trPr>
          <w:trHeight w:val="23" w:hRule="atLeast"/>
          <w:jc w:val="center"/>
        </w:trPr>
        <w:tc>
          <w:tcPr>
            <w:tcW w:w="241" w:type="pct"/>
            <w:vMerge w:val="continue"/>
            <w:tcBorders>
              <w:top w:val="single" w:color="000000" w:sz="4" w:space="0"/>
              <w:bottom w:val="single" w:color="000000" w:sz="4" w:space="0"/>
              <w:right w:val="single" w:color="000000" w:sz="4" w:space="0"/>
            </w:tcBorders>
            <w:shd w:val="clear" w:color="auto" w:fill="auto"/>
            <w:noWrap w:val="0"/>
            <w:vAlign w:val="center"/>
          </w:tcPr>
          <w:p w14:paraId="7CF7CEE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rPr>
            </w:pPr>
          </w:p>
        </w:tc>
        <w:tc>
          <w:tcPr>
            <w:tcW w:w="38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D3CF5B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rPr>
            </w:pPr>
            <w:r>
              <w:rPr>
                <w:rFonts w:hint="default"/>
                <w:sz w:val="21"/>
                <w:szCs w:val="21"/>
                <w:highlight w:val="none"/>
              </w:rPr>
              <w:t>超标率%</w:t>
            </w:r>
          </w:p>
        </w:tc>
        <w:tc>
          <w:tcPr>
            <w:tcW w:w="325"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1111D3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lang w:val="en-US" w:eastAsia="zh-CN"/>
              </w:rPr>
            </w:pPr>
            <w:r>
              <w:rPr>
                <w:rFonts w:hint="eastAsia"/>
                <w:sz w:val="21"/>
                <w:szCs w:val="21"/>
                <w:highlight w:val="none"/>
                <w:lang w:val="en-US" w:eastAsia="zh-CN"/>
              </w:rPr>
              <w:t>0</w:t>
            </w:r>
          </w:p>
        </w:tc>
        <w:tc>
          <w:tcPr>
            <w:tcW w:w="36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533594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lang w:val="en-US" w:eastAsia="zh-CN"/>
              </w:rPr>
            </w:pPr>
            <w:r>
              <w:rPr>
                <w:rFonts w:hint="eastAsia"/>
                <w:sz w:val="21"/>
                <w:szCs w:val="21"/>
                <w:highlight w:val="none"/>
                <w:lang w:val="en-US" w:eastAsia="zh-CN"/>
              </w:rPr>
              <w:t>0</w:t>
            </w:r>
          </w:p>
        </w:tc>
        <w:tc>
          <w:tcPr>
            <w:tcW w:w="36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C64B03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0</w:t>
            </w:r>
          </w:p>
        </w:tc>
        <w:tc>
          <w:tcPr>
            <w:tcW w:w="36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D9BE52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0</w:t>
            </w:r>
          </w:p>
        </w:tc>
        <w:tc>
          <w:tcPr>
            <w:tcW w:w="36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E67D2E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0</w:t>
            </w:r>
          </w:p>
        </w:tc>
        <w:tc>
          <w:tcPr>
            <w:tcW w:w="36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14ED89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0</w:t>
            </w:r>
          </w:p>
        </w:tc>
        <w:tc>
          <w:tcPr>
            <w:tcW w:w="36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6FC271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0</w:t>
            </w:r>
          </w:p>
        </w:tc>
        <w:tc>
          <w:tcPr>
            <w:tcW w:w="36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7EB025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0</w:t>
            </w:r>
          </w:p>
        </w:tc>
        <w:tc>
          <w:tcPr>
            <w:tcW w:w="36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BACF64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0</w:t>
            </w:r>
          </w:p>
        </w:tc>
        <w:tc>
          <w:tcPr>
            <w:tcW w:w="36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7E72E5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0</w:t>
            </w:r>
          </w:p>
        </w:tc>
        <w:tc>
          <w:tcPr>
            <w:tcW w:w="36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595E9F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0</w:t>
            </w:r>
          </w:p>
        </w:tc>
        <w:tc>
          <w:tcPr>
            <w:tcW w:w="369" w:type="pct"/>
            <w:tcBorders>
              <w:top w:val="single" w:color="000000" w:sz="4" w:space="0"/>
              <w:left w:val="single" w:color="000000" w:sz="4" w:space="0"/>
              <w:bottom w:val="single" w:color="000000" w:sz="4" w:space="0"/>
            </w:tcBorders>
            <w:shd w:val="clear" w:color="auto" w:fill="auto"/>
            <w:noWrap w:val="0"/>
            <w:vAlign w:val="center"/>
          </w:tcPr>
          <w:p w14:paraId="2BDAFE0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0</w:t>
            </w:r>
          </w:p>
        </w:tc>
      </w:tr>
      <w:tr w14:paraId="29F38217">
        <w:tblPrEx>
          <w:tblBorders>
            <w:top w:val="single" w:color="auto" w:sz="12" w:space="0"/>
            <w:left w:val="single" w:color="auto" w:sz="12" w:space="0"/>
            <w:bottom w:val="single" w:color="auto" w:sz="12" w:space="0"/>
            <w:right w:val="single" w:color="auto" w:sz="12" w:space="0"/>
            <w:insideH w:val="none" w:color="auto" w:sz="4" w:space="0"/>
            <w:insideV w:val="none" w:color="auto" w:sz="4" w:space="0"/>
          </w:tblBorders>
          <w:tblCellMar>
            <w:top w:w="0" w:type="dxa"/>
            <w:left w:w="108" w:type="dxa"/>
            <w:bottom w:w="0" w:type="dxa"/>
            <w:right w:w="108" w:type="dxa"/>
          </w:tblCellMar>
        </w:tblPrEx>
        <w:trPr>
          <w:trHeight w:val="23" w:hRule="atLeast"/>
          <w:jc w:val="center"/>
        </w:trPr>
        <w:tc>
          <w:tcPr>
            <w:tcW w:w="241" w:type="pct"/>
            <w:vMerge w:val="restart"/>
            <w:tcBorders>
              <w:top w:val="single" w:color="000000" w:sz="4" w:space="0"/>
              <w:bottom w:val="single" w:color="000000" w:sz="4" w:space="0"/>
              <w:right w:val="single" w:color="000000" w:sz="4" w:space="0"/>
            </w:tcBorders>
            <w:shd w:val="clear" w:color="auto" w:fill="auto"/>
            <w:noWrap w:val="0"/>
            <w:vAlign w:val="center"/>
          </w:tcPr>
          <w:p w14:paraId="318809E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rPr>
            </w:pPr>
            <w:r>
              <w:rPr>
                <w:rFonts w:hint="default"/>
                <w:sz w:val="21"/>
                <w:szCs w:val="21"/>
                <w:highlight w:val="none"/>
              </w:rPr>
              <w:t>D2</w:t>
            </w:r>
          </w:p>
        </w:tc>
        <w:tc>
          <w:tcPr>
            <w:tcW w:w="38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F7845A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rPr>
            </w:pPr>
            <w:r>
              <w:rPr>
                <w:rFonts w:hint="default"/>
                <w:sz w:val="21"/>
                <w:szCs w:val="21"/>
                <w:highlight w:val="none"/>
              </w:rPr>
              <w:t>监测值</w:t>
            </w:r>
          </w:p>
        </w:tc>
        <w:tc>
          <w:tcPr>
            <w:tcW w:w="325"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1C1A33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lang w:val="en-US" w:eastAsia="zh-CN"/>
              </w:rPr>
            </w:pPr>
            <w:r>
              <w:rPr>
                <w:rFonts w:hint="eastAsia"/>
                <w:sz w:val="21"/>
                <w:szCs w:val="21"/>
                <w:highlight w:val="none"/>
                <w:lang w:val="en-US" w:eastAsia="zh-CN"/>
              </w:rPr>
              <w:t>0.022</w:t>
            </w:r>
          </w:p>
        </w:tc>
        <w:tc>
          <w:tcPr>
            <w:tcW w:w="36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C29524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lang w:val="en-US" w:eastAsia="zh-CN"/>
              </w:rPr>
            </w:pPr>
            <w:r>
              <w:rPr>
                <w:rFonts w:hint="eastAsia"/>
                <w:sz w:val="21"/>
                <w:szCs w:val="21"/>
                <w:highlight w:val="none"/>
                <w:lang w:val="en-US" w:eastAsia="zh-CN"/>
              </w:rPr>
              <w:t>ND</w:t>
            </w:r>
          </w:p>
        </w:tc>
        <w:tc>
          <w:tcPr>
            <w:tcW w:w="36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887BFC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lang w:val="en-US" w:eastAsia="zh-CN"/>
              </w:rPr>
            </w:pPr>
            <w:r>
              <w:rPr>
                <w:rFonts w:hint="eastAsia"/>
                <w:sz w:val="21"/>
                <w:szCs w:val="21"/>
                <w:highlight w:val="none"/>
                <w:lang w:val="en-US" w:eastAsia="zh-CN"/>
              </w:rPr>
              <w:t>ND</w:t>
            </w:r>
          </w:p>
        </w:tc>
        <w:tc>
          <w:tcPr>
            <w:tcW w:w="36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1C93CB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lang w:val="en-US" w:eastAsia="zh-CN"/>
              </w:rPr>
            </w:pPr>
            <w:r>
              <w:rPr>
                <w:rFonts w:hint="eastAsia"/>
                <w:sz w:val="21"/>
                <w:szCs w:val="21"/>
                <w:highlight w:val="none"/>
                <w:lang w:val="en-US" w:eastAsia="zh-CN"/>
              </w:rPr>
              <w:t>0.00462</w:t>
            </w:r>
          </w:p>
        </w:tc>
        <w:tc>
          <w:tcPr>
            <w:tcW w:w="36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32CA7A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lang w:val="en-US" w:eastAsia="zh-CN"/>
              </w:rPr>
            </w:pPr>
            <w:r>
              <w:rPr>
                <w:rFonts w:hint="eastAsia"/>
                <w:sz w:val="21"/>
                <w:szCs w:val="21"/>
                <w:highlight w:val="none"/>
                <w:lang w:val="en-US" w:eastAsia="zh-CN"/>
              </w:rPr>
              <w:t>0.00013</w:t>
            </w:r>
          </w:p>
        </w:tc>
        <w:tc>
          <w:tcPr>
            <w:tcW w:w="36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FB9ED5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lang w:val="en-US" w:eastAsia="zh-CN"/>
              </w:rPr>
            </w:pPr>
            <w:r>
              <w:rPr>
                <w:rFonts w:hint="eastAsia"/>
                <w:sz w:val="21"/>
                <w:szCs w:val="21"/>
                <w:highlight w:val="none"/>
                <w:lang w:val="en-US" w:eastAsia="zh-CN"/>
              </w:rPr>
              <w:t>0.00025</w:t>
            </w:r>
          </w:p>
        </w:tc>
        <w:tc>
          <w:tcPr>
            <w:tcW w:w="36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106398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lang w:val="en-US" w:eastAsia="zh-CN"/>
              </w:rPr>
            </w:pPr>
            <w:r>
              <w:rPr>
                <w:rFonts w:hint="eastAsia"/>
                <w:sz w:val="21"/>
                <w:szCs w:val="21"/>
                <w:highlight w:val="none"/>
                <w:lang w:val="en-US" w:eastAsia="zh-CN"/>
              </w:rPr>
              <w:t>0.0134</w:t>
            </w:r>
          </w:p>
        </w:tc>
        <w:tc>
          <w:tcPr>
            <w:tcW w:w="36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A23236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54</w:t>
            </w:r>
          </w:p>
        </w:tc>
        <w:tc>
          <w:tcPr>
            <w:tcW w:w="36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564220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lang w:val="en-US" w:eastAsia="zh-CN"/>
              </w:rPr>
            </w:pPr>
            <w:r>
              <w:rPr>
                <w:rFonts w:hint="eastAsia"/>
                <w:sz w:val="21"/>
                <w:szCs w:val="21"/>
                <w:highlight w:val="none"/>
                <w:lang w:val="en-US" w:eastAsia="zh-CN"/>
              </w:rPr>
              <w:t>0.61</w:t>
            </w:r>
          </w:p>
        </w:tc>
        <w:tc>
          <w:tcPr>
            <w:tcW w:w="36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DB6B9E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heme="minorBidi"/>
                <w:kern w:val="2"/>
                <w:sz w:val="21"/>
                <w:szCs w:val="21"/>
                <w:highlight w:val="none"/>
                <w:lang w:val="en-US" w:eastAsia="zh-CN" w:bidi="ar-SA"/>
              </w:rPr>
            </w:pPr>
            <w:r>
              <w:rPr>
                <w:rFonts w:hint="eastAsia" w:cstheme="minorBidi"/>
                <w:kern w:val="2"/>
                <w:sz w:val="21"/>
                <w:szCs w:val="21"/>
                <w:highlight w:val="none"/>
                <w:lang w:val="en-US" w:eastAsia="zh-CN" w:bidi="ar-SA"/>
              </w:rPr>
              <w:t>1.90</w:t>
            </w:r>
          </w:p>
        </w:tc>
        <w:tc>
          <w:tcPr>
            <w:tcW w:w="36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4A4C7E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heme="minorBidi"/>
                <w:kern w:val="2"/>
                <w:sz w:val="21"/>
                <w:szCs w:val="21"/>
                <w:highlight w:val="none"/>
                <w:lang w:val="en-US" w:eastAsia="zh-CN" w:bidi="ar-SA"/>
              </w:rPr>
            </w:pPr>
            <w:r>
              <w:rPr>
                <w:rFonts w:hint="eastAsia" w:cstheme="minorBidi"/>
                <w:kern w:val="2"/>
                <w:sz w:val="21"/>
                <w:szCs w:val="21"/>
                <w:highlight w:val="none"/>
                <w:lang w:val="en-US" w:eastAsia="zh-CN" w:bidi="ar-SA"/>
              </w:rPr>
              <w:t>0.326</w:t>
            </w:r>
          </w:p>
        </w:tc>
        <w:tc>
          <w:tcPr>
            <w:tcW w:w="369" w:type="pct"/>
            <w:tcBorders>
              <w:top w:val="single" w:color="000000" w:sz="4" w:space="0"/>
              <w:left w:val="single" w:color="000000" w:sz="4" w:space="0"/>
              <w:bottom w:val="single" w:color="000000" w:sz="4" w:space="0"/>
            </w:tcBorders>
            <w:shd w:val="clear" w:color="auto" w:fill="auto"/>
            <w:noWrap w:val="0"/>
            <w:vAlign w:val="center"/>
          </w:tcPr>
          <w:p w14:paraId="0D72F81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lang w:val="en-US" w:eastAsia="zh-CN"/>
              </w:rPr>
            </w:pPr>
            <w:r>
              <w:rPr>
                <w:rFonts w:hint="eastAsia"/>
                <w:sz w:val="21"/>
                <w:szCs w:val="21"/>
                <w:highlight w:val="none"/>
                <w:lang w:val="en-US" w:eastAsia="zh-CN"/>
              </w:rPr>
              <w:t>2</w:t>
            </w:r>
          </w:p>
        </w:tc>
      </w:tr>
      <w:tr w14:paraId="02586C1F">
        <w:tblPrEx>
          <w:tblBorders>
            <w:top w:val="single" w:color="auto" w:sz="12" w:space="0"/>
            <w:left w:val="single" w:color="auto" w:sz="12" w:space="0"/>
            <w:bottom w:val="single" w:color="auto" w:sz="12" w:space="0"/>
            <w:right w:val="single" w:color="auto" w:sz="12" w:space="0"/>
            <w:insideH w:val="none" w:color="auto" w:sz="4" w:space="0"/>
            <w:insideV w:val="none" w:color="auto" w:sz="4" w:space="0"/>
          </w:tblBorders>
          <w:tblCellMar>
            <w:top w:w="0" w:type="dxa"/>
            <w:left w:w="108" w:type="dxa"/>
            <w:bottom w:w="0" w:type="dxa"/>
            <w:right w:w="108" w:type="dxa"/>
          </w:tblCellMar>
        </w:tblPrEx>
        <w:trPr>
          <w:trHeight w:val="23" w:hRule="atLeast"/>
          <w:jc w:val="center"/>
        </w:trPr>
        <w:tc>
          <w:tcPr>
            <w:tcW w:w="241" w:type="pct"/>
            <w:vMerge w:val="continue"/>
            <w:tcBorders>
              <w:top w:val="single" w:color="000000" w:sz="4" w:space="0"/>
              <w:bottom w:val="single" w:color="000000" w:sz="4" w:space="0"/>
              <w:right w:val="single" w:color="000000" w:sz="4" w:space="0"/>
            </w:tcBorders>
            <w:shd w:val="clear" w:color="auto" w:fill="auto"/>
            <w:noWrap w:val="0"/>
            <w:vAlign w:val="center"/>
          </w:tcPr>
          <w:p w14:paraId="4831759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rPr>
            </w:pPr>
          </w:p>
        </w:tc>
        <w:tc>
          <w:tcPr>
            <w:tcW w:w="38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FA9D9A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rPr>
            </w:pPr>
            <w:r>
              <w:rPr>
                <w:rFonts w:hint="default"/>
                <w:sz w:val="21"/>
                <w:szCs w:val="21"/>
                <w:highlight w:val="none"/>
              </w:rPr>
              <w:t>标准指数</w:t>
            </w:r>
          </w:p>
        </w:tc>
        <w:tc>
          <w:tcPr>
            <w:tcW w:w="325"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A64388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lang w:val="en-US" w:eastAsia="zh-CN"/>
              </w:rPr>
            </w:pPr>
            <w:r>
              <w:rPr>
                <w:rFonts w:hint="eastAsia"/>
                <w:sz w:val="21"/>
                <w:szCs w:val="21"/>
                <w:highlight w:val="none"/>
                <w:lang w:val="en-US" w:eastAsia="zh-CN"/>
              </w:rPr>
              <w:t>0.022</w:t>
            </w:r>
          </w:p>
        </w:tc>
        <w:tc>
          <w:tcPr>
            <w:tcW w:w="36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1CD701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w:t>
            </w:r>
          </w:p>
        </w:tc>
        <w:tc>
          <w:tcPr>
            <w:tcW w:w="36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06254A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w:t>
            </w:r>
          </w:p>
        </w:tc>
        <w:tc>
          <w:tcPr>
            <w:tcW w:w="36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2306F3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lang w:val="en-US" w:eastAsia="zh-CN"/>
              </w:rPr>
            </w:pPr>
            <w:r>
              <w:rPr>
                <w:rFonts w:hint="eastAsia"/>
                <w:sz w:val="21"/>
                <w:szCs w:val="21"/>
                <w:highlight w:val="none"/>
                <w:lang w:val="en-US" w:eastAsia="zh-CN"/>
              </w:rPr>
              <w:t>0.0462</w:t>
            </w:r>
          </w:p>
        </w:tc>
        <w:tc>
          <w:tcPr>
            <w:tcW w:w="36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4F462B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lang w:val="en-US" w:eastAsia="zh-CN"/>
              </w:rPr>
            </w:pPr>
            <w:r>
              <w:rPr>
                <w:rFonts w:hint="eastAsia"/>
                <w:sz w:val="21"/>
                <w:szCs w:val="21"/>
                <w:highlight w:val="none"/>
                <w:lang w:val="en-US" w:eastAsia="zh-CN"/>
              </w:rPr>
              <w:t>0.0065</w:t>
            </w:r>
          </w:p>
        </w:tc>
        <w:tc>
          <w:tcPr>
            <w:tcW w:w="36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2A4312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lang w:val="en-US" w:eastAsia="zh-CN"/>
              </w:rPr>
            </w:pPr>
            <w:r>
              <w:rPr>
                <w:rFonts w:hint="eastAsia"/>
                <w:sz w:val="21"/>
                <w:szCs w:val="21"/>
                <w:highlight w:val="none"/>
                <w:lang w:val="en-US" w:eastAsia="zh-CN"/>
              </w:rPr>
              <w:t>0.00025</w:t>
            </w:r>
          </w:p>
        </w:tc>
        <w:tc>
          <w:tcPr>
            <w:tcW w:w="36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77F9AB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heme="minorBidi"/>
                <w:kern w:val="2"/>
                <w:sz w:val="21"/>
                <w:szCs w:val="21"/>
                <w:highlight w:val="none"/>
                <w:lang w:val="en-US" w:eastAsia="zh-CN" w:bidi="ar-SA"/>
              </w:rPr>
            </w:pPr>
            <w:r>
              <w:rPr>
                <w:rFonts w:hint="eastAsia"/>
                <w:sz w:val="21"/>
                <w:szCs w:val="21"/>
                <w:highlight w:val="none"/>
                <w:lang w:val="en-US" w:eastAsia="zh-CN"/>
              </w:rPr>
              <w:t>0.0134</w:t>
            </w:r>
          </w:p>
        </w:tc>
        <w:tc>
          <w:tcPr>
            <w:tcW w:w="36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85EE77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heme="minorBidi"/>
                <w:kern w:val="2"/>
                <w:sz w:val="21"/>
                <w:szCs w:val="21"/>
                <w:highlight w:val="none"/>
                <w:lang w:val="en-US" w:eastAsia="zh-CN" w:bidi="ar-SA"/>
              </w:rPr>
            </w:pPr>
            <w:r>
              <w:rPr>
                <w:rFonts w:hint="eastAsia" w:cstheme="minorBidi"/>
                <w:kern w:val="2"/>
                <w:sz w:val="21"/>
                <w:szCs w:val="21"/>
                <w:highlight w:val="none"/>
                <w:lang w:val="en-US" w:eastAsia="zh-CN" w:bidi="ar-SA"/>
              </w:rPr>
              <w:t>0.054</w:t>
            </w:r>
          </w:p>
        </w:tc>
        <w:tc>
          <w:tcPr>
            <w:tcW w:w="36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BA03B7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lang w:val="en-US" w:eastAsia="zh-CN"/>
              </w:rPr>
            </w:pPr>
            <w:r>
              <w:rPr>
                <w:rFonts w:hint="eastAsia"/>
                <w:sz w:val="21"/>
                <w:szCs w:val="21"/>
                <w:highlight w:val="none"/>
                <w:lang w:val="en-US" w:eastAsia="zh-CN"/>
              </w:rPr>
              <w:t>0.20</w:t>
            </w:r>
          </w:p>
        </w:tc>
        <w:tc>
          <w:tcPr>
            <w:tcW w:w="36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9A942B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heme="minorBidi"/>
                <w:kern w:val="2"/>
                <w:sz w:val="21"/>
                <w:szCs w:val="21"/>
                <w:highlight w:val="none"/>
                <w:lang w:val="en-US" w:eastAsia="zh-CN" w:bidi="ar-SA"/>
              </w:rPr>
            </w:pPr>
            <w:r>
              <w:rPr>
                <w:rFonts w:hint="eastAsia" w:cstheme="minorBidi"/>
                <w:kern w:val="2"/>
                <w:sz w:val="21"/>
                <w:szCs w:val="21"/>
                <w:highlight w:val="none"/>
                <w:lang w:val="en-US" w:eastAsia="zh-CN" w:bidi="ar-SA"/>
              </w:rPr>
              <w:t>0.0076</w:t>
            </w:r>
          </w:p>
        </w:tc>
        <w:tc>
          <w:tcPr>
            <w:tcW w:w="36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6A888A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heme="minorBidi"/>
                <w:kern w:val="2"/>
                <w:sz w:val="21"/>
                <w:szCs w:val="21"/>
                <w:highlight w:val="none"/>
                <w:lang w:val="en-US" w:eastAsia="zh-CN" w:bidi="ar-SA"/>
              </w:rPr>
            </w:pPr>
            <w:r>
              <w:rPr>
                <w:rFonts w:hint="eastAsia" w:cstheme="minorBidi"/>
                <w:kern w:val="2"/>
                <w:sz w:val="21"/>
                <w:szCs w:val="21"/>
                <w:highlight w:val="none"/>
                <w:lang w:val="en-US" w:eastAsia="zh-CN" w:bidi="ar-SA"/>
              </w:rPr>
              <w:t>0.0013</w:t>
            </w:r>
          </w:p>
        </w:tc>
        <w:tc>
          <w:tcPr>
            <w:tcW w:w="369" w:type="pct"/>
            <w:tcBorders>
              <w:top w:val="single" w:color="000000" w:sz="4" w:space="0"/>
              <w:left w:val="single" w:color="000000" w:sz="4" w:space="0"/>
              <w:bottom w:val="single" w:color="000000" w:sz="4" w:space="0"/>
            </w:tcBorders>
            <w:shd w:val="clear" w:color="auto" w:fill="auto"/>
            <w:noWrap w:val="0"/>
            <w:vAlign w:val="center"/>
          </w:tcPr>
          <w:p w14:paraId="7C01481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lang w:val="en-US" w:eastAsia="zh-CN"/>
              </w:rPr>
            </w:pPr>
            <w:r>
              <w:rPr>
                <w:rFonts w:hint="eastAsia"/>
                <w:sz w:val="21"/>
                <w:szCs w:val="21"/>
                <w:highlight w:val="none"/>
                <w:lang w:val="en-US" w:eastAsia="zh-CN"/>
              </w:rPr>
              <w:t>0.67</w:t>
            </w:r>
          </w:p>
        </w:tc>
      </w:tr>
      <w:tr w14:paraId="19F93D2F">
        <w:tblPrEx>
          <w:tblBorders>
            <w:top w:val="single" w:color="auto" w:sz="12" w:space="0"/>
            <w:left w:val="single" w:color="auto" w:sz="12" w:space="0"/>
            <w:bottom w:val="single" w:color="auto" w:sz="12" w:space="0"/>
            <w:right w:val="single" w:color="auto" w:sz="12" w:space="0"/>
            <w:insideH w:val="none" w:color="auto" w:sz="4" w:space="0"/>
            <w:insideV w:val="none" w:color="auto" w:sz="4" w:space="0"/>
          </w:tblBorders>
          <w:shd w:val="clear" w:color="auto" w:fill="auto"/>
          <w:tblCellMar>
            <w:top w:w="0" w:type="dxa"/>
            <w:left w:w="108" w:type="dxa"/>
            <w:bottom w:w="0" w:type="dxa"/>
            <w:right w:w="108" w:type="dxa"/>
          </w:tblCellMar>
        </w:tblPrEx>
        <w:trPr>
          <w:trHeight w:val="23" w:hRule="atLeast"/>
          <w:jc w:val="center"/>
        </w:trPr>
        <w:tc>
          <w:tcPr>
            <w:tcW w:w="241" w:type="pct"/>
            <w:vMerge w:val="continue"/>
            <w:tcBorders>
              <w:top w:val="single" w:color="000000" w:sz="4" w:space="0"/>
              <w:bottom w:val="single" w:color="000000" w:sz="4" w:space="0"/>
              <w:right w:val="single" w:color="000000" w:sz="4" w:space="0"/>
            </w:tcBorders>
            <w:shd w:val="clear" w:color="auto" w:fill="auto"/>
            <w:noWrap w:val="0"/>
            <w:vAlign w:val="center"/>
          </w:tcPr>
          <w:p w14:paraId="4E389FE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rPr>
            </w:pPr>
          </w:p>
        </w:tc>
        <w:tc>
          <w:tcPr>
            <w:tcW w:w="38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9A6893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rPr>
            </w:pPr>
            <w:r>
              <w:rPr>
                <w:rFonts w:hint="default"/>
                <w:sz w:val="21"/>
                <w:szCs w:val="21"/>
                <w:highlight w:val="none"/>
              </w:rPr>
              <w:t>检出率%</w:t>
            </w:r>
          </w:p>
        </w:tc>
        <w:tc>
          <w:tcPr>
            <w:tcW w:w="325"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6717CA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100</w:t>
            </w:r>
          </w:p>
        </w:tc>
        <w:tc>
          <w:tcPr>
            <w:tcW w:w="36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7867EA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w:t>
            </w:r>
          </w:p>
        </w:tc>
        <w:tc>
          <w:tcPr>
            <w:tcW w:w="36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962719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w:t>
            </w:r>
          </w:p>
        </w:tc>
        <w:tc>
          <w:tcPr>
            <w:tcW w:w="36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A0687C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100</w:t>
            </w:r>
          </w:p>
        </w:tc>
        <w:tc>
          <w:tcPr>
            <w:tcW w:w="36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6FB8C9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100</w:t>
            </w:r>
          </w:p>
        </w:tc>
        <w:tc>
          <w:tcPr>
            <w:tcW w:w="36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FBDF08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100</w:t>
            </w:r>
          </w:p>
        </w:tc>
        <w:tc>
          <w:tcPr>
            <w:tcW w:w="36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F083C4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100</w:t>
            </w:r>
          </w:p>
        </w:tc>
        <w:tc>
          <w:tcPr>
            <w:tcW w:w="36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434C16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100</w:t>
            </w:r>
          </w:p>
        </w:tc>
        <w:tc>
          <w:tcPr>
            <w:tcW w:w="36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2B2D69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100</w:t>
            </w:r>
          </w:p>
        </w:tc>
        <w:tc>
          <w:tcPr>
            <w:tcW w:w="36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C91B41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100</w:t>
            </w:r>
          </w:p>
        </w:tc>
        <w:tc>
          <w:tcPr>
            <w:tcW w:w="36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E201C4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100</w:t>
            </w:r>
          </w:p>
        </w:tc>
        <w:tc>
          <w:tcPr>
            <w:tcW w:w="369" w:type="pct"/>
            <w:tcBorders>
              <w:top w:val="single" w:color="000000" w:sz="4" w:space="0"/>
              <w:left w:val="single" w:color="000000" w:sz="4" w:space="0"/>
              <w:bottom w:val="single" w:color="000000" w:sz="4" w:space="0"/>
            </w:tcBorders>
            <w:shd w:val="clear" w:color="auto" w:fill="auto"/>
            <w:noWrap w:val="0"/>
            <w:vAlign w:val="center"/>
          </w:tcPr>
          <w:p w14:paraId="006E389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heme="minorBidi"/>
                <w:kern w:val="2"/>
                <w:sz w:val="21"/>
                <w:szCs w:val="21"/>
                <w:highlight w:val="none"/>
                <w:lang w:val="en-US" w:eastAsia="zh-CN" w:bidi="ar-SA"/>
              </w:rPr>
            </w:pPr>
            <w:r>
              <w:rPr>
                <w:rFonts w:hint="eastAsia" w:cstheme="minorBidi"/>
                <w:kern w:val="2"/>
                <w:sz w:val="21"/>
                <w:szCs w:val="21"/>
                <w:highlight w:val="none"/>
                <w:lang w:val="en-US" w:eastAsia="zh-CN" w:bidi="ar-SA"/>
              </w:rPr>
              <w:t>100</w:t>
            </w:r>
          </w:p>
        </w:tc>
      </w:tr>
      <w:tr w14:paraId="0EBDFF61">
        <w:tblPrEx>
          <w:tblBorders>
            <w:top w:val="single" w:color="auto" w:sz="12" w:space="0"/>
            <w:left w:val="single" w:color="auto" w:sz="12" w:space="0"/>
            <w:bottom w:val="single" w:color="auto" w:sz="12" w:space="0"/>
            <w:right w:val="single" w:color="auto" w:sz="12" w:space="0"/>
            <w:insideH w:val="none" w:color="auto" w:sz="4" w:space="0"/>
            <w:insideV w:val="none" w:color="auto" w:sz="4" w:space="0"/>
          </w:tblBorders>
          <w:shd w:val="clear" w:color="auto" w:fill="auto"/>
          <w:tblCellMar>
            <w:top w:w="0" w:type="dxa"/>
            <w:left w:w="108" w:type="dxa"/>
            <w:bottom w:w="0" w:type="dxa"/>
            <w:right w:w="108" w:type="dxa"/>
          </w:tblCellMar>
        </w:tblPrEx>
        <w:trPr>
          <w:trHeight w:val="23" w:hRule="atLeast"/>
          <w:jc w:val="center"/>
        </w:trPr>
        <w:tc>
          <w:tcPr>
            <w:tcW w:w="241" w:type="pct"/>
            <w:vMerge w:val="continue"/>
            <w:tcBorders>
              <w:top w:val="single" w:color="000000" w:sz="4" w:space="0"/>
              <w:bottom w:val="single" w:color="000000" w:sz="4" w:space="0"/>
              <w:right w:val="single" w:color="000000" w:sz="4" w:space="0"/>
            </w:tcBorders>
            <w:shd w:val="clear" w:color="auto" w:fill="auto"/>
            <w:noWrap w:val="0"/>
            <w:vAlign w:val="center"/>
          </w:tcPr>
          <w:p w14:paraId="34019FF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rPr>
            </w:pPr>
          </w:p>
        </w:tc>
        <w:tc>
          <w:tcPr>
            <w:tcW w:w="38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4C21C1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rPr>
            </w:pPr>
            <w:r>
              <w:rPr>
                <w:rFonts w:hint="default"/>
                <w:sz w:val="21"/>
                <w:szCs w:val="21"/>
                <w:highlight w:val="none"/>
              </w:rPr>
              <w:t>超标率%</w:t>
            </w:r>
          </w:p>
        </w:tc>
        <w:tc>
          <w:tcPr>
            <w:tcW w:w="325"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037F15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0</w:t>
            </w:r>
          </w:p>
        </w:tc>
        <w:tc>
          <w:tcPr>
            <w:tcW w:w="36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3E2F83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0</w:t>
            </w:r>
          </w:p>
        </w:tc>
        <w:tc>
          <w:tcPr>
            <w:tcW w:w="36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55A56C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0</w:t>
            </w:r>
          </w:p>
        </w:tc>
        <w:tc>
          <w:tcPr>
            <w:tcW w:w="36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77B731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0</w:t>
            </w:r>
          </w:p>
        </w:tc>
        <w:tc>
          <w:tcPr>
            <w:tcW w:w="36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197EFE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0</w:t>
            </w:r>
          </w:p>
        </w:tc>
        <w:tc>
          <w:tcPr>
            <w:tcW w:w="36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12B110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0</w:t>
            </w:r>
          </w:p>
        </w:tc>
        <w:tc>
          <w:tcPr>
            <w:tcW w:w="36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DB1982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0</w:t>
            </w:r>
          </w:p>
        </w:tc>
        <w:tc>
          <w:tcPr>
            <w:tcW w:w="36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205ADF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0</w:t>
            </w:r>
          </w:p>
        </w:tc>
        <w:tc>
          <w:tcPr>
            <w:tcW w:w="36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7A8341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0</w:t>
            </w:r>
          </w:p>
        </w:tc>
        <w:tc>
          <w:tcPr>
            <w:tcW w:w="36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AB2D3D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0</w:t>
            </w:r>
          </w:p>
        </w:tc>
        <w:tc>
          <w:tcPr>
            <w:tcW w:w="36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10C293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0</w:t>
            </w:r>
          </w:p>
        </w:tc>
        <w:tc>
          <w:tcPr>
            <w:tcW w:w="369" w:type="pct"/>
            <w:tcBorders>
              <w:top w:val="single" w:color="000000" w:sz="4" w:space="0"/>
              <w:left w:val="single" w:color="000000" w:sz="4" w:space="0"/>
              <w:bottom w:val="single" w:color="000000" w:sz="4" w:space="0"/>
            </w:tcBorders>
            <w:shd w:val="clear" w:color="auto" w:fill="auto"/>
            <w:noWrap w:val="0"/>
            <w:vAlign w:val="center"/>
          </w:tcPr>
          <w:p w14:paraId="7885360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heme="minorBidi"/>
                <w:kern w:val="2"/>
                <w:sz w:val="21"/>
                <w:szCs w:val="21"/>
                <w:highlight w:val="none"/>
                <w:lang w:val="en-US" w:eastAsia="zh-CN" w:bidi="ar-SA"/>
              </w:rPr>
            </w:pPr>
            <w:r>
              <w:rPr>
                <w:rFonts w:hint="eastAsia" w:cstheme="minorBidi"/>
                <w:kern w:val="2"/>
                <w:sz w:val="21"/>
                <w:szCs w:val="21"/>
                <w:highlight w:val="none"/>
                <w:lang w:val="en-US" w:eastAsia="zh-CN" w:bidi="ar-SA"/>
              </w:rPr>
              <w:t>0</w:t>
            </w:r>
          </w:p>
        </w:tc>
      </w:tr>
      <w:tr w14:paraId="3CC61C2D">
        <w:tblPrEx>
          <w:tblBorders>
            <w:top w:val="single" w:color="auto" w:sz="12" w:space="0"/>
            <w:left w:val="single" w:color="auto" w:sz="12" w:space="0"/>
            <w:bottom w:val="single" w:color="auto" w:sz="12" w:space="0"/>
            <w:right w:val="single" w:color="auto" w:sz="12" w:space="0"/>
            <w:insideH w:val="none" w:color="auto" w:sz="4" w:space="0"/>
            <w:insideV w:val="none" w:color="auto" w:sz="4" w:space="0"/>
          </w:tblBorders>
          <w:tblCellMar>
            <w:top w:w="0" w:type="dxa"/>
            <w:left w:w="108" w:type="dxa"/>
            <w:bottom w:w="0" w:type="dxa"/>
            <w:right w:w="108" w:type="dxa"/>
          </w:tblCellMar>
        </w:tblPrEx>
        <w:trPr>
          <w:trHeight w:val="23" w:hRule="atLeast"/>
          <w:jc w:val="center"/>
        </w:trPr>
        <w:tc>
          <w:tcPr>
            <w:tcW w:w="241" w:type="pct"/>
            <w:vMerge w:val="restart"/>
            <w:tcBorders>
              <w:top w:val="single" w:color="000000" w:sz="4" w:space="0"/>
              <w:bottom w:val="single" w:color="000000" w:sz="4" w:space="0"/>
              <w:right w:val="single" w:color="000000" w:sz="4" w:space="0"/>
            </w:tcBorders>
            <w:shd w:val="clear" w:color="auto" w:fill="auto"/>
            <w:noWrap w:val="0"/>
            <w:vAlign w:val="center"/>
          </w:tcPr>
          <w:p w14:paraId="4B0111D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rPr>
            </w:pPr>
            <w:r>
              <w:rPr>
                <w:rFonts w:hint="default"/>
                <w:sz w:val="21"/>
                <w:szCs w:val="21"/>
                <w:highlight w:val="none"/>
              </w:rPr>
              <w:t>D3</w:t>
            </w:r>
          </w:p>
        </w:tc>
        <w:tc>
          <w:tcPr>
            <w:tcW w:w="38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5287D5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rPr>
            </w:pPr>
            <w:r>
              <w:rPr>
                <w:rFonts w:hint="default"/>
                <w:sz w:val="21"/>
                <w:szCs w:val="21"/>
                <w:highlight w:val="none"/>
              </w:rPr>
              <w:t>监测值</w:t>
            </w:r>
          </w:p>
        </w:tc>
        <w:tc>
          <w:tcPr>
            <w:tcW w:w="325"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CC08D8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lang w:val="en-US" w:eastAsia="zh-CN"/>
              </w:rPr>
            </w:pPr>
            <w:r>
              <w:rPr>
                <w:rFonts w:hint="eastAsia"/>
                <w:sz w:val="21"/>
                <w:szCs w:val="21"/>
                <w:highlight w:val="none"/>
                <w:lang w:val="en-US" w:eastAsia="zh-CN"/>
              </w:rPr>
              <w:t>0.025</w:t>
            </w:r>
          </w:p>
        </w:tc>
        <w:tc>
          <w:tcPr>
            <w:tcW w:w="36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EC686E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lang w:val="en-US" w:eastAsia="zh-CN"/>
              </w:rPr>
            </w:pPr>
            <w:r>
              <w:rPr>
                <w:rFonts w:hint="eastAsia"/>
                <w:sz w:val="21"/>
                <w:szCs w:val="21"/>
                <w:highlight w:val="none"/>
                <w:lang w:val="en-US" w:eastAsia="zh-CN"/>
              </w:rPr>
              <w:t>0.00006</w:t>
            </w:r>
          </w:p>
        </w:tc>
        <w:tc>
          <w:tcPr>
            <w:tcW w:w="36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C54233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lang w:val="en-US" w:eastAsia="zh-CN"/>
              </w:rPr>
            </w:pPr>
            <w:r>
              <w:rPr>
                <w:rFonts w:hint="eastAsia"/>
                <w:sz w:val="21"/>
                <w:szCs w:val="21"/>
                <w:highlight w:val="none"/>
                <w:lang w:val="en-US" w:eastAsia="zh-CN"/>
              </w:rPr>
              <w:t>ND</w:t>
            </w:r>
          </w:p>
        </w:tc>
        <w:tc>
          <w:tcPr>
            <w:tcW w:w="36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60BBD1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lang w:val="en-US" w:eastAsia="zh-CN"/>
              </w:rPr>
            </w:pPr>
            <w:r>
              <w:rPr>
                <w:rFonts w:hint="eastAsia"/>
                <w:sz w:val="21"/>
                <w:szCs w:val="21"/>
                <w:highlight w:val="none"/>
                <w:lang w:val="en-US" w:eastAsia="zh-CN"/>
              </w:rPr>
              <w:t>0.00063</w:t>
            </w:r>
          </w:p>
        </w:tc>
        <w:tc>
          <w:tcPr>
            <w:tcW w:w="36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72045F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lang w:val="en-US" w:eastAsia="zh-CN"/>
              </w:rPr>
            </w:pPr>
            <w:r>
              <w:rPr>
                <w:rFonts w:hint="eastAsia"/>
                <w:sz w:val="21"/>
                <w:szCs w:val="21"/>
                <w:highlight w:val="none"/>
                <w:lang w:val="en-US" w:eastAsia="zh-CN"/>
              </w:rPr>
              <w:t>0.00044</w:t>
            </w:r>
          </w:p>
        </w:tc>
        <w:tc>
          <w:tcPr>
            <w:tcW w:w="36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AA753B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lang w:val="en-US" w:eastAsia="zh-CN"/>
              </w:rPr>
            </w:pPr>
            <w:r>
              <w:rPr>
                <w:rFonts w:hint="eastAsia"/>
                <w:sz w:val="21"/>
                <w:szCs w:val="21"/>
                <w:highlight w:val="none"/>
                <w:lang w:val="en-US" w:eastAsia="zh-CN"/>
              </w:rPr>
              <w:t>0.00147</w:t>
            </w:r>
          </w:p>
        </w:tc>
        <w:tc>
          <w:tcPr>
            <w:tcW w:w="36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EB8129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lang w:val="en-US" w:eastAsia="zh-CN"/>
              </w:rPr>
            </w:pPr>
            <w:r>
              <w:rPr>
                <w:rFonts w:hint="eastAsia"/>
                <w:sz w:val="21"/>
                <w:szCs w:val="21"/>
                <w:highlight w:val="none"/>
                <w:lang w:val="en-US" w:eastAsia="zh-CN"/>
              </w:rPr>
              <w:t>0.00754</w:t>
            </w:r>
          </w:p>
        </w:tc>
        <w:tc>
          <w:tcPr>
            <w:tcW w:w="36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D148EC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215</w:t>
            </w:r>
          </w:p>
        </w:tc>
        <w:tc>
          <w:tcPr>
            <w:tcW w:w="36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170245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lang w:val="en-US" w:eastAsia="zh-CN"/>
              </w:rPr>
            </w:pPr>
            <w:r>
              <w:rPr>
                <w:rFonts w:hint="eastAsia"/>
                <w:sz w:val="21"/>
                <w:szCs w:val="21"/>
                <w:highlight w:val="none"/>
                <w:lang w:val="en-US" w:eastAsia="zh-CN"/>
              </w:rPr>
              <w:t>1.52</w:t>
            </w:r>
          </w:p>
        </w:tc>
        <w:tc>
          <w:tcPr>
            <w:tcW w:w="36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C23D15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heme="minorBidi"/>
                <w:kern w:val="2"/>
                <w:sz w:val="21"/>
                <w:szCs w:val="21"/>
                <w:highlight w:val="none"/>
                <w:lang w:val="en-US" w:eastAsia="zh-CN" w:bidi="ar-SA"/>
              </w:rPr>
            </w:pPr>
            <w:r>
              <w:rPr>
                <w:rFonts w:hint="eastAsia" w:cstheme="minorBidi"/>
                <w:kern w:val="2"/>
                <w:sz w:val="21"/>
                <w:szCs w:val="21"/>
                <w:highlight w:val="none"/>
                <w:lang w:val="en-US" w:eastAsia="zh-CN" w:bidi="ar-SA"/>
              </w:rPr>
              <w:t>28.8</w:t>
            </w:r>
          </w:p>
        </w:tc>
        <w:tc>
          <w:tcPr>
            <w:tcW w:w="36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E4FCB5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heme="minorBidi"/>
                <w:kern w:val="2"/>
                <w:sz w:val="21"/>
                <w:szCs w:val="21"/>
                <w:highlight w:val="none"/>
                <w:lang w:val="en-US" w:eastAsia="zh-CN" w:bidi="ar-SA"/>
              </w:rPr>
            </w:pPr>
            <w:r>
              <w:rPr>
                <w:rFonts w:hint="eastAsia" w:cstheme="minorBidi"/>
                <w:kern w:val="2"/>
                <w:sz w:val="21"/>
                <w:szCs w:val="21"/>
                <w:highlight w:val="none"/>
                <w:lang w:val="en-US" w:eastAsia="zh-CN" w:bidi="ar-SA"/>
              </w:rPr>
              <w:t>3.22</w:t>
            </w:r>
          </w:p>
        </w:tc>
        <w:tc>
          <w:tcPr>
            <w:tcW w:w="369" w:type="pct"/>
            <w:tcBorders>
              <w:top w:val="single" w:color="000000" w:sz="4" w:space="0"/>
              <w:left w:val="single" w:color="000000" w:sz="4" w:space="0"/>
              <w:bottom w:val="single" w:color="000000" w:sz="4" w:space="0"/>
            </w:tcBorders>
            <w:shd w:val="clear" w:color="auto" w:fill="auto"/>
            <w:noWrap w:val="0"/>
            <w:vAlign w:val="center"/>
          </w:tcPr>
          <w:p w14:paraId="1EF119E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lang w:val="en-US" w:eastAsia="zh-CN"/>
              </w:rPr>
            </w:pPr>
            <w:r>
              <w:rPr>
                <w:rFonts w:hint="eastAsia"/>
                <w:sz w:val="21"/>
                <w:szCs w:val="21"/>
                <w:highlight w:val="none"/>
                <w:lang w:val="en-US" w:eastAsia="zh-CN"/>
              </w:rPr>
              <w:t>未检出</w:t>
            </w:r>
          </w:p>
        </w:tc>
      </w:tr>
      <w:tr w14:paraId="7B6BCC97">
        <w:tblPrEx>
          <w:tblBorders>
            <w:top w:val="single" w:color="auto" w:sz="12" w:space="0"/>
            <w:left w:val="single" w:color="auto" w:sz="12" w:space="0"/>
            <w:bottom w:val="single" w:color="auto" w:sz="12" w:space="0"/>
            <w:right w:val="single" w:color="auto" w:sz="12" w:space="0"/>
            <w:insideH w:val="none" w:color="auto" w:sz="4" w:space="0"/>
            <w:insideV w:val="none" w:color="auto" w:sz="4" w:space="0"/>
          </w:tblBorders>
          <w:shd w:val="clear" w:color="auto" w:fill="auto"/>
          <w:tblCellMar>
            <w:top w:w="0" w:type="dxa"/>
            <w:left w:w="108" w:type="dxa"/>
            <w:bottom w:w="0" w:type="dxa"/>
            <w:right w:w="108" w:type="dxa"/>
          </w:tblCellMar>
        </w:tblPrEx>
        <w:trPr>
          <w:trHeight w:val="23" w:hRule="atLeast"/>
          <w:jc w:val="center"/>
        </w:trPr>
        <w:tc>
          <w:tcPr>
            <w:tcW w:w="241" w:type="pct"/>
            <w:vMerge w:val="continue"/>
            <w:tcBorders>
              <w:top w:val="single" w:color="000000" w:sz="4" w:space="0"/>
              <w:bottom w:val="single" w:color="000000" w:sz="4" w:space="0"/>
              <w:right w:val="single" w:color="000000" w:sz="4" w:space="0"/>
            </w:tcBorders>
            <w:shd w:val="clear" w:color="auto" w:fill="auto"/>
            <w:noWrap w:val="0"/>
            <w:vAlign w:val="center"/>
          </w:tcPr>
          <w:p w14:paraId="33FAB52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rPr>
            </w:pPr>
          </w:p>
        </w:tc>
        <w:tc>
          <w:tcPr>
            <w:tcW w:w="38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20676C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rPr>
            </w:pPr>
            <w:r>
              <w:rPr>
                <w:rFonts w:hint="default"/>
                <w:sz w:val="21"/>
                <w:szCs w:val="21"/>
                <w:highlight w:val="none"/>
              </w:rPr>
              <w:t>标准指数</w:t>
            </w:r>
          </w:p>
        </w:tc>
        <w:tc>
          <w:tcPr>
            <w:tcW w:w="325"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83F08E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lang w:val="en-US" w:eastAsia="zh-CN"/>
              </w:rPr>
            </w:pPr>
            <w:r>
              <w:rPr>
                <w:rFonts w:hint="eastAsia"/>
                <w:sz w:val="21"/>
                <w:szCs w:val="21"/>
                <w:highlight w:val="none"/>
                <w:lang w:val="en-US" w:eastAsia="zh-CN"/>
              </w:rPr>
              <w:t>0.025</w:t>
            </w:r>
          </w:p>
        </w:tc>
        <w:tc>
          <w:tcPr>
            <w:tcW w:w="36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34EC13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0.012</w:t>
            </w:r>
          </w:p>
        </w:tc>
        <w:tc>
          <w:tcPr>
            <w:tcW w:w="36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624679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w:t>
            </w:r>
          </w:p>
        </w:tc>
        <w:tc>
          <w:tcPr>
            <w:tcW w:w="36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7B2F2E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lang w:val="en-US" w:eastAsia="zh-CN"/>
              </w:rPr>
            </w:pPr>
            <w:r>
              <w:rPr>
                <w:rFonts w:hint="eastAsia"/>
                <w:sz w:val="21"/>
                <w:szCs w:val="21"/>
                <w:highlight w:val="none"/>
                <w:lang w:val="en-US" w:eastAsia="zh-CN"/>
              </w:rPr>
              <w:t>0.0063</w:t>
            </w:r>
          </w:p>
        </w:tc>
        <w:tc>
          <w:tcPr>
            <w:tcW w:w="36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05FC06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lang w:val="en-US" w:eastAsia="zh-CN"/>
              </w:rPr>
            </w:pPr>
            <w:r>
              <w:rPr>
                <w:rFonts w:hint="eastAsia"/>
                <w:sz w:val="21"/>
                <w:szCs w:val="21"/>
                <w:highlight w:val="none"/>
                <w:lang w:val="en-US" w:eastAsia="zh-CN"/>
              </w:rPr>
              <w:t>0.022</w:t>
            </w:r>
          </w:p>
        </w:tc>
        <w:tc>
          <w:tcPr>
            <w:tcW w:w="36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E3BA5F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lang w:val="en-US" w:eastAsia="zh-CN"/>
              </w:rPr>
            </w:pPr>
            <w:r>
              <w:rPr>
                <w:rFonts w:hint="eastAsia"/>
                <w:sz w:val="21"/>
                <w:szCs w:val="21"/>
                <w:highlight w:val="none"/>
                <w:lang w:val="en-US" w:eastAsia="zh-CN"/>
              </w:rPr>
              <w:t>0.00147</w:t>
            </w:r>
          </w:p>
        </w:tc>
        <w:tc>
          <w:tcPr>
            <w:tcW w:w="36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168756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heme="minorBidi"/>
                <w:kern w:val="2"/>
                <w:sz w:val="21"/>
                <w:szCs w:val="21"/>
                <w:highlight w:val="none"/>
                <w:lang w:val="en-US" w:eastAsia="zh-CN" w:bidi="ar-SA"/>
              </w:rPr>
            </w:pPr>
            <w:r>
              <w:rPr>
                <w:rFonts w:hint="eastAsia"/>
                <w:sz w:val="21"/>
                <w:szCs w:val="21"/>
                <w:highlight w:val="none"/>
                <w:lang w:val="en-US" w:eastAsia="zh-CN"/>
              </w:rPr>
              <w:t>0.00754</w:t>
            </w:r>
          </w:p>
        </w:tc>
        <w:tc>
          <w:tcPr>
            <w:tcW w:w="36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9D3C6A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heme="minorBidi"/>
                <w:kern w:val="2"/>
                <w:sz w:val="21"/>
                <w:szCs w:val="21"/>
                <w:highlight w:val="none"/>
                <w:lang w:val="en-US" w:eastAsia="zh-CN" w:bidi="ar-SA"/>
              </w:rPr>
            </w:pPr>
            <w:r>
              <w:rPr>
                <w:rFonts w:hint="eastAsia" w:cstheme="minorBidi"/>
                <w:kern w:val="2"/>
                <w:sz w:val="21"/>
                <w:szCs w:val="21"/>
                <w:highlight w:val="none"/>
                <w:lang w:val="en-US" w:eastAsia="zh-CN" w:bidi="ar-SA"/>
              </w:rPr>
              <w:t>0.215</w:t>
            </w:r>
          </w:p>
        </w:tc>
        <w:tc>
          <w:tcPr>
            <w:tcW w:w="36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74AE23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lang w:val="en-US" w:eastAsia="zh-CN"/>
              </w:rPr>
            </w:pPr>
            <w:r>
              <w:rPr>
                <w:rFonts w:hint="eastAsia"/>
                <w:sz w:val="21"/>
                <w:szCs w:val="21"/>
                <w:highlight w:val="none"/>
                <w:lang w:val="en-US" w:eastAsia="zh-CN"/>
              </w:rPr>
              <w:t>0.51</w:t>
            </w:r>
          </w:p>
        </w:tc>
        <w:tc>
          <w:tcPr>
            <w:tcW w:w="36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9FFAA1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heme="minorBidi"/>
                <w:kern w:val="2"/>
                <w:sz w:val="21"/>
                <w:szCs w:val="21"/>
                <w:highlight w:val="none"/>
                <w:lang w:val="en-US" w:eastAsia="zh-CN" w:bidi="ar-SA"/>
              </w:rPr>
            </w:pPr>
            <w:r>
              <w:rPr>
                <w:rFonts w:hint="eastAsia" w:cstheme="minorBidi"/>
                <w:kern w:val="2"/>
                <w:sz w:val="21"/>
                <w:szCs w:val="21"/>
                <w:highlight w:val="none"/>
                <w:lang w:val="en-US" w:eastAsia="zh-CN" w:bidi="ar-SA"/>
              </w:rPr>
              <w:t>0.1152</w:t>
            </w:r>
          </w:p>
        </w:tc>
        <w:tc>
          <w:tcPr>
            <w:tcW w:w="36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108A0B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heme="minorBidi"/>
                <w:kern w:val="2"/>
                <w:sz w:val="21"/>
                <w:szCs w:val="21"/>
                <w:highlight w:val="none"/>
                <w:lang w:val="en-US" w:eastAsia="zh-CN" w:bidi="ar-SA"/>
              </w:rPr>
            </w:pPr>
            <w:r>
              <w:rPr>
                <w:rFonts w:hint="eastAsia" w:cstheme="minorBidi"/>
                <w:kern w:val="2"/>
                <w:sz w:val="21"/>
                <w:szCs w:val="21"/>
                <w:highlight w:val="none"/>
                <w:lang w:val="en-US" w:eastAsia="zh-CN" w:bidi="ar-SA"/>
              </w:rPr>
              <w:t>0.013</w:t>
            </w:r>
          </w:p>
        </w:tc>
        <w:tc>
          <w:tcPr>
            <w:tcW w:w="369" w:type="pct"/>
            <w:tcBorders>
              <w:top w:val="single" w:color="000000" w:sz="4" w:space="0"/>
              <w:left w:val="single" w:color="000000" w:sz="4" w:space="0"/>
              <w:bottom w:val="single" w:color="000000" w:sz="4" w:space="0"/>
            </w:tcBorders>
            <w:shd w:val="clear" w:color="auto" w:fill="auto"/>
            <w:noWrap w:val="0"/>
            <w:vAlign w:val="center"/>
          </w:tcPr>
          <w:p w14:paraId="5273B26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w:t>
            </w:r>
          </w:p>
        </w:tc>
      </w:tr>
      <w:tr w14:paraId="50EA9046">
        <w:tblPrEx>
          <w:tblBorders>
            <w:top w:val="single" w:color="auto" w:sz="12" w:space="0"/>
            <w:left w:val="single" w:color="auto" w:sz="12" w:space="0"/>
            <w:bottom w:val="single" w:color="auto" w:sz="12" w:space="0"/>
            <w:right w:val="single" w:color="auto" w:sz="12" w:space="0"/>
            <w:insideH w:val="none" w:color="auto" w:sz="4" w:space="0"/>
            <w:insideV w:val="none" w:color="auto" w:sz="4" w:space="0"/>
          </w:tblBorders>
          <w:tblCellMar>
            <w:top w:w="0" w:type="dxa"/>
            <w:left w:w="108" w:type="dxa"/>
            <w:bottom w:w="0" w:type="dxa"/>
            <w:right w:w="108" w:type="dxa"/>
          </w:tblCellMar>
        </w:tblPrEx>
        <w:trPr>
          <w:trHeight w:val="23" w:hRule="atLeast"/>
          <w:jc w:val="center"/>
        </w:trPr>
        <w:tc>
          <w:tcPr>
            <w:tcW w:w="241" w:type="pct"/>
            <w:vMerge w:val="continue"/>
            <w:tcBorders>
              <w:top w:val="single" w:color="000000" w:sz="4" w:space="0"/>
              <w:bottom w:val="single" w:color="000000" w:sz="4" w:space="0"/>
              <w:right w:val="single" w:color="000000" w:sz="4" w:space="0"/>
            </w:tcBorders>
            <w:shd w:val="clear" w:color="auto" w:fill="auto"/>
            <w:noWrap w:val="0"/>
            <w:vAlign w:val="center"/>
          </w:tcPr>
          <w:p w14:paraId="3DD9945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rPr>
            </w:pPr>
          </w:p>
        </w:tc>
        <w:tc>
          <w:tcPr>
            <w:tcW w:w="38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981563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rPr>
            </w:pPr>
            <w:r>
              <w:rPr>
                <w:rFonts w:hint="default"/>
                <w:sz w:val="21"/>
                <w:szCs w:val="21"/>
                <w:highlight w:val="none"/>
              </w:rPr>
              <w:t>检出率%</w:t>
            </w:r>
          </w:p>
        </w:tc>
        <w:tc>
          <w:tcPr>
            <w:tcW w:w="325"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4CE052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100</w:t>
            </w:r>
          </w:p>
        </w:tc>
        <w:tc>
          <w:tcPr>
            <w:tcW w:w="36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F211F3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100</w:t>
            </w:r>
          </w:p>
        </w:tc>
        <w:tc>
          <w:tcPr>
            <w:tcW w:w="36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E2375E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w:t>
            </w:r>
          </w:p>
        </w:tc>
        <w:tc>
          <w:tcPr>
            <w:tcW w:w="36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9487E9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100</w:t>
            </w:r>
          </w:p>
        </w:tc>
        <w:tc>
          <w:tcPr>
            <w:tcW w:w="36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476677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100</w:t>
            </w:r>
          </w:p>
        </w:tc>
        <w:tc>
          <w:tcPr>
            <w:tcW w:w="36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56D880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100</w:t>
            </w:r>
          </w:p>
        </w:tc>
        <w:tc>
          <w:tcPr>
            <w:tcW w:w="36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6EE847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100</w:t>
            </w:r>
          </w:p>
        </w:tc>
        <w:tc>
          <w:tcPr>
            <w:tcW w:w="36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C85400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100</w:t>
            </w:r>
          </w:p>
        </w:tc>
        <w:tc>
          <w:tcPr>
            <w:tcW w:w="36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44BF11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100</w:t>
            </w:r>
          </w:p>
        </w:tc>
        <w:tc>
          <w:tcPr>
            <w:tcW w:w="36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CC670A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100</w:t>
            </w:r>
          </w:p>
        </w:tc>
        <w:tc>
          <w:tcPr>
            <w:tcW w:w="36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C40723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100</w:t>
            </w:r>
          </w:p>
        </w:tc>
        <w:tc>
          <w:tcPr>
            <w:tcW w:w="369" w:type="pct"/>
            <w:tcBorders>
              <w:top w:val="single" w:color="000000" w:sz="4" w:space="0"/>
              <w:left w:val="single" w:color="000000" w:sz="4" w:space="0"/>
              <w:bottom w:val="single" w:color="000000" w:sz="4" w:space="0"/>
            </w:tcBorders>
            <w:shd w:val="clear" w:color="auto" w:fill="auto"/>
            <w:noWrap w:val="0"/>
            <w:vAlign w:val="center"/>
          </w:tcPr>
          <w:p w14:paraId="030A6E5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w:t>
            </w:r>
          </w:p>
        </w:tc>
      </w:tr>
      <w:tr w14:paraId="23342DF5">
        <w:tblPrEx>
          <w:tblBorders>
            <w:top w:val="single" w:color="auto" w:sz="12" w:space="0"/>
            <w:left w:val="single" w:color="auto" w:sz="12" w:space="0"/>
            <w:bottom w:val="single" w:color="auto" w:sz="12" w:space="0"/>
            <w:right w:val="single" w:color="auto" w:sz="12" w:space="0"/>
            <w:insideH w:val="none" w:color="auto" w:sz="4" w:space="0"/>
            <w:insideV w:val="none" w:color="auto" w:sz="4" w:space="0"/>
          </w:tblBorders>
          <w:shd w:val="clear" w:color="auto" w:fill="auto"/>
          <w:tblCellMar>
            <w:top w:w="0" w:type="dxa"/>
            <w:left w:w="108" w:type="dxa"/>
            <w:bottom w:w="0" w:type="dxa"/>
            <w:right w:w="108" w:type="dxa"/>
          </w:tblCellMar>
        </w:tblPrEx>
        <w:trPr>
          <w:trHeight w:val="23" w:hRule="atLeast"/>
          <w:jc w:val="center"/>
        </w:trPr>
        <w:tc>
          <w:tcPr>
            <w:tcW w:w="241" w:type="pct"/>
            <w:vMerge w:val="continue"/>
            <w:tcBorders>
              <w:top w:val="single" w:color="000000" w:sz="4" w:space="0"/>
              <w:bottom w:val="single" w:color="000000" w:sz="4" w:space="0"/>
              <w:right w:val="single" w:color="000000" w:sz="4" w:space="0"/>
            </w:tcBorders>
            <w:shd w:val="clear" w:color="auto" w:fill="auto"/>
            <w:noWrap w:val="0"/>
            <w:vAlign w:val="center"/>
          </w:tcPr>
          <w:p w14:paraId="73D1EA8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rPr>
            </w:pPr>
          </w:p>
        </w:tc>
        <w:tc>
          <w:tcPr>
            <w:tcW w:w="38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B900B1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rPr>
            </w:pPr>
            <w:r>
              <w:rPr>
                <w:rFonts w:hint="default"/>
                <w:sz w:val="21"/>
                <w:szCs w:val="21"/>
                <w:highlight w:val="none"/>
              </w:rPr>
              <w:t>超标率%</w:t>
            </w:r>
          </w:p>
        </w:tc>
        <w:tc>
          <w:tcPr>
            <w:tcW w:w="325"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CD6A98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0</w:t>
            </w:r>
          </w:p>
        </w:tc>
        <w:tc>
          <w:tcPr>
            <w:tcW w:w="36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BED41C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0</w:t>
            </w:r>
          </w:p>
        </w:tc>
        <w:tc>
          <w:tcPr>
            <w:tcW w:w="36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7FF731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0</w:t>
            </w:r>
          </w:p>
        </w:tc>
        <w:tc>
          <w:tcPr>
            <w:tcW w:w="36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A14C0A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0</w:t>
            </w:r>
          </w:p>
        </w:tc>
        <w:tc>
          <w:tcPr>
            <w:tcW w:w="36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6DA2ED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0</w:t>
            </w:r>
          </w:p>
        </w:tc>
        <w:tc>
          <w:tcPr>
            <w:tcW w:w="36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5E6FAF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0</w:t>
            </w:r>
          </w:p>
        </w:tc>
        <w:tc>
          <w:tcPr>
            <w:tcW w:w="36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2CFCCD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0</w:t>
            </w:r>
          </w:p>
        </w:tc>
        <w:tc>
          <w:tcPr>
            <w:tcW w:w="36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D2D815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0</w:t>
            </w:r>
          </w:p>
        </w:tc>
        <w:tc>
          <w:tcPr>
            <w:tcW w:w="36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1F3A0B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0</w:t>
            </w:r>
          </w:p>
        </w:tc>
        <w:tc>
          <w:tcPr>
            <w:tcW w:w="36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D9035B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0</w:t>
            </w:r>
          </w:p>
        </w:tc>
        <w:tc>
          <w:tcPr>
            <w:tcW w:w="36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99BE3D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0</w:t>
            </w:r>
          </w:p>
        </w:tc>
        <w:tc>
          <w:tcPr>
            <w:tcW w:w="369" w:type="pct"/>
            <w:tcBorders>
              <w:top w:val="single" w:color="000000" w:sz="4" w:space="0"/>
              <w:left w:val="single" w:color="000000" w:sz="4" w:space="0"/>
              <w:bottom w:val="single" w:color="000000" w:sz="4" w:space="0"/>
            </w:tcBorders>
            <w:shd w:val="clear" w:color="auto" w:fill="auto"/>
            <w:noWrap w:val="0"/>
            <w:vAlign w:val="center"/>
          </w:tcPr>
          <w:p w14:paraId="5621F39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0</w:t>
            </w:r>
          </w:p>
        </w:tc>
      </w:tr>
      <w:tr w14:paraId="0ECF48FD">
        <w:tblPrEx>
          <w:tblBorders>
            <w:top w:val="single" w:color="auto" w:sz="12" w:space="0"/>
            <w:left w:val="single" w:color="auto" w:sz="12" w:space="0"/>
            <w:bottom w:val="single" w:color="auto" w:sz="12" w:space="0"/>
            <w:right w:val="single" w:color="auto" w:sz="12" w:space="0"/>
            <w:insideH w:val="none" w:color="auto" w:sz="4" w:space="0"/>
            <w:insideV w:val="none" w:color="auto" w:sz="4" w:space="0"/>
          </w:tblBorders>
          <w:shd w:val="clear" w:color="auto" w:fill="auto"/>
          <w:tblCellMar>
            <w:top w:w="0" w:type="dxa"/>
            <w:left w:w="108" w:type="dxa"/>
            <w:bottom w:w="0" w:type="dxa"/>
            <w:right w:w="108" w:type="dxa"/>
          </w:tblCellMar>
        </w:tblPrEx>
        <w:trPr>
          <w:trHeight w:val="23" w:hRule="atLeast"/>
          <w:jc w:val="center"/>
        </w:trPr>
        <w:tc>
          <w:tcPr>
            <w:tcW w:w="241" w:type="pct"/>
            <w:vMerge w:val="restart"/>
            <w:tcBorders>
              <w:top w:val="single" w:color="000000" w:sz="4" w:space="0"/>
              <w:right w:val="single" w:color="000000" w:sz="4" w:space="0"/>
            </w:tcBorders>
            <w:shd w:val="clear" w:color="auto" w:fill="auto"/>
            <w:noWrap w:val="0"/>
            <w:vAlign w:val="center"/>
          </w:tcPr>
          <w:p w14:paraId="7B09FEC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sz w:val="21"/>
                <w:szCs w:val="21"/>
                <w:highlight w:val="none"/>
                <w:lang w:val="en-US" w:eastAsia="zh-CN"/>
              </w:rPr>
            </w:pPr>
            <w:r>
              <w:rPr>
                <w:rFonts w:hint="eastAsia"/>
                <w:sz w:val="21"/>
                <w:szCs w:val="21"/>
                <w:highlight w:val="none"/>
                <w:lang w:val="en-US" w:eastAsia="zh-CN"/>
              </w:rPr>
              <w:t>D4</w:t>
            </w:r>
          </w:p>
        </w:tc>
        <w:tc>
          <w:tcPr>
            <w:tcW w:w="38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6B6D00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sz w:val="21"/>
                <w:szCs w:val="21"/>
                <w:highlight w:val="none"/>
              </w:rPr>
              <w:t>监测值</w:t>
            </w:r>
          </w:p>
        </w:tc>
        <w:tc>
          <w:tcPr>
            <w:tcW w:w="325"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4B187D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lang w:val="en-US" w:eastAsia="zh-CN"/>
              </w:rPr>
            </w:pPr>
            <w:r>
              <w:rPr>
                <w:rFonts w:hint="eastAsia"/>
                <w:sz w:val="21"/>
                <w:szCs w:val="21"/>
                <w:highlight w:val="none"/>
                <w:lang w:val="en-US" w:eastAsia="zh-CN"/>
              </w:rPr>
              <w:t>0.018</w:t>
            </w:r>
          </w:p>
        </w:tc>
        <w:tc>
          <w:tcPr>
            <w:tcW w:w="36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E28065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lang w:val="en-US" w:eastAsia="zh-CN"/>
              </w:rPr>
            </w:pPr>
            <w:r>
              <w:rPr>
                <w:rFonts w:hint="eastAsia"/>
                <w:sz w:val="21"/>
                <w:szCs w:val="21"/>
                <w:highlight w:val="none"/>
                <w:lang w:val="en-US" w:eastAsia="zh-CN"/>
              </w:rPr>
              <w:t>0.00006</w:t>
            </w:r>
          </w:p>
        </w:tc>
        <w:tc>
          <w:tcPr>
            <w:tcW w:w="36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5BABA7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ND</w:t>
            </w:r>
          </w:p>
        </w:tc>
        <w:tc>
          <w:tcPr>
            <w:tcW w:w="36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7650AA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0.00134</w:t>
            </w:r>
          </w:p>
        </w:tc>
        <w:tc>
          <w:tcPr>
            <w:tcW w:w="36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737A6B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0.00046</w:t>
            </w:r>
          </w:p>
        </w:tc>
        <w:tc>
          <w:tcPr>
            <w:tcW w:w="36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FCDB16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0.00155</w:t>
            </w:r>
          </w:p>
        </w:tc>
        <w:tc>
          <w:tcPr>
            <w:tcW w:w="36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03A580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0.0245</w:t>
            </w:r>
          </w:p>
        </w:tc>
        <w:tc>
          <w:tcPr>
            <w:tcW w:w="36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B21EF6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462</w:t>
            </w:r>
          </w:p>
        </w:tc>
        <w:tc>
          <w:tcPr>
            <w:tcW w:w="36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36D030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1.10</w:t>
            </w:r>
          </w:p>
        </w:tc>
        <w:tc>
          <w:tcPr>
            <w:tcW w:w="36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8694EB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130</w:t>
            </w:r>
          </w:p>
        </w:tc>
        <w:tc>
          <w:tcPr>
            <w:tcW w:w="36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140E2B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3.47</w:t>
            </w:r>
          </w:p>
        </w:tc>
        <w:tc>
          <w:tcPr>
            <w:tcW w:w="369" w:type="pct"/>
            <w:tcBorders>
              <w:top w:val="single" w:color="000000" w:sz="4" w:space="0"/>
              <w:left w:val="single" w:color="000000" w:sz="4" w:space="0"/>
              <w:bottom w:val="single" w:color="000000" w:sz="4" w:space="0"/>
            </w:tcBorders>
            <w:shd w:val="clear" w:color="auto" w:fill="auto"/>
            <w:noWrap w:val="0"/>
            <w:vAlign w:val="center"/>
          </w:tcPr>
          <w:p w14:paraId="1A02C16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lang w:val="en-US" w:eastAsia="zh-CN"/>
              </w:rPr>
            </w:pPr>
            <w:r>
              <w:rPr>
                <w:rFonts w:hint="eastAsia"/>
                <w:sz w:val="21"/>
                <w:szCs w:val="21"/>
                <w:highlight w:val="none"/>
                <w:lang w:val="en-US" w:eastAsia="zh-CN"/>
              </w:rPr>
              <w:t>2</w:t>
            </w:r>
          </w:p>
        </w:tc>
      </w:tr>
      <w:tr w14:paraId="71F10725">
        <w:tblPrEx>
          <w:tblBorders>
            <w:top w:val="single" w:color="auto" w:sz="12" w:space="0"/>
            <w:left w:val="single" w:color="auto" w:sz="12" w:space="0"/>
            <w:bottom w:val="single" w:color="auto" w:sz="12" w:space="0"/>
            <w:right w:val="single" w:color="auto" w:sz="12" w:space="0"/>
            <w:insideH w:val="none" w:color="auto" w:sz="4" w:space="0"/>
            <w:insideV w:val="none" w:color="auto" w:sz="4" w:space="0"/>
          </w:tblBorders>
          <w:shd w:val="clear" w:color="auto" w:fill="auto"/>
          <w:tblCellMar>
            <w:top w:w="0" w:type="dxa"/>
            <w:left w:w="108" w:type="dxa"/>
            <w:bottom w:w="0" w:type="dxa"/>
            <w:right w:w="108" w:type="dxa"/>
          </w:tblCellMar>
        </w:tblPrEx>
        <w:trPr>
          <w:trHeight w:val="23" w:hRule="atLeast"/>
          <w:jc w:val="center"/>
        </w:trPr>
        <w:tc>
          <w:tcPr>
            <w:tcW w:w="241" w:type="pct"/>
            <w:vMerge w:val="continue"/>
            <w:tcBorders>
              <w:right w:val="single" w:color="000000" w:sz="4" w:space="0"/>
            </w:tcBorders>
            <w:shd w:val="clear" w:color="auto" w:fill="auto"/>
            <w:noWrap w:val="0"/>
            <w:vAlign w:val="center"/>
          </w:tcPr>
          <w:p w14:paraId="56FCA14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rPr>
            </w:pPr>
          </w:p>
        </w:tc>
        <w:tc>
          <w:tcPr>
            <w:tcW w:w="38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EFC709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sz w:val="21"/>
                <w:szCs w:val="21"/>
                <w:highlight w:val="none"/>
              </w:rPr>
              <w:t>标准指数</w:t>
            </w:r>
          </w:p>
        </w:tc>
        <w:tc>
          <w:tcPr>
            <w:tcW w:w="325"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AA95D8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lang w:val="en-US" w:eastAsia="zh-CN"/>
              </w:rPr>
            </w:pPr>
            <w:r>
              <w:rPr>
                <w:rFonts w:hint="eastAsia"/>
                <w:sz w:val="21"/>
                <w:szCs w:val="21"/>
                <w:highlight w:val="none"/>
                <w:lang w:val="en-US" w:eastAsia="zh-CN"/>
              </w:rPr>
              <w:t>0.018</w:t>
            </w:r>
          </w:p>
        </w:tc>
        <w:tc>
          <w:tcPr>
            <w:tcW w:w="36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8B544A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0.012</w:t>
            </w:r>
          </w:p>
        </w:tc>
        <w:tc>
          <w:tcPr>
            <w:tcW w:w="36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F50762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w:t>
            </w:r>
          </w:p>
        </w:tc>
        <w:tc>
          <w:tcPr>
            <w:tcW w:w="36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D3998D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0.0134</w:t>
            </w:r>
          </w:p>
        </w:tc>
        <w:tc>
          <w:tcPr>
            <w:tcW w:w="36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4B314A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0.023</w:t>
            </w:r>
          </w:p>
        </w:tc>
        <w:tc>
          <w:tcPr>
            <w:tcW w:w="36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35DD88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0.00155</w:t>
            </w:r>
          </w:p>
        </w:tc>
        <w:tc>
          <w:tcPr>
            <w:tcW w:w="36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8E9FDF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0.0245</w:t>
            </w:r>
          </w:p>
        </w:tc>
        <w:tc>
          <w:tcPr>
            <w:tcW w:w="36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1F0691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0.462</w:t>
            </w:r>
          </w:p>
        </w:tc>
        <w:tc>
          <w:tcPr>
            <w:tcW w:w="36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65A98D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0.37</w:t>
            </w:r>
          </w:p>
        </w:tc>
        <w:tc>
          <w:tcPr>
            <w:tcW w:w="36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D650A7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0.52</w:t>
            </w:r>
          </w:p>
        </w:tc>
        <w:tc>
          <w:tcPr>
            <w:tcW w:w="36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8FC5A6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0.014</w:t>
            </w:r>
          </w:p>
        </w:tc>
        <w:tc>
          <w:tcPr>
            <w:tcW w:w="369" w:type="pct"/>
            <w:tcBorders>
              <w:top w:val="single" w:color="000000" w:sz="4" w:space="0"/>
              <w:left w:val="single" w:color="000000" w:sz="4" w:space="0"/>
              <w:bottom w:val="single" w:color="000000" w:sz="4" w:space="0"/>
            </w:tcBorders>
            <w:shd w:val="clear" w:color="auto" w:fill="auto"/>
            <w:noWrap w:val="0"/>
            <w:vAlign w:val="center"/>
          </w:tcPr>
          <w:p w14:paraId="4C0B0A4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lang w:val="en-US" w:eastAsia="zh-CN"/>
              </w:rPr>
            </w:pPr>
            <w:r>
              <w:rPr>
                <w:rFonts w:hint="eastAsia"/>
                <w:sz w:val="21"/>
                <w:szCs w:val="21"/>
                <w:highlight w:val="none"/>
                <w:lang w:val="en-US" w:eastAsia="zh-CN"/>
              </w:rPr>
              <w:t>0.67</w:t>
            </w:r>
          </w:p>
        </w:tc>
      </w:tr>
      <w:tr w14:paraId="1F026577">
        <w:tblPrEx>
          <w:tblBorders>
            <w:top w:val="single" w:color="auto" w:sz="12" w:space="0"/>
            <w:left w:val="single" w:color="auto" w:sz="12" w:space="0"/>
            <w:bottom w:val="single" w:color="auto" w:sz="12" w:space="0"/>
            <w:right w:val="single" w:color="auto" w:sz="12" w:space="0"/>
            <w:insideH w:val="none" w:color="auto" w:sz="4" w:space="0"/>
            <w:insideV w:val="none" w:color="auto" w:sz="4" w:space="0"/>
          </w:tblBorders>
          <w:shd w:val="clear" w:color="auto" w:fill="auto"/>
          <w:tblCellMar>
            <w:top w:w="0" w:type="dxa"/>
            <w:left w:w="108" w:type="dxa"/>
            <w:bottom w:w="0" w:type="dxa"/>
            <w:right w:w="108" w:type="dxa"/>
          </w:tblCellMar>
        </w:tblPrEx>
        <w:trPr>
          <w:trHeight w:val="23" w:hRule="atLeast"/>
          <w:jc w:val="center"/>
        </w:trPr>
        <w:tc>
          <w:tcPr>
            <w:tcW w:w="241" w:type="pct"/>
            <w:vMerge w:val="continue"/>
            <w:tcBorders>
              <w:right w:val="single" w:color="000000" w:sz="4" w:space="0"/>
            </w:tcBorders>
            <w:shd w:val="clear" w:color="auto" w:fill="auto"/>
            <w:noWrap w:val="0"/>
            <w:vAlign w:val="center"/>
          </w:tcPr>
          <w:p w14:paraId="79A0F9F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rPr>
            </w:pPr>
          </w:p>
        </w:tc>
        <w:tc>
          <w:tcPr>
            <w:tcW w:w="38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9C545D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sz w:val="21"/>
                <w:szCs w:val="21"/>
                <w:highlight w:val="none"/>
              </w:rPr>
              <w:t>检出率%</w:t>
            </w:r>
          </w:p>
        </w:tc>
        <w:tc>
          <w:tcPr>
            <w:tcW w:w="325"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989A66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100</w:t>
            </w:r>
          </w:p>
        </w:tc>
        <w:tc>
          <w:tcPr>
            <w:tcW w:w="36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2E1B2E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100</w:t>
            </w:r>
          </w:p>
        </w:tc>
        <w:tc>
          <w:tcPr>
            <w:tcW w:w="36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FF0B2A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w:t>
            </w:r>
          </w:p>
        </w:tc>
        <w:tc>
          <w:tcPr>
            <w:tcW w:w="36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4888E3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100</w:t>
            </w:r>
          </w:p>
        </w:tc>
        <w:tc>
          <w:tcPr>
            <w:tcW w:w="36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C000DC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100</w:t>
            </w:r>
          </w:p>
        </w:tc>
        <w:tc>
          <w:tcPr>
            <w:tcW w:w="36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A3D367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100</w:t>
            </w:r>
          </w:p>
        </w:tc>
        <w:tc>
          <w:tcPr>
            <w:tcW w:w="36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C1849D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100</w:t>
            </w:r>
          </w:p>
        </w:tc>
        <w:tc>
          <w:tcPr>
            <w:tcW w:w="36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4EF881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100</w:t>
            </w:r>
          </w:p>
        </w:tc>
        <w:tc>
          <w:tcPr>
            <w:tcW w:w="36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34E1C7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100</w:t>
            </w:r>
          </w:p>
        </w:tc>
        <w:tc>
          <w:tcPr>
            <w:tcW w:w="36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5EF9FE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100</w:t>
            </w:r>
          </w:p>
        </w:tc>
        <w:tc>
          <w:tcPr>
            <w:tcW w:w="36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86F82C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100</w:t>
            </w:r>
          </w:p>
        </w:tc>
        <w:tc>
          <w:tcPr>
            <w:tcW w:w="369" w:type="pct"/>
            <w:tcBorders>
              <w:top w:val="single" w:color="000000" w:sz="4" w:space="0"/>
              <w:left w:val="single" w:color="000000" w:sz="4" w:space="0"/>
              <w:bottom w:val="single" w:color="000000" w:sz="4" w:space="0"/>
            </w:tcBorders>
            <w:shd w:val="clear" w:color="auto" w:fill="auto"/>
            <w:noWrap w:val="0"/>
            <w:vAlign w:val="center"/>
          </w:tcPr>
          <w:p w14:paraId="69F5C0E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lang w:val="en-US" w:eastAsia="zh-CN"/>
              </w:rPr>
            </w:pPr>
            <w:r>
              <w:rPr>
                <w:rFonts w:hint="eastAsia"/>
                <w:sz w:val="21"/>
                <w:szCs w:val="21"/>
                <w:highlight w:val="none"/>
                <w:lang w:val="en-US" w:eastAsia="zh-CN"/>
              </w:rPr>
              <w:t>100</w:t>
            </w:r>
          </w:p>
        </w:tc>
      </w:tr>
      <w:tr w14:paraId="663D4418">
        <w:tblPrEx>
          <w:tblBorders>
            <w:top w:val="single" w:color="auto" w:sz="12" w:space="0"/>
            <w:left w:val="single" w:color="auto" w:sz="12" w:space="0"/>
            <w:bottom w:val="single" w:color="auto" w:sz="12" w:space="0"/>
            <w:right w:val="single" w:color="auto" w:sz="12" w:space="0"/>
            <w:insideH w:val="none" w:color="auto" w:sz="4" w:space="0"/>
            <w:insideV w:val="none" w:color="auto" w:sz="4" w:space="0"/>
          </w:tblBorders>
          <w:shd w:val="clear" w:color="auto" w:fill="auto"/>
          <w:tblCellMar>
            <w:top w:w="0" w:type="dxa"/>
            <w:left w:w="108" w:type="dxa"/>
            <w:bottom w:w="0" w:type="dxa"/>
            <w:right w:w="108" w:type="dxa"/>
          </w:tblCellMar>
        </w:tblPrEx>
        <w:trPr>
          <w:trHeight w:val="23" w:hRule="atLeast"/>
          <w:jc w:val="center"/>
        </w:trPr>
        <w:tc>
          <w:tcPr>
            <w:tcW w:w="241" w:type="pct"/>
            <w:vMerge w:val="continue"/>
            <w:tcBorders>
              <w:bottom w:val="single" w:color="000000" w:sz="4" w:space="0"/>
              <w:right w:val="single" w:color="000000" w:sz="4" w:space="0"/>
            </w:tcBorders>
            <w:shd w:val="clear" w:color="auto" w:fill="auto"/>
            <w:noWrap w:val="0"/>
            <w:vAlign w:val="center"/>
          </w:tcPr>
          <w:p w14:paraId="561DD82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rPr>
            </w:pPr>
          </w:p>
        </w:tc>
        <w:tc>
          <w:tcPr>
            <w:tcW w:w="38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649E3B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sz w:val="21"/>
                <w:szCs w:val="21"/>
                <w:highlight w:val="none"/>
              </w:rPr>
              <w:t>超标率%</w:t>
            </w:r>
          </w:p>
        </w:tc>
        <w:tc>
          <w:tcPr>
            <w:tcW w:w="325"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2C16D2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0</w:t>
            </w:r>
          </w:p>
        </w:tc>
        <w:tc>
          <w:tcPr>
            <w:tcW w:w="36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100D90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0</w:t>
            </w:r>
          </w:p>
        </w:tc>
        <w:tc>
          <w:tcPr>
            <w:tcW w:w="36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47FE94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0</w:t>
            </w:r>
          </w:p>
        </w:tc>
        <w:tc>
          <w:tcPr>
            <w:tcW w:w="36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A049B9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0</w:t>
            </w:r>
          </w:p>
        </w:tc>
        <w:tc>
          <w:tcPr>
            <w:tcW w:w="36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ECCBCD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0</w:t>
            </w:r>
          </w:p>
        </w:tc>
        <w:tc>
          <w:tcPr>
            <w:tcW w:w="36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1B7F3A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0</w:t>
            </w:r>
          </w:p>
        </w:tc>
        <w:tc>
          <w:tcPr>
            <w:tcW w:w="36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97C043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0</w:t>
            </w:r>
          </w:p>
        </w:tc>
        <w:tc>
          <w:tcPr>
            <w:tcW w:w="36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B9AFC7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0</w:t>
            </w:r>
          </w:p>
        </w:tc>
        <w:tc>
          <w:tcPr>
            <w:tcW w:w="36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454066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0</w:t>
            </w:r>
          </w:p>
        </w:tc>
        <w:tc>
          <w:tcPr>
            <w:tcW w:w="36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77E586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0</w:t>
            </w:r>
          </w:p>
        </w:tc>
        <w:tc>
          <w:tcPr>
            <w:tcW w:w="36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104495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0</w:t>
            </w:r>
          </w:p>
        </w:tc>
        <w:tc>
          <w:tcPr>
            <w:tcW w:w="369" w:type="pct"/>
            <w:tcBorders>
              <w:top w:val="single" w:color="000000" w:sz="4" w:space="0"/>
              <w:left w:val="single" w:color="000000" w:sz="4" w:space="0"/>
              <w:bottom w:val="single" w:color="000000" w:sz="4" w:space="0"/>
            </w:tcBorders>
            <w:shd w:val="clear" w:color="auto" w:fill="auto"/>
            <w:noWrap w:val="0"/>
            <w:vAlign w:val="center"/>
          </w:tcPr>
          <w:p w14:paraId="66D3932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lang w:val="en-US" w:eastAsia="zh-CN"/>
              </w:rPr>
            </w:pPr>
            <w:r>
              <w:rPr>
                <w:rFonts w:hint="eastAsia"/>
                <w:sz w:val="21"/>
                <w:szCs w:val="21"/>
                <w:highlight w:val="none"/>
                <w:lang w:val="en-US" w:eastAsia="zh-CN"/>
              </w:rPr>
              <w:t>0</w:t>
            </w:r>
          </w:p>
        </w:tc>
      </w:tr>
      <w:tr w14:paraId="49666D5E">
        <w:tblPrEx>
          <w:tblBorders>
            <w:top w:val="single" w:color="auto" w:sz="12" w:space="0"/>
            <w:left w:val="single" w:color="auto" w:sz="12" w:space="0"/>
            <w:bottom w:val="single" w:color="auto" w:sz="12" w:space="0"/>
            <w:right w:val="single" w:color="auto" w:sz="12" w:space="0"/>
            <w:insideH w:val="none" w:color="auto" w:sz="4" w:space="0"/>
            <w:insideV w:val="none" w:color="auto" w:sz="4" w:space="0"/>
          </w:tblBorders>
          <w:shd w:val="clear" w:color="auto" w:fill="auto"/>
          <w:tblCellMar>
            <w:top w:w="0" w:type="dxa"/>
            <w:left w:w="108" w:type="dxa"/>
            <w:bottom w:w="0" w:type="dxa"/>
            <w:right w:w="108" w:type="dxa"/>
          </w:tblCellMar>
        </w:tblPrEx>
        <w:trPr>
          <w:trHeight w:val="23" w:hRule="atLeast"/>
          <w:jc w:val="center"/>
        </w:trPr>
        <w:tc>
          <w:tcPr>
            <w:tcW w:w="241" w:type="pct"/>
            <w:vMerge w:val="restart"/>
            <w:tcBorders>
              <w:top w:val="single" w:color="000000" w:sz="4" w:space="0"/>
              <w:right w:val="single" w:color="000000" w:sz="4" w:space="0"/>
            </w:tcBorders>
            <w:shd w:val="clear" w:color="auto" w:fill="auto"/>
            <w:noWrap w:val="0"/>
            <w:vAlign w:val="center"/>
          </w:tcPr>
          <w:p w14:paraId="54F3621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sz w:val="21"/>
                <w:szCs w:val="21"/>
                <w:highlight w:val="none"/>
                <w:lang w:val="en-US" w:eastAsia="zh-CN"/>
              </w:rPr>
            </w:pPr>
            <w:r>
              <w:rPr>
                <w:rFonts w:hint="eastAsia"/>
                <w:sz w:val="21"/>
                <w:szCs w:val="21"/>
                <w:highlight w:val="none"/>
                <w:lang w:val="en-US" w:eastAsia="zh-CN"/>
              </w:rPr>
              <w:t>D5</w:t>
            </w:r>
          </w:p>
        </w:tc>
        <w:tc>
          <w:tcPr>
            <w:tcW w:w="38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874369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sz w:val="21"/>
                <w:szCs w:val="21"/>
                <w:highlight w:val="none"/>
              </w:rPr>
              <w:t>监测值</w:t>
            </w:r>
          </w:p>
        </w:tc>
        <w:tc>
          <w:tcPr>
            <w:tcW w:w="325"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EFFFB2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lang w:val="en-US" w:eastAsia="zh-CN"/>
              </w:rPr>
            </w:pPr>
            <w:r>
              <w:rPr>
                <w:rFonts w:hint="eastAsia"/>
                <w:sz w:val="21"/>
                <w:szCs w:val="21"/>
                <w:highlight w:val="none"/>
                <w:lang w:val="en-US" w:eastAsia="zh-CN"/>
              </w:rPr>
              <w:t>0.022</w:t>
            </w:r>
          </w:p>
        </w:tc>
        <w:tc>
          <w:tcPr>
            <w:tcW w:w="36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E42883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ND</w:t>
            </w:r>
          </w:p>
        </w:tc>
        <w:tc>
          <w:tcPr>
            <w:tcW w:w="36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72855D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lang w:val="en-US" w:eastAsia="zh-CN"/>
              </w:rPr>
            </w:pPr>
            <w:r>
              <w:rPr>
                <w:rFonts w:hint="eastAsia"/>
                <w:sz w:val="21"/>
                <w:szCs w:val="21"/>
                <w:highlight w:val="none"/>
                <w:lang w:val="en-US" w:eastAsia="zh-CN"/>
              </w:rPr>
              <w:t>0.0188</w:t>
            </w:r>
          </w:p>
        </w:tc>
        <w:tc>
          <w:tcPr>
            <w:tcW w:w="36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6881FF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0.0112</w:t>
            </w:r>
          </w:p>
        </w:tc>
        <w:tc>
          <w:tcPr>
            <w:tcW w:w="36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67C0BE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0.00063</w:t>
            </w:r>
          </w:p>
        </w:tc>
        <w:tc>
          <w:tcPr>
            <w:tcW w:w="36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A53048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0.00125</w:t>
            </w:r>
          </w:p>
        </w:tc>
        <w:tc>
          <w:tcPr>
            <w:tcW w:w="36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07F6C2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0.00330</w:t>
            </w:r>
          </w:p>
        </w:tc>
        <w:tc>
          <w:tcPr>
            <w:tcW w:w="36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F49D6E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63</w:t>
            </w:r>
          </w:p>
        </w:tc>
        <w:tc>
          <w:tcPr>
            <w:tcW w:w="36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D575CB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1.47</w:t>
            </w:r>
          </w:p>
        </w:tc>
        <w:tc>
          <w:tcPr>
            <w:tcW w:w="36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AA77F9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3.49</w:t>
            </w:r>
          </w:p>
        </w:tc>
        <w:tc>
          <w:tcPr>
            <w:tcW w:w="36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27F43B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2.46</w:t>
            </w:r>
          </w:p>
        </w:tc>
        <w:tc>
          <w:tcPr>
            <w:tcW w:w="369" w:type="pct"/>
            <w:tcBorders>
              <w:top w:val="single" w:color="000000" w:sz="4" w:space="0"/>
              <w:left w:val="single" w:color="000000" w:sz="4" w:space="0"/>
              <w:bottom w:val="single" w:color="000000" w:sz="4" w:space="0"/>
            </w:tcBorders>
            <w:shd w:val="clear" w:color="auto" w:fill="auto"/>
            <w:noWrap w:val="0"/>
            <w:vAlign w:val="center"/>
          </w:tcPr>
          <w:p w14:paraId="587E2F8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lang w:val="en-US" w:eastAsia="zh-CN"/>
              </w:rPr>
            </w:pPr>
            <w:r>
              <w:rPr>
                <w:rFonts w:hint="eastAsia"/>
                <w:sz w:val="21"/>
                <w:szCs w:val="21"/>
                <w:highlight w:val="none"/>
                <w:lang w:val="en-US" w:eastAsia="zh-CN"/>
              </w:rPr>
              <w:t>未检出</w:t>
            </w:r>
          </w:p>
        </w:tc>
      </w:tr>
      <w:tr w14:paraId="368A1FE0">
        <w:tblPrEx>
          <w:tblBorders>
            <w:top w:val="single" w:color="auto" w:sz="12" w:space="0"/>
            <w:left w:val="single" w:color="auto" w:sz="12" w:space="0"/>
            <w:bottom w:val="single" w:color="auto" w:sz="12" w:space="0"/>
            <w:right w:val="single" w:color="auto" w:sz="12" w:space="0"/>
            <w:insideH w:val="none" w:color="auto" w:sz="4" w:space="0"/>
            <w:insideV w:val="none" w:color="auto" w:sz="4" w:space="0"/>
          </w:tblBorders>
          <w:tblCellMar>
            <w:top w:w="0" w:type="dxa"/>
            <w:left w:w="108" w:type="dxa"/>
            <w:bottom w:w="0" w:type="dxa"/>
            <w:right w:w="108" w:type="dxa"/>
          </w:tblCellMar>
        </w:tblPrEx>
        <w:trPr>
          <w:trHeight w:val="23" w:hRule="atLeast"/>
          <w:jc w:val="center"/>
        </w:trPr>
        <w:tc>
          <w:tcPr>
            <w:tcW w:w="241" w:type="pct"/>
            <w:vMerge w:val="continue"/>
            <w:tcBorders>
              <w:right w:val="single" w:color="000000" w:sz="4" w:space="0"/>
            </w:tcBorders>
            <w:shd w:val="clear" w:color="auto" w:fill="auto"/>
            <w:noWrap w:val="0"/>
            <w:vAlign w:val="center"/>
          </w:tcPr>
          <w:p w14:paraId="409B6A3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rPr>
            </w:pPr>
          </w:p>
        </w:tc>
        <w:tc>
          <w:tcPr>
            <w:tcW w:w="38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4DA342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sz w:val="21"/>
                <w:szCs w:val="21"/>
                <w:highlight w:val="none"/>
              </w:rPr>
              <w:t>标准指数</w:t>
            </w:r>
          </w:p>
        </w:tc>
        <w:tc>
          <w:tcPr>
            <w:tcW w:w="325"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9E0773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lang w:val="en-US" w:eastAsia="zh-CN"/>
              </w:rPr>
            </w:pPr>
            <w:r>
              <w:rPr>
                <w:rFonts w:hint="eastAsia"/>
                <w:sz w:val="21"/>
                <w:szCs w:val="21"/>
                <w:highlight w:val="none"/>
                <w:lang w:val="en-US" w:eastAsia="zh-CN"/>
              </w:rPr>
              <w:t>0.022</w:t>
            </w:r>
          </w:p>
        </w:tc>
        <w:tc>
          <w:tcPr>
            <w:tcW w:w="36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155644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w:t>
            </w:r>
          </w:p>
        </w:tc>
        <w:tc>
          <w:tcPr>
            <w:tcW w:w="36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43318D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0.063</w:t>
            </w:r>
          </w:p>
        </w:tc>
        <w:tc>
          <w:tcPr>
            <w:tcW w:w="36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D33A5C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0.112</w:t>
            </w:r>
          </w:p>
        </w:tc>
        <w:tc>
          <w:tcPr>
            <w:tcW w:w="36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CC23DB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0.0315</w:t>
            </w:r>
          </w:p>
        </w:tc>
        <w:tc>
          <w:tcPr>
            <w:tcW w:w="36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861A48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0.00125</w:t>
            </w:r>
          </w:p>
        </w:tc>
        <w:tc>
          <w:tcPr>
            <w:tcW w:w="36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0A64C7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0.00330</w:t>
            </w:r>
          </w:p>
        </w:tc>
        <w:tc>
          <w:tcPr>
            <w:tcW w:w="36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650C37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0.063</w:t>
            </w:r>
          </w:p>
        </w:tc>
        <w:tc>
          <w:tcPr>
            <w:tcW w:w="36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70780D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0.49</w:t>
            </w:r>
          </w:p>
        </w:tc>
        <w:tc>
          <w:tcPr>
            <w:tcW w:w="36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774A13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0.014</w:t>
            </w:r>
          </w:p>
        </w:tc>
        <w:tc>
          <w:tcPr>
            <w:tcW w:w="36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86335A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0.0098</w:t>
            </w:r>
          </w:p>
        </w:tc>
        <w:tc>
          <w:tcPr>
            <w:tcW w:w="369" w:type="pct"/>
            <w:tcBorders>
              <w:top w:val="single" w:color="000000" w:sz="4" w:space="0"/>
              <w:left w:val="single" w:color="000000" w:sz="4" w:space="0"/>
              <w:bottom w:val="single" w:color="000000" w:sz="4" w:space="0"/>
            </w:tcBorders>
            <w:shd w:val="clear" w:color="auto" w:fill="auto"/>
            <w:noWrap w:val="0"/>
            <w:vAlign w:val="center"/>
          </w:tcPr>
          <w:p w14:paraId="341F5C9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w:t>
            </w:r>
          </w:p>
        </w:tc>
      </w:tr>
      <w:tr w14:paraId="1F2836D1">
        <w:tblPrEx>
          <w:tblBorders>
            <w:top w:val="single" w:color="auto" w:sz="12" w:space="0"/>
            <w:left w:val="single" w:color="auto" w:sz="12" w:space="0"/>
            <w:bottom w:val="single" w:color="auto" w:sz="12" w:space="0"/>
            <w:right w:val="single" w:color="auto" w:sz="12" w:space="0"/>
            <w:insideH w:val="none" w:color="auto" w:sz="4" w:space="0"/>
            <w:insideV w:val="none" w:color="auto" w:sz="4" w:space="0"/>
          </w:tblBorders>
          <w:shd w:val="clear" w:color="auto" w:fill="auto"/>
          <w:tblCellMar>
            <w:top w:w="0" w:type="dxa"/>
            <w:left w:w="108" w:type="dxa"/>
            <w:bottom w:w="0" w:type="dxa"/>
            <w:right w:w="108" w:type="dxa"/>
          </w:tblCellMar>
        </w:tblPrEx>
        <w:trPr>
          <w:trHeight w:val="23" w:hRule="atLeast"/>
          <w:jc w:val="center"/>
        </w:trPr>
        <w:tc>
          <w:tcPr>
            <w:tcW w:w="241" w:type="pct"/>
            <w:vMerge w:val="continue"/>
            <w:tcBorders>
              <w:right w:val="single" w:color="000000" w:sz="4" w:space="0"/>
            </w:tcBorders>
            <w:shd w:val="clear" w:color="auto" w:fill="auto"/>
            <w:noWrap w:val="0"/>
            <w:vAlign w:val="center"/>
          </w:tcPr>
          <w:p w14:paraId="03BA291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rPr>
            </w:pPr>
          </w:p>
        </w:tc>
        <w:tc>
          <w:tcPr>
            <w:tcW w:w="38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D5EA1F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sz w:val="21"/>
                <w:szCs w:val="21"/>
                <w:highlight w:val="none"/>
              </w:rPr>
              <w:t>检出率%</w:t>
            </w:r>
          </w:p>
        </w:tc>
        <w:tc>
          <w:tcPr>
            <w:tcW w:w="325"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109DEA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100</w:t>
            </w:r>
          </w:p>
        </w:tc>
        <w:tc>
          <w:tcPr>
            <w:tcW w:w="36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BF0653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w:t>
            </w:r>
          </w:p>
        </w:tc>
        <w:tc>
          <w:tcPr>
            <w:tcW w:w="36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0E7E43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100</w:t>
            </w:r>
          </w:p>
        </w:tc>
        <w:tc>
          <w:tcPr>
            <w:tcW w:w="36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6BE299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100</w:t>
            </w:r>
          </w:p>
        </w:tc>
        <w:tc>
          <w:tcPr>
            <w:tcW w:w="36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87A7A6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100</w:t>
            </w:r>
          </w:p>
        </w:tc>
        <w:tc>
          <w:tcPr>
            <w:tcW w:w="36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1DE3F5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100</w:t>
            </w:r>
          </w:p>
        </w:tc>
        <w:tc>
          <w:tcPr>
            <w:tcW w:w="36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FC836A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100</w:t>
            </w:r>
          </w:p>
        </w:tc>
        <w:tc>
          <w:tcPr>
            <w:tcW w:w="36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7404C4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100</w:t>
            </w:r>
          </w:p>
        </w:tc>
        <w:tc>
          <w:tcPr>
            <w:tcW w:w="36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CB8484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100</w:t>
            </w:r>
          </w:p>
        </w:tc>
        <w:tc>
          <w:tcPr>
            <w:tcW w:w="36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B288A6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100</w:t>
            </w:r>
          </w:p>
        </w:tc>
        <w:tc>
          <w:tcPr>
            <w:tcW w:w="36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DAD162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100</w:t>
            </w:r>
          </w:p>
        </w:tc>
        <w:tc>
          <w:tcPr>
            <w:tcW w:w="369" w:type="pct"/>
            <w:tcBorders>
              <w:top w:val="single" w:color="000000" w:sz="4" w:space="0"/>
              <w:left w:val="single" w:color="000000" w:sz="4" w:space="0"/>
              <w:bottom w:val="single" w:color="000000" w:sz="4" w:space="0"/>
            </w:tcBorders>
            <w:shd w:val="clear" w:color="auto" w:fill="auto"/>
            <w:noWrap w:val="0"/>
            <w:vAlign w:val="center"/>
          </w:tcPr>
          <w:p w14:paraId="0E5F90F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w:t>
            </w:r>
          </w:p>
        </w:tc>
      </w:tr>
      <w:tr w14:paraId="5AE0B693">
        <w:tblPrEx>
          <w:tblBorders>
            <w:top w:val="single" w:color="auto" w:sz="12" w:space="0"/>
            <w:left w:val="single" w:color="auto" w:sz="12" w:space="0"/>
            <w:bottom w:val="single" w:color="auto" w:sz="12" w:space="0"/>
            <w:right w:val="single" w:color="auto" w:sz="12" w:space="0"/>
            <w:insideH w:val="none" w:color="auto" w:sz="4" w:space="0"/>
            <w:insideV w:val="none" w:color="auto" w:sz="4" w:space="0"/>
          </w:tblBorders>
          <w:shd w:val="clear" w:color="auto" w:fill="auto"/>
          <w:tblCellMar>
            <w:top w:w="0" w:type="dxa"/>
            <w:left w:w="108" w:type="dxa"/>
            <w:bottom w:w="0" w:type="dxa"/>
            <w:right w:w="108" w:type="dxa"/>
          </w:tblCellMar>
        </w:tblPrEx>
        <w:trPr>
          <w:trHeight w:val="23" w:hRule="atLeast"/>
          <w:jc w:val="center"/>
        </w:trPr>
        <w:tc>
          <w:tcPr>
            <w:tcW w:w="241" w:type="pct"/>
            <w:vMerge w:val="continue"/>
            <w:tcBorders>
              <w:bottom w:val="single" w:color="000000" w:sz="4" w:space="0"/>
              <w:right w:val="single" w:color="000000" w:sz="4" w:space="0"/>
            </w:tcBorders>
            <w:shd w:val="clear" w:color="auto" w:fill="auto"/>
            <w:noWrap w:val="0"/>
            <w:vAlign w:val="center"/>
          </w:tcPr>
          <w:p w14:paraId="5D1C9C2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rPr>
            </w:pPr>
          </w:p>
        </w:tc>
        <w:tc>
          <w:tcPr>
            <w:tcW w:w="38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F92A9B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sz w:val="21"/>
                <w:szCs w:val="21"/>
                <w:highlight w:val="none"/>
              </w:rPr>
              <w:t>超标率%</w:t>
            </w:r>
          </w:p>
        </w:tc>
        <w:tc>
          <w:tcPr>
            <w:tcW w:w="325"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7FD26D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0</w:t>
            </w:r>
          </w:p>
        </w:tc>
        <w:tc>
          <w:tcPr>
            <w:tcW w:w="36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42B3C8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0</w:t>
            </w:r>
          </w:p>
        </w:tc>
        <w:tc>
          <w:tcPr>
            <w:tcW w:w="36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D7D470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0</w:t>
            </w:r>
          </w:p>
        </w:tc>
        <w:tc>
          <w:tcPr>
            <w:tcW w:w="36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ED6BAF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0</w:t>
            </w:r>
          </w:p>
        </w:tc>
        <w:tc>
          <w:tcPr>
            <w:tcW w:w="36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0FFCA3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0</w:t>
            </w:r>
          </w:p>
        </w:tc>
        <w:tc>
          <w:tcPr>
            <w:tcW w:w="36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E12281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0</w:t>
            </w:r>
          </w:p>
        </w:tc>
        <w:tc>
          <w:tcPr>
            <w:tcW w:w="36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9A0F94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0</w:t>
            </w:r>
          </w:p>
        </w:tc>
        <w:tc>
          <w:tcPr>
            <w:tcW w:w="36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FD70BF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0</w:t>
            </w:r>
          </w:p>
        </w:tc>
        <w:tc>
          <w:tcPr>
            <w:tcW w:w="36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5A4D01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0</w:t>
            </w:r>
          </w:p>
        </w:tc>
        <w:tc>
          <w:tcPr>
            <w:tcW w:w="36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09E121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0</w:t>
            </w:r>
          </w:p>
        </w:tc>
        <w:tc>
          <w:tcPr>
            <w:tcW w:w="36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140054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0</w:t>
            </w:r>
          </w:p>
        </w:tc>
        <w:tc>
          <w:tcPr>
            <w:tcW w:w="369" w:type="pct"/>
            <w:tcBorders>
              <w:top w:val="single" w:color="000000" w:sz="4" w:space="0"/>
              <w:left w:val="single" w:color="000000" w:sz="4" w:space="0"/>
              <w:bottom w:val="single" w:color="000000" w:sz="4" w:space="0"/>
            </w:tcBorders>
            <w:shd w:val="clear" w:color="auto" w:fill="auto"/>
            <w:noWrap w:val="0"/>
            <w:vAlign w:val="center"/>
          </w:tcPr>
          <w:p w14:paraId="0D7DD15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0</w:t>
            </w:r>
          </w:p>
        </w:tc>
      </w:tr>
      <w:tr w14:paraId="14DF575B">
        <w:tblPrEx>
          <w:tblBorders>
            <w:top w:val="single" w:color="auto" w:sz="12" w:space="0"/>
            <w:left w:val="single" w:color="auto" w:sz="12" w:space="0"/>
            <w:bottom w:val="single" w:color="auto" w:sz="12" w:space="0"/>
            <w:right w:val="single" w:color="auto" w:sz="12" w:space="0"/>
            <w:insideH w:val="none" w:color="auto" w:sz="4" w:space="0"/>
            <w:insideV w:val="none" w:color="auto" w:sz="4" w:space="0"/>
          </w:tblBorders>
          <w:tblCellMar>
            <w:top w:w="0" w:type="dxa"/>
            <w:left w:w="108" w:type="dxa"/>
            <w:bottom w:w="0" w:type="dxa"/>
            <w:right w:w="108" w:type="dxa"/>
          </w:tblCellMar>
        </w:tblPrEx>
        <w:trPr>
          <w:trHeight w:val="321" w:hRule="atLeast"/>
          <w:jc w:val="center"/>
        </w:trPr>
        <w:tc>
          <w:tcPr>
            <w:tcW w:w="629" w:type="pct"/>
            <w:gridSpan w:val="2"/>
            <w:tcBorders>
              <w:top w:val="single" w:color="000000" w:sz="4" w:space="0"/>
              <w:bottom w:val="single" w:color="000000" w:sz="4" w:space="0"/>
              <w:right w:val="single" w:color="000000" w:sz="4" w:space="0"/>
            </w:tcBorders>
            <w:shd w:val="clear" w:color="auto" w:fill="auto"/>
            <w:noWrap w:val="0"/>
            <w:vAlign w:val="center"/>
          </w:tcPr>
          <w:p w14:paraId="4F07892F">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b/>
                <w:bCs/>
                <w:sz w:val="21"/>
                <w:szCs w:val="21"/>
                <w:highlight w:val="none"/>
              </w:rPr>
            </w:pPr>
            <w:r>
              <w:rPr>
                <w:rFonts w:hint="default"/>
                <w:b/>
                <w:bCs/>
                <w:sz w:val="21"/>
                <w:szCs w:val="21"/>
                <w:highlight w:val="none"/>
              </w:rPr>
              <w:t>评价标准</w:t>
            </w:r>
          </w:p>
        </w:tc>
        <w:tc>
          <w:tcPr>
            <w:tcW w:w="325"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A9C352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b/>
                <w:bCs/>
                <w:sz w:val="21"/>
                <w:szCs w:val="21"/>
                <w:highlight w:val="none"/>
                <w:lang w:val="en-US" w:eastAsia="zh-CN"/>
              </w:rPr>
            </w:pPr>
            <w:r>
              <w:rPr>
                <w:rFonts w:hint="eastAsia"/>
                <w:b/>
                <w:bCs/>
                <w:sz w:val="21"/>
                <w:szCs w:val="21"/>
                <w:highlight w:val="none"/>
                <w:lang w:val="en-US" w:eastAsia="zh-CN"/>
              </w:rPr>
              <w:t>1.0</w:t>
            </w:r>
          </w:p>
        </w:tc>
        <w:tc>
          <w:tcPr>
            <w:tcW w:w="36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2C89FC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b/>
                <w:bCs/>
                <w:sz w:val="21"/>
                <w:szCs w:val="21"/>
                <w:highlight w:val="none"/>
                <w:lang w:val="en-US" w:eastAsia="zh-CN"/>
              </w:rPr>
            </w:pPr>
            <w:r>
              <w:rPr>
                <w:rFonts w:hint="eastAsia"/>
                <w:b/>
                <w:bCs/>
                <w:sz w:val="21"/>
                <w:szCs w:val="21"/>
                <w:highlight w:val="none"/>
                <w:lang w:val="en-US" w:eastAsia="zh-CN"/>
              </w:rPr>
              <w:t>0.005</w:t>
            </w:r>
          </w:p>
        </w:tc>
        <w:tc>
          <w:tcPr>
            <w:tcW w:w="36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3F6B89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b/>
                <w:bCs/>
                <w:sz w:val="21"/>
                <w:szCs w:val="21"/>
                <w:highlight w:val="none"/>
                <w:lang w:val="en-US" w:eastAsia="zh-CN"/>
              </w:rPr>
            </w:pPr>
            <w:r>
              <w:rPr>
                <w:rFonts w:hint="eastAsia"/>
                <w:b/>
                <w:bCs/>
                <w:sz w:val="21"/>
                <w:szCs w:val="21"/>
                <w:highlight w:val="none"/>
                <w:lang w:val="en-US" w:eastAsia="zh-CN"/>
              </w:rPr>
              <w:t>0.3</w:t>
            </w:r>
          </w:p>
        </w:tc>
        <w:tc>
          <w:tcPr>
            <w:tcW w:w="36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0E16C8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b/>
                <w:bCs/>
                <w:sz w:val="21"/>
                <w:szCs w:val="21"/>
                <w:highlight w:val="none"/>
                <w:lang w:val="en-US" w:eastAsia="zh-CN"/>
              </w:rPr>
            </w:pPr>
            <w:r>
              <w:rPr>
                <w:rFonts w:hint="eastAsia"/>
                <w:b/>
                <w:bCs/>
                <w:sz w:val="21"/>
                <w:szCs w:val="21"/>
                <w:highlight w:val="none"/>
                <w:lang w:val="en-US" w:eastAsia="zh-CN"/>
              </w:rPr>
              <w:t>0.1</w:t>
            </w:r>
          </w:p>
        </w:tc>
        <w:tc>
          <w:tcPr>
            <w:tcW w:w="36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0724C7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b/>
                <w:bCs/>
                <w:sz w:val="21"/>
                <w:szCs w:val="21"/>
                <w:highlight w:val="none"/>
                <w:lang w:val="en-US" w:eastAsia="zh-CN"/>
              </w:rPr>
            </w:pPr>
            <w:r>
              <w:rPr>
                <w:rFonts w:hint="eastAsia"/>
                <w:b/>
                <w:bCs/>
                <w:sz w:val="21"/>
                <w:szCs w:val="21"/>
                <w:highlight w:val="none"/>
                <w:lang w:val="en-US" w:eastAsia="zh-CN"/>
              </w:rPr>
              <w:t>0.02</w:t>
            </w:r>
          </w:p>
        </w:tc>
        <w:tc>
          <w:tcPr>
            <w:tcW w:w="36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161F39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b/>
                <w:bCs/>
                <w:sz w:val="21"/>
                <w:szCs w:val="21"/>
                <w:highlight w:val="none"/>
                <w:lang w:val="en-US" w:eastAsia="zh-CN"/>
              </w:rPr>
            </w:pPr>
            <w:r>
              <w:rPr>
                <w:rFonts w:hint="eastAsia"/>
                <w:b/>
                <w:bCs/>
                <w:sz w:val="21"/>
                <w:szCs w:val="21"/>
                <w:highlight w:val="none"/>
                <w:lang w:val="en-US" w:eastAsia="zh-CN"/>
              </w:rPr>
              <w:t>1.0</w:t>
            </w:r>
          </w:p>
        </w:tc>
        <w:tc>
          <w:tcPr>
            <w:tcW w:w="36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92E446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b/>
                <w:bCs/>
                <w:sz w:val="21"/>
                <w:szCs w:val="21"/>
                <w:highlight w:val="none"/>
                <w:lang w:val="en-US" w:eastAsia="zh-CN"/>
              </w:rPr>
            </w:pPr>
            <w:r>
              <w:rPr>
                <w:rFonts w:hint="eastAsia"/>
                <w:b/>
                <w:bCs/>
                <w:sz w:val="21"/>
                <w:szCs w:val="21"/>
                <w:highlight w:val="none"/>
                <w:lang w:val="en-US" w:eastAsia="zh-CN"/>
              </w:rPr>
              <w:t>1.0</w:t>
            </w:r>
          </w:p>
        </w:tc>
        <w:tc>
          <w:tcPr>
            <w:tcW w:w="36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9973CE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b/>
                <w:bCs/>
                <w:sz w:val="21"/>
                <w:szCs w:val="21"/>
                <w:highlight w:val="none"/>
                <w:lang w:val="en-US" w:eastAsia="zh-CN"/>
              </w:rPr>
            </w:pPr>
            <w:r>
              <w:rPr>
                <w:rFonts w:hint="eastAsia"/>
                <w:b/>
                <w:bCs/>
                <w:sz w:val="21"/>
                <w:szCs w:val="21"/>
                <w:highlight w:val="none"/>
                <w:lang w:val="en-US" w:eastAsia="zh-CN"/>
              </w:rPr>
              <w:t>1000</w:t>
            </w:r>
          </w:p>
        </w:tc>
        <w:tc>
          <w:tcPr>
            <w:tcW w:w="36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F4A8F9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b/>
                <w:bCs/>
                <w:sz w:val="21"/>
                <w:szCs w:val="21"/>
                <w:highlight w:val="none"/>
                <w:lang w:val="en-US" w:eastAsia="zh-CN"/>
              </w:rPr>
            </w:pPr>
            <w:r>
              <w:rPr>
                <w:rFonts w:hint="eastAsia"/>
                <w:b/>
                <w:bCs/>
                <w:sz w:val="21"/>
                <w:szCs w:val="21"/>
                <w:highlight w:val="none"/>
                <w:lang w:val="en-US" w:eastAsia="zh-CN"/>
              </w:rPr>
              <w:t>3.0</w:t>
            </w:r>
          </w:p>
        </w:tc>
        <w:tc>
          <w:tcPr>
            <w:tcW w:w="36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0A68C8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b/>
                <w:bCs/>
                <w:sz w:val="21"/>
                <w:szCs w:val="21"/>
                <w:highlight w:val="none"/>
                <w:lang w:val="en-US" w:eastAsia="zh-CN"/>
              </w:rPr>
            </w:pPr>
            <w:r>
              <w:rPr>
                <w:rFonts w:hint="eastAsia" w:eastAsia="宋体"/>
                <w:b/>
                <w:bCs/>
                <w:sz w:val="21"/>
                <w:szCs w:val="21"/>
                <w:highlight w:val="none"/>
                <w:lang w:val="en-US" w:eastAsia="zh-CN"/>
              </w:rPr>
              <w:t>250</w:t>
            </w:r>
          </w:p>
        </w:tc>
        <w:tc>
          <w:tcPr>
            <w:tcW w:w="36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43C30F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b/>
                <w:bCs/>
                <w:sz w:val="21"/>
                <w:szCs w:val="21"/>
                <w:highlight w:val="none"/>
                <w:lang w:val="en-US" w:eastAsia="zh-CN"/>
              </w:rPr>
            </w:pPr>
            <w:r>
              <w:rPr>
                <w:rFonts w:hint="eastAsia" w:eastAsia="宋体"/>
                <w:b/>
                <w:bCs/>
                <w:sz w:val="21"/>
                <w:szCs w:val="21"/>
                <w:highlight w:val="none"/>
                <w:lang w:val="en-US" w:eastAsia="zh-CN"/>
              </w:rPr>
              <w:t>250</w:t>
            </w:r>
          </w:p>
        </w:tc>
        <w:tc>
          <w:tcPr>
            <w:tcW w:w="369" w:type="pct"/>
            <w:tcBorders>
              <w:top w:val="single" w:color="000000" w:sz="4" w:space="0"/>
              <w:left w:val="single" w:color="000000" w:sz="4" w:space="0"/>
              <w:bottom w:val="single" w:color="000000" w:sz="4" w:space="0"/>
            </w:tcBorders>
            <w:shd w:val="clear" w:color="auto" w:fill="auto"/>
            <w:noWrap w:val="0"/>
            <w:vAlign w:val="center"/>
          </w:tcPr>
          <w:p w14:paraId="5C4DFBB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b/>
                <w:bCs/>
                <w:sz w:val="21"/>
                <w:szCs w:val="21"/>
                <w:highlight w:val="none"/>
                <w:lang w:val="en-US" w:eastAsia="zh-CN"/>
              </w:rPr>
            </w:pPr>
            <w:r>
              <w:rPr>
                <w:rFonts w:hint="eastAsia"/>
                <w:b/>
                <w:bCs/>
                <w:sz w:val="21"/>
                <w:szCs w:val="21"/>
                <w:highlight w:val="none"/>
                <w:lang w:val="en-US" w:eastAsia="zh-CN"/>
              </w:rPr>
              <w:t>3.0</w:t>
            </w:r>
          </w:p>
        </w:tc>
      </w:tr>
      <w:tr w14:paraId="425F0BD7">
        <w:tblPrEx>
          <w:tblBorders>
            <w:top w:val="single" w:color="auto" w:sz="12" w:space="0"/>
            <w:left w:val="single" w:color="auto" w:sz="12" w:space="0"/>
            <w:bottom w:val="single" w:color="auto" w:sz="12" w:space="0"/>
            <w:right w:val="single" w:color="auto" w:sz="12" w:space="0"/>
            <w:insideH w:val="none" w:color="auto" w:sz="4" w:space="0"/>
            <w:insideV w:val="none" w:color="auto" w:sz="4" w:space="0"/>
          </w:tblBorders>
          <w:shd w:val="clear" w:color="auto" w:fill="auto"/>
          <w:tblCellMar>
            <w:top w:w="0" w:type="dxa"/>
            <w:left w:w="108" w:type="dxa"/>
            <w:bottom w:w="0" w:type="dxa"/>
            <w:right w:w="108" w:type="dxa"/>
          </w:tblCellMar>
        </w:tblPrEx>
        <w:trPr>
          <w:trHeight w:val="90" w:hRule="atLeast"/>
          <w:jc w:val="center"/>
        </w:trPr>
        <w:tc>
          <w:tcPr>
            <w:tcW w:w="5000" w:type="pct"/>
            <w:gridSpan w:val="14"/>
            <w:tcBorders>
              <w:top w:val="single" w:color="000000" w:sz="4" w:space="0"/>
            </w:tcBorders>
            <w:shd w:val="clear" w:color="auto" w:fill="auto"/>
            <w:noWrap w:val="0"/>
            <w:vAlign w:val="center"/>
          </w:tcPr>
          <w:p w14:paraId="2E846077">
            <w:pPr>
              <w:keepNext w:val="0"/>
              <w:keepLines w:val="0"/>
              <w:pageBreakBefore w:val="0"/>
              <w:widowControl w:val="0"/>
              <w:kinsoku/>
              <w:wordWrap/>
              <w:overflowPunct/>
              <w:topLinePunct w:val="0"/>
              <w:autoSpaceDE/>
              <w:autoSpaceDN/>
              <w:bidi w:val="0"/>
              <w:adjustRightInd/>
              <w:snapToGrid/>
              <w:spacing w:line="360" w:lineRule="auto"/>
              <w:ind w:firstLine="0" w:firstLineChars="0"/>
              <w:jc w:val="both"/>
              <w:textAlignment w:val="auto"/>
              <w:rPr>
                <w:rFonts w:hint="default"/>
                <w:b/>
                <w:bCs/>
                <w:sz w:val="21"/>
                <w:szCs w:val="21"/>
                <w:highlight w:val="none"/>
              </w:rPr>
            </w:pPr>
            <w:r>
              <w:rPr>
                <w:rFonts w:hint="default" w:ascii="Times New Roman" w:hAnsi="Times New Roman" w:eastAsia="宋体" w:cs="Times New Roman"/>
                <w:b/>
                <w:bCs/>
                <w:sz w:val="21"/>
                <w:szCs w:val="21"/>
                <w:highlight w:val="none"/>
                <w:u w:val="none"/>
                <w:lang w:val="en-US" w:eastAsia="zh-CN"/>
              </w:rPr>
              <w:t>注：</w:t>
            </w:r>
            <w:r>
              <w:rPr>
                <w:rFonts w:hint="eastAsia" w:ascii="宋体" w:hAnsi="宋体" w:eastAsia="宋体" w:cs="宋体"/>
                <w:b/>
                <w:bCs/>
                <w:sz w:val="21"/>
                <w:szCs w:val="21"/>
                <w:highlight w:val="none"/>
                <w:u w:val="none"/>
                <w:lang w:val="en-US" w:eastAsia="zh-CN"/>
              </w:rPr>
              <w:t>“</w:t>
            </w:r>
            <w:r>
              <w:rPr>
                <w:rFonts w:hint="default" w:ascii="Times New Roman" w:hAnsi="Times New Roman" w:eastAsia="宋体" w:cs="Times New Roman"/>
                <w:b/>
                <w:bCs/>
                <w:sz w:val="21"/>
                <w:szCs w:val="21"/>
                <w:highlight w:val="none"/>
                <w:u w:val="none"/>
                <w:lang w:val="en-US" w:eastAsia="zh-CN"/>
              </w:rPr>
              <w:t>检出限+L</w:t>
            </w:r>
            <w:r>
              <w:rPr>
                <w:rFonts w:hint="eastAsia" w:ascii="宋体" w:hAnsi="宋体" w:eastAsia="宋体" w:cs="宋体"/>
                <w:b/>
                <w:bCs/>
                <w:sz w:val="21"/>
                <w:szCs w:val="21"/>
                <w:highlight w:val="none"/>
                <w:u w:val="none"/>
                <w:lang w:val="en-US" w:eastAsia="zh-CN"/>
              </w:rPr>
              <w:t>”</w:t>
            </w:r>
            <w:r>
              <w:rPr>
                <w:rFonts w:hint="default" w:ascii="Times New Roman" w:hAnsi="Times New Roman" w:eastAsia="宋体" w:cs="Times New Roman"/>
                <w:b/>
                <w:bCs/>
                <w:sz w:val="21"/>
                <w:szCs w:val="21"/>
                <w:highlight w:val="none"/>
                <w:u w:val="none"/>
                <w:lang w:val="en-US" w:eastAsia="zh-CN"/>
              </w:rPr>
              <w:t>表示检测结果低于检出限。</w:t>
            </w:r>
          </w:p>
        </w:tc>
      </w:tr>
    </w:tbl>
    <w:p w14:paraId="2D21EBF4">
      <w:pPr>
        <w:bidi w:val="0"/>
        <w:ind w:left="0" w:leftChars="0" w:firstLine="0" w:firstLineChars="0"/>
        <w:rPr>
          <w:rFonts w:hint="eastAsia"/>
          <w:lang w:val="en-US" w:eastAsia="zh-CN"/>
        </w:rPr>
      </w:pPr>
    </w:p>
    <w:p w14:paraId="7676D392">
      <w:pPr>
        <w:widowControl/>
        <w:tabs>
          <w:tab w:val="left" w:pos="1021"/>
        </w:tabs>
        <w:ind w:firstLine="422" w:firstLineChars="200"/>
        <w:jc w:val="center"/>
        <w:rPr>
          <w:rFonts w:hint="default" w:ascii="Times New Roman" w:hAnsi="Times New Roman" w:cs="Times New Roman"/>
          <w:color w:val="auto"/>
          <w:szCs w:val="24"/>
          <w:highlight w:val="none"/>
          <w:lang w:bidi="ar"/>
        </w:rPr>
      </w:pPr>
      <w:r>
        <w:rPr>
          <w:rFonts w:hint="default" w:ascii="Times New Roman" w:hAnsi="Times New Roman" w:eastAsia="宋体" w:cs="Times New Roman"/>
          <w:b/>
          <w:bCs/>
          <w:sz w:val="21"/>
          <w:szCs w:val="21"/>
          <w:highlight w:val="none"/>
          <w:lang w:val="en-US" w:eastAsia="zh-CN"/>
        </w:rPr>
        <w:t>续表</w:t>
      </w:r>
      <w:r>
        <w:rPr>
          <w:rFonts w:hint="eastAsia" w:ascii="Times New Roman" w:hAnsi="Times New Roman" w:eastAsia="宋体" w:cs="Times New Roman"/>
          <w:b/>
          <w:bCs/>
          <w:sz w:val="21"/>
          <w:szCs w:val="21"/>
          <w:highlight w:val="none"/>
          <w:lang w:val="en-US" w:eastAsia="zh-CN"/>
        </w:rPr>
        <w:t>4.2-</w:t>
      </w:r>
      <w:r>
        <w:rPr>
          <w:rFonts w:hint="eastAsia" w:cs="Times New Roman"/>
          <w:b/>
          <w:bCs/>
          <w:sz w:val="21"/>
          <w:szCs w:val="21"/>
          <w:highlight w:val="none"/>
          <w:lang w:val="en-US" w:eastAsia="zh-CN"/>
        </w:rPr>
        <w:t>8</w:t>
      </w:r>
      <w:r>
        <w:rPr>
          <w:rFonts w:hint="default" w:ascii="Times New Roman" w:hAnsi="Times New Roman" w:eastAsia="宋体" w:cs="Times New Roman"/>
          <w:b/>
          <w:bCs/>
          <w:sz w:val="21"/>
          <w:szCs w:val="21"/>
          <w:highlight w:val="none"/>
          <w:lang w:val="en-US" w:eastAsia="zh-CN"/>
        </w:rPr>
        <w:t xml:space="preserve">  地下水环境质量现状监测结果一览表    单位：mg/L（pH无量纲）</w:t>
      </w:r>
    </w:p>
    <w:tbl>
      <w:tblPr>
        <w:tblStyle w:val="35"/>
        <w:tblW w:w="4996" w:type="pct"/>
        <w:tblInd w:w="0" w:type="dxa"/>
        <w:tblBorders>
          <w:top w:val="single" w:color="auto" w:sz="12" w:space="0"/>
          <w:left w:val="single" w:color="auto" w:sz="12" w:space="0"/>
          <w:bottom w:val="single" w:color="auto" w:sz="12" w:space="0"/>
          <w:right w:val="single" w:color="auto" w:sz="12" w:space="0"/>
          <w:insideH w:val="none" w:color="auto" w:sz="4" w:space="0"/>
          <w:insideV w:val="none" w:color="auto" w:sz="4" w:space="0"/>
        </w:tblBorders>
        <w:shd w:val="clear" w:color="auto" w:fill="auto"/>
        <w:tblLayout w:type="autofit"/>
        <w:tblCellMar>
          <w:top w:w="0" w:type="dxa"/>
          <w:left w:w="108" w:type="dxa"/>
          <w:bottom w:w="0" w:type="dxa"/>
          <w:right w:w="108" w:type="dxa"/>
        </w:tblCellMar>
      </w:tblPr>
      <w:tblGrid>
        <w:gridCol w:w="1207"/>
        <w:gridCol w:w="1519"/>
        <w:gridCol w:w="1301"/>
        <w:gridCol w:w="1302"/>
        <w:gridCol w:w="1228"/>
        <w:gridCol w:w="1228"/>
        <w:gridCol w:w="1228"/>
        <w:gridCol w:w="1316"/>
        <w:gridCol w:w="1228"/>
        <w:gridCol w:w="1228"/>
        <w:gridCol w:w="1424"/>
      </w:tblGrid>
      <w:tr w14:paraId="4520228B">
        <w:tblPrEx>
          <w:tblBorders>
            <w:top w:val="single" w:color="auto" w:sz="12" w:space="0"/>
            <w:left w:val="single" w:color="auto" w:sz="12" w:space="0"/>
            <w:bottom w:val="single" w:color="auto" w:sz="12" w:space="0"/>
            <w:right w:val="single" w:color="auto" w:sz="12" w:space="0"/>
            <w:insideH w:val="none" w:color="auto" w:sz="4" w:space="0"/>
            <w:insideV w:val="none" w:color="auto" w:sz="4" w:space="0"/>
          </w:tblBorders>
          <w:shd w:val="clear" w:color="auto" w:fill="auto"/>
          <w:tblCellMar>
            <w:top w:w="0" w:type="dxa"/>
            <w:left w:w="108" w:type="dxa"/>
            <w:bottom w:w="0" w:type="dxa"/>
            <w:right w:w="108" w:type="dxa"/>
          </w:tblCellMar>
        </w:tblPrEx>
        <w:trPr>
          <w:trHeight w:val="0" w:hRule="atLeast"/>
        </w:trPr>
        <w:tc>
          <w:tcPr>
            <w:tcW w:w="425" w:type="pct"/>
            <w:tcBorders>
              <w:bottom w:val="single" w:color="000000" w:sz="4" w:space="0"/>
              <w:right w:val="single" w:color="000000" w:sz="4" w:space="0"/>
            </w:tcBorders>
            <w:shd w:val="clear" w:color="auto" w:fill="auto"/>
            <w:noWrap w:val="0"/>
            <w:vAlign w:val="center"/>
          </w:tcPr>
          <w:p w14:paraId="5B963723">
            <w:pPr>
              <w:keepNext w:val="0"/>
              <w:keepLines w:val="0"/>
              <w:pageBreakBefore w:val="0"/>
              <w:widowControl/>
              <w:tabs>
                <w:tab w:val="left" w:pos="1021"/>
              </w:tabs>
              <w:kinsoku/>
              <w:wordWrap/>
              <w:overflowPunct/>
              <w:topLinePunct w:val="0"/>
              <w:autoSpaceDE/>
              <w:autoSpaceDN/>
              <w:bidi w:val="0"/>
              <w:adjustRightInd w:val="0"/>
              <w:snapToGrid/>
              <w:spacing w:line="240" w:lineRule="auto"/>
              <w:ind w:firstLine="0" w:firstLineChars="0"/>
              <w:jc w:val="center"/>
              <w:textAlignment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kern w:val="0"/>
                <w:sz w:val="21"/>
                <w:szCs w:val="21"/>
                <w:highlight w:val="none"/>
                <w:lang w:bidi="ar"/>
              </w:rPr>
              <w:t>断面</w:t>
            </w:r>
          </w:p>
        </w:tc>
        <w:tc>
          <w:tcPr>
            <w:tcW w:w="534" w:type="pct"/>
            <w:tcBorders>
              <w:left w:val="single" w:color="000000" w:sz="4" w:space="0"/>
              <w:bottom w:val="single" w:color="000000" w:sz="4" w:space="0"/>
              <w:right w:val="single" w:color="000000" w:sz="4" w:space="0"/>
            </w:tcBorders>
            <w:shd w:val="clear" w:color="auto" w:fill="auto"/>
            <w:noWrap w:val="0"/>
            <w:vAlign w:val="center"/>
          </w:tcPr>
          <w:p w14:paraId="5D0B8E13">
            <w:pPr>
              <w:keepNext w:val="0"/>
              <w:keepLines w:val="0"/>
              <w:pageBreakBefore w:val="0"/>
              <w:widowControl/>
              <w:tabs>
                <w:tab w:val="left" w:pos="1021"/>
              </w:tabs>
              <w:kinsoku/>
              <w:wordWrap/>
              <w:overflowPunct/>
              <w:topLinePunct w:val="0"/>
              <w:autoSpaceDE/>
              <w:autoSpaceDN/>
              <w:bidi w:val="0"/>
              <w:adjustRightInd w:val="0"/>
              <w:snapToGrid/>
              <w:spacing w:line="240" w:lineRule="auto"/>
              <w:ind w:firstLine="0" w:firstLineChars="0"/>
              <w:jc w:val="center"/>
              <w:textAlignment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kern w:val="0"/>
                <w:sz w:val="21"/>
                <w:szCs w:val="21"/>
                <w:highlight w:val="none"/>
                <w:lang w:bidi="ar"/>
              </w:rPr>
              <w:t>监测项目</w:t>
            </w:r>
          </w:p>
        </w:tc>
        <w:tc>
          <w:tcPr>
            <w:tcW w:w="458" w:type="pct"/>
            <w:tcBorders>
              <w:left w:val="single" w:color="000000" w:sz="4" w:space="0"/>
              <w:bottom w:val="single" w:color="000000" w:sz="4" w:space="0"/>
              <w:right w:val="single" w:color="000000" w:sz="4" w:space="0"/>
            </w:tcBorders>
            <w:shd w:val="clear" w:color="auto" w:fill="auto"/>
            <w:noWrap/>
            <w:vAlign w:val="center"/>
          </w:tcPr>
          <w:p w14:paraId="1F21F1B5">
            <w:pPr>
              <w:keepNext w:val="0"/>
              <w:keepLines w:val="0"/>
              <w:pageBreakBefore w:val="0"/>
              <w:widowControl/>
              <w:tabs>
                <w:tab w:val="left" w:pos="1021"/>
              </w:tabs>
              <w:kinsoku/>
              <w:wordWrap/>
              <w:overflowPunct/>
              <w:topLinePunct w:val="0"/>
              <w:autoSpaceDE/>
              <w:autoSpaceDN/>
              <w:bidi w:val="0"/>
              <w:adjustRightInd w:val="0"/>
              <w:snapToGrid/>
              <w:spacing w:line="240" w:lineRule="auto"/>
              <w:ind w:firstLine="0" w:firstLineChars="0"/>
              <w:jc w:val="center"/>
              <w:textAlignment w:val="center"/>
              <w:rPr>
                <w:rFonts w:hint="default" w:ascii="Times New Roman" w:hAnsi="Times New Roman" w:cs="Times New Roman"/>
                <w:b/>
                <w:bCs/>
                <w:color w:val="auto"/>
                <w:kern w:val="20"/>
                <w:sz w:val="21"/>
                <w:szCs w:val="21"/>
                <w:highlight w:val="none"/>
              </w:rPr>
            </w:pPr>
            <w:r>
              <w:rPr>
                <w:rFonts w:hint="default" w:ascii="Times New Roman" w:hAnsi="Times New Roman" w:cs="Times New Roman"/>
                <w:b/>
                <w:bCs/>
                <w:color w:val="auto"/>
                <w:kern w:val="20"/>
                <w:sz w:val="21"/>
                <w:szCs w:val="21"/>
                <w:highlight w:val="none"/>
                <w:lang w:val="en-US" w:eastAsia="zh-CN"/>
              </w:rPr>
              <w:t>细菌总数</w:t>
            </w:r>
          </w:p>
        </w:tc>
        <w:tc>
          <w:tcPr>
            <w:tcW w:w="458" w:type="pct"/>
            <w:tcBorders>
              <w:left w:val="single" w:color="000000" w:sz="4" w:space="0"/>
              <w:bottom w:val="single" w:color="000000" w:sz="4" w:space="0"/>
              <w:right w:val="single" w:color="000000" w:sz="4" w:space="0"/>
            </w:tcBorders>
            <w:shd w:val="clear" w:color="auto" w:fill="auto"/>
            <w:noWrap/>
            <w:vAlign w:val="center"/>
          </w:tcPr>
          <w:p w14:paraId="134A293F">
            <w:pPr>
              <w:keepNext w:val="0"/>
              <w:keepLines w:val="0"/>
              <w:pageBreakBefore w:val="0"/>
              <w:widowControl/>
              <w:tabs>
                <w:tab w:val="left" w:pos="1021"/>
              </w:tabs>
              <w:kinsoku/>
              <w:wordWrap/>
              <w:overflowPunct/>
              <w:topLinePunct w:val="0"/>
              <w:autoSpaceDE/>
              <w:autoSpaceDN/>
              <w:bidi w:val="0"/>
              <w:adjustRightInd w:val="0"/>
              <w:snapToGrid/>
              <w:spacing w:line="240" w:lineRule="auto"/>
              <w:ind w:firstLine="0" w:firstLineChars="0"/>
              <w:jc w:val="center"/>
              <w:textAlignment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kern w:val="20"/>
                <w:sz w:val="21"/>
                <w:szCs w:val="21"/>
                <w:highlight w:val="none"/>
              </w:rPr>
              <w:t>K</w:t>
            </w:r>
            <w:r>
              <w:rPr>
                <w:rFonts w:hint="default" w:ascii="Times New Roman" w:hAnsi="Times New Roman" w:cs="Times New Roman"/>
                <w:b/>
                <w:bCs/>
                <w:color w:val="auto"/>
                <w:kern w:val="20"/>
                <w:sz w:val="21"/>
                <w:szCs w:val="21"/>
                <w:highlight w:val="none"/>
                <w:vertAlign w:val="superscript"/>
              </w:rPr>
              <w:t>+</w:t>
            </w:r>
          </w:p>
        </w:tc>
        <w:tc>
          <w:tcPr>
            <w:tcW w:w="432" w:type="pct"/>
            <w:tcBorders>
              <w:left w:val="single" w:color="000000" w:sz="4" w:space="0"/>
              <w:bottom w:val="single" w:color="000000" w:sz="4" w:space="0"/>
              <w:right w:val="single" w:color="000000" w:sz="4" w:space="0"/>
            </w:tcBorders>
            <w:shd w:val="clear" w:color="auto" w:fill="auto"/>
            <w:noWrap/>
            <w:vAlign w:val="center"/>
          </w:tcPr>
          <w:p w14:paraId="327DE485">
            <w:pPr>
              <w:keepNext w:val="0"/>
              <w:keepLines w:val="0"/>
              <w:pageBreakBefore w:val="0"/>
              <w:widowControl/>
              <w:tabs>
                <w:tab w:val="left" w:pos="1021"/>
              </w:tabs>
              <w:kinsoku/>
              <w:wordWrap/>
              <w:overflowPunct/>
              <w:topLinePunct w:val="0"/>
              <w:autoSpaceDE/>
              <w:autoSpaceDN/>
              <w:bidi w:val="0"/>
              <w:adjustRightInd w:val="0"/>
              <w:snapToGrid/>
              <w:spacing w:line="240" w:lineRule="auto"/>
              <w:ind w:firstLine="0" w:firstLineChars="0"/>
              <w:jc w:val="center"/>
              <w:textAlignment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kern w:val="20"/>
                <w:sz w:val="21"/>
                <w:szCs w:val="21"/>
                <w:highlight w:val="none"/>
              </w:rPr>
              <w:t>Na</w:t>
            </w:r>
            <w:r>
              <w:rPr>
                <w:rFonts w:hint="default" w:ascii="Times New Roman" w:hAnsi="Times New Roman" w:cs="Times New Roman"/>
                <w:b/>
                <w:bCs/>
                <w:color w:val="auto"/>
                <w:kern w:val="20"/>
                <w:sz w:val="21"/>
                <w:szCs w:val="21"/>
                <w:highlight w:val="none"/>
                <w:vertAlign w:val="superscript"/>
              </w:rPr>
              <w:t>+</w:t>
            </w:r>
          </w:p>
        </w:tc>
        <w:tc>
          <w:tcPr>
            <w:tcW w:w="432" w:type="pct"/>
            <w:tcBorders>
              <w:left w:val="single" w:color="000000" w:sz="4" w:space="0"/>
              <w:bottom w:val="single" w:color="000000" w:sz="4" w:space="0"/>
              <w:right w:val="single" w:color="000000" w:sz="4" w:space="0"/>
            </w:tcBorders>
            <w:shd w:val="clear" w:color="auto" w:fill="auto"/>
            <w:noWrap/>
            <w:vAlign w:val="center"/>
          </w:tcPr>
          <w:p w14:paraId="44D7B14A">
            <w:pPr>
              <w:keepNext w:val="0"/>
              <w:keepLines w:val="0"/>
              <w:pageBreakBefore w:val="0"/>
              <w:widowControl/>
              <w:tabs>
                <w:tab w:val="left" w:pos="1021"/>
              </w:tabs>
              <w:kinsoku/>
              <w:wordWrap/>
              <w:overflowPunct/>
              <w:topLinePunct w:val="0"/>
              <w:autoSpaceDE/>
              <w:autoSpaceDN/>
              <w:bidi w:val="0"/>
              <w:adjustRightInd w:val="0"/>
              <w:snapToGrid/>
              <w:spacing w:line="240" w:lineRule="auto"/>
              <w:ind w:firstLine="0" w:firstLineChars="0"/>
              <w:jc w:val="center"/>
              <w:textAlignment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kern w:val="20"/>
                <w:sz w:val="21"/>
                <w:szCs w:val="21"/>
                <w:highlight w:val="none"/>
              </w:rPr>
              <w:t>Ca</w:t>
            </w:r>
            <w:r>
              <w:rPr>
                <w:rFonts w:hint="default" w:ascii="Times New Roman" w:hAnsi="Times New Roman" w:cs="Times New Roman"/>
                <w:b/>
                <w:bCs/>
                <w:color w:val="auto"/>
                <w:kern w:val="20"/>
                <w:sz w:val="21"/>
                <w:szCs w:val="21"/>
                <w:highlight w:val="none"/>
                <w:vertAlign w:val="superscript"/>
              </w:rPr>
              <w:t>2+</w:t>
            </w:r>
          </w:p>
        </w:tc>
        <w:tc>
          <w:tcPr>
            <w:tcW w:w="432" w:type="pct"/>
            <w:tcBorders>
              <w:left w:val="single" w:color="000000" w:sz="4" w:space="0"/>
              <w:bottom w:val="single" w:color="000000" w:sz="4" w:space="0"/>
              <w:right w:val="single" w:color="000000" w:sz="4" w:space="0"/>
            </w:tcBorders>
            <w:shd w:val="clear" w:color="auto" w:fill="auto"/>
            <w:noWrap/>
            <w:vAlign w:val="center"/>
          </w:tcPr>
          <w:p w14:paraId="0ED77AD6">
            <w:pPr>
              <w:keepNext w:val="0"/>
              <w:keepLines w:val="0"/>
              <w:pageBreakBefore w:val="0"/>
              <w:widowControl/>
              <w:tabs>
                <w:tab w:val="left" w:pos="1021"/>
              </w:tabs>
              <w:kinsoku/>
              <w:wordWrap/>
              <w:overflowPunct/>
              <w:topLinePunct w:val="0"/>
              <w:autoSpaceDE/>
              <w:autoSpaceDN/>
              <w:bidi w:val="0"/>
              <w:adjustRightInd w:val="0"/>
              <w:snapToGrid/>
              <w:spacing w:line="240" w:lineRule="auto"/>
              <w:ind w:firstLine="0" w:firstLineChars="0"/>
              <w:jc w:val="center"/>
              <w:textAlignment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kern w:val="20"/>
                <w:sz w:val="21"/>
                <w:szCs w:val="21"/>
                <w:highlight w:val="none"/>
              </w:rPr>
              <w:t>Mg</w:t>
            </w:r>
            <w:r>
              <w:rPr>
                <w:rFonts w:hint="default" w:ascii="Times New Roman" w:hAnsi="Times New Roman" w:cs="Times New Roman"/>
                <w:b/>
                <w:bCs/>
                <w:color w:val="auto"/>
                <w:kern w:val="20"/>
                <w:sz w:val="21"/>
                <w:szCs w:val="21"/>
                <w:highlight w:val="none"/>
                <w:vertAlign w:val="superscript"/>
              </w:rPr>
              <w:t>2+</w:t>
            </w:r>
          </w:p>
        </w:tc>
        <w:tc>
          <w:tcPr>
            <w:tcW w:w="463" w:type="pct"/>
            <w:tcBorders>
              <w:left w:val="single" w:color="000000" w:sz="4" w:space="0"/>
              <w:bottom w:val="single" w:color="000000" w:sz="4" w:space="0"/>
              <w:right w:val="single" w:color="000000" w:sz="4" w:space="0"/>
            </w:tcBorders>
            <w:shd w:val="clear" w:color="auto" w:fill="auto"/>
            <w:noWrap/>
            <w:vAlign w:val="center"/>
          </w:tcPr>
          <w:p w14:paraId="46F41913">
            <w:pPr>
              <w:keepNext w:val="0"/>
              <w:keepLines w:val="0"/>
              <w:pageBreakBefore w:val="0"/>
              <w:widowControl/>
              <w:tabs>
                <w:tab w:val="left" w:pos="1021"/>
              </w:tabs>
              <w:kinsoku/>
              <w:wordWrap/>
              <w:overflowPunct/>
              <w:topLinePunct w:val="0"/>
              <w:autoSpaceDE/>
              <w:autoSpaceDN/>
              <w:bidi w:val="0"/>
              <w:adjustRightInd w:val="0"/>
              <w:snapToGrid/>
              <w:spacing w:line="240" w:lineRule="auto"/>
              <w:ind w:firstLine="0" w:firstLineChars="0"/>
              <w:jc w:val="center"/>
              <w:textAlignment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kern w:val="20"/>
                <w:sz w:val="21"/>
                <w:szCs w:val="21"/>
                <w:highlight w:val="none"/>
              </w:rPr>
              <w:t>CO</w:t>
            </w:r>
            <w:r>
              <w:rPr>
                <w:rFonts w:hint="default" w:ascii="Times New Roman" w:hAnsi="Times New Roman" w:cs="Times New Roman"/>
                <w:b/>
                <w:bCs/>
                <w:color w:val="auto"/>
                <w:kern w:val="20"/>
                <w:sz w:val="21"/>
                <w:szCs w:val="21"/>
                <w:highlight w:val="none"/>
                <w:vertAlign w:val="subscript"/>
              </w:rPr>
              <w:t>3</w:t>
            </w:r>
            <w:r>
              <w:rPr>
                <w:rFonts w:hint="default" w:ascii="Times New Roman" w:hAnsi="Times New Roman" w:cs="Times New Roman"/>
                <w:b/>
                <w:bCs/>
                <w:color w:val="auto"/>
                <w:kern w:val="20"/>
                <w:sz w:val="21"/>
                <w:szCs w:val="21"/>
                <w:highlight w:val="none"/>
                <w:vertAlign w:val="superscript"/>
              </w:rPr>
              <w:t>2-</w:t>
            </w:r>
          </w:p>
        </w:tc>
        <w:tc>
          <w:tcPr>
            <w:tcW w:w="432" w:type="pct"/>
            <w:tcBorders>
              <w:left w:val="single" w:color="000000" w:sz="4" w:space="0"/>
              <w:bottom w:val="single" w:color="000000" w:sz="4" w:space="0"/>
              <w:right w:val="single" w:color="000000" w:sz="4" w:space="0"/>
            </w:tcBorders>
            <w:shd w:val="clear" w:color="auto" w:fill="auto"/>
            <w:noWrap/>
            <w:vAlign w:val="center"/>
          </w:tcPr>
          <w:p w14:paraId="5F95AA0E">
            <w:pPr>
              <w:keepNext w:val="0"/>
              <w:keepLines w:val="0"/>
              <w:pageBreakBefore w:val="0"/>
              <w:widowControl/>
              <w:tabs>
                <w:tab w:val="left" w:pos="1021"/>
              </w:tabs>
              <w:kinsoku/>
              <w:wordWrap/>
              <w:overflowPunct/>
              <w:topLinePunct w:val="0"/>
              <w:autoSpaceDE/>
              <w:autoSpaceDN/>
              <w:bidi w:val="0"/>
              <w:adjustRightInd w:val="0"/>
              <w:snapToGrid/>
              <w:spacing w:line="240" w:lineRule="auto"/>
              <w:ind w:firstLine="0" w:firstLineChars="0"/>
              <w:jc w:val="center"/>
              <w:textAlignment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kern w:val="20"/>
                <w:sz w:val="21"/>
                <w:szCs w:val="21"/>
                <w:highlight w:val="none"/>
              </w:rPr>
              <w:t>HCO</w:t>
            </w:r>
            <w:r>
              <w:rPr>
                <w:rFonts w:hint="default" w:ascii="Times New Roman" w:hAnsi="Times New Roman" w:cs="Times New Roman"/>
                <w:b/>
                <w:bCs/>
                <w:color w:val="auto"/>
                <w:kern w:val="20"/>
                <w:sz w:val="21"/>
                <w:szCs w:val="21"/>
                <w:highlight w:val="none"/>
                <w:vertAlign w:val="subscript"/>
              </w:rPr>
              <w:t>3</w:t>
            </w:r>
            <w:r>
              <w:rPr>
                <w:rFonts w:hint="default" w:ascii="Times New Roman" w:hAnsi="Times New Roman" w:cs="Times New Roman"/>
                <w:b/>
                <w:bCs/>
                <w:color w:val="auto"/>
                <w:kern w:val="20"/>
                <w:sz w:val="21"/>
                <w:szCs w:val="21"/>
                <w:highlight w:val="none"/>
                <w:vertAlign w:val="superscript"/>
              </w:rPr>
              <w:t>-</w:t>
            </w:r>
          </w:p>
        </w:tc>
        <w:tc>
          <w:tcPr>
            <w:tcW w:w="432" w:type="pct"/>
            <w:tcBorders>
              <w:left w:val="single" w:color="000000" w:sz="4" w:space="0"/>
              <w:bottom w:val="single" w:color="000000" w:sz="4" w:space="0"/>
              <w:right w:val="single" w:color="000000" w:sz="4" w:space="0"/>
            </w:tcBorders>
            <w:shd w:val="clear" w:color="auto" w:fill="auto"/>
            <w:noWrap/>
            <w:vAlign w:val="center"/>
          </w:tcPr>
          <w:p w14:paraId="0E42D156">
            <w:pPr>
              <w:keepNext w:val="0"/>
              <w:keepLines w:val="0"/>
              <w:pageBreakBefore w:val="0"/>
              <w:widowControl/>
              <w:tabs>
                <w:tab w:val="left" w:pos="1021"/>
              </w:tabs>
              <w:kinsoku/>
              <w:wordWrap/>
              <w:overflowPunct/>
              <w:topLinePunct w:val="0"/>
              <w:autoSpaceDE/>
              <w:autoSpaceDN/>
              <w:bidi w:val="0"/>
              <w:adjustRightInd w:val="0"/>
              <w:snapToGrid/>
              <w:spacing w:line="240" w:lineRule="auto"/>
              <w:ind w:firstLine="0" w:firstLineChars="0"/>
              <w:jc w:val="center"/>
              <w:textAlignment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kern w:val="20"/>
                <w:sz w:val="21"/>
                <w:szCs w:val="21"/>
                <w:highlight w:val="none"/>
              </w:rPr>
              <w:t>Cl</w:t>
            </w:r>
            <w:r>
              <w:rPr>
                <w:rFonts w:hint="default" w:ascii="Times New Roman" w:hAnsi="Times New Roman" w:cs="Times New Roman"/>
                <w:b/>
                <w:bCs/>
                <w:color w:val="auto"/>
                <w:kern w:val="20"/>
                <w:sz w:val="21"/>
                <w:szCs w:val="21"/>
                <w:highlight w:val="none"/>
                <w:vertAlign w:val="superscript"/>
              </w:rPr>
              <w:t>-</w:t>
            </w:r>
          </w:p>
        </w:tc>
        <w:tc>
          <w:tcPr>
            <w:tcW w:w="498" w:type="pct"/>
            <w:tcBorders>
              <w:left w:val="single" w:color="000000" w:sz="4" w:space="0"/>
              <w:bottom w:val="single" w:color="000000" w:sz="4" w:space="0"/>
            </w:tcBorders>
            <w:shd w:val="clear" w:color="auto" w:fill="auto"/>
            <w:noWrap/>
            <w:vAlign w:val="center"/>
          </w:tcPr>
          <w:p w14:paraId="3D0468F1">
            <w:pPr>
              <w:keepNext w:val="0"/>
              <w:keepLines w:val="0"/>
              <w:pageBreakBefore w:val="0"/>
              <w:widowControl/>
              <w:tabs>
                <w:tab w:val="left" w:pos="1021"/>
              </w:tabs>
              <w:kinsoku/>
              <w:wordWrap/>
              <w:overflowPunct/>
              <w:topLinePunct w:val="0"/>
              <w:autoSpaceDE/>
              <w:autoSpaceDN/>
              <w:bidi w:val="0"/>
              <w:adjustRightInd w:val="0"/>
              <w:snapToGrid/>
              <w:spacing w:line="240" w:lineRule="auto"/>
              <w:ind w:firstLine="0" w:firstLineChars="0"/>
              <w:jc w:val="center"/>
              <w:textAlignment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kern w:val="20"/>
                <w:sz w:val="21"/>
                <w:szCs w:val="21"/>
                <w:highlight w:val="none"/>
              </w:rPr>
              <w:t>SO</w:t>
            </w:r>
            <w:r>
              <w:rPr>
                <w:rFonts w:hint="default" w:ascii="Times New Roman" w:hAnsi="Times New Roman" w:cs="Times New Roman"/>
                <w:b/>
                <w:bCs/>
                <w:color w:val="auto"/>
                <w:kern w:val="20"/>
                <w:sz w:val="21"/>
                <w:szCs w:val="21"/>
                <w:highlight w:val="none"/>
                <w:vertAlign w:val="subscript"/>
              </w:rPr>
              <w:t>4</w:t>
            </w:r>
            <w:r>
              <w:rPr>
                <w:rFonts w:hint="default" w:ascii="Times New Roman" w:hAnsi="Times New Roman" w:cs="Times New Roman"/>
                <w:b/>
                <w:bCs/>
                <w:color w:val="auto"/>
                <w:kern w:val="20"/>
                <w:sz w:val="21"/>
                <w:szCs w:val="21"/>
                <w:highlight w:val="none"/>
                <w:vertAlign w:val="superscript"/>
              </w:rPr>
              <w:t>2-</w:t>
            </w:r>
          </w:p>
        </w:tc>
      </w:tr>
      <w:tr w14:paraId="790D3289">
        <w:tblPrEx>
          <w:tblBorders>
            <w:top w:val="single" w:color="auto" w:sz="12" w:space="0"/>
            <w:left w:val="single" w:color="auto" w:sz="12" w:space="0"/>
            <w:bottom w:val="single" w:color="auto" w:sz="12" w:space="0"/>
            <w:right w:val="single" w:color="auto" w:sz="12" w:space="0"/>
            <w:insideH w:val="none" w:color="auto" w:sz="4" w:space="0"/>
            <w:insideV w:val="none" w:color="auto" w:sz="4" w:space="0"/>
          </w:tblBorders>
          <w:shd w:val="clear" w:color="auto" w:fill="auto"/>
          <w:tblCellMar>
            <w:top w:w="0" w:type="dxa"/>
            <w:left w:w="108" w:type="dxa"/>
            <w:bottom w:w="0" w:type="dxa"/>
            <w:right w:w="108" w:type="dxa"/>
          </w:tblCellMar>
        </w:tblPrEx>
        <w:trPr>
          <w:trHeight w:val="0" w:hRule="atLeast"/>
        </w:trPr>
        <w:tc>
          <w:tcPr>
            <w:tcW w:w="425" w:type="pct"/>
            <w:vMerge w:val="restart"/>
            <w:tcBorders>
              <w:top w:val="single" w:color="000000" w:sz="4" w:space="0"/>
              <w:bottom w:val="single" w:color="000000" w:sz="4" w:space="0"/>
              <w:right w:val="single" w:color="000000" w:sz="4" w:space="0"/>
            </w:tcBorders>
            <w:shd w:val="clear" w:color="auto" w:fill="auto"/>
            <w:noWrap w:val="0"/>
            <w:vAlign w:val="center"/>
          </w:tcPr>
          <w:p w14:paraId="55738FF2">
            <w:pPr>
              <w:keepNext w:val="0"/>
              <w:keepLines w:val="0"/>
              <w:pageBreakBefore w:val="0"/>
              <w:widowControl/>
              <w:tabs>
                <w:tab w:val="left" w:pos="1021"/>
              </w:tabs>
              <w:kinsoku/>
              <w:wordWrap/>
              <w:overflowPunct/>
              <w:topLinePunct w:val="0"/>
              <w:autoSpaceDE/>
              <w:autoSpaceDN/>
              <w:bidi w:val="0"/>
              <w:adjustRightInd w:val="0"/>
              <w:snapToGrid/>
              <w:spacing w:line="240" w:lineRule="auto"/>
              <w:ind w:firstLine="0" w:firstLineChars="0"/>
              <w:jc w:val="center"/>
              <w:textAlignment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kern w:val="0"/>
                <w:sz w:val="21"/>
                <w:szCs w:val="21"/>
                <w:highlight w:val="none"/>
                <w:lang w:bidi="ar"/>
              </w:rPr>
              <w:t>D1</w:t>
            </w:r>
          </w:p>
        </w:tc>
        <w:tc>
          <w:tcPr>
            <w:tcW w:w="53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009B953">
            <w:pPr>
              <w:keepNext w:val="0"/>
              <w:keepLines w:val="0"/>
              <w:pageBreakBefore w:val="0"/>
              <w:widowControl/>
              <w:tabs>
                <w:tab w:val="left" w:pos="1021"/>
              </w:tabs>
              <w:kinsoku/>
              <w:wordWrap/>
              <w:overflowPunct/>
              <w:topLinePunct w:val="0"/>
              <w:autoSpaceDE/>
              <w:autoSpaceDN/>
              <w:bidi w:val="0"/>
              <w:adjustRightInd w:val="0"/>
              <w:snapToGrid/>
              <w:spacing w:line="240" w:lineRule="auto"/>
              <w:ind w:firstLine="0" w:firstLineChars="0"/>
              <w:jc w:val="center"/>
              <w:textAlignment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kern w:val="0"/>
                <w:sz w:val="21"/>
                <w:szCs w:val="21"/>
                <w:highlight w:val="none"/>
                <w:lang w:bidi="ar"/>
              </w:rPr>
              <w:t>监测值</w:t>
            </w:r>
          </w:p>
        </w:tc>
        <w:tc>
          <w:tcPr>
            <w:tcW w:w="45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14177FE">
            <w:pPr>
              <w:keepNext w:val="0"/>
              <w:keepLines w:val="0"/>
              <w:pageBreakBefore w:val="0"/>
              <w:widowControl/>
              <w:tabs>
                <w:tab w:val="left" w:pos="1021"/>
              </w:tabs>
              <w:kinsoku/>
              <w:wordWrap/>
              <w:overflowPunct/>
              <w:topLinePunct w:val="0"/>
              <w:autoSpaceDE/>
              <w:autoSpaceDN/>
              <w:bidi w:val="0"/>
              <w:adjustRightInd w:val="0"/>
              <w:snapToGrid/>
              <w:spacing w:line="240" w:lineRule="auto"/>
              <w:ind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36</w:t>
            </w:r>
          </w:p>
        </w:tc>
        <w:tc>
          <w:tcPr>
            <w:tcW w:w="45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35D3CCC">
            <w:pPr>
              <w:keepNext w:val="0"/>
              <w:keepLines w:val="0"/>
              <w:pageBreakBefore w:val="0"/>
              <w:widowControl/>
              <w:tabs>
                <w:tab w:val="left" w:pos="1021"/>
              </w:tabs>
              <w:kinsoku/>
              <w:wordWrap/>
              <w:overflowPunct/>
              <w:topLinePunct w:val="0"/>
              <w:autoSpaceDE/>
              <w:autoSpaceDN/>
              <w:bidi w:val="0"/>
              <w:adjustRightInd w:val="0"/>
              <w:snapToGrid/>
              <w:spacing w:line="240" w:lineRule="auto"/>
              <w:ind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2.02</w:t>
            </w:r>
          </w:p>
        </w:tc>
        <w:tc>
          <w:tcPr>
            <w:tcW w:w="43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5AD4452">
            <w:pPr>
              <w:keepNext w:val="0"/>
              <w:keepLines w:val="0"/>
              <w:pageBreakBefore w:val="0"/>
              <w:widowControl/>
              <w:tabs>
                <w:tab w:val="left" w:pos="1021"/>
              </w:tabs>
              <w:kinsoku/>
              <w:wordWrap/>
              <w:overflowPunct/>
              <w:topLinePunct w:val="0"/>
              <w:autoSpaceDE/>
              <w:autoSpaceDN/>
              <w:bidi w:val="0"/>
              <w:adjustRightInd w:val="0"/>
              <w:snapToGrid/>
              <w:spacing w:line="240" w:lineRule="auto"/>
              <w:ind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2.09</w:t>
            </w:r>
          </w:p>
        </w:tc>
        <w:tc>
          <w:tcPr>
            <w:tcW w:w="43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4871BA1">
            <w:pPr>
              <w:keepNext w:val="0"/>
              <w:keepLines w:val="0"/>
              <w:pageBreakBefore w:val="0"/>
              <w:widowControl/>
              <w:tabs>
                <w:tab w:val="left" w:pos="1021"/>
              </w:tabs>
              <w:kinsoku/>
              <w:wordWrap/>
              <w:overflowPunct/>
              <w:topLinePunct w:val="0"/>
              <w:autoSpaceDE/>
              <w:autoSpaceDN/>
              <w:bidi w:val="0"/>
              <w:adjustRightInd w:val="0"/>
              <w:snapToGrid/>
              <w:spacing w:line="240" w:lineRule="auto"/>
              <w:ind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14.8</w:t>
            </w:r>
          </w:p>
        </w:tc>
        <w:tc>
          <w:tcPr>
            <w:tcW w:w="43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DA32E42">
            <w:pPr>
              <w:keepNext w:val="0"/>
              <w:keepLines w:val="0"/>
              <w:pageBreakBefore w:val="0"/>
              <w:widowControl/>
              <w:tabs>
                <w:tab w:val="left" w:pos="1021"/>
              </w:tabs>
              <w:kinsoku/>
              <w:wordWrap/>
              <w:overflowPunct/>
              <w:topLinePunct w:val="0"/>
              <w:autoSpaceDE/>
              <w:autoSpaceDN/>
              <w:bidi w:val="0"/>
              <w:adjustRightInd w:val="0"/>
              <w:snapToGrid/>
              <w:spacing w:line="240" w:lineRule="auto"/>
              <w:ind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2.42</w:t>
            </w:r>
          </w:p>
        </w:tc>
        <w:tc>
          <w:tcPr>
            <w:tcW w:w="46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6D9E0A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ND</w:t>
            </w:r>
          </w:p>
        </w:tc>
        <w:tc>
          <w:tcPr>
            <w:tcW w:w="43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39D053E">
            <w:pPr>
              <w:keepNext w:val="0"/>
              <w:keepLines w:val="0"/>
              <w:pageBreakBefore w:val="0"/>
              <w:widowControl/>
              <w:tabs>
                <w:tab w:val="left" w:pos="1021"/>
              </w:tabs>
              <w:kinsoku/>
              <w:wordWrap/>
              <w:overflowPunct/>
              <w:topLinePunct w:val="0"/>
              <w:autoSpaceDE/>
              <w:autoSpaceDN/>
              <w:bidi w:val="0"/>
              <w:adjustRightInd w:val="0"/>
              <w:snapToGrid/>
              <w:spacing w:line="240" w:lineRule="auto"/>
              <w:ind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51</w:t>
            </w:r>
          </w:p>
        </w:tc>
        <w:tc>
          <w:tcPr>
            <w:tcW w:w="43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C052BE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3.26</w:t>
            </w:r>
          </w:p>
        </w:tc>
        <w:tc>
          <w:tcPr>
            <w:tcW w:w="498" w:type="pct"/>
            <w:tcBorders>
              <w:top w:val="single" w:color="000000" w:sz="4" w:space="0"/>
              <w:left w:val="single" w:color="000000" w:sz="4" w:space="0"/>
              <w:bottom w:val="single" w:color="000000" w:sz="4" w:space="0"/>
            </w:tcBorders>
            <w:shd w:val="clear" w:color="auto" w:fill="auto"/>
            <w:noWrap w:val="0"/>
            <w:vAlign w:val="center"/>
          </w:tcPr>
          <w:p w14:paraId="01C4A04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8.16</w:t>
            </w:r>
          </w:p>
        </w:tc>
      </w:tr>
      <w:tr w14:paraId="60F2A696">
        <w:tblPrEx>
          <w:tblBorders>
            <w:top w:val="single" w:color="auto" w:sz="12" w:space="0"/>
            <w:left w:val="single" w:color="auto" w:sz="12" w:space="0"/>
            <w:bottom w:val="single" w:color="auto" w:sz="12" w:space="0"/>
            <w:right w:val="single" w:color="auto" w:sz="12" w:space="0"/>
            <w:insideH w:val="none" w:color="auto" w:sz="4" w:space="0"/>
            <w:insideV w:val="none" w:color="auto" w:sz="4" w:space="0"/>
          </w:tblBorders>
          <w:shd w:val="clear" w:color="auto" w:fill="auto"/>
          <w:tblCellMar>
            <w:top w:w="0" w:type="dxa"/>
            <w:left w:w="108" w:type="dxa"/>
            <w:bottom w:w="0" w:type="dxa"/>
            <w:right w:w="108" w:type="dxa"/>
          </w:tblCellMar>
        </w:tblPrEx>
        <w:trPr>
          <w:trHeight w:val="0" w:hRule="atLeast"/>
        </w:trPr>
        <w:tc>
          <w:tcPr>
            <w:tcW w:w="425" w:type="pct"/>
            <w:vMerge w:val="continue"/>
            <w:tcBorders>
              <w:top w:val="single" w:color="000000" w:sz="4" w:space="0"/>
              <w:bottom w:val="single" w:color="000000" w:sz="4" w:space="0"/>
              <w:right w:val="single" w:color="000000" w:sz="4" w:space="0"/>
            </w:tcBorders>
            <w:shd w:val="clear" w:color="auto" w:fill="auto"/>
            <w:noWrap w:val="0"/>
            <w:vAlign w:val="center"/>
          </w:tcPr>
          <w:p w14:paraId="7D277A1A">
            <w:pPr>
              <w:keepNext w:val="0"/>
              <w:keepLines w:val="0"/>
              <w:pageBreakBefore w:val="0"/>
              <w:tabs>
                <w:tab w:val="left" w:pos="1021"/>
              </w:tabs>
              <w:kinsoku/>
              <w:wordWrap/>
              <w:overflowPunct/>
              <w:topLinePunct w:val="0"/>
              <w:autoSpaceDE/>
              <w:autoSpaceDN/>
              <w:bidi w:val="0"/>
              <w:adjustRightInd w:val="0"/>
              <w:snapToGrid/>
              <w:spacing w:line="240" w:lineRule="auto"/>
              <w:ind w:firstLine="0" w:firstLineChars="0"/>
              <w:jc w:val="center"/>
              <w:rPr>
                <w:rFonts w:hint="default" w:ascii="Times New Roman" w:hAnsi="Times New Roman" w:cs="Times New Roman"/>
                <w:color w:val="auto"/>
                <w:sz w:val="21"/>
                <w:szCs w:val="21"/>
                <w:highlight w:val="none"/>
              </w:rPr>
            </w:pPr>
          </w:p>
        </w:tc>
        <w:tc>
          <w:tcPr>
            <w:tcW w:w="53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4FA61AB">
            <w:pPr>
              <w:keepNext w:val="0"/>
              <w:keepLines w:val="0"/>
              <w:pageBreakBefore w:val="0"/>
              <w:widowControl/>
              <w:tabs>
                <w:tab w:val="left" w:pos="1021"/>
              </w:tabs>
              <w:kinsoku/>
              <w:wordWrap/>
              <w:overflowPunct/>
              <w:topLinePunct w:val="0"/>
              <w:autoSpaceDE/>
              <w:autoSpaceDN/>
              <w:bidi w:val="0"/>
              <w:adjustRightInd w:val="0"/>
              <w:snapToGrid/>
              <w:spacing w:line="240" w:lineRule="auto"/>
              <w:ind w:firstLine="0" w:firstLineChars="0"/>
              <w:jc w:val="center"/>
              <w:textAlignment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kern w:val="0"/>
                <w:sz w:val="21"/>
                <w:szCs w:val="21"/>
                <w:highlight w:val="none"/>
                <w:lang w:bidi="ar"/>
              </w:rPr>
              <w:t>标准指数</w:t>
            </w:r>
          </w:p>
        </w:tc>
        <w:tc>
          <w:tcPr>
            <w:tcW w:w="45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F18E070">
            <w:pPr>
              <w:keepNext w:val="0"/>
              <w:keepLines w:val="0"/>
              <w:pageBreakBefore w:val="0"/>
              <w:widowControl/>
              <w:tabs>
                <w:tab w:val="left" w:pos="1021"/>
              </w:tabs>
              <w:kinsoku/>
              <w:wordWrap/>
              <w:overflowPunct/>
              <w:topLinePunct w:val="0"/>
              <w:autoSpaceDE/>
              <w:autoSpaceDN/>
              <w:bidi w:val="0"/>
              <w:adjustRightInd w:val="0"/>
              <w:snapToGrid/>
              <w:spacing w:line="240" w:lineRule="auto"/>
              <w:ind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0.36</w:t>
            </w:r>
          </w:p>
        </w:tc>
        <w:tc>
          <w:tcPr>
            <w:tcW w:w="45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DA08B05">
            <w:pPr>
              <w:keepNext w:val="0"/>
              <w:keepLines w:val="0"/>
              <w:pageBreakBefore w:val="0"/>
              <w:widowControl/>
              <w:tabs>
                <w:tab w:val="left" w:pos="1021"/>
              </w:tabs>
              <w:kinsoku/>
              <w:wordWrap/>
              <w:overflowPunct/>
              <w:topLinePunct w:val="0"/>
              <w:autoSpaceDE/>
              <w:autoSpaceDN/>
              <w:bidi w:val="0"/>
              <w:adjustRightInd w:val="0"/>
              <w:snapToGrid/>
              <w:spacing w:line="240" w:lineRule="auto"/>
              <w:ind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43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4B8B07C">
            <w:pPr>
              <w:keepNext w:val="0"/>
              <w:keepLines w:val="0"/>
              <w:pageBreakBefore w:val="0"/>
              <w:widowControl/>
              <w:tabs>
                <w:tab w:val="left" w:pos="1021"/>
              </w:tabs>
              <w:kinsoku/>
              <w:wordWrap/>
              <w:overflowPunct/>
              <w:topLinePunct w:val="0"/>
              <w:autoSpaceDE/>
              <w:autoSpaceDN/>
              <w:bidi w:val="0"/>
              <w:adjustRightInd w:val="0"/>
              <w:snapToGrid/>
              <w:spacing w:line="240" w:lineRule="auto"/>
              <w:ind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0.01</w:t>
            </w:r>
          </w:p>
        </w:tc>
        <w:tc>
          <w:tcPr>
            <w:tcW w:w="43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DBAA6FD">
            <w:pPr>
              <w:keepNext w:val="0"/>
              <w:keepLines w:val="0"/>
              <w:pageBreakBefore w:val="0"/>
              <w:widowControl/>
              <w:tabs>
                <w:tab w:val="left" w:pos="1021"/>
              </w:tabs>
              <w:kinsoku/>
              <w:wordWrap/>
              <w:overflowPunct/>
              <w:topLinePunct w:val="0"/>
              <w:autoSpaceDE/>
              <w:autoSpaceDN/>
              <w:bidi w:val="0"/>
              <w:adjustRightInd w:val="0"/>
              <w:snapToGrid/>
              <w:spacing w:line="240" w:lineRule="auto"/>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w:t>
            </w:r>
          </w:p>
        </w:tc>
        <w:tc>
          <w:tcPr>
            <w:tcW w:w="43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E5736E4">
            <w:pPr>
              <w:keepNext w:val="0"/>
              <w:keepLines w:val="0"/>
              <w:pageBreakBefore w:val="0"/>
              <w:widowControl/>
              <w:tabs>
                <w:tab w:val="left" w:pos="1021"/>
              </w:tabs>
              <w:kinsoku/>
              <w:wordWrap/>
              <w:overflowPunct/>
              <w:topLinePunct w:val="0"/>
              <w:autoSpaceDE/>
              <w:autoSpaceDN/>
              <w:bidi w:val="0"/>
              <w:adjustRightInd w:val="0"/>
              <w:snapToGrid/>
              <w:spacing w:line="240" w:lineRule="auto"/>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w:t>
            </w:r>
          </w:p>
        </w:tc>
        <w:tc>
          <w:tcPr>
            <w:tcW w:w="46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537265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w:t>
            </w:r>
          </w:p>
        </w:tc>
        <w:tc>
          <w:tcPr>
            <w:tcW w:w="43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1BC4D31">
            <w:pPr>
              <w:keepNext w:val="0"/>
              <w:keepLines w:val="0"/>
              <w:pageBreakBefore w:val="0"/>
              <w:widowControl/>
              <w:tabs>
                <w:tab w:val="left" w:pos="1021"/>
              </w:tabs>
              <w:kinsoku/>
              <w:wordWrap/>
              <w:overflowPunct/>
              <w:topLinePunct w:val="0"/>
              <w:autoSpaceDE/>
              <w:autoSpaceDN/>
              <w:bidi w:val="0"/>
              <w:adjustRightInd w:val="0"/>
              <w:snapToGrid/>
              <w:spacing w:line="240" w:lineRule="auto"/>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w:t>
            </w:r>
          </w:p>
        </w:tc>
        <w:tc>
          <w:tcPr>
            <w:tcW w:w="43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4AEED8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heme="minorBidi"/>
                <w:kern w:val="2"/>
                <w:sz w:val="21"/>
                <w:szCs w:val="21"/>
                <w:highlight w:val="none"/>
                <w:lang w:val="en-US" w:eastAsia="zh-CN" w:bidi="ar-SA"/>
              </w:rPr>
            </w:pPr>
            <w:r>
              <w:rPr>
                <w:rFonts w:hint="eastAsia" w:cstheme="minorBidi"/>
                <w:kern w:val="2"/>
                <w:sz w:val="21"/>
                <w:szCs w:val="21"/>
                <w:highlight w:val="none"/>
                <w:lang w:val="en-US" w:eastAsia="zh-CN" w:bidi="ar-SA"/>
              </w:rPr>
              <w:t>0.013</w:t>
            </w:r>
          </w:p>
        </w:tc>
        <w:tc>
          <w:tcPr>
            <w:tcW w:w="498" w:type="pct"/>
            <w:tcBorders>
              <w:top w:val="single" w:color="000000" w:sz="4" w:space="0"/>
              <w:left w:val="single" w:color="000000" w:sz="4" w:space="0"/>
              <w:bottom w:val="single" w:color="000000" w:sz="4" w:space="0"/>
            </w:tcBorders>
            <w:shd w:val="clear" w:color="auto" w:fill="auto"/>
            <w:noWrap w:val="0"/>
            <w:vAlign w:val="center"/>
          </w:tcPr>
          <w:p w14:paraId="62E511B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heme="minorBidi"/>
                <w:kern w:val="2"/>
                <w:sz w:val="21"/>
                <w:szCs w:val="21"/>
                <w:highlight w:val="none"/>
                <w:lang w:val="en-US" w:eastAsia="zh-CN" w:bidi="ar-SA"/>
              </w:rPr>
            </w:pPr>
            <w:r>
              <w:rPr>
                <w:rFonts w:hint="eastAsia" w:cstheme="minorBidi"/>
                <w:kern w:val="2"/>
                <w:sz w:val="21"/>
                <w:szCs w:val="21"/>
                <w:highlight w:val="none"/>
                <w:lang w:val="en-US" w:eastAsia="zh-CN" w:bidi="ar-SA"/>
              </w:rPr>
              <w:t>0.033</w:t>
            </w:r>
          </w:p>
        </w:tc>
      </w:tr>
      <w:tr w14:paraId="5F984329">
        <w:tblPrEx>
          <w:tblBorders>
            <w:top w:val="single" w:color="auto" w:sz="12" w:space="0"/>
            <w:left w:val="single" w:color="auto" w:sz="12" w:space="0"/>
            <w:bottom w:val="single" w:color="auto" w:sz="12" w:space="0"/>
            <w:right w:val="single" w:color="auto" w:sz="12" w:space="0"/>
            <w:insideH w:val="none" w:color="auto" w:sz="4" w:space="0"/>
            <w:insideV w:val="none" w:color="auto" w:sz="4" w:space="0"/>
          </w:tblBorders>
          <w:shd w:val="clear" w:color="auto" w:fill="auto"/>
          <w:tblCellMar>
            <w:top w:w="0" w:type="dxa"/>
            <w:left w:w="108" w:type="dxa"/>
            <w:bottom w:w="0" w:type="dxa"/>
            <w:right w:w="108" w:type="dxa"/>
          </w:tblCellMar>
        </w:tblPrEx>
        <w:trPr>
          <w:trHeight w:val="0" w:hRule="atLeast"/>
        </w:trPr>
        <w:tc>
          <w:tcPr>
            <w:tcW w:w="425" w:type="pct"/>
            <w:vMerge w:val="continue"/>
            <w:tcBorders>
              <w:top w:val="single" w:color="000000" w:sz="4" w:space="0"/>
              <w:bottom w:val="single" w:color="000000" w:sz="4" w:space="0"/>
              <w:right w:val="single" w:color="000000" w:sz="4" w:space="0"/>
            </w:tcBorders>
            <w:shd w:val="clear" w:color="auto" w:fill="auto"/>
            <w:noWrap w:val="0"/>
            <w:vAlign w:val="center"/>
          </w:tcPr>
          <w:p w14:paraId="225612EA">
            <w:pPr>
              <w:keepNext w:val="0"/>
              <w:keepLines w:val="0"/>
              <w:pageBreakBefore w:val="0"/>
              <w:tabs>
                <w:tab w:val="left" w:pos="1021"/>
              </w:tabs>
              <w:kinsoku/>
              <w:wordWrap/>
              <w:overflowPunct/>
              <w:topLinePunct w:val="0"/>
              <w:autoSpaceDE/>
              <w:autoSpaceDN/>
              <w:bidi w:val="0"/>
              <w:adjustRightInd w:val="0"/>
              <w:snapToGrid/>
              <w:spacing w:line="240" w:lineRule="auto"/>
              <w:ind w:firstLine="0" w:firstLineChars="0"/>
              <w:jc w:val="center"/>
              <w:rPr>
                <w:rFonts w:hint="default" w:ascii="Times New Roman" w:hAnsi="Times New Roman" w:cs="Times New Roman"/>
                <w:color w:val="auto"/>
                <w:sz w:val="21"/>
                <w:szCs w:val="21"/>
                <w:highlight w:val="none"/>
              </w:rPr>
            </w:pPr>
          </w:p>
        </w:tc>
        <w:tc>
          <w:tcPr>
            <w:tcW w:w="53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19C7946">
            <w:pPr>
              <w:keepNext w:val="0"/>
              <w:keepLines w:val="0"/>
              <w:pageBreakBefore w:val="0"/>
              <w:widowControl/>
              <w:tabs>
                <w:tab w:val="left" w:pos="1021"/>
              </w:tabs>
              <w:kinsoku/>
              <w:wordWrap/>
              <w:overflowPunct/>
              <w:topLinePunct w:val="0"/>
              <w:autoSpaceDE/>
              <w:autoSpaceDN/>
              <w:bidi w:val="0"/>
              <w:adjustRightInd w:val="0"/>
              <w:snapToGrid/>
              <w:spacing w:line="240" w:lineRule="auto"/>
              <w:ind w:firstLine="0" w:firstLineChars="0"/>
              <w:jc w:val="center"/>
              <w:textAlignment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kern w:val="0"/>
                <w:sz w:val="21"/>
                <w:szCs w:val="21"/>
                <w:highlight w:val="none"/>
                <w:lang w:bidi="ar"/>
              </w:rPr>
              <w:t>检出率%</w:t>
            </w:r>
          </w:p>
        </w:tc>
        <w:tc>
          <w:tcPr>
            <w:tcW w:w="45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5C2B71B">
            <w:pPr>
              <w:keepNext w:val="0"/>
              <w:keepLines w:val="0"/>
              <w:pageBreakBefore w:val="0"/>
              <w:widowControl/>
              <w:tabs>
                <w:tab w:val="left" w:pos="1021"/>
              </w:tabs>
              <w:kinsoku/>
              <w:wordWrap/>
              <w:overflowPunct/>
              <w:topLinePunct w:val="0"/>
              <w:autoSpaceDE/>
              <w:autoSpaceDN/>
              <w:bidi w:val="0"/>
              <w:adjustRightInd w:val="0"/>
              <w:snapToGrid/>
              <w:spacing w:line="240" w:lineRule="auto"/>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100</w:t>
            </w:r>
          </w:p>
        </w:tc>
        <w:tc>
          <w:tcPr>
            <w:tcW w:w="45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C27AB00">
            <w:pPr>
              <w:keepNext w:val="0"/>
              <w:keepLines w:val="0"/>
              <w:pageBreakBefore w:val="0"/>
              <w:widowControl/>
              <w:tabs>
                <w:tab w:val="left" w:pos="1021"/>
              </w:tabs>
              <w:kinsoku/>
              <w:wordWrap/>
              <w:overflowPunct/>
              <w:topLinePunct w:val="0"/>
              <w:autoSpaceDE/>
              <w:autoSpaceDN/>
              <w:bidi w:val="0"/>
              <w:adjustRightInd w:val="0"/>
              <w:snapToGrid/>
              <w:spacing w:line="240" w:lineRule="auto"/>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100</w:t>
            </w:r>
          </w:p>
        </w:tc>
        <w:tc>
          <w:tcPr>
            <w:tcW w:w="43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04F295A">
            <w:pPr>
              <w:keepNext w:val="0"/>
              <w:keepLines w:val="0"/>
              <w:pageBreakBefore w:val="0"/>
              <w:widowControl/>
              <w:tabs>
                <w:tab w:val="left" w:pos="1021"/>
              </w:tabs>
              <w:kinsoku/>
              <w:wordWrap/>
              <w:overflowPunct/>
              <w:topLinePunct w:val="0"/>
              <w:autoSpaceDE/>
              <w:autoSpaceDN/>
              <w:bidi w:val="0"/>
              <w:adjustRightInd w:val="0"/>
              <w:snapToGrid/>
              <w:spacing w:line="240" w:lineRule="auto"/>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100</w:t>
            </w:r>
          </w:p>
        </w:tc>
        <w:tc>
          <w:tcPr>
            <w:tcW w:w="43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1048570">
            <w:pPr>
              <w:keepNext w:val="0"/>
              <w:keepLines w:val="0"/>
              <w:pageBreakBefore w:val="0"/>
              <w:widowControl/>
              <w:tabs>
                <w:tab w:val="left" w:pos="1021"/>
              </w:tabs>
              <w:kinsoku/>
              <w:wordWrap/>
              <w:overflowPunct/>
              <w:topLinePunct w:val="0"/>
              <w:autoSpaceDE/>
              <w:autoSpaceDN/>
              <w:bidi w:val="0"/>
              <w:adjustRightInd w:val="0"/>
              <w:snapToGrid/>
              <w:spacing w:line="240" w:lineRule="auto"/>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100</w:t>
            </w:r>
          </w:p>
        </w:tc>
        <w:tc>
          <w:tcPr>
            <w:tcW w:w="43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B4E927E">
            <w:pPr>
              <w:keepNext w:val="0"/>
              <w:keepLines w:val="0"/>
              <w:pageBreakBefore w:val="0"/>
              <w:widowControl/>
              <w:tabs>
                <w:tab w:val="left" w:pos="1021"/>
              </w:tabs>
              <w:kinsoku/>
              <w:wordWrap/>
              <w:overflowPunct/>
              <w:topLinePunct w:val="0"/>
              <w:autoSpaceDE/>
              <w:autoSpaceDN/>
              <w:bidi w:val="0"/>
              <w:adjustRightInd w:val="0"/>
              <w:snapToGrid/>
              <w:spacing w:line="240" w:lineRule="auto"/>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100</w:t>
            </w:r>
          </w:p>
        </w:tc>
        <w:tc>
          <w:tcPr>
            <w:tcW w:w="46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54A885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w:t>
            </w:r>
          </w:p>
        </w:tc>
        <w:tc>
          <w:tcPr>
            <w:tcW w:w="43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EE52110">
            <w:pPr>
              <w:keepNext w:val="0"/>
              <w:keepLines w:val="0"/>
              <w:pageBreakBefore w:val="0"/>
              <w:widowControl/>
              <w:tabs>
                <w:tab w:val="left" w:pos="1021"/>
              </w:tabs>
              <w:kinsoku/>
              <w:wordWrap/>
              <w:overflowPunct/>
              <w:topLinePunct w:val="0"/>
              <w:autoSpaceDE/>
              <w:autoSpaceDN/>
              <w:bidi w:val="0"/>
              <w:adjustRightInd w:val="0"/>
              <w:snapToGrid/>
              <w:spacing w:line="240" w:lineRule="auto"/>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100</w:t>
            </w:r>
          </w:p>
        </w:tc>
        <w:tc>
          <w:tcPr>
            <w:tcW w:w="43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90E18B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100</w:t>
            </w:r>
          </w:p>
        </w:tc>
        <w:tc>
          <w:tcPr>
            <w:tcW w:w="498" w:type="pct"/>
            <w:tcBorders>
              <w:top w:val="single" w:color="000000" w:sz="4" w:space="0"/>
              <w:left w:val="single" w:color="000000" w:sz="4" w:space="0"/>
              <w:bottom w:val="single" w:color="000000" w:sz="4" w:space="0"/>
            </w:tcBorders>
            <w:shd w:val="clear" w:color="auto" w:fill="auto"/>
            <w:noWrap w:val="0"/>
            <w:vAlign w:val="center"/>
          </w:tcPr>
          <w:p w14:paraId="7EECF96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100</w:t>
            </w:r>
          </w:p>
        </w:tc>
      </w:tr>
      <w:tr w14:paraId="6966C67A">
        <w:tblPrEx>
          <w:tblBorders>
            <w:top w:val="single" w:color="auto" w:sz="12" w:space="0"/>
            <w:left w:val="single" w:color="auto" w:sz="12" w:space="0"/>
            <w:bottom w:val="single" w:color="auto" w:sz="12" w:space="0"/>
            <w:right w:val="single" w:color="auto" w:sz="12" w:space="0"/>
            <w:insideH w:val="none" w:color="auto" w:sz="4" w:space="0"/>
            <w:insideV w:val="none" w:color="auto" w:sz="4" w:space="0"/>
          </w:tblBorders>
          <w:shd w:val="clear" w:color="auto" w:fill="auto"/>
          <w:tblCellMar>
            <w:top w:w="0" w:type="dxa"/>
            <w:left w:w="108" w:type="dxa"/>
            <w:bottom w:w="0" w:type="dxa"/>
            <w:right w:w="108" w:type="dxa"/>
          </w:tblCellMar>
        </w:tblPrEx>
        <w:trPr>
          <w:trHeight w:val="0" w:hRule="atLeast"/>
        </w:trPr>
        <w:tc>
          <w:tcPr>
            <w:tcW w:w="425" w:type="pct"/>
            <w:vMerge w:val="continue"/>
            <w:tcBorders>
              <w:top w:val="single" w:color="000000" w:sz="4" w:space="0"/>
              <w:bottom w:val="single" w:color="000000" w:sz="4" w:space="0"/>
              <w:right w:val="single" w:color="000000" w:sz="4" w:space="0"/>
            </w:tcBorders>
            <w:shd w:val="clear" w:color="auto" w:fill="auto"/>
            <w:noWrap w:val="0"/>
            <w:vAlign w:val="center"/>
          </w:tcPr>
          <w:p w14:paraId="1AD05A54">
            <w:pPr>
              <w:keepNext w:val="0"/>
              <w:keepLines w:val="0"/>
              <w:pageBreakBefore w:val="0"/>
              <w:tabs>
                <w:tab w:val="left" w:pos="1021"/>
              </w:tabs>
              <w:kinsoku/>
              <w:wordWrap/>
              <w:overflowPunct/>
              <w:topLinePunct w:val="0"/>
              <w:autoSpaceDE/>
              <w:autoSpaceDN/>
              <w:bidi w:val="0"/>
              <w:adjustRightInd w:val="0"/>
              <w:snapToGrid/>
              <w:spacing w:line="240" w:lineRule="auto"/>
              <w:ind w:firstLine="0" w:firstLineChars="0"/>
              <w:jc w:val="center"/>
              <w:rPr>
                <w:rFonts w:hint="default" w:ascii="Times New Roman" w:hAnsi="Times New Roman" w:cs="Times New Roman"/>
                <w:color w:val="auto"/>
                <w:sz w:val="21"/>
                <w:szCs w:val="21"/>
                <w:highlight w:val="none"/>
              </w:rPr>
            </w:pPr>
          </w:p>
        </w:tc>
        <w:tc>
          <w:tcPr>
            <w:tcW w:w="53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C159C3E">
            <w:pPr>
              <w:keepNext w:val="0"/>
              <w:keepLines w:val="0"/>
              <w:pageBreakBefore w:val="0"/>
              <w:widowControl/>
              <w:tabs>
                <w:tab w:val="left" w:pos="1021"/>
              </w:tabs>
              <w:kinsoku/>
              <w:wordWrap/>
              <w:overflowPunct/>
              <w:topLinePunct w:val="0"/>
              <w:autoSpaceDE/>
              <w:autoSpaceDN/>
              <w:bidi w:val="0"/>
              <w:adjustRightInd w:val="0"/>
              <w:snapToGrid/>
              <w:spacing w:line="240" w:lineRule="auto"/>
              <w:ind w:firstLine="0" w:firstLineChars="0"/>
              <w:jc w:val="center"/>
              <w:textAlignment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kern w:val="0"/>
                <w:sz w:val="21"/>
                <w:szCs w:val="21"/>
                <w:highlight w:val="none"/>
                <w:lang w:bidi="ar"/>
              </w:rPr>
              <w:t>超标率%</w:t>
            </w:r>
          </w:p>
        </w:tc>
        <w:tc>
          <w:tcPr>
            <w:tcW w:w="45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E4976FA">
            <w:pPr>
              <w:keepNext w:val="0"/>
              <w:keepLines w:val="0"/>
              <w:pageBreakBefore w:val="0"/>
              <w:widowControl/>
              <w:tabs>
                <w:tab w:val="left" w:pos="1021"/>
              </w:tabs>
              <w:kinsoku/>
              <w:wordWrap/>
              <w:overflowPunct/>
              <w:topLinePunct w:val="0"/>
              <w:autoSpaceDE/>
              <w:autoSpaceDN/>
              <w:bidi w:val="0"/>
              <w:adjustRightInd w:val="0"/>
              <w:snapToGrid/>
              <w:spacing w:line="240" w:lineRule="auto"/>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0</w:t>
            </w:r>
          </w:p>
        </w:tc>
        <w:tc>
          <w:tcPr>
            <w:tcW w:w="45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9D09251">
            <w:pPr>
              <w:keepNext w:val="0"/>
              <w:keepLines w:val="0"/>
              <w:pageBreakBefore w:val="0"/>
              <w:widowControl/>
              <w:tabs>
                <w:tab w:val="left" w:pos="1021"/>
              </w:tabs>
              <w:kinsoku/>
              <w:wordWrap/>
              <w:overflowPunct/>
              <w:topLinePunct w:val="0"/>
              <w:autoSpaceDE/>
              <w:autoSpaceDN/>
              <w:bidi w:val="0"/>
              <w:adjustRightInd w:val="0"/>
              <w:snapToGrid/>
              <w:spacing w:line="240" w:lineRule="auto"/>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w:t>
            </w:r>
          </w:p>
        </w:tc>
        <w:tc>
          <w:tcPr>
            <w:tcW w:w="43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6D7D473">
            <w:pPr>
              <w:keepNext w:val="0"/>
              <w:keepLines w:val="0"/>
              <w:pageBreakBefore w:val="0"/>
              <w:widowControl/>
              <w:tabs>
                <w:tab w:val="left" w:pos="1021"/>
              </w:tabs>
              <w:kinsoku/>
              <w:wordWrap/>
              <w:overflowPunct/>
              <w:topLinePunct w:val="0"/>
              <w:autoSpaceDE/>
              <w:autoSpaceDN/>
              <w:bidi w:val="0"/>
              <w:adjustRightInd w:val="0"/>
              <w:snapToGrid/>
              <w:spacing w:line="240" w:lineRule="auto"/>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0</w:t>
            </w:r>
          </w:p>
        </w:tc>
        <w:tc>
          <w:tcPr>
            <w:tcW w:w="43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6FC58A2">
            <w:pPr>
              <w:keepNext w:val="0"/>
              <w:keepLines w:val="0"/>
              <w:pageBreakBefore w:val="0"/>
              <w:widowControl/>
              <w:tabs>
                <w:tab w:val="left" w:pos="1021"/>
              </w:tabs>
              <w:kinsoku/>
              <w:wordWrap/>
              <w:overflowPunct/>
              <w:topLinePunct w:val="0"/>
              <w:autoSpaceDE/>
              <w:autoSpaceDN/>
              <w:bidi w:val="0"/>
              <w:adjustRightInd w:val="0"/>
              <w:snapToGrid/>
              <w:spacing w:line="240" w:lineRule="auto"/>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w:t>
            </w:r>
          </w:p>
        </w:tc>
        <w:tc>
          <w:tcPr>
            <w:tcW w:w="43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E3D50BA">
            <w:pPr>
              <w:keepNext w:val="0"/>
              <w:keepLines w:val="0"/>
              <w:pageBreakBefore w:val="0"/>
              <w:widowControl/>
              <w:tabs>
                <w:tab w:val="left" w:pos="1021"/>
              </w:tabs>
              <w:kinsoku/>
              <w:wordWrap/>
              <w:overflowPunct/>
              <w:topLinePunct w:val="0"/>
              <w:autoSpaceDE/>
              <w:autoSpaceDN/>
              <w:bidi w:val="0"/>
              <w:adjustRightInd w:val="0"/>
              <w:snapToGrid/>
              <w:spacing w:line="240" w:lineRule="auto"/>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w:t>
            </w:r>
          </w:p>
        </w:tc>
        <w:tc>
          <w:tcPr>
            <w:tcW w:w="46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3AC66A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w:t>
            </w:r>
          </w:p>
        </w:tc>
        <w:tc>
          <w:tcPr>
            <w:tcW w:w="43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D8D1737">
            <w:pPr>
              <w:keepNext w:val="0"/>
              <w:keepLines w:val="0"/>
              <w:pageBreakBefore w:val="0"/>
              <w:widowControl/>
              <w:tabs>
                <w:tab w:val="left" w:pos="1021"/>
              </w:tabs>
              <w:kinsoku/>
              <w:wordWrap/>
              <w:overflowPunct/>
              <w:topLinePunct w:val="0"/>
              <w:autoSpaceDE/>
              <w:autoSpaceDN/>
              <w:bidi w:val="0"/>
              <w:adjustRightInd w:val="0"/>
              <w:snapToGrid/>
              <w:spacing w:line="240" w:lineRule="auto"/>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w:t>
            </w:r>
          </w:p>
        </w:tc>
        <w:tc>
          <w:tcPr>
            <w:tcW w:w="43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33D7C6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0</w:t>
            </w:r>
          </w:p>
        </w:tc>
        <w:tc>
          <w:tcPr>
            <w:tcW w:w="498" w:type="pct"/>
            <w:tcBorders>
              <w:top w:val="single" w:color="000000" w:sz="4" w:space="0"/>
              <w:left w:val="single" w:color="000000" w:sz="4" w:space="0"/>
              <w:bottom w:val="single" w:color="000000" w:sz="4" w:space="0"/>
            </w:tcBorders>
            <w:shd w:val="clear" w:color="auto" w:fill="auto"/>
            <w:noWrap w:val="0"/>
            <w:vAlign w:val="center"/>
          </w:tcPr>
          <w:p w14:paraId="09BF3A0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0</w:t>
            </w:r>
          </w:p>
        </w:tc>
      </w:tr>
      <w:tr w14:paraId="5C3EE361">
        <w:tblPrEx>
          <w:tblBorders>
            <w:top w:val="single" w:color="auto" w:sz="12" w:space="0"/>
            <w:left w:val="single" w:color="auto" w:sz="12" w:space="0"/>
            <w:bottom w:val="single" w:color="auto" w:sz="12" w:space="0"/>
            <w:right w:val="single" w:color="auto" w:sz="12" w:space="0"/>
            <w:insideH w:val="none" w:color="auto" w:sz="4" w:space="0"/>
            <w:insideV w:val="none" w:color="auto" w:sz="4" w:space="0"/>
          </w:tblBorders>
          <w:shd w:val="clear" w:color="auto" w:fill="auto"/>
          <w:tblCellMar>
            <w:top w:w="0" w:type="dxa"/>
            <w:left w:w="108" w:type="dxa"/>
            <w:bottom w:w="0" w:type="dxa"/>
            <w:right w:w="108" w:type="dxa"/>
          </w:tblCellMar>
        </w:tblPrEx>
        <w:trPr>
          <w:trHeight w:val="0" w:hRule="atLeast"/>
        </w:trPr>
        <w:tc>
          <w:tcPr>
            <w:tcW w:w="425" w:type="pct"/>
            <w:vMerge w:val="restart"/>
            <w:tcBorders>
              <w:top w:val="single" w:color="000000" w:sz="4" w:space="0"/>
              <w:bottom w:val="single" w:color="000000" w:sz="4" w:space="0"/>
              <w:right w:val="single" w:color="000000" w:sz="4" w:space="0"/>
            </w:tcBorders>
            <w:shd w:val="clear" w:color="auto" w:fill="auto"/>
            <w:noWrap w:val="0"/>
            <w:vAlign w:val="center"/>
          </w:tcPr>
          <w:p w14:paraId="685F9760">
            <w:pPr>
              <w:keepNext w:val="0"/>
              <w:keepLines w:val="0"/>
              <w:pageBreakBefore w:val="0"/>
              <w:widowControl/>
              <w:tabs>
                <w:tab w:val="left" w:pos="1021"/>
              </w:tabs>
              <w:kinsoku/>
              <w:wordWrap/>
              <w:overflowPunct/>
              <w:topLinePunct w:val="0"/>
              <w:autoSpaceDE/>
              <w:autoSpaceDN/>
              <w:bidi w:val="0"/>
              <w:adjustRightInd w:val="0"/>
              <w:snapToGrid/>
              <w:spacing w:line="240" w:lineRule="auto"/>
              <w:ind w:firstLine="0" w:firstLineChars="0"/>
              <w:jc w:val="center"/>
              <w:textAlignment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kern w:val="0"/>
                <w:sz w:val="21"/>
                <w:szCs w:val="21"/>
                <w:highlight w:val="none"/>
                <w:lang w:bidi="ar"/>
              </w:rPr>
              <w:t>D2</w:t>
            </w:r>
          </w:p>
        </w:tc>
        <w:tc>
          <w:tcPr>
            <w:tcW w:w="53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296DD47">
            <w:pPr>
              <w:keepNext w:val="0"/>
              <w:keepLines w:val="0"/>
              <w:pageBreakBefore w:val="0"/>
              <w:widowControl/>
              <w:tabs>
                <w:tab w:val="left" w:pos="1021"/>
              </w:tabs>
              <w:kinsoku/>
              <w:wordWrap/>
              <w:overflowPunct/>
              <w:topLinePunct w:val="0"/>
              <w:autoSpaceDE/>
              <w:autoSpaceDN/>
              <w:bidi w:val="0"/>
              <w:adjustRightInd w:val="0"/>
              <w:snapToGrid/>
              <w:spacing w:line="240" w:lineRule="auto"/>
              <w:ind w:firstLine="0" w:firstLineChars="0"/>
              <w:jc w:val="center"/>
              <w:textAlignment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kern w:val="0"/>
                <w:sz w:val="21"/>
                <w:szCs w:val="21"/>
                <w:highlight w:val="none"/>
                <w:lang w:bidi="ar"/>
              </w:rPr>
              <w:t>监测值</w:t>
            </w:r>
          </w:p>
        </w:tc>
        <w:tc>
          <w:tcPr>
            <w:tcW w:w="45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A7E8339">
            <w:pPr>
              <w:keepNext w:val="0"/>
              <w:keepLines w:val="0"/>
              <w:pageBreakBefore w:val="0"/>
              <w:widowControl/>
              <w:tabs>
                <w:tab w:val="left" w:pos="1021"/>
              </w:tabs>
              <w:kinsoku/>
              <w:wordWrap/>
              <w:overflowPunct/>
              <w:topLinePunct w:val="0"/>
              <w:autoSpaceDE/>
              <w:autoSpaceDN/>
              <w:bidi w:val="0"/>
              <w:adjustRightInd w:val="0"/>
              <w:snapToGrid/>
              <w:spacing w:line="240" w:lineRule="auto"/>
              <w:ind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28</w:t>
            </w:r>
          </w:p>
        </w:tc>
        <w:tc>
          <w:tcPr>
            <w:tcW w:w="45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8F7FBD4">
            <w:pPr>
              <w:keepNext w:val="0"/>
              <w:keepLines w:val="0"/>
              <w:pageBreakBefore w:val="0"/>
              <w:widowControl/>
              <w:tabs>
                <w:tab w:val="left" w:pos="1021"/>
              </w:tabs>
              <w:kinsoku/>
              <w:wordWrap/>
              <w:overflowPunct/>
              <w:topLinePunct w:val="0"/>
              <w:autoSpaceDE/>
              <w:autoSpaceDN/>
              <w:bidi w:val="0"/>
              <w:adjustRightInd w:val="0"/>
              <w:snapToGrid/>
              <w:spacing w:line="240" w:lineRule="auto"/>
              <w:ind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0.33</w:t>
            </w:r>
          </w:p>
        </w:tc>
        <w:tc>
          <w:tcPr>
            <w:tcW w:w="43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94856E7">
            <w:pPr>
              <w:keepNext w:val="0"/>
              <w:keepLines w:val="0"/>
              <w:pageBreakBefore w:val="0"/>
              <w:widowControl/>
              <w:tabs>
                <w:tab w:val="left" w:pos="1021"/>
              </w:tabs>
              <w:kinsoku/>
              <w:wordWrap/>
              <w:overflowPunct/>
              <w:topLinePunct w:val="0"/>
              <w:autoSpaceDE/>
              <w:autoSpaceDN/>
              <w:bidi w:val="0"/>
              <w:adjustRightInd w:val="0"/>
              <w:snapToGrid/>
              <w:spacing w:line="240" w:lineRule="auto"/>
              <w:ind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3.37</w:t>
            </w:r>
          </w:p>
        </w:tc>
        <w:tc>
          <w:tcPr>
            <w:tcW w:w="43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26F624C">
            <w:pPr>
              <w:keepNext w:val="0"/>
              <w:keepLines w:val="0"/>
              <w:pageBreakBefore w:val="0"/>
              <w:widowControl/>
              <w:tabs>
                <w:tab w:val="left" w:pos="1021"/>
              </w:tabs>
              <w:kinsoku/>
              <w:wordWrap/>
              <w:overflowPunct/>
              <w:topLinePunct w:val="0"/>
              <w:autoSpaceDE/>
              <w:autoSpaceDN/>
              <w:bidi w:val="0"/>
              <w:adjustRightInd w:val="0"/>
              <w:snapToGrid/>
              <w:spacing w:line="240" w:lineRule="auto"/>
              <w:ind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7.29</w:t>
            </w:r>
          </w:p>
        </w:tc>
        <w:tc>
          <w:tcPr>
            <w:tcW w:w="43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5282A3A">
            <w:pPr>
              <w:keepNext w:val="0"/>
              <w:keepLines w:val="0"/>
              <w:pageBreakBefore w:val="0"/>
              <w:widowControl/>
              <w:tabs>
                <w:tab w:val="left" w:pos="1021"/>
              </w:tabs>
              <w:kinsoku/>
              <w:wordWrap/>
              <w:overflowPunct/>
              <w:topLinePunct w:val="0"/>
              <w:autoSpaceDE/>
              <w:autoSpaceDN/>
              <w:bidi w:val="0"/>
              <w:adjustRightInd w:val="0"/>
              <w:snapToGrid/>
              <w:spacing w:line="240" w:lineRule="auto"/>
              <w:ind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1.85</w:t>
            </w:r>
          </w:p>
        </w:tc>
        <w:tc>
          <w:tcPr>
            <w:tcW w:w="46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975DC3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ND</w:t>
            </w:r>
          </w:p>
        </w:tc>
        <w:tc>
          <w:tcPr>
            <w:tcW w:w="43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84C68B8">
            <w:pPr>
              <w:keepNext w:val="0"/>
              <w:keepLines w:val="0"/>
              <w:pageBreakBefore w:val="0"/>
              <w:widowControl/>
              <w:tabs>
                <w:tab w:val="left" w:pos="1021"/>
              </w:tabs>
              <w:kinsoku/>
              <w:wordWrap/>
              <w:overflowPunct/>
              <w:topLinePunct w:val="0"/>
              <w:autoSpaceDE/>
              <w:autoSpaceDN/>
              <w:bidi w:val="0"/>
              <w:adjustRightInd w:val="0"/>
              <w:snapToGrid/>
              <w:spacing w:line="240" w:lineRule="auto"/>
              <w:ind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35</w:t>
            </w:r>
          </w:p>
        </w:tc>
        <w:tc>
          <w:tcPr>
            <w:tcW w:w="43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0FAA8E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heme="minorBidi"/>
                <w:kern w:val="2"/>
                <w:sz w:val="21"/>
                <w:szCs w:val="21"/>
                <w:highlight w:val="none"/>
                <w:lang w:val="en-US" w:eastAsia="zh-CN" w:bidi="ar-SA"/>
              </w:rPr>
            </w:pPr>
            <w:r>
              <w:rPr>
                <w:rFonts w:hint="eastAsia" w:cstheme="minorBidi"/>
                <w:kern w:val="2"/>
                <w:sz w:val="21"/>
                <w:szCs w:val="21"/>
                <w:highlight w:val="none"/>
                <w:lang w:val="en-US" w:eastAsia="zh-CN" w:bidi="ar-SA"/>
              </w:rPr>
              <w:t>0.326</w:t>
            </w:r>
          </w:p>
        </w:tc>
        <w:tc>
          <w:tcPr>
            <w:tcW w:w="498" w:type="pct"/>
            <w:tcBorders>
              <w:top w:val="single" w:color="000000" w:sz="4" w:space="0"/>
              <w:left w:val="single" w:color="000000" w:sz="4" w:space="0"/>
              <w:bottom w:val="single" w:color="000000" w:sz="4" w:space="0"/>
            </w:tcBorders>
            <w:shd w:val="clear" w:color="auto" w:fill="auto"/>
            <w:noWrap w:val="0"/>
            <w:vAlign w:val="center"/>
          </w:tcPr>
          <w:p w14:paraId="2E5D78E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heme="minorBidi"/>
                <w:kern w:val="2"/>
                <w:sz w:val="21"/>
                <w:szCs w:val="21"/>
                <w:highlight w:val="none"/>
                <w:lang w:val="en-US" w:eastAsia="zh-CN" w:bidi="ar-SA"/>
              </w:rPr>
            </w:pPr>
            <w:r>
              <w:rPr>
                <w:rFonts w:hint="eastAsia" w:cstheme="minorBidi"/>
                <w:kern w:val="2"/>
                <w:sz w:val="21"/>
                <w:szCs w:val="21"/>
                <w:highlight w:val="none"/>
                <w:lang w:val="en-US" w:eastAsia="zh-CN" w:bidi="ar-SA"/>
              </w:rPr>
              <w:t>1.90</w:t>
            </w:r>
          </w:p>
        </w:tc>
      </w:tr>
      <w:tr w14:paraId="589ECD98">
        <w:tblPrEx>
          <w:tblBorders>
            <w:top w:val="single" w:color="auto" w:sz="12" w:space="0"/>
            <w:left w:val="single" w:color="auto" w:sz="12" w:space="0"/>
            <w:bottom w:val="single" w:color="auto" w:sz="12" w:space="0"/>
            <w:right w:val="single" w:color="auto" w:sz="12" w:space="0"/>
            <w:insideH w:val="none" w:color="auto" w:sz="4" w:space="0"/>
            <w:insideV w:val="none" w:color="auto" w:sz="4" w:space="0"/>
          </w:tblBorders>
          <w:shd w:val="clear" w:color="auto" w:fill="auto"/>
          <w:tblCellMar>
            <w:top w:w="0" w:type="dxa"/>
            <w:left w:w="108" w:type="dxa"/>
            <w:bottom w:w="0" w:type="dxa"/>
            <w:right w:w="108" w:type="dxa"/>
          </w:tblCellMar>
        </w:tblPrEx>
        <w:trPr>
          <w:trHeight w:val="0" w:hRule="atLeast"/>
        </w:trPr>
        <w:tc>
          <w:tcPr>
            <w:tcW w:w="425" w:type="pct"/>
            <w:vMerge w:val="continue"/>
            <w:tcBorders>
              <w:top w:val="single" w:color="000000" w:sz="4" w:space="0"/>
              <w:bottom w:val="single" w:color="000000" w:sz="4" w:space="0"/>
              <w:right w:val="single" w:color="000000" w:sz="4" w:space="0"/>
            </w:tcBorders>
            <w:shd w:val="clear" w:color="auto" w:fill="auto"/>
            <w:noWrap w:val="0"/>
            <w:vAlign w:val="center"/>
          </w:tcPr>
          <w:p w14:paraId="37C478AA">
            <w:pPr>
              <w:keepNext w:val="0"/>
              <w:keepLines w:val="0"/>
              <w:pageBreakBefore w:val="0"/>
              <w:tabs>
                <w:tab w:val="left" w:pos="1021"/>
              </w:tabs>
              <w:kinsoku/>
              <w:wordWrap/>
              <w:overflowPunct/>
              <w:topLinePunct w:val="0"/>
              <w:autoSpaceDE/>
              <w:autoSpaceDN/>
              <w:bidi w:val="0"/>
              <w:adjustRightInd w:val="0"/>
              <w:snapToGrid/>
              <w:spacing w:line="240" w:lineRule="auto"/>
              <w:ind w:firstLine="0" w:firstLineChars="0"/>
              <w:jc w:val="center"/>
              <w:rPr>
                <w:rFonts w:hint="default" w:ascii="Times New Roman" w:hAnsi="Times New Roman" w:cs="Times New Roman"/>
                <w:color w:val="auto"/>
                <w:sz w:val="21"/>
                <w:szCs w:val="21"/>
                <w:highlight w:val="none"/>
              </w:rPr>
            </w:pPr>
          </w:p>
        </w:tc>
        <w:tc>
          <w:tcPr>
            <w:tcW w:w="53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84701DB">
            <w:pPr>
              <w:keepNext w:val="0"/>
              <w:keepLines w:val="0"/>
              <w:pageBreakBefore w:val="0"/>
              <w:widowControl/>
              <w:tabs>
                <w:tab w:val="left" w:pos="1021"/>
              </w:tabs>
              <w:kinsoku/>
              <w:wordWrap/>
              <w:overflowPunct/>
              <w:topLinePunct w:val="0"/>
              <w:autoSpaceDE/>
              <w:autoSpaceDN/>
              <w:bidi w:val="0"/>
              <w:adjustRightInd w:val="0"/>
              <w:snapToGrid/>
              <w:spacing w:line="240" w:lineRule="auto"/>
              <w:ind w:firstLine="0" w:firstLineChars="0"/>
              <w:jc w:val="center"/>
              <w:textAlignment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kern w:val="0"/>
                <w:sz w:val="21"/>
                <w:szCs w:val="21"/>
                <w:highlight w:val="none"/>
                <w:lang w:bidi="ar"/>
              </w:rPr>
              <w:t>标准指数</w:t>
            </w:r>
          </w:p>
        </w:tc>
        <w:tc>
          <w:tcPr>
            <w:tcW w:w="45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EDB7714">
            <w:pPr>
              <w:keepNext w:val="0"/>
              <w:keepLines w:val="0"/>
              <w:pageBreakBefore w:val="0"/>
              <w:widowControl/>
              <w:tabs>
                <w:tab w:val="left" w:pos="1021"/>
              </w:tabs>
              <w:kinsoku/>
              <w:wordWrap/>
              <w:overflowPunct/>
              <w:topLinePunct w:val="0"/>
              <w:autoSpaceDE/>
              <w:autoSpaceDN/>
              <w:bidi w:val="0"/>
              <w:adjustRightInd w:val="0"/>
              <w:snapToGrid/>
              <w:spacing w:line="240" w:lineRule="auto"/>
              <w:ind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0.28</w:t>
            </w:r>
          </w:p>
        </w:tc>
        <w:tc>
          <w:tcPr>
            <w:tcW w:w="45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E0BC135">
            <w:pPr>
              <w:keepNext w:val="0"/>
              <w:keepLines w:val="0"/>
              <w:pageBreakBefore w:val="0"/>
              <w:widowControl/>
              <w:tabs>
                <w:tab w:val="left" w:pos="1021"/>
              </w:tabs>
              <w:kinsoku/>
              <w:wordWrap/>
              <w:overflowPunct/>
              <w:topLinePunct w:val="0"/>
              <w:autoSpaceDE/>
              <w:autoSpaceDN/>
              <w:bidi w:val="0"/>
              <w:adjustRightInd w:val="0"/>
              <w:snapToGrid/>
              <w:spacing w:line="240" w:lineRule="auto"/>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w:t>
            </w:r>
          </w:p>
        </w:tc>
        <w:tc>
          <w:tcPr>
            <w:tcW w:w="43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D204D1A">
            <w:pPr>
              <w:keepNext w:val="0"/>
              <w:keepLines w:val="0"/>
              <w:pageBreakBefore w:val="0"/>
              <w:widowControl/>
              <w:tabs>
                <w:tab w:val="left" w:pos="1021"/>
              </w:tabs>
              <w:kinsoku/>
              <w:wordWrap/>
              <w:overflowPunct/>
              <w:topLinePunct w:val="0"/>
              <w:autoSpaceDE/>
              <w:autoSpaceDN/>
              <w:bidi w:val="0"/>
              <w:adjustRightInd w:val="0"/>
              <w:snapToGrid/>
              <w:spacing w:line="240" w:lineRule="auto"/>
              <w:ind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0.017</w:t>
            </w:r>
          </w:p>
        </w:tc>
        <w:tc>
          <w:tcPr>
            <w:tcW w:w="43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022D3AF">
            <w:pPr>
              <w:keepNext w:val="0"/>
              <w:keepLines w:val="0"/>
              <w:pageBreakBefore w:val="0"/>
              <w:widowControl/>
              <w:tabs>
                <w:tab w:val="left" w:pos="1021"/>
              </w:tabs>
              <w:kinsoku/>
              <w:wordWrap/>
              <w:overflowPunct/>
              <w:topLinePunct w:val="0"/>
              <w:autoSpaceDE/>
              <w:autoSpaceDN/>
              <w:bidi w:val="0"/>
              <w:adjustRightInd w:val="0"/>
              <w:snapToGrid/>
              <w:spacing w:line="240" w:lineRule="auto"/>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w:t>
            </w:r>
          </w:p>
        </w:tc>
        <w:tc>
          <w:tcPr>
            <w:tcW w:w="43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3EF556B">
            <w:pPr>
              <w:keepNext w:val="0"/>
              <w:keepLines w:val="0"/>
              <w:pageBreakBefore w:val="0"/>
              <w:widowControl/>
              <w:tabs>
                <w:tab w:val="left" w:pos="1021"/>
              </w:tabs>
              <w:kinsoku/>
              <w:wordWrap/>
              <w:overflowPunct/>
              <w:topLinePunct w:val="0"/>
              <w:autoSpaceDE/>
              <w:autoSpaceDN/>
              <w:bidi w:val="0"/>
              <w:adjustRightInd w:val="0"/>
              <w:snapToGrid/>
              <w:spacing w:line="240" w:lineRule="auto"/>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w:t>
            </w:r>
          </w:p>
        </w:tc>
        <w:tc>
          <w:tcPr>
            <w:tcW w:w="46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1B3CB2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w:t>
            </w:r>
          </w:p>
        </w:tc>
        <w:tc>
          <w:tcPr>
            <w:tcW w:w="43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FD0D176">
            <w:pPr>
              <w:keepNext w:val="0"/>
              <w:keepLines w:val="0"/>
              <w:pageBreakBefore w:val="0"/>
              <w:widowControl/>
              <w:tabs>
                <w:tab w:val="left" w:pos="1021"/>
              </w:tabs>
              <w:kinsoku/>
              <w:wordWrap/>
              <w:overflowPunct/>
              <w:topLinePunct w:val="0"/>
              <w:autoSpaceDE/>
              <w:autoSpaceDN/>
              <w:bidi w:val="0"/>
              <w:adjustRightInd w:val="0"/>
              <w:snapToGrid/>
              <w:spacing w:line="240" w:lineRule="auto"/>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w:t>
            </w:r>
          </w:p>
        </w:tc>
        <w:tc>
          <w:tcPr>
            <w:tcW w:w="43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D5611F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heme="minorBidi"/>
                <w:kern w:val="2"/>
                <w:sz w:val="21"/>
                <w:szCs w:val="21"/>
                <w:highlight w:val="none"/>
                <w:lang w:val="en-US" w:eastAsia="zh-CN" w:bidi="ar-SA"/>
              </w:rPr>
            </w:pPr>
            <w:r>
              <w:rPr>
                <w:rFonts w:hint="eastAsia" w:cstheme="minorBidi"/>
                <w:kern w:val="2"/>
                <w:sz w:val="21"/>
                <w:szCs w:val="21"/>
                <w:highlight w:val="none"/>
                <w:lang w:val="en-US" w:eastAsia="zh-CN" w:bidi="ar-SA"/>
              </w:rPr>
              <w:t>0.0013</w:t>
            </w:r>
          </w:p>
        </w:tc>
        <w:tc>
          <w:tcPr>
            <w:tcW w:w="498" w:type="pct"/>
            <w:tcBorders>
              <w:top w:val="single" w:color="000000" w:sz="4" w:space="0"/>
              <w:left w:val="single" w:color="000000" w:sz="4" w:space="0"/>
              <w:bottom w:val="single" w:color="000000" w:sz="4" w:space="0"/>
            </w:tcBorders>
            <w:shd w:val="clear" w:color="auto" w:fill="auto"/>
            <w:noWrap w:val="0"/>
            <w:vAlign w:val="center"/>
          </w:tcPr>
          <w:p w14:paraId="34D1E19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heme="minorBidi"/>
                <w:kern w:val="2"/>
                <w:sz w:val="21"/>
                <w:szCs w:val="21"/>
                <w:highlight w:val="none"/>
                <w:lang w:val="en-US" w:eastAsia="zh-CN" w:bidi="ar-SA"/>
              </w:rPr>
            </w:pPr>
            <w:r>
              <w:rPr>
                <w:rFonts w:hint="eastAsia" w:cstheme="minorBidi"/>
                <w:kern w:val="2"/>
                <w:sz w:val="21"/>
                <w:szCs w:val="21"/>
                <w:highlight w:val="none"/>
                <w:lang w:val="en-US" w:eastAsia="zh-CN" w:bidi="ar-SA"/>
              </w:rPr>
              <w:t>0.0076</w:t>
            </w:r>
          </w:p>
        </w:tc>
      </w:tr>
      <w:tr w14:paraId="377BC548">
        <w:tblPrEx>
          <w:tblBorders>
            <w:top w:val="single" w:color="auto" w:sz="12" w:space="0"/>
            <w:left w:val="single" w:color="auto" w:sz="12" w:space="0"/>
            <w:bottom w:val="single" w:color="auto" w:sz="12" w:space="0"/>
            <w:right w:val="single" w:color="auto" w:sz="12" w:space="0"/>
            <w:insideH w:val="none" w:color="auto" w:sz="4" w:space="0"/>
            <w:insideV w:val="none" w:color="auto" w:sz="4" w:space="0"/>
          </w:tblBorders>
          <w:shd w:val="clear" w:color="auto" w:fill="auto"/>
          <w:tblCellMar>
            <w:top w:w="0" w:type="dxa"/>
            <w:left w:w="108" w:type="dxa"/>
            <w:bottom w:w="0" w:type="dxa"/>
            <w:right w:w="108" w:type="dxa"/>
          </w:tblCellMar>
        </w:tblPrEx>
        <w:trPr>
          <w:trHeight w:val="0" w:hRule="atLeast"/>
        </w:trPr>
        <w:tc>
          <w:tcPr>
            <w:tcW w:w="425" w:type="pct"/>
            <w:vMerge w:val="continue"/>
            <w:tcBorders>
              <w:top w:val="single" w:color="000000" w:sz="4" w:space="0"/>
              <w:bottom w:val="single" w:color="000000" w:sz="4" w:space="0"/>
              <w:right w:val="single" w:color="000000" w:sz="4" w:space="0"/>
            </w:tcBorders>
            <w:shd w:val="clear" w:color="auto" w:fill="auto"/>
            <w:noWrap w:val="0"/>
            <w:vAlign w:val="center"/>
          </w:tcPr>
          <w:p w14:paraId="5B93BA55">
            <w:pPr>
              <w:keepNext w:val="0"/>
              <w:keepLines w:val="0"/>
              <w:pageBreakBefore w:val="0"/>
              <w:tabs>
                <w:tab w:val="left" w:pos="1021"/>
              </w:tabs>
              <w:kinsoku/>
              <w:wordWrap/>
              <w:overflowPunct/>
              <w:topLinePunct w:val="0"/>
              <w:autoSpaceDE/>
              <w:autoSpaceDN/>
              <w:bidi w:val="0"/>
              <w:adjustRightInd w:val="0"/>
              <w:snapToGrid/>
              <w:spacing w:line="240" w:lineRule="auto"/>
              <w:ind w:firstLine="0" w:firstLineChars="0"/>
              <w:jc w:val="center"/>
              <w:rPr>
                <w:rFonts w:hint="default" w:ascii="Times New Roman" w:hAnsi="Times New Roman" w:cs="Times New Roman"/>
                <w:color w:val="auto"/>
                <w:sz w:val="21"/>
                <w:szCs w:val="21"/>
                <w:highlight w:val="none"/>
              </w:rPr>
            </w:pPr>
          </w:p>
        </w:tc>
        <w:tc>
          <w:tcPr>
            <w:tcW w:w="53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732F5F9">
            <w:pPr>
              <w:keepNext w:val="0"/>
              <w:keepLines w:val="0"/>
              <w:pageBreakBefore w:val="0"/>
              <w:widowControl/>
              <w:tabs>
                <w:tab w:val="left" w:pos="1021"/>
              </w:tabs>
              <w:kinsoku/>
              <w:wordWrap/>
              <w:overflowPunct/>
              <w:topLinePunct w:val="0"/>
              <w:autoSpaceDE/>
              <w:autoSpaceDN/>
              <w:bidi w:val="0"/>
              <w:adjustRightInd w:val="0"/>
              <w:snapToGrid/>
              <w:spacing w:line="240" w:lineRule="auto"/>
              <w:ind w:firstLine="0" w:firstLineChars="0"/>
              <w:jc w:val="center"/>
              <w:textAlignment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kern w:val="0"/>
                <w:sz w:val="21"/>
                <w:szCs w:val="21"/>
                <w:highlight w:val="none"/>
                <w:lang w:bidi="ar"/>
              </w:rPr>
              <w:t>检出率%</w:t>
            </w:r>
          </w:p>
        </w:tc>
        <w:tc>
          <w:tcPr>
            <w:tcW w:w="45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E6971AA">
            <w:pPr>
              <w:keepNext w:val="0"/>
              <w:keepLines w:val="0"/>
              <w:pageBreakBefore w:val="0"/>
              <w:widowControl/>
              <w:tabs>
                <w:tab w:val="left" w:pos="1021"/>
              </w:tabs>
              <w:kinsoku/>
              <w:wordWrap/>
              <w:overflowPunct/>
              <w:topLinePunct w:val="0"/>
              <w:autoSpaceDE/>
              <w:autoSpaceDN/>
              <w:bidi w:val="0"/>
              <w:adjustRightInd w:val="0"/>
              <w:snapToGrid/>
              <w:spacing w:line="240" w:lineRule="auto"/>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100</w:t>
            </w:r>
          </w:p>
        </w:tc>
        <w:tc>
          <w:tcPr>
            <w:tcW w:w="45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8DDD835">
            <w:pPr>
              <w:keepNext w:val="0"/>
              <w:keepLines w:val="0"/>
              <w:pageBreakBefore w:val="0"/>
              <w:widowControl/>
              <w:tabs>
                <w:tab w:val="left" w:pos="1021"/>
              </w:tabs>
              <w:kinsoku/>
              <w:wordWrap/>
              <w:overflowPunct/>
              <w:topLinePunct w:val="0"/>
              <w:autoSpaceDE/>
              <w:autoSpaceDN/>
              <w:bidi w:val="0"/>
              <w:adjustRightInd w:val="0"/>
              <w:snapToGrid/>
              <w:spacing w:line="240" w:lineRule="auto"/>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100</w:t>
            </w:r>
          </w:p>
        </w:tc>
        <w:tc>
          <w:tcPr>
            <w:tcW w:w="43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D614B5E">
            <w:pPr>
              <w:keepNext w:val="0"/>
              <w:keepLines w:val="0"/>
              <w:pageBreakBefore w:val="0"/>
              <w:widowControl/>
              <w:tabs>
                <w:tab w:val="left" w:pos="1021"/>
              </w:tabs>
              <w:kinsoku/>
              <w:wordWrap/>
              <w:overflowPunct/>
              <w:topLinePunct w:val="0"/>
              <w:autoSpaceDE/>
              <w:autoSpaceDN/>
              <w:bidi w:val="0"/>
              <w:adjustRightInd w:val="0"/>
              <w:snapToGrid/>
              <w:spacing w:line="240" w:lineRule="auto"/>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100</w:t>
            </w:r>
          </w:p>
        </w:tc>
        <w:tc>
          <w:tcPr>
            <w:tcW w:w="43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B214B1F">
            <w:pPr>
              <w:keepNext w:val="0"/>
              <w:keepLines w:val="0"/>
              <w:pageBreakBefore w:val="0"/>
              <w:widowControl/>
              <w:tabs>
                <w:tab w:val="left" w:pos="1021"/>
              </w:tabs>
              <w:kinsoku/>
              <w:wordWrap/>
              <w:overflowPunct/>
              <w:topLinePunct w:val="0"/>
              <w:autoSpaceDE/>
              <w:autoSpaceDN/>
              <w:bidi w:val="0"/>
              <w:adjustRightInd w:val="0"/>
              <w:snapToGrid/>
              <w:spacing w:line="240" w:lineRule="auto"/>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100</w:t>
            </w:r>
          </w:p>
        </w:tc>
        <w:tc>
          <w:tcPr>
            <w:tcW w:w="43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2AC467E">
            <w:pPr>
              <w:keepNext w:val="0"/>
              <w:keepLines w:val="0"/>
              <w:pageBreakBefore w:val="0"/>
              <w:widowControl/>
              <w:tabs>
                <w:tab w:val="left" w:pos="1021"/>
              </w:tabs>
              <w:kinsoku/>
              <w:wordWrap/>
              <w:overflowPunct/>
              <w:topLinePunct w:val="0"/>
              <w:autoSpaceDE/>
              <w:autoSpaceDN/>
              <w:bidi w:val="0"/>
              <w:adjustRightInd w:val="0"/>
              <w:snapToGrid/>
              <w:spacing w:line="240" w:lineRule="auto"/>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100</w:t>
            </w:r>
          </w:p>
        </w:tc>
        <w:tc>
          <w:tcPr>
            <w:tcW w:w="46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A8393C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w:t>
            </w:r>
          </w:p>
        </w:tc>
        <w:tc>
          <w:tcPr>
            <w:tcW w:w="43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125E57D">
            <w:pPr>
              <w:keepNext w:val="0"/>
              <w:keepLines w:val="0"/>
              <w:pageBreakBefore w:val="0"/>
              <w:widowControl/>
              <w:tabs>
                <w:tab w:val="left" w:pos="1021"/>
              </w:tabs>
              <w:kinsoku/>
              <w:wordWrap/>
              <w:overflowPunct/>
              <w:topLinePunct w:val="0"/>
              <w:autoSpaceDE/>
              <w:autoSpaceDN/>
              <w:bidi w:val="0"/>
              <w:adjustRightInd w:val="0"/>
              <w:snapToGrid/>
              <w:spacing w:line="240" w:lineRule="auto"/>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100</w:t>
            </w:r>
          </w:p>
        </w:tc>
        <w:tc>
          <w:tcPr>
            <w:tcW w:w="43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278B81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100</w:t>
            </w:r>
          </w:p>
        </w:tc>
        <w:tc>
          <w:tcPr>
            <w:tcW w:w="498" w:type="pct"/>
            <w:tcBorders>
              <w:top w:val="single" w:color="000000" w:sz="4" w:space="0"/>
              <w:left w:val="single" w:color="000000" w:sz="4" w:space="0"/>
              <w:bottom w:val="single" w:color="000000" w:sz="4" w:space="0"/>
            </w:tcBorders>
            <w:shd w:val="clear" w:color="auto" w:fill="auto"/>
            <w:noWrap w:val="0"/>
            <w:vAlign w:val="center"/>
          </w:tcPr>
          <w:p w14:paraId="0EA190B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100</w:t>
            </w:r>
          </w:p>
        </w:tc>
      </w:tr>
      <w:tr w14:paraId="6AF10B6F">
        <w:tblPrEx>
          <w:tblBorders>
            <w:top w:val="single" w:color="auto" w:sz="12" w:space="0"/>
            <w:left w:val="single" w:color="auto" w:sz="12" w:space="0"/>
            <w:bottom w:val="single" w:color="auto" w:sz="12" w:space="0"/>
            <w:right w:val="single" w:color="auto" w:sz="12" w:space="0"/>
            <w:insideH w:val="none" w:color="auto" w:sz="4" w:space="0"/>
            <w:insideV w:val="none" w:color="auto" w:sz="4" w:space="0"/>
          </w:tblBorders>
          <w:shd w:val="clear" w:color="auto" w:fill="auto"/>
          <w:tblCellMar>
            <w:top w:w="0" w:type="dxa"/>
            <w:left w:w="108" w:type="dxa"/>
            <w:bottom w:w="0" w:type="dxa"/>
            <w:right w:w="108" w:type="dxa"/>
          </w:tblCellMar>
        </w:tblPrEx>
        <w:trPr>
          <w:trHeight w:val="0" w:hRule="atLeast"/>
        </w:trPr>
        <w:tc>
          <w:tcPr>
            <w:tcW w:w="425" w:type="pct"/>
            <w:vMerge w:val="continue"/>
            <w:tcBorders>
              <w:top w:val="single" w:color="000000" w:sz="4" w:space="0"/>
              <w:bottom w:val="single" w:color="000000" w:sz="4" w:space="0"/>
              <w:right w:val="single" w:color="000000" w:sz="4" w:space="0"/>
            </w:tcBorders>
            <w:shd w:val="clear" w:color="auto" w:fill="auto"/>
            <w:noWrap w:val="0"/>
            <w:vAlign w:val="center"/>
          </w:tcPr>
          <w:p w14:paraId="73E254FF">
            <w:pPr>
              <w:keepNext w:val="0"/>
              <w:keepLines w:val="0"/>
              <w:pageBreakBefore w:val="0"/>
              <w:tabs>
                <w:tab w:val="left" w:pos="1021"/>
              </w:tabs>
              <w:kinsoku/>
              <w:wordWrap/>
              <w:overflowPunct/>
              <w:topLinePunct w:val="0"/>
              <w:autoSpaceDE/>
              <w:autoSpaceDN/>
              <w:bidi w:val="0"/>
              <w:adjustRightInd w:val="0"/>
              <w:snapToGrid/>
              <w:spacing w:line="240" w:lineRule="auto"/>
              <w:ind w:firstLine="0" w:firstLineChars="0"/>
              <w:jc w:val="center"/>
              <w:rPr>
                <w:rFonts w:hint="default" w:ascii="Times New Roman" w:hAnsi="Times New Roman" w:cs="Times New Roman"/>
                <w:color w:val="auto"/>
                <w:sz w:val="21"/>
                <w:szCs w:val="21"/>
                <w:highlight w:val="none"/>
              </w:rPr>
            </w:pPr>
          </w:p>
        </w:tc>
        <w:tc>
          <w:tcPr>
            <w:tcW w:w="53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54184D0">
            <w:pPr>
              <w:keepNext w:val="0"/>
              <w:keepLines w:val="0"/>
              <w:pageBreakBefore w:val="0"/>
              <w:widowControl/>
              <w:tabs>
                <w:tab w:val="left" w:pos="1021"/>
              </w:tabs>
              <w:kinsoku/>
              <w:wordWrap/>
              <w:overflowPunct/>
              <w:topLinePunct w:val="0"/>
              <w:autoSpaceDE/>
              <w:autoSpaceDN/>
              <w:bidi w:val="0"/>
              <w:adjustRightInd w:val="0"/>
              <w:snapToGrid/>
              <w:spacing w:line="240" w:lineRule="auto"/>
              <w:ind w:firstLine="0" w:firstLineChars="0"/>
              <w:jc w:val="center"/>
              <w:textAlignment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kern w:val="0"/>
                <w:sz w:val="21"/>
                <w:szCs w:val="21"/>
                <w:highlight w:val="none"/>
                <w:lang w:bidi="ar"/>
              </w:rPr>
              <w:t>超标率%</w:t>
            </w:r>
          </w:p>
        </w:tc>
        <w:tc>
          <w:tcPr>
            <w:tcW w:w="45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E3C7687">
            <w:pPr>
              <w:keepNext w:val="0"/>
              <w:keepLines w:val="0"/>
              <w:pageBreakBefore w:val="0"/>
              <w:widowControl/>
              <w:tabs>
                <w:tab w:val="left" w:pos="1021"/>
              </w:tabs>
              <w:kinsoku/>
              <w:wordWrap/>
              <w:overflowPunct/>
              <w:topLinePunct w:val="0"/>
              <w:autoSpaceDE/>
              <w:autoSpaceDN/>
              <w:bidi w:val="0"/>
              <w:adjustRightInd w:val="0"/>
              <w:snapToGrid/>
              <w:spacing w:line="240" w:lineRule="auto"/>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0</w:t>
            </w:r>
          </w:p>
        </w:tc>
        <w:tc>
          <w:tcPr>
            <w:tcW w:w="45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6EE2F83">
            <w:pPr>
              <w:keepNext w:val="0"/>
              <w:keepLines w:val="0"/>
              <w:pageBreakBefore w:val="0"/>
              <w:widowControl/>
              <w:tabs>
                <w:tab w:val="left" w:pos="1021"/>
              </w:tabs>
              <w:kinsoku/>
              <w:wordWrap/>
              <w:overflowPunct/>
              <w:topLinePunct w:val="0"/>
              <w:autoSpaceDE/>
              <w:autoSpaceDN/>
              <w:bidi w:val="0"/>
              <w:adjustRightInd w:val="0"/>
              <w:snapToGrid/>
              <w:spacing w:line="240" w:lineRule="auto"/>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w:t>
            </w:r>
          </w:p>
        </w:tc>
        <w:tc>
          <w:tcPr>
            <w:tcW w:w="43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FB3DA90">
            <w:pPr>
              <w:keepNext w:val="0"/>
              <w:keepLines w:val="0"/>
              <w:pageBreakBefore w:val="0"/>
              <w:widowControl/>
              <w:tabs>
                <w:tab w:val="left" w:pos="1021"/>
              </w:tabs>
              <w:kinsoku/>
              <w:wordWrap/>
              <w:overflowPunct/>
              <w:topLinePunct w:val="0"/>
              <w:autoSpaceDE/>
              <w:autoSpaceDN/>
              <w:bidi w:val="0"/>
              <w:adjustRightInd w:val="0"/>
              <w:snapToGrid/>
              <w:spacing w:line="240" w:lineRule="auto"/>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0</w:t>
            </w:r>
          </w:p>
        </w:tc>
        <w:tc>
          <w:tcPr>
            <w:tcW w:w="43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09C2999">
            <w:pPr>
              <w:keepNext w:val="0"/>
              <w:keepLines w:val="0"/>
              <w:pageBreakBefore w:val="0"/>
              <w:widowControl/>
              <w:tabs>
                <w:tab w:val="left" w:pos="1021"/>
              </w:tabs>
              <w:kinsoku/>
              <w:wordWrap/>
              <w:overflowPunct/>
              <w:topLinePunct w:val="0"/>
              <w:autoSpaceDE/>
              <w:autoSpaceDN/>
              <w:bidi w:val="0"/>
              <w:adjustRightInd w:val="0"/>
              <w:snapToGrid/>
              <w:spacing w:line="240" w:lineRule="auto"/>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w:t>
            </w:r>
          </w:p>
        </w:tc>
        <w:tc>
          <w:tcPr>
            <w:tcW w:w="43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6BE860F">
            <w:pPr>
              <w:keepNext w:val="0"/>
              <w:keepLines w:val="0"/>
              <w:pageBreakBefore w:val="0"/>
              <w:widowControl/>
              <w:tabs>
                <w:tab w:val="left" w:pos="1021"/>
              </w:tabs>
              <w:kinsoku/>
              <w:wordWrap/>
              <w:overflowPunct/>
              <w:topLinePunct w:val="0"/>
              <w:autoSpaceDE/>
              <w:autoSpaceDN/>
              <w:bidi w:val="0"/>
              <w:adjustRightInd w:val="0"/>
              <w:snapToGrid/>
              <w:spacing w:line="240" w:lineRule="auto"/>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w:t>
            </w:r>
          </w:p>
        </w:tc>
        <w:tc>
          <w:tcPr>
            <w:tcW w:w="46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AE1A0B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w:t>
            </w:r>
          </w:p>
        </w:tc>
        <w:tc>
          <w:tcPr>
            <w:tcW w:w="43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B7E3756">
            <w:pPr>
              <w:keepNext w:val="0"/>
              <w:keepLines w:val="0"/>
              <w:pageBreakBefore w:val="0"/>
              <w:widowControl/>
              <w:tabs>
                <w:tab w:val="left" w:pos="1021"/>
              </w:tabs>
              <w:kinsoku/>
              <w:wordWrap/>
              <w:overflowPunct/>
              <w:topLinePunct w:val="0"/>
              <w:autoSpaceDE/>
              <w:autoSpaceDN/>
              <w:bidi w:val="0"/>
              <w:adjustRightInd w:val="0"/>
              <w:snapToGrid/>
              <w:spacing w:line="240" w:lineRule="auto"/>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w:t>
            </w:r>
          </w:p>
        </w:tc>
        <w:tc>
          <w:tcPr>
            <w:tcW w:w="43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374D58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0</w:t>
            </w:r>
          </w:p>
        </w:tc>
        <w:tc>
          <w:tcPr>
            <w:tcW w:w="498" w:type="pct"/>
            <w:tcBorders>
              <w:top w:val="single" w:color="000000" w:sz="4" w:space="0"/>
              <w:left w:val="single" w:color="000000" w:sz="4" w:space="0"/>
              <w:bottom w:val="single" w:color="000000" w:sz="4" w:space="0"/>
            </w:tcBorders>
            <w:shd w:val="clear" w:color="auto" w:fill="auto"/>
            <w:noWrap w:val="0"/>
            <w:vAlign w:val="center"/>
          </w:tcPr>
          <w:p w14:paraId="606F7A1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0</w:t>
            </w:r>
          </w:p>
        </w:tc>
      </w:tr>
      <w:tr w14:paraId="0324260A">
        <w:tblPrEx>
          <w:tblBorders>
            <w:top w:val="single" w:color="auto" w:sz="12" w:space="0"/>
            <w:left w:val="single" w:color="auto" w:sz="12" w:space="0"/>
            <w:bottom w:val="single" w:color="auto" w:sz="12" w:space="0"/>
            <w:right w:val="single" w:color="auto" w:sz="12" w:space="0"/>
            <w:insideH w:val="none" w:color="auto" w:sz="4" w:space="0"/>
            <w:insideV w:val="none" w:color="auto" w:sz="4" w:space="0"/>
          </w:tblBorders>
          <w:shd w:val="clear" w:color="auto" w:fill="auto"/>
          <w:tblCellMar>
            <w:top w:w="0" w:type="dxa"/>
            <w:left w:w="108" w:type="dxa"/>
            <w:bottom w:w="0" w:type="dxa"/>
            <w:right w:w="108" w:type="dxa"/>
          </w:tblCellMar>
        </w:tblPrEx>
        <w:trPr>
          <w:trHeight w:val="0" w:hRule="atLeast"/>
        </w:trPr>
        <w:tc>
          <w:tcPr>
            <w:tcW w:w="425" w:type="pct"/>
            <w:vMerge w:val="restart"/>
            <w:tcBorders>
              <w:top w:val="single" w:color="000000" w:sz="4" w:space="0"/>
              <w:bottom w:val="single" w:color="000000" w:sz="4" w:space="0"/>
              <w:right w:val="single" w:color="000000" w:sz="4" w:space="0"/>
            </w:tcBorders>
            <w:shd w:val="clear" w:color="auto" w:fill="auto"/>
            <w:noWrap w:val="0"/>
            <w:vAlign w:val="center"/>
          </w:tcPr>
          <w:p w14:paraId="28DB133F">
            <w:pPr>
              <w:keepNext w:val="0"/>
              <w:keepLines w:val="0"/>
              <w:pageBreakBefore w:val="0"/>
              <w:widowControl/>
              <w:tabs>
                <w:tab w:val="left" w:pos="1021"/>
              </w:tabs>
              <w:kinsoku/>
              <w:wordWrap/>
              <w:overflowPunct/>
              <w:topLinePunct w:val="0"/>
              <w:autoSpaceDE/>
              <w:autoSpaceDN/>
              <w:bidi w:val="0"/>
              <w:adjustRightInd w:val="0"/>
              <w:snapToGrid/>
              <w:spacing w:line="240" w:lineRule="auto"/>
              <w:ind w:firstLine="0" w:firstLineChars="0"/>
              <w:jc w:val="center"/>
              <w:textAlignment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kern w:val="0"/>
                <w:sz w:val="21"/>
                <w:szCs w:val="21"/>
                <w:highlight w:val="none"/>
                <w:lang w:bidi="ar"/>
              </w:rPr>
              <w:t>D3</w:t>
            </w:r>
          </w:p>
        </w:tc>
        <w:tc>
          <w:tcPr>
            <w:tcW w:w="53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6F9DDB7">
            <w:pPr>
              <w:keepNext w:val="0"/>
              <w:keepLines w:val="0"/>
              <w:pageBreakBefore w:val="0"/>
              <w:widowControl/>
              <w:tabs>
                <w:tab w:val="left" w:pos="1021"/>
              </w:tabs>
              <w:kinsoku/>
              <w:wordWrap/>
              <w:overflowPunct/>
              <w:topLinePunct w:val="0"/>
              <w:autoSpaceDE/>
              <w:autoSpaceDN/>
              <w:bidi w:val="0"/>
              <w:adjustRightInd w:val="0"/>
              <w:snapToGrid/>
              <w:spacing w:line="240" w:lineRule="auto"/>
              <w:ind w:firstLine="0" w:firstLineChars="0"/>
              <w:jc w:val="center"/>
              <w:textAlignment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kern w:val="0"/>
                <w:sz w:val="21"/>
                <w:szCs w:val="21"/>
                <w:highlight w:val="none"/>
                <w:lang w:bidi="ar"/>
              </w:rPr>
              <w:t>监测值</w:t>
            </w:r>
          </w:p>
        </w:tc>
        <w:tc>
          <w:tcPr>
            <w:tcW w:w="45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FE2A80E">
            <w:pPr>
              <w:keepNext w:val="0"/>
              <w:keepLines w:val="0"/>
              <w:pageBreakBefore w:val="0"/>
              <w:widowControl/>
              <w:tabs>
                <w:tab w:val="left" w:pos="1021"/>
              </w:tabs>
              <w:kinsoku/>
              <w:wordWrap/>
              <w:overflowPunct/>
              <w:topLinePunct w:val="0"/>
              <w:autoSpaceDE/>
              <w:autoSpaceDN/>
              <w:bidi w:val="0"/>
              <w:adjustRightInd w:val="0"/>
              <w:snapToGrid/>
              <w:spacing w:line="240" w:lineRule="auto"/>
              <w:ind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24</w:t>
            </w:r>
          </w:p>
        </w:tc>
        <w:tc>
          <w:tcPr>
            <w:tcW w:w="45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8B46CD0">
            <w:pPr>
              <w:keepNext w:val="0"/>
              <w:keepLines w:val="0"/>
              <w:pageBreakBefore w:val="0"/>
              <w:widowControl/>
              <w:tabs>
                <w:tab w:val="left" w:pos="1021"/>
              </w:tabs>
              <w:kinsoku/>
              <w:wordWrap/>
              <w:overflowPunct/>
              <w:topLinePunct w:val="0"/>
              <w:autoSpaceDE/>
              <w:autoSpaceDN/>
              <w:bidi w:val="0"/>
              <w:adjustRightInd w:val="0"/>
              <w:snapToGrid/>
              <w:spacing w:line="240" w:lineRule="auto"/>
              <w:ind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24.9</w:t>
            </w:r>
          </w:p>
        </w:tc>
        <w:tc>
          <w:tcPr>
            <w:tcW w:w="43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15117D8">
            <w:pPr>
              <w:keepNext w:val="0"/>
              <w:keepLines w:val="0"/>
              <w:pageBreakBefore w:val="0"/>
              <w:widowControl/>
              <w:tabs>
                <w:tab w:val="left" w:pos="1021"/>
              </w:tabs>
              <w:kinsoku/>
              <w:wordWrap/>
              <w:overflowPunct/>
              <w:topLinePunct w:val="0"/>
              <w:autoSpaceDE/>
              <w:autoSpaceDN/>
              <w:bidi w:val="0"/>
              <w:adjustRightInd w:val="0"/>
              <w:snapToGrid/>
              <w:spacing w:line="240" w:lineRule="auto"/>
              <w:ind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8.81</w:t>
            </w:r>
          </w:p>
        </w:tc>
        <w:tc>
          <w:tcPr>
            <w:tcW w:w="43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1D64242">
            <w:pPr>
              <w:keepNext w:val="0"/>
              <w:keepLines w:val="0"/>
              <w:pageBreakBefore w:val="0"/>
              <w:widowControl/>
              <w:tabs>
                <w:tab w:val="left" w:pos="1021"/>
              </w:tabs>
              <w:kinsoku/>
              <w:wordWrap/>
              <w:overflowPunct/>
              <w:topLinePunct w:val="0"/>
              <w:autoSpaceDE/>
              <w:autoSpaceDN/>
              <w:bidi w:val="0"/>
              <w:adjustRightInd w:val="0"/>
              <w:snapToGrid/>
              <w:spacing w:line="240" w:lineRule="auto"/>
              <w:ind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59.0</w:t>
            </w:r>
          </w:p>
        </w:tc>
        <w:tc>
          <w:tcPr>
            <w:tcW w:w="43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2CF0559">
            <w:pPr>
              <w:keepNext w:val="0"/>
              <w:keepLines w:val="0"/>
              <w:pageBreakBefore w:val="0"/>
              <w:widowControl/>
              <w:tabs>
                <w:tab w:val="left" w:pos="1021"/>
              </w:tabs>
              <w:kinsoku/>
              <w:wordWrap/>
              <w:overflowPunct/>
              <w:topLinePunct w:val="0"/>
              <w:autoSpaceDE/>
              <w:autoSpaceDN/>
              <w:bidi w:val="0"/>
              <w:adjustRightInd w:val="0"/>
              <w:snapToGrid/>
              <w:spacing w:line="240" w:lineRule="auto"/>
              <w:ind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1.58</w:t>
            </w:r>
          </w:p>
        </w:tc>
        <w:tc>
          <w:tcPr>
            <w:tcW w:w="46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B8B947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ND</w:t>
            </w:r>
          </w:p>
        </w:tc>
        <w:tc>
          <w:tcPr>
            <w:tcW w:w="43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5CFE332">
            <w:pPr>
              <w:keepNext w:val="0"/>
              <w:keepLines w:val="0"/>
              <w:pageBreakBefore w:val="0"/>
              <w:widowControl/>
              <w:tabs>
                <w:tab w:val="left" w:pos="1021"/>
              </w:tabs>
              <w:kinsoku/>
              <w:wordWrap/>
              <w:overflowPunct/>
              <w:topLinePunct w:val="0"/>
              <w:autoSpaceDE/>
              <w:autoSpaceDN/>
              <w:bidi w:val="0"/>
              <w:adjustRightInd w:val="0"/>
              <w:snapToGrid/>
              <w:spacing w:line="240" w:lineRule="auto"/>
              <w:ind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202</w:t>
            </w:r>
          </w:p>
        </w:tc>
        <w:tc>
          <w:tcPr>
            <w:tcW w:w="43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BC0802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heme="minorBidi"/>
                <w:kern w:val="2"/>
                <w:sz w:val="21"/>
                <w:szCs w:val="21"/>
                <w:highlight w:val="none"/>
                <w:lang w:val="en-US" w:eastAsia="zh-CN" w:bidi="ar-SA"/>
              </w:rPr>
            </w:pPr>
            <w:r>
              <w:rPr>
                <w:rFonts w:hint="eastAsia" w:cstheme="minorBidi"/>
                <w:kern w:val="2"/>
                <w:sz w:val="21"/>
                <w:szCs w:val="21"/>
                <w:highlight w:val="none"/>
                <w:lang w:val="en-US" w:eastAsia="zh-CN" w:bidi="ar-SA"/>
              </w:rPr>
              <w:t>3.22</w:t>
            </w:r>
          </w:p>
        </w:tc>
        <w:tc>
          <w:tcPr>
            <w:tcW w:w="498" w:type="pct"/>
            <w:tcBorders>
              <w:top w:val="single" w:color="000000" w:sz="4" w:space="0"/>
              <w:left w:val="single" w:color="000000" w:sz="4" w:space="0"/>
              <w:bottom w:val="single" w:color="000000" w:sz="4" w:space="0"/>
            </w:tcBorders>
            <w:shd w:val="clear" w:color="auto" w:fill="auto"/>
            <w:noWrap w:val="0"/>
            <w:vAlign w:val="center"/>
          </w:tcPr>
          <w:p w14:paraId="1FE3CE9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heme="minorBidi"/>
                <w:kern w:val="2"/>
                <w:sz w:val="21"/>
                <w:szCs w:val="21"/>
                <w:highlight w:val="none"/>
                <w:lang w:val="en-US" w:eastAsia="zh-CN" w:bidi="ar-SA"/>
              </w:rPr>
            </w:pPr>
            <w:r>
              <w:rPr>
                <w:rFonts w:hint="eastAsia" w:cstheme="minorBidi"/>
                <w:kern w:val="2"/>
                <w:sz w:val="21"/>
                <w:szCs w:val="21"/>
                <w:highlight w:val="none"/>
                <w:lang w:val="en-US" w:eastAsia="zh-CN" w:bidi="ar-SA"/>
              </w:rPr>
              <w:t>28.8</w:t>
            </w:r>
          </w:p>
        </w:tc>
      </w:tr>
      <w:tr w14:paraId="3ECB7F38">
        <w:tblPrEx>
          <w:tblBorders>
            <w:top w:val="single" w:color="auto" w:sz="12" w:space="0"/>
            <w:left w:val="single" w:color="auto" w:sz="12" w:space="0"/>
            <w:bottom w:val="single" w:color="auto" w:sz="12" w:space="0"/>
            <w:right w:val="single" w:color="auto" w:sz="12" w:space="0"/>
            <w:insideH w:val="none" w:color="auto" w:sz="4" w:space="0"/>
            <w:insideV w:val="none" w:color="auto" w:sz="4" w:space="0"/>
          </w:tblBorders>
          <w:shd w:val="clear" w:color="auto" w:fill="auto"/>
          <w:tblCellMar>
            <w:top w:w="0" w:type="dxa"/>
            <w:left w:w="108" w:type="dxa"/>
            <w:bottom w:w="0" w:type="dxa"/>
            <w:right w:w="108" w:type="dxa"/>
          </w:tblCellMar>
        </w:tblPrEx>
        <w:trPr>
          <w:trHeight w:val="0" w:hRule="atLeast"/>
        </w:trPr>
        <w:tc>
          <w:tcPr>
            <w:tcW w:w="425" w:type="pct"/>
            <w:vMerge w:val="continue"/>
            <w:tcBorders>
              <w:top w:val="single" w:color="000000" w:sz="4" w:space="0"/>
              <w:bottom w:val="single" w:color="000000" w:sz="4" w:space="0"/>
              <w:right w:val="single" w:color="000000" w:sz="4" w:space="0"/>
            </w:tcBorders>
            <w:shd w:val="clear" w:color="auto" w:fill="auto"/>
            <w:noWrap w:val="0"/>
            <w:vAlign w:val="center"/>
          </w:tcPr>
          <w:p w14:paraId="78CFEAB7">
            <w:pPr>
              <w:keepNext w:val="0"/>
              <w:keepLines w:val="0"/>
              <w:pageBreakBefore w:val="0"/>
              <w:tabs>
                <w:tab w:val="left" w:pos="1021"/>
              </w:tabs>
              <w:kinsoku/>
              <w:wordWrap/>
              <w:overflowPunct/>
              <w:topLinePunct w:val="0"/>
              <w:autoSpaceDE/>
              <w:autoSpaceDN/>
              <w:bidi w:val="0"/>
              <w:adjustRightInd w:val="0"/>
              <w:snapToGrid/>
              <w:spacing w:line="240" w:lineRule="auto"/>
              <w:ind w:firstLine="0" w:firstLineChars="0"/>
              <w:jc w:val="center"/>
              <w:rPr>
                <w:rFonts w:hint="default" w:ascii="Times New Roman" w:hAnsi="Times New Roman" w:cs="Times New Roman"/>
                <w:color w:val="auto"/>
                <w:sz w:val="21"/>
                <w:szCs w:val="21"/>
                <w:highlight w:val="none"/>
              </w:rPr>
            </w:pPr>
          </w:p>
        </w:tc>
        <w:tc>
          <w:tcPr>
            <w:tcW w:w="53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9D9FDE4">
            <w:pPr>
              <w:keepNext w:val="0"/>
              <w:keepLines w:val="0"/>
              <w:pageBreakBefore w:val="0"/>
              <w:widowControl/>
              <w:tabs>
                <w:tab w:val="left" w:pos="1021"/>
              </w:tabs>
              <w:kinsoku/>
              <w:wordWrap/>
              <w:overflowPunct/>
              <w:topLinePunct w:val="0"/>
              <w:autoSpaceDE/>
              <w:autoSpaceDN/>
              <w:bidi w:val="0"/>
              <w:adjustRightInd w:val="0"/>
              <w:snapToGrid/>
              <w:spacing w:line="240" w:lineRule="auto"/>
              <w:ind w:firstLine="0" w:firstLineChars="0"/>
              <w:jc w:val="center"/>
              <w:textAlignment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kern w:val="0"/>
                <w:sz w:val="21"/>
                <w:szCs w:val="21"/>
                <w:highlight w:val="none"/>
                <w:lang w:bidi="ar"/>
              </w:rPr>
              <w:t>标准指数</w:t>
            </w:r>
          </w:p>
        </w:tc>
        <w:tc>
          <w:tcPr>
            <w:tcW w:w="45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E5C9023">
            <w:pPr>
              <w:keepNext w:val="0"/>
              <w:keepLines w:val="0"/>
              <w:pageBreakBefore w:val="0"/>
              <w:widowControl/>
              <w:tabs>
                <w:tab w:val="left" w:pos="1021"/>
              </w:tabs>
              <w:kinsoku/>
              <w:wordWrap/>
              <w:overflowPunct/>
              <w:topLinePunct w:val="0"/>
              <w:autoSpaceDE/>
              <w:autoSpaceDN/>
              <w:bidi w:val="0"/>
              <w:adjustRightInd w:val="0"/>
              <w:snapToGrid/>
              <w:spacing w:line="240" w:lineRule="auto"/>
              <w:ind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0.24</w:t>
            </w:r>
          </w:p>
        </w:tc>
        <w:tc>
          <w:tcPr>
            <w:tcW w:w="45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51849C5">
            <w:pPr>
              <w:keepNext w:val="0"/>
              <w:keepLines w:val="0"/>
              <w:pageBreakBefore w:val="0"/>
              <w:widowControl/>
              <w:tabs>
                <w:tab w:val="left" w:pos="1021"/>
              </w:tabs>
              <w:kinsoku/>
              <w:wordWrap/>
              <w:overflowPunct/>
              <w:topLinePunct w:val="0"/>
              <w:autoSpaceDE/>
              <w:autoSpaceDN/>
              <w:bidi w:val="0"/>
              <w:adjustRightInd w:val="0"/>
              <w:snapToGrid/>
              <w:spacing w:line="240" w:lineRule="auto"/>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w:t>
            </w:r>
          </w:p>
        </w:tc>
        <w:tc>
          <w:tcPr>
            <w:tcW w:w="43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8D95B09">
            <w:pPr>
              <w:keepNext w:val="0"/>
              <w:keepLines w:val="0"/>
              <w:pageBreakBefore w:val="0"/>
              <w:widowControl/>
              <w:tabs>
                <w:tab w:val="left" w:pos="1021"/>
              </w:tabs>
              <w:kinsoku/>
              <w:wordWrap/>
              <w:overflowPunct/>
              <w:topLinePunct w:val="0"/>
              <w:autoSpaceDE/>
              <w:autoSpaceDN/>
              <w:bidi w:val="0"/>
              <w:adjustRightInd w:val="0"/>
              <w:snapToGrid/>
              <w:spacing w:line="240" w:lineRule="auto"/>
              <w:ind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0.044</w:t>
            </w:r>
          </w:p>
        </w:tc>
        <w:tc>
          <w:tcPr>
            <w:tcW w:w="43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3873615">
            <w:pPr>
              <w:keepNext w:val="0"/>
              <w:keepLines w:val="0"/>
              <w:pageBreakBefore w:val="0"/>
              <w:widowControl/>
              <w:tabs>
                <w:tab w:val="left" w:pos="1021"/>
              </w:tabs>
              <w:kinsoku/>
              <w:wordWrap/>
              <w:overflowPunct/>
              <w:topLinePunct w:val="0"/>
              <w:autoSpaceDE/>
              <w:autoSpaceDN/>
              <w:bidi w:val="0"/>
              <w:adjustRightInd w:val="0"/>
              <w:snapToGrid/>
              <w:spacing w:line="240" w:lineRule="auto"/>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w:t>
            </w:r>
          </w:p>
        </w:tc>
        <w:tc>
          <w:tcPr>
            <w:tcW w:w="43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7E3CBFA">
            <w:pPr>
              <w:keepNext w:val="0"/>
              <w:keepLines w:val="0"/>
              <w:pageBreakBefore w:val="0"/>
              <w:widowControl/>
              <w:tabs>
                <w:tab w:val="left" w:pos="1021"/>
              </w:tabs>
              <w:kinsoku/>
              <w:wordWrap/>
              <w:overflowPunct/>
              <w:topLinePunct w:val="0"/>
              <w:autoSpaceDE/>
              <w:autoSpaceDN/>
              <w:bidi w:val="0"/>
              <w:adjustRightInd w:val="0"/>
              <w:snapToGrid/>
              <w:spacing w:line="240" w:lineRule="auto"/>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w:t>
            </w:r>
          </w:p>
        </w:tc>
        <w:tc>
          <w:tcPr>
            <w:tcW w:w="46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AD36FF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w:t>
            </w:r>
          </w:p>
        </w:tc>
        <w:tc>
          <w:tcPr>
            <w:tcW w:w="43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C5C3583">
            <w:pPr>
              <w:keepNext w:val="0"/>
              <w:keepLines w:val="0"/>
              <w:pageBreakBefore w:val="0"/>
              <w:widowControl/>
              <w:tabs>
                <w:tab w:val="left" w:pos="1021"/>
              </w:tabs>
              <w:kinsoku/>
              <w:wordWrap/>
              <w:overflowPunct/>
              <w:topLinePunct w:val="0"/>
              <w:autoSpaceDE/>
              <w:autoSpaceDN/>
              <w:bidi w:val="0"/>
              <w:adjustRightInd w:val="0"/>
              <w:snapToGrid/>
              <w:spacing w:line="240" w:lineRule="auto"/>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w:t>
            </w:r>
          </w:p>
        </w:tc>
        <w:tc>
          <w:tcPr>
            <w:tcW w:w="43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9A943E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heme="minorBidi"/>
                <w:kern w:val="2"/>
                <w:sz w:val="21"/>
                <w:szCs w:val="21"/>
                <w:highlight w:val="none"/>
                <w:lang w:val="en-US" w:eastAsia="zh-CN" w:bidi="ar-SA"/>
              </w:rPr>
            </w:pPr>
            <w:r>
              <w:rPr>
                <w:rFonts w:hint="eastAsia" w:cstheme="minorBidi"/>
                <w:kern w:val="2"/>
                <w:sz w:val="21"/>
                <w:szCs w:val="21"/>
                <w:highlight w:val="none"/>
                <w:lang w:val="en-US" w:eastAsia="zh-CN" w:bidi="ar-SA"/>
              </w:rPr>
              <w:t>0.013</w:t>
            </w:r>
          </w:p>
        </w:tc>
        <w:tc>
          <w:tcPr>
            <w:tcW w:w="498" w:type="pct"/>
            <w:tcBorders>
              <w:top w:val="single" w:color="000000" w:sz="4" w:space="0"/>
              <w:left w:val="single" w:color="000000" w:sz="4" w:space="0"/>
              <w:bottom w:val="single" w:color="000000" w:sz="4" w:space="0"/>
            </w:tcBorders>
            <w:shd w:val="clear" w:color="auto" w:fill="auto"/>
            <w:noWrap w:val="0"/>
            <w:vAlign w:val="center"/>
          </w:tcPr>
          <w:p w14:paraId="7C98BB9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heme="minorBidi"/>
                <w:kern w:val="2"/>
                <w:sz w:val="21"/>
                <w:szCs w:val="21"/>
                <w:highlight w:val="none"/>
                <w:lang w:val="en-US" w:eastAsia="zh-CN" w:bidi="ar-SA"/>
              </w:rPr>
            </w:pPr>
            <w:r>
              <w:rPr>
                <w:rFonts w:hint="eastAsia" w:cstheme="minorBidi"/>
                <w:kern w:val="2"/>
                <w:sz w:val="21"/>
                <w:szCs w:val="21"/>
                <w:highlight w:val="none"/>
                <w:lang w:val="en-US" w:eastAsia="zh-CN" w:bidi="ar-SA"/>
              </w:rPr>
              <w:t>0.1152</w:t>
            </w:r>
          </w:p>
        </w:tc>
      </w:tr>
      <w:tr w14:paraId="0112B8F6">
        <w:tblPrEx>
          <w:tblBorders>
            <w:top w:val="single" w:color="auto" w:sz="12" w:space="0"/>
            <w:left w:val="single" w:color="auto" w:sz="12" w:space="0"/>
            <w:bottom w:val="single" w:color="auto" w:sz="12" w:space="0"/>
            <w:right w:val="single" w:color="auto" w:sz="12" w:space="0"/>
            <w:insideH w:val="none" w:color="auto" w:sz="4" w:space="0"/>
            <w:insideV w:val="none" w:color="auto" w:sz="4" w:space="0"/>
          </w:tblBorders>
          <w:shd w:val="clear" w:color="auto" w:fill="auto"/>
          <w:tblCellMar>
            <w:top w:w="0" w:type="dxa"/>
            <w:left w:w="108" w:type="dxa"/>
            <w:bottom w:w="0" w:type="dxa"/>
            <w:right w:w="108" w:type="dxa"/>
          </w:tblCellMar>
        </w:tblPrEx>
        <w:trPr>
          <w:trHeight w:val="0" w:hRule="atLeast"/>
        </w:trPr>
        <w:tc>
          <w:tcPr>
            <w:tcW w:w="425" w:type="pct"/>
            <w:vMerge w:val="continue"/>
            <w:tcBorders>
              <w:top w:val="single" w:color="000000" w:sz="4" w:space="0"/>
              <w:bottom w:val="single" w:color="000000" w:sz="4" w:space="0"/>
              <w:right w:val="single" w:color="000000" w:sz="4" w:space="0"/>
            </w:tcBorders>
            <w:shd w:val="clear" w:color="auto" w:fill="auto"/>
            <w:noWrap w:val="0"/>
            <w:vAlign w:val="center"/>
          </w:tcPr>
          <w:p w14:paraId="72B1622B">
            <w:pPr>
              <w:keepNext w:val="0"/>
              <w:keepLines w:val="0"/>
              <w:pageBreakBefore w:val="0"/>
              <w:tabs>
                <w:tab w:val="left" w:pos="1021"/>
              </w:tabs>
              <w:kinsoku/>
              <w:wordWrap/>
              <w:overflowPunct/>
              <w:topLinePunct w:val="0"/>
              <w:autoSpaceDE/>
              <w:autoSpaceDN/>
              <w:bidi w:val="0"/>
              <w:adjustRightInd w:val="0"/>
              <w:snapToGrid/>
              <w:spacing w:line="240" w:lineRule="auto"/>
              <w:ind w:firstLine="0" w:firstLineChars="0"/>
              <w:jc w:val="center"/>
              <w:rPr>
                <w:rFonts w:hint="default" w:ascii="Times New Roman" w:hAnsi="Times New Roman" w:cs="Times New Roman"/>
                <w:color w:val="auto"/>
                <w:sz w:val="21"/>
                <w:szCs w:val="21"/>
                <w:highlight w:val="none"/>
              </w:rPr>
            </w:pPr>
          </w:p>
        </w:tc>
        <w:tc>
          <w:tcPr>
            <w:tcW w:w="53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D699C1E">
            <w:pPr>
              <w:keepNext w:val="0"/>
              <w:keepLines w:val="0"/>
              <w:pageBreakBefore w:val="0"/>
              <w:widowControl/>
              <w:tabs>
                <w:tab w:val="left" w:pos="1021"/>
              </w:tabs>
              <w:kinsoku/>
              <w:wordWrap/>
              <w:overflowPunct/>
              <w:topLinePunct w:val="0"/>
              <w:autoSpaceDE/>
              <w:autoSpaceDN/>
              <w:bidi w:val="0"/>
              <w:adjustRightInd w:val="0"/>
              <w:snapToGrid/>
              <w:spacing w:line="240" w:lineRule="auto"/>
              <w:ind w:firstLine="0" w:firstLineChars="0"/>
              <w:jc w:val="center"/>
              <w:textAlignment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kern w:val="0"/>
                <w:sz w:val="21"/>
                <w:szCs w:val="21"/>
                <w:highlight w:val="none"/>
                <w:lang w:bidi="ar"/>
              </w:rPr>
              <w:t>检出率%</w:t>
            </w:r>
          </w:p>
        </w:tc>
        <w:tc>
          <w:tcPr>
            <w:tcW w:w="45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4AFD78C">
            <w:pPr>
              <w:keepNext w:val="0"/>
              <w:keepLines w:val="0"/>
              <w:pageBreakBefore w:val="0"/>
              <w:widowControl/>
              <w:tabs>
                <w:tab w:val="left" w:pos="1021"/>
              </w:tabs>
              <w:kinsoku/>
              <w:wordWrap/>
              <w:overflowPunct/>
              <w:topLinePunct w:val="0"/>
              <w:autoSpaceDE/>
              <w:autoSpaceDN/>
              <w:bidi w:val="0"/>
              <w:adjustRightInd w:val="0"/>
              <w:snapToGrid/>
              <w:spacing w:line="240" w:lineRule="auto"/>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100</w:t>
            </w:r>
          </w:p>
        </w:tc>
        <w:tc>
          <w:tcPr>
            <w:tcW w:w="45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C75C6C9">
            <w:pPr>
              <w:keepNext w:val="0"/>
              <w:keepLines w:val="0"/>
              <w:pageBreakBefore w:val="0"/>
              <w:widowControl/>
              <w:tabs>
                <w:tab w:val="left" w:pos="1021"/>
              </w:tabs>
              <w:kinsoku/>
              <w:wordWrap/>
              <w:overflowPunct/>
              <w:topLinePunct w:val="0"/>
              <w:autoSpaceDE/>
              <w:autoSpaceDN/>
              <w:bidi w:val="0"/>
              <w:adjustRightInd w:val="0"/>
              <w:snapToGrid/>
              <w:spacing w:line="240" w:lineRule="auto"/>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100</w:t>
            </w:r>
          </w:p>
        </w:tc>
        <w:tc>
          <w:tcPr>
            <w:tcW w:w="43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E1CC007">
            <w:pPr>
              <w:keepNext w:val="0"/>
              <w:keepLines w:val="0"/>
              <w:pageBreakBefore w:val="0"/>
              <w:widowControl/>
              <w:tabs>
                <w:tab w:val="left" w:pos="1021"/>
              </w:tabs>
              <w:kinsoku/>
              <w:wordWrap/>
              <w:overflowPunct/>
              <w:topLinePunct w:val="0"/>
              <w:autoSpaceDE/>
              <w:autoSpaceDN/>
              <w:bidi w:val="0"/>
              <w:adjustRightInd w:val="0"/>
              <w:snapToGrid/>
              <w:spacing w:line="240" w:lineRule="auto"/>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100</w:t>
            </w:r>
          </w:p>
        </w:tc>
        <w:tc>
          <w:tcPr>
            <w:tcW w:w="43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004C5D1">
            <w:pPr>
              <w:keepNext w:val="0"/>
              <w:keepLines w:val="0"/>
              <w:pageBreakBefore w:val="0"/>
              <w:widowControl/>
              <w:tabs>
                <w:tab w:val="left" w:pos="1021"/>
              </w:tabs>
              <w:kinsoku/>
              <w:wordWrap/>
              <w:overflowPunct/>
              <w:topLinePunct w:val="0"/>
              <w:autoSpaceDE/>
              <w:autoSpaceDN/>
              <w:bidi w:val="0"/>
              <w:adjustRightInd w:val="0"/>
              <w:snapToGrid/>
              <w:spacing w:line="240" w:lineRule="auto"/>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100</w:t>
            </w:r>
          </w:p>
        </w:tc>
        <w:tc>
          <w:tcPr>
            <w:tcW w:w="43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95E2C04">
            <w:pPr>
              <w:keepNext w:val="0"/>
              <w:keepLines w:val="0"/>
              <w:pageBreakBefore w:val="0"/>
              <w:widowControl/>
              <w:tabs>
                <w:tab w:val="left" w:pos="1021"/>
              </w:tabs>
              <w:kinsoku/>
              <w:wordWrap/>
              <w:overflowPunct/>
              <w:topLinePunct w:val="0"/>
              <w:autoSpaceDE/>
              <w:autoSpaceDN/>
              <w:bidi w:val="0"/>
              <w:adjustRightInd w:val="0"/>
              <w:snapToGrid/>
              <w:spacing w:line="240" w:lineRule="auto"/>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100</w:t>
            </w:r>
          </w:p>
        </w:tc>
        <w:tc>
          <w:tcPr>
            <w:tcW w:w="46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F7F2CB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w:t>
            </w:r>
          </w:p>
        </w:tc>
        <w:tc>
          <w:tcPr>
            <w:tcW w:w="43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E24DA45">
            <w:pPr>
              <w:keepNext w:val="0"/>
              <w:keepLines w:val="0"/>
              <w:pageBreakBefore w:val="0"/>
              <w:widowControl/>
              <w:tabs>
                <w:tab w:val="left" w:pos="1021"/>
              </w:tabs>
              <w:kinsoku/>
              <w:wordWrap/>
              <w:overflowPunct/>
              <w:topLinePunct w:val="0"/>
              <w:autoSpaceDE/>
              <w:autoSpaceDN/>
              <w:bidi w:val="0"/>
              <w:adjustRightInd w:val="0"/>
              <w:snapToGrid/>
              <w:spacing w:line="240" w:lineRule="auto"/>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100</w:t>
            </w:r>
          </w:p>
        </w:tc>
        <w:tc>
          <w:tcPr>
            <w:tcW w:w="43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84E6AD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100</w:t>
            </w:r>
          </w:p>
        </w:tc>
        <w:tc>
          <w:tcPr>
            <w:tcW w:w="498" w:type="pct"/>
            <w:tcBorders>
              <w:top w:val="single" w:color="000000" w:sz="4" w:space="0"/>
              <w:left w:val="single" w:color="000000" w:sz="4" w:space="0"/>
              <w:bottom w:val="single" w:color="000000" w:sz="4" w:space="0"/>
            </w:tcBorders>
            <w:shd w:val="clear" w:color="auto" w:fill="auto"/>
            <w:noWrap w:val="0"/>
            <w:vAlign w:val="center"/>
          </w:tcPr>
          <w:p w14:paraId="7376B14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100</w:t>
            </w:r>
          </w:p>
        </w:tc>
      </w:tr>
      <w:tr w14:paraId="2CE14EE5">
        <w:tblPrEx>
          <w:tblBorders>
            <w:top w:val="single" w:color="auto" w:sz="12" w:space="0"/>
            <w:left w:val="single" w:color="auto" w:sz="12" w:space="0"/>
            <w:bottom w:val="single" w:color="auto" w:sz="12" w:space="0"/>
            <w:right w:val="single" w:color="auto" w:sz="12" w:space="0"/>
            <w:insideH w:val="none" w:color="auto" w:sz="4" w:space="0"/>
            <w:insideV w:val="none" w:color="auto" w:sz="4" w:space="0"/>
          </w:tblBorders>
          <w:shd w:val="clear" w:color="auto" w:fill="auto"/>
          <w:tblCellMar>
            <w:top w:w="0" w:type="dxa"/>
            <w:left w:w="108" w:type="dxa"/>
            <w:bottom w:w="0" w:type="dxa"/>
            <w:right w:w="108" w:type="dxa"/>
          </w:tblCellMar>
        </w:tblPrEx>
        <w:trPr>
          <w:trHeight w:val="0" w:hRule="atLeast"/>
        </w:trPr>
        <w:tc>
          <w:tcPr>
            <w:tcW w:w="425" w:type="pct"/>
            <w:vMerge w:val="continue"/>
            <w:tcBorders>
              <w:top w:val="single" w:color="000000" w:sz="4" w:space="0"/>
              <w:bottom w:val="single" w:color="000000" w:sz="4" w:space="0"/>
              <w:right w:val="single" w:color="000000" w:sz="4" w:space="0"/>
            </w:tcBorders>
            <w:shd w:val="clear" w:color="auto" w:fill="auto"/>
            <w:noWrap w:val="0"/>
            <w:vAlign w:val="center"/>
          </w:tcPr>
          <w:p w14:paraId="18EC450A">
            <w:pPr>
              <w:keepNext w:val="0"/>
              <w:keepLines w:val="0"/>
              <w:pageBreakBefore w:val="0"/>
              <w:tabs>
                <w:tab w:val="left" w:pos="1021"/>
              </w:tabs>
              <w:kinsoku/>
              <w:wordWrap/>
              <w:overflowPunct/>
              <w:topLinePunct w:val="0"/>
              <w:autoSpaceDE/>
              <w:autoSpaceDN/>
              <w:bidi w:val="0"/>
              <w:adjustRightInd w:val="0"/>
              <w:snapToGrid/>
              <w:spacing w:line="240" w:lineRule="auto"/>
              <w:ind w:firstLine="0" w:firstLineChars="0"/>
              <w:jc w:val="center"/>
              <w:rPr>
                <w:rFonts w:hint="default" w:ascii="Times New Roman" w:hAnsi="Times New Roman" w:cs="Times New Roman"/>
                <w:color w:val="auto"/>
                <w:sz w:val="21"/>
                <w:szCs w:val="21"/>
                <w:highlight w:val="none"/>
              </w:rPr>
            </w:pPr>
          </w:p>
        </w:tc>
        <w:tc>
          <w:tcPr>
            <w:tcW w:w="53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1607FEE">
            <w:pPr>
              <w:keepNext w:val="0"/>
              <w:keepLines w:val="0"/>
              <w:pageBreakBefore w:val="0"/>
              <w:widowControl/>
              <w:tabs>
                <w:tab w:val="left" w:pos="1021"/>
              </w:tabs>
              <w:kinsoku/>
              <w:wordWrap/>
              <w:overflowPunct/>
              <w:topLinePunct w:val="0"/>
              <w:autoSpaceDE/>
              <w:autoSpaceDN/>
              <w:bidi w:val="0"/>
              <w:adjustRightInd w:val="0"/>
              <w:snapToGrid/>
              <w:spacing w:line="240" w:lineRule="auto"/>
              <w:ind w:firstLine="0" w:firstLineChars="0"/>
              <w:jc w:val="center"/>
              <w:textAlignment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kern w:val="0"/>
                <w:sz w:val="21"/>
                <w:szCs w:val="21"/>
                <w:highlight w:val="none"/>
                <w:lang w:bidi="ar"/>
              </w:rPr>
              <w:t>超标率%</w:t>
            </w:r>
          </w:p>
        </w:tc>
        <w:tc>
          <w:tcPr>
            <w:tcW w:w="45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DF4D739">
            <w:pPr>
              <w:keepNext w:val="0"/>
              <w:keepLines w:val="0"/>
              <w:pageBreakBefore w:val="0"/>
              <w:widowControl/>
              <w:tabs>
                <w:tab w:val="left" w:pos="1021"/>
              </w:tabs>
              <w:kinsoku/>
              <w:wordWrap/>
              <w:overflowPunct/>
              <w:topLinePunct w:val="0"/>
              <w:autoSpaceDE/>
              <w:autoSpaceDN/>
              <w:bidi w:val="0"/>
              <w:adjustRightInd w:val="0"/>
              <w:snapToGrid/>
              <w:spacing w:line="240" w:lineRule="auto"/>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0</w:t>
            </w:r>
          </w:p>
        </w:tc>
        <w:tc>
          <w:tcPr>
            <w:tcW w:w="45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F931027">
            <w:pPr>
              <w:keepNext w:val="0"/>
              <w:keepLines w:val="0"/>
              <w:pageBreakBefore w:val="0"/>
              <w:widowControl/>
              <w:tabs>
                <w:tab w:val="left" w:pos="1021"/>
              </w:tabs>
              <w:kinsoku/>
              <w:wordWrap/>
              <w:overflowPunct/>
              <w:topLinePunct w:val="0"/>
              <w:autoSpaceDE/>
              <w:autoSpaceDN/>
              <w:bidi w:val="0"/>
              <w:adjustRightInd w:val="0"/>
              <w:snapToGrid/>
              <w:spacing w:line="240" w:lineRule="auto"/>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w:t>
            </w:r>
          </w:p>
        </w:tc>
        <w:tc>
          <w:tcPr>
            <w:tcW w:w="43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BF99BBF">
            <w:pPr>
              <w:keepNext w:val="0"/>
              <w:keepLines w:val="0"/>
              <w:pageBreakBefore w:val="0"/>
              <w:widowControl/>
              <w:tabs>
                <w:tab w:val="left" w:pos="1021"/>
              </w:tabs>
              <w:kinsoku/>
              <w:wordWrap/>
              <w:overflowPunct/>
              <w:topLinePunct w:val="0"/>
              <w:autoSpaceDE/>
              <w:autoSpaceDN/>
              <w:bidi w:val="0"/>
              <w:adjustRightInd w:val="0"/>
              <w:snapToGrid/>
              <w:spacing w:line="240" w:lineRule="auto"/>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0</w:t>
            </w:r>
          </w:p>
        </w:tc>
        <w:tc>
          <w:tcPr>
            <w:tcW w:w="43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32F5C71">
            <w:pPr>
              <w:keepNext w:val="0"/>
              <w:keepLines w:val="0"/>
              <w:pageBreakBefore w:val="0"/>
              <w:widowControl/>
              <w:tabs>
                <w:tab w:val="left" w:pos="1021"/>
              </w:tabs>
              <w:kinsoku/>
              <w:wordWrap/>
              <w:overflowPunct/>
              <w:topLinePunct w:val="0"/>
              <w:autoSpaceDE/>
              <w:autoSpaceDN/>
              <w:bidi w:val="0"/>
              <w:adjustRightInd w:val="0"/>
              <w:snapToGrid/>
              <w:spacing w:line="240" w:lineRule="auto"/>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w:t>
            </w:r>
          </w:p>
        </w:tc>
        <w:tc>
          <w:tcPr>
            <w:tcW w:w="43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224D698">
            <w:pPr>
              <w:keepNext w:val="0"/>
              <w:keepLines w:val="0"/>
              <w:pageBreakBefore w:val="0"/>
              <w:widowControl/>
              <w:tabs>
                <w:tab w:val="left" w:pos="1021"/>
              </w:tabs>
              <w:kinsoku/>
              <w:wordWrap/>
              <w:overflowPunct/>
              <w:topLinePunct w:val="0"/>
              <w:autoSpaceDE/>
              <w:autoSpaceDN/>
              <w:bidi w:val="0"/>
              <w:adjustRightInd w:val="0"/>
              <w:snapToGrid/>
              <w:spacing w:line="240" w:lineRule="auto"/>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w:t>
            </w:r>
          </w:p>
        </w:tc>
        <w:tc>
          <w:tcPr>
            <w:tcW w:w="46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86A451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w:t>
            </w:r>
          </w:p>
        </w:tc>
        <w:tc>
          <w:tcPr>
            <w:tcW w:w="43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022D3E6">
            <w:pPr>
              <w:keepNext w:val="0"/>
              <w:keepLines w:val="0"/>
              <w:pageBreakBefore w:val="0"/>
              <w:widowControl/>
              <w:tabs>
                <w:tab w:val="left" w:pos="1021"/>
              </w:tabs>
              <w:kinsoku/>
              <w:wordWrap/>
              <w:overflowPunct/>
              <w:topLinePunct w:val="0"/>
              <w:autoSpaceDE/>
              <w:autoSpaceDN/>
              <w:bidi w:val="0"/>
              <w:adjustRightInd w:val="0"/>
              <w:snapToGrid/>
              <w:spacing w:line="240" w:lineRule="auto"/>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w:t>
            </w:r>
          </w:p>
        </w:tc>
        <w:tc>
          <w:tcPr>
            <w:tcW w:w="43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D5D5CE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0</w:t>
            </w:r>
          </w:p>
        </w:tc>
        <w:tc>
          <w:tcPr>
            <w:tcW w:w="498" w:type="pct"/>
            <w:tcBorders>
              <w:top w:val="single" w:color="000000" w:sz="4" w:space="0"/>
              <w:left w:val="single" w:color="000000" w:sz="4" w:space="0"/>
              <w:bottom w:val="single" w:color="000000" w:sz="4" w:space="0"/>
            </w:tcBorders>
            <w:shd w:val="clear" w:color="auto" w:fill="auto"/>
            <w:noWrap w:val="0"/>
            <w:vAlign w:val="center"/>
          </w:tcPr>
          <w:p w14:paraId="1D28511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0</w:t>
            </w:r>
          </w:p>
        </w:tc>
      </w:tr>
      <w:tr w14:paraId="640804D1">
        <w:tblPrEx>
          <w:tblBorders>
            <w:top w:val="single" w:color="auto" w:sz="12" w:space="0"/>
            <w:left w:val="single" w:color="auto" w:sz="12" w:space="0"/>
            <w:bottom w:val="single" w:color="auto" w:sz="12" w:space="0"/>
            <w:right w:val="single" w:color="auto" w:sz="12" w:space="0"/>
            <w:insideH w:val="none" w:color="auto" w:sz="4" w:space="0"/>
            <w:insideV w:val="none" w:color="auto" w:sz="4" w:space="0"/>
          </w:tblBorders>
          <w:shd w:val="clear" w:color="auto" w:fill="auto"/>
          <w:tblCellMar>
            <w:top w:w="0" w:type="dxa"/>
            <w:left w:w="108" w:type="dxa"/>
            <w:bottom w:w="0" w:type="dxa"/>
            <w:right w:w="108" w:type="dxa"/>
          </w:tblCellMar>
        </w:tblPrEx>
        <w:trPr>
          <w:trHeight w:val="0" w:hRule="atLeast"/>
        </w:trPr>
        <w:tc>
          <w:tcPr>
            <w:tcW w:w="425" w:type="pct"/>
            <w:vMerge w:val="restart"/>
            <w:tcBorders>
              <w:top w:val="single" w:color="000000" w:sz="4" w:space="0"/>
              <w:right w:val="single" w:color="000000" w:sz="4" w:space="0"/>
            </w:tcBorders>
            <w:shd w:val="clear" w:color="auto" w:fill="auto"/>
            <w:noWrap w:val="0"/>
            <w:vAlign w:val="center"/>
          </w:tcPr>
          <w:p w14:paraId="783CF62E">
            <w:pPr>
              <w:keepNext w:val="0"/>
              <w:keepLines w:val="0"/>
              <w:pageBreakBefore w:val="0"/>
              <w:tabs>
                <w:tab w:val="left" w:pos="1021"/>
              </w:tabs>
              <w:kinsoku/>
              <w:wordWrap/>
              <w:overflowPunct/>
              <w:topLinePunct w:val="0"/>
              <w:autoSpaceDE/>
              <w:autoSpaceDN/>
              <w:bidi w:val="0"/>
              <w:adjustRightInd w:val="0"/>
              <w:snapToGrid/>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D4</w:t>
            </w:r>
          </w:p>
        </w:tc>
        <w:tc>
          <w:tcPr>
            <w:tcW w:w="53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21169CE">
            <w:pPr>
              <w:keepNext w:val="0"/>
              <w:keepLines w:val="0"/>
              <w:pageBreakBefore w:val="0"/>
              <w:widowControl/>
              <w:tabs>
                <w:tab w:val="left" w:pos="1021"/>
              </w:tabs>
              <w:kinsoku/>
              <w:wordWrap/>
              <w:overflowPunct/>
              <w:topLinePunct w:val="0"/>
              <w:autoSpaceDE/>
              <w:autoSpaceDN/>
              <w:bidi w:val="0"/>
              <w:adjustRightInd w:val="0"/>
              <w:snapToGrid/>
              <w:spacing w:line="240" w:lineRule="auto"/>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0"/>
                <w:sz w:val="21"/>
                <w:szCs w:val="21"/>
                <w:highlight w:val="none"/>
                <w:lang w:bidi="ar"/>
              </w:rPr>
              <w:t>监测值</w:t>
            </w:r>
          </w:p>
        </w:tc>
        <w:tc>
          <w:tcPr>
            <w:tcW w:w="45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F1389FB">
            <w:pPr>
              <w:keepNext w:val="0"/>
              <w:keepLines w:val="0"/>
              <w:pageBreakBefore w:val="0"/>
              <w:widowControl/>
              <w:tabs>
                <w:tab w:val="left" w:pos="1021"/>
              </w:tabs>
              <w:kinsoku/>
              <w:wordWrap/>
              <w:overflowPunct/>
              <w:topLinePunct w:val="0"/>
              <w:autoSpaceDE/>
              <w:autoSpaceDN/>
              <w:bidi w:val="0"/>
              <w:adjustRightInd w:val="0"/>
              <w:snapToGrid/>
              <w:spacing w:line="240" w:lineRule="auto"/>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32</w:t>
            </w:r>
          </w:p>
        </w:tc>
        <w:tc>
          <w:tcPr>
            <w:tcW w:w="45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27F5912">
            <w:pPr>
              <w:keepNext w:val="0"/>
              <w:keepLines w:val="0"/>
              <w:pageBreakBefore w:val="0"/>
              <w:widowControl/>
              <w:tabs>
                <w:tab w:val="left" w:pos="1021"/>
              </w:tabs>
              <w:kinsoku/>
              <w:wordWrap/>
              <w:overflowPunct/>
              <w:topLinePunct w:val="0"/>
              <w:autoSpaceDE/>
              <w:autoSpaceDN/>
              <w:bidi w:val="0"/>
              <w:adjustRightInd w:val="0"/>
              <w:snapToGrid/>
              <w:spacing w:line="240" w:lineRule="auto"/>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3.90</w:t>
            </w:r>
          </w:p>
        </w:tc>
        <w:tc>
          <w:tcPr>
            <w:tcW w:w="43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A1B46BC">
            <w:pPr>
              <w:keepNext w:val="0"/>
              <w:keepLines w:val="0"/>
              <w:pageBreakBefore w:val="0"/>
              <w:widowControl/>
              <w:tabs>
                <w:tab w:val="left" w:pos="1021"/>
              </w:tabs>
              <w:kinsoku/>
              <w:wordWrap/>
              <w:overflowPunct/>
              <w:topLinePunct w:val="0"/>
              <w:autoSpaceDE/>
              <w:autoSpaceDN/>
              <w:bidi w:val="0"/>
              <w:adjustRightInd w:val="0"/>
              <w:snapToGrid/>
              <w:spacing w:line="240" w:lineRule="auto"/>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31.1</w:t>
            </w:r>
          </w:p>
        </w:tc>
        <w:tc>
          <w:tcPr>
            <w:tcW w:w="43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7158C8F">
            <w:pPr>
              <w:keepNext w:val="0"/>
              <w:keepLines w:val="0"/>
              <w:pageBreakBefore w:val="0"/>
              <w:widowControl/>
              <w:tabs>
                <w:tab w:val="left" w:pos="1021"/>
              </w:tabs>
              <w:kinsoku/>
              <w:wordWrap/>
              <w:overflowPunct/>
              <w:topLinePunct w:val="0"/>
              <w:autoSpaceDE/>
              <w:autoSpaceDN/>
              <w:bidi w:val="0"/>
              <w:adjustRightInd w:val="0"/>
              <w:snapToGrid/>
              <w:spacing w:line="240" w:lineRule="auto"/>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65.7</w:t>
            </w:r>
          </w:p>
        </w:tc>
        <w:tc>
          <w:tcPr>
            <w:tcW w:w="43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9D56E36">
            <w:pPr>
              <w:keepNext w:val="0"/>
              <w:keepLines w:val="0"/>
              <w:pageBreakBefore w:val="0"/>
              <w:widowControl/>
              <w:tabs>
                <w:tab w:val="left" w:pos="1021"/>
              </w:tabs>
              <w:kinsoku/>
              <w:wordWrap/>
              <w:overflowPunct/>
              <w:topLinePunct w:val="0"/>
              <w:autoSpaceDE/>
              <w:autoSpaceDN/>
              <w:bidi w:val="0"/>
              <w:adjustRightInd w:val="0"/>
              <w:snapToGrid/>
              <w:spacing w:line="240" w:lineRule="auto"/>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34.3</w:t>
            </w:r>
          </w:p>
        </w:tc>
        <w:tc>
          <w:tcPr>
            <w:tcW w:w="46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5DBA8F9">
            <w:pPr>
              <w:keepNext w:val="0"/>
              <w:keepLines w:val="0"/>
              <w:pageBreakBefore w:val="0"/>
              <w:widowControl/>
              <w:tabs>
                <w:tab w:val="left" w:pos="1021"/>
              </w:tabs>
              <w:kinsoku/>
              <w:wordWrap/>
              <w:overflowPunct/>
              <w:topLinePunct w:val="0"/>
              <w:autoSpaceDE/>
              <w:autoSpaceDN/>
              <w:bidi w:val="0"/>
              <w:adjustRightInd w:val="0"/>
              <w:snapToGrid/>
              <w:spacing w:line="240" w:lineRule="auto"/>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ND</w:t>
            </w:r>
          </w:p>
        </w:tc>
        <w:tc>
          <w:tcPr>
            <w:tcW w:w="43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A1A99E1">
            <w:pPr>
              <w:keepNext w:val="0"/>
              <w:keepLines w:val="0"/>
              <w:pageBreakBefore w:val="0"/>
              <w:widowControl/>
              <w:tabs>
                <w:tab w:val="left" w:pos="1021"/>
              </w:tabs>
              <w:kinsoku/>
              <w:wordWrap/>
              <w:overflowPunct/>
              <w:topLinePunct w:val="0"/>
              <w:autoSpaceDE/>
              <w:autoSpaceDN/>
              <w:bidi w:val="0"/>
              <w:adjustRightInd w:val="0"/>
              <w:snapToGrid/>
              <w:spacing w:line="240" w:lineRule="auto"/>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403</w:t>
            </w:r>
          </w:p>
        </w:tc>
        <w:tc>
          <w:tcPr>
            <w:tcW w:w="43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CCE398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3.47</w:t>
            </w:r>
          </w:p>
        </w:tc>
        <w:tc>
          <w:tcPr>
            <w:tcW w:w="498" w:type="pct"/>
            <w:tcBorders>
              <w:top w:val="single" w:color="000000" w:sz="4" w:space="0"/>
              <w:left w:val="single" w:color="000000" w:sz="4" w:space="0"/>
              <w:bottom w:val="single" w:color="000000" w:sz="4" w:space="0"/>
            </w:tcBorders>
            <w:shd w:val="clear" w:color="auto" w:fill="auto"/>
            <w:noWrap w:val="0"/>
            <w:vAlign w:val="center"/>
          </w:tcPr>
          <w:p w14:paraId="35E3BE3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130</w:t>
            </w:r>
          </w:p>
        </w:tc>
      </w:tr>
      <w:tr w14:paraId="7F880B85">
        <w:tblPrEx>
          <w:tblBorders>
            <w:top w:val="single" w:color="auto" w:sz="12" w:space="0"/>
            <w:left w:val="single" w:color="auto" w:sz="12" w:space="0"/>
            <w:bottom w:val="single" w:color="auto" w:sz="12" w:space="0"/>
            <w:right w:val="single" w:color="auto" w:sz="12" w:space="0"/>
            <w:insideH w:val="none" w:color="auto" w:sz="4" w:space="0"/>
            <w:insideV w:val="none" w:color="auto" w:sz="4" w:space="0"/>
          </w:tblBorders>
          <w:shd w:val="clear" w:color="auto" w:fill="auto"/>
          <w:tblCellMar>
            <w:top w:w="0" w:type="dxa"/>
            <w:left w:w="108" w:type="dxa"/>
            <w:bottom w:w="0" w:type="dxa"/>
            <w:right w:w="108" w:type="dxa"/>
          </w:tblCellMar>
        </w:tblPrEx>
        <w:trPr>
          <w:trHeight w:val="0" w:hRule="atLeast"/>
        </w:trPr>
        <w:tc>
          <w:tcPr>
            <w:tcW w:w="425" w:type="pct"/>
            <w:vMerge w:val="continue"/>
            <w:tcBorders>
              <w:right w:val="single" w:color="000000" w:sz="4" w:space="0"/>
            </w:tcBorders>
            <w:shd w:val="clear" w:color="auto" w:fill="auto"/>
            <w:noWrap w:val="0"/>
            <w:vAlign w:val="center"/>
          </w:tcPr>
          <w:p w14:paraId="23BA836A">
            <w:pPr>
              <w:keepNext w:val="0"/>
              <w:keepLines w:val="0"/>
              <w:pageBreakBefore w:val="0"/>
              <w:tabs>
                <w:tab w:val="left" w:pos="1021"/>
              </w:tabs>
              <w:kinsoku/>
              <w:wordWrap/>
              <w:overflowPunct/>
              <w:topLinePunct w:val="0"/>
              <w:autoSpaceDE/>
              <w:autoSpaceDN/>
              <w:bidi w:val="0"/>
              <w:adjustRightInd w:val="0"/>
              <w:snapToGrid/>
              <w:spacing w:line="240" w:lineRule="auto"/>
              <w:ind w:firstLine="0" w:firstLineChars="0"/>
              <w:jc w:val="center"/>
              <w:rPr>
                <w:rFonts w:hint="default" w:ascii="Times New Roman" w:hAnsi="Times New Roman" w:cs="Times New Roman"/>
                <w:color w:val="auto"/>
                <w:sz w:val="21"/>
                <w:szCs w:val="21"/>
                <w:highlight w:val="none"/>
              </w:rPr>
            </w:pPr>
          </w:p>
        </w:tc>
        <w:tc>
          <w:tcPr>
            <w:tcW w:w="53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ADE19EE">
            <w:pPr>
              <w:keepNext w:val="0"/>
              <w:keepLines w:val="0"/>
              <w:pageBreakBefore w:val="0"/>
              <w:widowControl/>
              <w:tabs>
                <w:tab w:val="left" w:pos="1021"/>
              </w:tabs>
              <w:kinsoku/>
              <w:wordWrap/>
              <w:overflowPunct/>
              <w:topLinePunct w:val="0"/>
              <w:autoSpaceDE/>
              <w:autoSpaceDN/>
              <w:bidi w:val="0"/>
              <w:adjustRightInd w:val="0"/>
              <w:snapToGrid/>
              <w:spacing w:line="240" w:lineRule="auto"/>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0"/>
                <w:sz w:val="21"/>
                <w:szCs w:val="21"/>
                <w:highlight w:val="none"/>
                <w:lang w:bidi="ar"/>
              </w:rPr>
              <w:t>标准指数</w:t>
            </w:r>
          </w:p>
        </w:tc>
        <w:tc>
          <w:tcPr>
            <w:tcW w:w="45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6A3EDB8">
            <w:pPr>
              <w:keepNext w:val="0"/>
              <w:keepLines w:val="0"/>
              <w:pageBreakBefore w:val="0"/>
              <w:widowControl/>
              <w:tabs>
                <w:tab w:val="left" w:pos="1021"/>
              </w:tabs>
              <w:kinsoku/>
              <w:wordWrap/>
              <w:overflowPunct/>
              <w:topLinePunct w:val="0"/>
              <w:autoSpaceDE/>
              <w:autoSpaceDN/>
              <w:bidi w:val="0"/>
              <w:adjustRightInd w:val="0"/>
              <w:snapToGrid/>
              <w:spacing w:line="240" w:lineRule="auto"/>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0.32</w:t>
            </w:r>
          </w:p>
        </w:tc>
        <w:tc>
          <w:tcPr>
            <w:tcW w:w="45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49F991F">
            <w:pPr>
              <w:keepNext w:val="0"/>
              <w:keepLines w:val="0"/>
              <w:pageBreakBefore w:val="0"/>
              <w:widowControl/>
              <w:tabs>
                <w:tab w:val="left" w:pos="1021"/>
              </w:tabs>
              <w:kinsoku/>
              <w:wordWrap/>
              <w:overflowPunct/>
              <w:topLinePunct w:val="0"/>
              <w:autoSpaceDE/>
              <w:autoSpaceDN/>
              <w:bidi w:val="0"/>
              <w:adjustRightInd w:val="0"/>
              <w:snapToGrid/>
              <w:spacing w:line="240" w:lineRule="auto"/>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w:t>
            </w:r>
          </w:p>
        </w:tc>
        <w:tc>
          <w:tcPr>
            <w:tcW w:w="43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6BC85E6">
            <w:pPr>
              <w:keepNext w:val="0"/>
              <w:keepLines w:val="0"/>
              <w:pageBreakBefore w:val="0"/>
              <w:widowControl/>
              <w:tabs>
                <w:tab w:val="left" w:pos="1021"/>
              </w:tabs>
              <w:kinsoku/>
              <w:wordWrap/>
              <w:overflowPunct/>
              <w:topLinePunct w:val="0"/>
              <w:autoSpaceDE/>
              <w:autoSpaceDN/>
              <w:bidi w:val="0"/>
              <w:adjustRightInd w:val="0"/>
              <w:snapToGrid/>
              <w:spacing w:line="240" w:lineRule="auto"/>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0.16</w:t>
            </w:r>
          </w:p>
        </w:tc>
        <w:tc>
          <w:tcPr>
            <w:tcW w:w="43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7C4CA98">
            <w:pPr>
              <w:keepNext w:val="0"/>
              <w:keepLines w:val="0"/>
              <w:pageBreakBefore w:val="0"/>
              <w:widowControl/>
              <w:tabs>
                <w:tab w:val="left" w:pos="1021"/>
              </w:tabs>
              <w:kinsoku/>
              <w:wordWrap/>
              <w:overflowPunct/>
              <w:topLinePunct w:val="0"/>
              <w:autoSpaceDE/>
              <w:autoSpaceDN/>
              <w:bidi w:val="0"/>
              <w:adjustRightInd w:val="0"/>
              <w:snapToGrid/>
              <w:spacing w:line="240" w:lineRule="auto"/>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w:t>
            </w:r>
          </w:p>
        </w:tc>
        <w:tc>
          <w:tcPr>
            <w:tcW w:w="43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6DBC493">
            <w:pPr>
              <w:keepNext w:val="0"/>
              <w:keepLines w:val="0"/>
              <w:pageBreakBefore w:val="0"/>
              <w:widowControl/>
              <w:tabs>
                <w:tab w:val="left" w:pos="1021"/>
              </w:tabs>
              <w:kinsoku/>
              <w:wordWrap/>
              <w:overflowPunct/>
              <w:topLinePunct w:val="0"/>
              <w:autoSpaceDE/>
              <w:autoSpaceDN/>
              <w:bidi w:val="0"/>
              <w:adjustRightInd w:val="0"/>
              <w:snapToGrid/>
              <w:spacing w:line="240" w:lineRule="auto"/>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w:t>
            </w:r>
          </w:p>
        </w:tc>
        <w:tc>
          <w:tcPr>
            <w:tcW w:w="46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E0308F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w:t>
            </w:r>
          </w:p>
        </w:tc>
        <w:tc>
          <w:tcPr>
            <w:tcW w:w="43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D887D17">
            <w:pPr>
              <w:keepNext w:val="0"/>
              <w:keepLines w:val="0"/>
              <w:pageBreakBefore w:val="0"/>
              <w:widowControl/>
              <w:tabs>
                <w:tab w:val="left" w:pos="1021"/>
              </w:tabs>
              <w:kinsoku/>
              <w:wordWrap/>
              <w:overflowPunct/>
              <w:topLinePunct w:val="0"/>
              <w:autoSpaceDE/>
              <w:autoSpaceDN/>
              <w:bidi w:val="0"/>
              <w:adjustRightInd w:val="0"/>
              <w:snapToGrid/>
              <w:spacing w:line="240" w:lineRule="auto"/>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w:t>
            </w:r>
          </w:p>
        </w:tc>
        <w:tc>
          <w:tcPr>
            <w:tcW w:w="43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B99824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0.014</w:t>
            </w:r>
          </w:p>
        </w:tc>
        <w:tc>
          <w:tcPr>
            <w:tcW w:w="498" w:type="pct"/>
            <w:tcBorders>
              <w:top w:val="single" w:color="000000" w:sz="4" w:space="0"/>
              <w:left w:val="single" w:color="000000" w:sz="4" w:space="0"/>
              <w:bottom w:val="single" w:color="000000" w:sz="4" w:space="0"/>
            </w:tcBorders>
            <w:shd w:val="clear" w:color="auto" w:fill="auto"/>
            <w:noWrap w:val="0"/>
            <w:vAlign w:val="center"/>
          </w:tcPr>
          <w:p w14:paraId="55D5427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0.52</w:t>
            </w:r>
          </w:p>
        </w:tc>
      </w:tr>
      <w:tr w14:paraId="15BD1119">
        <w:tblPrEx>
          <w:tblBorders>
            <w:top w:val="single" w:color="auto" w:sz="12" w:space="0"/>
            <w:left w:val="single" w:color="auto" w:sz="12" w:space="0"/>
            <w:bottom w:val="single" w:color="auto" w:sz="12" w:space="0"/>
            <w:right w:val="single" w:color="auto" w:sz="12" w:space="0"/>
            <w:insideH w:val="none" w:color="auto" w:sz="4" w:space="0"/>
            <w:insideV w:val="none" w:color="auto" w:sz="4" w:space="0"/>
          </w:tblBorders>
          <w:shd w:val="clear" w:color="auto" w:fill="auto"/>
          <w:tblCellMar>
            <w:top w:w="0" w:type="dxa"/>
            <w:left w:w="108" w:type="dxa"/>
            <w:bottom w:w="0" w:type="dxa"/>
            <w:right w:w="108" w:type="dxa"/>
          </w:tblCellMar>
        </w:tblPrEx>
        <w:trPr>
          <w:trHeight w:val="0" w:hRule="atLeast"/>
        </w:trPr>
        <w:tc>
          <w:tcPr>
            <w:tcW w:w="425" w:type="pct"/>
            <w:vMerge w:val="continue"/>
            <w:tcBorders>
              <w:right w:val="single" w:color="000000" w:sz="4" w:space="0"/>
            </w:tcBorders>
            <w:shd w:val="clear" w:color="auto" w:fill="auto"/>
            <w:noWrap w:val="0"/>
            <w:vAlign w:val="center"/>
          </w:tcPr>
          <w:p w14:paraId="0237982B">
            <w:pPr>
              <w:keepNext w:val="0"/>
              <w:keepLines w:val="0"/>
              <w:pageBreakBefore w:val="0"/>
              <w:tabs>
                <w:tab w:val="left" w:pos="1021"/>
              </w:tabs>
              <w:kinsoku/>
              <w:wordWrap/>
              <w:overflowPunct/>
              <w:topLinePunct w:val="0"/>
              <w:autoSpaceDE/>
              <w:autoSpaceDN/>
              <w:bidi w:val="0"/>
              <w:adjustRightInd w:val="0"/>
              <w:snapToGrid/>
              <w:spacing w:line="240" w:lineRule="auto"/>
              <w:ind w:firstLine="0" w:firstLineChars="0"/>
              <w:jc w:val="center"/>
              <w:rPr>
                <w:rFonts w:hint="default" w:ascii="Times New Roman" w:hAnsi="Times New Roman" w:cs="Times New Roman"/>
                <w:color w:val="auto"/>
                <w:sz w:val="21"/>
                <w:szCs w:val="21"/>
                <w:highlight w:val="none"/>
              </w:rPr>
            </w:pPr>
          </w:p>
        </w:tc>
        <w:tc>
          <w:tcPr>
            <w:tcW w:w="53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DC923CC">
            <w:pPr>
              <w:keepNext w:val="0"/>
              <w:keepLines w:val="0"/>
              <w:pageBreakBefore w:val="0"/>
              <w:widowControl/>
              <w:tabs>
                <w:tab w:val="left" w:pos="1021"/>
              </w:tabs>
              <w:kinsoku/>
              <w:wordWrap/>
              <w:overflowPunct/>
              <w:topLinePunct w:val="0"/>
              <w:autoSpaceDE/>
              <w:autoSpaceDN/>
              <w:bidi w:val="0"/>
              <w:adjustRightInd w:val="0"/>
              <w:snapToGrid/>
              <w:spacing w:line="240" w:lineRule="auto"/>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0"/>
                <w:sz w:val="21"/>
                <w:szCs w:val="21"/>
                <w:highlight w:val="none"/>
                <w:lang w:bidi="ar"/>
              </w:rPr>
              <w:t>检出率%</w:t>
            </w:r>
          </w:p>
        </w:tc>
        <w:tc>
          <w:tcPr>
            <w:tcW w:w="45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B98AFBD">
            <w:pPr>
              <w:keepNext w:val="0"/>
              <w:keepLines w:val="0"/>
              <w:pageBreakBefore w:val="0"/>
              <w:widowControl/>
              <w:tabs>
                <w:tab w:val="left" w:pos="1021"/>
              </w:tabs>
              <w:kinsoku/>
              <w:wordWrap/>
              <w:overflowPunct/>
              <w:topLinePunct w:val="0"/>
              <w:autoSpaceDE/>
              <w:autoSpaceDN/>
              <w:bidi w:val="0"/>
              <w:adjustRightInd w:val="0"/>
              <w:snapToGrid/>
              <w:spacing w:line="240" w:lineRule="auto"/>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100</w:t>
            </w:r>
          </w:p>
        </w:tc>
        <w:tc>
          <w:tcPr>
            <w:tcW w:w="45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4754ECA">
            <w:pPr>
              <w:keepNext w:val="0"/>
              <w:keepLines w:val="0"/>
              <w:pageBreakBefore w:val="0"/>
              <w:widowControl/>
              <w:tabs>
                <w:tab w:val="left" w:pos="1021"/>
              </w:tabs>
              <w:kinsoku/>
              <w:wordWrap/>
              <w:overflowPunct/>
              <w:topLinePunct w:val="0"/>
              <w:autoSpaceDE/>
              <w:autoSpaceDN/>
              <w:bidi w:val="0"/>
              <w:adjustRightInd w:val="0"/>
              <w:snapToGrid/>
              <w:spacing w:line="240" w:lineRule="auto"/>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100</w:t>
            </w:r>
          </w:p>
        </w:tc>
        <w:tc>
          <w:tcPr>
            <w:tcW w:w="43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2C3D6A4">
            <w:pPr>
              <w:keepNext w:val="0"/>
              <w:keepLines w:val="0"/>
              <w:pageBreakBefore w:val="0"/>
              <w:widowControl/>
              <w:tabs>
                <w:tab w:val="left" w:pos="1021"/>
              </w:tabs>
              <w:kinsoku/>
              <w:wordWrap/>
              <w:overflowPunct/>
              <w:topLinePunct w:val="0"/>
              <w:autoSpaceDE/>
              <w:autoSpaceDN/>
              <w:bidi w:val="0"/>
              <w:adjustRightInd w:val="0"/>
              <w:snapToGrid/>
              <w:spacing w:line="240" w:lineRule="auto"/>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100</w:t>
            </w:r>
          </w:p>
        </w:tc>
        <w:tc>
          <w:tcPr>
            <w:tcW w:w="43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D607E79">
            <w:pPr>
              <w:keepNext w:val="0"/>
              <w:keepLines w:val="0"/>
              <w:pageBreakBefore w:val="0"/>
              <w:widowControl/>
              <w:tabs>
                <w:tab w:val="left" w:pos="1021"/>
              </w:tabs>
              <w:kinsoku/>
              <w:wordWrap/>
              <w:overflowPunct/>
              <w:topLinePunct w:val="0"/>
              <w:autoSpaceDE/>
              <w:autoSpaceDN/>
              <w:bidi w:val="0"/>
              <w:adjustRightInd w:val="0"/>
              <w:snapToGrid/>
              <w:spacing w:line="240" w:lineRule="auto"/>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100</w:t>
            </w:r>
          </w:p>
        </w:tc>
        <w:tc>
          <w:tcPr>
            <w:tcW w:w="43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F53DC9C">
            <w:pPr>
              <w:keepNext w:val="0"/>
              <w:keepLines w:val="0"/>
              <w:pageBreakBefore w:val="0"/>
              <w:widowControl/>
              <w:tabs>
                <w:tab w:val="left" w:pos="1021"/>
              </w:tabs>
              <w:kinsoku/>
              <w:wordWrap/>
              <w:overflowPunct/>
              <w:topLinePunct w:val="0"/>
              <w:autoSpaceDE/>
              <w:autoSpaceDN/>
              <w:bidi w:val="0"/>
              <w:adjustRightInd w:val="0"/>
              <w:snapToGrid/>
              <w:spacing w:line="240" w:lineRule="auto"/>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100</w:t>
            </w:r>
          </w:p>
        </w:tc>
        <w:tc>
          <w:tcPr>
            <w:tcW w:w="46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8B6C1E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w:t>
            </w:r>
          </w:p>
        </w:tc>
        <w:tc>
          <w:tcPr>
            <w:tcW w:w="43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D470C16">
            <w:pPr>
              <w:keepNext w:val="0"/>
              <w:keepLines w:val="0"/>
              <w:pageBreakBefore w:val="0"/>
              <w:widowControl/>
              <w:tabs>
                <w:tab w:val="left" w:pos="1021"/>
              </w:tabs>
              <w:kinsoku/>
              <w:wordWrap/>
              <w:overflowPunct/>
              <w:topLinePunct w:val="0"/>
              <w:autoSpaceDE/>
              <w:autoSpaceDN/>
              <w:bidi w:val="0"/>
              <w:adjustRightInd w:val="0"/>
              <w:snapToGrid/>
              <w:spacing w:line="240" w:lineRule="auto"/>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100</w:t>
            </w:r>
          </w:p>
        </w:tc>
        <w:tc>
          <w:tcPr>
            <w:tcW w:w="43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4B015A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100</w:t>
            </w:r>
          </w:p>
        </w:tc>
        <w:tc>
          <w:tcPr>
            <w:tcW w:w="498" w:type="pct"/>
            <w:tcBorders>
              <w:top w:val="single" w:color="000000" w:sz="4" w:space="0"/>
              <w:left w:val="single" w:color="000000" w:sz="4" w:space="0"/>
              <w:bottom w:val="single" w:color="000000" w:sz="4" w:space="0"/>
            </w:tcBorders>
            <w:shd w:val="clear" w:color="auto" w:fill="auto"/>
            <w:noWrap w:val="0"/>
            <w:vAlign w:val="center"/>
          </w:tcPr>
          <w:p w14:paraId="6ACB74A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100</w:t>
            </w:r>
          </w:p>
        </w:tc>
      </w:tr>
      <w:tr w14:paraId="58458922">
        <w:tblPrEx>
          <w:tblBorders>
            <w:top w:val="single" w:color="auto" w:sz="12" w:space="0"/>
            <w:left w:val="single" w:color="auto" w:sz="12" w:space="0"/>
            <w:bottom w:val="single" w:color="auto" w:sz="12" w:space="0"/>
            <w:right w:val="single" w:color="auto" w:sz="12" w:space="0"/>
            <w:insideH w:val="none" w:color="auto" w:sz="4" w:space="0"/>
            <w:insideV w:val="none" w:color="auto" w:sz="4" w:space="0"/>
          </w:tblBorders>
          <w:shd w:val="clear" w:color="auto" w:fill="auto"/>
          <w:tblCellMar>
            <w:top w:w="0" w:type="dxa"/>
            <w:left w:w="108" w:type="dxa"/>
            <w:bottom w:w="0" w:type="dxa"/>
            <w:right w:w="108" w:type="dxa"/>
          </w:tblCellMar>
        </w:tblPrEx>
        <w:trPr>
          <w:trHeight w:val="0" w:hRule="atLeast"/>
        </w:trPr>
        <w:tc>
          <w:tcPr>
            <w:tcW w:w="425" w:type="pct"/>
            <w:vMerge w:val="continue"/>
            <w:tcBorders>
              <w:bottom w:val="single" w:color="000000" w:sz="4" w:space="0"/>
              <w:right w:val="single" w:color="000000" w:sz="4" w:space="0"/>
            </w:tcBorders>
            <w:shd w:val="clear" w:color="auto" w:fill="auto"/>
            <w:noWrap w:val="0"/>
            <w:vAlign w:val="center"/>
          </w:tcPr>
          <w:p w14:paraId="02F50D80">
            <w:pPr>
              <w:keepNext w:val="0"/>
              <w:keepLines w:val="0"/>
              <w:pageBreakBefore w:val="0"/>
              <w:tabs>
                <w:tab w:val="left" w:pos="1021"/>
              </w:tabs>
              <w:kinsoku/>
              <w:wordWrap/>
              <w:overflowPunct/>
              <w:topLinePunct w:val="0"/>
              <w:autoSpaceDE/>
              <w:autoSpaceDN/>
              <w:bidi w:val="0"/>
              <w:adjustRightInd w:val="0"/>
              <w:snapToGrid/>
              <w:spacing w:line="240" w:lineRule="auto"/>
              <w:ind w:firstLine="0" w:firstLineChars="0"/>
              <w:jc w:val="center"/>
              <w:rPr>
                <w:rFonts w:hint="default" w:ascii="Times New Roman" w:hAnsi="Times New Roman" w:cs="Times New Roman"/>
                <w:color w:val="auto"/>
                <w:sz w:val="21"/>
                <w:szCs w:val="21"/>
                <w:highlight w:val="none"/>
              </w:rPr>
            </w:pPr>
          </w:p>
        </w:tc>
        <w:tc>
          <w:tcPr>
            <w:tcW w:w="53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B6FC52E">
            <w:pPr>
              <w:keepNext w:val="0"/>
              <w:keepLines w:val="0"/>
              <w:pageBreakBefore w:val="0"/>
              <w:widowControl/>
              <w:tabs>
                <w:tab w:val="left" w:pos="1021"/>
              </w:tabs>
              <w:kinsoku/>
              <w:wordWrap/>
              <w:overflowPunct/>
              <w:topLinePunct w:val="0"/>
              <w:autoSpaceDE/>
              <w:autoSpaceDN/>
              <w:bidi w:val="0"/>
              <w:adjustRightInd w:val="0"/>
              <w:snapToGrid/>
              <w:spacing w:line="240" w:lineRule="auto"/>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0"/>
                <w:sz w:val="21"/>
                <w:szCs w:val="21"/>
                <w:highlight w:val="none"/>
                <w:lang w:bidi="ar"/>
              </w:rPr>
              <w:t>超标率%</w:t>
            </w:r>
          </w:p>
        </w:tc>
        <w:tc>
          <w:tcPr>
            <w:tcW w:w="45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5A707F5">
            <w:pPr>
              <w:keepNext w:val="0"/>
              <w:keepLines w:val="0"/>
              <w:pageBreakBefore w:val="0"/>
              <w:widowControl/>
              <w:tabs>
                <w:tab w:val="left" w:pos="1021"/>
              </w:tabs>
              <w:kinsoku/>
              <w:wordWrap/>
              <w:overflowPunct/>
              <w:topLinePunct w:val="0"/>
              <w:autoSpaceDE/>
              <w:autoSpaceDN/>
              <w:bidi w:val="0"/>
              <w:adjustRightInd w:val="0"/>
              <w:snapToGrid/>
              <w:spacing w:line="240" w:lineRule="auto"/>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0</w:t>
            </w:r>
          </w:p>
        </w:tc>
        <w:tc>
          <w:tcPr>
            <w:tcW w:w="45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02C454A">
            <w:pPr>
              <w:keepNext w:val="0"/>
              <w:keepLines w:val="0"/>
              <w:pageBreakBefore w:val="0"/>
              <w:widowControl/>
              <w:tabs>
                <w:tab w:val="left" w:pos="1021"/>
              </w:tabs>
              <w:kinsoku/>
              <w:wordWrap/>
              <w:overflowPunct/>
              <w:topLinePunct w:val="0"/>
              <w:autoSpaceDE/>
              <w:autoSpaceDN/>
              <w:bidi w:val="0"/>
              <w:adjustRightInd w:val="0"/>
              <w:snapToGrid/>
              <w:spacing w:line="240" w:lineRule="auto"/>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w:t>
            </w:r>
          </w:p>
        </w:tc>
        <w:tc>
          <w:tcPr>
            <w:tcW w:w="43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CD55E47">
            <w:pPr>
              <w:keepNext w:val="0"/>
              <w:keepLines w:val="0"/>
              <w:pageBreakBefore w:val="0"/>
              <w:widowControl/>
              <w:tabs>
                <w:tab w:val="left" w:pos="1021"/>
              </w:tabs>
              <w:kinsoku/>
              <w:wordWrap/>
              <w:overflowPunct/>
              <w:topLinePunct w:val="0"/>
              <w:autoSpaceDE/>
              <w:autoSpaceDN/>
              <w:bidi w:val="0"/>
              <w:adjustRightInd w:val="0"/>
              <w:snapToGrid/>
              <w:spacing w:line="240" w:lineRule="auto"/>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0</w:t>
            </w:r>
          </w:p>
        </w:tc>
        <w:tc>
          <w:tcPr>
            <w:tcW w:w="43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798CF55">
            <w:pPr>
              <w:keepNext w:val="0"/>
              <w:keepLines w:val="0"/>
              <w:pageBreakBefore w:val="0"/>
              <w:widowControl/>
              <w:tabs>
                <w:tab w:val="left" w:pos="1021"/>
              </w:tabs>
              <w:kinsoku/>
              <w:wordWrap/>
              <w:overflowPunct/>
              <w:topLinePunct w:val="0"/>
              <w:autoSpaceDE/>
              <w:autoSpaceDN/>
              <w:bidi w:val="0"/>
              <w:adjustRightInd w:val="0"/>
              <w:snapToGrid/>
              <w:spacing w:line="240" w:lineRule="auto"/>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w:t>
            </w:r>
          </w:p>
        </w:tc>
        <w:tc>
          <w:tcPr>
            <w:tcW w:w="43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8E12F62">
            <w:pPr>
              <w:keepNext w:val="0"/>
              <w:keepLines w:val="0"/>
              <w:pageBreakBefore w:val="0"/>
              <w:widowControl/>
              <w:tabs>
                <w:tab w:val="left" w:pos="1021"/>
              </w:tabs>
              <w:kinsoku/>
              <w:wordWrap/>
              <w:overflowPunct/>
              <w:topLinePunct w:val="0"/>
              <w:autoSpaceDE/>
              <w:autoSpaceDN/>
              <w:bidi w:val="0"/>
              <w:adjustRightInd w:val="0"/>
              <w:snapToGrid/>
              <w:spacing w:line="240" w:lineRule="auto"/>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w:t>
            </w:r>
          </w:p>
        </w:tc>
        <w:tc>
          <w:tcPr>
            <w:tcW w:w="46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2D63AE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w:t>
            </w:r>
          </w:p>
        </w:tc>
        <w:tc>
          <w:tcPr>
            <w:tcW w:w="43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44DE057">
            <w:pPr>
              <w:keepNext w:val="0"/>
              <w:keepLines w:val="0"/>
              <w:pageBreakBefore w:val="0"/>
              <w:widowControl/>
              <w:tabs>
                <w:tab w:val="left" w:pos="1021"/>
              </w:tabs>
              <w:kinsoku/>
              <w:wordWrap/>
              <w:overflowPunct/>
              <w:topLinePunct w:val="0"/>
              <w:autoSpaceDE/>
              <w:autoSpaceDN/>
              <w:bidi w:val="0"/>
              <w:adjustRightInd w:val="0"/>
              <w:snapToGrid/>
              <w:spacing w:line="240" w:lineRule="auto"/>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w:t>
            </w:r>
          </w:p>
        </w:tc>
        <w:tc>
          <w:tcPr>
            <w:tcW w:w="43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04AA27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0</w:t>
            </w:r>
          </w:p>
        </w:tc>
        <w:tc>
          <w:tcPr>
            <w:tcW w:w="498" w:type="pct"/>
            <w:tcBorders>
              <w:top w:val="single" w:color="000000" w:sz="4" w:space="0"/>
              <w:left w:val="single" w:color="000000" w:sz="4" w:space="0"/>
              <w:bottom w:val="single" w:color="000000" w:sz="4" w:space="0"/>
            </w:tcBorders>
            <w:shd w:val="clear" w:color="auto" w:fill="auto"/>
            <w:noWrap w:val="0"/>
            <w:vAlign w:val="center"/>
          </w:tcPr>
          <w:p w14:paraId="329DF96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0</w:t>
            </w:r>
          </w:p>
        </w:tc>
      </w:tr>
      <w:tr w14:paraId="6CC85FDB">
        <w:tblPrEx>
          <w:tblBorders>
            <w:top w:val="single" w:color="auto" w:sz="12" w:space="0"/>
            <w:left w:val="single" w:color="auto" w:sz="12" w:space="0"/>
            <w:bottom w:val="single" w:color="auto" w:sz="12" w:space="0"/>
            <w:right w:val="single" w:color="auto" w:sz="12" w:space="0"/>
            <w:insideH w:val="none" w:color="auto" w:sz="4" w:space="0"/>
            <w:insideV w:val="none" w:color="auto" w:sz="4" w:space="0"/>
          </w:tblBorders>
          <w:shd w:val="clear" w:color="auto" w:fill="auto"/>
          <w:tblCellMar>
            <w:top w:w="0" w:type="dxa"/>
            <w:left w:w="108" w:type="dxa"/>
            <w:bottom w:w="0" w:type="dxa"/>
            <w:right w:w="108" w:type="dxa"/>
          </w:tblCellMar>
        </w:tblPrEx>
        <w:trPr>
          <w:trHeight w:val="0" w:hRule="atLeast"/>
        </w:trPr>
        <w:tc>
          <w:tcPr>
            <w:tcW w:w="425" w:type="pct"/>
            <w:vMerge w:val="restart"/>
            <w:tcBorders>
              <w:top w:val="single" w:color="000000" w:sz="4" w:space="0"/>
              <w:right w:val="single" w:color="000000" w:sz="4" w:space="0"/>
            </w:tcBorders>
            <w:shd w:val="clear" w:color="auto" w:fill="auto"/>
            <w:noWrap w:val="0"/>
            <w:vAlign w:val="center"/>
          </w:tcPr>
          <w:p w14:paraId="174923EC">
            <w:pPr>
              <w:keepNext w:val="0"/>
              <w:keepLines w:val="0"/>
              <w:pageBreakBefore w:val="0"/>
              <w:tabs>
                <w:tab w:val="left" w:pos="1021"/>
              </w:tabs>
              <w:kinsoku/>
              <w:wordWrap/>
              <w:overflowPunct/>
              <w:topLinePunct w:val="0"/>
              <w:autoSpaceDE/>
              <w:autoSpaceDN/>
              <w:bidi w:val="0"/>
              <w:adjustRightInd w:val="0"/>
              <w:snapToGrid/>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D5</w:t>
            </w:r>
          </w:p>
        </w:tc>
        <w:tc>
          <w:tcPr>
            <w:tcW w:w="53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B36E9D8">
            <w:pPr>
              <w:keepNext w:val="0"/>
              <w:keepLines w:val="0"/>
              <w:pageBreakBefore w:val="0"/>
              <w:widowControl/>
              <w:tabs>
                <w:tab w:val="left" w:pos="1021"/>
              </w:tabs>
              <w:kinsoku/>
              <w:wordWrap/>
              <w:overflowPunct/>
              <w:topLinePunct w:val="0"/>
              <w:autoSpaceDE/>
              <w:autoSpaceDN/>
              <w:bidi w:val="0"/>
              <w:adjustRightInd w:val="0"/>
              <w:snapToGrid/>
              <w:spacing w:line="240" w:lineRule="auto"/>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0"/>
                <w:sz w:val="21"/>
                <w:szCs w:val="21"/>
                <w:highlight w:val="none"/>
                <w:lang w:bidi="ar"/>
              </w:rPr>
              <w:t>监测值</w:t>
            </w:r>
          </w:p>
        </w:tc>
        <w:tc>
          <w:tcPr>
            <w:tcW w:w="45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0C48C77">
            <w:pPr>
              <w:keepNext w:val="0"/>
              <w:keepLines w:val="0"/>
              <w:pageBreakBefore w:val="0"/>
              <w:widowControl/>
              <w:tabs>
                <w:tab w:val="left" w:pos="1021"/>
              </w:tabs>
              <w:kinsoku/>
              <w:wordWrap/>
              <w:overflowPunct/>
              <w:topLinePunct w:val="0"/>
              <w:autoSpaceDE/>
              <w:autoSpaceDN/>
              <w:bidi w:val="0"/>
              <w:adjustRightInd w:val="0"/>
              <w:snapToGrid/>
              <w:spacing w:line="240" w:lineRule="auto"/>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43</w:t>
            </w:r>
          </w:p>
        </w:tc>
        <w:tc>
          <w:tcPr>
            <w:tcW w:w="45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860496E">
            <w:pPr>
              <w:keepNext w:val="0"/>
              <w:keepLines w:val="0"/>
              <w:pageBreakBefore w:val="0"/>
              <w:widowControl/>
              <w:tabs>
                <w:tab w:val="left" w:pos="1021"/>
              </w:tabs>
              <w:kinsoku/>
              <w:wordWrap/>
              <w:overflowPunct/>
              <w:topLinePunct w:val="0"/>
              <w:autoSpaceDE/>
              <w:autoSpaceDN/>
              <w:bidi w:val="0"/>
              <w:adjustRightInd w:val="0"/>
              <w:snapToGrid/>
              <w:spacing w:line="240" w:lineRule="auto"/>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3.55</w:t>
            </w:r>
          </w:p>
        </w:tc>
        <w:tc>
          <w:tcPr>
            <w:tcW w:w="43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6FA13AE">
            <w:pPr>
              <w:keepNext w:val="0"/>
              <w:keepLines w:val="0"/>
              <w:pageBreakBefore w:val="0"/>
              <w:widowControl/>
              <w:tabs>
                <w:tab w:val="left" w:pos="1021"/>
              </w:tabs>
              <w:kinsoku/>
              <w:wordWrap/>
              <w:overflowPunct/>
              <w:topLinePunct w:val="0"/>
              <w:autoSpaceDE/>
              <w:autoSpaceDN/>
              <w:bidi w:val="0"/>
              <w:adjustRightInd w:val="0"/>
              <w:snapToGrid/>
              <w:spacing w:line="240" w:lineRule="auto"/>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5.24</w:t>
            </w:r>
          </w:p>
        </w:tc>
        <w:tc>
          <w:tcPr>
            <w:tcW w:w="43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37AB4DD">
            <w:pPr>
              <w:keepNext w:val="0"/>
              <w:keepLines w:val="0"/>
              <w:pageBreakBefore w:val="0"/>
              <w:widowControl/>
              <w:tabs>
                <w:tab w:val="left" w:pos="1021"/>
              </w:tabs>
              <w:kinsoku/>
              <w:wordWrap/>
              <w:overflowPunct/>
              <w:topLinePunct w:val="0"/>
              <w:autoSpaceDE/>
              <w:autoSpaceDN/>
              <w:bidi w:val="0"/>
              <w:adjustRightInd w:val="0"/>
              <w:snapToGrid/>
              <w:spacing w:line="240" w:lineRule="auto"/>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8.56</w:t>
            </w:r>
          </w:p>
        </w:tc>
        <w:tc>
          <w:tcPr>
            <w:tcW w:w="43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459CA8F">
            <w:pPr>
              <w:keepNext w:val="0"/>
              <w:keepLines w:val="0"/>
              <w:pageBreakBefore w:val="0"/>
              <w:widowControl/>
              <w:tabs>
                <w:tab w:val="left" w:pos="1021"/>
              </w:tabs>
              <w:kinsoku/>
              <w:wordWrap/>
              <w:overflowPunct/>
              <w:topLinePunct w:val="0"/>
              <w:autoSpaceDE/>
              <w:autoSpaceDN/>
              <w:bidi w:val="0"/>
              <w:adjustRightInd w:val="0"/>
              <w:snapToGrid/>
              <w:spacing w:line="240" w:lineRule="auto"/>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3.18</w:t>
            </w:r>
          </w:p>
        </w:tc>
        <w:tc>
          <w:tcPr>
            <w:tcW w:w="46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ED05CD4">
            <w:pPr>
              <w:keepNext w:val="0"/>
              <w:keepLines w:val="0"/>
              <w:pageBreakBefore w:val="0"/>
              <w:widowControl/>
              <w:tabs>
                <w:tab w:val="left" w:pos="1021"/>
              </w:tabs>
              <w:kinsoku/>
              <w:wordWrap/>
              <w:overflowPunct/>
              <w:topLinePunct w:val="0"/>
              <w:autoSpaceDE/>
              <w:autoSpaceDN/>
              <w:bidi w:val="0"/>
              <w:adjustRightInd w:val="0"/>
              <w:snapToGrid/>
              <w:spacing w:line="240" w:lineRule="auto"/>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ND</w:t>
            </w:r>
          </w:p>
        </w:tc>
        <w:tc>
          <w:tcPr>
            <w:tcW w:w="43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3FD596E">
            <w:pPr>
              <w:keepNext w:val="0"/>
              <w:keepLines w:val="0"/>
              <w:pageBreakBefore w:val="0"/>
              <w:widowControl/>
              <w:tabs>
                <w:tab w:val="left" w:pos="1021"/>
              </w:tabs>
              <w:kinsoku/>
              <w:wordWrap/>
              <w:overflowPunct/>
              <w:topLinePunct w:val="0"/>
              <w:autoSpaceDE/>
              <w:autoSpaceDN/>
              <w:bidi w:val="0"/>
              <w:adjustRightInd w:val="0"/>
              <w:snapToGrid/>
              <w:spacing w:line="240" w:lineRule="auto"/>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55</w:t>
            </w:r>
          </w:p>
        </w:tc>
        <w:tc>
          <w:tcPr>
            <w:tcW w:w="43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180669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2.46</w:t>
            </w:r>
          </w:p>
        </w:tc>
        <w:tc>
          <w:tcPr>
            <w:tcW w:w="498" w:type="pct"/>
            <w:tcBorders>
              <w:top w:val="single" w:color="000000" w:sz="4" w:space="0"/>
              <w:left w:val="single" w:color="000000" w:sz="4" w:space="0"/>
              <w:bottom w:val="single" w:color="000000" w:sz="4" w:space="0"/>
            </w:tcBorders>
            <w:shd w:val="clear" w:color="auto" w:fill="auto"/>
            <w:noWrap w:val="0"/>
            <w:vAlign w:val="center"/>
          </w:tcPr>
          <w:p w14:paraId="6DC06AE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3.49</w:t>
            </w:r>
          </w:p>
        </w:tc>
      </w:tr>
      <w:tr w14:paraId="0BF9D79C">
        <w:tblPrEx>
          <w:tblBorders>
            <w:top w:val="single" w:color="auto" w:sz="12" w:space="0"/>
            <w:left w:val="single" w:color="auto" w:sz="12" w:space="0"/>
            <w:bottom w:val="single" w:color="auto" w:sz="12" w:space="0"/>
            <w:right w:val="single" w:color="auto" w:sz="12" w:space="0"/>
            <w:insideH w:val="none" w:color="auto" w:sz="4" w:space="0"/>
            <w:insideV w:val="none" w:color="auto" w:sz="4" w:space="0"/>
          </w:tblBorders>
          <w:shd w:val="clear" w:color="auto" w:fill="auto"/>
          <w:tblCellMar>
            <w:top w:w="0" w:type="dxa"/>
            <w:left w:w="108" w:type="dxa"/>
            <w:bottom w:w="0" w:type="dxa"/>
            <w:right w:w="108" w:type="dxa"/>
          </w:tblCellMar>
        </w:tblPrEx>
        <w:trPr>
          <w:trHeight w:val="0" w:hRule="atLeast"/>
        </w:trPr>
        <w:tc>
          <w:tcPr>
            <w:tcW w:w="425" w:type="pct"/>
            <w:vMerge w:val="continue"/>
            <w:tcBorders>
              <w:right w:val="single" w:color="000000" w:sz="4" w:space="0"/>
            </w:tcBorders>
            <w:shd w:val="clear" w:color="auto" w:fill="auto"/>
            <w:noWrap w:val="0"/>
            <w:vAlign w:val="center"/>
          </w:tcPr>
          <w:p w14:paraId="505DBD41">
            <w:pPr>
              <w:keepNext w:val="0"/>
              <w:keepLines w:val="0"/>
              <w:pageBreakBefore w:val="0"/>
              <w:tabs>
                <w:tab w:val="left" w:pos="1021"/>
              </w:tabs>
              <w:kinsoku/>
              <w:wordWrap/>
              <w:overflowPunct/>
              <w:topLinePunct w:val="0"/>
              <w:autoSpaceDE/>
              <w:autoSpaceDN/>
              <w:bidi w:val="0"/>
              <w:adjustRightInd w:val="0"/>
              <w:snapToGrid/>
              <w:spacing w:line="240" w:lineRule="auto"/>
              <w:ind w:firstLine="0" w:firstLineChars="0"/>
              <w:jc w:val="center"/>
              <w:rPr>
                <w:rFonts w:hint="default" w:ascii="Times New Roman" w:hAnsi="Times New Roman" w:cs="Times New Roman"/>
                <w:color w:val="auto"/>
                <w:sz w:val="21"/>
                <w:szCs w:val="21"/>
                <w:highlight w:val="none"/>
              </w:rPr>
            </w:pPr>
          </w:p>
        </w:tc>
        <w:tc>
          <w:tcPr>
            <w:tcW w:w="53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0A0A110">
            <w:pPr>
              <w:keepNext w:val="0"/>
              <w:keepLines w:val="0"/>
              <w:pageBreakBefore w:val="0"/>
              <w:widowControl/>
              <w:tabs>
                <w:tab w:val="left" w:pos="1021"/>
              </w:tabs>
              <w:kinsoku/>
              <w:wordWrap/>
              <w:overflowPunct/>
              <w:topLinePunct w:val="0"/>
              <w:autoSpaceDE/>
              <w:autoSpaceDN/>
              <w:bidi w:val="0"/>
              <w:adjustRightInd w:val="0"/>
              <w:snapToGrid/>
              <w:spacing w:line="240" w:lineRule="auto"/>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0"/>
                <w:sz w:val="21"/>
                <w:szCs w:val="21"/>
                <w:highlight w:val="none"/>
                <w:lang w:bidi="ar"/>
              </w:rPr>
              <w:t>标准指数</w:t>
            </w:r>
          </w:p>
        </w:tc>
        <w:tc>
          <w:tcPr>
            <w:tcW w:w="45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0CB4E6A">
            <w:pPr>
              <w:keepNext w:val="0"/>
              <w:keepLines w:val="0"/>
              <w:pageBreakBefore w:val="0"/>
              <w:widowControl/>
              <w:tabs>
                <w:tab w:val="left" w:pos="1021"/>
              </w:tabs>
              <w:kinsoku/>
              <w:wordWrap/>
              <w:overflowPunct/>
              <w:topLinePunct w:val="0"/>
              <w:autoSpaceDE/>
              <w:autoSpaceDN/>
              <w:bidi w:val="0"/>
              <w:adjustRightInd w:val="0"/>
              <w:snapToGrid/>
              <w:spacing w:line="240" w:lineRule="auto"/>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0.43</w:t>
            </w:r>
          </w:p>
        </w:tc>
        <w:tc>
          <w:tcPr>
            <w:tcW w:w="45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CDB6A2C">
            <w:pPr>
              <w:keepNext w:val="0"/>
              <w:keepLines w:val="0"/>
              <w:pageBreakBefore w:val="0"/>
              <w:widowControl/>
              <w:tabs>
                <w:tab w:val="left" w:pos="1021"/>
              </w:tabs>
              <w:kinsoku/>
              <w:wordWrap/>
              <w:overflowPunct/>
              <w:topLinePunct w:val="0"/>
              <w:autoSpaceDE/>
              <w:autoSpaceDN/>
              <w:bidi w:val="0"/>
              <w:adjustRightInd w:val="0"/>
              <w:snapToGrid/>
              <w:spacing w:line="240" w:lineRule="auto"/>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w:t>
            </w:r>
          </w:p>
        </w:tc>
        <w:tc>
          <w:tcPr>
            <w:tcW w:w="43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A911B98">
            <w:pPr>
              <w:keepNext w:val="0"/>
              <w:keepLines w:val="0"/>
              <w:pageBreakBefore w:val="0"/>
              <w:widowControl/>
              <w:tabs>
                <w:tab w:val="left" w:pos="1021"/>
              </w:tabs>
              <w:kinsoku/>
              <w:wordWrap/>
              <w:overflowPunct/>
              <w:topLinePunct w:val="0"/>
              <w:autoSpaceDE/>
              <w:autoSpaceDN/>
              <w:bidi w:val="0"/>
              <w:adjustRightInd w:val="0"/>
              <w:snapToGrid/>
              <w:spacing w:line="240" w:lineRule="auto"/>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0.026</w:t>
            </w:r>
          </w:p>
        </w:tc>
        <w:tc>
          <w:tcPr>
            <w:tcW w:w="43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9693BAF">
            <w:pPr>
              <w:keepNext w:val="0"/>
              <w:keepLines w:val="0"/>
              <w:pageBreakBefore w:val="0"/>
              <w:widowControl/>
              <w:tabs>
                <w:tab w:val="left" w:pos="1021"/>
              </w:tabs>
              <w:kinsoku/>
              <w:wordWrap/>
              <w:overflowPunct/>
              <w:topLinePunct w:val="0"/>
              <w:autoSpaceDE/>
              <w:autoSpaceDN/>
              <w:bidi w:val="0"/>
              <w:adjustRightInd w:val="0"/>
              <w:snapToGrid/>
              <w:spacing w:line="240" w:lineRule="auto"/>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w:t>
            </w:r>
          </w:p>
        </w:tc>
        <w:tc>
          <w:tcPr>
            <w:tcW w:w="43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E97AE8A">
            <w:pPr>
              <w:keepNext w:val="0"/>
              <w:keepLines w:val="0"/>
              <w:pageBreakBefore w:val="0"/>
              <w:widowControl/>
              <w:tabs>
                <w:tab w:val="left" w:pos="1021"/>
              </w:tabs>
              <w:kinsoku/>
              <w:wordWrap/>
              <w:overflowPunct/>
              <w:topLinePunct w:val="0"/>
              <w:autoSpaceDE/>
              <w:autoSpaceDN/>
              <w:bidi w:val="0"/>
              <w:adjustRightInd w:val="0"/>
              <w:snapToGrid/>
              <w:spacing w:line="240" w:lineRule="auto"/>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w:t>
            </w:r>
          </w:p>
        </w:tc>
        <w:tc>
          <w:tcPr>
            <w:tcW w:w="46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F8D007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w:t>
            </w:r>
          </w:p>
        </w:tc>
        <w:tc>
          <w:tcPr>
            <w:tcW w:w="43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C8B8C84">
            <w:pPr>
              <w:keepNext w:val="0"/>
              <w:keepLines w:val="0"/>
              <w:pageBreakBefore w:val="0"/>
              <w:widowControl/>
              <w:tabs>
                <w:tab w:val="left" w:pos="1021"/>
              </w:tabs>
              <w:kinsoku/>
              <w:wordWrap/>
              <w:overflowPunct/>
              <w:topLinePunct w:val="0"/>
              <w:autoSpaceDE/>
              <w:autoSpaceDN/>
              <w:bidi w:val="0"/>
              <w:adjustRightInd w:val="0"/>
              <w:snapToGrid/>
              <w:spacing w:line="240" w:lineRule="auto"/>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w:t>
            </w:r>
          </w:p>
        </w:tc>
        <w:tc>
          <w:tcPr>
            <w:tcW w:w="43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4CB1BE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0.0098</w:t>
            </w:r>
          </w:p>
        </w:tc>
        <w:tc>
          <w:tcPr>
            <w:tcW w:w="498" w:type="pct"/>
            <w:tcBorders>
              <w:top w:val="single" w:color="000000" w:sz="4" w:space="0"/>
              <w:left w:val="single" w:color="000000" w:sz="4" w:space="0"/>
              <w:bottom w:val="single" w:color="000000" w:sz="4" w:space="0"/>
            </w:tcBorders>
            <w:shd w:val="clear" w:color="auto" w:fill="auto"/>
            <w:noWrap w:val="0"/>
            <w:vAlign w:val="center"/>
          </w:tcPr>
          <w:p w14:paraId="3988A13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0.014</w:t>
            </w:r>
          </w:p>
        </w:tc>
      </w:tr>
      <w:tr w14:paraId="6534F254">
        <w:tblPrEx>
          <w:tblBorders>
            <w:top w:val="single" w:color="auto" w:sz="12" w:space="0"/>
            <w:left w:val="single" w:color="auto" w:sz="12" w:space="0"/>
            <w:bottom w:val="single" w:color="auto" w:sz="12" w:space="0"/>
            <w:right w:val="single" w:color="auto" w:sz="12" w:space="0"/>
            <w:insideH w:val="none" w:color="auto" w:sz="4" w:space="0"/>
            <w:insideV w:val="none" w:color="auto" w:sz="4" w:space="0"/>
          </w:tblBorders>
          <w:shd w:val="clear" w:color="auto" w:fill="auto"/>
          <w:tblCellMar>
            <w:top w:w="0" w:type="dxa"/>
            <w:left w:w="108" w:type="dxa"/>
            <w:bottom w:w="0" w:type="dxa"/>
            <w:right w:w="108" w:type="dxa"/>
          </w:tblCellMar>
        </w:tblPrEx>
        <w:trPr>
          <w:trHeight w:val="0" w:hRule="atLeast"/>
        </w:trPr>
        <w:tc>
          <w:tcPr>
            <w:tcW w:w="425" w:type="pct"/>
            <w:vMerge w:val="continue"/>
            <w:tcBorders>
              <w:right w:val="single" w:color="000000" w:sz="4" w:space="0"/>
            </w:tcBorders>
            <w:shd w:val="clear" w:color="auto" w:fill="auto"/>
            <w:noWrap w:val="0"/>
            <w:vAlign w:val="center"/>
          </w:tcPr>
          <w:p w14:paraId="3150BA60">
            <w:pPr>
              <w:keepNext w:val="0"/>
              <w:keepLines w:val="0"/>
              <w:pageBreakBefore w:val="0"/>
              <w:tabs>
                <w:tab w:val="left" w:pos="1021"/>
              </w:tabs>
              <w:kinsoku/>
              <w:wordWrap/>
              <w:overflowPunct/>
              <w:topLinePunct w:val="0"/>
              <w:autoSpaceDE/>
              <w:autoSpaceDN/>
              <w:bidi w:val="0"/>
              <w:adjustRightInd w:val="0"/>
              <w:snapToGrid/>
              <w:spacing w:line="240" w:lineRule="auto"/>
              <w:ind w:firstLine="0" w:firstLineChars="0"/>
              <w:jc w:val="center"/>
              <w:rPr>
                <w:rFonts w:hint="default" w:ascii="Times New Roman" w:hAnsi="Times New Roman" w:cs="Times New Roman"/>
                <w:color w:val="auto"/>
                <w:sz w:val="21"/>
                <w:szCs w:val="21"/>
                <w:highlight w:val="none"/>
              </w:rPr>
            </w:pPr>
          </w:p>
        </w:tc>
        <w:tc>
          <w:tcPr>
            <w:tcW w:w="53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928A1D0">
            <w:pPr>
              <w:keepNext w:val="0"/>
              <w:keepLines w:val="0"/>
              <w:pageBreakBefore w:val="0"/>
              <w:widowControl/>
              <w:tabs>
                <w:tab w:val="left" w:pos="1021"/>
              </w:tabs>
              <w:kinsoku/>
              <w:wordWrap/>
              <w:overflowPunct/>
              <w:topLinePunct w:val="0"/>
              <w:autoSpaceDE/>
              <w:autoSpaceDN/>
              <w:bidi w:val="0"/>
              <w:adjustRightInd w:val="0"/>
              <w:snapToGrid/>
              <w:spacing w:line="240" w:lineRule="auto"/>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0"/>
                <w:sz w:val="21"/>
                <w:szCs w:val="21"/>
                <w:highlight w:val="none"/>
                <w:lang w:bidi="ar"/>
              </w:rPr>
              <w:t>检出率%</w:t>
            </w:r>
          </w:p>
        </w:tc>
        <w:tc>
          <w:tcPr>
            <w:tcW w:w="45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BCB8AC6">
            <w:pPr>
              <w:keepNext w:val="0"/>
              <w:keepLines w:val="0"/>
              <w:pageBreakBefore w:val="0"/>
              <w:widowControl/>
              <w:tabs>
                <w:tab w:val="left" w:pos="1021"/>
              </w:tabs>
              <w:kinsoku/>
              <w:wordWrap/>
              <w:overflowPunct/>
              <w:topLinePunct w:val="0"/>
              <w:autoSpaceDE/>
              <w:autoSpaceDN/>
              <w:bidi w:val="0"/>
              <w:adjustRightInd w:val="0"/>
              <w:snapToGrid/>
              <w:spacing w:line="240" w:lineRule="auto"/>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100</w:t>
            </w:r>
          </w:p>
        </w:tc>
        <w:tc>
          <w:tcPr>
            <w:tcW w:w="45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2C2DF49">
            <w:pPr>
              <w:keepNext w:val="0"/>
              <w:keepLines w:val="0"/>
              <w:pageBreakBefore w:val="0"/>
              <w:widowControl/>
              <w:tabs>
                <w:tab w:val="left" w:pos="1021"/>
              </w:tabs>
              <w:kinsoku/>
              <w:wordWrap/>
              <w:overflowPunct/>
              <w:topLinePunct w:val="0"/>
              <w:autoSpaceDE/>
              <w:autoSpaceDN/>
              <w:bidi w:val="0"/>
              <w:adjustRightInd w:val="0"/>
              <w:snapToGrid/>
              <w:spacing w:line="240" w:lineRule="auto"/>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100</w:t>
            </w:r>
          </w:p>
        </w:tc>
        <w:tc>
          <w:tcPr>
            <w:tcW w:w="43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912FBF6">
            <w:pPr>
              <w:keepNext w:val="0"/>
              <w:keepLines w:val="0"/>
              <w:pageBreakBefore w:val="0"/>
              <w:widowControl/>
              <w:tabs>
                <w:tab w:val="left" w:pos="1021"/>
              </w:tabs>
              <w:kinsoku/>
              <w:wordWrap/>
              <w:overflowPunct/>
              <w:topLinePunct w:val="0"/>
              <w:autoSpaceDE/>
              <w:autoSpaceDN/>
              <w:bidi w:val="0"/>
              <w:adjustRightInd w:val="0"/>
              <w:snapToGrid/>
              <w:spacing w:line="240" w:lineRule="auto"/>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100</w:t>
            </w:r>
          </w:p>
        </w:tc>
        <w:tc>
          <w:tcPr>
            <w:tcW w:w="43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152B564">
            <w:pPr>
              <w:keepNext w:val="0"/>
              <w:keepLines w:val="0"/>
              <w:pageBreakBefore w:val="0"/>
              <w:widowControl/>
              <w:tabs>
                <w:tab w:val="left" w:pos="1021"/>
              </w:tabs>
              <w:kinsoku/>
              <w:wordWrap/>
              <w:overflowPunct/>
              <w:topLinePunct w:val="0"/>
              <w:autoSpaceDE/>
              <w:autoSpaceDN/>
              <w:bidi w:val="0"/>
              <w:adjustRightInd w:val="0"/>
              <w:snapToGrid/>
              <w:spacing w:line="240" w:lineRule="auto"/>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100</w:t>
            </w:r>
          </w:p>
        </w:tc>
        <w:tc>
          <w:tcPr>
            <w:tcW w:w="43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454E369">
            <w:pPr>
              <w:keepNext w:val="0"/>
              <w:keepLines w:val="0"/>
              <w:pageBreakBefore w:val="0"/>
              <w:widowControl/>
              <w:tabs>
                <w:tab w:val="left" w:pos="1021"/>
              </w:tabs>
              <w:kinsoku/>
              <w:wordWrap/>
              <w:overflowPunct/>
              <w:topLinePunct w:val="0"/>
              <w:autoSpaceDE/>
              <w:autoSpaceDN/>
              <w:bidi w:val="0"/>
              <w:adjustRightInd w:val="0"/>
              <w:snapToGrid/>
              <w:spacing w:line="240" w:lineRule="auto"/>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100</w:t>
            </w:r>
          </w:p>
        </w:tc>
        <w:tc>
          <w:tcPr>
            <w:tcW w:w="46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FC3AF6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w:t>
            </w:r>
          </w:p>
        </w:tc>
        <w:tc>
          <w:tcPr>
            <w:tcW w:w="43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CBFCFA0">
            <w:pPr>
              <w:keepNext w:val="0"/>
              <w:keepLines w:val="0"/>
              <w:pageBreakBefore w:val="0"/>
              <w:widowControl/>
              <w:tabs>
                <w:tab w:val="left" w:pos="1021"/>
              </w:tabs>
              <w:kinsoku/>
              <w:wordWrap/>
              <w:overflowPunct/>
              <w:topLinePunct w:val="0"/>
              <w:autoSpaceDE/>
              <w:autoSpaceDN/>
              <w:bidi w:val="0"/>
              <w:adjustRightInd w:val="0"/>
              <w:snapToGrid/>
              <w:spacing w:line="240" w:lineRule="auto"/>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100</w:t>
            </w:r>
          </w:p>
        </w:tc>
        <w:tc>
          <w:tcPr>
            <w:tcW w:w="43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5DBC6C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100</w:t>
            </w:r>
          </w:p>
        </w:tc>
        <w:tc>
          <w:tcPr>
            <w:tcW w:w="498" w:type="pct"/>
            <w:tcBorders>
              <w:top w:val="single" w:color="000000" w:sz="4" w:space="0"/>
              <w:left w:val="single" w:color="000000" w:sz="4" w:space="0"/>
              <w:bottom w:val="single" w:color="000000" w:sz="4" w:space="0"/>
            </w:tcBorders>
            <w:shd w:val="clear" w:color="auto" w:fill="auto"/>
            <w:noWrap w:val="0"/>
            <w:vAlign w:val="center"/>
          </w:tcPr>
          <w:p w14:paraId="0C4D567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100</w:t>
            </w:r>
          </w:p>
        </w:tc>
      </w:tr>
      <w:tr w14:paraId="68C0441C">
        <w:tblPrEx>
          <w:tblBorders>
            <w:top w:val="single" w:color="auto" w:sz="12" w:space="0"/>
            <w:left w:val="single" w:color="auto" w:sz="12" w:space="0"/>
            <w:bottom w:val="single" w:color="auto" w:sz="12" w:space="0"/>
            <w:right w:val="single" w:color="auto" w:sz="12" w:space="0"/>
            <w:insideH w:val="none" w:color="auto" w:sz="4" w:space="0"/>
            <w:insideV w:val="none" w:color="auto" w:sz="4" w:space="0"/>
          </w:tblBorders>
          <w:shd w:val="clear" w:color="auto" w:fill="auto"/>
          <w:tblCellMar>
            <w:top w:w="0" w:type="dxa"/>
            <w:left w:w="108" w:type="dxa"/>
            <w:bottom w:w="0" w:type="dxa"/>
            <w:right w:w="108" w:type="dxa"/>
          </w:tblCellMar>
        </w:tblPrEx>
        <w:trPr>
          <w:trHeight w:val="0" w:hRule="atLeast"/>
        </w:trPr>
        <w:tc>
          <w:tcPr>
            <w:tcW w:w="425" w:type="pct"/>
            <w:vMerge w:val="continue"/>
            <w:tcBorders>
              <w:bottom w:val="single" w:color="000000" w:sz="4" w:space="0"/>
              <w:right w:val="single" w:color="000000" w:sz="4" w:space="0"/>
            </w:tcBorders>
            <w:shd w:val="clear" w:color="auto" w:fill="auto"/>
            <w:noWrap w:val="0"/>
            <w:vAlign w:val="center"/>
          </w:tcPr>
          <w:p w14:paraId="106A681F">
            <w:pPr>
              <w:keepNext w:val="0"/>
              <w:keepLines w:val="0"/>
              <w:pageBreakBefore w:val="0"/>
              <w:tabs>
                <w:tab w:val="left" w:pos="1021"/>
              </w:tabs>
              <w:kinsoku/>
              <w:wordWrap/>
              <w:overflowPunct/>
              <w:topLinePunct w:val="0"/>
              <w:autoSpaceDE/>
              <w:autoSpaceDN/>
              <w:bidi w:val="0"/>
              <w:adjustRightInd w:val="0"/>
              <w:snapToGrid/>
              <w:spacing w:line="240" w:lineRule="auto"/>
              <w:ind w:firstLine="0" w:firstLineChars="0"/>
              <w:jc w:val="center"/>
              <w:rPr>
                <w:rFonts w:hint="default" w:ascii="Times New Roman" w:hAnsi="Times New Roman" w:cs="Times New Roman"/>
                <w:color w:val="auto"/>
                <w:sz w:val="21"/>
                <w:szCs w:val="21"/>
                <w:highlight w:val="none"/>
              </w:rPr>
            </w:pPr>
          </w:p>
        </w:tc>
        <w:tc>
          <w:tcPr>
            <w:tcW w:w="53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6C13B08">
            <w:pPr>
              <w:keepNext w:val="0"/>
              <w:keepLines w:val="0"/>
              <w:pageBreakBefore w:val="0"/>
              <w:widowControl/>
              <w:tabs>
                <w:tab w:val="left" w:pos="1021"/>
              </w:tabs>
              <w:kinsoku/>
              <w:wordWrap/>
              <w:overflowPunct/>
              <w:topLinePunct w:val="0"/>
              <w:autoSpaceDE/>
              <w:autoSpaceDN/>
              <w:bidi w:val="0"/>
              <w:adjustRightInd w:val="0"/>
              <w:snapToGrid/>
              <w:spacing w:line="240" w:lineRule="auto"/>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0"/>
                <w:sz w:val="21"/>
                <w:szCs w:val="21"/>
                <w:highlight w:val="none"/>
                <w:lang w:bidi="ar"/>
              </w:rPr>
              <w:t>超标率%</w:t>
            </w:r>
          </w:p>
        </w:tc>
        <w:tc>
          <w:tcPr>
            <w:tcW w:w="45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5C2D296">
            <w:pPr>
              <w:keepNext w:val="0"/>
              <w:keepLines w:val="0"/>
              <w:pageBreakBefore w:val="0"/>
              <w:widowControl/>
              <w:tabs>
                <w:tab w:val="left" w:pos="1021"/>
              </w:tabs>
              <w:kinsoku/>
              <w:wordWrap/>
              <w:overflowPunct/>
              <w:topLinePunct w:val="0"/>
              <w:autoSpaceDE/>
              <w:autoSpaceDN/>
              <w:bidi w:val="0"/>
              <w:adjustRightInd w:val="0"/>
              <w:snapToGrid/>
              <w:spacing w:line="240" w:lineRule="auto"/>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0</w:t>
            </w:r>
          </w:p>
        </w:tc>
        <w:tc>
          <w:tcPr>
            <w:tcW w:w="45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9299309">
            <w:pPr>
              <w:keepNext w:val="0"/>
              <w:keepLines w:val="0"/>
              <w:pageBreakBefore w:val="0"/>
              <w:widowControl/>
              <w:tabs>
                <w:tab w:val="left" w:pos="1021"/>
              </w:tabs>
              <w:kinsoku/>
              <w:wordWrap/>
              <w:overflowPunct/>
              <w:topLinePunct w:val="0"/>
              <w:autoSpaceDE/>
              <w:autoSpaceDN/>
              <w:bidi w:val="0"/>
              <w:adjustRightInd w:val="0"/>
              <w:snapToGrid/>
              <w:spacing w:line="240" w:lineRule="auto"/>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w:t>
            </w:r>
          </w:p>
        </w:tc>
        <w:tc>
          <w:tcPr>
            <w:tcW w:w="43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F6FCFE0">
            <w:pPr>
              <w:keepNext w:val="0"/>
              <w:keepLines w:val="0"/>
              <w:pageBreakBefore w:val="0"/>
              <w:widowControl/>
              <w:tabs>
                <w:tab w:val="left" w:pos="1021"/>
              </w:tabs>
              <w:kinsoku/>
              <w:wordWrap/>
              <w:overflowPunct/>
              <w:topLinePunct w:val="0"/>
              <w:autoSpaceDE/>
              <w:autoSpaceDN/>
              <w:bidi w:val="0"/>
              <w:adjustRightInd w:val="0"/>
              <w:snapToGrid/>
              <w:spacing w:line="240" w:lineRule="auto"/>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0</w:t>
            </w:r>
          </w:p>
        </w:tc>
        <w:tc>
          <w:tcPr>
            <w:tcW w:w="43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9C4D1B0">
            <w:pPr>
              <w:keepNext w:val="0"/>
              <w:keepLines w:val="0"/>
              <w:pageBreakBefore w:val="0"/>
              <w:widowControl/>
              <w:tabs>
                <w:tab w:val="left" w:pos="1021"/>
              </w:tabs>
              <w:kinsoku/>
              <w:wordWrap/>
              <w:overflowPunct/>
              <w:topLinePunct w:val="0"/>
              <w:autoSpaceDE/>
              <w:autoSpaceDN/>
              <w:bidi w:val="0"/>
              <w:adjustRightInd w:val="0"/>
              <w:snapToGrid/>
              <w:spacing w:line="240" w:lineRule="auto"/>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w:t>
            </w:r>
          </w:p>
        </w:tc>
        <w:tc>
          <w:tcPr>
            <w:tcW w:w="43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FF3698A">
            <w:pPr>
              <w:keepNext w:val="0"/>
              <w:keepLines w:val="0"/>
              <w:pageBreakBefore w:val="0"/>
              <w:widowControl/>
              <w:tabs>
                <w:tab w:val="left" w:pos="1021"/>
              </w:tabs>
              <w:kinsoku/>
              <w:wordWrap/>
              <w:overflowPunct/>
              <w:topLinePunct w:val="0"/>
              <w:autoSpaceDE/>
              <w:autoSpaceDN/>
              <w:bidi w:val="0"/>
              <w:adjustRightInd w:val="0"/>
              <w:snapToGrid/>
              <w:spacing w:line="240" w:lineRule="auto"/>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w:t>
            </w:r>
          </w:p>
        </w:tc>
        <w:tc>
          <w:tcPr>
            <w:tcW w:w="46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6C688E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w:t>
            </w:r>
          </w:p>
        </w:tc>
        <w:tc>
          <w:tcPr>
            <w:tcW w:w="43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6EF3BE3">
            <w:pPr>
              <w:keepNext w:val="0"/>
              <w:keepLines w:val="0"/>
              <w:pageBreakBefore w:val="0"/>
              <w:widowControl/>
              <w:tabs>
                <w:tab w:val="left" w:pos="1021"/>
              </w:tabs>
              <w:kinsoku/>
              <w:wordWrap/>
              <w:overflowPunct/>
              <w:topLinePunct w:val="0"/>
              <w:autoSpaceDE/>
              <w:autoSpaceDN/>
              <w:bidi w:val="0"/>
              <w:adjustRightInd w:val="0"/>
              <w:snapToGrid/>
              <w:spacing w:line="240" w:lineRule="auto"/>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w:t>
            </w:r>
          </w:p>
        </w:tc>
        <w:tc>
          <w:tcPr>
            <w:tcW w:w="43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FFD1A8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0</w:t>
            </w:r>
          </w:p>
        </w:tc>
        <w:tc>
          <w:tcPr>
            <w:tcW w:w="498" w:type="pct"/>
            <w:tcBorders>
              <w:top w:val="single" w:color="000000" w:sz="4" w:space="0"/>
              <w:left w:val="single" w:color="000000" w:sz="4" w:space="0"/>
              <w:bottom w:val="single" w:color="000000" w:sz="4" w:space="0"/>
            </w:tcBorders>
            <w:shd w:val="clear" w:color="auto" w:fill="auto"/>
            <w:noWrap w:val="0"/>
            <w:vAlign w:val="center"/>
          </w:tcPr>
          <w:p w14:paraId="10AD0D7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0</w:t>
            </w:r>
          </w:p>
        </w:tc>
      </w:tr>
      <w:tr w14:paraId="036E389B">
        <w:tblPrEx>
          <w:tblBorders>
            <w:top w:val="single" w:color="auto" w:sz="12" w:space="0"/>
            <w:left w:val="single" w:color="auto" w:sz="12" w:space="0"/>
            <w:bottom w:val="single" w:color="auto" w:sz="12" w:space="0"/>
            <w:right w:val="single" w:color="auto" w:sz="12" w:space="0"/>
            <w:insideH w:val="none" w:color="auto" w:sz="4" w:space="0"/>
            <w:insideV w:val="none" w:color="auto" w:sz="4" w:space="0"/>
          </w:tblBorders>
          <w:shd w:val="clear" w:color="auto" w:fill="auto"/>
          <w:tblCellMar>
            <w:top w:w="0" w:type="dxa"/>
            <w:left w:w="108" w:type="dxa"/>
            <w:bottom w:w="0" w:type="dxa"/>
            <w:right w:w="108" w:type="dxa"/>
          </w:tblCellMar>
        </w:tblPrEx>
        <w:trPr>
          <w:trHeight w:val="0" w:hRule="atLeast"/>
        </w:trPr>
        <w:tc>
          <w:tcPr>
            <w:tcW w:w="960" w:type="pct"/>
            <w:gridSpan w:val="2"/>
            <w:tcBorders>
              <w:top w:val="single" w:color="000000" w:sz="4" w:space="0"/>
              <w:bottom w:val="single" w:color="000000" w:sz="4" w:space="0"/>
              <w:right w:val="single" w:color="000000" w:sz="4" w:space="0"/>
            </w:tcBorders>
            <w:shd w:val="clear" w:color="auto" w:fill="auto"/>
            <w:noWrap w:val="0"/>
            <w:vAlign w:val="center"/>
          </w:tcPr>
          <w:p w14:paraId="0C1AFCB1">
            <w:pPr>
              <w:keepNext w:val="0"/>
              <w:keepLines w:val="0"/>
              <w:pageBreakBefore w:val="0"/>
              <w:widowControl/>
              <w:tabs>
                <w:tab w:val="left" w:pos="1021"/>
              </w:tabs>
              <w:kinsoku/>
              <w:wordWrap/>
              <w:overflowPunct/>
              <w:topLinePunct w:val="0"/>
              <w:autoSpaceDE/>
              <w:autoSpaceDN/>
              <w:bidi w:val="0"/>
              <w:adjustRightInd w:val="0"/>
              <w:snapToGrid/>
              <w:spacing w:line="240" w:lineRule="auto"/>
              <w:ind w:firstLine="0" w:firstLineChars="0"/>
              <w:jc w:val="center"/>
              <w:textAlignment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kern w:val="0"/>
                <w:sz w:val="21"/>
                <w:szCs w:val="21"/>
                <w:highlight w:val="none"/>
                <w:lang w:bidi="ar"/>
              </w:rPr>
              <w:t>评价标准</w:t>
            </w:r>
          </w:p>
        </w:tc>
        <w:tc>
          <w:tcPr>
            <w:tcW w:w="45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903D42C">
            <w:pPr>
              <w:keepNext w:val="0"/>
              <w:keepLines w:val="0"/>
              <w:pageBreakBefore w:val="0"/>
              <w:widowControl/>
              <w:tabs>
                <w:tab w:val="left" w:pos="1021"/>
              </w:tabs>
              <w:kinsoku/>
              <w:wordWrap/>
              <w:overflowPunct/>
              <w:topLinePunct w:val="0"/>
              <w:autoSpaceDE/>
              <w:autoSpaceDN/>
              <w:bidi w:val="0"/>
              <w:adjustRightInd w:val="0"/>
              <w:snapToGrid/>
              <w:spacing w:line="240" w:lineRule="auto"/>
              <w:ind w:firstLine="0" w:firstLineChars="0"/>
              <w:jc w:val="center"/>
              <w:textAlignment w:val="center"/>
              <w:rPr>
                <w:rFonts w:hint="default" w:ascii="Times New Roman" w:hAnsi="Times New Roman" w:eastAsia="宋体" w:cs="Times New Roman"/>
                <w:b/>
                <w:bCs/>
                <w:color w:val="auto"/>
                <w:kern w:val="0"/>
                <w:sz w:val="21"/>
                <w:szCs w:val="21"/>
                <w:highlight w:val="none"/>
                <w:lang w:val="en-US" w:eastAsia="zh-CN" w:bidi="ar"/>
              </w:rPr>
            </w:pPr>
            <w:r>
              <w:rPr>
                <w:rFonts w:hint="eastAsia" w:ascii="Times New Roman" w:hAnsi="Times New Roman" w:cs="Times New Roman"/>
                <w:b/>
                <w:bCs/>
                <w:color w:val="auto"/>
                <w:kern w:val="0"/>
                <w:sz w:val="21"/>
                <w:szCs w:val="21"/>
                <w:highlight w:val="none"/>
                <w:lang w:val="en-US" w:eastAsia="zh-CN" w:bidi="ar"/>
              </w:rPr>
              <w:t>100</w:t>
            </w:r>
          </w:p>
        </w:tc>
        <w:tc>
          <w:tcPr>
            <w:tcW w:w="45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C419FE2">
            <w:pPr>
              <w:keepNext w:val="0"/>
              <w:keepLines w:val="0"/>
              <w:pageBreakBefore w:val="0"/>
              <w:widowControl/>
              <w:tabs>
                <w:tab w:val="left" w:pos="1021"/>
              </w:tabs>
              <w:kinsoku/>
              <w:wordWrap/>
              <w:overflowPunct/>
              <w:topLinePunct w:val="0"/>
              <w:autoSpaceDE/>
              <w:autoSpaceDN/>
              <w:bidi w:val="0"/>
              <w:adjustRightInd w:val="0"/>
              <w:snapToGrid/>
              <w:spacing w:line="240" w:lineRule="auto"/>
              <w:ind w:firstLine="0" w:firstLineChars="0"/>
              <w:jc w:val="center"/>
              <w:textAlignment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kern w:val="0"/>
                <w:sz w:val="21"/>
                <w:szCs w:val="21"/>
                <w:highlight w:val="none"/>
                <w:lang w:bidi="ar"/>
              </w:rPr>
              <w:t>/</w:t>
            </w:r>
          </w:p>
        </w:tc>
        <w:tc>
          <w:tcPr>
            <w:tcW w:w="43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83BA9A3">
            <w:pPr>
              <w:keepNext w:val="0"/>
              <w:keepLines w:val="0"/>
              <w:pageBreakBefore w:val="0"/>
              <w:widowControl/>
              <w:tabs>
                <w:tab w:val="left" w:pos="1021"/>
              </w:tabs>
              <w:kinsoku/>
              <w:wordWrap/>
              <w:overflowPunct/>
              <w:topLinePunct w:val="0"/>
              <w:autoSpaceDE/>
              <w:autoSpaceDN/>
              <w:bidi w:val="0"/>
              <w:adjustRightInd w:val="0"/>
              <w:snapToGrid/>
              <w:spacing w:line="240" w:lineRule="auto"/>
              <w:ind w:firstLine="0" w:firstLineChars="0"/>
              <w:jc w:val="center"/>
              <w:textAlignment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kern w:val="0"/>
                <w:sz w:val="21"/>
                <w:szCs w:val="21"/>
                <w:highlight w:val="none"/>
                <w:lang w:bidi="ar"/>
              </w:rPr>
              <w:t>200</w:t>
            </w:r>
          </w:p>
        </w:tc>
        <w:tc>
          <w:tcPr>
            <w:tcW w:w="43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193441A">
            <w:pPr>
              <w:keepNext w:val="0"/>
              <w:keepLines w:val="0"/>
              <w:pageBreakBefore w:val="0"/>
              <w:widowControl/>
              <w:tabs>
                <w:tab w:val="left" w:pos="1021"/>
              </w:tabs>
              <w:kinsoku/>
              <w:wordWrap/>
              <w:overflowPunct/>
              <w:topLinePunct w:val="0"/>
              <w:autoSpaceDE/>
              <w:autoSpaceDN/>
              <w:bidi w:val="0"/>
              <w:adjustRightInd w:val="0"/>
              <w:snapToGrid/>
              <w:spacing w:line="240" w:lineRule="auto"/>
              <w:ind w:firstLine="0" w:firstLineChars="0"/>
              <w:jc w:val="center"/>
              <w:textAlignment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kern w:val="0"/>
                <w:sz w:val="21"/>
                <w:szCs w:val="21"/>
                <w:highlight w:val="none"/>
                <w:lang w:bidi="ar"/>
              </w:rPr>
              <w:t>/</w:t>
            </w:r>
          </w:p>
        </w:tc>
        <w:tc>
          <w:tcPr>
            <w:tcW w:w="43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72223BC">
            <w:pPr>
              <w:keepNext w:val="0"/>
              <w:keepLines w:val="0"/>
              <w:pageBreakBefore w:val="0"/>
              <w:widowControl/>
              <w:tabs>
                <w:tab w:val="left" w:pos="1021"/>
              </w:tabs>
              <w:kinsoku/>
              <w:wordWrap/>
              <w:overflowPunct/>
              <w:topLinePunct w:val="0"/>
              <w:autoSpaceDE/>
              <w:autoSpaceDN/>
              <w:bidi w:val="0"/>
              <w:adjustRightInd w:val="0"/>
              <w:snapToGrid/>
              <w:spacing w:line="240" w:lineRule="auto"/>
              <w:ind w:firstLine="0" w:firstLineChars="0"/>
              <w:jc w:val="center"/>
              <w:textAlignment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kern w:val="0"/>
                <w:sz w:val="21"/>
                <w:szCs w:val="21"/>
                <w:highlight w:val="none"/>
                <w:lang w:bidi="ar"/>
              </w:rPr>
              <w:t>/</w:t>
            </w:r>
          </w:p>
        </w:tc>
        <w:tc>
          <w:tcPr>
            <w:tcW w:w="46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9C30002">
            <w:pPr>
              <w:keepNext w:val="0"/>
              <w:keepLines w:val="0"/>
              <w:pageBreakBefore w:val="0"/>
              <w:widowControl/>
              <w:tabs>
                <w:tab w:val="left" w:pos="1021"/>
              </w:tabs>
              <w:kinsoku/>
              <w:wordWrap/>
              <w:overflowPunct/>
              <w:topLinePunct w:val="0"/>
              <w:autoSpaceDE/>
              <w:autoSpaceDN/>
              <w:bidi w:val="0"/>
              <w:adjustRightInd w:val="0"/>
              <w:snapToGrid/>
              <w:spacing w:line="240" w:lineRule="auto"/>
              <w:ind w:firstLine="0" w:firstLineChars="0"/>
              <w:jc w:val="center"/>
              <w:textAlignment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kern w:val="0"/>
                <w:sz w:val="21"/>
                <w:szCs w:val="21"/>
                <w:highlight w:val="none"/>
                <w:lang w:bidi="ar"/>
              </w:rPr>
              <w:t>/</w:t>
            </w:r>
          </w:p>
        </w:tc>
        <w:tc>
          <w:tcPr>
            <w:tcW w:w="43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C1F5598">
            <w:pPr>
              <w:keepNext w:val="0"/>
              <w:keepLines w:val="0"/>
              <w:pageBreakBefore w:val="0"/>
              <w:widowControl/>
              <w:tabs>
                <w:tab w:val="left" w:pos="1021"/>
              </w:tabs>
              <w:kinsoku/>
              <w:wordWrap/>
              <w:overflowPunct/>
              <w:topLinePunct w:val="0"/>
              <w:autoSpaceDE/>
              <w:autoSpaceDN/>
              <w:bidi w:val="0"/>
              <w:adjustRightInd w:val="0"/>
              <w:snapToGrid/>
              <w:spacing w:line="240" w:lineRule="auto"/>
              <w:ind w:firstLine="0" w:firstLineChars="0"/>
              <w:jc w:val="center"/>
              <w:textAlignment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kern w:val="0"/>
                <w:sz w:val="21"/>
                <w:szCs w:val="21"/>
                <w:highlight w:val="none"/>
                <w:lang w:bidi="ar"/>
              </w:rPr>
              <w:t>/</w:t>
            </w:r>
          </w:p>
        </w:tc>
        <w:tc>
          <w:tcPr>
            <w:tcW w:w="43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B03611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bCs/>
                <w:color w:val="auto"/>
                <w:sz w:val="21"/>
                <w:szCs w:val="21"/>
                <w:highlight w:val="none"/>
              </w:rPr>
            </w:pPr>
            <w:r>
              <w:rPr>
                <w:rFonts w:hint="default"/>
                <w:b/>
                <w:bCs/>
                <w:sz w:val="21"/>
                <w:szCs w:val="21"/>
                <w:highlight w:val="none"/>
              </w:rPr>
              <w:t>250</w:t>
            </w:r>
          </w:p>
        </w:tc>
        <w:tc>
          <w:tcPr>
            <w:tcW w:w="498" w:type="pct"/>
            <w:tcBorders>
              <w:top w:val="single" w:color="000000" w:sz="4" w:space="0"/>
              <w:left w:val="single" w:color="000000" w:sz="4" w:space="0"/>
              <w:bottom w:val="single" w:color="000000" w:sz="4" w:space="0"/>
            </w:tcBorders>
            <w:shd w:val="clear" w:color="auto" w:fill="auto"/>
            <w:noWrap w:val="0"/>
            <w:vAlign w:val="center"/>
          </w:tcPr>
          <w:p w14:paraId="421FABF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bCs/>
                <w:color w:val="auto"/>
                <w:sz w:val="21"/>
                <w:szCs w:val="21"/>
                <w:highlight w:val="none"/>
              </w:rPr>
            </w:pPr>
            <w:r>
              <w:rPr>
                <w:rFonts w:hint="default"/>
                <w:b/>
                <w:bCs/>
                <w:sz w:val="21"/>
                <w:szCs w:val="21"/>
                <w:highlight w:val="none"/>
              </w:rPr>
              <w:t>250</w:t>
            </w:r>
          </w:p>
        </w:tc>
      </w:tr>
      <w:tr w14:paraId="5F066E37">
        <w:tblPrEx>
          <w:tblBorders>
            <w:top w:val="single" w:color="auto" w:sz="12" w:space="0"/>
            <w:left w:val="single" w:color="auto" w:sz="12" w:space="0"/>
            <w:bottom w:val="single" w:color="auto" w:sz="12" w:space="0"/>
            <w:right w:val="single" w:color="auto" w:sz="12" w:space="0"/>
            <w:insideH w:val="none" w:color="auto" w:sz="4" w:space="0"/>
            <w:insideV w:val="none" w:color="auto" w:sz="4" w:space="0"/>
          </w:tblBorders>
          <w:shd w:val="clear" w:color="auto" w:fill="auto"/>
          <w:tblCellMar>
            <w:top w:w="0" w:type="dxa"/>
            <w:left w:w="108" w:type="dxa"/>
            <w:bottom w:w="0" w:type="dxa"/>
            <w:right w:w="108" w:type="dxa"/>
          </w:tblCellMar>
        </w:tblPrEx>
        <w:trPr>
          <w:trHeight w:val="0" w:hRule="atLeast"/>
        </w:trPr>
        <w:tc>
          <w:tcPr>
            <w:tcW w:w="5000" w:type="pct"/>
            <w:gridSpan w:val="11"/>
            <w:tcBorders>
              <w:top w:val="single" w:color="000000" w:sz="4" w:space="0"/>
            </w:tcBorders>
            <w:shd w:val="clear" w:color="auto" w:fill="auto"/>
            <w:noWrap w:val="0"/>
            <w:vAlign w:val="center"/>
          </w:tcPr>
          <w:p w14:paraId="341A6DFC">
            <w:pPr>
              <w:keepNext w:val="0"/>
              <w:keepLines w:val="0"/>
              <w:pageBreakBefore w:val="0"/>
              <w:widowControl/>
              <w:tabs>
                <w:tab w:val="left" w:pos="1021"/>
              </w:tabs>
              <w:kinsoku/>
              <w:wordWrap/>
              <w:overflowPunct/>
              <w:topLinePunct w:val="0"/>
              <w:autoSpaceDE/>
              <w:autoSpaceDN/>
              <w:bidi w:val="0"/>
              <w:adjustRightInd w:val="0"/>
              <w:snapToGrid/>
              <w:spacing w:line="240" w:lineRule="auto"/>
              <w:ind w:firstLine="0" w:firstLineChars="0"/>
              <w:jc w:val="both"/>
              <w:textAlignment w:val="center"/>
              <w:rPr>
                <w:rFonts w:hint="default" w:ascii="Times New Roman" w:hAnsi="Times New Roman" w:cs="Times New Roman"/>
                <w:b/>
                <w:bCs/>
                <w:color w:val="auto"/>
                <w:kern w:val="0"/>
                <w:sz w:val="21"/>
                <w:szCs w:val="21"/>
                <w:highlight w:val="none"/>
                <w:lang w:bidi="ar"/>
              </w:rPr>
            </w:pPr>
            <w:r>
              <w:rPr>
                <w:rFonts w:hint="default" w:ascii="Times New Roman" w:hAnsi="Times New Roman" w:eastAsia="宋体" w:cs="Times New Roman"/>
                <w:b/>
                <w:bCs/>
                <w:sz w:val="21"/>
                <w:szCs w:val="21"/>
                <w:highlight w:val="none"/>
                <w:u w:val="none"/>
                <w:lang w:val="en-US" w:eastAsia="zh-CN"/>
              </w:rPr>
              <w:t>注：</w:t>
            </w:r>
            <w:r>
              <w:rPr>
                <w:rFonts w:hint="eastAsia" w:ascii="宋体" w:hAnsi="宋体" w:eastAsia="宋体" w:cs="宋体"/>
                <w:b/>
                <w:bCs/>
                <w:sz w:val="21"/>
                <w:szCs w:val="21"/>
                <w:highlight w:val="none"/>
                <w:u w:val="none"/>
                <w:lang w:val="en-US" w:eastAsia="zh-CN"/>
              </w:rPr>
              <w:t>“</w:t>
            </w:r>
            <w:r>
              <w:rPr>
                <w:rFonts w:hint="default" w:ascii="Times New Roman" w:hAnsi="Times New Roman" w:eastAsia="宋体" w:cs="Times New Roman"/>
                <w:b/>
                <w:bCs/>
                <w:sz w:val="21"/>
                <w:szCs w:val="21"/>
                <w:highlight w:val="none"/>
                <w:u w:val="none"/>
                <w:lang w:val="en-US" w:eastAsia="zh-CN"/>
              </w:rPr>
              <w:t>检出限+L</w:t>
            </w:r>
            <w:r>
              <w:rPr>
                <w:rFonts w:hint="eastAsia" w:ascii="宋体" w:hAnsi="宋体" w:eastAsia="宋体" w:cs="宋体"/>
                <w:b/>
                <w:bCs/>
                <w:sz w:val="21"/>
                <w:szCs w:val="21"/>
                <w:highlight w:val="none"/>
                <w:u w:val="none"/>
                <w:lang w:val="en-US" w:eastAsia="zh-CN"/>
              </w:rPr>
              <w:t>”</w:t>
            </w:r>
            <w:r>
              <w:rPr>
                <w:rFonts w:hint="default" w:ascii="Times New Roman" w:hAnsi="Times New Roman" w:eastAsia="宋体" w:cs="Times New Roman"/>
                <w:b/>
                <w:bCs/>
                <w:sz w:val="21"/>
                <w:szCs w:val="21"/>
                <w:highlight w:val="none"/>
                <w:u w:val="none"/>
                <w:lang w:val="en-US" w:eastAsia="zh-CN"/>
              </w:rPr>
              <w:t>表示检测结果低于检出限。</w:t>
            </w:r>
          </w:p>
        </w:tc>
      </w:tr>
    </w:tbl>
    <w:p w14:paraId="6B35D252">
      <w:pPr>
        <w:pStyle w:val="8"/>
        <w:rPr>
          <w:rFonts w:hint="eastAsia"/>
          <w:lang w:val="en-US" w:eastAsia="zh-CN"/>
        </w:rPr>
        <w:sectPr>
          <w:pgSz w:w="16838" w:h="11906" w:orient="landscape"/>
          <w:pgMar w:top="1417" w:right="1417" w:bottom="1417" w:left="1417" w:header="851" w:footer="992" w:gutter="0"/>
          <w:pgNumType w:fmt="decimal"/>
          <w:cols w:space="425" w:num="1"/>
          <w:docGrid w:type="lines" w:linePitch="312" w:charSpace="0"/>
        </w:sectPr>
      </w:pPr>
    </w:p>
    <w:p w14:paraId="360930FC">
      <w:pPr>
        <w:pStyle w:val="9"/>
        <w:numPr>
          <w:ilvl w:val="2"/>
          <w:numId w:val="1"/>
        </w:numPr>
        <w:bidi w:val="0"/>
        <w:ind w:left="709" w:leftChars="0" w:hanging="709" w:firstLineChars="0"/>
        <w:rPr>
          <w:rFonts w:hint="eastAsia"/>
          <w:highlight w:val="none"/>
          <w:lang w:val="en-US" w:eastAsia="zh-CN"/>
        </w:rPr>
      </w:pPr>
      <w:r>
        <w:rPr>
          <w:rFonts w:hint="eastAsia"/>
          <w:highlight w:val="none"/>
          <w:lang w:val="en-US" w:eastAsia="zh-CN"/>
        </w:rPr>
        <w:t>土壤环境质量现状调查与评价</w:t>
      </w:r>
    </w:p>
    <w:p w14:paraId="06627337">
      <w:pPr>
        <w:rPr>
          <w:rFonts w:hint="eastAsia"/>
          <w:highlight w:val="none"/>
          <w:lang w:val="en-US" w:eastAsia="zh-CN"/>
        </w:rPr>
      </w:pPr>
      <w:r>
        <w:rPr>
          <w:rFonts w:hint="eastAsia"/>
          <w:highlight w:val="none"/>
          <w:lang w:val="en-US" w:eastAsia="zh-CN"/>
        </w:rPr>
        <w:t>为了解项目周边及周边土壤环境质量状况，本次委托湖南中测湘源检测有限公司于2025年8月22日对项目周边及周边土壤进行的现状监测，监测点位、因子及频次如下。</w:t>
      </w:r>
    </w:p>
    <w:p w14:paraId="4F9C9CCD">
      <w:pPr>
        <w:rPr>
          <w:rFonts w:hint="default"/>
          <w:b/>
          <w:bCs/>
          <w:highlight w:val="none"/>
          <w:lang w:val="en-US" w:eastAsia="zh-CN"/>
        </w:rPr>
      </w:pPr>
      <w:r>
        <w:rPr>
          <w:rFonts w:hint="eastAsia"/>
          <w:b/>
          <w:bCs/>
          <w:highlight w:val="none"/>
          <w:lang w:val="en-US" w:eastAsia="zh-CN"/>
        </w:rPr>
        <w:t>（1）监测布点及监测因子</w:t>
      </w:r>
    </w:p>
    <w:p w14:paraId="6ACB8F2A">
      <w:pPr>
        <w:rPr>
          <w:rFonts w:hint="eastAsia"/>
          <w:highlight w:val="none"/>
          <w:lang w:val="en-US" w:eastAsia="zh-CN"/>
        </w:rPr>
      </w:pPr>
      <w:r>
        <w:rPr>
          <w:rFonts w:hint="eastAsia"/>
          <w:highlight w:val="none"/>
          <w:lang w:val="en-US" w:eastAsia="zh-CN"/>
        </w:rPr>
        <w:t>根据项目所在区域土壤类型，确定在项目评价范围内设置6个土壤监测点，具体见表4.2-9。</w:t>
      </w:r>
    </w:p>
    <w:p w14:paraId="75E015D4">
      <w:pPr>
        <w:ind w:left="0" w:leftChars="0" w:firstLine="0" w:firstLineChars="0"/>
        <w:jc w:val="center"/>
        <w:rPr>
          <w:rFonts w:hint="default"/>
          <w:b/>
          <w:bCs/>
          <w:sz w:val="21"/>
          <w:szCs w:val="21"/>
          <w:highlight w:val="none"/>
          <w:lang w:val="en-US" w:eastAsia="zh-CN"/>
        </w:rPr>
      </w:pPr>
      <w:r>
        <w:rPr>
          <w:rFonts w:hint="eastAsia"/>
          <w:b/>
          <w:bCs/>
          <w:sz w:val="21"/>
          <w:szCs w:val="21"/>
          <w:highlight w:val="none"/>
          <w:lang w:val="en-US" w:eastAsia="zh-CN"/>
        </w:rPr>
        <w:t>表4.2-9  土壤环境质量现状监测布点一览表</w:t>
      </w:r>
    </w:p>
    <w:tbl>
      <w:tblPr>
        <w:tblStyle w:val="35"/>
        <w:tblW w:w="4996"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852"/>
        <w:gridCol w:w="1389"/>
        <w:gridCol w:w="5837"/>
        <w:gridCol w:w="1203"/>
      </w:tblGrid>
      <w:tr w14:paraId="0EDAF0B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59" w:type="pct"/>
            <w:vAlign w:val="center"/>
          </w:tcPr>
          <w:p w14:paraId="77A5FED6">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b/>
                <w:bCs/>
                <w:sz w:val="21"/>
                <w:szCs w:val="21"/>
                <w:highlight w:val="none"/>
              </w:rPr>
            </w:pPr>
            <w:r>
              <w:rPr>
                <w:rFonts w:hint="eastAsia"/>
                <w:b/>
                <w:bCs/>
                <w:sz w:val="21"/>
                <w:szCs w:val="21"/>
                <w:highlight w:val="none"/>
              </w:rPr>
              <w:t>编号</w:t>
            </w:r>
          </w:p>
        </w:tc>
        <w:tc>
          <w:tcPr>
            <w:tcW w:w="748" w:type="pct"/>
            <w:vAlign w:val="center"/>
          </w:tcPr>
          <w:p w14:paraId="18F17595">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b/>
                <w:bCs/>
                <w:sz w:val="21"/>
                <w:szCs w:val="21"/>
                <w:highlight w:val="none"/>
              </w:rPr>
            </w:pPr>
            <w:r>
              <w:rPr>
                <w:rFonts w:hint="eastAsia"/>
                <w:b/>
                <w:bCs/>
                <w:sz w:val="21"/>
                <w:szCs w:val="21"/>
                <w:highlight w:val="none"/>
              </w:rPr>
              <w:t>相对位置</w:t>
            </w:r>
          </w:p>
        </w:tc>
        <w:tc>
          <w:tcPr>
            <w:tcW w:w="3144" w:type="pct"/>
            <w:vAlign w:val="center"/>
          </w:tcPr>
          <w:p w14:paraId="50571B91">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b/>
                <w:bCs/>
                <w:sz w:val="21"/>
                <w:szCs w:val="21"/>
                <w:highlight w:val="none"/>
              </w:rPr>
            </w:pPr>
            <w:r>
              <w:rPr>
                <w:b/>
                <w:bCs/>
                <w:sz w:val="21"/>
                <w:szCs w:val="21"/>
                <w:highlight w:val="none"/>
              </w:rPr>
              <w:t>监测因子</w:t>
            </w:r>
          </w:p>
        </w:tc>
        <w:tc>
          <w:tcPr>
            <w:tcW w:w="648" w:type="pct"/>
            <w:vAlign w:val="center"/>
          </w:tcPr>
          <w:p w14:paraId="6C5582AB">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b/>
                <w:bCs/>
                <w:sz w:val="21"/>
                <w:szCs w:val="21"/>
                <w:highlight w:val="none"/>
              </w:rPr>
            </w:pPr>
            <w:r>
              <w:rPr>
                <w:rFonts w:hint="eastAsia"/>
                <w:b/>
                <w:bCs/>
                <w:sz w:val="21"/>
                <w:szCs w:val="21"/>
                <w:highlight w:val="none"/>
              </w:rPr>
              <w:t>土样</w:t>
            </w:r>
          </w:p>
        </w:tc>
      </w:tr>
      <w:tr w14:paraId="52CDA1D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59" w:type="pct"/>
            <w:vAlign w:val="center"/>
          </w:tcPr>
          <w:p w14:paraId="2416385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sz w:val="21"/>
                <w:szCs w:val="21"/>
                <w:highlight w:val="none"/>
              </w:rPr>
            </w:pPr>
            <w:r>
              <w:rPr>
                <w:rFonts w:hint="eastAsia"/>
                <w:sz w:val="21"/>
                <w:szCs w:val="21"/>
                <w:highlight w:val="none"/>
              </w:rPr>
              <w:t>T1</w:t>
            </w:r>
          </w:p>
        </w:tc>
        <w:tc>
          <w:tcPr>
            <w:tcW w:w="748" w:type="pct"/>
            <w:vMerge w:val="restart"/>
            <w:vAlign w:val="center"/>
          </w:tcPr>
          <w:p w14:paraId="7A1666E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lang w:val="en-US" w:eastAsia="zh-CN"/>
              </w:rPr>
            </w:pPr>
            <w:r>
              <w:rPr>
                <w:rFonts w:hint="eastAsia"/>
                <w:sz w:val="21"/>
                <w:szCs w:val="21"/>
                <w:highlight w:val="none"/>
                <w:lang w:val="en-US" w:eastAsia="zh-CN"/>
              </w:rPr>
              <w:t>占地范围内</w:t>
            </w:r>
          </w:p>
        </w:tc>
        <w:tc>
          <w:tcPr>
            <w:tcW w:w="3144" w:type="pct"/>
            <w:vMerge w:val="restart"/>
            <w:vAlign w:val="center"/>
          </w:tcPr>
          <w:p w14:paraId="432DB51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lang w:eastAsia="zh-CN"/>
              </w:rPr>
            </w:pPr>
            <w:r>
              <w:rPr>
                <w:rFonts w:hint="default" w:ascii="Times New Roman" w:hAnsi="Times New Roman" w:cs="Times New Roman"/>
                <w:color w:val="auto"/>
                <w:sz w:val="21"/>
                <w:szCs w:val="21"/>
                <w:highlight w:val="none"/>
                <w:lang w:eastAsia="zh-CN"/>
              </w:rPr>
              <w:t>其中</w:t>
            </w:r>
            <w:r>
              <w:rPr>
                <w:rFonts w:hint="default" w:ascii="Times New Roman" w:hAnsi="Times New Roman" w:cs="Times New Roman"/>
                <w:color w:val="auto"/>
                <w:sz w:val="21"/>
                <w:szCs w:val="21"/>
                <w:highlight w:val="none"/>
                <w:lang w:val="en-US" w:eastAsia="zh-CN"/>
              </w:rPr>
              <w:t>T</w:t>
            </w:r>
            <w:r>
              <w:rPr>
                <w:rFonts w:hint="eastAsia" w:hAnsi="Times New Roman" w:cs="Times New Roman"/>
                <w:color w:val="auto"/>
                <w:sz w:val="21"/>
                <w:szCs w:val="21"/>
                <w:highlight w:val="none"/>
                <w:lang w:val="en-US" w:eastAsia="zh-CN"/>
              </w:rPr>
              <w:t>3</w:t>
            </w:r>
            <w:r>
              <w:rPr>
                <w:rFonts w:hint="default" w:ascii="Times New Roman" w:hAnsi="Times New Roman" w:cs="Times New Roman"/>
                <w:color w:val="auto"/>
                <w:sz w:val="21"/>
                <w:szCs w:val="21"/>
                <w:highlight w:val="none"/>
                <w:lang w:eastAsia="zh-CN"/>
              </w:rPr>
              <w:t>测</w:t>
            </w:r>
            <w:r>
              <w:rPr>
                <w:rFonts w:hint="default" w:ascii="Times New Roman" w:hAnsi="Times New Roman" w:cs="Times New Roman"/>
                <w:color w:val="auto"/>
                <w:sz w:val="21"/>
                <w:szCs w:val="21"/>
                <w:highlight w:val="none"/>
              </w:rPr>
              <w:t xml:space="preserve">《土壤环境质量标准 </w:t>
            </w:r>
            <w:r>
              <w:rPr>
                <w:rFonts w:hint="default" w:ascii="Times New Roman" w:hAnsi="Times New Roman" w:cs="Times New Roman"/>
                <w:color w:val="auto"/>
                <w:sz w:val="21"/>
                <w:szCs w:val="21"/>
                <w:highlight w:val="none"/>
                <w:lang w:val="en-US" w:eastAsia="zh-CN"/>
              </w:rPr>
              <w:t xml:space="preserve"> </w:t>
            </w:r>
            <w:r>
              <w:rPr>
                <w:rFonts w:hint="eastAsia" w:hAnsi="Times New Roman" w:cs="Times New Roman"/>
                <w:color w:val="auto"/>
                <w:sz w:val="21"/>
                <w:szCs w:val="21"/>
                <w:highlight w:val="none"/>
                <w:lang w:val="en-US" w:eastAsia="zh-CN"/>
              </w:rPr>
              <w:t>建设用地</w:t>
            </w:r>
            <w:r>
              <w:rPr>
                <w:rFonts w:hint="default" w:ascii="Times New Roman" w:hAnsi="Times New Roman" w:cs="Times New Roman"/>
                <w:color w:val="auto"/>
                <w:sz w:val="21"/>
                <w:szCs w:val="21"/>
                <w:highlight w:val="none"/>
              </w:rPr>
              <w:t>土壤污染风险管控标准（试行）》</w:t>
            </w:r>
            <w:r>
              <w:rPr>
                <w:rFonts w:hint="eastAsia"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rPr>
              <w:t>GB</w:t>
            </w:r>
            <w:r>
              <w:rPr>
                <w:rFonts w:hint="eastAsia" w:hAnsi="Times New Roman" w:cs="Times New Roman"/>
                <w:color w:val="auto"/>
                <w:sz w:val="21"/>
                <w:szCs w:val="21"/>
                <w:highlight w:val="none"/>
                <w:lang w:val="en-US" w:eastAsia="zh-CN"/>
              </w:rPr>
              <w:t>36600</w:t>
            </w:r>
            <w:r>
              <w:rPr>
                <w:rFonts w:hint="default" w:ascii="Times New Roman" w:hAnsi="Times New Roman" w:cs="Times New Roman"/>
                <w:color w:val="auto"/>
                <w:sz w:val="21"/>
                <w:szCs w:val="21"/>
                <w:highlight w:val="none"/>
              </w:rPr>
              <w:t>-2018</w:t>
            </w:r>
            <w:r>
              <w:rPr>
                <w:rFonts w:hint="eastAsia"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rPr>
              <w:t>中的表1所有基本项目</w:t>
            </w:r>
            <w:r>
              <w:rPr>
                <w:rFonts w:hint="eastAsia" w:hAnsi="Times New Roman" w:cs="Times New Roman"/>
                <w:color w:val="auto"/>
                <w:sz w:val="21"/>
                <w:szCs w:val="21"/>
                <w:highlight w:val="none"/>
                <w:lang w:val="en-US" w:eastAsia="zh-CN"/>
              </w:rPr>
              <w:t>45项+</w:t>
            </w:r>
            <w:r>
              <w:rPr>
                <w:rFonts w:hint="default" w:ascii="Times New Roman" w:hAnsi="Times New Roman" w:cs="Times New Roman"/>
                <w:color w:val="auto"/>
                <w:sz w:val="21"/>
                <w:szCs w:val="21"/>
                <w:highlight w:val="none"/>
                <w:lang w:val="en-US" w:eastAsia="zh-CN"/>
              </w:rPr>
              <w:t>pH</w:t>
            </w:r>
            <w:r>
              <w:rPr>
                <w:rFonts w:hint="eastAsia" w:hAnsi="Times New Roman" w:cs="Times New Roman"/>
                <w:color w:val="auto"/>
                <w:sz w:val="21"/>
                <w:szCs w:val="21"/>
                <w:highlight w:val="none"/>
                <w:lang w:val="en-US" w:eastAsia="zh-CN"/>
              </w:rPr>
              <w:t>、氰化物、锌、总铬</w:t>
            </w:r>
            <w:r>
              <w:rPr>
                <w:rFonts w:hint="default" w:ascii="Times New Roman" w:hAnsi="Times New Roman" w:cs="Times New Roman"/>
                <w:color w:val="auto"/>
                <w:sz w:val="21"/>
                <w:szCs w:val="21"/>
                <w:highlight w:val="none"/>
                <w:lang w:eastAsia="zh-CN"/>
              </w:rPr>
              <w:t>，其他点位监测因子为：</w:t>
            </w:r>
            <w:r>
              <w:rPr>
                <w:rFonts w:hint="eastAsia" w:hAnsi="Times New Roman" w:cs="Times New Roman"/>
                <w:color w:val="auto"/>
                <w:sz w:val="21"/>
                <w:szCs w:val="21"/>
                <w:highlight w:val="none"/>
                <w:lang w:val="en-US" w:eastAsia="zh-CN"/>
              </w:rPr>
              <w:t>pH、砷、镍、铅、镉、总铬、铬（六价）、汞、铜、锌、氰化物</w:t>
            </w:r>
          </w:p>
        </w:tc>
        <w:tc>
          <w:tcPr>
            <w:tcW w:w="648" w:type="pct"/>
            <w:vAlign w:val="center"/>
          </w:tcPr>
          <w:p w14:paraId="4FE40D9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sz w:val="21"/>
                <w:szCs w:val="21"/>
                <w:highlight w:val="none"/>
              </w:rPr>
            </w:pPr>
            <w:r>
              <w:rPr>
                <w:rFonts w:hint="eastAsia"/>
                <w:sz w:val="21"/>
                <w:szCs w:val="21"/>
                <w:highlight w:val="none"/>
              </w:rPr>
              <w:t>柱状样</w:t>
            </w:r>
          </w:p>
        </w:tc>
      </w:tr>
      <w:tr w14:paraId="6D082DE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59" w:type="pct"/>
            <w:vAlign w:val="center"/>
          </w:tcPr>
          <w:p w14:paraId="08C9FE5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sz w:val="21"/>
                <w:szCs w:val="21"/>
                <w:highlight w:val="none"/>
              </w:rPr>
            </w:pPr>
            <w:r>
              <w:rPr>
                <w:rFonts w:hint="eastAsia"/>
                <w:sz w:val="21"/>
                <w:szCs w:val="21"/>
                <w:highlight w:val="none"/>
              </w:rPr>
              <w:t>T2</w:t>
            </w:r>
          </w:p>
        </w:tc>
        <w:tc>
          <w:tcPr>
            <w:tcW w:w="748" w:type="pct"/>
            <w:vMerge w:val="continue"/>
            <w:vAlign w:val="center"/>
          </w:tcPr>
          <w:p w14:paraId="5A1DC53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sz w:val="21"/>
                <w:szCs w:val="21"/>
                <w:highlight w:val="none"/>
              </w:rPr>
            </w:pPr>
          </w:p>
        </w:tc>
        <w:tc>
          <w:tcPr>
            <w:tcW w:w="3144" w:type="pct"/>
            <w:vMerge w:val="continue"/>
            <w:vAlign w:val="center"/>
          </w:tcPr>
          <w:p w14:paraId="5274CCE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rPr>
            </w:pPr>
          </w:p>
        </w:tc>
        <w:tc>
          <w:tcPr>
            <w:tcW w:w="648" w:type="pct"/>
            <w:vAlign w:val="center"/>
          </w:tcPr>
          <w:p w14:paraId="00C54BA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sz w:val="21"/>
                <w:szCs w:val="21"/>
                <w:highlight w:val="none"/>
              </w:rPr>
            </w:pPr>
            <w:r>
              <w:rPr>
                <w:rFonts w:hint="eastAsia"/>
                <w:sz w:val="21"/>
                <w:szCs w:val="21"/>
                <w:highlight w:val="none"/>
              </w:rPr>
              <w:t>柱状样</w:t>
            </w:r>
          </w:p>
        </w:tc>
      </w:tr>
      <w:tr w14:paraId="2AA2C44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59" w:type="pct"/>
            <w:vAlign w:val="center"/>
          </w:tcPr>
          <w:p w14:paraId="55B2D7F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sz w:val="21"/>
                <w:szCs w:val="21"/>
                <w:highlight w:val="none"/>
              </w:rPr>
            </w:pPr>
            <w:r>
              <w:rPr>
                <w:rFonts w:hint="eastAsia"/>
                <w:sz w:val="21"/>
                <w:szCs w:val="21"/>
                <w:highlight w:val="none"/>
              </w:rPr>
              <w:t>T3</w:t>
            </w:r>
          </w:p>
        </w:tc>
        <w:tc>
          <w:tcPr>
            <w:tcW w:w="748" w:type="pct"/>
            <w:vMerge w:val="continue"/>
            <w:vAlign w:val="center"/>
          </w:tcPr>
          <w:p w14:paraId="7342427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sz w:val="21"/>
                <w:szCs w:val="21"/>
                <w:highlight w:val="none"/>
              </w:rPr>
            </w:pPr>
          </w:p>
        </w:tc>
        <w:tc>
          <w:tcPr>
            <w:tcW w:w="3144" w:type="pct"/>
            <w:vMerge w:val="continue"/>
            <w:vAlign w:val="center"/>
          </w:tcPr>
          <w:p w14:paraId="74AE43A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rPr>
            </w:pPr>
          </w:p>
        </w:tc>
        <w:tc>
          <w:tcPr>
            <w:tcW w:w="648" w:type="pct"/>
            <w:vAlign w:val="center"/>
          </w:tcPr>
          <w:p w14:paraId="21410C7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sz w:val="21"/>
                <w:szCs w:val="21"/>
                <w:highlight w:val="none"/>
              </w:rPr>
            </w:pPr>
            <w:r>
              <w:rPr>
                <w:rFonts w:hint="eastAsia"/>
                <w:sz w:val="21"/>
                <w:szCs w:val="21"/>
                <w:highlight w:val="none"/>
              </w:rPr>
              <w:t>柱状样</w:t>
            </w:r>
          </w:p>
        </w:tc>
      </w:tr>
      <w:tr w14:paraId="75454BC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59" w:type="pct"/>
            <w:vAlign w:val="center"/>
          </w:tcPr>
          <w:p w14:paraId="4152AF6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sz w:val="21"/>
                <w:szCs w:val="21"/>
                <w:highlight w:val="none"/>
              </w:rPr>
            </w:pPr>
            <w:r>
              <w:rPr>
                <w:rFonts w:hint="eastAsia"/>
                <w:sz w:val="21"/>
                <w:szCs w:val="21"/>
                <w:highlight w:val="none"/>
              </w:rPr>
              <w:t>T4</w:t>
            </w:r>
          </w:p>
        </w:tc>
        <w:tc>
          <w:tcPr>
            <w:tcW w:w="748" w:type="pct"/>
            <w:vMerge w:val="continue"/>
            <w:vAlign w:val="center"/>
          </w:tcPr>
          <w:p w14:paraId="5A7D0EC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sz w:val="21"/>
                <w:szCs w:val="21"/>
                <w:highlight w:val="none"/>
              </w:rPr>
            </w:pPr>
          </w:p>
        </w:tc>
        <w:tc>
          <w:tcPr>
            <w:tcW w:w="3144" w:type="pct"/>
            <w:vMerge w:val="continue"/>
            <w:vAlign w:val="center"/>
          </w:tcPr>
          <w:p w14:paraId="6572239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rPr>
            </w:pPr>
          </w:p>
        </w:tc>
        <w:tc>
          <w:tcPr>
            <w:tcW w:w="648" w:type="pct"/>
            <w:vAlign w:val="center"/>
          </w:tcPr>
          <w:p w14:paraId="56652D5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sz w:val="21"/>
                <w:szCs w:val="21"/>
                <w:highlight w:val="none"/>
              </w:rPr>
            </w:pPr>
            <w:r>
              <w:rPr>
                <w:rFonts w:hint="eastAsia"/>
                <w:sz w:val="21"/>
                <w:szCs w:val="21"/>
                <w:highlight w:val="none"/>
              </w:rPr>
              <w:t>表层样</w:t>
            </w:r>
          </w:p>
        </w:tc>
      </w:tr>
      <w:tr w14:paraId="36F83E3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59" w:type="pct"/>
            <w:vAlign w:val="center"/>
          </w:tcPr>
          <w:p w14:paraId="135EA27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lang w:eastAsia="zh-CN"/>
              </w:rPr>
            </w:pPr>
            <w:r>
              <w:rPr>
                <w:rFonts w:hint="eastAsia"/>
                <w:sz w:val="21"/>
                <w:szCs w:val="21"/>
                <w:highlight w:val="none"/>
              </w:rPr>
              <w:t>T</w:t>
            </w:r>
            <w:r>
              <w:rPr>
                <w:rFonts w:hint="eastAsia"/>
                <w:sz w:val="21"/>
                <w:szCs w:val="21"/>
                <w:highlight w:val="none"/>
                <w:lang w:val="en-US" w:eastAsia="zh-CN"/>
              </w:rPr>
              <w:t>5</w:t>
            </w:r>
          </w:p>
        </w:tc>
        <w:tc>
          <w:tcPr>
            <w:tcW w:w="748" w:type="pct"/>
            <w:vMerge w:val="restart"/>
            <w:vAlign w:val="center"/>
          </w:tcPr>
          <w:p w14:paraId="59D174C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占地范围外</w:t>
            </w:r>
          </w:p>
        </w:tc>
        <w:tc>
          <w:tcPr>
            <w:tcW w:w="3144" w:type="pct"/>
            <w:vMerge w:val="restart"/>
            <w:vAlign w:val="center"/>
          </w:tcPr>
          <w:p w14:paraId="4C51F332">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sz w:val="21"/>
                <w:szCs w:val="21"/>
                <w:highlight w:val="none"/>
                <w:lang w:eastAsia="zh-CN"/>
              </w:rPr>
            </w:pPr>
            <w:r>
              <w:rPr>
                <w:rFonts w:hint="default"/>
                <w:sz w:val="21"/>
                <w:szCs w:val="21"/>
                <w:highlight w:val="none"/>
                <w:lang w:eastAsia="zh-CN"/>
              </w:rPr>
              <w:t>其中</w:t>
            </w:r>
            <w:r>
              <w:rPr>
                <w:rFonts w:hint="default"/>
                <w:sz w:val="21"/>
                <w:szCs w:val="21"/>
                <w:highlight w:val="none"/>
                <w:lang w:val="en-US" w:eastAsia="zh-CN"/>
              </w:rPr>
              <w:t>T5监测因子为pH、砷、镍、铅、镉、总铬、铬（六价）、汞、铜、锌、氰化物；</w:t>
            </w:r>
          </w:p>
          <w:p w14:paraId="27D317D1">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sz w:val="21"/>
                <w:szCs w:val="21"/>
                <w:highlight w:val="none"/>
                <w:lang w:eastAsia="zh-CN"/>
              </w:rPr>
            </w:pPr>
            <w:r>
              <w:rPr>
                <w:rFonts w:hint="default"/>
                <w:sz w:val="21"/>
                <w:szCs w:val="21"/>
                <w:highlight w:val="none"/>
                <w:lang w:val="en-US" w:eastAsia="zh-CN"/>
              </w:rPr>
              <w:t>T6</w:t>
            </w:r>
            <w:r>
              <w:rPr>
                <w:rFonts w:hint="default"/>
                <w:sz w:val="21"/>
                <w:szCs w:val="21"/>
                <w:highlight w:val="none"/>
                <w:lang w:eastAsia="zh-CN"/>
              </w:rPr>
              <w:t xml:space="preserve">测《土壤环境质量标准 </w:t>
            </w:r>
            <w:r>
              <w:rPr>
                <w:rFonts w:hint="default"/>
                <w:sz w:val="21"/>
                <w:szCs w:val="21"/>
                <w:highlight w:val="none"/>
                <w:lang w:val="en-US" w:eastAsia="zh-CN"/>
              </w:rPr>
              <w:t xml:space="preserve"> 农用地</w:t>
            </w:r>
            <w:r>
              <w:rPr>
                <w:rFonts w:hint="default"/>
                <w:sz w:val="21"/>
                <w:szCs w:val="21"/>
                <w:highlight w:val="none"/>
                <w:lang w:eastAsia="zh-CN"/>
              </w:rPr>
              <w:t>土壤污染风险管控标准（试行）》（GB</w:t>
            </w:r>
            <w:r>
              <w:rPr>
                <w:rFonts w:hint="default"/>
                <w:sz w:val="21"/>
                <w:szCs w:val="21"/>
                <w:highlight w:val="none"/>
                <w:lang w:val="en-US" w:eastAsia="zh-CN"/>
              </w:rPr>
              <w:t>15618</w:t>
            </w:r>
            <w:r>
              <w:rPr>
                <w:rFonts w:hint="default"/>
                <w:sz w:val="21"/>
                <w:szCs w:val="21"/>
                <w:highlight w:val="none"/>
                <w:lang w:eastAsia="zh-CN"/>
              </w:rPr>
              <w:t>-2018）中的表1所有</w:t>
            </w:r>
            <w:r>
              <w:rPr>
                <w:rFonts w:hint="default"/>
                <w:sz w:val="21"/>
                <w:szCs w:val="21"/>
                <w:highlight w:val="none"/>
                <w:lang w:val="en-US" w:eastAsia="zh-CN"/>
              </w:rPr>
              <w:t>8个</w:t>
            </w:r>
            <w:r>
              <w:rPr>
                <w:rFonts w:hint="default"/>
                <w:sz w:val="21"/>
                <w:szCs w:val="21"/>
                <w:highlight w:val="none"/>
                <w:lang w:eastAsia="zh-CN"/>
              </w:rPr>
              <w:t>基本项目</w:t>
            </w:r>
            <w:r>
              <w:rPr>
                <w:rFonts w:hint="default"/>
                <w:sz w:val="21"/>
                <w:szCs w:val="21"/>
                <w:highlight w:val="none"/>
                <w:lang w:val="en-US" w:eastAsia="zh-CN"/>
              </w:rPr>
              <w:t>镉、汞、砷、铅、铬、铜、镍、锌+pH、氰化物、六价铬。</w:t>
            </w:r>
          </w:p>
        </w:tc>
        <w:tc>
          <w:tcPr>
            <w:tcW w:w="648" w:type="pct"/>
            <w:vMerge w:val="restart"/>
            <w:vAlign w:val="center"/>
          </w:tcPr>
          <w:p w14:paraId="1B87D5A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表层样</w:t>
            </w:r>
          </w:p>
        </w:tc>
      </w:tr>
      <w:tr w14:paraId="5F98DB5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59" w:type="pct"/>
            <w:vAlign w:val="center"/>
          </w:tcPr>
          <w:p w14:paraId="5E8654D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lang w:eastAsia="zh-CN"/>
              </w:rPr>
            </w:pPr>
            <w:r>
              <w:rPr>
                <w:rFonts w:hint="eastAsia"/>
                <w:sz w:val="21"/>
                <w:szCs w:val="21"/>
                <w:highlight w:val="none"/>
              </w:rPr>
              <w:t>T</w:t>
            </w:r>
            <w:r>
              <w:rPr>
                <w:rFonts w:hint="eastAsia"/>
                <w:sz w:val="21"/>
                <w:szCs w:val="21"/>
                <w:highlight w:val="none"/>
                <w:lang w:val="en-US" w:eastAsia="zh-CN"/>
              </w:rPr>
              <w:t>6</w:t>
            </w:r>
          </w:p>
        </w:tc>
        <w:tc>
          <w:tcPr>
            <w:tcW w:w="748" w:type="pct"/>
            <w:vMerge w:val="continue"/>
            <w:vAlign w:val="center"/>
          </w:tcPr>
          <w:p w14:paraId="60CFE0D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lang w:val="en-US" w:eastAsia="zh-CN"/>
              </w:rPr>
            </w:pPr>
          </w:p>
        </w:tc>
        <w:tc>
          <w:tcPr>
            <w:tcW w:w="3144" w:type="pct"/>
            <w:vMerge w:val="continue"/>
            <w:vAlign w:val="center"/>
          </w:tcPr>
          <w:p w14:paraId="553B787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sz w:val="21"/>
                <w:szCs w:val="21"/>
                <w:highlight w:val="none"/>
              </w:rPr>
            </w:pPr>
          </w:p>
        </w:tc>
        <w:tc>
          <w:tcPr>
            <w:tcW w:w="648" w:type="pct"/>
            <w:vMerge w:val="continue"/>
            <w:vAlign w:val="center"/>
          </w:tcPr>
          <w:p w14:paraId="764C25C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sz w:val="21"/>
                <w:szCs w:val="21"/>
                <w:highlight w:val="none"/>
              </w:rPr>
            </w:pPr>
          </w:p>
        </w:tc>
      </w:tr>
    </w:tbl>
    <w:p w14:paraId="06430BDF">
      <w:pPr>
        <w:rPr>
          <w:rFonts w:hint="eastAsia"/>
          <w:b/>
          <w:bCs/>
          <w:highlight w:val="none"/>
          <w:lang w:val="en-US" w:eastAsia="zh-CN"/>
        </w:rPr>
      </w:pPr>
      <w:r>
        <w:rPr>
          <w:rFonts w:hint="eastAsia"/>
          <w:b/>
          <w:bCs/>
          <w:highlight w:val="none"/>
          <w:lang w:val="en-US" w:eastAsia="zh-CN"/>
        </w:rPr>
        <w:t>（2）评价标准</w:t>
      </w:r>
    </w:p>
    <w:p w14:paraId="14F3A636">
      <w:pPr>
        <w:rPr>
          <w:rFonts w:hint="eastAsia"/>
          <w:highlight w:val="none"/>
          <w:lang w:val="en-US" w:eastAsia="zh-CN"/>
        </w:rPr>
      </w:pPr>
      <w:r>
        <w:rPr>
          <w:rFonts w:hint="eastAsia"/>
          <w:highlight w:val="none"/>
          <w:lang w:val="en-US" w:eastAsia="zh-CN"/>
        </w:rPr>
        <w:t>建设用地执行《土壤环境质量  建设用地土壤污染风险管控标准（试行）》（GB36600-2018）表1中第二类用地筛选值，农用地执行《土壤环境质量  农用地土壤污染风险管控标准（试行）》（GB15618-2018）表1中风险筛选值。</w:t>
      </w:r>
    </w:p>
    <w:p w14:paraId="75879CD2">
      <w:pPr>
        <w:rPr>
          <w:rFonts w:hint="default"/>
          <w:b/>
          <w:bCs/>
          <w:highlight w:val="none"/>
          <w:lang w:val="en-US" w:eastAsia="zh-CN"/>
        </w:rPr>
      </w:pPr>
      <w:r>
        <w:rPr>
          <w:rFonts w:hint="eastAsia"/>
          <w:b/>
          <w:bCs/>
          <w:highlight w:val="none"/>
          <w:lang w:val="en-US" w:eastAsia="zh-CN"/>
        </w:rPr>
        <w:t>（3）监测结果</w:t>
      </w:r>
    </w:p>
    <w:p w14:paraId="06142425">
      <w:pPr>
        <w:rPr>
          <w:rFonts w:hint="eastAsia"/>
          <w:highlight w:val="yellow"/>
          <w:lang w:val="en-US" w:eastAsia="zh-CN"/>
        </w:rPr>
      </w:pPr>
      <w:r>
        <w:rPr>
          <w:rFonts w:hint="eastAsia"/>
          <w:highlight w:val="none"/>
          <w:lang w:val="en-US" w:eastAsia="zh-CN"/>
        </w:rPr>
        <w:t>监测结果见表4.2-10。</w:t>
      </w:r>
    </w:p>
    <w:p w14:paraId="0EC23F71">
      <w:pPr>
        <w:ind w:left="0" w:leftChars="0" w:firstLine="0" w:firstLineChars="0"/>
        <w:jc w:val="center"/>
        <w:rPr>
          <w:rFonts w:hint="default"/>
          <w:b/>
          <w:bCs/>
          <w:sz w:val="21"/>
          <w:szCs w:val="21"/>
          <w:highlight w:val="none"/>
          <w:lang w:val="en-US" w:eastAsia="zh-CN"/>
        </w:rPr>
      </w:pPr>
      <w:r>
        <w:rPr>
          <w:rFonts w:hint="eastAsia"/>
          <w:b/>
          <w:bCs/>
          <w:sz w:val="21"/>
          <w:szCs w:val="21"/>
          <w:highlight w:val="none"/>
          <w:lang w:val="en-US" w:eastAsia="zh-CN"/>
        </w:rPr>
        <w:t>表4.2-10  土壤监测结果统计一览表</w:t>
      </w:r>
    </w:p>
    <w:tbl>
      <w:tblPr>
        <w:tblStyle w:val="35"/>
        <w:tblW w:w="4997"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7" w:type="dxa"/>
          <w:bottom w:w="0" w:type="dxa"/>
          <w:right w:w="17" w:type="dxa"/>
        </w:tblCellMar>
      </w:tblPr>
      <w:tblGrid>
        <w:gridCol w:w="525"/>
        <w:gridCol w:w="1067"/>
        <w:gridCol w:w="2074"/>
        <w:gridCol w:w="936"/>
        <w:gridCol w:w="1406"/>
        <w:gridCol w:w="963"/>
        <w:gridCol w:w="956"/>
        <w:gridCol w:w="1174"/>
      </w:tblGrid>
      <w:tr w14:paraId="7745E30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7" w:type="dxa"/>
            <w:bottom w:w="0" w:type="dxa"/>
            <w:right w:w="17" w:type="dxa"/>
          </w:tblCellMar>
        </w:tblPrEx>
        <w:trPr>
          <w:trHeight w:val="23" w:hRule="atLeast"/>
          <w:tblHeader/>
          <w:jc w:val="center"/>
        </w:trPr>
        <w:tc>
          <w:tcPr>
            <w:tcW w:w="874" w:type="pct"/>
            <w:gridSpan w:val="2"/>
            <w:noWrap w:val="0"/>
            <w:vAlign w:val="center"/>
          </w:tcPr>
          <w:p w14:paraId="717DA5A5">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b/>
                <w:bCs/>
                <w:sz w:val="21"/>
                <w:szCs w:val="21"/>
                <w:highlight w:val="none"/>
                <w:lang w:val="en-US" w:eastAsia="zh-CN"/>
              </w:rPr>
            </w:pPr>
            <w:r>
              <w:rPr>
                <w:rFonts w:hint="eastAsia"/>
                <w:b/>
                <w:bCs/>
                <w:sz w:val="21"/>
                <w:szCs w:val="21"/>
                <w:highlight w:val="none"/>
                <w:lang w:val="en-US" w:eastAsia="zh-CN"/>
              </w:rPr>
              <w:t>监测点位</w:t>
            </w:r>
          </w:p>
        </w:tc>
        <w:tc>
          <w:tcPr>
            <w:tcW w:w="1139" w:type="pct"/>
            <w:noWrap w:val="0"/>
            <w:vAlign w:val="center"/>
          </w:tcPr>
          <w:p w14:paraId="4B0EF638">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b/>
                <w:bCs/>
                <w:sz w:val="21"/>
                <w:szCs w:val="21"/>
                <w:highlight w:val="none"/>
                <w:lang w:val="en-US" w:eastAsia="zh-CN"/>
              </w:rPr>
            </w:pPr>
            <w:r>
              <w:rPr>
                <w:rFonts w:hint="eastAsia"/>
                <w:b/>
                <w:bCs/>
                <w:sz w:val="21"/>
                <w:szCs w:val="21"/>
                <w:highlight w:val="none"/>
                <w:lang w:val="en-US" w:eastAsia="zh-CN"/>
              </w:rPr>
              <w:t>监测因子</w:t>
            </w:r>
          </w:p>
        </w:tc>
        <w:tc>
          <w:tcPr>
            <w:tcW w:w="514" w:type="pct"/>
            <w:noWrap w:val="0"/>
            <w:vAlign w:val="center"/>
          </w:tcPr>
          <w:p w14:paraId="1E26D896">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b/>
                <w:bCs/>
                <w:sz w:val="21"/>
                <w:szCs w:val="21"/>
                <w:highlight w:val="none"/>
                <w:lang w:val="en-US" w:eastAsia="zh-CN"/>
              </w:rPr>
            </w:pPr>
            <w:r>
              <w:rPr>
                <w:rFonts w:hint="eastAsia"/>
                <w:b/>
                <w:bCs/>
                <w:sz w:val="21"/>
                <w:szCs w:val="21"/>
                <w:highlight w:val="none"/>
                <w:lang w:val="en-US" w:eastAsia="zh-CN"/>
              </w:rPr>
              <w:t>单位</w:t>
            </w:r>
          </w:p>
        </w:tc>
        <w:tc>
          <w:tcPr>
            <w:tcW w:w="772" w:type="pct"/>
            <w:noWrap w:val="0"/>
            <w:vAlign w:val="center"/>
          </w:tcPr>
          <w:p w14:paraId="0E46EFE2">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b/>
                <w:bCs/>
                <w:sz w:val="21"/>
                <w:szCs w:val="21"/>
                <w:highlight w:val="none"/>
                <w:lang w:val="en-US" w:eastAsia="zh-CN"/>
              </w:rPr>
            </w:pPr>
            <w:r>
              <w:rPr>
                <w:rFonts w:hint="eastAsia"/>
                <w:b/>
                <w:bCs/>
                <w:sz w:val="21"/>
                <w:szCs w:val="21"/>
                <w:highlight w:val="none"/>
                <w:lang w:val="en-US" w:eastAsia="zh-CN"/>
              </w:rPr>
              <w:t>监测结果</w:t>
            </w:r>
          </w:p>
        </w:tc>
        <w:tc>
          <w:tcPr>
            <w:tcW w:w="529" w:type="pct"/>
            <w:noWrap w:val="0"/>
            <w:vAlign w:val="center"/>
          </w:tcPr>
          <w:p w14:paraId="50A7BAA2">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b/>
                <w:bCs/>
                <w:sz w:val="21"/>
                <w:szCs w:val="21"/>
                <w:highlight w:val="none"/>
                <w:lang w:val="en-US" w:eastAsia="zh-CN"/>
              </w:rPr>
            </w:pPr>
            <w:r>
              <w:rPr>
                <w:rFonts w:hint="eastAsia"/>
                <w:b/>
                <w:bCs/>
                <w:sz w:val="21"/>
                <w:szCs w:val="21"/>
                <w:highlight w:val="none"/>
                <w:lang w:val="en-US" w:eastAsia="zh-CN"/>
              </w:rPr>
              <w:t>超标倍数</w:t>
            </w:r>
          </w:p>
        </w:tc>
        <w:tc>
          <w:tcPr>
            <w:tcW w:w="525" w:type="pct"/>
            <w:noWrap w:val="0"/>
            <w:vAlign w:val="center"/>
          </w:tcPr>
          <w:p w14:paraId="6368BE97">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b/>
                <w:bCs/>
                <w:sz w:val="21"/>
                <w:szCs w:val="21"/>
                <w:highlight w:val="none"/>
                <w:lang w:val="en-US" w:eastAsia="zh-CN"/>
              </w:rPr>
            </w:pPr>
            <w:r>
              <w:rPr>
                <w:rFonts w:hint="eastAsia"/>
                <w:b/>
                <w:bCs/>
                <w:sz w:val="21"/>
                <w:szCs w:val="21"/>
                <w:highlight w:val="none"/>
                <w:lang w:val="en-US" w:eastAsia="zh-CN"/>
              </w:rPr>
              <w:t>达标情况</w:t>
            </w:r>
          </w:p>
        </w:tc>
        <w:tc>
          <w:tcPr>
            <w:tcW w:w="644" w:type="pct"/>
            <w:noWrap w:val="0"/>
            <w:vAlign w:val="center"/>
          </w:tcPr>
          <w:p w14:paraId="37666883">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b/>
                <w:bCs/>
                <w:sz w:val="21"/>
                <w:szCs w:val="21"/>
                <w:highlight w:val="none"/>
                <w:lang w:val="en-US" w:eastAsia="zh-CN"/>
              </w:rPr>
            </w:pPr>
            <w:r>
              <w:rPr>
                <w:rFonts w:hint="eastAsia"/>
                <w:b/>
                <w:bCs/>
                <w:sz w:val="21"/>
                <w:szCs w:val="21"/>
                <w:highlight w:val="none"/>
                <w:lang w:val="en-US" w:eastAsia="zh-CN"/>
              </w:rPr>
              <w:t>评价标准</w:t>
            </w:r>
          </w:p>
        </w:tc>
      </w:tr>
      <w:tr w14:paraId="1517CA8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7" w:type="dxa"/>
            <w:bottom w:w="0" w:type="dxa"/>
            <w:right w:w="17" w:type="dxa"/>
          </w:tblCellMar>
        </w:tblPrEx>
        <w:trPr>
          <w:trHeight w:val="90" w:hRule="atLeast"/>
          <w:jc w:val="center"/>
        </w:trPr>
        <w:tc>
          <w:tcPr>
            <w:tcW w:w="288" w:type="pct"/>
            <w:vMerge w:val="restart"/>
            <w:noWrap w:val="0"/>
            <w:vAlign w:val="center"/>
          </w:tcPr>
          <w:p w14:paraId="1CAFD59B">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T1</w:t>
            </w:r>
          </w:p>
        </w:tc>
        <w:tc>
          <w:tcPr>
            <w:tcW w:w="586" w:type="pct"/>
            <w:vMerge w:val="restart"/>
            <w:noWrap w:val="0"/>
            <w:vAlign w:val="center"/>
          </w:tcPr>
          <w:p w14:paraId="39B87B41">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sz w:val="21"/>
                <w:szCs w:val="21"/>
                <w:highlight w:val="none"/>
                <w:lang w:val="en-US" w:eastAsia="zh-CN"/>
              </w:rPr>
            </w:pPr>
            <w:r>
              <w:rPr>
                <w:rFonts w:hint="eastAsia"/>
                <w:sz w:val="21"/>
                <w:szCs w:val="21"/>
                <w:highlight w:val="none"/>
                <w:lang w:val="en-US" w:eastAsia="zh-CN"/>
              </w:rPr>
              <w:t>0~0.5m</w:t>
            </w:r>
          </w:p>
        </w:tc>
        <w:tc>
          <w:tcPr>
            <w:tcW w:w="1139" w:type="pct"/>
            <w:noWrap w:val="0"/>
            <w:vAlign w:val="center"/>
          </w:tcPr>
          <w:p w14:paraId="150FC16E">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sz w:val="21"/>
                <w:szCs w:val="21"/>
                <w:highlight w:val="none"/>
                <w:lang w:val="en-US" w:eastAsia="zh-CN"/>
              </w:rPr>
            </w:pPr>
            <w:r>
              <w:rPr>
                <w:rFonts w:hint="eastAsia"/>
                <w:sz w:val="21"/>
                <w:szCs w:val="21"/>
                <w:highlight w:val="none"/>
                <w:lang w:val="en-US" w:eastAsia="zh-CN"/>
              </w:rPr>
              <w:t>pH</w:t>
            </w:r>
          </w:p>
        </w:tc>
        <w:tc>
          <w:tcPr>
            <w:tcW w:w="514" w:type="pct"/>
            <w:noWrap w:val="0"/>
            <w:vAlign w:val="center"/>
          </w:tcPr>
          <w:p w14:paraId="0D00A394">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none"/>
                <w:lang w:val="en-US" w:eastAsia="zh-CN"/>
              </w:rPr>
            </w:pPr>
            <w:r>
              <w:rPr>
                <w:rFonts w:hint="eastAsia"/>
                <w:color w:val="auto"/>
                <w:sz w:val="21"/>
                <w:szCs w:val="21"/>
                <w:highlight w:val="none"/>
                <w:lang w:val="en-US" w:eastAsia="zh-CN"/>
              </w:rPr>
              <w:t>无量纲</w:t>
            </w:r>
          </w:p>
        </w:tc>
        <w:tc>
          <w:tcPr>
            <w:tcW w:w="772" w:type="pct"/>
            <w:noWrap w:val="0"/>
            <w:vAlign w:val="center"/>
          </w:tcPr>
          <w:p w14:paraId="340774FD">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b/>
                <w:bCs/>
                <w:sz w:val="21"/>
                <w:szCs w:val="21"/>
                <w:highlight w:val="none"/>
                <w:lang w:val="en-US" w:eastAsia="zh-CN"/>
              </w:rPr>
            </w:pPr>
            <w:r>
              <w:rPr>
                <w:rFonts w:hint="eastAsia"/>
                <w:b w:val="0"/>
                <w:bCs w:val="0"/>
                <w:sz w:val="21"/>
                <w:szCs w:val="21"/>
                <w:highlight w:val="none"/>
                <w:lang w:val="en-US" w:eastAsia="zh-CN"/>
              </w:rPr>
              <w:t>5.49</w:t>
            </w:r>
          </w:p>
        </w:tc>
        <w:tc>
          <w:tcPr>
            <w:tcW w:w="529" w:type="pct"/>
            <w:noWrap w:val="0"/>
            <w:vAlign w:val="center"/>
          </w:tcPr>
          <w:p w14:paraId="7BABF3B8">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b/>
                <w:bCs/>
                <w:sz w:val="21"/>
                <w:szCs w:val="21"/>
                <w:highlight w:val="none"/>
                <w:lang w:val="en-US" w:eastAsia="zh-CN"/>
              </w:rPr>
            </w:pPr>
            <w:r>
              <w:rPr>
                <w:rFonts w:hint="eastAsia"/>
                <w:b/>
                <w:bCs/>
                <w:sz w:val="21"/>
                <w:szCs w:val="21"/>
                <w:highlight w:val="none"/>
                <w:lang w:val="en-US" w:eastAsia="zh-CN"/>
              </w:rPr>
              <w:t>/</w:t>
            </w:r>
          </w:p>
        </w:tc>
        <w:tc>
          <w:tcPr>
            <w:tcW w:w="525" w:type="pct"/>
            <w:noWrap w:val="0"/>
            <w:vAlign w:val="center"/>
          </w:tcPr>
          <w:p w14:paraId="5651FA23">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b/>
                <w:bCs/>
                <w:sz w:val="21"/>
                <w:szCs w:val="21"/>
                <w:highlight w:val="none"/>
                <w:lang w:val="en-US" w:eastAsia="zh-CN"/>
              </w:rPr>
            </w:pPr>
            <w:r>
              <w:rPr>
                <w:rFonts w:hint="eastAsia"/>
                <w:b w:val="0"/>
                <w:bCs w:val="0"/>
                <w:sz w:val="21"/>
                <w:szCs w:val="21"/>
                <w:highlight w:val="none"/>
                <w:lang w:val="en-US" w:eastAsia="zh-CN"/>
              </w:rPr>
              <w:t>达标</w:t>
            </w:r>
          </w:p>
        </w:tc>
        <w:tc>
          <w:tcPr>
            <w:tcW w:w="644" w:type="pct"/>
            <w:noWrap w:val="0"/>
            <w:vAlign w:val="center"/>
          </w:tcPr>
          <w:p w14:paraId="368B949F">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b/>
                <w:bCs/>
                <w:sz w:val="21"/>
                <w:szCs w:val="21"/>
                <w:highlight w:val="none"/>
                <w:lang w:val="en-US" w:eastAsia="zh-CN"/>
              </w:rPr>
            </w:pPr>
            <w:r>
              <w:rPr>
                <w:rFonts w:hint="eastAsia"/>
                <w:b/>
                <w:bCs/>
                <w:sz w:val="21"/>
                <w:szCs w:val="21"/>
                <w:highlight w:val="none"/>
                <w:lang w:val="en-US" w:eastAsia="zh-CN"/>
              </w:rPr>
              <w:t>/</w:t>
            </w:r>
          </w:p>
        </w:tc>
      </w:tr>
      <w:tr w14:paraId="7CE0ED8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7" w:type="dxa"/>
            <w:bottom w:w="0" w:type="dxa"/>
            <w:right w:w="17" w:type="dxa"/>
          </w:tblCellMar>
        </w:tblPrEx>
        <w:trPr>
          <w:trHeight w:val="90" w:hRule="atLeast"/>
          <w:jc w:val="center"/>
        </w:trPr>
        <w:tc>
          <w:tcPr>
            <w:tcW w:w="288" w:type="pct"/>
            <w:vMerge w:val="continue"/>
            <w:noWrap w:val="0"/>
            <w:vAlign w:val="center"/>
          </w:tcPr>
          <w:p w14:paraId="04797658">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none"/>
                <w:lang w:val="en-US" w:eastAsia="zh-CN"/>
              </w:rPr>
            </w:pPr>
          </w:p>
        </w:tc>
        <w:tc>
          <w:tcPr>
            <w:tcW w:w="586" w:type="pct"/>
            <w:vMerge w:val="continue"/>
            <w:noWrap w:val="0"/>
            <w:vAlign w:val="center"/>
          </w:tcPr>
          <w:p w14:paraId="5CBDEF96">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none"/>
                <w:lang w:val="en-US" w:eastAsia="zh-CN"/>
              </w:rPr>
            </w:pPr>
          </w:p>
        </w:tc>
        <w:tc>
          <w:tcPr>
            <w:tcW w:w="1139" w:type="pct"/>
            <w:noWrap w:val="0"/>
            <w:vAlign w:val="center"/>
          </w:tcPr>
          <w:p w14:paraId="52020B33">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sz w:val="21"/>
                <w:szCs w:val="21"/>
                <w:highlight w:val="none"/>
                <w:lang w:val="en-US" w:eastAsia="zh-CN"/>
              </w:rPr>
            </w:pPr>
            <w:r>
              <w:rPr>
                <w:rFonts w:hint="eastAsia"/>
                <w:sz w:val="21"/>
                <w:szCs w:val="21"/>
                <w:highlight w:val="none"/>
                <w:lang w:val="en-US" w:eastAsia="zh-CN"/>
              </w:rPr>
              <w:t>砷</w:t>
            </w:r>
          </w:p>
        </w:tc>
        <w:tc>
          <w:tcPr>
            <w:tcW w:w="514" w:type="pct"/>
            <w:shd w:val="clear" w:color="auto" w:fill="auto"/>
            <w:noWrap w:val="0"/>
            <w:vAlign w:val="center"/>
          </w:tcPr>
          <w:p w14:paraId="45D34474">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mg/kg</w:t>
            </w:r>
          </w:p>
        </w:tc>
        <w:tc>
          <w:tcPr>
            <w:tcW w:w="772" w:type="pct"/>
            <w:noWrap w:val="0"/>
            <w:vAlign w:val="center"/>
          </w:tcPr>
          <w:p w14:paraId="7EB65497">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b/>
                <w:bCs/>
                <w:sz w:val="21"/>
                <w:szCs w:val="21"/>
                <w:highlight w:val="none"/>
                <w:lang w:val="en-US" w:eastAsia="zh-CN"/>
              </w:rPr>
            </w:pPr>
            <w:r>
              <w:rPr>
                <w:rFonts w:hint="eastAsia"/>
                <w:b/>
                <w:bCs/>
                <w:sz w:val="21"/>
                <w:szCs w:val="21"/>
                <w:highlight w:val="none"/>
                <w:lang w:val="en-US" w:eastAsia="zh-CN"/>
              </w:rPr>
              <w:t>177</w:t>
            </w:r>
          </w:p>
        </w:tc>
        <w:tc>
          <w:tcPr>
            <w:tcW w:w="529" w:type="pct"/>
            <w:noWrap w:val="0"/>
            <w:vAlign w:val="center"/>
          </w:tcPr>
          <w:p w14:paraId="294CAA9F">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b/>
                <w:bCs/>
                <w:sz w:val="21"/>
                <w:szCs w:val="21"/>
                <w:highlight w:val="none"/>
                <w:lang w:val="en-US" w:eastAsia="zh-CN"/>
              </w:rPr>
            </w:pPr>
            <w:r>
              <w:rPr>
                <w:rFonts w:hint="eastAsia"/>
                <w:b/>
                <w:bCs/>
                <w:sz w:val="21"/>
                <w:szCs w:val="21"/>
                <w:highlight w:val="none"/>
                <w:lang w:val="en-US" w:eastAsia="zh-CN"/>
              </w:rPr>
              <w:t>1.95</w:t>
            </w:r>
          </w:p>
        </w:tc>
        <w:tc>
          <w:tcPr>
            <w:tcW w:w="525" w:type="pct"/>
            <w:noWrap w:val="0"/>
            <w:vAlign w:val="center"/>
          </w:tcPr>
          <w:p w14:paraId="1CFBADA1">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b/>
                <w:bCs/>
                <w:sz w:val="21"/>
                <w:szCs w:val="21"/>
                <w:highlight w:val="none"/>
                <w:lang w:val="en-US" w:eastAsia="zh-CN"/>
              </w:rPr>
            </w:pPr>
            <w:r>
              <w:rPr>
                <w:rFonts w:hint="eastAsia"/>
                <w:b/>
                <w:bCs/>
                <w:sz w:val="21"/>
                <w:szCs w:val="21"/>
                <w:highlight w:val="none"/>
                <w:lang w:val="en-US" w:eastAsia="zh-CN"/>
              </w:rPr>
              <w:t>超标</w:t>
            </w:r>
          </w:p>
        </w:tc>
        <w:tc>
          <w:tcPr>
            <w:tcW w:w="644" w:type="pct"/>
            <w:noWrap w:val="0"/>
            <w:vAlign w:val="center"/>
          </w:tcPr>
          <w:p w14:paraId="6CDFDE66">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b/>
                <w:bCs/>
                <w:sz w:val="21"/>
                <w:szCs w:val="21"/>
                <w:highlight w:val="none"/>
                <w:lang w:val="en-US" w:eastAsia="zh-CN"/>
              </w:rPr>
            </w:pPr>
            <w:r>
              <w:rPr>
                <w:rFonts w:hint="eastAsia"/>
                <w:b/>
                <w:bCs/>
                <w:sz w:val="21"/>
                <w:szCs w:val="21"/>
                <w:highlight w:val="none"/>
                <w:lang w:val="en-US" w:eastAsia="zh-CN"/>
              </w:rPr>
              <w:t>60</w:t>
            </w:r>
          </w:p>
        </w:tc>
      </w:tr>
      <w:tr w14:paraId="7C7D3A3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7" w:type="dxa"/>
            <w:bottom w:w="0" w:type="dxa"/>
            <w:right w:w="17" w:type="dxa"/>
          </w:tblCellMar>
        </w:tblPrEx>
        <w:trPr>
          <w:trHeight w:val="90" w:hRule="atLeast"/>
          <w:jc w:val="center"/>
        </w:trPr>
        <w:tc>
          <w:tcPr>
            <w:tcW w:w="288" w:type="pct"/>
            <w:vMerge w:val="continue"/>
            <w:noWrap w:val="0"/>
            <w:vAlign w:val="center"/>
          </w:tcPr>
          <w:p w14:paraId="22B4E7FB">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none"/>
                <w:lang w:val="en-US" w:eastAsia="zh-CN"/>
              </w:rPr>
            </w:pPr>
          </w:p>
        </w:tc>
        <w:tc>
          <w:tcPr>
            <w:tcW w:w="586" w:type="pct"/>
            <w:vMerge w:val="continue"/>
            <w:noWrap w:val="0"/>
            <w:vAlign w:val="center"/>
          </w:tcPr>
          <w:p w14:paraId="2F42C46C">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none"/>
                <w:lang w:val="en-US" w:eastAsia="zh-CN"/>
              </w:rPr>
            </w:pPr>
          </w:p>
        </w:tc>
        <w:tc>
          <w:tcPr>
            <w:tcW w:w="1139" w:type="pct"/>
            <w:noWrap w:val="0"/>
            <w:vAlign w:val="center"/>
          </w:tcPr>
          <w:p w14:paraId="71C2748B">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sz w:val="21"/>
                <w:szCs w:val="21"/>
                <w:highlight w:val="none"/>
                <w:lang w:val="en-US" w:eastAsia="zh-CN"/>
              </w:rPr>
            </w:pPr>
            <w:r>
              <w:rPr>
                <w:rFonts w:hint="eastAsia"/>
                <w:sz w:val="21"/>
                <w:szCs w:val="21"/>
                <w:highlight w:val="none"/>
                <w:lang w:val="en-US" w:eastAsia="zh-CN"/>
              </w:rPr>
              <w:t>镍</w:t>
            </w:r>
          </w:p>
        </w:tc>
        <w:tc>
          <w:tcPr>
            <w:tcW w:w="514" w:type="pct"/>
            <w:shd w:val="clear" w:color="auto" w:fill="auto"/>
            <w:noWrap w:val="0"/>
            <w:vAlign w:val="center"/>
          </w:tcPr>
          <w:p w14:paraId="732853AA">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mg/kg</w:t>
            </w:r>
          </w:p>
        </w:tc>
        <w:tc>
          <w:tcPr>
            <w:tcW w:w="772" w:type="pct"/>
            <w:noWrap w:val="0"/>
            <w:vAlign w:val="center"/>
          </w:tcPr>
          <w:p w14:paraId="5991FCA0">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sz w:val="21"/>
                <w:szCs w:val="21"/>
                <w:highlight w:val="none"/>
                <w:lang w:val="en-US" w:eastAsia="zh-CN"/>
              </w:rPr>
            </w:pPr>
            <w:r>
              <w:rPr>
                <w:rFonts w:hint="eastAsia"/>
                <w:sz w:val="21"/>
                <w:szCs w:val="21"/>
                <w:highlight w:val="none"/>
                <w:lang w:val="en-US" w:eastAsia="zh-CN"/>
              </w:rPr>
              <w:t>30</w:t>
            </w:r>
          </w:p>
        </w:tc>
        <w:tc>
          <w:tcPr>
            <w:tcW w:w="529" w:type="pct"/>
            <w:noWrap w:val="0"/>
            <w:vAlign w:val="center"/>
          </w:tcPr>
          <w:p w14:paraId="43E99931">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sz w:val="21"/>
                <w:szCs w:val="21"/>
                <w:highlight w:val="none"/>
                <w:lang w:val="en-US" w:eastAsia="zh-CN"/>
              </w:rPr>
            </w:pPr>
            <w:r>
              <w:rPr>
                <w:rFonts w:hint="eastAsia"/>
                <w:sz w:val="21"/>
                <w:szCs w:val="21"/>
                <w:highlight w:val="none"/>
                <w:lang w:val="en-US" w:eastAsia="zh-CN"/>
              </w:rPr>
              <w:t>0</w:t>
            </w:r>
          </w:p>
        </w:tc>
        <w:tc>
          <w:tcPr>
            <w:tcW w:w="525" w:type="pct"/>
            <w:noWrap w:val="0"/>
            <w:vAlign w:val="center"/>
          </w:tcPr>
          <w:p w14:paraId="627B1FC4">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sz w:val="21"/>
                <w:szCs w:val="21"/>
                <w:highlight w:val="none"/>
                <w:lang w:val="en-US" w:eastAsia="zh-CN"/>
              </w:rPr>
            </w:pPr>
            <w:r>
              <w:rPr>
                <w:rFonts w:hint="eastAsia"/>
                <w:b w:val="0"/>
                <w:bCs w:val="0"/>
                <w:sz w:val="21"/>
                <w:szCs w:val="21"/>
                <w:highlight w:val="none"/>
                <w:lang w:val="en-US" w:eastAsia="zh-CN"/>
              </w:rPr>
              <w:t>达标</w:t>
            </w:r>
          </w:p>
        </w:tc>
        <w:tc>
          <w:tcPr>
            <w:tcW w:w="644" w:type="pct"/>
            <w:noWrap w:val="0"/>
            <w:vAlign w:val="center"/>
          </w:tcPr>
          <w:p w14:paraId="6766C4F1">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sz w:val="21"/>
                <w:szCs w:val="21"/>
                <w:highlight w:val="none"/>
                <w:lang w:val="en-US" w:eastAsia="zh-CN"/>
              </w:rPr>
            </w:pPr>
            <w:r>
              <w:rPr>
                <w:rFonts w:hint="eastAsia"/>
                <w:sz w:val="21"/>
                <w:szCs w:val="21"/>
                <w:highlight w:val="none"/>
                <w:lang w:val="en-US" w:eastAsia="zh-CN"/>
              </w:rPr>
              <w:t>900</w:t>
            </w:r>
          </w:p>
        </w:tc>
      </w:tr>
      <w:tr w14:paraId="35E24B0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90" w:hRule="atLeast"/>
          <w:jc w:val="center"/>
        </w:trPr>
        <w:tc>
          <w:tcPr>
            <w:tcW w:w="288" w:type="pct"/>
            <w:vMerge w:val="continue"/>
            <w:noWrap w:val="0"/>
            <w:vAlign w:val="center"/>
          </w:tcPr>
          <w:p w14:paraId="328F52F0">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none"/>
                <w:lang w:val="en-US" w:eastAsia="zh-CN"/>
              </w:rPr>
            </w:pPr>
          </w:p>
        </w:tc>
        <w:tc>
          <w:tcPr>
            <w:tcW w:w="586" w:type="pct"/>
            <w:vMerge w:val="continue"/>
            <w:noWrap w:val="0"/>
            <w:vAlign w:val="center"/>
          </w:tcPr>
          <w:p w14:paraId="4999A540">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none"/>
                <w:lang w:val="en-US" w:eastAsia="zh-CN"/>
              </w:rPr>
            </w:pPr>
          </w:p>
        </w:tc>
        <w:tc>
          <w:tcPr>
            <w:tcW w:w="1139" w:type="pct"/>
            <w:noWrap w:val="0"/>
            <w:vAlign w:val="center"/>
          </w:tcPr>
          <w:p w14:paraId="0BBDE276">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sz w:val="21"/>
                <w:szCs w:val="21"/>
                <w:highlight w:val="none"/>
                <w:lang w:val="en-US" w:eastAsia="zh-CN"/>
              </w:rPr>
            </w:pPr>
            <w:r>
              <w:rPr>
                <w:rFonts w:hint="eastAsia"/>
                <w:sz w:val="21"/>
                <w:szCs w:val="21"/>
                <w:highlight w:val="none"/>
                <w:lang w:val="en-US" w:eastAsia="zh-CN"/>
              </w:rPr>
              <w:t>铅</w:t>
            </w:r>
          </w:p>
        </w:tc>
        <w:tc>
          <w:tcPr>
            <w:tcW w:w="514" w:type="pct"/>
            <w:shd w:val="clear" w:color="auto" w:fill="auto"/>
            <w:noWrap w:val="0"/>
            <w:vAlign w:val="center"/>
          </w:tcPr>
          <w:p w14:paraId="6822C8B4">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mg/kg</w:t>
            </w:r>
          </w:p>
        </w:tc>
        <w:tc>
          <w:tcPr>
            <w:tcW w:w="772" w:type="pct"/>
            <w:noWrap w:val="0"/>
            <w:vAlign w:val="center"/>
          </w:tcPr>
          <w:p w14:paraId="2F5268F5">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sz w:val="21"/>
                <w:szCs w:val="21"/>
                <w:highlight w:val="none"/>
                <w:lang w:val="en-US" w:eastAsia="zh-CN"/>
              </w:rPr>
            </w:pPr>
            <w:r>
              <w:rPr>
                <w:rFonts w:hint="eastAsia"/>
                <w:sz w:val="21"/>
                <w:szCs w:val="21"/>
                <w:highlight w:val="none"/>
                <w:lang w:val="en-US" w:eastAsia="zh-CN"/>
              </w:rPr>
              <w:t>44</w:t>
            </w:r>
          </w:p>
        </w:tc>
        <w:tc>
          <w:tcPr>
            <w:tcW w:w="529" w:type="pct"/>
            <w:noWrap w:val="0"/>
            <w:vAlign w:val="center"/>
          </w:tcPr>
          <w:p w14:paraId="3652094A">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sz w:val="21"/>
                <w:szCs w:val="21"/>
                <w:highlight w:val="none"/>
                <w:lang w:val="en-US" w:eastAsia="zh-CN"/>
              </w:rPr>
            </w:pPr>
            <w:r>
              <w:rPr>
                <w:rFonts w:hint="eastAsia"/>
                <w:sz w:val="21"/>
                <w:szCs w:val="21"/>
                <w:highlight w:val="none"/>
                <w:lang w:val="en-US" w:eastAsia="zh-CN"/>
              </w:rPr>
              <w:t>0</w:t>
            </w:r>
          </w:p>
        </w:tc>
        <w:tc>
          <w:tcPr>
            <w:tcW w:w="525" w:type="pct"/>
            <w:shd w:val="clear" w:color="auto" w:fill="auto"/>
            <w:noWrap w:val="0"/>
            <w:vAlign w:val="center"/>
          </w:tcPr>
          <w:p w14:paraId="538352D1">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bCs/>
                <w:kern w:val="2"/>
                <w:sz w:val="21"/>
                <w:szCs w:val="21"/>
                <w:highlight w:val="none"/>
                <w:lang w:val="en-US" w:eastAsia="zh-CN" w:bidi="ar-SA"/>
              </w:rPr>
            </w:pPr>
            <w:r>
              <w:rPr>
                <w:rFonts w:hint="eastAsia"/>
                <w:b w:val="0"/>
                <w:bCs w:val="0"/>
                <w:sz w:val="21"/>
                <w:szCs w:val="21"/>
                <w:highlight w:val="none"/>
                <w:lang w:val="en-US" w:eastAsia="zh-CN"/>
              </w:rPr>
              <w:t>达标</w:t>
            </w:r>
          </w:p>
        </w:tc>
        <w:tc>
          <w:tcPr>
            <w:tcW w:w="644" w:type="pct"/>
            <w:noWrap w:val="0"/>
            <w:vAlign w:val="center"/>
          </w:tcPr>
          <w:p w14:paraId="6DCDB649">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sz w:val="21"/>
                <w:szCs w:val="21"/>
                <w:highlight w:val="none"/>
                <w:lang w:val="en-US" w:eastAsia="zh-CN"/>
              </w:rPr>
            </w:pPr>
            <w:r>
              <w:rPr>
                <w:rFonts w:hint="eastAsia"/>
                <w:sz w:val="21"/>
                <w:szCs w:val="21"/>
                <w:highlight w:val="none"/>
                <w:lang w:val="en-US" w:eastAsia="zh-CN"/>
              </w:rPr>
              <w:t>800</w:t>
            </w:r>
          </w:p>
        </w:tc>
      </w:tr>
      <w:tr w14:paraId="42C9874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7" w:type="dxa"/>
            <w:bottom w:w="0" w:type="dxa"/>
            <w:right w:w="17" w:type="dxa"/>
          </w:tblCellMar>
        </w:tblPrEx>
        <w:trPr>
          <w:trHeight w:val="90" w:hRule="atLeast"/>
          <w:jc w:val="center"/>
        </w:trPr>
        <w:tc>
          <w:tcPr>
            <w:tcW w:w="288" w:type="pct"/>
            <w:vMerge w:val="continue"/>
            <w:noWrap w:val="0"/>
            <w:vAlign w:val="center"/>
          </w:tcPr>
          <w:p w14:paraId="60D77537">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none"/>
                <w:lang w:val="en-US" w:eastAsia="zh-CN"/>
              </w:rPr>
            </w:pPr>
          </w:p>
        </w:tc>
        <w:tc>
          <w:tcPr>
            <w:tcW w:w="586" w:type="pct"/>
            <w:vMerge w:val="continue"/>
            <w:noWrap w:val="0"/>
            <w:vAlign w:val="center"/>
          </w:tcPr>
          <w:p w14:paraId="4F79B3D0">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none"/>
                <w:lang w:val="en-US" w:eastAsia="zh-CN"/>
              </w:rPr>
            </w:pPr>
          </w:p>
        </w:tc>
        <w:tc>
          <w:tcPr>
            <w:tcW w:w="1139" w:type="pct"/>
            <w:noWrap w:val="0"/>
            <w:vAlign w:val="center"/>
          </w:tcPr>
          <w:p w14:paraId="221A7CE8">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sz w:val="21"/>
                <w:szCs w:val="21"/>
                <w:highlight w:val="none"/>
                <w:lang w:val="en-US" w:eastAsia="zh-CN"/>
              </w:rPr>
            </w:pPr>
            <w:r>
              <w:rPr>
                <w:rFonts w:hint="eastAsia"/>
                <w:sz w:val="21"/>
                <w:szCs w:val="21"/>
                <w:highlight w:val="none"/>
                <w:lang w:val="en-US" w:eastAsia="zh-CN"/>
              </w:rPr>
              <w:t>镉</w:t>
            </w:r>
          </w:p>
        </w:tc>
        <w:tc>
          <w:tcPr>
            <w:tcW w:w="514" w:type="pct"/>
            <w:shd w:val="clear" w:color="auto" w:fill="auto"/>
            <w:noWrap w:val="0"/>
            <w:vAlign w:val="center"/>
          </w:tcPr>
          <w:p w14:paraId="5C951734">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mg/kg</w:t>
            </w:r>
          </w:p>
        </w:tc>
        <w:tc>
          <w:tcPr>
            <w:tcW w:w="772" w:type="pct"/>
            <w:noWrap w:val="0"/>
            <w:vAlign w:val="center"/>
          </w:tcPr>
          <w:p w14:paraId="308E63E3">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sz w:val="21"/>
                <w:szCs w:val="21"/>
                <w:highlight w:val="none"/>
                <w:lang w:val="en-US" w:eastAsia="zh-CN"/>
              </w:rPr>
            </w:pPr>
            <w:r>
              <w:rPr>
                <w:rFonts w:hint="eastAsia"/>
                <w:sz w:val="21"/>
                <w:szCs w:val="21"/>
                <w:highlight w:val="none"/>
                <w:lang w:val="en-US" w:eastAsia="zh-CN"/>
              </w:rPr>
              <w:t>0.16</w:t>
            </w:r>
          </w:p>
        </w:tc>
        <w:tc>
          <w:tcPr>
            <w:tcW w:w="529" w:type="pct"/>
            <w:noWrap w:val="0"/>
            <w:vAlign w:val="center"/>
          </w:tcPr>
          <w:p w14:paraId="1E39FFDC">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sz w:val="21"/>
                <w:szCs w:val="21"/>
                <w:highlight w:val="none"/>
                <w:lang w:val="en-US" w:eastAsia="zh-CN"/>
              </w:rPr>
            </w:pPr>
            <w:r>
              <w:rPr>
                <w:rFonts w:hint="eastAsia"/>
                <w:sz w:val="21"/>
                <w:szCs w:val="21"/>
                <w:highlight w:val="none"/>
                <w:lang w:val="en-US" w:eastAsia="zh-CN"/>
              </w:rPr>
              <w:t>0</w:t>
            </w:r>
          </w:p>
        </w:tc>
        <w:tc>
          <w:tcPr>
            <w:tcW w:w="525" w:type="pct"/>
            <w:shd w:val="clear" w:color="auto" w:fill="auto"/>
            <w:noWrap w:val="0"/>
            <w:vAlign w:val="center"/>
          </w:tcPr>
          <w:p w14:paraId="113A0D0B">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达标</w:t>
            </w:r>
          </w:p>
        </w:tc>
        <w:tc>
          <w:tcPr>
            <w:tcW w:w="644" w:type="pct"/>
            <w:noWrap w:val="0"/>
            <w:vAlign w:val="center"/>
          </w:tcPr>
          <w:p w14:paraId="08AF897A">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sz w:val="21"/>
                <w:szCs w:val="21"/>
                <w:highlight w:val="none"/>
                <w:lang w:val="en-US" w:eastAsia="zh-CN"/>
              </w:rPr>
            </w:pPr>
            <w:r>
              <w:rPr>
                <w:rFonts w:hint="eastAsia"/>
                <w:sz w:val="21"/>
                <w:szCs w:val="21"/>
                <w:highlight w:val="none"/>
                <w:lang w:val="en-US" w:eastAsia="zh-CN"/>
              </w:rPr>
              <w:t>65</w:t>
            </w:r>
          </w:p>
        </w:tc>
      </w:tr>
      <w:tr w14:paraId="2B4A876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7" w:type="dxa"/>
            <w:bottom w:w="0" w:type="dxa"/>
            <w:right w:w="17" w:type="dxa"/>
          </w:tblCellMar>
        </w:tblPrEx>
        <w:trPr>
          <w:trHeight w:val="90" w:hRule="atLeast"/>
          <w:jc w:val="center"/>
        </w:trPr>
        <w:tc>
          <w:tcPr>
            <w:tcW w:w="288" w:type="pct"/>
            <w:vMerge w:val="continue"/>
            <w:noWrap w:val="0"/>
            <w:vAlign w:val="center"/>
          </w:tcPr>
          <w:p w14:paraId="2CF887A6">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none"/>
                <w:lang w:val="en-US" w:eastAsia="zh-CN"/>
              </w:rPr>
            </w:pPr>
          </w:p>
        </w:tc>
        <w:tc>
          <w:tcPr>
            <w:tcW w:w="586" w:type="pct"/>
            <w:vMerge w:val="continue"/>
            <w:noWrap w:val="0"/>
            <w:vAlign w:val="center"/>
          </w:tcPr>
          <w:p w14:paraId="3BD080D7">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none"/>
                <w:lang w:val="en-US" w:eastAsia="zh-CN"/>
              </w:rPr>
            </w:pPr>
          </w:p>
        </w:tc>
        <w:tc>
          <w:tcPr>
            <w:tcW w:w="1139" w:type="pct"/>
            <w:noWrap w:val="0"/>
            <w:vAlign w:val="center"/>
          </w:tcPr>
          <w:p w14:paraId="247BDBF6">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sz w:val="21"/>
                <w:szCs w:val="21"/>
                <w:highlight w:val="none"/>
                <w:lang w:val="en-US" w:eastAsia="zh-CN"/>
              </w:rPr>
            </w:pPr>
            <w:r>
              <w:rPr>
                <w:rFonts w:hint="eastAsia"/>
                <w:sz w:val="21"/>
                <w:szCs w:val="21"/>
                <w:highlight w:val="none"/>
                <w:lang w:val="en-US" w:eastAsia="zh-CN"/>
              </w:rPr>
              <w:t>总铬</w:t>
            </w:r>
          </w:p>
        </w:tc>
        <w:tc>
          <w:tcPr>
            <w:tcW w:w="514" w:type="pct"/>
            <w:shd w:val="clear" w:color="auto" w:fill="auto"/>
            <w:noWrap w:val="0"/>
            <w:vAlign w:val="center"/>
          </w:tcPr>
          <w:p w14:paraId="60A72212">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mg/kg</w:t>
            </w:r>
          </w:p>
        </w:tc>
        <w:tc>
          <w:tcPr>
            <w:tcW w:w="772" w:type="pct"/>
            <w:noWrap w:val="0"/>
            <w:vAlign w:val="center"/>
          </w:tcPr>
          <w:p w14:paraId="0AE79C12">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sz w:val="21"/>
                <w:szCs w:val="21"/>
                <w:highlight w:val="none"/>
                <w:lang w:val="en-US" w:eastAsia="zh-CN"/>
              </w:rPr>
            </w:pPr>
            <w:r>
              <w:rPr>
                <w:rFonts w:hint="eastAsia"/>
                <w:sz w:val="21"/>
                <w:szCs w:val="21"/>
                <w:highlight w:val="none"/>
                <w:lang w:val="en-US" w:eastAsia="zh-CN"/>
              </w:rPr>
              <w:t>89</w:t>
            </w:r>
          </w:p>
        </w:tc>
        <w:tc>
          <w:tcPr>
            <w:tcW w:w="529" w:type="pct"/>
            <w:noWrap w:val="0"/>
            <w:vAlign w:val="center"/>
          </w:tcPr>
          <w:p w14:paraId="6F2D476D">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sz w:val="21"/>
                <w:szCs w:val="21"/>
                <w:highlight w:val="none"/>
                <w:lang w:val="en-US" w:eastAsia="zh-CN"/>
              </w:rPr>
            </w:pPr>
            <w:r>
              <w:rPr>
                <w:rFonts w:hint="eastAsia"/>
                <w:sz w:val="21"/>
                <w:szCs w:val="21"/>
                <w:highlight w:val="none"/>
                <w:lang w:val="en-US" w:eastAsia="zh-CN"/>
              </w:rPr>
              <w:t>/</w:t>
            </w:r>
          </w:p>
        </w:tc>
        <w:tc>
          <w:tcPr>
            <w:tcW w:w="525" w:type="pct"/>
            <w:shd w:val="clear" w:color="auto" w:fill="auto"/>
            <w:noWrap w:val="0"/>
            <w:vAlign w:val="center"/>
          </w:tcPr>
          <w:p w14:paraId="7C6C2C8D">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bCs/>
                <w:kern w:val="2"/>
                <w:sz w:val="21"/>
                <w:szCs w:val="21"/>
                <w:highlight w:val="none"/>
                <w:lang w:val="en-US" w:eastAsia="zh-CN" w:bidi="ar-SA"/>
              </w:rPr>
            </w:pPr>
            <w:r>
              <w:rPr>
                <w:rFonts w:hint="eastAsia"/>
                <w:b w:val="0"/>
                <w:bCs w:val="0"/>
                <w:sz w:val="21"/>
                <w:szCs w:val="21"/>
                <w:highlight w:val="none"/>
                <w:lang w:val="en-US" w:eastAsia="zh-CN"/>
              </w:rPr>
              <w:t>/</w:t>
            </w:r>
          </w:p>
        </w:tc>
        <w:tc>
          <w:tcPr>
            <w:tcW w:w="644" w:type="pct"/>
            <w:noWrap w:val="0"/>
            <w:vAlign w:val="center"/>
          </w:tcPr>
          <w:p w14:paraId="59AD8CA0">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sz w:val="21"/>
                <w:szCs w:val="21"/>
                <w:highlight w:val="none"/>
                <w:lang w:val="en-US" w:eastAsia="zh-CN"/>
              </w:rPr>
            </w:pPr>
            <w:r>
              <w:rPr>
                <w:rFonts w:hint="eastAsia"/>
                <w:sz w:val="21"/>
                <w:szCs w:val="21"/>
                <w:highlight w:val="none"/>
                <w:lang w:val="en-US" w:eastAsia="zh-CN"/>
              </w:rPr>
              <w:t>/</w:t>
            </w:r>
          </w:p>
        </w:tc>
      </w:tr>
      <w:tr w14:paraId="374BFFE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7" w:type="dxa"/>
            <w:bottom w:w="0" w:type="dxa"/>
            <w:right w:w="17" w:type="dxa"/>
          </w:tblCellMar>
        </w:tblPrEx>
        <w:trPr>
          <w:trHeight w:val="90" w:hRule="atLeast"/>
          <w:jc w:val="center"/>
        </w:trPr>
        <w:tc>
          <w:tcPr>
            <w:tcW w:w="288" w:type="pct"/>
            <w:vMerge w:val="continue"/>
            <w:noWrap w:val="0"/>
            <w:vAlign w:val="center"/>
          </w:tcPr>
          <w:p w14:paraId="499BEA69">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none"/>
                <w:lang w:val="en-US" w:eastAsia="zh-CN"/>
              </w:rPr>
            </w:pPr>
          </w:p>
        </w:tc>
        <w:tc>
          <w:tcPr>
            <w:tcW w:w="586" w:type="pct"/>
            <w:vMerge w:val="continue"/>
            <w:noWrap w:val="0"/>
            <w:vAlign w:val="center"/>
          </w:tcPr>
          <w:p w14:paraId="42B10F53">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none"/>
                <w:lang w:val="en-US" w:eastAsia="zh-CN"/>
              </w:rPr>
            </w:pPr>
          </w:p>
        </w:tc>
        <w:tc>
          <w:tcPr>
            <w:tcW w:w="1139" w:type="pct"/>
            <w:noWrap w:val="0"/>
            <w:vAlign w:val="center"/>
          </w:tcPr>
          <w:p w14:paraId="2861CFDF">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sz w:val="21"/>
                <w:szCs w:val="21"/>
                <w:highlight w:val="none"/>
                <w:lang w:val="en-US" w:eastAsia="zh-CN"/>
              </w:rPr>
            </w:pPr>
            <w:r>
              <w:rPr>
                <w:rFonts w:hint="eastAsia"/>
                <w:sz w:val="21"/>
                <w:szCs w:val="21"/>
                <w:highlight w:val="none"/>
                <w:lang w:val="en-US" w:eastAsia="zh-CN"/>
              </w:rPr>
              <w:t>铬（六价）</w:t>
            </w:r>
          </w:p>
        </w:tc>
        <w:tc>
          <w:tcPr>
            <w:tcW w:w="514" w:type="pct"/>
            <w:shd w:val="clear" w:color="auto" w:fill="auto"/>
            <w:noWrap w:val="0"/>
            <w:vAlign w:val="center"/>
          </w:tcPr>
          <w:p w14:paraId="08204B45">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mg/kg</w:t>
            </w:r>
          </w:p>
        </w:tc>
        <w:tc>
          <w:tcPr>
            <w:tcW w:w="772" w:type="pct"/>
            <w:noWrap w:val="0"/>
            <w:vAlign w:val="center"/>
          </w:tcPr>
          <w:p w14:paraId="4227E80E">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sz w:val="21"/>
                <w:szCs w:val="21"/>
                <w:highlight w:val="none"/>
                <w:lang w:val="en-US" w:eastAsia="zh-CN"/>
              </w:rPr>
            </w:pPr>
            <w:r>
              <w:rPr>
                <w:rFonts w:hint="eastAsia"/>
                <w:sz w:val="21"/>
                <w:szCs w:val="21"/>
                <w:highlight w:val="none"/>
                <w:lang w:val="en-US" w:eastAsia="zh-CN"/>
              </w:rPr>
              <w:t>ND</w:t>
            </w:r>
          </w:p>
        </w:tc>
        <w:tc>
          <w:tcPr>
            <w:tcW w:w="529" w:type="pct"/>
            <w:noWrap w:val="0"/>
            <w:vAlign w:val="center"/>
          </w:tcPr>
          <w:p w14:paraId="56578C2B">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sz w:val="21"/>
                <w:szCs w:val="21"/>
                <w:highlight w:val="none"/>
                <w:lang w:val="en-US" w:eastAsia="zh-CN"/>
              </w:rPr>
            </w:pPr>
            <w:r>
              <w:rPr>
                <w:rFonts w:hint="eastAsia"/>
                <w:sz w:val="21"/>
                <w:szCs w:val="21"/>
                <w:highlight w:val="none"/>
                <w:lang w:val="en-US" w:eastAsia="zh-CN"/>
              </w:rPr>
              <w:t>0</w:t>
            </w:r>
          </w:p>
        </w:tc>
        <w:tc>
          <w:tcPr>
            <w:tcW w:w="525" w:type="pct"/>
            <w:shd w:val="clear" w:color="auto" w:fill="auto"/>
            <w:noWrap w:val="0"/>
            <w:vAlign w:val="center"/>
          </w:tcPr>
          <w:p w14:paraId="6ED1884C">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达标</w:t>
            </w:r>
          </w:p>
        </w:tc>
        <w:tc>
          <w:tcPr>
            <w:tcW w:w="644" w:type="pct"/>
            <w:noWrap w:val="0"/>
            <w:vAlign w:val="center"/>
          </w:tcPr>
          <w:p w14:paraId="3C14B5AE">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sz w:val="21"/>
                <w:szCs w:val="21"/>
                <w:highlight w:val="none"/>
                <w:lang w:val="en-US" w:eastAsia="zh-CN"/>
              </w:rPr>
            </w:pPr>
            <w:r>
              <w:rPr>
                <w:rFonts w:hint="eastAsia"/>
                <w:sz w:val="21"/>
                <w:szCs w:val="21"/>
                <w:highlight w:val="none"/>
                <w:lang w:val="en-US" w:eastAsia="zh-CN"/>
              </w:rPr>
              <w:t>5.7</w:t>
            </w:r>
          </w:p>
        </w:tc>
      </w:tr>
      <w:tr w14:paraId="45A3E02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7" w:type="dxa"/>
            <w:bottom w:w="0" w:type="dxa"/>
            <w:right w:w="17" w:type="dxa"/>
          </w:tblCellMar>
        </w:tblPrEx>
        <w:trPr>
          <w:trHeight w:val="90" w:hRule="atLeast"/>
          <w:jc w:val="center"/>
        </w:trPr>
        <w:tc>
          <w:tcPr>
            <w:tcW w:w="288" w:type="pct"/>
            <w:vMerge w:val="continue"/>
            <w:noWrap w:val="0"/>
            <w:vAlign w:val="center"/>
          </w:tcPr>
          <w:p w14:paraId="7A9CE115">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none"/>
                <w:lang w:val="en-US" w:eastAsia="zh-CN"/>
              </w:rPr>
            </w:pPr>
          </w:p>
        </w:tc>
        <w:tc>
          <w:tcPr>
            <w:tcW w:w="586" w:type="pct"/>
            <w:vMerge w:val="continue"/>
            <w:noWrap w:val="0"/>
            <w:vAlign w:val="center"/>
          </w:tcPr>
          <w:p w14:paraId="49A701A8">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none"/>
                <w:lang w:val="en-US" w:eastAsia="zh-CN"/>
              </w:rPr>
            </w:pPr>
          </w:p>
        </w:tc>
        <w:tc>
          <w:tcPr>
            <w:tcW w:w="1139" w:type="pct"/>
            <w:noWrap w:val="0"/>
            <w:vAlign w:val="center"/>
          </w:tcPr>
          <w:p w14:paraId="5594185B">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sz w:val="21"/>
                <w:szCs w:val="21"/>
                <w:highlight w:val="none"/>
                <w:lang w:val="en-US" w:eastAsia="zh-CN"/>
              </w:rPr>
            </w:pPr>
            <w:r>
              <w:rPr>
                <w:rFonts w:hint="eastAsia"/>
                <w:sz w:val="21"/>
                <w:szCs w:val="21"/>
                <w:highlight w:val="none"/>
                <w:lang w:val="en-US" w:eastAsia="zh-CN"/>
              </w:rPr>
              <w:t>汞</w:t>
            </w:r>
          </w:p>
        </w:tc>
        <w:tc>
          <w:tcPr>
            <w:tcW w:w="514" w:type="pct"/>
            <w:shd w:val="clear" w:color="auto" w:fill="auto"/>
            <w:noWrap w:val="0"/>
            <w:vAlign w:val="center"/>
          </w:tcPr>
          <w:p w14:paraId="318F56E5">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mg/kg</w:t>
            </w:r>
          </w:p>
        </w:tc>
        <w:tc>
          <w:tcPr>
            <w:tcW w:w="772" w:type="pct"/>
            <w:noWrap w:val="0"/>
            <w:vAlign w:val="center"/>
          </w:tcPr>
          <w:p w14:paraId="779A9080">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sz w:val="21"/>
                <w:szCs w:val="21"/>
                <w:highlight w:val="none"/>
                <w:lang w:val="en-US" w:eastAsia="zh-CN"/>
              </w:rPr>
            </w:pPr>
            <w:r>
              <w:rPr>
                <w:rFonts w:hint="eastAsia"/>
                <w:sz w:val="21"/>
                <w:szCs w:val="21"/>
                <w:highlight w:val="none"/>
                <w:lang w:val="en-US" w:eastAsia="zh-CN"/>
              </w:rPr>
              <w:t>0.0832</w:t>
            </w:r>
          </w:p>
        </w:tc>
        <w:tc>
          <w:tcPr>
            <w:tcW w:w="529" w:type="pct"/>
            <w:noWrap w:val="0"/>
            <w:vAlign w:val="center"/>
          </w:tcPr>
          <w:p w14:paraId="66D6A718">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sz w:val="21"/>
                <w:szCs w:val="21"/>
                <w:highlight w:val="none"/>
                <w:lang w:val="en-US" w:eastAsia="zh-CN"/>
              </w:rPr>
            </w:pPr>
            <w:r>
              <w:rPr>
                <w:rFonts w:hint="eastAsia"/>
                <w:sz w:val="21"/>
                <w:szCs w:val="21"/>
                <w:highlight w:val="none"/>
                <w:lang w:val="en-US" w:eastAsia="zh-CN"/>
              </w:rPr>
              <w:t>0</w:t>
            </w:r>
          </w:p>
        </w:tc>
        <w:tc>
          <w:tcPr>
            <w:tcW w:w="525" w:type="pct"/>
            <w:shd w:val="clear" w:color="auto" w:fill="auto"/>
            <w:noWrap w:val="0"/>
            <w:vAlign w:val="center"/>
          </w:tcPr>
          <w:p w14:paraId="2C1CA0C8">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bCs/>
                <w:kern w:val="2"/>
                <w:sz w:val="21"/>
                <w:szCs w:val="21"/>
                <w:highlight w:val="none"/>
                <w:lang w:val="en-US" w:eastAsia="zh-CN" w:bidi="ar-SA"/>
              </w:rPr>
            </w:pPr>
            <w:r>
              <w:rPr>
                <w:rFonts w:hint="eastAsia"/>
                <w:b w:val="0"/>
                <w:bCs w:val="0"/>
                <w:sz w:val="21"/>
                <w:szCs w:val="21"/>
                <w:highlight w:val="none"/>
                <w:lang w:val="en-US" w:eastAsia="zh-CN"/>
              </w:rPr>
              <w:t>达标</w:t>
            </w:r>
          </w:p>
        </w:tc>
        <w:tc>
          <w:tcPr>
            <w:tcW w:w="644" w:type="pct"/>
            <w:noWrap w:val="0"/>
            <w:vAlign w:val="center"/>
          </w:tcPr>
          <w:p w14:paraId="784239B0">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sz w:val="21"/>
                <w:szCs w:val="21"/>
                <w:highlight w:val="none"/>
                <w:lang w:val="en-US" w:eastAsia="zh-CN"/>
              </w:rPr>
            </w:pPr>
            <w:r>
              <w:rPr>
                <w:rFonts w:hint="eastAsia"/>
                <w:sz w:val="21"/>
                <w:szCs w:val="21"/>
                <w:highlight w:val="none"/>
                <w:lang w:val="en-US" w:eastAsia="zh-CN"/>
              </w:rPr>
              <w:t>38</w:t>
            </w:r>
          </w:p>
        </w:tc>
      </w:tr>
      <w:tr w14:paraId="49180D4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7" w:type="dxa"/>
            <w:bottom w:w="0" w:type="dxa"/>
            <w:right w:w="17" w:type="dxa"/>
          </w:tblCellMar>
        </w:tblPrEx>
        <w:trPr>
          <w:trHeight w:val="90" w:hRule="atLeast"/>
          <w:jc w:val="center"/>
        </w:trPr>
        <w:tc>
          <w:tcPr>
            <w:tcW w:w="288" w:type="pct"/>
            <w:vMerge w:val="continue"/>
            <w:noWrap w:val="0"/>
            <w:vAlign w:val="center"/>
          </w:tcPr>
          <w:p w14:paraId="25BC4D77">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none"/>
                <w:lang w:val="en-US" w:eastAsia="zh-CN"/>
              </w:rPr>
            </w:pPr>
          </w:p>
        </w:tc>
        <w:tc>
          <w:tcPr>
            <w:tcW w:w="586" w:type="pct"/>
            <w:vMerge w:val="continue"/>
            <w:noWrap w:val="0"/>
            <w:vAlign w:val="center"/>
          </w:tcPr>
          <w:p w14:paraId="732652E4">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none"/>
                <w:lang w:val="en-US" w:eastAsia="zh-CN"/>
              </w:rPr>
            </w:pPr>
          </w:p>
        </w:tc>
        <w:tc>
          <w:tcPr>
            <w:tcW w:w="1139" w:type="pct"/>
            <w:noWrap w:val="0"/>
            <w:vAlign w:val="center"/>
          </w:tcPr>
          <w:p w14:paraId="6AD7A257">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sz w:val="21"/>
                <w:szCs w:val="21"/>
                <w:highlight w:val="none"/>
                <w:lang w:val="en-US" w:eastAsia="zh-CN"/>
              </w:rPr>
            </w:pPr>
            <w:r>
              <w:rPr>
                <w:rFonts w:hint="eastAsia"/>
                <w:sz w:val="21"/>
                <w:szCs w:val="21"/>
                <w:highlight w:val="none"/>
                <w:lang w:val="en-US" w:eastAsia="zh-CN"/>
              </w:rPr>
              <w:t>铜</w:t>
            </w:r>
          </w:p>
        </w:tc>
        <w:tc>
          <w:tcPr>
            <w:tcW w:w="514" w:type="pct"/>
            <w:shd w:val="clear" w:color="auto" w:fill="auto"/>
            <w:noWrap w:val="0"/>
            <w:vAlign w:val="center"/>
          </w:tcPr>
          <w:p w14:paraId="2E4971A2">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mg/kg</w:t>
            </w:r>
          </w:p>
        </w:tc>
        <w:tc>
          <w:tcPr>
            <w:tcW w:w="772" w:type="pct"/>
            <w:noWrap w:val="0"/>
            <w:vAlign w:val="center"/>
          </w:tcPr>
          <w:p w14:paraId="0D9F0053">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sz w:val="21"/>
                <w:szCs w:val="21"/>
                <w:highlight w:val="none"/>
                <w:lang w:val="en-US" w:eastAsia="zh-CN"/>
              </w:rPr>
            </w:pPr>
            <w:r>
              <w:rPr>
                <w:rFonts w:hint="eastAsia"/>
                <w:sz w:val="21"/>
                <w:szCs w:val="21"/>
                <w:highlight w:val="none"/>
                <w:lang w:val="en-US" w:eastAsia="zh-CN"/>
              </w:rPr>
              <w:t>34.4</w:t>
            </w:r>
          </w:p>
        </w:tc>
        <w:tc>
          <w:tcPr>
            <w:tcW w:w="529" w:type="pct"/>
            <w:noWrap w:val="0"/>
            <w:vAlign w:val="center"/>
          </w:tcPr>
          <w:p w14:paraId="17880076">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sz w:val="21"/>
                <w:szCs w:val="21"/>
                <w:highlight w:val="none"/>
                <w:lang w:val="en-US" w:eastAsia="zh-CN"/>
              </w:rPr>
            </w:pPr>
            <w:r>
              <w:rPr>
                <w:rFonts w:hint="eastAsia"/>
                <w:sz w:val="21"/>
                <w:szCs w:val="21"/>
                <w:highlight w:val="none"/>
                <w:lang w:val="en-US" w:eastAsia="zh-CN"/>
              </w:rPr>
              <w:t>0</w:t>
            </w:r>
          </w:p>
        </w:tc>
        <w:tc>
          <w:tcPr>
            <w:tcW w:w="525" w:type="pct"/>
            <w:shd w:val="clear" w:color="auto" w:fill="auto"/>
            <w:noWrap w:val="0"/>
            <w:vAlign w:val="center"/>
          </w:tcPr>
          <w:p w14:paraId="4038731B">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达标</w:t>
            </w:r>
          </w:p>
        </w:tc>
        <w:tc>
          <w:tcPr>
            <w:tcW w:w="644" w:type="pct"/>
            <w:noWrap w:val="0"/>
            <w:vAlign w:val="center"/>
          </w:tcPr>
          <w:p w14:paraId="27491B84">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sz w:val="21"/>
                <w:szCs w:val="21"/>
                <w:highlight w:val="none"/>
                <w:lang w:val="en-US" w:eastAsia="zh-CN"/>
              </w:rPr>
            </w:pPr>
            <w:r>
              <w:rPr>
                <w:rFonts w:hint="eastAsia"/>
                <w:sz w:val="21"/>
                <w:szCs w:val="21"/>
                <w:highlight w:val="none"/>
                <w:lang w:val="en-US" w:eastAsia="zh-CN"/>
              </w:rPr>
              <w:t>18000</w:t>
            </w:r>
          </w:p>
        </w:tc>
      </w:tr>
      <w:tr w14:paraId="3CE60C8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7" w:type="dxa"/>
            <w:bottom w:w="0" w:type="dxa"/>
            <w:right w:w="17" w:type="dxa"/>
          </w:tblCellMar>
        </w:tblPrEx>
        <w:trPr>
          <w:trHeight w:val="90" w:hRule="atLeast"/>
          <w:jc w:val="center"/>
        </w:trPr>
        <w:tc>
          <w:tcPr>
            <w:tcW w:w="288" w:type="pct"/>
            <w:vMerge w:val="continue"/>
            <w:noWrap w:val="0"/>
            <w:vAlign w:val="center"/>
          </w:tcPr>
          <w:p w14:paraId="67086C70">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none"/>
                <w:lang w:val="en-US" w:eastAsia="zh-CN"/>
              </w:rPr>
            </w:pPr>
          </w:p>
        </w:tc>
        <w:tc>
          <w:tcPr>
            <w:tcW w:w="586" w:type="pct"/>
            <w:vMerge w:val="continue"/>
            <w:noWrap w:val="0"/>
            <w:vAlign w:val="center"/>
          </w:tcPr>
          <w:p w14:paraId="226D02C8">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none"/>
                <w:lang w:val="en-US" w:eastAsia="zh-CN"/>
              </w:rPr>
            </w:pPr>
          </w:p>
        </w:tc>
        <w:tc>
          <w:tcPr>
            <w:tcW w:w="1139" w:type="pct"/>
            <w:noWrap w:val="0"/>
            <w:vAlign w:val="center"/>
          </w:tcPr>
          <w:p w14:paraId="006BC68C">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sz w:val="21"/>
                <w:szCs w:val="21"/>
                <w:highlight w:val="none"/>
                <w:lang w:val="en-US" w:eastAsia="zh-CN"/>
              </w:rPr>
            </w:pPr>
            <w:r>
              <w:rPr>
                <w:rFonts w:hint="eastAsia"/>
                <w:sz w:val="21"/>
                <w:szCs w:val="21"/>
                <w:highlight w:val="none"/>
                <w:lang w:val="en-US" w:eastAsia="zh-CN"/>
              </w:rPr>
              <w:t>锌</w:t>
            </w:r>
          </w:p>
        </w:tc>
        <w:tc>
          <w:tcPr>
            <w:tcW w:w="514" w:type="pct"/>
            <w:shd w:val="clear" w:color="auto" w:fill="auto"/>
            <w:noWrap w:val="0"/>
            <w:vAlign w:val="center"/>
          </w:tcPr>
          <w:p w14:paraId="2381995E">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mg/kg</w:t>
            </w:r>
          </w:p>
        </w:tc>
        <w:tc>
          <w:tcPr>
            <w:tcW w:w="772" w:type="pct"/>
            <w:noWrap w:val="0"/>
            <w:vAlign w:val="center"/>
          </w:tcPr>
          <w:p w14:paraId="23762E46">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sz w:val="21"/>
                <w:szCs w:val="21"/>
                <w:highlight w:val="none"/>
                <w:lang w:val="en-US" w:eastAsia="zh-CN"/>
              </w:rPr>
            </w:pPr>
            <w:r>
              <w:rPr>
                <w:rFonts w:hint="eastAsia"/>
                <w:sz w:val="21"/>
                <w:szCs w:val="21"/>
                <w:highlight w:val="none"/>
                <w:lang w:val="en-US" w:eastAsia="zh-CN"/>
              </w:rPr>
              <w:t>142</w:t>
            </w:r>
          </w:p>
        </w:tc>
        <w:tc>
          <w:tcPr>
            <w:tcW w:w="529" w:type="pct"/>
            <w:noWrap w:val="0"/>
            <w:vAlign w:val="center"/>
          </w:tcPr>
          <w:p w14:paraId="0C20ADD3">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sz w:val="21"/>
                <w:szCs w:val="21"/>
                <w:highlight w:val="none"/>
                <w:lang w:val="en-US" w:eastAsia="zh-CN"/>
              </w:rPr>
            </w:pPr>
            <w:r>
              <w:rPr>
                <w:rFonts w:hint="eastAsia"/>
                <w:sz w:val="21"/>
                <w:szCs w:val="21"/>
                <w:highlight w:val="none"/>
                <w:lang w:val="en-US" w:eastAsia="zh-CN"/>
              </w:rPr>
              <w:t>/</w:t>
            </w:r>
          </w:p>
        </w:tc>
        <w:tc>
          <w:tcPr>
            <w:tcW w:w="525" w:type="pct"/>
            <w:shd w:val="clear" w:color="auto" w:fill="auto"/>
            <w:noWrap w:val="0"/>
            <w:vAlign w:val="center"/>
          </w:tcPr>
          <w:p w14:paraId="330E02BB">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bCs/>
                <w:kern w:val="2"/>
                <w:sz w:val="21"/>
                <w:szCs w:val="21"/>
                <w:highlight w:val="none"/>
                <w:lang w:val="en-US" w:eastAsia="zh-CN" w:bidi="ar-SA"/>
              </w:rPr>
            </w:pPr>
            <w:r>
              <w:rPr>
                <w:rFonts w:hint="eastAsia"/>
                <w:b w:val="0"/>
                <w:bCs w:val="0"/>
                <w:sz w:val="21"/>
                <w:szCs w:val="21"/>
                <w:highlight w:val="none"/>
                <w:lang w:val="en-US" w:eastAsia="zh-CN"/>
              </w:rPr>
              <w:t>/</w:t>
            </w:r>
          </w:p>
        </w:tc>
        <w:tc>
          <w:tcPr>
            <w:tcW w:w="644" w:type="pct"/>
            <w:noWrap w:val="0"/>
            <w:vAlign w:val="center"/>
          </w:tcPr>
          <w:p w14:paraId="22A1F215">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sz w:val="21"/>
                <w:szCs w:val="21"/>
                <w:highlight w:val="none"/>
                <w:lang w:val="en-US" w:eastAsia="zh-CN"/>
              </w:rPr>
            </w:pPr>
            <w:r>
              <w:rPr>
                <w:rFonts w:hint="eastAsia"/>
                <w:sz w:val="21"/>
                <w:szCs w:val="21"/>
                <w:highlight w:val="none"/>
                <w:lang w:val="en-US" w:eastAsia="zh-CN"/>
              </w:rPr>
              <w:t>/</w:t>
            </w:r>
          </w:p>
        </w:tc>
      </w:tr>
      <w:tr w14:paraId="3840238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7" w:type="dxa"/>
            <w:bottom w:w="0" w:type="dxa"/>
            <w:right w:w="17" w:type="dxa"/>
          </w:tblCellMar>
        </w:tblPrEx>
        <w:trPr>
          <w:trHeight w:val="90" w:hRule="atLeast"/>
          <w:jc w:val="center"/>
        </w:trPr>
        <w:tc>
          <w:tcPr>
            <w:tcW w:w="288" w:type="pct"/>
            <w:vMerge w:val="continue"/>
            <w:noWrap w:val="0"/>
            <w:vAlign w:val="center"/>
          </w:tcPr>
          <w:p w14:paraId="4DD2295D">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none"/>
                <w:lang w:val="en-US" w:eastAsia="zh-CN"/>
              </w:rPr>
            </w:pPr>
          </w:p>
        </w:tc>
        <w:tc>
          <w:tcPr>
            <w:tcW w:w="586" w:type="pct"/>
            <w:vMerge w:val="continue"/>
            <w:noWrap w:val="0"/>
            <w:vAlign w:val="center"/>
          </w:tcPr>
          <w:p w14:paraId="011D4770">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none"/>
                <w:lang w:val="en-US" w:eastAsia="zh-CN"/>
              </w:rPr>
            </w:pPr>
          </w:p>
        </w:tc>
        <w:tc>
          <w:tcPr>
            <w:tcW w:w="1139" w:type="pct"/>
            <w:noWrap w:val="0"/>
            <w:vAlign w:val="center"/>
          </w:tcPr>
          <w:p w14:paraId="2208E3A3">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sz w:val="21"/>
                <w:szCs w:val="21"/>
                <w:highlight w:val="none"/>
                <w:lang w:val="en-US" w:eastAsia="zh-CN"/>
              </w:rPr>
            </w:pPr>
            <w:r>
              <w:rPr>
                <w:rFonts w:hint="eastAsia"/>
                <w:sz w:val="21"/>
                <w:szCs w:val="21"/>
                <w:highlight w:val="none"/>
                <w:lang w:val="en-US" w:eastAsia="zh-CN"/>
              </w:rPr>
              <w:t>氰化物</w:t>
            </w:r>
          </w:p>
        </w:tc>
        <w:tc>
          <w:tcPr>
            <w:tcW w:w="514" w:type="pct"/>
            <w:noWrap w:val="0"/>
            <w:vAlign w:val="center"/>
          </w:tcPr>
          <w:p w14:paraId="7337001E">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mg/kg</w:t>
            </w:r>
          </w:p>
        </w:tc>
        <w:tc>
          <w:tcPr>
            <w:tcW w:w="772" w:type="pct"/>
            <w:noWrap w:val="0"/>
            <w:vAlign w:val="center"/>
          </w:tcPr>
          <w:p w14:paraId="7967116A">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sz w:val="21"/>
                <w:szCs w:val="21"/>
                <w:highlight w:val="none"/>
                <w:lang w:val="en-US" w:eastAsia="zh-CN"/>
              </w:rPr>
            </w:pPr>
            <w:r>
              <w:rPr>
                <w:rFonts w:hint="eastAsia"/>
                <w:sz w:val="21"/>
                <w:szCs w:val="21"/>
                <w:highlight w:val="none"/>
                <w:lang w:val="en-US" w:eastAsia="zh-CN"/>
              </w:rPr>
              <w:t>ND</w:t>
            </w:r>
          </w:p>
        </w:tc>
        <w:tc>
          <w:tcPr>
            <w:tcW w:w="529" w:type="pct"/>
            <w:noWrap w:val="0"/>
            <w:vAlign w:val="center"/>
          </w:tcPr>
          <w:p w14:paraId="5C484190">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sz w:val="21"/>
                <w:szCs w:val="21"/>
                <w:highlight w:val="none"/>
                <w:lang w:val="en-US" w:eastAsia="zh-CN"/>
              </w:rPr>
            </w:pPr>
            <w:r>
              <w:rPr>
                <w:rFonts w:hint="eastAsia"/>
                <w:sz w:val="21"/>
                <w:szCs w:val="21"/>
                <w:highlight w:val="none"/>
                <w:lang w:val="en-US" w:eastAsia="zh-CN"/>
              </w:rPr>
              <w:t>0</w:t>
            </w:r>
          </w:p>
        </w:tc>
        <w:tc>
          <w:tcPr>
            <w:tcW w:w="525" w:type="pct"/>
            <w:shd w:val="clear" w:color="auto" w:fill="auto"/>
            <w:noWrap w:val="0"/>
            <w:vAlign w:val="center"/>
          </w:tcPr>
          <w:p w14:paraId="5C09F468">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达标</w:t>
            </w:r>
          </w:p>
        </w:tc>
        <w:tc>
          <w:tcPr>
            <w:tcW w:w="644" w:type="pct"/>
            <w:noWrap w:val="0"/>
            <w:vAlign w:val="center"/>
          </w:tcPr>
          <w:p w14:paraId="0279125E">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sz w:val="21"/>
                <w:szCs w:val="21"/>
                <w:highlight w:val="none"/>
                <w:lang w:val="en-US" w:eastAsia="zh-CN"/>
              </w:rPr>
            </w:pPr>
            <w:r>
              <w:rPr>
                <w:rFonts w:hint="eastAsia"/>
                <w:sz w:val="21"/>
                <w:szCs w:val="21"/>
                <w:highlight w:val="none"/>
                <w:lang w:val="en-US" w:eastAsia="zh-CN"/>
              </w:rPr>
              <w:t>135</w:t>
            </w:r>
          </w:p>
        </w:tc>
      </w:tr>
      <w:tr w14:paraId="58C6FC0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7" w:type="dxa"/>
            <w:bottom w:w="0" w:type="dxa"/>
            <w:right w:w="17" w:type="dxa"/>
          </w:tblCellMar>
        </w:tblPrEx>
        <w:trPr>
          <w:trHeight w:val="90" w:hRule="atLeast"/>
          <w:jc w:val="center"/>
        </w:trPr>
        <w:tc>
          <w:tcPr>
            <w:tcW w:w="288" w:type="pct"/>
            <w:vMerge w:val="continue"/>
            <w:noWrap w:val="0"/>
            <w:vAlign w:val="center"/>
          </w:tcPr>
          <w:p w14:paraId="10E4251E">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none"/>
                <w:lang w:val="en-US" w:eastAsia="zh-CN"/>
              </w:rPr>
            </w:pPr>
          </w:p>
        </w:tc>
        <w:tc>
          <w:tcPr>
            <w:tcW w:w="586" w:type="pct"/>
            <w:vMerge w:val="restart"/>
            <w:noWrap w:val="0"/>
            <w:vAlign w:val="center"/>
          </w:tcPr>
          <w:p w14:paraId="4FF9221A">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0.5~1.5m</w:t>
            </w:r>
          </w:p>
        </w:tc>
        <w:tc>
          <w:tcPr>
            <w:tcW w:w="1139" w:type="pct"/>
            <w:shd w:val="clear" w:color="auto" w:fill="auto"/>
            <w:noWrap w:val="0"/>
            <w:vAlign w:val="center"/>
          </w:tcPr>
          <w:p w14:paraId="1B011870">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pH</w:t>
            </w:r>
          </w:p>
        </w:tc>
        <w:tc>
          <w:tcPr>
            <w:tcW w:w="514" w:type="pct"/>
            <w:shd w:val="clear" w:color="auto" w:fill="auto"/>
            <w:noWrap w:val="0"/>
            <w:vAlign w:val="center"/>
          </w:tcPr>
          <w:p w14:paraId="638806E8">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color w:val="auto"/>
                <w:sz w:val="21"/>
                <w:szCs w:val="21"/>
                <w:highlight w:val="none"/>
                <w:lang w:val="en-US" w:eastAsia="zh-CN"/>
              </w:rPr>
              <w:t>无量纲</w:t>
            </w:r>
          </w:p>
        </w:tc>
        <w:tc>
          <w:tcPr>
            <w:tcW w:w="772" w:type="pct"/>
            <w:noWrap w:val="0"/>
            <w:vAlign w:val="center"/>
          </w:tcPr>
          <w:p w14:paraId="3E289492">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sz w:val="21"/>
                <w:szCs w:val="21"/>
                <w:highlight w:val="none"/>
                <w:lang w:val="en-US" w:eastAsia="zh-CN"/>
              </w:rPr>
            </w:pPr>
            <w:r>
              <w:rPr>
                <w:rFonts w:hint="eastAsia"/>
                <w:sz w:val="21"/>
                <w:szCs w:val="21"/>
                <w:highlight w:val="none"/>
                <w:lang w:val="en-US" w:eastAsia="zh-CN"/>
              </w:rPr>
              <w:t>5.20</w:t>
            </w:r>
          </w:p>
        </w:tc>
        <w:tc>
          <w:tcPr>
            <w:tcW w:w="529" w:type="pct"/>
            <w:noWrap w:val="0"/>
            <w:vAlign w:val="center"/>
          </w:tcPr>
          <w:p w14:paraId="0C5E41D6">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none"/>
                <w:lang w:val="en-US" w:eastAsia="zh-CN"/>
              </w:rPr>
            </w:pPr>
            <w:r>
              <w:rPr>
                <w:rFonts w:hint="eastAsia"/>
                <w:b/>
                <w:bCs/>
                <w:sz w:val="21"/>
                <w:szCs w:val="21"/>
                <w:highlight w:val="none"/>
                <w:lang w:val="en-US" w:eastAsia="zh-CN"/>
              </w:rPr>
              <w:t>/</w:t>
            </w:r>
          </w:p>
        </w:tc>
        <w:tc>
          <w:tcPr>
            <w:tcW w:w="525" w:type="pct"/>
            <w:shd w:val="clear" w:color="auto" w:fill="auto"/>
            <w:noWrap w:val="0"/>
            <w:vAlign w:val="center"/>
          </w:tcPr>
          <w:p w14:paraId="617A83B7">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bCs/>
                <w:kern w:val="2"/>
                <w:sz w:val="21"/>
                <w:szCs w:val="21"/>
                <w:highlight w:val="none"/>
                <w:lang w:val="en-US" w:eastAsia="zh-CN" w:bidi="ar-SA"/>
              </w:rPr>
            </w:pPr>
            <w:r>
              <w:rPr>
                <w:rFonts w:hint="eastAsia"/>
                <w:b w:val="0"/>
                <w:bCs w:val="0"/>
                <w:sz w:val="21"/>
                <w:szCs w:val="21"/>
                <w:highlight w:val="none"/>
                <w:lang w:val="en-US" w:eastAsia="zh-CN"/>
              </w:rPr>
              <w:t>/</w:t>
            </w:r>
          </w:p>
        </w:tc>
        <w:tc>
          <w:tcPr>
            <w:tcW w:w="644" w:type="pct"/>
            <w:shd w:val="clear" w:color="auto" w:fill="auto"/>
            <w:noWrap w:val="0"/>
            <w:vAlign w:val="center"/>
          </w:tcPr>
          <w:p w14:paraId="7D18771D">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w:t>
            </w:r>
          </w:p>
        </w:tc>
      </w:tr>
      <w:tr w14:paraId="2953E83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7" w:type="dxa"/>
            <w:bottom w:w="0" w:type="dxa"/>
            <w:right w:w="17" w:type="dxa"/>
          </w:tblCellMar>
        </w:tblPrEx>
        <w:trPr>
          <w:trHeight w:val="90" w:hRule="atLeast"/>
          <w:jc w:val="center"/>
        </w:trPr>
        <w:tc>
          <w:tcPr>
            <w:tcW w:w="288" w:type="pct"/>
            <w:vMerge w:val="continue"/>
            <w:noWrap w:val="0"/>
            <w:vAlign w:val="center"/>
          </w:tcPr>
          <w:p w14:paraId="38855081">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none"/>
                <w:lang w:val="en-US" w:eastAsia="zh-CN"/>
              </w:rPr>
            </w:pPr>
          </w:p>
        </w:tc>
        <w:tc>
          <w:tcPr>
            <w:tcW w:w="586" w:type="pct"/>
            <w:vMerge w:val="continue"/>
            <w:noWrap w:val="0"/>
            <w:vAlign w:val="center"/>
          </w:tcPr>
          <w:p w14:paraId="5A232FD3">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none"/>
                <w:lang w:val="en-US" w:eastAsia="zh-CN"/>
              </w:rPr>
            </w:pPr>
          </w:p>
        </w:tc>
        <w:tc>
          <w:tcPr>
            <w:tcW w:w="1139" w:type="pct"/>
            <w:shd w:val="clear" w:color="auto" w:fill="auto"/>
            <w:noWrap w:val="0"/>
            <w:vAlign w:val="center"/>
          </w:tcPr>
          <w:p w14:paraId="2D353C6B">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砷</w:t>
            </w:r>
          </w:p>
        </w:tc>
        <w:tc>
          <w:tcPr>
            <w:tcW w:w="514" w:type="pct"/>
            <w:shd w:val="clear" w:color="auto" w:fill="auto"/>
            <w:noWrap w:val="0"/>
            <w:vAlign w:val="center"/>
          </w:tcPr>
          <w:p w14:paraId="67D1CD25">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mg/kg</w:t>
            </w:r>
          </w:p>
        </w:tc>
        <w:tc>
          <w:tcPr>
            <w:tcW w:w="772" w:type="pct"/>
            <w:noWrap w:val="0"/>
            <w:vAlign w:val="center"/>
          </w:tcPr>
          <w:p w14:paraId="3EFF4970">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b/>
                <w:bCs/>
                <w:sz w:val="21"/>
                <w:szCs w:val="21"/>
                <w:highlight w:val="none"/>
                <w:lang w:val="en-US" w:eastAsia="zh-CN"/>
              </w:rPr>
            </w:pPr>
            <w:r>
              <w:rPr>
                <w:rFonts w:hint="eastAsia"/>
                <w:b/>
                <w:bCs/>
                <w:sz w:val="21"/>
                <w:szCs w:val="21"/>
                <w:highlight w:val="none"/>
                <w:lang w:val="en-US" w:eastAsia="zh-CN"/>
              </w:rPr>
              <w:t>119</w:t>
            </w:r>
          </w:p>
        </w:tc>
        <w:tc>
          <w:tcPr>
            <w:tcW w:w="529" w:type="pct"/>
            <w:noWrap w:val="0"/>
            <w:vAlign w:val="center"/>
          </w:tcPr>
          <w:p w14:paraId="242A6339">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b/>
                <w:bCs/>
                <w:sz w:val="21"/>
                <w:szCs w:val="21"/>
                <w:highlight w:val="none"/>
                <w:lang w:val="en-US" w:eastAsia="zh-CN"/>
              </w:rPr>
            </w:pPr>
            <w:r>
              <w:rPr>
                <w:rFonts w:hint="eastAsia"/>
                <w:b/>
                <w:bCs/>
                <w:sz w:val="21"/>
                <w:szCs w:val="21"/>
                <w:highlight w:val="none"/>
                <w:lang w:val="en-US" w:eastAsia="zh-CN"/>
              </w:rPr>
              <w:t>0.98</w:t>
            </w:r>
          </w:p>
        </w:tc>
        <w:tc>
          <w:tcPr>
            <w:tcW w:w="525" w:type="pct"/>
            <w:shd w:val="clear" w:color="auto" w:fill="auto"/>
            <w:noWrap w:val="0"/>
            <w:vAlign w:val="center"/>
          </w:tcPr>
          <w:p w14:paraId="7EC7D58A">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bCs/>
                <w:kern w:val="2"/>
                <w:sz w:val="21"/>
                <w:szCs w:val="21"/>
                <w:highlight w:val="none"/>
                <w:lang w:val="en-US" w:eastAsia="zh-CN" w:bidi="ar-SA"/>
              </w:rPr>
            </w:pPr>
            <w:r>
              <w:rPr>
                <w:rFonts w:hint="eastAsia"/>
                <w:b/>
                <w:bCs/>
                <w:sz w:val="21"/>
                <w:szCs w:val="21"/>
                <w:highlight w:val="none"/>
                <w:lang w:val="en-US" w:eastAsia="zh-CN"/>
              </w:rPr>
              <w:t>超标</w:t>
            </w:r>
          </w:p>
        </w:tc>
        <w:tc>
          <w:tcPr>
            <w:tcW w:w="644" w:type="pct"/>
            <w:shd w:val="clear" w:color="auto" w:fill="auto"/>
            <w:noWrap w:val="0"/>
            <w:vAlign w:val="center"/>
          </w:tcPr>
          <w:p w14:paraId="1C1331BB">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bCs/>
                <w:kern w:val="2"/>
                <w:sz w:val="21"/>
                <w:szCs w:val="21"/>
                <w:highlight w:val="none"/>
                <w:lang w:val="en-US" w:eastAsia="zh-CN" w:bidi="ar-SA"/>
              </w:rPr>
            </w:pPr>
            <w:r>
              <w:rPr>
                <w:rFonts w:hint="eastAsia"/>
                <w:b/>
                <w:bCs/>
                <w:sz w:val="21"/>
                <w:szCs w:val="21"/>
                <w:highlight w:val="none"/>
                <w:lang w:val="en-US" w:eastAsia="zh-CN"/>
              </w:rPr>
              <w:t>60</w:t>
            </w:r>
          </w:p>
        </w:tc>
      </w:tr>
      <w:tr w14:paraId="6A9363E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7" w:type="dxa"/>
            <w:bottom w:w="0" w:type="dxa"/>
            <w:right w:w="17" w:type="dxa"/>
          </w:tblCellMar>
        </w:tblPrEx>
        <w:trPr>
          <w:trHeight w:val="90" w:hRule="atLeast"/>
          <w:jc w:val="center"/>
        </w:trPr>
        <w:tc>
          <w:tcPr>
            <w:tcW w:w="288" w:type="pct"/>
            <w:vMerge w:val="continue"/>
            <w:noWrap w:val="0"/>
            <w:vAlign w:val="center"/>
          </w:tcPr>
          <w:p w14:paraId="475AD387">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none"/>
                <w:lang w:val="en-US" w:eastAsia="zh-CN"/>
              </w:rPr>
            </w:pPr>
          </w:p>
        </w:tc>
        <w:tc>
          <w:tcPr>
            <w:tcW w:w="586" w:type="pct"/>
            <w:vMerge w:val="continue"/>
            <w:noWrap w:val="0"/>
            <w:vAlign w:val="center"/>
          </w:tcPr>
          <w:p w14:paraId="33B1E58F">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none"/>
                <w:lang w:val="en-US" w:eastAsia="zh-CN"/>
              </w:rPr>
            </w:pPr>
          </w:p>
        </w:tc>
        <w:tc>
          <w:tcPr>
            <w:tcW w:w="1139" w:type="pct"/>
            <w:shd w:val="clear" w:color="auto" w:fill="auto"/>
            <w:noWrap w:val="0"/>
            <w:vAlign w:val="center"/>
          </w:tcPr>
          <w:p w14:paraId="14C2A917">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镍</w:t>
            </w:r>
          </w:p>
        </w:tc>
        <w:tc>
          <w:tcPr>
            <w:tcW w:w="514" w:type="pct"/>
            <w:shd w:val="clear" w:color="auto" w:fill="auto"/>
            <w:noWrap w:val="0"/>
            <w:vAlign w:val="center"/>
          </w:tcPr>
          <w:p w14:paraId="2DEF73B6">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mg/kg</w:t>
            </w:r>
          </w:p>
        </w:tc>
        <w:tc>
          <w:tcPr>
            <w:tcW w:w="772" w:type="pct"/>
            <w:noWrap w:val="0"/>
            <w:vAlign w:val="center"/>
          </w:tcPr>
          <w:p w14:paraId="610EE35E">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sz w:val="21"/>
                <w:szCs w:val="21"/>
                <w:highlight w:val="none"/>
                <w:lang w:val="en-US" w:eastAsia="zh-CN"/>
              </w:rPr>
            </w:pPr>
            <w:r>
              <w:rPr>
                <w:rFonts w:hint="eastAsia"/>
                <w:sz w:val="21"/>
                <w:szCs w:val="21"/>
                <w:highlight w:val="none"/>
                <w:lang w:val="en-US" w:eastAsia="zh-CN"/>
              </w:rPr>
              <w:t>31</w:t>
            </w:r>
          </w:p>
        </w:tc>
        <w:tc>
          <w:tcPr>
            <w:tcW w:w="529" w:type="pct"/>
            <w:shd w:val="clear" w:color="auto" w:fill="auto"/>
            <w:noWrap w:val="0"/>
            <w:vAlign w:val="center"/>
          </w:tcPr>
          <w:p w14:paraId="4B82857C">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0</w:t>
            </w:r>
          </w:p>
        </w:tc>
        <w:tc>
          <w:tcPr>
            <w:tcW w:w="525" w:type="pct"/>
            <w:shd w:val="clear" w:color="auto" w:fill="auto"/>
            <w:noWrap w:val="0"/>
            <w:vAlign w:val="center"/>
          </w:tcPr>
          <w:p w14:paraId="1AD2B612">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达标</w:t>
            </w:r>
          </w:p>
        </w:tc>
        <w:tc>
          <w:tcPr>
            <w:tcW w:w="644" w:type="pct"/>
            <w:shd w:val="clear" w:color="auto" w:fill="auto"/>
            <w:noWrap w:val="0"/>
            <w:vAlign w:val="center"/>
          </w:tcPr>
          <w:p w14:paraId="7088B736">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900</w:t>
            </w:r>
          </w:p>
        </w:tc>
      </w:tr>
      <w:tr w14:paraId="6481921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7" w:type="dxa"/>
            <w:bottom w:w="0" w:type="dxa"/>
            <w:right w:w="17" w:type="dxa"/>
          </w:tblCellMar>
        </w:tblPrEx>
        <w:trPr>
          <w:trHeight w:val="90" w:hRule="atLeast"/>
          <w:jc w:val="center"/>
        </w:trPr>
        <w:tc>
          <w:tcPr>
            <w:tcW w:w="288" w:type="pct"/>
            <w:vMerge w:val="continue"/>
            <w:noWrap w:val="0"/>
            <w:vAlign w:val="center"/>
          </w:tcPr>
          <w:p w14:paraId="5AECEA3B">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none"/>
                <w:lang w:val="en-US" w:eastAsia="zh-CN"/>
              </w:rPr>
            </w:pPr>
          </w:p>
        </w:tc>
        <w:tc>
          <w:tcPr>
            <w:tcW w:w="586" w:type="pct"/>
            <w:vMerge w:val="continue"/>
            <w:noWrap w:val="0"/>
            <w:vAlign w:val="center"/>
          </w:tcPr>
          <w:p w14:paraId="69ED37E9">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none"/>
                <w:lang w:val="en-US" w:eastAsia="zh-CN"/>
              </w:rPr>
            </w:pPr>
          </w:p>
        </w:tc>
        <w:tc>
          <w:tcPr>
            <w:tcW w:w="1139" w:type="pct"/>
            <w:shd w:val="clear" w:color="auto" w:fill="auto"/>
            <w:noWrap w:val="0"/>
            <w:vAlign w:val="center"/>
          </w:tcPr>
          <w:p w14:paraId="3F7892C7">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铅</w:t>
            </w:r>
          </w:p>
        </w:tc>
        <w:tc>
          <w:tcPr>
            <w:tcW w:w="514" w:type="pct"/>
            <w:shd w:val="clear" w:color="auto" w:fill="auto"/>
            <w:noWrap w:val="0"/>
            <w:vAlign w:val="center"/>
          </w:tcPr>
          <w:p w14:paraId="7F1FA8B8">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mg/kg</w:t>
            </w:r>
          </w:p>
        </w:tc>
        <w:tc>
          <w:tcPr>
            <w:tcW w:w="772" w:type="pct"/>
            <w:noWrap w:val="0"/>
            <w:vAlign w:val="center"/>
          </w:tcPr>
          <w:p w14:paraId="23FF6AB8">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sz w:val="21"/>
                <w:szCs w:val="21"/>
                <w:highlight w:val="none"/>
                <w:lang w:val="en-US" w:eastAsia="zh-CN"/>
              </w:rPr>
            </w:pPr>
            <w:r>
              <w:rPr>
                <w:rFonts w:hint="eastAsia"/>
                <w:sz w:val="21"/>
                <w:szCs w:val="21"/>
                <w:highlight w:val="none"/>
                <w:lang w:val="en-US" w:eastAsia="zh-CN"/>
              </w:rPr>
              <w:t>40</w:t>
            </w:r>
          </w:p>
        </w:tc>
        <w:tc>
          <w:tcPr>
            <w:tcW w:w="529" w:type="pct"/>
            <w:shd w:val="clear" w:color="auto" w:fill="auto"/>
            <w:noWrap w:val="0"/>
            <w:vAlign w:val="center"/>
          </w:tcPr>
          <w:p w14:paraId="2B15D376">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0</w:t>
            </w:r>
          </w:p>
        </w:tc>
        <w:tc>
          <w:tcPr>
            <w:tcW w:w="525" w:type="pct"/>
            <w:shd w:val="clear" w:color="auto" w:fill="auto"/>
            <w:noWrap w:val="0"/>
            <w:vAlign w:val="center"/>
          </w:tcPr>
          <w:p w14:paraId="78A8C421">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bCs/>
                <w:kern w:val="2"/>
                <w:sz w:val="21"/>
                <w:szCs w:val="21"/>
                <w:highlight w:val="none"/>
                <w:lang w:val="en-US" w:eastAsia="zh-CN" w:bidi="ar-SA"/>
              </w:rPr>
            </w:pPr>
            <w:r>
              <w:rPr>
                <w:rFonts w:hint="eastAsia"/>
                <w:b w:val="0"/>
                <w:bCs w:val="0"/>
                <w:sz w:val="21"/>
                <w:szCs w:val="21"/>
                <w:highlight w:val="none"/>
                <w:lang w:val="en-US" w:eastAsia="zh-CN"/>
              </w:rPr>
              <w:t>达标</w:t>
            </w:r>
          </w:p>
        </w:tc>
        <w:tc>
          <w:tcPr>
            <w:tcW w:w="644" w:type="pct"/>
            <w:shd w:val="clear" w:color="auto" w:fill="auto"/>
            <w:noWrap w:val="0"/>
            <w:vAlign w:val="center"/>
          </w:tcPr>
          <w:p w14:paraId="5629243C">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800</w:t>
            </w:r>
          </w:p>
        </w:tc>
      </w:tr>
      <w:tr w14:paraId="7F285D7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7" w:type="dxa"/>
            <w:bottom w:w="0" w:type="dxa"/>
            <w:right w:w="17" w:type="dxa"/>
          </w:tblCellMar>
        </w:tblPrEx>
        <w:trPr>
          <w:trHeight w:val="90" w:hRule="atLeast"/>
          <w:jc w:val="center"/>
        </w:trPr>
        <w:tc>
          <w:tcPr>
            <w:tcW w:w="288" w:type="pct"/>
            <w:vMerge w:val="continue"/>
            <w:noWrap w:val="0"/>
            <w:vAlign w:val="center"/>
          </w:tcPr>
          <w:p w14:paraId="4A1E5A74">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none"/>
                <w:lang w:val="en-US" w:eastAsia="zh-CN"/>
              </w:rPr>
            </w:pPr>
          </w:p>
        </w:tc>
        <w:tc>
          <w:tcPr>
            <w:tcW w:w="586" w:type="pct"/>
            <w:vMerge w:val="continue"/>
            <w:noWrap w:val="0"/>
            <w:vAlign w:val="center"/>
          </w:tcPr>
          <w:p w14:paraId="3C6F2EED">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none"/>
                <w:lang w:val="en-US" w:eastAsia="zh-CN"/>
              </w:rPr>
            </w:pPr>
          </w:p>
        </w:tc>
        <w:tc>
          <w:tcPr>
            <w:tcW w:w="1139" w:type="pct"/>
            <w:shd w:val="clear" w:color="auto" w:fill="auto"/>
            <w:noWrap w:val="0"/>
            <w:vAlign w:val="center"/>
          </w:tcPr>
          <w:p w14:paraId="2729038A">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镉</w:t>
            </w:r>
          </w:p>
        </w:tc>
        <w:tc>
          <w:tcPr>
            <w:tcW w:w="514" w:type="pct"/>
            <w:shd w:val="clear" w:color="auto" w:fill="auto"/>
            <w:noWrap w:val="0"/>
            <w:vAlign w:val="center"/>
          </w:tcPr>
          <w:p w14:paraId="3621B4C4">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mg/kg</w:t>
            </w:r>
          </w:p>
        </w:tc>
        <w:tc>
          <w:tcPr>
            <w:tcW w:w="772" w:type="pct"/>
            <w:noWrap w:val="0"/>
            <w:vAlign w:val="center"/>
          </w:tcPr>
          <w:p w14:paraId="2F2AAF4A">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sz w:val="21"/>
                <w:szCs w:val="21"/>
                <w:highlight w:val="none"/>
                <w:lang w:val="en-US" w:eastAsia="zh-CN"/>
              </w:rPr>
            </w:pPr>
            <w:r>
              <w:rPr>
                <w:rFonts w:hint="eastAsia"/>
                <w:sz w:val="21"/>
                <w:szCs w:val="21"/>
                <w:highlight w:val="none"/>
                <w:lang w:val="en-US" w:eastAsia="zh-CN"/>
              </w:rPr>
              <w:t>0.16</w:t>
            </w:r>
          </w:p>
        </w:tc>
        <w:tc>
          <w:tcPr>
            <w:tcW w:w="529" w:type="pct"/>
            <w:shd w:val="clear" w:color="auto" w:fill="auto"/>
            <w:noWrap w:val="0"/>
            <w:vAlign w:val="center"/>
          </w:tcPr>
          <w:p w14:paraId="3B1A2EEC">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0</w:t>
            </w:r>
          </w:p>
        </w:tc>
        <w:tc>
          <w:tcPr>
            <w:tcW w:w="525" w:type="pct"/>
            <w:shd w:val="clear" w:color="auto" w:fill="auto"/>
            <w:noWrap w:val="0"/>
            <w:vAlign w:val="center"/>
          </w:tcPr>
          <w:p w14:paraId="576C250E">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达标</w:t>
            </w:r>
          </w:p>
        </w:tc>
        <w:tc>
          <w:tcPr>
            <w:tcW w:w="644" w:type="pct"/>
            <w:shd w:val="clear" w:color="auto" w:fill="auto"/>
            <w:noWrap w:val="0"/>
            <w:vAlign w:val="center"/>
          </w:tcPr>
          <w:p w14:paraId="3EC4460E">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65</w:t>
            </w:r>
          </w:p>
        </w:tc>
      </w:tr>
      <w:tr w14:paraId="21E555D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7" w:type="dxa"/>
            <w:bottom w:w="0" w:type="dxa"/>
            <w:right w:w="17" w:type="dxa"/>
          </w:tblCellMar>
        </w:tblPrEx>
        <w:trPr>
          <w:trHeight w:val="90" w:hRule="atLeast"/>
          <w:jc w:val="center"/>
        </w:trPr>
        <w:tc>
          <w:tcPr>
            <w:tcW w:w="288" w:type="pct"/>
            <w:vMerge w:val="continue"/>
            <w:noWrap w:val="0"/>
            <w:vAlign w:val="center"/>
          </w:tcPr>
          <w:p w14:paraId="54E8A64B">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none"/>
                <w:lang w:val="en-US" w:eastAsia="zh-CN"/>
              </w:rPr>
            </w:pPr>
          </w:p>
        </w:tc>
        <w:tc>
          <w:tcPr>
            <w:tcW w:w="586" w:type="pct"/>
            <w:vMerge w:val="continue"/>
            <w:noWrap w:val="0"/>
            <w:vAlign w:val="center"/>
          </w:tcPr>
          <w:p w14:paraId="221B17B6">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none"/>
                <w:lang w:val="en-US" w:eastAsia="zh-CN"/>
              </w:rPr>
            </w:pPr>
          </w:p>
        </w:tc>
        <w:tc>
          <w:tcPr>
            <w:tcW w:w="1139" w:type="pct"/>
            <w:shd w:val="clear" w:color="auto" w:fill="auto"/>
            <w:noWrap w:val="0"/>
            <w:vAlign w:val="center"/>
          </w:tcPr>
          <w:p w14:paraId="07518851">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总铬</w:t>
            </w:r>
          </w:p>
        </w:tc>
        <w:tc>
          <w:tcPr>
            <w:tcW w:w="514" w:type="pct"/>
            <w:shd w:val="clear" w:color="auto" w:fill="auto"/>
            <w:noWrap w:val="0"/>
            <w:vAlign w:val="center"/>
          </w:tcPr>
          <w:p w14:paraId="6C6FE520">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mg/kg</w:t>
            </w:r>
          </w:p>
        </w:tc>
        <w:tc>
          <w:tcPr>
            <w:tcW w:w="772" w:type="pct"/>
            <w:noWrap w:val="0"/>
            <w:vAlign w:val="center"/>
          </w:tcPr>
          <w:p w14:paraId="03575774">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sz w:val="21"/>
                <w:szCs w:val="21"/>
                <w:highlight w:val="none"/>
                <w:lang w:val="en-US" w:eastAsia="zh-CN"/>
              </w:rPr>
            </w:pPr>
            <w:r>
              <w:rPr>
                <w:rFonts w:hint="eastAsia"/>
                <w:sz w:val="21"/>
                <w:szCs w:val="21"/>
                <w:highlight w:val="none"/>
                <w:lang w:val="en-US" w:eastAsia="zh-CN"/>
              </w:rPr>
              <w:t>91</w:t>
            </w:r>
          </w:p>
        </w:tc>
        <w:tc>
          <w:tcPr>
            <w:tcW w:w="529" w:type="pct"/>
            <w:shd w:val="clear" w:color="auto" w:fill="auto"/>
            <w:noWrap w:val="0"/>
            <w:vAlign w:val="center"/>
          </w:tcPr>
          <w:p w14:paraId="51825F93">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w:t>
            </w:r>
          </w:p>
        </w:tc>
        <w:tc>
          <w:tcPr>
            <w:tcW w:w="525" w:type="pct"/>
            <w:shd w:val="clear" w:color="auto" w:fill="auto"/>
            <w:noWrap w:val="0"/>
            <w:vAlign w:val="center"/>
          </w:tcPr>
          <w:p w14:paraId="3E2EF30D">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bCs/>
                <w:kern w:val="2"/>
                <w:sz w:val="21"/>
                <w:szCs w:val="21"/>
                <w:highlight w:val="none"/>
                <w:lang w:val="en-US" w:eastAsia="zh-CN" w:bidi="ar-SA"/>
              </w:rPr>
            </w:pPr>
            <w:r>
              <w:rPr>
                <w:rFonts w:hint="eastAsia"/>
                <w:b w:val="0"/>
                <w:bCs w:val="0"/>
                <w:sz w:val="21"/>
                <w:szCs w:val="21"/>
                <w:highlight w:val="none"/>
                <w:lang w:val="en-US" w:eastAsia="zh-CN"/>
              </w:rPr>
              <w:t>/</w:t>
            </w:r>
          </w:p>
        </w:tc>
        <w:tc>
          <w:tcPr>
            <w:tcW w:w="644" w:type="pct"/>
            <w:shd w:val="clear" w:color="auto" w:fill="auto"/>
            <w:noWrap w:val="0"/>
            <w:vAlign w:val="center"/>
          </w:tcPr>
          <w:p w14:paraId="520EB139">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w:t>
            </w:r>
          </w:p>
        </w:tc>
      </w:tr>
      <w:tr w14:paraId="4899C59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7" w:type="dxa"/>
            <w:bottom w:w="0" w:type="dxa"/>
            <w:right w:w="17" w:type="dxa"/>
          </w:tblCellMar>
        </w:tblPrEx>
        <w:trPr>
          <w:trHeight w:val="90" w:hRule="atLeast"/>
          <w:jc w:val="center"/>
        </w:trPr>
        <w:tc>
          <w:tcPr>
            <w:tcW w:w="288" w:type="pct"/>
            <w:vMerge w:val="continue"/>
            <w:noWrap w:val="0"/>
            <w:vAlign w:val="center"/>
          </w:tcPr>
          <w:p w14:paraId="0093E67D">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none"/>
                <w:lang w:val="en-US" w:eastAsia="zh-CN"/>
              </w:rPr>
            </w:pPr>
          </w:p>
        </w:tc>
        <w:tc>
          <w:tcPr>
            <w:tcW w:w="586" w:type="pct"/>
            <w:vMerge w:val="continue"/>
            <w:noWrap w:val="0"/>
            <w:vAlign w:val="center"/>
          </w:tcPr>
          <w:p w14:paraId="53FF43F1">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none"/>
                <w:lang w:val="en-US" w:eastAsia="zh-CN"/>
              </w:rPr>
            </w:pPr>
          </w:p>
        </w:tc>
        <w:tc>
          <w:tcPr>
            <w:tcW w:w="1139" w:type="pct"/>
            <w:shd w:val="clear" w:color="auto" w:fill="auto"/>
            <w:noWrap w:val="0"/>
            <w:vAlign w:val="center"/>
          </w:tcPr>
          <w:p w14:paraId="60B7E586">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铬（六价）</w:t>
            </w:r>
          </w:p>
        </w:tc>
        <w:tc>
          <w:tcPr>
            <w:tcW w:w="514" w:type="pct"/>
            <w:shd w:val="clear" w:color="auto" w:fill="auto"/>
            <w:noWrap w:val="0"/>
            <w:vAlign w:val="center"/>
          </w:tcPr>
          <w:p w14:paraId="185DA372">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mg/kg</w:t>
            </w:r>
          </w:p>
        </w:tc>
        <w:tc>
          <w:tcPr>
            <w:tcW w:w="772" w:type="pct"/>
            <w:noWrap w:val="0"/>
            <w:vAlign w:val="center"/>
          </w:tcPr>
          <w:p w14:paraId="5FC6B9B9">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sz w:val="21"/>
                <w:szCs w:val="21"/>
                <w:highlight w:val="none"/>
                <w:lang w:val="en-US" w:eastAsia="zh-CN"/>
              </w:rPr>
            </w:pPr>
            <w:r>
              <w:rPr>
                <w:rFonts w:hint="eastAsia"/>
                <w:sz w:val="21"/>
                <w:szCs w:val="21"/>
                <w:highlight w:val="none"/>
                <w:lang w:val="en-US" w:eastAsia="zh-CN"/>
              </w:rPr>
              <w:t>ND</w:t>
            </w:r>
          </w:p>
        </w:tc>
        <w:tc>
          <w:tcPr>
            <w:tcW w:w="529" w:type="pct"/>
            <w:shd w:val="clear" w:color="auto" w:fill="auto"/>
            <w:noWrap w:val="0"/>
            <w:vAlign w:val="center"/>
          </w:tcPr>
          <w:p w14:paraId="6820EA29">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0</w:t>
            </w:r>
          </w:p>
        </w:tc>
        <w:tc>
          <w:tcPr>
            <w:tcW w:w="525" w:type="pct"/>
            <w:shd w:val="clear" w:color="auto" w:fill="auto"/>
            <w:noWrap w:val="0"/>
            <w:vAlign w:val="center"/>
          </w:tcPr>
          <w:p w14:paraId="23B02E77">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达标</w:t>
            </w:r>
          </w:p>
        </w:tc>
        <w:tc>
          <w:tcPr>
            <w:tcW w:w="644" w:type="pct"/>
            <w:shd w:val="clear" w:color="auto" w:fill="auto"/>
            <w:noWrap w:val="0"/>
            <w:vAlign w:val="center"/>
          </w:tcPr>
          <w:p w14:paraId="25DD7149">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5.7</w:t>
            </w:r>
          </w:p>
        </w:tc>
      </w:tr>
      <w:tr w14:paraId="5C25BE9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7" w:type="dxa"/>
            <w:bottom w:w="0" w:type="dxa"/>
            <w:right w:w="17" w:type="dxa"/>
          </w:tblCellMar>
        </w:tblPrEx>
        <w:trPr>
          <w:trHeight w:val="90" w:hRule="atLeast"/>
          <w:jc w:val="center"/>
        </w:trPr>
        <w:tc>
          <w:tcPr>
            <w:tcW w:w="288" w:type="pct"/>
            <w:vMerge w:val="continue"/>
            <w:noWrap w:val="0"/>
            <w:vAlign w:val="center"/>
          </w:tcPr>
          <w:p w14:paraId="3775C172">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none"/>
                <w:lang w:val="en-US" w:eastAsia="zh-CN"/>
              </w:rPr>
            </w:pPr>
          </w:p>
        </w:tc>
        <w:tc>
          <w:tcPr>
            <w:tcW w:w="586" w:type="pct"/>
            <w:vMerge w:val="continue"/>
            <w:noWrap w:val="0"/>
            <w:vAlign w:val="center"/>
          </w:tcPr>
          <w:p w14:paraId="23AFF40D">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none"/>
                <w:lang w:val="en-US" w:eastAsia="zh-CN"/>
              </w:rPr>
            </w:pPr>
          </w:p>
        </w:tc>
        <w:tc>
          <w:tcPr>
            <w:tcW w:w="1139" w:type="pct"/>
            <w:shd w:val="clear" w:color="auto" w:fill="auto"/>
            <w:noWrap w:val="0"/>
            <w:vAlign w:val="center"/>
          </w:tcPr>
          <w:p w14:paraId="5273ADED">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汞</w:t>
            </w:r>
          </w:p>
        </w:tc>
        <w:tc>
          <w:tcPr>
            <w:tcW w:w="514" w:type="pct"/>
            <w:shd w:val="clear" w:color="auto" w:fill="auto"/>
            <w:noWrap w:val="0"/>
            <w:vAlign w:val="center"/>
          </w:tcPr>
          <w:p w14:paraId="1B9D3D2F">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mg/kg</w:t>
            </w:r>
          </w:p>
        </w:tc>
        <w:tc>
          <w:tcPr>
            <w:tcW w:w="772" w:type="pct"/>
            <w:noWrap w:val="0"/>
            <w:vAlign w:val="center"/>
          </w:tcPr>
          <w:p w14:paraId="225102CB">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sz w:val="21"/>
                <w:szCs w:val="21"/>
                <w:highlight w:val="none"/>
                <w:lang w:val="en-US" w:eastAsia="zh-CN"/>
              </w:rPr>
            </w:pPr>
            <w:r>
              <w:rPr>
                <w:rFonts w:hint="eastAsia"/>
                <w:sz w:val="21"/>
                <w:szCs w:val="21"/>
                <w:highlight w:val="none"/>
                <w:lang w:val="en-US" w:eastAsia="zh-CN"/>
              </w:rPr>
              <w:t>0.0608</w:t>
            </w:r>
          </w:p>
        </w:tc>
        <w:tc>
          <w:tcPr>
            <w:tcW w:w="529" w:type="pct"/>
            <w:shd w:val="clear" w:color="auto" w:fill="auto"/>
            <w:noWrap w:val="0"/>
            <w:vAlign w:val="center"/>
          </w:tcPr>
          <w:p w14:paraId="758BCAA1">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0</w:t>
            </w:r>
          </w:p>
        </w:tc>
        <w:tc>
          <w:tcPr>
            <w:tcW w:w="525" w:type="pct"/>
            <w:shd w:val="clear" w:color="auto" w:fill="auto"/>
            <w:noWrap w:val="0"/>
            <w:vAlign w:val="center"/>
          </w:tcPr>
          <w:p w14:paraId="65BF4284">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bCs/>
                <w:kern w:val="2"/>
                <w:sz w:val="21"/>
                <w:szCs w:val="21"/>
                <w:highlight w:val="none"/>
                <w:lang w:val="en-US" w:eastAsia="zh-CN" w:bidi="ar-SA"/>
              </w:rPr>
            </w:pPr>
            <w:r>
              <w:rPr>
                <w:rFonts w:hint="eastAsia"/>
                <w:b w:val="0"/>
                <w:bCs w:val="0"/>
                <w:sz w:val="21"/>
                <w:szCs w:val="21"/>
                <w:highlight w:val="none"/>
                <w:lang w:val="en-US" w:eastAsia="zh-CN"/>
              </w:rPr>
              <w:t>达标</w:t>
            </w:r>
          </w:p>
        </w:tc>
        <w:tc>
          <w:tcPr>
            <w:tcW w:w="644" w:type="pct"/>
            <w:shd w:val="clear" w:color="auto" w:fill="auto"/>
            <w:noWrap w:val="0"/>
            <w:vAlign w:val="center"/>
          </w:tcPr>
          <w:p w14:paraId="7410A190">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38</w:t>
            </w:r>
          </w:p>
        </w:tc>
      </w:tr>
      <w:tr w14:paraId="1400E00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7" w:type="dxa"/>
            <w:bottom w:w="0" w:type="dxa"/>
            <w:right w:w="17" w:type="dxa"/>
          </w:tblCellMar>
        </w:tblPrEx>
        <w:trPr>
          <w:trHeight w:val="90" w:hRule="atLeast"/>
          <w:jc w:val="center"/>
        </w:trPr>
        <w:tc>
          <w:tcPr>
            <w:tcW w:w="288" w:type="pct"/>
            <w:vMerge w:val="continue"/>
            <w:noWrap w:val="0"/>
            <w:vAlign w:val="center"/>
          </w:tcPr>
          <w:p w14:paraId="6E051237">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none"/>
                <w:lang w:val="en-US" w:eastAsia="zh-CN"/>
              </w:rPr>
            </w:pPr>
          </w:p>
        </w:tc>
        <w:tc>
          <w:tcPr>
            <w:tcW w:w="586" w:type="pct"/>
            <w:vMerge w:val="continue"/>
            <w:noWrap w:val="0"/>
            <w:vAlign w:val="center"/>
          </w:tcPr>
          <w:p w14:paraId="36EEDC33">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none"/>
                <w:lang w:val="en-US" w:eastAsia="zh-CN"/>
              </w:rPr>
            </w:pPr>
          </w:p>
        </w:tc>
        <w:tc>
          <w:tcPr>
            <w:tcW w:w="1139" w:type="pct"/>
            <w:shd w:val="clear" w:color="auto" w:fill="auto"/>
            <w:noWrap w:val="0"/>
            <w:vAlign w:val="center"/>
          </w:tcPr>
          <w:p w14:paraId="418E0844">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铜</w:t>
            </w:r>
          </w:p>
        </w:tc>
        <w:tc>
          <w:tcPr>
            <w:tcW w:w="514" w:type="pct"/>
            <w:shd w:val="clear" w:color="auto" w:fill="auto"/>
            <w:noWrap w:val="0"/>
            <w:vAlign w:val="center"/>
          </w:tcPr>
          <w:p w14:paraId="610CEF17">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mg/kg</w:t>
            </w:r>
          </w:p>
        </w:tc>
        <w:tc>
          <w:tcPr>
            <w:tcW w:w="772" w:type="pct"/>
            <w:noWrap w:val="0"/>
            <w:vAlign w:val="center"/>
          </w:tcPr>
          <w:p w14:paraId="6A6339E2">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sz w:val="21"/>
                <w:szCs w:val="21"/>
                <w:highlight w:val="none"/>
                <w:lang w:val="en-US" w:eastAsia="zh-CN"/>
              </w:rPr>
            </w:pPr>
            <w:r>
              <w:rPr>
                <w:rFonts w:hint="eastAsia"/>
                <w:sz w:val="21"/>
                <w:szCs w:val="21"/>
                <w:highlight w:val="none"/>
                <w:lang w:val="en-US" w:eastAsia="zh-CN"/>
              </w:rPr>
              <w:t>33.9</w:t>
            </w:r>
          </w:p>
        </w:tc>
        <w:tc>
          <w:tcPr>
            <w:tcW w:w="529" w:type="pct"/>
            <w:shd w:val="clear" w:color="auto" w:fill="auto"/>
            <w:noWrap w:val="0"/>
            <w:vAlign w:val="center"/>
          </w:tcPr>
          <w:p w14:paraId="51C7F666">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0</w:t>
            </w:r>
          </w:p>
        </w:tc>
        <w:tc>
          <w:tcPr>
            <w:tcW w:w="525" w:type="pct"/>
            <w:shd w:val="clear" w:color="auto" w:fill="auto"/>
            <w:noWrap w:val="0"/>
            <w:vAlign w:val="center"/>
          </w:tcPr>
          <w:p w14:paraId="49687EF2">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达标</w:t>
            </w:r>
          </w:p>
        </w:tc>
        <w:tc>
          <w:tcPr>
            <w:tcW w:w="644" w:type="pct"/>
            <w:shd w:val="clear" w:color="auto" w:fill="auto"/>
            <w:noWrap w:val="0"/>
            <w:vAlign w:val="center"/>
          </w:tcPr>
          <w:p w14:paraId="61DBD200">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18000</w:t>
            </w:r>
          </w:p>
        </w:tc>
      </w:tr>
      <w:tr w14:paraId="411BB44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7" w:type="dxa"/>
            <w:bottom w:w="0" w:type="dxa"/>
            <w:right w:w="17" w:type="dxa"/>
          </w:tblCellMar>
        </w:tblPrEx>
        <w:trPr>
          <w:trHeight w:val="90" w:hRule="atLeast"/>
          <w:jc w:val="center"/>
        </w:trPr>
        <w:tc>
          <w:tcPr>
            <w:tcW w:w="288" w:type="pct"/>
            <w:vMerge w:val="continue"/>
            <w:noWrap w:val="0"/>
            <w:vAlign w:val="center"/>
          </w:tcPr>
          <w:p w14:paraId="04797656">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none"/>
                <w:lang w:val="en-US" w:eastAsia="zh-CN"/>
              </w:rPr>
            </w:pPr>
          </w:p>
        </w:tc>
        <w:tc>
          <w:tcPr>
            <w:tcW w:w="586" w:type="pct"/>
            <w:vMerge w:val="continue"/>
            <w:noWrap w:val="0"/>
            <w:vAlign w:val="center"/>
          </w:tcPr>
          <w:p w14:paraId="387D4C9A">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none"/>
                <w:lang w:val="en-US" w:eastAsia="zh-CN"/>
              </w:rPr>
            </w:pPr>
          </w:p>
        </w:tc>
        <w:tc>
          <w:tcPr>
            <w:tcW w:w="1139" w:type="pct"/>
            <w:shd w:val="clear" w:color="auto" w:fill="auto"/>
            <w:noWrap w:val="0"/>
            <w:vAlign w:val="center"/>
          </w:tcPr>
          <w:p w14:paraId="21E8AB37">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锌</w:t>
            </w:r>
          </w:p>
        </w:tc>
        <w:tc>
          <w:tcPr>
            <w:tcW w:w="514" w:type="pct"/>
            <w:shd w:val="clear" w:color="auto" w:fill="auto"/>
            <w:noWrap w:val="0"/>
            <w:vAlign w:val="center"/>
          </w:tcPr>
          <w:p w14:paraId="548E0263">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mg/kg</w:t>
            </w:r>
          </w:p>
        </w:tc>
        <w:tc>
          <w:tcPr>
            <w:tcW w:w="772" w:type="pct"/>
            <w:noWrap w:val="0"/>
            <w:vAlign w:val="center"/>
          </w:tcPr>
          <w:p w14:paraId="0D480ACF">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sz w:val="21"/>
                <w:szCs w:val="21"/>
                <w:highlight w:val="none"/>
                <w:lang w:val="en-US" w:eastAsia="zh-CN"/>
              </w:rPr>
            </w:pPr>
            <w:r>
              <w:rPr>
                <w:rFonts w:hint="eastAsia"/>
                <w:sz w:val="21"/>
                <w:szCs w:val="21"/>
                <w:highlight w:val="none"/>
                <w:lang w:val="en-US" w:eastAsia="zh-CN"/>
              </w:rPr>
              <w:t>128</w:t>
            </w:r>
          </w:p>
        </w:tc>
        <w:tc>
          <w:tcPr>
            <w:tcW w:w="529" w:type="pct"/>
            <w:shd w:val="clear" w:color="auto" w:fill="auto"/>
            <w:noWrap w:val="0"/>
            <w:vAlign w:val="center"/>
          </w:tcPr>
          <w:p w14:paraId="16DC0BF8">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w:t>
            </w:r>
          </w:p>
        </w:tc>
        <w:tc>
          <w:tcPr>
            <w:tcW w:w="525" w:type="pct"/>
            <w:shd w:val="clear" w:color="auto" w:fill="auto"/>
            <w:noWrap w:val="0"/>
            <w:vAlign w:val="center"/>
          </w:tcPr>
          <w:p w14:paraId="709A475C">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bCs/>
                <w:kern w:val="2"/>
                <w:sz w:val="21"/>
                <w:szCs w:val="21"/>
                <w:highlight w:val="none"/>
                <w:lang w:val="en-US" w:eastAsia="zh-CN" w:bidi="ar-SA"/>
              </w:rPr>
            </w:pPr>
            <w:r>
              <w:rPr>
                <w:rFonts w:hint="eastAsia"/>
                <w:b w:val="0"/>
                <w:bCs w:val="0"/>
                <w:sz w:val="21"/>
                <w:szCs w:val="21"/>
                <w:highlight w:val="none"/>
                <w:lang w:val="en-US" w:eastAsia="zh-CN"/>
              </w:rPr>
              <w:t>/</w:t>
            </w:r>
          </w:p>
        </w:tc>
        <w:tc>
          <w:tcPr>
            <w:tcW w:w="644" w:type="pct"/>
            <w:shd w:val="clear" w:color="auto" w:fill="auto"/>
            <w:noWrap w:val="0"/>
            <w:vAlign w:val="center"/>
          </w:tcPr>
          <w:p w14:paraId="7E4A508C">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w:t>
            </w:r>
          </w:p>
        </w:tc>
      </w:tr>
      <w:tr w14:paraId="768180F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7" w:type="dxa"/>
            <w:bottom w:w="0" w:type="dxa"/>
            <w:right w:w="17" w:type="dxa"/>
          </w:tblCellMar>
        </w:tblPrEx>
        <w:trPr>
          <w:trHeight w:val="90" w:hRule="atLeast"/>
          <w:jc w:val="center"/>
        </w:trPr>
        <w:tc>
          <w:tcPr>
            <w:tcW w:w="288" w:type="pct"/>
            <w:vMerge w:val="continue"/>
            <w:noWrap w:val="0"/>
            <w:vAlign w:val="center"/>
          </w:tcPr>
          <w:p w14:paraId="3CB3E8BE">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none"/>
                <w:lang w:val="en-US" w:eastAsia="zh-CN"/>
              </w:rPr>
            </w:pPr>
          </w:p>
        </w:tc>
        <w:tc>
          <w:tcPr>
            <w:tcW w:w="586" w:type="pct"/>
            <w:vMerge w:val="continue"/>
            <w:noWrap w:val="0"/>
            <w:vAlign w:val="center"/>
          </w:tcPr>
          <w:p w14:paraId="46F55D90">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none"/>
                <w:lang w:val="en-US" w:eastAsia="zh-CN"/>
              </w:rPr>
            </w:pPr>
          </w:p>
        </w:tc>
        <w:tc>
          <w:tcPr>
            <w:tcW w:w="1139" w:type="pct"/>
            <w:shd w:val="clear" w:color="auto" w:fill="auto"/>
            <w:noWrap w:val="0"/>
            <w:vAlign w:val="center"/>
          </w:tcPr>
          <w:p w14:paraId="2A5986A8">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氰化物</w:t>
            </w:r>
          </w:p>
        </w:tc>
        <w:tc>
          <w:tcPr>
            <w:tcW w:w="514" w:type="pct"/>
            <w:shd w:val="clear" w:color="auto" w:fill="auto"/>
            <w:noWrap w:val="0"/>
            <w:vAlign w:val="center"/>
          </w:tcPr>
          <w:p w14:paraId="196E64BE">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mg/kg</w:t>
            </w:r>
          </w:p>
        </w:tc>
        <w:tc>
          <w:tcPr>
            <w:tcW w:w="772" w:type="pct"/>
            <w:noWrap w:val="0"/>
            <w:vAlign w:val="center"/>
          </w:tcPr>
          <w:p w14:paraId="3EC99C97">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sz w:val="21"/>
                <w:szCs w:val="21"/>
                <w:highlight w:val="none"/>
                <w:lang w:val="en-US" w:eastAsia="zh-CN"/>
              </w:rPr>
            </w:pPr>
            <w:r>
              <w:rPr>
                <w:rFonts w:hint="eastAsia"/>
                <w:sz w:val="21"/>
                <w:szCs w:val="21"/>
                <w:highlight w:val="none"/>
                <w:lang w:val="en-US" w:eastAsia="zh-CN"/>
              </w:rPr>
              <w:t>ND</w:t>
            </w:r>
          </w:p>
        </w:tc>
        <w:tc>
          <w:tcPr>
            <w:tcW w:w="529" w:type="pct"/>
            <w:shd w:val="clear" w:color="auto" w:fill="auto"/>
            <w:noWrap w:val="0"/>
            <w:vAlign w:val="center"/>
          </w:tcPr>
          <w:p w14:paraId="1AE6F909">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0</w:t>
            </w:r>
          </w:p>
        </w:tc>
        <w:tc>
          <w:tcPr>
            <w:tcW w:w="525" w:type="pct"/>
            <w:shd w:val="clear" w:color="auto" w:fill="auto"/>
            <w:noWrap w:val="0"/>
            <w:vAlign w:val="center"/>
          </w:tcPr>
          <w:p w14:paraId="0B2F3B67">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达标</w:t>
            </w:r>
          </w:p>
        </w:tc>
        <w:tc>
          <w:tcPr>
            <w:tcW w:w="644" w:type="pct"/>
            <w:shd w:val="clear" w:color="auto" w:fill="auto"/>
            <w:noWrap w:val="0"/>
            <w:vAlign w:val="center"/>
          </w:tcPr>
          <w:p w14:paraId="40573256">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135</w:t>
            </w:r>
          </w:p>
        </w:tc>
      </w:tr>
      <w:tr w14:paraId="78CFA06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7" w:type="dxa"/>
            <w:bottom w:w="0" w:type="dxa"/>
            <w:right w:w="17" w:type="dxa"/>
          </w:tblCellMar>
        </w:tblPrEx>
        <w:trPr>
          <w:trHeight w:val="90" w:hRule="atLeast"/>
          <w:jc w:val="center"/>
        </w:trPr>
        <w:tc>
          <w:tcPr>
            <w:tcW w:w="288" w:type="pct"/>
            <w:vMerge w:val="continue"/>
            <w:noWrap w:val="0"/>
            <w:vAlign w:val="center"/>
          </w:tcPr>
          <w:p w14:paraId="73886FFC">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none"/>
                <w:lang w:val="en-US" w:eastAsia="zh-CN"/>
              </w:rPr>
            </w:pPr>
          </w:p>
        </w:tc>
        <w:tc>
          <w:tcPr>
            <w:tcW w:w="586" w:type="pct"/>
            <w:vMerge w:val="restart"/>
            <w:noWrap w:val="0"/>
            <w:vAlign w:val="center"/>
          </w:tcPr>
          <w:p w14:paraId="5F78CD14">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1.5~3.0m</w:t>
            </w:r>
          </w:p>
        </w:tc>
        <w:tc>
          <w:tcPr>
            <w:tcW w:w="1139" w:type="pct"/>
            <w:shd w:val="clear" w:color="auto" w:fill="auto"/>
            <w:noWrap w:val="0"/>
            <w:vAlign w:val="center"/>
          </w:tcPr>
          <w:p w14:paraId="66332F8D">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pH</w:t>
            </w:r>
          </w:p>
        </w:tc>
        <w:tc>
          <w:tcPr>
            <w:tcW w:w="514" w:type="pct"/>
            <w:shd w:val="clear" w:color="auto" w:fill="auto"/>
            <w:noWrap w:val="0"/>
            <w:vAlign w:val="center"/>
          </w:tcPr>
          <w:p w14:paraId="1E4C88F0">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color w:val="auto"/>
                <w:sz w:val="21"/>
                <w:szCs w:val="21"/>
                <w:highlight w:val="none"/>
                <w:lang w:val="en-US" w:eastAsia="zh-CN"/>
              </w:rPr>
              <w:t>无量纲</w:t>
            </w:r>
          </w:p>
        </w:tc>
        <w:tc>
          <w:tcPr>
            <w:tcW w:w="772" w:type="pct"/>
            <w:noWrap w:val="0"/>
            <w:vAlign w:val="center"/>
          </w:tcPr>
          <w:p w14:paraId="5BB69D93">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sz w:val="21"/>
                <w:szCs w:val="21"/>
                <w:highlight w:val="none"/>
                <w:lang w:val="en-US" w:eastAsia="zh-CN"/>
              </w:rPr>
            </w:pPr>
            <w:r>
              <w:rPr>
                <w:rFonts w:hint="eastAsia"/>
                <w:sz w:val="21"/>
                <w:szCs w:val="21"/>
                <w:highlight w:val="none"/>
                <w:lang w:val="en-US" w:eastAsia="zh-CN"/>
              </w:rPr>
              <w:t>5.30</w:t>
            </w:r>
          </w:p>
        </w:tc>
        <w:tc>
          <w:tcPr>
            <w:tcW w:w="529" w:type="pct"/>
            <w:noWrap w:val="0"/>
            <w:vAlign w:val="center"/>
          </w:tcPr>
          <w:p w14:paraId="5AFD7D66">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sz w:val="21"/>
                <w:szCs w:val="21"/>
                <w:highlight w:val="none"/>
                <w:lang w:val="en-US" w:eastAsia="zh-CN"/>
              </w:rPr>
            </w:pPr>
            <w:r>
              <w:rPr>
                <w:rFonts w:hint="eastAsia"/>
                <w:sz w:val="21"/>
                <w:szCs w:val="21"/>
                <w:highlight w:val="none"/>
                <w:lang w:val="en-US" w:eastAsia="zh-CN"/>
              </w:rPr>
              <w:t>/</w:t>
            </w:r>
          </w:p>
        </w:tc>
        <w:tc>
          <w:tcPr>
            <w:tcW w:w="525" w:type="pct"/>
            <w:shd w:val="clear" w:color="auto" w:fill="auto"/>
            <w:noWrap w:val="0"/>
            <w:vAlign w:val="center"/>
          </w:tcPr>
          <w:p w14:paraId="6123C38E">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bCs/>
                <w:kern w:val="2"/>
                <w:sz w:val="21"/>
                <w:szCs w:val="21"/>
                <w:highlight w:val="none"/>
                <w:lang w:val="en-US" w:eastAsia="zh-CN" w:bidi="ar-SA"/>
              </w:rPr>
            </w:pPr>
            <w:r>
              <w:rPr>
                <w:rFonts w:hint="eastAsia"/>
                <w:b w:val="0"/>
                <w:bCs w:val="0"/>
                <w:sz w:val="21"/>
                <w:szCs w:val="21"/>
                <w:highlight w:val="none"/>
                <w:lang w:val="en-US" w:eastAsia="zh-CN"/>
              </w:rPr>
              <w:t>/</w:t>
            </w:r>
          </w:p>
        </w:tc>
        <w:tc>
          <w:tcPr>
            <w:tcW w:w="644" w:type="pct"/>
            <w:shd w:val="clear" w:color="auto" w:fill="auto"/>
            <w:noWrap w:val="0"/>
            <w:vAlign w:val="center"/>
          </w:tcPr>
          <w:p w14:paraId="55584089">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w:t>
            </w:r>
          </w:p>
        </w:tc>
      </w:tr>
      <w:tr w14:paraId="1149CBC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7" w:type="dxa"/>
            <w:bottom w:w="0" w:type="dxa"/>
            <w:right w:w="17" w:type="dxa"/>
          </w:tblCellMar>
        </w:tblPrEx>
        <w:trPr>
          <w:trHeight w:val="90" w:hRule="atLeast"/>
          <w:jc w:val="center"/>
        </w:trPr>
        <w:tc>
          <w:tcPr>
            <w:tcW w:w="288" w:type="pct"/>
            <w:vMerge w:val="continue"/>
            <w:noWrap w:val="0"/>
            <w:vAlign w:val="center"/>
          </w:tcPr>
          <w:p w14:paraId="5A895780">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none"/>
                <w:lang w:val="en-US" w:eastAsia="zh-CN"/>
              </w:rPr>
            </w:pPr>
          </w:p>
        </w:tc>
        <w:tc>
          <w:tcPr>
            <w:tcW w:w="586" w:type="pct"/>
            <w:vMerge w:val="continue"/>
            <w:noWrap w:val="0"/>
            <w:vAlign w:val="center"/>
          </w:tcPr>
          <w:p w14:paraId="779299EC">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none"/>
                <w:lang w:val="en-US" w:eastAsia="zh-CN"/>
              </w:rPr>
            </w:pPr>
          </w:p>
        </w:tc>
        <w:tc>
          <w:tcPr>
            <w:tcW w:w="1139" w:type="pct"/>
            <w:shd w:val="clear" w:color="auto" w:fill="auto"/>
            <w:noWrap w:val="0"/>
            <w:vAlign w:val="center"/>
          </w:tcPr>
          <w:p w14:paraId="64204680">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砷</w:t>
            </w:r>
          </w:p>
        </w:tc>
        <w:tc>
          <w:tcPr>
            <w:tcW w:w="514" w:type="pct"/>
            <w:shd w:val="clear" w:color="auto" w:fill="auto"/>
            <w:noWrap w:val="0"/>
            <w:vAlign w:val="center"/>
          </w:tcPr>
          <w:p w14:paraId="4B3F764B">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mg/kg</w:t>
            </w:r>
          </w:p>
        </w:tc>
        <w:tc>
          <w:tcPr>
            <w:tcW w:w="772" w:type="pct"/>
            <w:noWrap w:val="0"/>
            <w:vAlign w:val="center"/>
          </w:tcPr>
          <w:p w14:paraId="68973F7B">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b/>
                <w:bCs/>
                <w:sz w:val="21"/>
                <w:szCs w:val="21"/>
                <w:highlight w:val="none"/>
                <w:lang w:val="en-US" w:eastAsia="zh-CN"/>
              </w:rPr>
            </w:pPr>
            <w:r>
              <w:rPr>
                <w:rFonts w:hint="eastAsia"/>
                <w:b/>
                <w:bCs/>
                <w:sz w:val="21"/>
                <w:szCs w:val="21"/>
                <w:highlight w:val="none"/>
                <w:lang w:val="en-US" w:eastAsia="zh-CN"/>
              </w:rPr>
              <w:t>113</w:t>
            </w:r>
          </w:p>
        </w:tc>
        <w:tc>
          <w:tcPr>
            <w:tcW w:w="529" w:type="pct"/>
            <w:noWrap w:val="0"/>
            <w:vAlign w:val="center"/>
          </w:tcPr>
          <w:p w14:paraId="7E5985DD">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b/>
                <w:bCs/>
                <w:sz w:val="21"/>
                <w:szCs w:val="21"/>
                <w:highlight w:val="none"/>
                <w:lang w:val="en-US" w:eastAsia="zh-CN"/>
              </w:rPr>
            </w:pPr>
            <w:r>
              <w:rPr>
                <w:rFonts w:hint="eastAsia"/>
                <w:b/>
                <w:bCs/>
                <w:sz w:val="21"/>
                <w:szCs w:val="21"/>
                <w:highlight w:val="none"/>
                <w:lang w:val="en-US" w:eastAsia="zh-CN"/>
              </w:rPr>
              <w:t>0.88</w:t>
            </w:r>
          </w:p>
        </w:tc>
        <w:tc>
          <w:tcPr>
            <w:tcW w:w="525" w:type="pct"/>
            <w:shd w:val="clear" w:color="auto" w:fill="auto"/>
            <w:noWrap w:val="0"/>
            <w:vAlign w:val="center"/>
          </w:tcPr>
          <w:p w14:paraId="1A1A302B">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bCs/>
                <w:kern w:val="2"/>
                <w:sz w:val="21"/>
                <w:szCs w:val="21"/>
                <w:highlight w:val="none"/>
                <w:lang w:val="en-US" w:eastAsia="zh-CN" w:bidi="ar-SA"/>
              </w:rPr>
            </w:pPr>
            <w:r>
              <w:rPr>
                <w:rFonts w:hint="eastAsia"/>
                <w:b/>
                <w:bCs/>
                <w:sz w:val="21"/>
                <w:szCs w:val="21"/>
                <w:highlight w:val="none"/>
                <w:lang w:val="en-US" w:eastAsia="zh-CN"/>
              </w:rPr>
              <w:t>超标</w:t>
            </w:r>
          </w:p>
        </w:tc>
        <w:tc>
          <w:tcPr>
            <w:tcW w:w="644" w:type="pct"/>
            <w:shd w:val="clear" w:color="auto" w:fill="auto"/>
            <w:noWrap w:val="0"/>
            <w:vAlign w:val="center"/>
          </w:tcPr>
          <w:p w14:paraId="071CEB9F">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bCs/>
                <w:kern w:val="2"/>
                <w:sz w:val="21"/>
                <w:szCs w:val="21"/>
                <w:highlight w:val="none"/>
                <w:lang w:val="en-US" w:eastAsia="zh-CN" w:bidi="ar-SA"/>
              </w:rPr>
            </w:pPr>
            <w:r>
              <w:rPr>
                <w:rFonts w:hint="eastAsia"/>
                <w:b/>
                <w:bCs/>
                <w:sz w:val="21"/>
                <w:szCs w:val="21"/>
                <w:highlight w:val="none"/>
                <w:lang w:val="en-US" w:eastAsia="zh-CN"/>
              </w:rPr>
              <w:t>60</w:t>
            </w:r>
          </w:p>
        </w:tc>
      </w:tr>
      <w:tr w14:paraId="3AFF7E6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7" w:type="dxa"/>
            <w:bottom w:w="0" w:type="dxa"/>
            <w:right w:w="17" w:type="dxa"/>
          </w:tblCellMar>
        </w:tblPrEx>
        <w:trPr>
          <w:trHeight w:val="90" w:hRule="atLeast"/>
          <w:jc w:val="center"/>
        </w:trPr>
        <w:tc>
          <w:tcPr>
            <w:tcW w:w="288" w:type="pct"/>
            <w:vMerge w:val="continue"/>
            <w:noWrap w:val="0"/>
            <w:vAlign w:val="center"/>
          </w:tcPr>
          <w:p w14:paraId="68973020">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none"/>
                <w:lang w:val="en-US" w:eastAsia="zh-CN"/>
              </w:rPr>
            </w:pPr>
          </w:p>
        </w:tc>
        <w:tc>
          <w:tcPr>
            <w:tcW w:w="586" w:type="pct"/>
            <w:vMerge w:val="continue"/>
            <w:noWrap w:val="0"/>
            <w:vAlign w:val="center"/>
          </w:tcPr>
          <w:p w14:paraId="6109F5B8">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none"/>
                <w:lang w:val="en-US" w:eastAsia="zh-CN"/>
              </w:rPr>
            </w:pPr>
          </w:p>
        </w:tc>
        <w:tc>
          <w:tcPr>
            <w:tcW w:w="1139" w:type="pct"/>
            <w:shd w:val="clear" w:color="auto" w:fill="auto"/>
            <w:noWrap w:val="0"/>
            <w:vAlign w:val="center"/>
          </w:tcPr>
          <w:p w14:paraId="53E2144C">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镍</w:t>
            </w:r>
          </w:p>
        </w:tc>
        <w:tc>
          <w:tcPr>
            <w:tcW w:w="514" w:type="pct"/>
            <w:shd w:val="clear" w:color="auto" w:fill="auto"/>
            <w:noWrap w:val="0"/>
            <w:vAlign w:val="center"/>
          </w:tcPr>
          <w:p w14:paraId="021C8C7A">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mg/kg</w:t>
            </w:r>
          </w:p>
        </w:tc>
        <w:tc>
          <w:tcPr>
            <w:tcW w:w="772" w:type="pct"/>
            <w:noWrap w:val="0"/>
            <w:vAlign w:val="center"/>
          </w:tcPr>
          <w:p w14:paraId="3E641C21">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sz w:val="21"/>
                <w:szCs w:val="21"/>
                <w:highlight w:val="none"/>
                <w:lang w:val="en-US" w:eastAsia="zh-CN"/>
              </w:rPr>
            </w:pPr>
            <w:r>
              <w:rPr>
                <w:rFonts w:hint="eastAsia"/>
                <w:sz w:val="21"/>
                <w:szCs w:val="21"/>
                <w:highlight w:val="none"/>
                <w:lang w:val="en-US" w:eastAsia="zh-CN"/>
              </w:rPr>
              <w:t>30</w:t>
            </w:r>
          </w:p>
        </w:tc>
        <w:tc>
          <w:tcPr>
            <w:tcW w:w="529" w:type="pct"/>
            <w:shd w:val="clear" w:color="auto" w:fill="auto"/>
            <w:noWrap w:val="0"/>
            <w:vAlign w:val="center"/>
          </w:tcPr>
          <w:p w14:paraId="5112C01A">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0</w:t>
            </w:r>
          </w:p>
        </w:tc>
        <w:tc>
          <w:tcPr>
            <w:tcW w:w="525" w:type="pct"/>
            <w:shd w:val="clear" w:color="auto" w:fill="auto"/>
            <w:noWrap w:val="0"/>
            <w:vAlign w:val="center"/>
          </w:tcPr>
          <w:p w14:paraId="32D6F3BD">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达标</w:t>
            </w:r>
          </w:p>
        </w:tc>
        <w:tc>
          <w:tcPr>
            <w:tcW w:w="644" w:type="pct"/>
            <w:shd w:val="clear" w:color="auto" w:fill="auto"/>
            <w:noWrap w:val="0"/>
            <w:vAlign w:val="center"/>
          </w:tcPr>
          <w:p w14:paraId="4BE85473">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900</w:t>
            </w:r>
          </w:p>
        </w:tc>
      </w:tr>
      <w:tr w14:paraId="6D218D4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7" w:type="dxa"/>
            <w:bottom w:w="0" w:type="dxa"/>
            <w:right w:w="17" w:type="dxa"/>
          </w:tblCellMar>
        </w:tblPrEx>
        <w:trPr>
          <w:trHeight w:val="90" w:hRule="atLeast"/>
          <w:jc w:val="center"/>
        </w:trPr>
        <w:tc>
          <w:tcPr>
            <w:tcW w:w="288" w:type="pct"/>
            <w:vMerge w:val="continue"/>
            <w:noWrap w:val="0"/>
            <w:vAlign w:val="center"/>
          </w:tcPr>
          <w:p w14:paraId="600B385F">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none"/>
                <w:lang w:val="en-US" w:eastAsia="zh-CN"/>
              </w:rPr>
            </w:pPr>
          </w:p>
        </w:tc>
        <w:tc>
          <w:tcPr>
            <w:tcW w:w="586" w:type="pct"/>
            <w:vMerge w:val="continue"/>
            <w:noWrap w:val="0"/>
            <w:vAlign w:val="center"/>
          </w:tcPr>
          <w:p w14:paraId="7E457B0D">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none"/>
                <w:lang w:val="en-US" w:eastAsia="zh-CN"/>
              </w:rPr>
            </w:pPr>
          </w:p>
        </w:tc>
        <w:tc>
          <w:tcPr>
            <w:tcW w:w="1139" w:type="pct"/>
            <w:shd w:val="clear" w:color="auto" w:fill="auto"/>
            <w:noWrap w:val="0"/>
            <w:vAlign w:val="center"/>
          </w:tcPr>
          <w:p w14:paraId="361441EF">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铅</w:t>
            </w:r>
          </w:p>
        </w:tc>
        <w:tc>
          <w:tcPr>
            <w:tcW w:w="514" w:type="pct"/>
            <w:shd w:val="clear" w:color="auto" w:fill="auto"/>
            <w:noWrap w:val="0"/>
            <w:vAlign w:val="center"/>
          </w:tcPr>
          <w:p w14:paraId="7AB8316D">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mg/kg</w:t>
            </w:r>
          </w:p>
        </w:tc>
        <w:tc>
          <w:tcPr>
            <w:tcW w:w="772" w:type="pct"/>
            <w:noWrap w:val="0"/>
            <w:vAlign w:val="center"/>
          </w:tcPr>
          <w:p w14:paraId="5F255278">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sz w:val="21"/>
                <w:szCs w:val="21"/>
                <w:highlight w:val="none"/>
                <w:lang w:val="en-US" w:eastAsia="zh-CN"/>
              </w:rPr>
            </w:pPr>
            <w:r>
              <w:rPr>
                <w:rFonts w:hint="eastAsia"/>
                <w:sz w:val="21"/>
                <w:szCs w:val="21"/>
                <w:highlight w:val="none"/>
                <w:lang w:val="en-US" w:eastAsia="zh-CN"/>
              </w:rPr>
              <w:t>38</w:t>
            </w:r>
          </w:p>
        </w:tc>
        <w:tc>
          <w:tcPr>
            <w:tcW w:w="529" w:type="pct"/>
            <w:shd w:val="clear" w:color="auto" w:fill="auto"/>
            <w:noWrap w:val="0"/>
            <w:vAlign w:val="center"/>
          </w:tcPr>
          <w:p w14:paraId="062ACDB5">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0</w:t>
            </w:r>
          </w:p>
        </w:tc>
        <w:tc>
          <w:tcPr>
            <w:tcW w:w="525" w:type="pct"/>
            <w:shd w:val="clear" w:color="auto" w:fill="auto"/>
            <w:noWrap w:val="0"/>
            <w:vAlign w:val="center"/>
          </w:tcPr>
          <w:p w14:paraId="0C9FA3F5">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bCs/>
                <w:kern w:val="2"/>
                <w:sz w:val="21"/>
                <w:szCs w:val="21"/>
                <w:highlight w:val="none"/>
                <w:lang w:val="en-US" w:eastAsia="zh-CN" w:bidi="ar-SA"/>
              </w:rPr>
            </w:pPr>
            <w:r>
              <w:rPr>
                <w:rFonts w:hint="eastAsia"/>
                <w:b w:val="0"/>
                <w:bCs w:val="0"/>
                <w:sz w:val="21"/>
                <w:szCs w:val="21"/>
                <w:highlight w:val="none"/>
                <w:lang w:val="en-US" w:eastAsia="zh-CN"/>
              </w:rPr>
              <w:t>达标</w:t>
            </w:r>
          </w:p>
        </w:tc>
        <w:tc>
          <w:tcPr>
            <w:tcW w:w="644" w:type="pct"/>
            <w:shd w:val="clear" w:color="auto" w:fill="auto"/>
            <w:noWrap w:val="0"/>
            <w:vAlign w:val="center"/>
          </w:tcPr>
          <w:p w14:paraId="551519FF">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800</w:t>
            </w:r>
          </w:p>
        </w:tc>
      </w:tr>
      <w:tr w14:paraId="2903AFE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7" w:type="dxa"/>
            <w:bottom w:w="0" w:type="dxa"/>
            <w:right w:w="17" w:type="dxa"/>
          </w:tblCellMar>
        </w:tblPrEx>
        <w:trPr>
          <w:trHeight w:val="90" w:hRule="atLeast"/>
          <w:jc w:val="center"/>
        </w:trPr>
        <w:tc>
          <w:tcPr>
            <w:tcW w:w="288" w:type="pct"/>
            <w:vMerge w:val="continue"/>
            <w:noWrap w:val="0"/>
            <w:vAlign w:val="center"/>
          </w:tcPr>
          <w:p w14:paraId="06E758AA">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none"/>
                <w:lang w:val="en-US" w:eastAsia="zh-CN"/>
              </w:rPr>
            </w:pPr>
          </w:p>
        </w:tc>
        <w:tc>
          <w:tcPr>
            <w:tcW w:w="586" w:type="pct"/>
            <w:vMerge w:val="continue"/>
            <w:noWrap w:val="0"/>
            <w:vAlign w:val="center"/>
          </w:tcPr>
          <w:p w14:paraId="32F8562B">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none"/>
                <w:lang w:val="en-US" w:eastAsia="zh-CN"/>
              </w:rPr>
            </w:pPr>
          </w:p>
        </w:tc>
        <w:tc>
          <w:tcPr>
            <w:tcW w:w="1139" w:type="pct"/>
            <w:shd w:val="clear" w:color="auto" w:fill="auto"/>
            <w:noWrap w:val="0"/>
            <w:vAlign w:val="center"/>
          </w:tcPr>
          <w:p w14:paraId="688255B1">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镉</w:t>
            </w:r>
          </w:p>
        </w:tc>
        <w:tc>
          <w:tcPr>
            <w:tcW w:w="514" w:type="pct"/>
            <w:shd w:val="clear" w:color="auto" w:fill="auto"/>
            <w:noWrap w:val="0"/>
            <w:vAlign w:val="center"/>
          </w:tcPr>
          <w:p w14:paraId="30324DB0">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mg/kg</w:t>
            </w:r>
          </w:p>
        </w:tc>
        <w:tc>
          <w:tcPr>
            <w:tcW w:w="772" w:type="pct"/>
            <w:noWrap w:val="0"/>
            <w:vAlign w:val="center"/>
          </w:tcPr>
          <w:p w14:paraId="036CA6B1">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sz w:val="21"/>
                <w:szCs w:val="21"/>
                <w:highlight w:val="none"/>
                <w:lang w:val="en-US" w:eastAsia="zh-CN"/>
              </w:rPr>
            </w:pPr>
            <w:r>
              <w:rPr>
                <w:rFonts w:hint="eastAsia"/>
                <w:sz w:val="21"/>
                <w:szCs w:val="21"/>
                <w:highlight w:val="none"/>
                <w:lang w:val="en-US" w:eastAsia="zh-CN"/>
              </w:rPr>
              <w:t>0.09</w:t>
            </w:r>
          </w:p>
        </w:tc>
        <w:tc>
          <w:tcPr>
            <w:tcW w:w="529" w:type="pct"/>
            <w:shd w:val="clear" w:color="auto" w:fill="auto"/>
            <w:noWrap w:val="0"/>
            <w:vAlign w:val="center"/>
          </w:tcPr>
          <w:p w14:paraId="6569F3DA">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0</w:t>
            </w:r>
          </w:p>
        </w:tc>
        <w:tc>
          <w:tcPr>
            <w:tcW w:w="525" w:type="pct"/>
            <w:shd w:val="clear" w:color="auto" w:fill="auto"/>
            <w:noWrap w:val="0"/>
            <w:vAlign w:val="center"/>
          </w:tcPr>
          <w:p w14:paraId="643AF5F7">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达标</w:t>
            </w:r>
          </w:p>
        </w:tc>
        <w:tc>
          <w:tcPr>
            <w:tcW w:w="644" w:type="pct"/>
            <w:shd w:val="clear" w:color="auto" w:fill="auto"/>
            <w:noWrap w:val="0"/>
            <w:vAlign w:val="center"/>
          </w:tcPr>
          <w:p w14:paraId="28E0F044">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65</w:t>
            </w:r>
          </w:p>
        </w:tc>
      </w:tr>
      <w:tr w14:paraId="5C75AA0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7" w:type="dxa"/>
            <w:bottom w:w="0" w:type="dxa"/>
            <w:right w:w="17" w:type="dxa"/>
          </w:tblCellMar>
        </w:tblPrEx>
        <w:trPr>
          <w:trHeight w:val="90" w:hRule="atLeast"/>
          <w:jc w:val="center"/>
        </w:trPr>
        <w:tc>
          <w:tcPr>
            <w:tcW w:w="288" w:type="pct"/>
            <w:vMerge w:val="continue"/>
            <w:noWrap w:val="0"/>
            <w:vAlign w:val="center"/>
          </w:tcPr>
          <w:p w14:paraId="3994B6BB">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none"/>
                <w:lang w:val="en-US" w:eastAsia="zh-CN"/>
              </w:rPr>
            </w:pPr>
          </w:p>
        </w:tc>
        <w:tc>
          <w:tcPr>
            <w:tcW w:w="586" w:type="pct"/>
            <w:vMerge w:val="continue"/>
            <w:noWrap w:val="0"/>
            <w:vAlign w:val="center"/>
          </w:tcPr>
          <w:p w14:paraId="12F8C484">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none"/>
                <w:lang w:val="en-US" w:eastAsia="zh-CN"/>
              </w:rPr>
            </w:pPr>
          </w:p>
        </w:tc>
        <w:tc>
          <w:tcPr>
            <w:tcW w:w="1139" w:type="pct"/>
            <w:shd w:val="clear" w:color="auto" w:fill="auto"/>
            <w:noWrap w:val="0"/>
            <w:vAlign w:val="center"/>
          </w:tcPr>
          <w:p w14:paraId="17E3CC31">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总铬</w:t>
            </w:r>
          </w:p>
        </w:tc>
        <w:tc>
          <w:tcPr>
            <w:tcW w:w="514" w:type="pct"/>
            <w:shd w:val="clear" w:color="auto" w:fill="auto"/>
            <w:noWrap w:val="0"/>
            <w:vAlign w:val="center"/>
          </w:tcPr>
          <w:p w14:paraId="3F34F663">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mg/kg</w:t>
            </w:r>
          </w:p>
        </w:tc>
        <w:tc>
          <w:tcPr>
            <w:tcW w:w="772" w:type="pct"/>
            <w:noWrap w:val="0"/>
            <w:vAlign w:val="center"/>
          </w:tcPr>
          <w:p w14:paraId="44494FA5">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sz w:val="21"/>
                <w:szCs w:val="21"/>
                <w:highlight w:val="none"/>
                <w:lang w:val="en-US" w:eastAsia="zh-CN"/>
              </w:rPr>
            </w:pPr>
            <w:r>
              <w:rPr>
                <w:rFonts w:hint="eastAsia"/>
                <w:sz w:val="21"/>
                <w:szCs w:val="21"/>
                <w:highlight w:val="none"/>
                <w:lang w:val="en-US" w:eastAsia="zh-CN"/>
              </w:rPr>
              <w:t>94</w:t>
            </w:r>
          </w:p>
        </w:tc>
        <w:tc>
          <w:tcPr>
            <w:tcW w:w="529" w:type="pct"/>
            <w:shd w:val="clear" w:color="auto" w:fill="auto"/>
            <w:noWrap w:val="0"/>
            <w:vAlign w:val="center"/>
          </w:tcPr>
          <w:p w14:paraId="57EAF85C">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w:t>
            </w:r>
          </w:p>
        </w:tc>
        <w:tc>
          <w:tcPr>
            <w:tcW w:w="525" w:type="pct"/>
            <w:shd w:val="clear" w:color="auto" w:fill="auto"/>
            <w:noWrap w:val="0"/>
            <w:vAlign w:val="center"/>
          </w:tcPr>
          <w:p w14:paraId="17005254">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bCs/>
                <w:kern w:val="2"/>
                <w:sz w:val="21"/>
                <w:szCs w:val="21"/>
                <w:highlight w:val="none"/>
                <w:lang w:val="en-US" w:eastAsia="zh-CN" w:bidi="ar-SA"/>
              </w:rPr>
            </w:pPr>
            <w:r>
              <w:rPr>
                <w:rFonts w:hint="eastAsia"/>
                <w:b w:val="0"/>
                <w:bCs w:val="0"/>
                <w:sz w:val="21"/>
                <w:szCs w:val="21"/>
                <w:highlight w:val="none"/>
                <w:lang w:val="en-US" w:eastAsia="zh-CN"/>
              </w:rPr>
              <w:t>/</w:t>
            </w:r>
          </w:p>
        </w:tc>
        <w:tc>
          <w:tcPr>
            <w:tcW w:w="644" w:type="pct"/>
            <w:shd w:val="clear" w:color="auto" w:fill="auto"/>
            <w:noWrap w:val="0"/>
            <w:vAlign w:val="center"/>
          </w:tcPr>
          <w:p w14:paraId="5CC589CF">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w:t>
            </w:r>
          </w:p>
        </w:tc>
      </w:tr>
      <w:tr w14:paraId="133F124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7" w:type="dxa"/>
            <w:bottom w:w="0" w:type="dxa"/>
            <w:right w:w="17" w:type="dxa"/>
          </w:tblCellMar>
        </w:tblPrEx>
        <w:trPr>
          <w:trHeight w:val="90" w:hRule="atLeast"/>
          <w:jc w:val="center"/>
        </w:trPr>
        <w:tc>
          <w:tcPr>
            <w:tcW w:w="288" w:type="pct"/>
            <w:vMerge w:val="continue"/>
            <w:noWrap w:val="0"/>
            <w:vAlign w:val="center"/>
          </w:tcPr>
          <w:p w14:paraId="3B6E7BFE">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none"/>
                <w:lang w:val="en-US" w:eastAsia="zh-CN"/>
              </w:rPr>
            </w:pPr>
          </w:p>
        </w:tc>
        <w:tc>
          <w:tcPr>
            <w:tcW w:w="586" w:type="pct"/>
            <w:vMerge w:val="continue"/>
            <w:noWrap w:val="0"/>
            <w:vAlign w:val="center"/>
          </w:tcPr>
          <w:p w14:paraId="2B193CE8">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none"/>
                <w:lang w:val="en-US" w:eastAsia="zh-CN"/>
              </w:rPr>
            </w:pPr>
          </w:p>
        </w:tc>
        <w:tc>
          <w:tcPr>
            <w:tcW w:w="1139" w:type="pct"/>
            <w:shd w:val="clear" w:color="auto" w:fill="auto"/>
            <w:noWrap w:val="0"/>
            <w:vAlign w:val="center"/>
          </w:tcPr>
          <w:p w14:paraId="6302C5E8">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铬（六价）</w:t>
            </w:r>
          </w:p>
        </w:tc>
        <w:tc>
          <w:tcPr>
            <w:tcW w:w="514" w:type="pct"/>
            <w:shd w:val="clear" w:color="auto" w:fill="auto"/>
            <w:noWrap w:val="0"/>
            <w:vAlign w:val="center"/>
          </w:tcPr>
          <w:p w14:paraId="4A911C31">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mg/kg</w:t>
            </w:r>
          </w:p>
        </w:tc>
        <w:tc>
          <w:tcPr>
            <w:tcW w:w="772" w:type="pct"/>
            <w:noWrap w:val="0"/>
            <w:vAlign w:val="center"/>
          </w:tcPr>
          <w:p w14:paraId="0ED35391">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sz w:val="21"/>
                <w:szCs w:val="21"/>
                <w:highlight w:val="none"/>
                <w:lang w:val="en-US" w:eastAsia="zh-CN"/>
              </w:rPr>
            </w:pPr>
            <w:r>
              <w:rPr>
                <w:rFonts w:hint="eastAsia"/>
                <w:sz w:val="21"/>
                <w:szCs w:val="21"/>
                <w:highlight w:val="none"/>
                <w:lang w:val="en-US" w:eastAsia="zh-CN"/>
              </w:rPr>
              <w:t>ND</w:t>
            </w:r>
          </w:p>
        </w:tc>
        <w:tc>
          <w:tcPr>
            <w:tcW w:w="529" w:type="pct"/>
            <w:shd w:val="clear" w:color="auto" w:fill="auto"/>
            <w:noWrap w:val="0"/>
            <w:vAlign w:val="center"/>
          </w:tcPr>
          <w:p w14:paraId="08A3EBF2">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0</w:t>
            </w:r>
          </w:p>
        </w:tc>
        <w:tc>
          <w:tcPr>
            <w:tcW w:w="525" w:type="pct"/>
            <w:shd w:val="clear" w:color="auto" w:fill="auto"/>
            <w:noWrap w:val="0"/>
            <w:vAlign w:val="center"/>
          </w:tcPr>
          <w:p w14:paraId="14724428">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达标</w:t>
            </w:r>
          </w:p>
        </w:tc>
        <w:tc>
          <w:tcPr>
            <w:tcW w:w="644" w:type="pct"/>
            <w:shd w:val="clear" w:color="auto" w:fill="auto"/>
            <w:noWrap w:val="0"/>
            <w:vAlign w:val="center"/>
          </w:tcPr>
          <w:p w14:paraId="352B7358">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5.7</w:t>
            </w:r>
          </w:p>
        </w:tc>
      </w:tr>
      <w:tr w14:paraId="1396894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7" w:type="dxa"/>
            <w:bottom w:w="0" w:type="dxa"/>
            <w:right w:w="17" w:type="dxa"/>
          </w:tblCellMar>
        </w:tblPrEx>
        <w:trPr>
          <w:trHeight w:val="90" w:hRule="atLeast"/>
          <w:jc w:val="center"/>
        </w:trPr>
        <w:tc>
          <w:tcPr>
            <w:tcW w:w="288" w:type="pct"/>
            <w:vMerge w:val="continue"/>
            <w:noWrap w:val="0"/>
            <w:vAlign w:val="center"/>
          </w:tcPr>
          <w:p w14:paraId="2CB70966">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none"/>
                <w:lang w:val="en-US" w:eastAsia="zh-CN"/>
              </w:rPr>
            </w:pPr>
          </w:p>
        </w:tc>
        <w:tc>
          <w:tcPr>
            <w:tcW w:w="586" w:type="pct"/>
            <w:vMerge w:val="continue"/>
            <w:noWrap w:val="0"/>
            <w:vAlign w:val="center"/>
          </w:tcPr>
          <w:p w14:paraId="2F922312">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none"/>
                <w:lang w:val="en-US" w:eastAsia="zh-CN"/>
              </w:rPr>
            </w:pPr>
          </w:p>
        </w:tc>
        <w:tc>
          <w:tcPr>
            <w:tcW w:w="1139" w:type="pct"/>
            <w:shd w:val="clear" w:color="auto" w:fill="auto"/>
            <w:noWrap w:val="0"/>
            <w:vAlign w:val="center"/>
          </w:tcPr>
          <w:p w14:paraId="6590116F">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汞</w:t>
            </w:r>
          </w:p>
        </w:tc>
        <w:tc>
          <w:tcPr>
            <w:tcW w:w="514" w:type="pct"/>
            <w:shd w:val="clear" w:color="auto" w:fill="auto"/>
            <w:noWrap w:val="0"/>
            <w:vAlign w:val="center"/>
          </w:tcPr>
          <w:p w14:paraId="71BD166D">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mg/kg</w:t>
            </w:r>
          </w:p>
        </w:tc>
        <w:tc>
          <w:tcPr>
            <w:tcW w:w="772" w:type="pct"/>
            <w:noWrap w:val="0"/>
            <w:vAlign w:val="center"/>
          </w:tcPr>
          <w:p w14:paraId="5F61C530">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sz w:val="21"/>
                <w:szCs w:val="21"/>
                <w:highlight w:val="none"/>
                <w:lang w:val="en-US" w:eastAsia="zh-CN"/>
              </w:rPr>
            </w:pPr>
            <w:r>
              <w:rPr>
                <w:rFonts w:hint="eastAsia"/>
                <w:sz w:val="21"/>
                <w:szCs w:val="21"/>
                <w:highlight w:val="none"/>
                <w:lang w:val="en-US" w:eastAsia="zh-CN"/>
              </w:rPr>
              <w:t>0.0501</w:t>
            </w:r>
          </w:p>
        </w:tc>
        <w:tc>
          <w:tcPr>
            <w:tcW w:w="529" w:type="pct"/>
            <w:shd w:val="clear" w:color="auto" w:fill="auto"/>
            <w:noWrap w:val="0"/>
            <w:vAlign w:val="center"/>
          </w:tcPr>
          <w:p w14:paraId="178CD443">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0</w:t>
            </w:r>
          </w:p>
        </w:tc>
        <w:tc>
          <w:tcPr>
            <w:tcW w:w="525" w:type="pct"/>
            <w:shd w:val="clear" w:color="auto" w:fill="auto"/>
            <w:noWrap w:val="0"/>
            <w:vAlign w:val="center"/>
          </w:tcPr>
          <w:p w14:paraId="4F54239C">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bCs/>
                <w:kern w:val="2"/>
                <w:sz w:val="21"/>
                <w:szCs w:val="21"/>
                <w:highlight w:val="none"/>
                <w:lang w:val="en-US" w:eastAsia="zh-CN" w:bidi="ar-SA"/>
              </w:rPr>
            </w:pPr>
            <w:r>
              <w:rPr>
                <w:rFonts w:hint="eastAsia"/>
                <w:b w:val="0"/>
                <w:bCs w:val="0"/>
                <w:sz w:val="21"/>
                <w:szCs w:val="21"/>
                <w:highlight w:val="none"/>
                <w:lang w:val="en-US" w:eastAsia="zh-CN"/>
              </w:rPr>
              <w:t>达标</w:t>
            </w:r>
          </w:p>
        </w:tc>
        <w:tc>
          <w:tcPr>
            <w:tcW w:w="644" w:type="pct"/>
            <w:shd w:val="clear" w:color="auto" w:fill="auto"/>
            <w:noWrap w:val="0"/>
            <w:vAlign w:val="center"/>
          </w:tcPr>
          <w:p w14:paraId="6BFB7292">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38</w:t>
            </w:r>
          </w:p>
        </w:tc>
      </w:tr>
      <w:tr w14:paraId="79AD373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7" w:type="dxa"/>
            <w:bottom w:w="0" w:type="dxa"/>
            <w:right w:w="17" w:type="dxa"/>
          </w:tblCellMar>
        </w:tblPrEx>
        <w:trPr>
          <w:trHeight w:val="90" w:hRule="atLeast"/>
          <w:jc w:val="center"/>
        </w:trPr>
        <w:tc>
          <w:tcPr>
            <w:tcW w:w="288" w:type="pct"/>
            <w:vMerge w:val="continue"/>
            <w:noWrap w:val="0"/>
            <w:vAlign w:val="center"/>
          </w:tcPr>
          <w:p w14:paraId="69EA2C16">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none"/>
                <w:lang w:val="en-US" w:eastAsia="zh-CN"/>
              </w:rPr>
            </w:pPr>
          </w:p>
        </w:tc>
        <w:tc>
          <w:tcPr>
            <w:tcW w:w="586" w:type="pct"/>
            <w:vMerge w:val="continue"/>
            <w:noWrap w:val="0"/>
            <w:vAlign w:val="center"/>
          </w:tcPr>
          <w:p w14:paraId="5CE6FC23">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none"/>
                <w:lang w:val="en-US" w:eastAsia="zh-CN"/>
              </w:rPr>
            </w:pPr>
          </w:p>
        </w:tc>
        <w:tc>
          <w:tcPr>
            <w:tcW w:w="1139" w:type="pct"/>
            <w:shd w:val="clear" w:color="auto" w:fill="auto"/>
            <w:noWrap w:val="0"/>
            <w:vAlign w:val="center"/>
          </w:tcPr>
          <w:p w14:paraId="236BC63D">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铜</w:t>
            </w:r>
          </w:p>
        </w:tc>
        <w:tc>
          <w:tcPr>
            <w:tcW w:w="514" w:type="pct"/>
            <w:shd w:val="clear" w:color="auto" w:fill="auto"/>
            <w:noWrap w:val="0"/>
            <w:vAlign w:val="center"/>
          </w:tcPr>
          <w:p w14:paraId="0437003C">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mg/kg</w:t>
            </w:r>
          </w:p>
        </w:tc>
        <w:tc>
          <w:tcPr>
            <w:tcW w:w="772" w:type="pct"/>
            <w:noWrap w:val="0"/>
            <w:vAlign w:val="center"/>
          </w:tcPr>
          <w:p w14:paraId="2E9835EC">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sz w:val="21"/>
                <w:szCs w:val="21"/>
                <w:highlight w:val="none"/>
                <w:lang w:val="en-US" w:eastAsia="zh-CN"/>
              </w:rPr>
            </w:pPr>
            <w:r>
              <w:rPr>
                <w:rFonts w:hint="eastAsia"/>
                <w:sz w:val="21"/>
                <w:szCs w:val="21"/>
                <w:highlight w:val="none"/>
                <w:lang w:val="en-US" w:eastAsia="zh-CN"/>
              </w:rPr>
              <w:t>35.3</w:t>
            </w:r>
          </w:p>
        </w:tc>
        <w:tc>
          <w:tcPr>
            <w:tcW w:w="529" w:type="pct"/>
            <w:shd w:val="clear" w:color="auto" w:fill="auto"/>
            <w:noWrap w:val="0"/>
            <w:vAlign w:val="center"/>
          </w:tcPr>
          <w:p w14:paraId="630D4524">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0</w:t>
            </w:r>
          </w:p>
        </w:tc>
        <w:tc>
          <w:tcPr>
            <w:tcW w:w="525" w:type="pct"/>
            <w:shd w:val="clear" w:color="auto" w:fill="auto"/>
            <w:noWrap w:val="0"/>
            <w:vAlign w:val="center"/>
          </w:tcPr>
          <w:p w14:paraId="5AAC826F">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达标</w:t>
            </w:r>
          </w:p>
        </w:tc>
        <w:tc>
          <w:tcPr>
            <w:tcW w:w="644" w:type="pct"/>
            <w:shd w:val="clear" w:color="auto" w:fill="auto"/>
            <w:noWrap w:val="0"/>
            <w:vAlign w:val="center"/>
          </w:tcPr>
          <w:p w14:paraId="7D8C6F8D">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18000</w:t>
            </w:r>
          </w:p>
        </w:tc>
      </w:tr>
      <w:tr w14:paraId="72BA32D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7" w:type="dxa"/>
            <w:bottom w:w="0" w:type="dxa"/>
            <w:right w:w="17" w:type="dxa"/>
          </w:tblCellMar>
        </w:tblPrEx>
        <w:trPr>
          <w:trHeight w:val="90" w:hRule="atLeast"/>
          <w:jc w:val="center"/>
        </w:trPr>
        <w:tc>
          <w:tcPr>
            <w:tcW w:w="288" w:type="pct"/>
            <w:vMerge w:val="continue"/>
            <w:noWrap w:val="0"/>
            <w:vAlign w:val="center"/>
          </w:tcPr>
          <w:p w14:paraId="66AF5CF6">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none"/>
                <w:lang w:val="en-US" w:eastAsia="zh-CN"/>
              </w:rPr>
            </w:pPr>
          </w:p>
        </w:tc>
        <w:tc>
          <w:tcPr>
            <w:tcW w:w="586" w:type="pct"/>
            <w:vMerge w:val="continue"/>
            <w:noWrap w:val="0"/>
            <w:vAlign w:val="center"/>
          </w:tcPr>
          <w:p w14:paraId="31EEB96B">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none"/>
                <w:lang w:val="en-US" w:eastAsia="zh-CN"/>
              </w:rPr>
            </w:pPr>
          </w:p>
        </w:tc>
        <w:tc>
          <w:tcPr>
            <w:tcW w:w="1139" w:type="pct"/>
            <w:shd w:val="clear" w:color="auto" w:fill="auto"/>
            <w:noWrap w:val="0"/>
            <w:vAlign w:val="center"/>
          </w:tcPr>
          <w:p w14:paraId="716D67DD">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锌</w:t>
            </w:r>
          </w:p>
        </w:tc>
        <w:tc>
          <w:tcPr>
            <w:tcW w:w="514" w:type="pct"/>
            <w:shd w:val="clear" w:color="auto" w:fill="auto"/>
            <w:noWrap w:val="0"/>
            <w:vAlign w:val="center"/>
          </w:tcPr>
          <w:p w14:paraId="059FE74E">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mg/kg</w:t>
            </w:r>
          </w:p>
        </w:tc>
        <w:tc>
          <w:tcPr>
            <w:tcW w:w="772" w:type="pct"/>
            <w:noWrap w:val="0"/>
            <w:vAlign w:val="center"/>
          </w:tcPr>
          <w:p w14:paraId="420774A6">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sz w:val="21"/>
                <w:szCs w:val="21"/>
                <w:highlight w:val="none"/>
                <w:lang w:val="en-US" w:eastAsia="zh-CN"/>
              </w:rPr>
            </w:pPr>
            <w:r>
              <w:rPr>
                <w:rFonts w:hint="eastAsia"/>
                <w:sz w:val="21"/>
                <w:szCs w:val="21"/>
                <w:highlight w:val="none"/>
                <w:lang w:val="en-US" w:eastAsia="zh-CN"/>
              </w:rPr>
              <w:t>120</w:t>
            </w:r>
          </w:p>
        </w:tc>
        <w:tc>
          <w:tcPr>
            <w:tcW w:w="529" w:type="pct"/>
            <w:shd w:val="clear" w:color="auto" w:fill="auto"/>
            <w:noWrap w:val="0"/>
            <w:vAlign w:val="center"/>
          </w:tcPr>
          <w:p w14:paraId="4DC4AEFE">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w:t>
            </w:r>
          </w:p>
        </w:tc>
        <w:tc>
          <w:tcPr>
            <w:tcW w:w="525" w:type="pct"/>
            <w:shd w:val="clear" w:color="auto" w:fill="auto"/>
            <w:noWrap w:val="0"/>
            <w:vAlign w:val="center"/>
          </w:tcPr>
          <w:p w14:paraId="44E00369">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bCs/>
                <w:kern w:val="2"/>
                <w:sz w:val="21"/>
                <w:szCs w:val="21"/>
                <w:highlight w:val="none"/>
                <w:lang w:val="en-US" w:eastAsia="zh-CN" w:bidi="ar-SA"/>
              </w:rPr>
            </w:pPr>
            <w:r>
              <w:rPr>
                <w:rFonts w:hint="eastAsia"/>
                <w:b w:val="0"/>
                <w:bCs w:val="0"/>
                <w:sz w:val="21"/>
                <w:szCs w:val="21"/>
                <w:highlight w:val="none"/>
                <w:lang w:val="en-US" w:eastAsia="zh-CN"/>
              </w:rPr>
              <w:t>/</w:t>
            </w:r>
          </w:p>
        </w:tc>
        <w:tc>
          <w:tcPr>
            <w:tcW w:w="644" w:type="pct"/>
            <w:shd w:val="clear" w:color="auto" w:fill="auto"/>
            <w:noWrap w:val="0"/>
            <w:vAlign w:val="center"/>
          </w:tcPr>
          <w:p w14:paraId="16D81093">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w:t>
            </w:r>
          </w:p>
        </w:tc>
      </w:tr>
      <w:tr w14:paraId="0F59E2C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7" w:type="dxa"/>
            <w:bottom w:w="0" w:type="dxa"/>
            <w:right w:w="17" w:type="dxa"/>
          </w:tblCellMar>
        </w:tblPrEx>
        <w:trPr>
          <w:trHeight w:val="90" w:hRule="atLeast"/>
          <w:jc w:val="center"/>
        </w:trPr>
        <w:tc>
          <w:tcPr>
            <w:tcW w:w="288" w:type="pct"/>
            <w:vMerge w:val="continue"/>
            <w:noWrap w:val="0"/>
            <w:vAlign w:val="center"/>
          </w:tcPr>
          <w:p w14:paraId="73935F5D">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none"/>
                <w:lang w:val="en-US" w:eastAsia="zh-CN"/>
              </w:rPr>
            </w:pPr>
          </w:p>
        </w:tc>
        <w:tc>
          <w:tcPr>
            <w:tcW w:w="586" w:type="pct"/>
            <w:vMerge w:val="continue"/>
            <w:noWrap w:val="0"/>
            <w:vAlign w:val="center"/>
          </w:tcPr>
          <w:p w14:paraId="388B2B57">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none"/>
                <w:lang w:val="en-US" w:eastAsia="zh-CN"/>
              </w:rPr>
            </w:pPr>
          </w:p>
        </w:tc>
        <w:tc>
          <w:tcPr>
            <w:tcW w:w="1139" w:type="pct"/>
            <w:shd w:val="clear" w:color="auto" w:fill="auto"/>
            <w:noWrap w:val="0"/>
            <w:vAlign w:val="center"/>
          </w:tcPr>
          <w:p w14:paraId="087893A0">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氰化物</w:t>
            </w:r>
          </w:p>
        </w:tc>
        <w:tc>
          <w:tcPr>
            <w:tcW w:w="514" w:type="pct"/>
            <w:shd w:val="clear" w:color="auto" w:fill="auto"/>
            <w:noWrap w:val="0"/>
            <w:vAlign w:val="center"/>
          </w:tcPr>
          <w:p w14:paraId="7ED90FAE">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mg/kg</w:t>
            </w:r>
          </w:p>
        </w:tc>
        <w:tc>
          <w:tcPr>
            <w:tcW w:w="772" w:type="pct"/>
            <w:noWrap w:val="0"/>
            <w:vAlign w:val="center"/>
          </w:tcPr>
          <w:p w14:paraId="5D3FA29B">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sz w:val="21"/>
                <w:szCs w:val="21"/>
                <w:highlight w:val="none"/>
                <w:lang w:val="en-US" w:eastAsia="zh-CN"/>
              </w:rPr>
            </w:pPr>
            <w:r>
              <w:rPr>
                <w:rFonts w:hint="eastAsia"/>
                <w:sz w:val="21"/>
                <w:szCs w:val="21"/>
                <w:highlight w:val="none"/>
                <w:lang w:val="en-US" w:eastAsia="zh-CN"/>
              </w:rPr>
              <w:t>ND</w:t>
            </w:r>
          </w:p>
        </w:tc>
        <w:tc>
          <w:tcPr>
            <w:tcW w:w="529" w:type="pct"/>
            <w:shd w:val="clear" w:color="auto" w:fill="auto"/>
            <w:noWrap w:val="0"/>
            <w:vAlign w:val="center"/>
          </w:tcPr>
          <w:p w14:paraId="1FD36A1D">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0</w:t>
            </w:r>
          </w:p>
        </w:tc>
        <w:tc>
          <w:tcPr>
            <w:tcW w:w="525" w:type="pct"/>
            <w:shd w:val="clear" w:color="auto" w:fill="auto"/>
            <w:noWrap w:val="0"/>
            <w:vAlign w:val="center"/>
          </w:tcPr>
          <w:p w14:paraId="222EF026">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达标</w:t>
            </w:r>
          </w:p>
        </w:tc>
        <w:tc>
          <w:tcPr>
            <w:tcW w:w="644" w:type="pct"/>
            <w:shd w:val="clear" w:color="auto" w:fill="auto"/>
            <w:noWrap w:val="0"/>
            <w:vAlign w:val="center"/>
          </w:tcPr>
          <w:p w14:paraId="28016671">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135</w:t>
            </w:r>
          </w:p>
        </w:tc>
      </w:tr>
      <w:tr w14:paraId="1ECECDF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7" w:type="dxa"/>
            <w:bottom w:w="0" w:type="dxa"/>
            <w:right w:w="17" w:type="dxa"/>
          </w:tblCellMar>
        </w:tblPrEx>
        <w:trPr>
          <w:trHeight w:val="90" w:hRule="atLeast"/>
          <w:jc w:val="center"/>
        </w:trPr>
        <w:tc>
          <w:tcPr>
            <w:tcW w:w="288" w:type="pct"/>
            <w:vMerge w:val="restart"/>
            <w:noWrap w:val="0"/>
            <w:vAlign w:val="center"/>
          </w:tcPr>
          <w:p w14:paraId="129D6F3B">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sz w:val="21"/>
                <w:szCs w:val="21"/>
                <w:highlight w:val="none"/>
                <w:lang w:val="en-US" w:eastAsia="zh-CN"/>
              </w:rPr>
            </w:pPr>
            <w:r>
              <w:rPr>
                <w:rFonts w:hint="eastAsia"/>
                <w:sz w:val="21"/>
                <w:szCs w:val="21"/>
                <w:highlight w:val="none"/>
                <w:lang w:val="en-US" w:eastAsia="zh-CN"/>
              </w:rPr>
              <w:t>T2</w:t>
            </w:r>
          </w:p>
        </w:tc>
        <w:tc>
          <w:tcPr>
            <w:tcW w:w="586" w:type="pct"/>
            <w:vMerge w:val="restart"/>
            <w:shd w:val="clear" w:color="auto" w:fill="auto"/>
            <w:noWrap w:val="0"/>
            <w:vAlign w:val="center"/>
          </w:tcPr>
          <w:p w14:paraId="2509E515">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0~0.5m</w:t>
            </w:r>
          </w:p>
        </w:tc>
        <w:tc>
          <w:tcPr>
            <w:tcW w:w="1139" w:type="pct"/>
            <w:shd w:val="clear" w:color="auto" w:fill="auto"/>
            <w:noWrap w:val="0"/>
            <w:vAlign w:val="center"/>
          </w:tcPr>
          <w:p w14:paraId="5AE00EA4">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pH</w:t>
            </w:r>
          </w:p>
        </w:tc>
        <w:tc>
          <w:tcPr>
            <w:tcW w:w="514" w:type="pct"/>
            <w:shd w:val="clear" w:color="auto" w:fill="auto"/>
            <w:noWrap w:val="0"/>
            <w:vAlign w:val="center"/>
          </w:tcPr>
          <w:p w14:paraId="35D7AFFB">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color w:val="auto"/>
                <w:sz w:val="21"/>
                <w:szCs w:val="21"/>
                <w:highlight w:val="none"/>
                <w:lang w:val="en-US" w:eastAsia="zh-CN"/>
              </w:rPr>
              <w:t>无量纲</w:t>
            </w:r>
          </w:p>
        </w:tc>
        <w:tc>
          <w:tcPr>
            <w:tcW w:w="772" w:type="pct"/>
            <w:noWrap w:val="0"/>
            <w:vAlign w:val="center"/>
          </w:tcPr>
          <w:p w14:paraId="6F589625">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sz w:val="21"/>
                <w:szCs w:val="21"/>
                <w:highlight w:val="none"/>
                <w:lang w:val="en-US" w:eastAsia="zh-CN"/>
              </w:rPr>
            </w:pPr>
            <w:r>
              <w:rPr>
                <w:rFonts w:hint="eastAsia"/>
                <w:sz w:val="21"/>
                <w:szCs w:val="21"/>
                <w:highlight w:val="none"/>
                <w:lang w:val="en-US" w:eastAsia="zh-CN"/>
              </w:rPr>
              <w:t>5.17</w:t>
            </w:r>
          </w:p>
        </w:tc>
        <w:tc>
          <w:tcPr>
            <w:tcW w:w="529" w:type="pct"/>
            <w:noWrap w:val="0"/>
            <w:vAlign w:val="center"/>
          </w:tcPr>
          <w:p w14:paraId="01E428E4">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sz w:val="21"/>
                <w:szCs w:val="21"/>
                <w:highlight w:val="none"/>
                <w:lang w:val="en-US" w:eastAsia="zh-CN"/>
              </w:rPr>
            </w:pPr>
            <w:r>
              <w:rPr>
                <w:rFonts w:hint="eastAsia"/>
                <w:sz w:val="21"/>
                <w:szCs w:val="21"/>
                <w:highlight w:val="none"/>
                <w:lang w:val="en-US" w:eastAsia="zh-CN"/>
              </w:rPr>
              <w:t>/</w:t>
            </w:r>
          </w:p>
        </w:tc>
        <w:tc>
          <w:tcPr>
            <w:tcW w:w="525" w:type="pct"/>
            <w:shd w:val="clear" w:color="auto" w:fill="auto"/>
            <w:noWrap w:val="0"/>
            <w:vAlign w:val="center"/>
          </w:tcPr>
          <w:p w14:paraId="6BE068BC">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bCs/>
                <w:kern w:val="2"/>
                <w:sz w:val="21"/>
                <w:szCs w:val="21"/>
                <w:highlight w:val="none"/>
                <w:lang w:val="en-US" w:eastAsia="zh-CN" w:bidi="ar-SA"/>
              </w:rPr>
            </w:pPr>
            <w:r>
              <w:rPr>
                <w:rFonts w:hint="eastAsia"/>
                <w:b w:val="0"/>
                <w:bCs w:val="0"/>
                <w:sz w:val="21"/>
                <w:szCs w:val="21"/>
                <w:highlight w:val="none"/>
                <w:lang w:val="en-US" w:eastAsia="zh-CN"/>
              </w:rPr>
              <w:t>/</w:t>
            </w:r>
          </w:p>
        </w:tc>
        <w:tc>
          <w:tcPr>
            <w:tcW w:w="644" w:type="pct"/>
            <w:shd w:val="clear" w:color="auto" w:fill="auto"/>
            <w:noWrap w:val="0"/>
            <w:vAlign w:val="center"/>
          </w:tcPr>
          <w:p w14:paraId="6BE53CE4">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w:t>
            </w:r>
          </w:p>
        </w:tc>
      </w:tr>
      <w:tr w14:paraId="26125F8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7" w:type="dxa"/>
            <w:bottom w:w="0" w:type="dxa"/>
            <w:right w:w="17" w:type="dxa"/>
          </w:tblCellMar>
        </w:tblPrEx>
        <w:trPr>
          <w:trHeight w:val="90" w:hRule="atLeast"/>
          <w:jc w:val="center"/>
        </w:trPr>
        <w:tc>
          <w:tcPr>
            <w:tcW w:w="288" w:type="pct"/>
            <w:vMerge w:val="continue"/>
            <w:noWrap w:val="0"/>
            <w:vAlign w:val="center"/>
          </w:tcPr>
          <w:p w14:paraId="57E46F17">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none"/>
                <w:lang w:val="en-US" w:eastAsia="zh-CN"/>
              </w:rPr>
            </w:pPr>
          </w:p>
        </w:tc>
        <w:tc>
          <w:tcPr>
            <w:tcW w:w="586" w:type="pct"/>
            <w:vMerge w:val="continue"/>
            <w:noWrap w:val="0"/>
            <w:vAlign w:val="center"/>
          </w:tcPr>
          <w:p w14:paraId="68DEA3D6">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none"/>
                <w:lang w:val="en-US" w:eastAsia="zh-CN"/>
              </w:rPr>
            </w:pPr>
          </w:p>
        </w:tc>
        <w:tc>
          <w:tcPr>
            <w:tcW w:w="1139" w:type="pct"/>
            <w:shd w:val="clear" w:color="auto" w:fill="auto"/>
            <w:noWrap w:val="0"/>
            <w:vAlign w:val="center"/>
          </w:tcPr>
          <w:p w14:paraId="3466F2C2">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砷</w:t>
            </w:r>
          </w:p>
        </w:tc>
        <w:tc>
          <w:tcPr>
            <w:tcW w:w="514" w:type="pct"/>
            <w:shd w:val="clear" w:color="auto" w:fill="auto"/>
            <w:noWrap w:val="0"/>
            <w:vAlign w:val="center"/>
          </w:tcPr>
          <w:p w14:paraId="61EC848B">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mg/kg</w:t>
            </w:r>
          </w:p>
        </w:tc>
        <w:tc>
          <w:tcPr>
            <w:tcW w:w="772" w:type="pct"/>
            <w:noWrap w:val="0"/>
            <w:vAlign w:val="center"/>
          </w:tcPr>
          <w:p w14:paraId="3C8E5F14">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b/>
                <w:bCs/>
                <w:sz w:val="21"/>
                <w:szCs w:val="21"/>
                <w:highlight w:val="none"/>
                <w:lang w:val="en-US" w:eastAsia="zh-CN"/>
              </w:rPr>
            </w:pPr>
            <w:r>
              <w:rPr>
                <w:rFonts w:hint="eastAsia"/>
                <w:b/>
                <w:bCs/>
                <w:sz w:val="21"/>
                <w:szCs w:val="21"/>
                <w:highlight w:val="none"/>
                <w:lang w:val="en-US" w:eastAsia="zh-CN"/>
              </w:rPr>
              <w:t>270</w:t>
            </w:r>
          </w:p>
        </w:tc>
        <w:tc>
          <w:tcPr>
            <w:tcW w:w="529" w:type="pct"/>
            <w:noWrap w:val="0"/>
            <w:vAlign w:val="center"/>
          </w:tcPr>
          <w:p w14:paraId="0E56B067">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b/>
                <w:bCs/>
                <w:sz w:val="21"/>
                <w:szCs w:val="21"/>
                <w:highlight w:val="none"/>
                <w:lang w:val="en-US" w:eastAsia="zh-CN"/>
              </w:rPr>
            </w:pPr>
            <w:r>
              <w:rPr>
                <w:rFonts w:hint="eastAsia"/>
                <w:b/>
                <w:bCs/>
                <w:sz w:val="21"/>
                <w:szCs w:val="21"/>
                <w:highlight w:val="none"/>
                <w:lang w:val="en-US" w:eastAsia="zh-CN"/>
              </w:rPr>
              <w:t>3.5</w:t>
            </w:r>
          </w:p>
        </w:tc>
        <w:tc>
          <w:tcPr>
            <w:tcW w:w="525" w:type="pct"/>
            <w:shd w:val="clear" w:color="auto" w:fill="auto"/>
            <w:noWrap w:val="0"/>
            <w:vAlign w:val="center"/>
          </w:tcPr>
          <w:p w14:paraId="30363D33">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bCs/>
                <w:kern w:val="2"/>
                <w:sz w:val="21"/>
                <w:szCs w:val="21"/>
                <w:highlight w:val="none"/>
                <w:lang w:val="en-US" w:eastAsia="zh-CN" w:bidi="ar-SA"/>
              </w:rPr>
            </w:pPr>
            <w:r>
              <w:rPr>
                <w:rFonts w:hint="eastAsia"/>
                <w:b/>
                <w:bCs/>
                <w:sz w:val="21"/>
                <w:szCs w:val="21"/>
                <w:highlight w:val="none"/>
                <w:lang w:val="en-US" w:eastAsia="zh-CN"/>
              </w:rPr>
              <w:t>超标</w:t>
            </w:r>
          </w:p>
        </w:tc>
        <w:tc>
          <w:tcPr>
            <w:tcW w:w="644" w:type="pct"/>
            <w:shd w:val="clear" w:color="auto" w:fill="auto"/>
            <w:noWrap w:val="0"/>
            <w:vAlign w:val="center"/>
          </w:tcPr>
          <w:p w14:paraId="47D6F294">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bCs/>
                <w:kern w:val="2"/>
                <w:sz w:val="21"/>
                <w:szCs w:val="21"/>
                <w:highlight w:val="none"/>
                <w:lang w:val="en-US" w:eastAsia="zh-CN" w:bidi="ar-SA"/>
              </w:rPr>
            </w:pPr>
            <w:r>
              <w:rPr>
                <w:rFonts w:hint="eastAsia"/>
                <w:b/>
                <w:bCs/>
                <w:sz w:val="21"/>
                <w:szCs w:val="21"/>
                <w:highlight w:val="none"/>
                <w:lang w:val="en-US" w:eastAsia="zh-CN"/>
              </w:rPr>
              <w:t>60</w:t>
            </w:r>
          </w:p>
        </w:tc>
      </w:tr>
      <w:tr w14:paraId="36C6C04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7" w:type="dxa"/>
            <w:bottom w:w="0" w:type="dxa"/>
            <w:right w:w="17" w:type="dxa"/>
          </w:tblCellMar>
        </w:tblPrEx>
        <w:trPr>
          <w:trHeight w:val="90" w:hRule="atLeast"/>
          <w:jc w:val="center"/>
        </w:trPr>
        <w:tc>
          <w:tcPr>
            <w:tcW w:w="288" w:type="pct"/>
            <w:vMerge w:val="continue"/>
            <w:noWrap w:val="0"/>
            <w:vAlign w:val="center"/>
          </w:tcPr>
          <w:p w14:paraId="38A9160F">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none"/>
                <w:lang w:val="en-US" w:eastAsia="zh-CN"/>
              </w:rPr>
            </w:pPr>
          </w:p>
        </w:tc>
        <w:tc>
          <w:tcPr>
            <w:tcW w:w="586" w:type="pct"/>
            <w:vMerge w:val="continue"/>
            <w:noWrap w:val="0"/>
            <w:vAlign w:val="center"/>
          </w:tcPr>
          <w:p w14:paraId="359865B2">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none"/>
                <w:lang w:val="en-US" w:eastAsia="zh-CN"/>
              </w:rPr>
            </w:pPr>
          </w:p>
        </w:tc>
        <w:tc>
          <w:tcPr>
            <w:tcW w:w="1139" w:type="pct"/>
            <w:shd w:val="clear" w:color="auto" w:fill="auto"/>
            <w:noWrap w:val="0"/>
            <w:vAlign w:val="center"/>
          </w:tcPr>
          <w:p w14:paraId="1B7FEB37">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镍</w:t>
            </w:r>
          </w:p>
        </w:tc>
        <w:tc>
          <w:tcPr>
            <w:tcW w:w="514" w:type="pct"/>
            <w:shd w:val="clear" w:color="auto" w:fill="auto"/>
            <w:noWrap w:val="0"/>
            <w:vAlign w:val="center"/>
          </w:tcPr>
          <w:p w14:paraId="2F7E7343">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mg/kg</w:t>
            </w:r>
          </w:p>
        </w:tc>
        <w:tc>
          <w:tcPr>
            <w:tcW w:w="772" w:type="pct"/>
            <w:noWrap w:val="0"/>
            <w:vAlign w:val="center"/>
          </w:tcPr>
          <w:p w14:paraId="5C4A0613">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sz w:val="21"/>
                <w:szCs w:val="21"/>
                <w:highlight w:val="none"/>
                <w:lang w:val="en-US" w:eastAsia="zh-CN"/>
              </w:rPr>
            </w:pPr>
            <w:r>
              <w:rPr>
                <w:rFonts w:hint="eastAsia"/>
                <w:sz w:val="21"/>
                <w:szCs w:val="21"/>
                <w:highlight w:val="none"/>
                <w:lang w:val="en-US" w:eastAsia="zh-CN"/>
              </w:rPr>
              <w:t>32</w:t>
            </w:r>
          </w:p>
        </w:tc>
        <w:tc>
          <w:tcPr>
            <w:tcW w:w="529" w:type="pct"/>
            <w:shd w:val="clear" w:color="auto" w:fill="auto"/>
            <w:noWrap w:val="0"/>
            <w:vAlign w:val="center"/>
          </w:tcPr>
          <w:p w14:paraId="73B5487C">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0</w:t>
            </w:r>
          </w:p>
        </w:tc>
        <w:tc>
          <w:tcPr>
            <w:tcW w:w="525" w:type="pct"/>
            <w:shd w:val="clear" w:color="auto" w:fill="auto"/>
            <w:noWrap w:val="0"/>
            <w:vAlign w:val="center"/>
          </w:tcPr>
          <w:p w14:paraId="5B89BAB7">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达标</w:t>
            </w:r>
          </w:p>
        </w:tc>
        <w:tc>
          <w:tcPr>
            <w:tcW w:w="644" w:type="pct"/>
            <w:shd w:val="clear" w:color="auto" w:fill="auto"/>
            <w:noWrap w:val="0"/>
            <w:vAlign w:val="center"/>
          </w:tcPr>
          <w:p w14:paraId="110E2359">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900</w:t>
            </w:r>
          </w:p>
        </w:tc>
      </w:tr>
      <w:tr w14:paraId="5525018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7" w:type="dxa"/>
            <w:bottom w:w="0" w:type="dxa"/>
            <w:right w:w="17" w:type="dxa"/>
          </w:tblCellMar>
        </w:tblPrEx>
        <w:trPr>
          <w:trHeight w:val="90" w:hRule="atLeast"/>
          <w:jc w:val="center"/>
        </w:trPr>
        <w:tc>
          <w:tcPr>
            <w:tcW w:w="288" w:type="pct"/>
            <w:vMerge w:val="continue"/>
            <w:noWrap w:val="0"/>
            <w:vAlign w:val="center"/>
          </w:tcPr>
          <w:p w14:paraId="6BAE8C0C">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none"/>
                <w:lang w:val="en-US" w:eastAsia="zh-CN"/>
              </w:rPr>
            </w:pPr>
          </w:p>
        </w:tc>
        <w:tc>
          <w:tcPr>
            <w:tcW w:w="586" w:type="pct"/>
            <w:vMerge w:val="continue"/>
            <w:noWrap w:val="0"/>
            <w:vAlign w:val="center"/>
          </w:tcPr>
          <w:p w14:paraId="69A74761">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none"/>
                <w:lang w:val="en-US" w:eastAsia="zh-CN"/>
              </w:rPr>
            </w:pPr>
          </w:p>
        </w:tc>
        <w:tc>
          <w:tcPr>
            <w:tcW w:w="1139" w:type="pct"/>
            <w:shd w:val="clear" w:color="auto" w:fill="auto"/>
            <w:noWrap w:val="0"/>
            <w:vAlign w:val="center"/>
          </w:tcPr>
          <w:p w14:paraId="07870B47">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铅</w:t>
            </w:r>
          </w:p>
        </w:tc>
        <w:tc>
          <w:tcPr>
            <w:tcW w:w="514" w:type="pct"/>
            <w:shd w:val="clear" w:color="auto" w:fill="auto"/>
            <w:noWrap w:val="0"/>
            <w:vAlign w:val="center"/>
          </w:tcPr>
          <w:p w14:paraId="6CE76461">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mg/kg</w:t>
            </w:r>
          </w:p>
        </w:tc>
        <w:tc>
          <w:tcPr>
            <w:tcW w:w="772" w:type="pct"/>
            <w:noWrap w:val="0"/>
            <w:vAlign w:val="center"/>
          </w:tcPr>
          <w:p w14:paraId="67F4B7F9">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sz w:val="21"/>
                <w:szCs w:val="21"/>
                <w:highlight w:val="none"/>
                <w:lang w:val="en-US" w:eastAsia="zh-CN"/>
              </w:rPr>
            </w:pPr>
            <w:r>
              <w:rPr>
                <w:rFonts w:hint="eastAsia"/>
                <w:sz w:val="21"/>
                <w:szCs w:val="21"/>
                <w:highlight w:val="none"/>
                <w:lang w:val="en-US" w:eastAsia="zh-CN"/>
              </w:rPr>
              <w:t>50</w:t>
            </w:r>
          </w:p>
        </w:tc>
        <w:tc>
          <w:tcPr>
            <w:tcW w:w="529" w:type="pct"/>
            <w:shd w:val="clear" w:color="auto" w:fill="auto"/>
            <w:noWrap w:val="0"/>
            <w:vAlign w:val="center"/>
          </w:tcPr>
          <w:p w14:paraId="17C7CEB6">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0</w:t>
            </w:r>
          </w:p>
        </w:tc>
        <w:tc>
          <w:tcPr>
            <w:tcW w:w="525" w:type="pct"/>
            <w:shd w:val="clear" w:color="auto" w:fill="auto"/>
            <w:noWrap w:val="0"/>
            <w:vAlign w:val="center"/>
          </w:tcPr>
          <w:p w14:paraId="0B045BBA">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bCs/>
                <w:kern w:val="2"/>
                <w:sz w:val="21"/>
                <w:szCs w:val="21"/>
                <w:highlight w:val="none"/>
                <w:lang w:val="en-US" w:eastAsia="zh-CN" w:bidi="ar-SA"/>
              </w:rPr>
            </w:pPr>
            <w:r>
              <w:rPr>
                <w:rFonts w:hint="eastAsia"/>
                <w:b w:val="0"/>
                <w:bCs w:val="0"/>
                <w:sz w:val="21"/>
                <w:szCs w:val="21"/>
                <w:highlight w:val="none"/>
                <w:lang w:val="en-US" w:eastAsia="zh-CN"/>
              </w:rPr>
              <w:t>达标</w:t>
            </w:r>
          </w:p>
        </w:tc>
        <w:tc>
          <w:tcPr>
            <w:tcW w:w="644" w:type="pct"/>
            <w:shd w:val="clear" w:color="auto" w:fill="auto"/>
            <w:noWrap w:val="0"/>
            <w:vAlign w:val="center"/>
          </w:tcPr>
          <w:p w14:paraId="2518FC21">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800</w:t>
            </w:r>
          </w:p>
        </w:tc>
      </w:tr>
      <w:tr w14:paraId="0E5B697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7" w:type="dxa"/>
            <w:bottom w:w="0" w:type="dxa"/>
            <w:right w:w="17" w:type="dxa"/>
          </w:tblCellMar>
        </w:tblPrEx>
        <w:trPr>
          <w:trHeight w:val="90" w:hRule="atLeast"/>
          <w:jc w:val="center"/>
        </w:trPr>
        <w:tc>
          <w:tcPr>
            <w:tcW w:w="288" w:type="pct"/>
            <w:vMerge w:val="continue"/>
            <w:noWrap w:val="0"/>
            <w:vAlign w:val="center"/>
          </w:tcPr>
          <w:p w14:paraId="4C71BDD6">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none"/>
                <w:lang w:val="en-US" w:eastAsia="zh-CN"/>
              </w:rPr>
            </w:pPr>
          </w:p>
        </w:tc>
        <w:tc>
          <w:tcPr>
            <w:tcW w:w="586" w:type="pct"/>
            <w:vMerge w:val="continue"/>
            <w:noWrap w:val="0"/>
            <w:vAlign w:val="center"/>
          </w:tcPr>
          <w:p w14:paraId="14BF7442">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none"/>
                <w:lang w:val="en-US" w:eastAsia="zh-CN"/>
              </w:rPr>
            </w:pPr>
          </w:p>
        </w:tc>
        <w:tc>
          <w:tcPr>
            <w:tcW w:w="1139" w:type="pct"/>
            <w:shd w:val="clear" w:color="auto" w:fill="auto"/>
            <w:noWrap w:val="0"/>
            <w:vAlign w:val="center"/>
          </w:tcPr>
          <w:p w14:paraId="598EB5A1">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镉</w:t>
            </w:r>
          </w:p>
        </w:tc>
        <w:tc>
          <w:tcPr>
            <w:tcW w:w="514" w:type="pct"/>
            <w:shd w:val="clear" w:color="auto" w:fill="auto"/>
            <w:noWrap w:val="0"/>
            <w:vAlign w:val="center"/>
          </w:tcPr>
          <w:p w14:paraId="340466D7">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mg/kg</w:t>
            </w:r>
          </w:p>
        </w:tc>
        <w:tc>
          <w:tcPr>
            <w:tcW w:w="772" w:type="pct"/>
            <w:noWrap w:val="0"/>
            <w:vAlign w:val="center"/>
          </w:tcPr>
          <w:p w14:paraId="3C0F0220">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sz w:val="21"/>
                <w:szCs w:val="21"/>
                <w:highlight w:val="none"/>
                <w:lang w:val="en-US" w:eastAsia="zh-CN"/>
              </w:rPr>
            </w:pPr>
            <w:r>
              <w:rPr>
                <w:rFonts w:hint="eastAsia"/>
                <w:sz w:val="21"/>
                <w:szCs w:val="21"/>
                <w:highlight w:val="none"/>
                <w:lang w:val="en-US" w:eastAsia="zh-CN"/>
              </w:rPr>
              <w:t>0.16</w:t>
            </w:r>
          </w:p>
        </w:tc>
        <w:tc>
          <w:tcPr>
            <w:tcW w:w="529" w:type="pct"/>
            <w:shd w:val="clear" w:color="auto" w:fill="auto"/>
            <w:noWrap w:val="0"/>
            <w:vAlign w:val="center"/>
          </w:tcPr>
          <w:p w14:paraId="7971C844">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0</w:t>
            </w:r>
          </w:p>
        </w:tc>
        <w:tc>
          <w:tcPr>
            <w:tcW w:w="525" w:type="pct"/>
            <w:shd w:val="clear" w:color="auto" w:fill="auto"/>
            <w:noWrap w:val="0"/>
            <w:vAlign w:val="center"/>
          </w:tcPr>
          <w:p w14:paraId="190C5AE2">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达标</w:t>
            </w:r>
          </w:p>
        </w:tc>
        <w:tc>
          <w:tcPr>
            <w:tcW w:w="644" w:type="pct"/>
            <w:shd w:val="clear" w:color="auto" w:fill="auto"/>
            <w:noWrap w:val="0"/>
            <w:vAlign w:val="center"/>
          </w:tcPr>
          <w:p w14:paraId="184B2EA3">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65</w:t>
            </w:r>
          </w:p>
        </w:tc>
      </w:tr>
      <w:tr w14:paraId="349BE58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7" w:type="dxa"/>
            <w:bottom w:w="0" w:type="dxa"/>
            <w:right w:w="17" w:type="dxa"/>
          </w:tblCellMar>
        </w:tblPrEx>
        <w:trPr>
          <w:trHeight w:val="90" w:hRule="atLeast"/>
          <w:jc w:val="center"/>
        </w:trPr>
        <w:tc>
          <w:tcPr>
            <w:tcW w:w="288" w:type="pct"/>
            <w:vMerge w:val="continue"/>
            <w:noWrap w:val="0"/>
            <w:vAlign w:val="center"/>
          </w:tcPr>
          <w:p w14:paraId="3C40FA64">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none"/>
                <w:lang w:val="en-US" w:eastAsia="zh-CN"/>
              </w:rPr>
            </w:pPr>
          </w:p>
        </w:tc>
        <w:tc>
          <w:tcPr>
            <w:tcW w:w="586" w:type="pct"/>
            <w:vMerge w:val="continue"/>
            <w:noWrap w:val="0"/>
            <w:vAlign w:val="center"/>
          </w:tcPr>
          <w:p w14:paraId="530CAAF2">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none"/>
                <w:lang w:val="en-US" w:eastAsia="zh-CN"/>
              </w:rPr>
            </w:pPr>
          </w:p>
        </w:tc>
        <w:tc>
          <w:tcPr>
            <w:tcW w:w="1139" w:type="pct"/>
            <w:shd w:val="clear" w:color="auto" w:fill="auto"/>
            <w:noWrap w:val="0"/>
            <w:vAlign w:val="center"/>
          </w:tcPr>
          <w:p w14:paraId="39114287">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总铬</w:t>
            </w:r>
          </w:p>
        </w:tc>
        <w:tc>
          <w:tcPr>
            <w:tcW w:w="514" w:type="pct"/>
            <w:shd w:val="clear" w:color="auto" w:fill="auto"/>
            <w:noWrap w:val="0"/>
            <w:vAlign w:val="center"/>
          </w:tcPr>
          <w:p w14:paraId="5D66DAEF">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mg/kg</w:t>
            </w:r>
          </w:p>
        </w:tc>
        <w:tc>
          <w:tcPr>
            <w:tcW w:w="772" w:type="pct"/>
            <w:noWrap w:val="0"/>
            <w:vAlign w:val="center"/>
          </w:tcPr>
          <w:p w14:paraId="1B2C4C94">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sz w:val="21"/>
                <w:szCs w:val="21"/>
                <w:highlight w:val="none"/>
                <w:lang w:val="en-US" w:eastAsia="zh-CN"/>
              </w:rPr>
            </w:pPr>
            <w:r>
              <w:rPr>
                <w:rFonts w:hint="eastAsia"/>
                <w:sz w:val="21"/>
                <w:szCs w:val="21"/>
                <w:highlight w:val="none"/>
                <w:lang w:val="en-US" w:eastAsia="zh-CN"/>
              </w:rPr>
              <w:t>90</w:t>
            </w:r>
          </w:p>
        </w:tc>
        <w:tc>
          <w:tcPr>
            <w:tcW w:w="529" w:type="pct"/>
            <w:shd w:val="clear" w:color="auto" w:fill="auto"/>
            <w:noWrap w:val="0"/>
            <w:vAlign w:val="center"/>
          </w:tcPr>
          <w:p w14:paraId="79AEE213">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w:t>
            </w:r>
          </w:p>
        </w:tc>
        <w:tc>
          <w:tcPr>
            <w:tcW w:w="525" w:type="pct"/>
            <w:shd w:val="clear" w:color="auto" w:fill="auto"/>
            <w:noWrap w:val="0"/>
            <w:vAlign w:val="center"/>
          </w:tcPr>
          <w:p w14:paraId="28035BF0">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bCs/>
                <w:kern w:val="2"/>
                <w:sz w:val="21"/>
                <w:szCs w:val="21"/>
                <w:highlight w:val="none"/>
                <w:lang w:val="en-US" w:eastAsia="zh-CN" w:bidi="ar-SA"/>
              </w:rPr>
            </w:pPr>
            <w:r>
              <w:rPr>
                <w:rFonts w:hint="eastAsia"/>
                <w:b w:val="0"/>
                <w:bCs w:val="0"/>
                <w:sz w:val="21"/>
                <w:szCs w:val="21"/>
                <w:highlight w:val="none"/>
                <w:lang w:val="en-US" w:eastAsia="zh-CN"/>
              </w:rPr>
              <w:t>/</w:t>
            </w:r>
          </w:p>
        </w:tc>
        <w:tc>
          <w:tcPr>
            <w:tcW w:w="644" w:type="pct"/>
            <w:shd w:val="clear" w:color="auto" w:fill="auto"/>
            <w:noWrap w:val="0"/>
            <w:vAlign w:val="center"/>
          </w:tcPr>
          <w:p w14:paraId="64BF322C">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w:t>
            </w:r>
          </w:p>
        </w:tc>
      </w:tr>
      <w:tr w14:paraId="7BA0D92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7" w:type="dxa"/>
            <w:bottom w:w="0" w:type="dxa"/>
            <w:right w:w="17" w:type="dxa"/>
          </w:tblCellMar>
        </w:tblPrEx>
        <w:trPr>
          <w:trHeight w:val="90" w:hRule="atLeast"/>
          <w:jc w:val="center"/>
        </w:trPr>
        <w:tc>
          <w:tcPr>
            <w:tcW w:w="288" w:type="pct"/>
            <w:vMerge w:val="continue"/>
            <w:noWrap w:val="0"/>
            <w:vAlign w:val="center"/>
          </w:tcPr>
          <w:p w14:paraId="6C0EA27D">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none"/>
                <w:lang w:val="en-US" w:eastAsia="zh-CN"/>
              </w:rPr>
            </w:pPr>
          </w:p>
        </w:tc>
        <w:tc>
          <w:tcPr>
            <w:tcW w:w="586" w:type="pct"/>
            <w:vMerge w:val="continue"/>
            <w:noWrap w:val="0"/>
            <w:vAlign w:val="center"/>
          </w:tcPr>
          <w:p w14:paraId="7EC04EBE">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none"/>
                <w:lang w:val="en-US" w:eastAsia="zh-CN"/>
              </w:rPr>
            </w:pPr>
          </w:p>
        </w:tc>
        <w:tc>
          <w:tcPr>
            <w:tcW w:w="1139" w:type="pct"/>
            <w:shd w:val="clear" w:color="auto" w:fill="auto"/>
            <w:noWrap w:val="0"/>
            <w:vAlign w:val="center"/>
          </w:tcPr>
          <w:p w14:paraId="36635D70">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铬（六价）</w:t>
            </w:r>
          </w:p>
        </w:tc>
        <w:tc>
          <w:tcPr>
            <w:tcW w:w="514" w:type="pct"/>
            <w:shd w:val="clear" w:color="auto" w:fill="auto"/>
            <w:noWrap w:val="0"/>
            <w:vAlign w:val="center"/>
          </w:tcPr>
          <w:p w14:paraId="2A20F6B0">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mg/kg</w:t>
            </w:r>
          </w:p>
        </w:tc>
        <w:tc>
          <w:tcPr>
            <w:tcW w:w="772" w:type="pct"/>
            <w:noWrap w:val="0"/>
            <w:vAlign w:val="center"/>
          </w:tcPr>
          <w:p w14:paraId="0FE4A9C7">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sz w:val="21"/>
                <w:szCs w:val="21"/>
                <w:highlight w:val="none"/>
                <w:lang w:val="en-US" w:eastAsia="zh-CN"/>
              </w:rPr>
            </w:pPr>
            <w:r>
              <w:rPr>
                <w:rFonts w:hint="eastAsia"/>
                <w:sz w:val="21"/>
                <w:szCs w:val="21"/>
                <w:highlight w:val="none"/>
                <w:lang w:val="en-US" w:eastAsia="zh-CN"/>
              </w:rPr>
              <w:t>ND</w:t>
            </w:r>
          </w:p>
        </w:tc>
        <w:tc>
          <w:tcPr>
            <w:tcW w:w="529" w:type="pct"/>
            <w:shd w:val="clear" w:color="auto" w:fill="auto"/>
            <w:noWrap w:val="0"/>
            <w:vAlign w:val="center"/>
          </w:tcPr>
          <w:p w14:paraId="0A3BEC8C">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0</w:t>
            </w:r>
          </w:p>
        </w:tc>
        <w:tc>
          <w:tcPr>
            <w:tcW w:w="525" w:type="pct"/>
            <w:shd w:val="clear" w:color="auto" w:fill="auto"/>
            <w:noWrap w:val="0"/>
            <w:vAlign w:val="center"/>
          </w:tcPr>
          <w:p w14:paraId="67DED706">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达标</w:t>
            </w:r>
          </w:p>
        </w:tc>
        <w:tc>
          <w:tcPr>
            <w:tcW w:w="644" w:type="pct"/>
            <w:shd w:val="clear" w:color="auto" w:fill="auto"/>
            <w:noWrap w:val="0"/>
            <w:vAlign w:val="center"/>
          </w:tcPr>
          <w:p w14:paraId="38041B09">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5.7</w:t>
            </w:r>
          </w:p>
        </w:tc>
      </w:tr>
      <w:tr w14:paraId="5AAC61D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7" w:type="dxa"/>
            <w:bottom w:w="0" w:type="dxa"/>
            <w:right w:w="17" w:type="dxa"/>
          </w:tblCellMar>
        </w:tblPrEx>
        <w:trPr>
          <w:trHeight w:val="90" w:hRule="atLeast"/>
          <w:jc w:val="center"/>
        </w:trPr>
        <w:tc>
          <w:tcPr>
            <w:tcW w:w="288" w:type="pct"/>
            <w:vMerge w:val="continue"/>
            <w:noWrap w:val="0"/>
            <w:vAlign w:val="center"/>
          </w:tcPr>
          <w:p w14:paraId="1E8A519A">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none"/>
                <w:lang w:val="en-US" w:eastAsia="zh-CN"/>
              </w:rPr>
            </w:pPr>
          </w:p>
        </w:tc>
        <w:tc>
          <w:tcPr>
            <w:tcW w:w="586" w:type="pct"/>
            <w:vMerge w:val="continue"/>
            <w:noWrap w:val="0"/>
            <w:vAlign w:val="center"/>
          </w:tcPr>
          <w:p w14:paraId="08642F85">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none"/>
                <w:lang w:val="en-US" w:eastAsia="zh-CN"/>
              </w:rPr>
            </w:pPr>
          </w:p>
        </w:tc>
        <w:tc>
          <w:tcPr>
            <w:tcW w:w="1139" w:type="pct"/>
            <w:shd w:val="clear" w:color="auto" w:fill="auto"/>
            <w:noWrap w:val="0"/>
            <w:vAlign w:val="center"/>
          </w:tcPr>
          <w:p w14:paraId="0BEF5029">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汞</w:t>
            </w:r>
          </w:p>
        </w:tc>
        <w:tc>
          <w:tcPr>
            <w:tcW w:w="514" w:type="pct"/>
            <w:shd w:val="clear" w:color="auto" w:fill="auto"/>
            <w:noWrap w:val="0"/>
            <w:vAlign w:val="center"/>
          </w:tcPr>
          <w:p w14:paraId="452C96FD">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mg/kg</w:t>
            </w:r>
          </w:p>
        </w:tc>
        <w:tc>
          <w:tcPr>
            <w:tcW w:w="772" w:type="pct"/>
            <w:noWrap w:val="0"/>
            <w:vAlign w:val="center"/>
          </w:tcPr>
          <w:p w14:paraId="3EA879F6">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sz w:val="21"/>
                <w:szCs w:val="21"/>
                <w:highlight w:val="none"/>
                <w:lang w:val="en-US" w:eastAsia="zh-CN"/>
              </w:rPr>
            </w:pPr>
            <w:r>
              <w:rPr>
                <w:rFonts w:hint="eastAsia"/>
                <w:sz w:val="21"/>
                <w:szCs w:val="21"/>
                <w:highlight w:val="none"/>
                <w:lang w:val="en-US" w:eastAsia="zh-CN"/>
              </w:rPr>
              <w:t>0.0578</w:t>
            </w:r>
          </w:p>
        </w:tc>
        <w:tc>
          <w:tcPr>
            <w:tcW w:w="529" w:type="pct"/>
            <w:shd w:val="clear" w:color="auto" w:fill="auto"/>
            <w:noWrap w:val="0"/>
            <w:vAlign w:val="center"/>
          </w:tcPr>
          <w:p w14:paraId="49D0FF75">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0</w:t>
            </w:r>
          </w:p>
        </w:tc>
        <w:tc>
          <w:tcPr>
            <w:tcW w:w="525" w:type="pct"/>
            <w:shd w:val="clear" w:color="auto" w:fill="auto"/>
            <w:noWrap w:val="0"/>
            <w:vAlign w:val="center"/>
          </w:tcPr>
          <w:p w14:paraId="0B210DA7">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bCs/>
                <w:kern w:val="2"/>
                <w:sz w:val="21"/>
                <w:szCs w:val="21"/>
                <w:highlight w:val="none"/>
                <w:lang w:val="en-US" w:eastAsia="zh-CN" w:bidi="ar-SA"/>
              </w:rPr>
            </w:pPr>
            <w:r>
              <w:rPr>
                <w:rFonts w:hint="eastAsia"/>
                <w:b w:val="0"/>
                <w:bCs w:val="0"/>
                <w:sz w:val="21"/>
                <w:szCs w:val="21"/>
                <w:highlight w:val="none"/>
                <w:lang w:val="en-US" w:eastAsia="zh-CN"/>
              </w:rPr>
              <w:t>达标</w:t>
            </w:r>
          </w:p>
        </w:tc>
        <w:tc>
          <w:tcPr>
            <w:tcW w:w="644" w:type="pct"/>
            <w:shd w:val="clear" w:color="auto" w:fill="auto"/>
            <w:noWrap w:val="0"/>
            <w:vAlign w:val="center"/>
          </w:tcPr>
          <w:p w14:paraId="0141C10E">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38</w:t>
            </w:r>
          </w:p>
        </w:tc>
      </w:tr>
      <w:tr w14:paraId="7F50E34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7" w:type="dxa"/>
            <w:bottom w:w="0" w:type="dxa"/>
            <w:right w:w="17" w:type="dxa"/>
          </w:tblCellMar>
        </w:tblPrEx>
        <w:trPr>
          <w:trHeight w:val="90" w:hRule="atLeast"/>
          <w:jc w:val="center"/>
        </w:trPr>
        <w:tc>
          <w:tcPr>
            <w:tcW w:w="288" w:type="pct"/>
            <w:vMerge w:val="continue"/>
            <w:noWrap w:val="0"/>
            <w:vAlign w:val="center"/>
          </w:tcPr>
          <w:p w14:paraId="46FBC965">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none"/>
                <w:lang w:val="en-US" w:eastAsia="zh-CN"/>
              </w:rPr>
            </w:pPr>
          </w:p>
        </w:tc>
        <w:tc>
          <w:tcPr>
            <w:tcW w:w="586" w:type="pct"/>
            <w:vMerge w:val="continue"/>
            <w:noWrap w:val="0"/>
            <w:vAlign w:val="center"/>
          </w:tcPr>
          <w:p w14:paraId="03500CA2">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none"/>
                <w:lang w:val="en-US" w:eastAsia="zh-CN"/>
              </w:rPr>
            </w:pPr>
          </w:p>
        </w:tc>
        <w:tc>
          <w:tcPr>
            <w:tcW w:w="1139" w:type="pct"/>
            <w:shd w:val="clear" w:color="auto" w:fill="auto"/>
            <w:noWrap w:val="0"/>
            <w:vAlign w:val="center"/>
          </w:tcPr>
          <w:p w14:paraId="1C42519E">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铜</w:t>
            </w:r>
          </w:p>
        </w:tc>
        <w:tc>
          <w:tcPr>
            <w:tcW w:w="514" w:type="pct"/>
            <w:shd w:val="clear" w:color="auto" w:fill="auto"/>
            <w:noWrap w:val="0"/>
            <w:vAlign w:val="center"/>
          </w:tcPr>
          <w:p w14:paraId="3C7FCC31">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mg/kg</w:t>
            </w:r>
          </w:p>
        </w:tc>
        <w:tc>
          <w:tcPr>
            <w:tcW w:w="772" w:type="pct"/>
            <w:noWrap w:val="0"/>
            <w:vAlign w:val="center"/>
          </w:tcPr>
          <w:p w14:paraId="499DE164">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sz w:val="21"/>
                <w:szCs w:val="21"/>
                <w:highlight w:val="none"/>
                <w:lang w:val="en-US" w:eastAsia="zh-CN"/>
              </w:rPr>
            </w:pPr>
            <w:r>
              <w:rPr>
                <w:rFonts w:hint="eastAsia"/>
                <w:sz w:val="21"/>
                <w:szCs w:val="21"/>
                <w:highlight w:val="none"/>
                <w:lang w:val="en-US" w:eastAsia="zh-CN"/>
              </w:rPr>
              <w:t>35.2</w:t>
            </w:r>
          </w:p>
        </w:tc>
        <w:tc>
          <w:tcPr>
            <w:tcW w:w="529" w:type="pct"/>
            <w:shd w:val="clear" w:color="auto" w:fill="auto"/>
            <w:noWrap w:val="0"/>
            <w:vAlign w:val="center"/>
          </w:tcPr>
          <w:p w14:paraId="6F8332A6">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0</w:t>
            </w:r>
          </w:p>
        </w:tc>
        <w:tc>
          <w:tcPr>
            <w:tcW w:w="525" w:type="pct"/>
            <w:shd w:val="clear" w:color="auto" w:fill="auto"/>
            <w:noWrap w:val="0"/>
            <w:vAlign w:val="center"/>
          </w:tcPr>
          <w:p w14:paraId="3C113305">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达标</w:t>
            </w:r>
          </w:p>
        </w:tc>
        <w:tc>
          <w:tcPr>
            <w:tcW w:w="644" w:type="pct"/>
            <w:shd w:val="clear" w:color="auto" w:fill="auto"/>
            <w:noWrap w:val="0"/>
            <w:vAlign w:val="center"/>
          </w:tcPr>
          <w:p w14:paraId="5628F521">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18000</w:t>
            </w:r>
          </w:p>
        </w:tc>
      </w:tr>
      <w:tr w14:paraId="4A8C009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7" w:type="dxa"/>
            <w:bottom w:w="0" w:type="dxa"/>
            <w:right w:w="17" w:type="dxa"/>
          </w:tblCellMar>
        </w:tblPrEx>
        <w:trPr>
          <w:trHeight w:val="90" w:hRule="atLeast"/>
          <w:jc w:val="center"/>
        </w:trPr>
        <w:tc>
          <w:tcPr>
            <w:tcW w:w="288" w:type="pct"/>
            <w:vMerge w:val="continue"/>
            <w:noWrap w:val="0"/>
            <w:vAlign w:val="center"/>
          </w:tcPr>
          <w:p w14:paraId="57EB2BFC">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none"/>
                <w:lang w:val="en-US" w:eastAsia="zh-CN"/>
              </w:rPr>
            </w:pPr>
          </w:p>
        </w:tc>
        <w:tc>
          <w:tcPr>
            <w:tcW w:w="586" w:type="pct"/>
            <w:vMerge w:val="continue"/>
            <w:noWrap w:val="0"/>
            <w:vAlign w:val="center"/>
          </w:tcPr>
          <w:p w14:paraId="7810238E">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none"/>
                <w:lang w:val="en-US" w:eastAsia="zh-CN"/>
              </w:rPr>
            </w:pPr>
          </w:p>
        </w:tc>
        <w:tc>
          <w:tcPr>
            <w:tcW w:w="1139" w:type="pct"/>
            <w:shd w:val="clear" w:color="auto" w:fill="auto"/>
            <w:noWrap w:val="0"/>
            <w:vAlign w:val="center"/>
          </w:tcPr>
          <w:p w14:paraId="2C074BCF">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锌</w:t>
            </w:r>
          </w:p>
        </w:tc>
        <w:tc>
          <w:tcPr>
            <w:tcW w:w="514" w:type="pct"/>
            <w:shd w:val="clear" w:color="auto" w:fill="auto"/>
            <w:noWrap w:val="0"/>
            <w:vAlign w:val="center"/>
          </w:tcPr>
          <w:p w14:paraId="5DAE2073">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mg/kg</w:t>
            </w:r>
          </w:p>
        </w:tc>
        <w:tc>
          <w:tcPr>
            <w:tcW w:w="772" w:type="pct"/>
            <w:noWrap w:val="0"/>
            <w:vAlign w:val="center"/>
          </w:tcPr>
          <w:p w14:paraId="03007CFE">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sz w:val="21"/>
                <w:szCs w:val="21"/>
                <w:highlight w:val="none"/>
                <w:lang w:val="en-US" w:eastAsia="zh-CN"/>
              </w:rPr>
            </w:pPr>
            <w:r>
              <w:rPr>
                <w:rFonts w:hint="eastAsia"/>
                <w:sz w:val="21"/>
                <w:szCs w:val="21"/>
                <w:highlight w:val="none"/>
                <w:lang w:val="en-US" w:eastAsia="zh-CN"/>
              </w:rPr>
              <w:t>170</w:t>
            </w:r>
          </w:p>
        </w:tc>
        <w:tc>
          <w:tcPr>
            <w:tcW w:w="529" w:type="pct"/>
            <w:shd w:val="clear" w:color="auto" w:fill="auto"/>
            <w:noWrap w:val="0"/>
            <w:vAlign w:val="center"/>
          </w:tcPr>
          <w:p w14:paraId="0A83AB0B">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w:t>
            </w:r>
          </w:p>
        </w:tc>
        <w:tc>
          <w:tcPr>
            <w:tcW w:w="525" w:type="pct"/>
            <w:shd w:val="clear" w:color="auto" w:fill="auto"/>
            <w:noWrap w:val="0"/>
            <w:vAlign w:val="center"/>
          </w:tcPr>
          <w:p w14:paraId="2CC39EFF">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bCs/>
                <w:kern w:val="2"/>
                <w:sz w:val="21"/>
                <w:szCs w:val="21"/>
                <w:highlight w:val="none"/>
                <w:lang w:val="en-US" w:eastAsia="zh-CN" w:bidi="ar-SA"/>
              </w:rPr>
            </w:pPr>
            <w:r>
              <w:rPr>
                <w:rFonts w:hint="eastAsia"/>
                <w:b w:val="0"/>
                <w:bCs w:val="0"/>
                <w:sz w:val="21"/>
                <w:szCs w:val="21"/>
                <w:highlight w:val="none"/>
                <w:lang w:val="en-US" w:eastAsia="zh-CN"/>
              </w:rPr>
              <w:t>/</w:t>
            </w:r>
          </w:p>
        </w:tc>
        <w:tc>
          <w:tcPr>
            <w:tcW w:w="644" w:type="pct"/>
            <w:shd w:val="clear" w:color="auto" w:fill="auto"/>
            <w:noWrap w:val="0"/>
            <w:vAlign w:val="center"/>
          </w:tcPr>
          <w:p w14:paraId="15B78157">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w:t>
            </w:r>
          </w:p>
        </w:tc>
      </w:tr>
      <w:tr w14:paraId="101CD39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7" w:type="dxa"/>
            <w:bottom w:w="0" w:type="dxa"/>
            <w:right w:w="17" w:type="dxa"/>
          </w:tblCellMar>
        </w:tblPrEx>
        <w:trPr>
          <w:trHeight w:val="90" w:hRule="atLeast"/>
          <w:jc w:val="center"/>
        </w:trPr>
        <w:tc>
          <w:tcPr>
            <w:tcW w:w="288" w:type="pct"/>
            <w:vMerge w:val="continue"/>
            <w:noWrap w:val="0"/>
            <w:vAlign w:val="center"/>
          </w:tcPr>
          <w:p w14:paraId="6CA751B4">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none"/>
                <w:lang w:val="en-US" w:eastAsia="zh-CN"/>
              </w:rPr>
            </w:pPr>
          </w:p>
        </w:tc>
        <w:tc>
          <w:tcPr>
            <w:tcW w:w="586" w:type="pct"/>
            <w:vMerge w:val="continue"/>
            <w:noWrap w:val="0"/>
            <w:vAlign w:val="center"/>
          </w:tcPr>
          <w:p w14:paraId="46FDEA5F">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none"/>
                <w:lang w:val="en-US" w:eastAsia="zh-CN"/>
              </w:rPr>
            </w:pPr>
          </w:p>
        </w:tc>
        <w:tc>
          <w:tcPr>
            <w:tcW w:w="1139" w:type="pct"/>
            <w:shd w:val="clear" w:color="auto" w:fill="auto"/>
            <w:noWrap w:val="0"/>
            <w:vAlign w:val="center"/>
          </w:tcPr>
          <w:p w14:paraId="500FF172">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氰化物</w:t>
            </w:r>
          </w:p>
        </w:tc>
        <w:tc>
          <w:tcPr>
            <w:tcW w:w="514" w:type="pct"/>
            <w:shd w:val="clear" w:color="auto" w:fill="auto"/>
            <w:noWrap w:val="0"/>
            <w:vAlign w:val="center"/>
          </w:tcPr>
          <w:p w14:paraId="6A4032CD">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mg/kg</w:t>
            </w:r>
          </w:p>
        </w:tc>
        <w:tc>
          <w:tcPr>
            <w:tcW w:w="772" w:type="pct"/>
            <w:noWrap w:val="0"/>
            <w:vAlign w:val="center"/>
          </w:tcPr>
          <w:p w14:paraId="15070BE3">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sz w:val="21"/>
                <w:szCs w:val="21"/>
                <w:highlight w:val="none"/>
                <w:lang w:val="en-US" w:eastAsia="zh-CN"/>
              </w:rPr>
            </w:pPr>
            <w:r>
              <w:rPr>
                <w:rFonts w:hint="eastAsia"/>
                <w:sz w:val="21"/>
                <w:szCs w:val="21"/>
                <w:highlight w:val="none"/>
                <w:lang w:val="en-US" w:eastAsia="zh-CN"/>
              </w:rPr>
              <w:t>ND</w:t>
            </w:r>
          </w:p>
        </w:tc>
        <w:tc>
          <w:tcPr>
            <w:tcW w:w="529" w:type="pct"/>
            <w:shd w:val="clear" w:color="auto" w:fill="auto"/>
            <w:noWrap w:val="0"/>
            <w:vAlign w:val="center"/>
          </w:tcPr>
          <w:p w14:paraId="24533693">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0</w:t>
            </w:r>
          </w:p>
        </w:tc>
        <w:tc>
          <w:tcPr>
            <w:tcW w:w="525" w:type="pct"/>
            <w:shd w:val="clear" w:color="auto" w:fill="auto"/>
            <w:noWrap w:val="0"/>
            <w:vAlign w:val="center"/>
          </w:tcPr>
          <w:p w14:paraId="7C0DF13A">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达标</w:t>
            </w:r>
          </w:p>
        </w:tc>
        <w:tc>
          <w:tcPr>
            <w:tcW w:w="644" w:type="pct"/>
            <w:shd w:val="clear" w:color="auto" w:fill="auto"/>
            <w:noWrap w:val="0"/>
            <w:vAlign w:val="center"/>
          </w:tcPr>
          <w:p w14:paraId="37B3F270">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135</w:t>
            </w:r>
          </w:p>
        </w:tc>
      </w:tr>
      <w:tr w14:paraId="36CD902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7" w:type="dxa"/>
            <w:bottom w:w="0" w:type="dxa"/>
            <w:right w:w="17" w:type="dxa"/>
          </w:tblCellMar>
        </w:tblPrEx>
        <w:trPr>
          <w:trHeight w:val="90" w:hRule="atLeast"/>
          <w:jc w:val="center"/>
        </w:trPr>
        <w:tc>
          <w:tcPr>
            <w:tcW w:w="288" w:type="pct"/>
            <w:vMerge w:val="continue"/>
            <w:noWrap w:val="0"/>
            <w:vAlign w:val="center"/>
          </w:tcPr>
          <w:p w14:paraId="0F81ECB2">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none"/>
                <w:lang w:val="en-US" w:eastAsia="zh-CN"/>
              </w:rPr>
            </w:pPr>
          </w:p>
        </w:tc>
        <w:tc>
          <w:tcPr>
            <w:tcW w:w="586" w:type="pct"/>
            <w:vMerge w:val="restart"/>
            <w:shd w:val="clear" w:color="auto" w:fill="auto"/>
            <w:noWrap w:val="0"/>
            <w:vAlign w:val="center"/>
          </w:tcPr>
          <w:p w14:paraId="37B6ADCC">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0.5~1.5m</w:t>
            </w:r>
          </w:p>
        </w:tc>
        <w:tc>
          <w:tcPr>
            <w:tcW w:w="1139" w:type="pct"/>
            <w:shd w:val="clear" w:color="auto" w:fill="auto"/>
            <w:noWrap w:val="0"/>
            <w:vAlign w:val="center"/>
          </w:tcPr>
          <w:p w14:paraId="20DAE84A">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pH</w:t>
            </w:r>
          </w:p>
        </w:tc>
        <w:tc>
          <w:tcPr>
            <w:tcW w:w="514" w:type="pct"/>
            <w:shd w:val="clear" w:color="auto" w:fill="auto"/>
            <w:noWrap w:val="0"/>
            <w:vAlign w:val="center"/>
          </w:tcPr>
          <w:p w14:paraId="6098AD64">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color w:val="auto"/>
                <w:sz w:val="21"/>
                <w:szCs w:val="21"/>
                <w:highlight w:val="none"/>
                <w:lang w:val="en-US" w:eastAsia="zh-CN"/>
              </w:rPr>
              <w:t>无量纲</w:t>
            </w:r>
          </w:p>
        </w:tc>
        <w:tc>
          <w:tcPr>
            <w:tcW w:w="772" w:type="pct"/>
            <w:noWrap w:val="0"/>
            <w:vAlign w:val="center"/>
          </w:tcPr>
          <w:p w14:paraId="03A37DFD">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sz w:val="21"/>
                <w:szCs w:val="21"/>
                <w:highlight w:val="none"/>
                <w:lang w:val="en-US" w:eastAsia="zh-CN"/>
              </w:rPr>
            </w:pPr>
            <w:r>
              <w:rPr>
                <w:rFonts w:hint="eastAsia"/>
                <w:sz w:val="21"/>
                <w:szCs w:val="21"/>
                <w:highlight w:val="none"/>
                <w:lang w:val="en-US" w:eastAsia="zh-CN"/>
              </w:rPr>
              <w:t>5.13</w:t>
            </w:r>
          </w:p>
        </w:tc>
        <w:tc>
          <w:tcPr>
            <w:tcW w:w="529" w:type="pct"/>
            <w:noWrap w:val="0"/>
            <w:vAlign w:val="center"/>
          </w:tcPr>
          <w:p w14:paraId="14CD57D2">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sz w:val="21"/>
                <w:szCs w:val="21"/>
                <w:highlight w:val="none"/>
                <w:lang w:val="en-US" w:eastAsia="zh-CN"/>
              </w:rPr>
            </w:pPr>
            <w:r>
              <w:rPr>
                <w:rFonts w:hint="eastAsia"/>
                <w:sz w:val="21"/>
                <w:szCs w:val="21"/>
                <w:highlight w:val="none"/>
                <w:lang w:val="en-US" w:eastAsia="zh-CN"/>
              </w:rPr>
              <w:t>/</w:t>
            </w:r>
          </w:p>
        </w:tc>
        <w:tc>
          <w:tcPr>
            <w:tcW w:w="525" w:type="pct"/>
            <w:shd w:val="clear" w:color="auto" w:fill="auto"/>
            <w:noWrap w:val="0"/>
            <w:vAlign w:val="center"/>
          </w:tcPr>
          <w:p w14:paraId="7FB924D8">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bCs/>
                <w:kern w:val="2"/>
                <w:sz w:val="21"/>
                <w:szCs w:val="21"/>
                <w:highlight w:val="none"/>
                <w:lang w:val="en-US" w:eastAsia="zh-CN" w:bidi="ar-SA"/>
              </w:rPr>
            </w:pPr>
            <w:r>
              <w:rPr>
                <w:rFonts w:hint="eastAsia"/>
                <w:b w:val="0"/>
                <w:bCs w:val="0"/>
                <w:sz w:val="21"/>
                <w:szCs w:val="21"/>
                <w:highlight w:val="none"/>
                <w:lang w:val="en-US" w:eastAsia="zh-CN"/>
              </w:rPr>
              <w:t>/</w:t>
            </w:r>
          </w:p>
        </w:tc>
        <w:tc>
          <w:tcPr>
            <w:tcW w:w="644" w:type="pct"/>
            <w:shd w:val="clear" w:color="auto" w:fill="auto"/>
            <w:noWrap w:val="0"/>
            <w:vAlign w:val="center"/>
          </w:tcPr>
          <w:p w14:paraId="5E30BC55">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w:t>
            </w:r>
          </w:p>
        </w:tc>
      </w:tr>
      <w:tr w14:paraId="09EF54E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7" w:type="dxa"/>
            <w:bottom w:w="0" w:type="dxa"/>
            <w:right w:w="17" w:type="dxa"/>
          </w:tblCellMar>
        </w:tblPrEx>
        <w:trPr>
          <w:trHeight w:val="90" w:hRule="atLeast"/>
          <w:jc w:val="center"/>
        </w:trPr>
        <w:tc>
          <w:tcPr>
            <w:tcW w:w="288" w:type="pct"/>
            <w:vMerge w:val="continue"/>
            <w:noWrap w:val="0"/>
            <w:vAlign w:val="center"/>
          </w:tcPr>
          <w:p w14:paraId="243382A4">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none"/>
                <w:lang w:val="en-US" w:eastAsia="zh-CN"/>
              </w:rPr>
            </w:pPr>
          </w:p>
        </w:tc>
        <w:tc>
          <w:tcPr>
            <w:tcW w:w="586" w:type="pct"/>
            <w:vMerge w:val="continue"/>
            <w:noWrap w:val="0"/>
            <w:vAlign w:val="center"/>
          </w:tcPr>
          <w:p w14:paraId="76BB1ACB">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none"/>
                <w:lang w:val="en-US" w:eastAsia="zh-CN"/>
              </w:rPr>
            </w:pPr>
          </w:p>
        </w:tc>
        <w:tc>
          <w:tcPr>
            <w:tcW w:w="1139" w:type="pct"/>
            <w:shd w:val="clear" w:color="auto" w:fill="auto"/>
            <w:noWrap w:val="0"/>
            <w:vAlign w:val="center"/>
          </w:tcPr>
          <w:p w14:paraId="657D9F3D">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砷</w:t>
            </w:r>
          </w:p>
        </w:tc>
        <w:tc>
          <w:tcPr>
            <w:tcW w:w="514" w:type="pct"/>
            <w:shd w:val="clear" w:color="auto" w:fill="auto"/>
            <w:noWrap w:val="0"/>
            <w:vAlign w:val="center"/>
          </w:tcPr>
          <w:p w14:paraId="782C12F3">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mg/kg</w:t>
            </w:r>
          </w:p>
        </w:tc>
        <w:tc>
          <w:tcPr>
            <w:tcW w:w="772" w:type="pct"/>
            <w:noWrap w:val="0"/>
            <w:vAlign w:val="center"/>
          </w:tcPr>
          <w:p w14:paraId="65F99350">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b/>
                <w:bCs/>
                <w:sz w:val="21"/>
                <w:szCs w:val="21"/>
                <w:highlight w:val="none"/>
                <w:lang w:val="en-US" w:eastAsia="zh-CN"/>
              </w:rPr>
            </w:pPr>
            <w:r>
              <w:rPr>
                <w:rFonts w:hint="eastAsia"/>
                <w:b/>
                <w:bCs/>
                <w:sz w:val="21"/>
                <w:szCs w:val="21"/>
                <w:highlight w:val="none"/>
                <w:lang w:val="en-US" w:eastAsia="zh-CN"/>
              </w:rPr>
              <w:t>325</w:t>
            </w:r>
          </w:p>
        </w:tc>
        <w:tc>
          <w:tcPr>
            <w:tcW w:w="529" w:type="pct"/>
            <w:noWrap w:val="0"/>
            <w:vAlign w:val="center"/>
          </w:tcPr>
          <w:p w14:paraId="234AC829">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b/>
                <w:bCs/>
                <w:sz w:val="21"/>
                <w:szCs w:val="21"/>
                <w:highlight w:val="none"/>
                <w:lang w:val="en-US" w:eastAsia="zh-CN"/>
              </w:rPr>
            </w:pPr>
            <w:r>
              <w:rPr>
                <w:rFonts w:hint="eastAsia"/>
                <w:b/>
                <w:bCs/>
                <w:sz w:val="21"/>
                <w:szCs w:val="21"/>
                <w:highlight w:val="none"/>
                <w:lang w:val="en-US" w:eastAsia="zh-CN"/>
              </w:rPr>
              <w:t>4.42</w:t>
            </w:r>
          </w:p>
        </w:tc>
        <w:tc>
          <w:tcPr>
            <w:tcW w:w="525" w:type="pct"/>
            <w:shd w:val="clear" w:color="auto" w:fill="auto"/>
            <w:noWrap w:val="0"/>
            <w:vAlign w:val="center"/>
          </w:tcPr>
          <w:p w14:paraId="113E726C">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bCs/>
                <w:kern w:val="2"/>
                <w:sz w:val="21"/>
                <w:szCs w:val="21"/>
                <w:highlight w:val="none"/>
                <w:lang w:val="en-US" w:eastAsia="zh-CN" w:bidi="ar-SA"/>
              </w:rPr>
            </w:pPr>
            <w:r>
              <w:rPr>
                <w:rFonts w:hint="eastAsia"/>
                <w:b/>
                <w:bCs/>
                <w:sz w:val="21"/>
                <w:szCs w:val="21"/>
                <w:highlight w:val="none"/>
                <w:lang w:val="en-US" w:eastAsia="zh-CN"/>
              </w:rPr>
              <w:t>超标</w:t>
            </w:r>
          </w:p>
        </w:tc>
        <w:tc>
          <w:tcPr>
            <w:tcW w:w="644" w:type="pct"/>
            <w:shd w:val="clear" w:color="auto" w:fill="auto"/>
            <w:noWrap w:val="0"/>
            <w:vAlign w:val="center"/>
          </w:tcPr>
          <w:p w14:paraId="2C590129">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bCs/>
                <w:kern w:val="2"/>
                <w:sz w:val="21"/>
                <w:szCs w:val="21"/>
                <w:highlight w:val="none"/>
                <w:lang w:val="en-US" w:eastAsia="zh-CN" w:bidi="ar-SA"/>
              </w:rPr>
            </w:pPr>
            <w:r>
              <w:rPr>
                <w:rFonts w:hint="eastAsia"/>
                <w:b/>
                <w:bCs/>
                <w:sz w:val="21"/>
                <w:szCs w:val="21"/>
                <w:highlight w:val="none"/>
                <w:lang w:val="en-US" w:eastAsia="zh-CN"/>
              </w:rPr>
              <w:t>60</w:t>
            </w:r>
          </w:p>
        </w:tc>
      </w:tr>
      <w:tr w14:paraId="075A08F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7" w:type="dxa"/>
            <w:bottom w:w="0" w:type="dxa"/>
            <w:right w:w="17" w:type="dxa"/>
          </w:tblCellMar>
        </w:tblPrEx>
        <w:trPr>
          <w:trHeight w:val="90" w:hRule="atLeast"/>
          <w:jc w:val="center"/>
        </w:trPr>
        <w:tc>
          <w:tcPr>
            <w:tcW w:w="288" w:type="pct"/>
            <w:vMerge w:val="continue"/>
            <w:noWrap w:val="0"/>
            <w:vAlign w:val="center"/>
          </w:tcPr>
          <w:p w14:paraId="0617D09B">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none"/>
                <w:lang w:val="en-US" w:eastAsia="zh-CN"/>
              </w:rPr>
            </w:pPr>
          </w:p>
        </w:tc>
        <w:tc>
          <w:tcPr>
            <w:tcW w:w="586" w:type="pct"/>
            <w:vMerge w:val="continue"/>
            <w:noWrap w:val="0"/>
            <w:vAlign w:val="center"/>
          </w:tcPr>
          <w:p w14:paraId="2E39AFC9">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none"/>
                <w:lang w:val="en-US" w:eastAsia="zh-CN"/>
              </w:rPr>
            </w:pPr>
          </w:p>
        </w:tc>
        <w:tc>
          <w:tcPr>
            <w:tcW w:w="1139" w:type="pct"/>
            <w:shd w:val="clear" w:color="auto" w:fill="auto"/>
            <w:noWrap w:val="0"/>
            <w:vAlign w:val="center"/>
          </w:tcPr>
          <w:p w14:paraId="55638093">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镍</w:t>
            </w:r>
          </w:p>
        </w:tc>
        <w:tc>
          <w:tcPr>
            <w:tcW w:w="514" w:type="pct"/>
            <w:shd w:val="clear" w:color="auto" w:fill="auto"/>
            <w:noWrap w:val="0"/>
            <w:vAlign w:val="center"/>
          </w:tcPr>
          <w:p w14:paraId="5695FE4B">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mg/kg</w:t>
            </w:r>
          </w:p>
        </w:tc>
        <w:tc>
          <w:tcPr>
            <w:tcW w:w="772" w:type="pct"/>
            <w:noWrap w:val="0"/>
            <w:vAlign w:val="center"/>
          </w:tcPr>
          <w:p w14:paraId="2D9ACA4B">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sz w:val="21"/>
                <w:szCs w:val="21"/>
                <w:highlight w:val="none"/>
                <w:lang w:val="en-US" w:eastAsia="zh-CN"/>
              </w:rPr>
            </w:pPr>
            <w:r>
              <w:rPr>
                <w:rFonts w:hint="eastAsia"/>
                <w:sz w:val="21"/>
                <w:szCs w:val="21"/>
                <w:highlight w:val="none"/>
                <w:lang w:val="en-US" w:eastAsia="zh-CN"/>
              </w:rPr>
              <w:t>32</w:t>
            </w:r>
          </w:p>
        </w:tc>
        <w:tc>
          <w:tcPr>
            <w:tcW w:w="529" w:type="pct"/>
            <w:shd w:val="clear" w:color="auto" w:fill="auto"/>
            <w:noWrap w:val="0"/>
            <w:vAlign w:val="center"/>
          </w:tcPr>
          <w:p w14:paraId="169FE186">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0</w:t>
            </w:r>
          </w:p>
        </w:tc>
        <w:tc>
          <w:tcPr>
            <w:tcW w:w="525" w:type="pct"/>
            <w:shd w:val="clear" w:color="auto" w:fill="auto"/>
            <w:noWrap w:val="0"/>
            <w:vAlign w:val="center"/>
          </w:tcPr>
          <w:p w14:paraId="1A1FC9DC">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达标</w:t>
            </w:r>
          </w:p>
        </w:tc>
        <w:tc>
          <w:tcPr>
            <w:tcW w:w="644" w:type="pct"/>
            <w:shd w:val="clear" w:color="auto" w:fill="auto"/>
            <w:noWrap w:val="0"/>
            <w:vAlign w:val="center"/>
          </w:tcPr>
          <w:p w14:paraId="290EC34B">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900</w:t>
            </w:r>
          </w:p>
        </w:tc>
      </w:tr>
      <w:tr w14:paraId="72BB395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7" w:type="dxa"/>
            <w:bottom w:w="0" w:type="dxa"/>
            <w:right w:w="17" w:type="dxa"/>
          </w:tblCellMar>
        </w:tblPrEx>
        <w:trPr>
          <w:trHeight w:val="90" w:hRule="atLeast"/>
          <w:jc w:val="center"/>
        </w:trPr>
        <w:tc>
          <w:tcPr>
            <w:tcW w:w="288" w:type="pct"/>
            <w:vMerge w:val="continue"/>
            <w:noWrap w:val="0"/>
            <w:vAlign w:val="center"/>
          </w:tcPr>
          <w:p w14:paraId="58585857">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none"/>
                <w:lang w:val="en-US" w:eastAsia="zh-CN"/>
              </w:rPr>
            </w:pPr>
          </w:p>
        </w:tc>
        <w:tc>
          <w:tcPr>
            <w:tcW w:w="586" w:type="pct"/>
            <w:vMerge w:val="continue"/>
            <w:noWrap w:val="0"/>
            <w:vAlign w:val="center"/>
          </w:tcPr>
          <w:p w14:paraId="0547F104">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none"/>
                <w:lang w:val="en-US" w:eastAsia="zh-CN"/>
              </w:rPr>
            </w:pPr>
          </w:p>
        </w:tc>
        <w:tc>
          <w:tcPr>
            <w:tcW w:w="1139" w:type="pct"/>
            <w:shd w:val="clear" w:color="auto" w:fill="auto"/>
            <w:noWrap w:val="0"/>
            <w:vAlign w:val="center"/>
          </w:tcPr>
          <w:p w14:paraId="565EA979">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铅</w:t>
            </w:r>
          </w:p>
        </w:tc>
        <w:tc>
          <w:tcPr>
            <w:tcW w:w="514" w:type="pct"/>
            <w:shd w:val="clear" w:color="auto" w:fill="auto"/>
            <w:noWrap w:val="0"/>
            <w:vAlign w:val="center"/>
          </w:tcPr>
          <w:p w14:paraId="04E9FDEE">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mg/kg</w:t>
            </w:r>
          </w:p>
        </w:tc>
        <w:tc>
          <w:tcPr>
            <w:tcW w:w="772" w:type="pct"/>
            <w:noWrap w:val="0"/>
            <w:vAlign w:val="center"/>
          </w:tcPr>
          <w:p w14:paraId="4834A0F7">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sz w:val="21"/>
                <w:szCs w:val="21"/>
                <w:highlight w:val="none"/>
                <w:lang w:val="en-US" w:eastAsia="zh-CN"/>
              </w:rPr>
            </w:pPr>
            <w:r>
              <w:rPr>
                <w:rFonts w:hint="eastAsia"/>
                <w:sz w:val="21"/>
                <w:szCs w:val="21"/>
                <w:highlight w:val="none"/>
                <w:lang w:val="en-US" w:eastAsia="zh-CN"/>
              </w:rPr>
              <w:t>48</w:t>
            </w:r>
          </w:p>
        </w:tc>
        <w:tc>
          <w:tcPr>
            <w:tcW w:w="529" w:type="pct"/>
            <w:shd w:val="clear" w:color="auto" w:fill="auto"/>
            <w:noWrap w:val="0"/>
            <w:vAlign w:val="center"/>
          </w:tcPr>
          <w:p w14:paraId="7A170539">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0</w:t>
            </w:r>
          </w:p>
        </w:tc>
        <w:tc>
          <w:tcPr>
            <w:tcW w:w="525" w:type="pct"/>
            <w:shd w:val="clear" w:color="auto" w:fill="auto"/>
            <w:noWrap w:val="0"/>
            <w:vAlign w:val="center"/>
          </w:tcPr>
          <w:p w14:paraId="09A1D00F">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bCs/>
                <w:kern w:val="2"/>
                <w:sz w:val="21"/>
                <w:szCs w:val="21"/>
                <w:highlight w:val="none"/>
                <w:lang w:val="en-US" w:eastAsia="zh-CN" w:bidi="ar-SA"/>
              </w:rPr>
            </w:pPr>
            <w:r>
              <w:rPr>
                <w:rFonts w:hint="eastAsia"/>
                <w:b w:val="0"/>
                <w:bCs w:val="0"/>
                <w:sz w:val="21"/>
                <w:szCs w:val="21"/>
                <w:highlight w:val="none"/>
                <w:lang w:val="en-US" w:eastAsia="zh-CN"/>
              </w:rPr>
              <w:t>达标</w:t>
            </w:r>
          </w:p>
        </w:tc>
        <w:tc>
          <w:tcPr>
            <w:tcW w:w="644" w:type="pct"/>
            <w:shd w:val="clear" w:color="auto" w:fill="auto"/>
            <w:noWrap w:val="0"/>
            <w:vAlign w:val="center"/>
          </w:tcPr>
          <w:p w14:paraId="77BC1AED">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800</w:t>
            </w:r>
          </w:p>
        </w:tc>
      </w:tr>
      <w:tr w14:paraId="640E65B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90" w:hRule="atLeast"/>
          <w:jc w:val="center"/>
        </w:trPr>
        <w:tc>
          <w:tcPr>
            <w:tcW w:w="288" w:type="pct"/>
            <w:vMerge w:val="continue"/>
            <w:noWrap w:val="0"/>
            <w:vAlign w:val="center"/>
          </w:tcPr>
          <w:p w14:paraId="346A71AC">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none"/>
                <w:lang w:val="en-US" w:eastAsia="zh-CN"/>
              </w:rPr>
            </w:pPr>
          </w:p>
        </w:tc>
        <w:tc>
          <w:tcPr>
            <w:tcW w:w="586" w:type="pct"/>
            <w:vMerge w:val="continue"/>
            <w:noWrap w:val="0"/>
            <w:vAlign w:val="center"/>
          </w:tcPr>
          <w:p w14:paraId="00061F97">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none"/>
                <w:lang w:val="en-US" w:eastAsia="zh-CN"/>
              </w:rPr>
            </w:pPr>
          </w:p>
        </w:tc>
        <w:tc>
          <w:tcPr>
            <w:tcW w:w="1139" w:type="pct"/>
            <w:shd w:val="clear" w:color="auto" w:fill="auto"/>
            <w:noWrap w:val="0"/>
            <w:vAlign w:val="center"/>
          </w:tcPr>
          <w:p w14:paraId="00697BB1">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镉</w:t>
            </w:r>
          </w:p>
        </w:tc>
        <w:tc>
          <w:tcPr>
            <w:tcW w:w="514" w:type="pct"/>
            <w:shd w:val="clear" w:color="auto" w:fill="auto"/>
            <w:noWrap w:val="0"/>
            <w:vAlign w:val="center"/>
          </w:tcPr>
          <w:p w14:paraId="045454F0">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mg/kg</w:t>
            </w:r>
          </w:p>
        </w:tc>
        <w:tc>
          <w:tcPr>
            <w:tcW w:w="772" w:type="pct"/>
            <w:noWrap w:val="0"/>
            <w:vAlign w:val="center"/>
          </w:tcPr>
          <w:p w14:paraId="62AB08EA">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sz w:val="21"/>
                <w:szCs w:val="21"/>
                <w:highlight w:val="none"/>
                <w:lang w:val="en-US" w:eastAsia="zh-CN"/>
              </w:rPr>
            </w:pPr>
            <w:r>
              <w:rPr>
                <w:rFonts w:hint="eastAsia"/>
                <w:sz w:val="21"/>
                <w:szCs w:val="21"/>
                <w:highlight w:val="none"/>
                <w:lang w:val="en-US" w:eastAsia="zh-CN"/>
              </w:rPr>
              <w:t>0.17</w:t>
            </w:r>
          </w:p>
        </w:tc>
        <w:tc>
          <w:tcPr>
            <w:tcW w:w="529" w:type="pct"/>
            <w:shd w:val="clear" w:color="auto" w:fill="auto"/>
            <w:noWrap w:val="0"/>
            <w:vAlign w:val="center"/>
          </w:tcPr>
          <w:p w14:paraId="1C52AD30">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0</w:t>
            </w:r>
          </w:p>
        </w:tc>
        <w:tc>
          <w:tcPr>
            <w:tcW w:w="525" w:type="pct"/>
            <w:shd w:val="clear" w:color="auto" w:fill="auto"/>
            <w:noWrap w:val="0"/>
            <w:vAlign w:val="center"/>
          </w:tcPr>
          <w:p w14:paraId="064C61B5">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达标</w:t>
            </w:r>
          </w:p>
        </w:tc>
        <w:tc>
          <w:tcPr>
            <w:tcW w:w="644" w:type="pct"/>
            <w:shd w:val="clear" w:color="auto" w:fill="auto"/>
            <w:noWrap w:val="0"/>
            <w:vAlign w:val="center"/>
          </w:tcPr>
          <w:p w14:paraId="54739881">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65</w:t>
            </w:r>
          </w:p>
        </w:tc>
      </w:tr>
      <w:tr w14:paraId="4D58BBD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7" w:type="dxa"/>
            <w:bottom w:w="0" w:type="dxa"/>
            <w:right w:w="17" w:type="dxa"/>
          </w:tblCellMar>
        </w:tblPrEx>
        <w:trPr>
          <w:trHeight w:val="90" w:hRule="atLeast"/>
          <w:jc w:val="center"/>
        </w:trPr>
        <w:tc>
          <w:tcPr>
            <w:tcW w:w="288" w:type="pct"/>
            <w:vMerge w:val="continue"/>
            <w:noWrap w:val="0"/>
            <w:vAlign w:val="center"/>
          </w:tcPr>
          <w:p w14:paraId="66D32F5A">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none"/>
                <w:lang w:val="en-US" w:eastAsia="zh-CN"/>
              </w:rPr>
            </w:pPr>
          </w:p>
        </w:tc>
        <w:tc>
          <w:tcPr>
            <w:tcW w:w="586" w:type="pct"/>
            <w:vMerge w:val="continue"/>
            <w:noWrap w:val="0"/>
            <w:vAlign w:val="center"/>
          </w:tcPr>
          <w:p w14:paraId="5EE5AFE9">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none"/>
                <w:lang w:val="en-US" w:eastAsia="zh-CN"/>
              </w:rPr>
            </w:pPr>
          </w:p>
        </w:tc>
        <w:tc>
          <w:tcPr>
            <w:tcW w:w="1139" w:type="pct"/>
            <w:shd w:val="clear" w:color="auto" w:fill="auto"/>
            <w:noWrap w:val="0"/>
            <w:vAlign w:val="center"/>
          </w:tcPr>
          <w:p w14:paraId="2B5BAA0B">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总铬</w:t>
            </w:r>
          </w:p>
        </w:tc>
        <w:tc>
          <w:tcPr>
            <w:tcW w:w="514" w:type="pct"/>
            <w:shd w:val="clear" w:color="auto" w:fill="auto"/>
            <w:noWrap w:val="0"/>
            <w:vAlign w:val="center"/>
          </w:tcPr>
          <w:p w14:paraId="0877C6D8">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mg/kg</w:t>
            </w:r>
          </w:p>
        </w:tc>
        <w:tc>
          <w:tcPr>
            <w:tcW w:w="772" w:type="pct"/>
            <w:noWrap w:val="0"/>
            <w:vAlign w:val="center"/>
          </w:tcPr>
          <w:p w14:paraId="29B94784">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sz w:val="21"/>
                <w:szCs w:val="21"/>
                <w:highlight w:val="none"/>
                <w:lang w:val="en-US" w:eastAsia="zh-CN"/>
              </w:rPr>
            </w:pPr>
            <w:r>
              <w:rPr>
                <w:rFonts w:hint="eastAsia"/>
                <w:sz w:val="21"/>
                <w:szCs w:val="21"/>
                <w:highlight w:val="none"/>
                <w:lang w:val="en-US" w:eastAsia="zh-CN"/>
              </w:rPr>
              <w:t>92</w:t>
            </w:r>
          </w:p>
        </w:tc>
        <w:tc>
          <w:tcPr>
            <w:tcW w:w="529" w:type="pct"/>
            <w:shd w:val="clear" w:color="auto" w:fill="auto"/>
            <w:noWrap w:val="0"/>
            <w:vAlign w:val="center"/>
          </w:tcPr>
          <w:p w14:paraId="70CDC12D">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w:t>
            </w:r>
          </w:p>
        </w:tc>
        <w:tc>
          <w:tcPr>
            <w:tcW w:w="525" w:type="pct"/>
            <w:shd w:val="clear" w:color="auto" w:fill="auto"/>
            <w:noWrap w:val="0"/>
            <w:vAlign w:val="center"/>
          </w:tcPr>
          <w:p w14:paraId="1F814625">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bCs/>
                <w:kern w:val="2"/>
                <w:sz w:val="21"/>
                <w:szCs w:val="21"/>
                <w:highlight w:val="none"/>
                <w:lang w:val="en-US" w:eastAsia="zh-CN" w:bidi="ar-SA"/>
              </w:rPr>
            </w:pPr>
            <w:r>
              <w:rPr>
                <w:rFonts w:hint="eastAsia"/>
                <w:b w:val="0"/>
                <w:bCs w:val="0"/>
                <w:sz w:val="21"/>
                <w:szCs w:val="21"/>
                <w:highlight w:val="none"/>
                <w:lang w:val="en-US" w:eastAsia="zh-CN"/>
              </w:rPr>
              <w:t>/</w:t>
            </w:r>
          </w:p>
        </w:tc>
        <w:tc>
          <w:tcPr>
            <w:tcW w:w="644" w:type="pct"/>
            <w:shd w:val="clear" w:color="auto" w:fill="auto"/>
            <w:noWrap w:val="0"/>
            <w:vAlign w:val="center"/>
          </w:tcPr>
          <w:p w14:paraId="156BF724">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w:t>
            </w:r>
          </w:p>
        </w:tc>
      </w:tr>
      <w:tr w14:paraId="626B8B6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7" w:type="dxa"/>
            <w:bottom w:w="0" w:type="dxa"/>
            <w:right w:w="17" w:type="dxa"/>
          </w:tblCellMar>
        </w:tblPrEx>
        <w:trPr>
          <w:trHeight w:val="90" w:hRule="atLeast"/>
          <w:jc w:val="center"/>
        </w:trPr>
        <w:tc>
          <w:tcPr>
            <w:tcW w:w="288" w:type="pct"/>
            <w:vMerge w:val="continue"/>
            <w:noWrap w:val="0"/>
            <w:vAlign w:val="center"/>
          </w:tcPr>
          <w:p w14:paraId="35FEC532">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none"/>
                <w:lang w:val="en-US" w:eastAsia="zh-CN"/>
              </w:rPr>
            </w:pPr>
          </w:p>
        </w:tc>
        <w:tc>
          <w:tcPr>
            <w:tcW w:w="586" w:type="pct"/>
            <w:vMerge w:val="continue"/>
            <w:noWrap w:val="0"/>
            <w:vAlign w:val="center"/>
          </w:tcPr>
          <w:p w14:paraId="7E651D4F">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none"/>
                <w:lang w:val="en-US" w:eastAsia="zh-CN"/>
              </w:rPr>
            </w:pPr>
          </w:p>
        </w:tc>
        <w:tc>
          <w:tcPr>
            <w:tcW w:w="1139" w:type="pct"/>
            <w:shd w:val="clear" w:color="auto" w:fill="auto"/>
            <w:noWrap w:val="0"/>
            <w:vAlign w:val="center"/>
          </w:tcPr>
          <w:p w14:paraId="5C95EEAD">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铬（六价）</w:t>
            </w:r>
          </w:p>
        </w:tc>
        <w:tc>
          <w:tcPr>
            <w:tcW w:w="514" w:type="pct"/>
            <w:shd w:val="clear" w:color="auto" w:fill="auto"/>
            <w:noWrap w:val="0"/>
            <w:vAlign w:val="center"/>
          </w:tcPr>
          <w:p w14:paraId="5EBF6AD8">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mg/kg</w:t>
            </w:r>
          </w:p>
        </w:tc>
        <w:tc>
          <w:tcPr>
            <w:tcW w:w="772" w:type="pct"/>
            <w:noWrap w:val="0"/>
            <w:vAlign w:val="center"/>
          </w:tcPr>
          <w:p w14:paraId="5D8C9AFA">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sz w:val="21"/>
                <w:szCs w:val="21"/>
                <w:highlight w:val="none"/>
                <w:lang w:val="en-US" w:eastAsia="zh-CN"/>
              </w:rPr>
            </w:pPr>
            <w:r>
              <w:rPr>
                <w:rFonts w:hint="eastAsia"/>
                <w:sz w:val="21"/>
                <w:szCs w:val="21"/>
                <w:highlight w:val="none"/>
                <w:lang w:val="en-US" w:eastAsia="zh-CN"/>
              </w:rPr>
              <w:t>ND</w:t>
            </w:r>
          </w:p>
        </w:tc>
        <w:tc>
          <w:tcPr>
            <w:tcW w:w="529" w:type="pct"/>
            <w:shd w:val="clear" w:color="auto" w:fill="auto"/>
            <w:noWrap w:val="0"/>
            <w:vAlign w:val="center"/>
          </w:tcPr>
          <w:p w14:paraId="4CC67BB4">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0</w:t>
            </w:r>
          </w:p>
        </w:tc>
        <w:tc>
          <w:tcPr>
            <w:tcW w:w="525" w:type="pct"/>
            <w:shd w:val="clear" w:color="auto" w:fill="auto"/>
            <w:noWrap w:val="0"/>
            <w:vAlign w:val="center"/>
          </w:tcPr>
          <w:p w14:paraId="13BDFE2D">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达标</w:t>
            </w:r>
          </w:p>
        </w:tc>
        <w:tc>
          <w:tcPr>
            <w:tcW w:w="644" w:type="pct"/>
            <w:shd w:val="clear" w:color="auto" w:fill="auto"/>
            <w:noWrap w:val="0"/>
            <w:vAlign w:val="center"/>
          </w:tcPr>
          <w:p w14:paraId="66836F99">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5.7</w:t>
            </w:r>
          </w:p>
        </w:tc>
      </w:tr>
      <w:tr w14:paraId="737BDC7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7" w:type="dxa"/>
            <w:bottom w:w="0" w:type="dxa"/>
            <w:right w:w="17" w:type="dxa"/>
          </w:tblCellMar>
        </w:tblPrEx>
        <w:trPr>
          <w:trHeight w:val="90" w:hRule="atLeast"/>
          <w:jc w:val="center"/>
        </w:trPr>
        <w:tc>
          <w:tcPr>
            <w:tcW w:w="288" w:type="pct"/>
            <w:vMerge w:val="continue"/>
            <w:noWrap w:val="0"/>
            <w:vAlign w:val="center"/>
          </w:tcPr>
          <w:p w14:paraId="69D35DFC">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none"/>
                <w:lang w:val="en-US" w:eastAsia="zh-CN"/>
              </w:rPr>
            </w:pPr>
          </w:p>
        </w:tc>
        <w:tc>
          <w:tcPr>
            <w:tcW w:w="586" w:type="pct"/>
            <w:vMerge w:val="continue"/>
            <w:noWrap w:val="0"/>
            <w:vAlign w:val="center"/>
          </w:tcPr>
          <w:p w14:paraId="159015B9">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none"/>
                <w:lang w:val="en-US" w:eastAsia="zh-CN"/>
              </w:rPr>
            </w:pPr>
          </w:p>
        </w:tc>
        <w:tc>
          <w:tcPr>
            <w:tcW w:w="1139" w:type="pct"/>
            <w:shd w:val="clear" w:color="auto" w:fill="auto"/>
            <w:noWrap w:val="0"/>
            <w:vAlign w:val="center"/>
          </w:tcPr>
          <w:p w14:paraId="3894A13F">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汞</w:t>
            </w:r>
          </w:p>
        </w:tc>
        <w:tc>
          <w:tcPr>
            <w:tcW w:w="514" w:type="pct"/>
            <w:shd w:val="clear" w:color="auto" w:fill="auto"/>
            <w:noWrap w:val="0"/>
            <w:vAlign w:val="center"/>
          </w:tcPr>
          <w:p w14:paraId="5DCA020F">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mg/kg</w:t>
            </w:r>
          </w:p>
        </w:tc>
        <w:tc>
          <w:tcPr>
            <w:tcW w:w="772" w:type="pct"/>
            <w:noWrap w:val="0"/>
            <w:vAlign w:val="center"/>
          </w:tcPr>
          <w:p w14:paraId="40B92FA0">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sz w:val="21"/>
                <w:szCs w:val="21"/>
                <w:highlight w:val="none"/>
                <w:lang w:val="en-US" w:eastAsia="zh-CN"/>
              </w:rPr>
            </w:pPr>
            <w:r>
              <w:rPr>
                <w:rFonts w:hint="eastAsia"/>
                <w:sz w:val="21"/>
                <w:szCs w:val="21"/>
                <w:highlight w:val="none"/>
                <w:lang w:val="en-US" w:eastAsia="zh-CN"/>
              </w:rPr>
              <w:t>0.0640</w:t>
            </w:r>
          </w:p>
        </w:tc>
        <w:tc>
          <w:tcPr>
            <w:tcW w:w="529" w:type="pct"/>
            <w:shd w:val="clear" w:color="auto" w:fill="auto"/>
            <w:noWrap w:val="0"/>
            <w:vAlign w:val="center"/>
          </w:tcPr>
          <w:p w14:paraId="4F4C161C">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0</w:t>
            </w:r>
          </w:p>
        </w:tc>
        <w:tc>
          <w:tcPr>
            <w:tcW w:w="525" w:type="pct"/>
            <w:shd w:val="clear" w:color="auto" w:fill="auto"/>
            <w:noWrap w:val="0"/>
            <w:vAlign w:val="center"/>
          </w:tcPr>
          <w:p w14:paraId="36B14D22">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bCs/>
                <w:kern w:val="2"/>
                <w:sz w:val="21"/>
                <w:szCs w:val="21"/>
                <w:highlight w:val="none"/>
                <w:lang w:val="en-US" w:eastAsia="zh-CN" w:bidi="ar-SA"/>
              </w:rPr>
            </w:pPr>
            <w:r>
              <w:rPr>
                <w:rFonts w:hint="eastAsia"/>
                <w:b w:val="0"/>
                <w:bCs w:val="0"/>
                <w:sz w:val="21"/>
                <w:szCs w:val="21"/>
                <w:highlight w:val="none"/>
                <w:lang w:val="en-US" w:eastAsia="zh-CN"/>
              </w:rPr>
              <w:t>达标</w:t>
            </w:r>
          </w:p>
        </w:tc>
        <w:tc>
          <w:tcPr>
            <w:tcW w:w="644" w:type="pct"/>
            <w:shd w:val="clear" w:color="auto" w:fill="auto"/>
            <w:noWrap w:val="0"/>
            <w:vAlign w:val="center"/>
          </w:tcPr>
          <w:p w14:paraId="5D77B65A">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38</w:t>
            </w:r>
          </w:p>
        </w:tc>
      </w:tr>
      <w:tr w14:paraId="10C3012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7" w:type="dxa"/>
            <w:bottom w:w="0" w:type="dxa"/>
            <w:right w:w="17" w:type="dxa"/>
          </w:tblCellMar>
        </w:tblPrEx>
        <w:trPr>
          <w:trHeight w:val="90" w:hRule="atLeast"/>
          <w:jc w:val="center"/>
        </w:trPr>
        <w:tc>
          <w:tcPr>
            <w:tcW w:w="288" w:type="pct"/>
            <w:vMerge w:val="continue"/>
            <w:noWrap w:val="0"/>
            <w:vAlign w:val="center"/>
          </w:tcPr>
          <w:p w14:paraId="22E43080">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none"/>
                <w:lang w:val="en-US" w:eastAsia="zh-CN"/>
              </w:rPr>
            </w:pPr>
          </w:p>
        </w:tc>
        <w:tc>
          <w:tcPr>
            <w:tcW w:w="586" w:type="pct"/>
            <w:vMerge w:val="continue"/>
            <w:noWrap w:val="0"/>
            <w:vAlign w:val="center"/>
          </w:tcPr>
          <w:p w14:paraId="6DE5D7A4">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none"/>
                <w:lang w:val="en-US" w:eastAsia="zh-CN"/>
              </w:rPr>
            </w:pPr>
          </w:p>
        </w:tc>
        <w:tc>
          <w:tcPr>
            <w:tcW w:w="1139" w:type="pct"/>
            <w:shd w:val="clear" w:color="auto" w:fill="auto"/>
            <w:noWrap w:val="0"/>
            <w:vAlign w:val="center"/>
          </w:tcPr>
          <w:p w14:paraId="0ABA4130">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铜</w:t>
            </w:r>
          </w:p>
        </w:tc>
        <w:tc>
          <w:tcPr>
            <w:tcW w:w="514" w:type="pct"/>
            <w:shd w:val="clear" w:color="auto" w:fill="auto"/>
            <w:noWrap w:val="0"/>
            <w:vAlign w:val="center"/>
          </w:tcPr>
          <w:p w14:paraId="4EB1F832">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mg/kg</w:t>
            </w:r>
          </w:p>
        </w:tc>
        <w:tc>
          <w:tcPr>
            <w:tcW w:w="772" w:type="pct"/>
            <w:noWrap w:val="0"/>
            <w:vAlign w:val="center"/>
          </w:tcPr>
          <w:p w14:paraId="371A3C43">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sz w:val="21"/>
                <w:szCs w:val="21"/>
                <w:highlight w:val="none"/>
                <w:lang w:val="en-US" w:eastAsia="zh-CN"/>
              </w:rPr>
            </w:pPr>
            <w:r>
              <w:rPr>
                <w:rFonts w:hint="eastAsia"/>
                <w:sz w:val="21"/>
                <w:szCs w:val="21"/>
                <w:highlight w:val="none"/>
                <w:lang w:val="en-US" w:eastAsia="zh-CN"/>
              </w:rPr>
              <w:t>35.8</w:t>
            </w:r>
          </w:p>
        </w:tc>
        <w:tc>
          <w:tcPr>
            <w:tcW w:w="529" w:type="pct"/>
            <w:shd w:val="clear" w:color="auto" w:fill="auto"/>
            <w:noWrap w:val="0"/>
            <w:vAlign w:val="center"/>
          </w:tcPr>
          <w:p w14:paraId="1858D916">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0</w:t>
            </w:r>
          </w:p>
        </w:tc>
        <w:tc>
          <w:tcPr>
            <w:tcW w:w="525" w:type="pct"/>
            <w:shd w:val="clear" w:color="auto" w:fill="auto"/>
            <w:noWrap w:val="0"/>
            <w:vAlign w:val="center"/>
          </w:tcPr>
          <w:p w14:paraId="679F29B3">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达标</w:t>
            </w:r>
          </w:p>
        </w:tc>
        <w:tc>
          <w:tcPr>
            <w:tcW w:w="644" w:type="pct"/>
            <w:shd w:val="clear" w:color="auto" w:fill="auto"/>
            <w:noWrap w:val="0"/>
            <w:vAlign w:val="center"/>
          </w:tcPr>
          <w:p w14:paraId="598792BC">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18000</w:t>
            </w:r>
          </w:p>
        </w:tc>
      </w:tr>
      <w:tr w14:paraId="02E6E47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7" w:type="dxa"/>
            <w:bottom w:w="0" w:type="dxa"/>
            <w:right w:w="17" w:type="dxa"/>
          </w:tblCellMar>
        </w:tblPrEx>
        <w:trPr>
          <w:trHeight w:val="90" w:hRule="atLeast"/>
          <w:jc w:val="center"/>
        </w:trPr>
        <w:tc>
          <w:tcPr>
            <w:tcW w:w="288" w:type="pct"/>
            <w:vMerge w:val="continue"/>
            <w:noWrap w:val="0"/>
            <w:vAlign w:val="center"/>
          </w:tcPr>
          <w:p w14:paraId="7B94F4AF">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none"/>
                <w:lang w:val="en-US" w:eastAsia="zh-CN"/>
              </w:rPr>
            </w:pPr>
          </w:p>
        </w:tc>
        <w:tc>
          <w:tcPr>
            <w:tcW w:w="586" w:type="pct"/>
            <w:vMerge w:val="continue"/>
            <w:noWrap w:val="0"/>
            <w:vAlign w:val="center"/>
          </w:tcPr>
          <w:p w14:paraId="56367A84">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none"/>
                <w:lang w:val="en-US" w:eastAsia="zh-CN"/>
              </w:rPr>
            </w:pPr>
          </w:p>
        </w:tc>
        <w:tc>
          <w:tcPr>
            <w:tcW w:w="1139" w:type="pct"/>
            <w:shd w:val="clear" w:color="auto" w:fill="auto"/>
            <w:noWrap w:val="0"/>
            <w:vAlign w:val="center"/>
          </w:tcPr>
          <w:p w14:paraId="685911E8">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锌</w:t>
            </w:r>
          </w:p>
        </w:tc>
        <w:tc>
          <w:tcPr>
            <w:tcW w:w="514" w:type="pct"/>
            <w:shd w:val="clear" w:color="auto" w:fill="auto"/>
            <w:noWrap w:val="0"/>
            <w:vAlign w:val="center"/>
          </w:tcPr>
          <w:p w14:paraId="5321AA2F">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mg/kg</w:t>
            </w:r>
          </w:p>
        </w:tc>
        <w:tc>
          <w:tcPr>
            <w:tcW w:w="772" w:type="pct"/>
            <w:noWrap w:val="0"/>
            <w:vAlign w:val="center"/>
          </w:tcPr>
          <w:p w14:paraId="5D91BCE1">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sz w:val="21"/>
                <w:szCs w:val="21"/>
                <w:highlight w:val="none"/>
                <w:lang w:val="en-US" w:eastAsia="zh-CN"/>
              </w:rPr>
            </w:pPr>
            <w:r>
              <w:rPr>
                <w:rFonts w:hint="eastAsia"/>
                <w:sz w:val="21"/>
                <w:szCs w:val="21"/>
                <w:highlight w:val="none"/>
                <w:lang w:val="en-US" w:eastAsia="zh-CN"/>
              </w:rPr>
              <w:t>172</w:t>
            </w:r>
          </w:p>
        </w:tc>
        <w:tc>
          <w:tcPr>
            <w:tcW w:w="529" w:type="pct"/>
            <w:shd w:val="clear" w:color="auto" w:fill="auto"/>
            <w:noWrap w:val="0"/>
            <w:vAlign w:val="center"/>
          </w:tcPr>
          <w:p w14:paraId="221C8A21">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w:t>
            </w:r>
          </w:p>
        </w:tc>
        <w:tc>
          <w:tcPr>
            <w:tcW w:w="525" w:type="pct"/>
            <w:shd w:val="clear" w:color="auto" w:fill="auto"/>
            <w:noWrap w:val="0"/>
            <w:vAlign w:val="center"/>
          </w:tcPr>
          <w:p w14:paraId="43495CDB">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bCs/>
                <w:kern w:val="2"/>
                <w:sz w:val="21"/>
                <w:szCs w:val="21"/>
                <w:highlight w:val="none"/>
                <w:lang w:val="en-US" w:eastAsia="zh-CN" w:bidi="ar-SA"/>
              </w:rPr>
            </w:pPr>
            <w:r>
              <w:rPr>
                <w:rFonts w:hint="eastAsia"/>
                <w:b w:val="0"/>
                <w:bCs w:val="0"/>
                <w:sz w:val="21"/>
                <w:szCs w:val="21"/>
                <w:highlight w:val="none"/>
                <w:lang w:val="en-US" w:eastAsia="zh-CN"/>
              </w:rPr>
              <w:t>/</w:t>
            </w:r>
          </w:p>
        </w:tc>
        <w:tc>
          <w:tcPr>
            <w:tcW w:w="644" w:type="pct"/>
            <w:shd w:val="clear" w:color="auto" w:fill="auto"/>
            <w:noWrap w:val="0"/>
            <w:vAlign w:val="center"/>
          </w:tcPr>
          <w:p w14:paraId="03617B93">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w:t>
            </w:r>
          </w:p>
        </w:tc>
      </w:tr>
      <w:tr w14:paraId="21073CD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7" w:type="dxa"/>
            <w:bottom w:w="0" w:type="dxa"/>
            <w:right w:w="17" w:type="dxa"/>
          </w:tblCellMar>
        </w:tblPrEx>
        <w:trPr>
          <w:trHeight w:val="90" w:hRule="atLeast"/>
          <w:jc w:val="center"/>
        </w:trPr>
        <w:tc>
          <w:tcPr>
            <w:tcW w:w="288" w:type="pct"/>
            <w:vMerge w:val="continue"/>
            <w:noWrap w:val="0"/>
            <w:vAlign w:val="center"/>
          </w:tcPr>
          <w:p w14:paraId="1D793E44">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none"/>
                <w:lang w:val="en-US" w:eastAsia="zh-CN"/>
              </w:rPr>
            </w:pPr>
          </w:p>
        </w:tc>
        <w:tc>
          <w:tcPr>
            <w:tcW w:w="586" w:type="pct"/>
            <w:vMerge w:val="continue"/>
            <w:noWrap w:val="0"/>
            <w:vAlign w:val="center"/>
          </w:tcPr>
          <w:p w14:paraId="0F8E9CA0">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none"/>
                <w:lang w:val="en-US" w:eastAsia="zh-CN"/>
              </w:rPr>
            </w:pPr>
          </w:p>
        </w:tc>
        <w:tc>
          <w:tcPr>
            <w:tcW w:w="1139" w:type="pct"/>
            <w:shd w:val="clear" w:color="auto" w:fill="auto"/>
            <w:noWrap w:val="0"/>
            <w:vAlign w:val="center"/>
          </w:tcPr>
          <w:p w14:paraId="19F808B2">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氰化物</w:t>
            </w:r>
          </w:p>
        </w:tc>
        <w:tc>
          <w:tcPr>
            <w:tcW w:w="514" w:type="pct"/>
            <w:shd w:val="clear" w:color="auto" w:fill="auto"/>
            <w:noWrap w:val="0"/>
            <w:vAlign w:val="center"/>
          </w:tcPr>
          <w:p w14:paraId="1A440734">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mg/kg</w:t>
            </w:r>
          </w:p>
        </w:tc>
        <w:tc>
          <w:tcPr>
            <w:tcW w:w="772" w:type="pct"/>
            <w:noWrap w:val="0"/>
            <w:vAlign w:val="center"/>
          </w:tcPr>
          <w:p w14:paraId="69C272BB">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sz w:val="21"/>
                <w:szCs w:val="21"/>
                <w:highlight w:val="none"/>
                <w:lang w:val="en-US" w:eastAsia="zh-CN"/>
              </w:rPr>
            </w:pPr>
            <w:r>
              <w:rPr>
                <w:rFonts w:hint="eastAsia"/>
                <w:sz w:val="21"/>
                <w:szCs w:val="21"/>
                <w:highlight w:val="none"/>
                <w:lang w:val="en-US" w:eastAsia="zh-CN"/>
              </w:rPr>
              <w:t>ND</w:t>
            </w:r>
          </w:p>
        </w:tc>
        <w:tc>
          <w:tcPr>
            <w:tcW w:w="529" w:type="pct"/>
            <w:shd w:val="clear" w:color="auto" w:fill="auto"/>
            <w:noWrap w:val="0"/>
            <w:vAlign w:val="center"/>
          </w:tcPr>
          <w:p w14:paraId="0D49DF0B">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0</w:t>
            </w:r>
          </w:p>
        </w:tc>
        <w:tc>
          <w:tcPr>
            <w:tcW w:w="525" w:type="pct"/>
            <w:shd w:val="clear" w:color="auto" w:fill="auto"/>
            <w:noWrap w:val="0"/>
            <w:vAlign w:val="center"/>
          </w:tcPr>
          <w:p w14:paraId="6CDAE9B1">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达标</w:t>
            </w:r>
          </w:p>
        </w:tc>
        <w:tc>
          <w:tcPr>
            <w:tcW w:w="644" w:type="pct"/>
            <w:shd w:val="clear" w:color="auto" w:fill="auto"/>
            <w:noWrap w:val="0"/>
            <w:vAlign w:val="center"/>
          </w:tcPr>
          <w:p w14:paraId="52537222">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135</w:t>
            </w:r>
          </w:p>
        </w:tc>
      </w:tr>
      <w:tr w14:paraId="2B958C5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7" w:type="dxa"/>
            <w:bottom w:w="0" w:type="dxa"/>
            <w:right w:w="17" w:type="dxa"/>
          </w:tblCellMar>
        </w:tblPrEx>
        <w:trPr>
          <w:trHeight w:val="90" w:hRule="atLeast"/>
          <w:jc w:val="center"/>
        </w:trPr>
        <w:tc>
          <w:tcPr>
            <w:tcW w:w="288" w:type="pct"/>
            <w:vMerge w:val="continue"/>
            <w:noWrap w:val="0"/>
            <w:vAlign w:val="center"/>
          </w:tcPr>
          <w:p w14:paraId="374FC9ED">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none"/>
                <w:lang w:val="en-US" w:eastAsia="zh-CN"/>
              </w:rPr>
            </w:pPr>
          </w:p>
        </w:tc>
        <w:tc>
          <w:tcPr>
            <w:tcW w:w="586" w:type="pct"/>
            <w:vMerge w:val="restart"/>
            <w:shd w:val="clear" w:color="auto" w:fill="auto"/>
            <w:noWrap w:val="0"/>
            <w:vAlign w:val="center"/>
          </w:tcPr>
          <w:p w14:paraId="39CA9CB9">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1.5~3.0m</w:t>
            </w:r>
          </w:p>
        </w:tc>
        <w:tc>
          <w:tcPr>
            <w:tcW w:w="1139" w:type="pct"/>
            <w:shd w:val="clear" w:color="auto" w:fill="auto"/>
            <w:noWrap w:val="0"/>
            <w:vAlign w:val="center"/>
          </w:tcPr>
          <w:p w14:paraId="002C1A5C">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pH</w:t>
            </w:r>
          </w:p>
        </w:tc>
        <w:tc>
          <w:tcPr>
            <w:tcW w:w="514" w:type="pct"/>
            <w:shd w:val="clear" w:color="auto" w:fill="auto"/>
            <w:noWrap w:val="0"/>
            <w:vAlign w:val="center"/>
          </w:tcPr>
          <w:p w14:paraId="6B84A12E">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color w:val="auto"/>
                <w:sz w:val="21"/>
                <w:szCs w:val="21"/>
                <w:highlight w:val="none"/>
                <w:lang w:val="en-US" w:eastAsia="zh-CN"/>
              </w:rPr>
              <w:t>无量纲</w:t>
            </w:r>
          </w:p>
        </w:tc>
        <w:tc>
          <w:tcPr>
            <w:tcW w:w="772" w:type="pct"/>
            <w:noWrap w:val="0"/>
            <w:vAlign w:val="center"/>
          </w:tcPr>
          <w:p w14:paraId="4D49E55F">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sz w:val="21"/>
                <w:szCs w:val="21"/>
                <w:highlight w:val="none"/>
                <w:lang w:val="en-US" w:eastAsia="zh-CN"/>
              </w:rPr>
            </w:pPr>
            <w:r>
              <w:rPr>
                <w:rFonts w:hint="eastAsia"/>
                <w:sz w:val="21"/>
                <w:szCs w:val="21"/>
                <w:highlight w:val="none"/>
                <w:lang w:val="en-US" w:eastAsia="zh-CN"/>
              </w:rPr>
              <w:t>5.21</w:t>
            </w:r>
          </w:p>
        </w:tc>
        <w:tc>
          <w:tcPr>
            <w:tcW w:w="529" w:type="pct"/>
            <w:noWrap w:val="0"/>
            <w:vAlign w:val="center"/>
          </w:tcPr>
          <w:p w14:paraId="4D2F0C63">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sz w:val="21"/>
                <w:szCs w:val="21"/>
                <w:highlight w:val="none"/>
                <w:lang w:val="en-US" w:eastAsia="zh-CN"/>
              </w:rPr>
            </w:pPr>
            <w:r>
              <w:rPr>
                <w:rFonts w:hint="eastAsia"/>
                <w:sz w:val="21"/>
                <w:szCs w:val="21"/>
                <w:highlight w:val="none"/>
                <w:lang w:val="en-US" w:eastAsia="zh-CN"/>
              </w:rPr>
              <w:t>/</w:t>
            </w:r>
          </w:p>
        </w:tc>
        <w:tc>
          <w:tcPr>
            <w:tcW w:w="525" w:type="pct"/>
            <w:shd w:val="clear" w:color="auto" w:fill="auto"/>
            <w:noWrap w:val="0"/>
            <w:vAlign w:val="center"/>
          </w:tcPr>
          <w:p w14:paraId="33B67DF8">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bCs/>
                <w:kern w:val="2"/>
                <w:sz w:val="21"/>
                <w:szCs w:val="21"/>
                <w:highlight w:val="none"/>
                <w:lang w:val="en-US" w:eastAsia="zh-CN" w:bidi="ar-SA"/>
              </w:rPr>
            </w:pPr>
            <w:r>
              <w:rPr>
                <w:rFonts w:hint="eastAsia"/>
                <w:b w:val="0"/>
                <w:bCs w:val="0"/>
                <w:sz w:val="21"/>
                <w:szCs w:val="21"/>
                <w:highlight w:val="none"/>
                <w:lang w:val="en-US" w:eastAsia="zh-CN"/>
              </w:rPr>
              <w:t>/</w:t>
            </w:r>
          </w:p>
        </w:tc>
        <w:tc>
          <w:tcPr>
            <w:tcW w:w="644" w:type="pct"/>
            <w:shd w:val="clear" w:color="auto" w:fill="auto"/>
            <w:noWrap w:val="0"/>
            <w:vAlign w:val="center"/>
          </w:tcPr>
          <w:p w14:paraId="02787A40">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w:t>
            </w:r>
          </w:p>
        </w:tc>
      </w:tr>
      <w:tr w14:paraId="1AA7BF9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7" w:type="dxa"/>
            <w:bottom w:w="0" w:type="dxa"/>
            <w:right w:w="17" w:type="dxa"/>
          </w:tblCellMar>
        </w:tblPrEx>
        <w:trPr>
          <w:trHeight w:val="90" w:hRule="atLeast"/>
          <w:jc w:val="center"/>
        </w:trPr>
        <w:tc>
          <w:tcPr>
            <w:tcW w:w="288" w:type="pct"/>
            <w:vMerge w:val="continue"/>
            <w:noWrap w:val="0"/>
            <w:vAlign w:val="center"/>
          </w:tcPr>
          <w:p w14:paraId="4ECC29DC">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none"/>
                <w:lang w:val="en-US" w:eastAsia="zh-CN"/>
              </w:rPr>
            </w:pPr>
          </w:p>
        </w:tc>
        <w:tc>
          <w:tcPr>
            <w:tcW w:w="586" w:type="pct"/>
            <w:vMerge w:val="continue"/>
            <w:noWrap w:val="0"/>
            <w:vAlign w:val="center"/>
          </w:tcPr>
          <w:p w14:paraId="07CDFC83">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none"/>
                <w:lang w:val="en-US" w:eastAsia="zh-CN"/>
              </w:rPr>
            </w:pPr>
          </w:p>
        </w:tc>
        <w:tc>
          <w:tcPr>
            <w:tcW w:w="1139" w:type="pct"/>
            <w:shd w:val="clear" w:color="auto" w:fill="auto"/>
            <w:noWrap w:val="0"/>
            <w:vAlign w:val="center"/>
          </w:tcPr>
          <w:p w14:paraId="5803675E">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砷</w:t>
            </w:r>
          </w:p>
        </w:tc>
        <w:tc>
          <w:tcPr>
            <w:tcW w:w="514" w:type="pct"/>
            <w:shd w:val="clear" w:color="auto" w:fill="auto"/>
            <w:noWrap w:val="0"/>
            <w:vAlign w:val="center"/>
          </w:tcPr>
          <w:p w14:paraId="6E58484B">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mg/kg</w:t>
            </w:r>
          </w:p>
        </w:tc>
        <w:tc>
          <w:tcPr>
            <w:tcW w:w="772" w:type="pct"/>
            <w:noWrap w:val="0"/>
            <w:vAlign w:val="center"/>
          </w:tcPr>
          <w:p w14:paraId="23C5D0AC">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b/>
                <w:bCs/>
                <w:sz w:val="21"/>
                <w:szCs w:val="21"/>
                <w:highlight w:val="none"/>
                <w:lang w:val="en-US" w:eastAsia="zh-CN"/>
              </w:rPr>
            </w:pPr>
            <w:r>
              <w:rPr>
                <w:rFonts w:hint="eastAsia"/>
                <w:b/>
                <w:bCs/>
                <w:sz w:val="21"/>
                <w:szCs w:val="21"/>
                <w:highlight w:val="none"/>
                <w:lang w:val="en-US" w:eastAsia="zh-CN"/>
              </w:rPr>
              <w:t>259</w:t>
            </w:r>
          </w:p>
        </w:tc>
        <w:tc>
          <w:tcPr>
            <w:tcW w:w="529" w:type="pct"/>
            <w:noWrap w:val="0"/>
            <w:vAlign w:val="center"/>
          </w:tcPr>
          <w:p w14:paraId="0C31D736">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b/>
                <w:bCs/>
                <w:sz w:val="21"/>
                <w:szCs w:val="21"/>
                <w:highlight w:val="none"/>
                <w:lang w:val="en-US" w:eastAsia="zh-CN"/>
              </w:rPr>
            </w:pPr>
            <w:r>
              <w:rPr>
                <w:rFonts w:hint="eastAsia"/>
                <w:b/>
                <w:bCs/>
                <w:sz w:val="21"/>
                <w:szCs w:val="21"/>
                <w:highlight w:val="none"/>
                <w:lang w:val="en-US" w:eastAsia="zh-CN"/>
              </w:rPr>
              <w:t>3.32</w:t>
            </w:r>
          </w:p>
        </w:tc>
        <w:tc>
          <w:tcPr>
            <w:tcW w:w="525" w:type="pct"/>
            <w:shd w:val="clear" w:color="auto" w:fill="auto"/>
            <w:noWrap w:val="0"/>
            <w:vAlign w:val="center"/>
          </w:tcPr>
          <w:p w14:paraId="6310EB0A">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bCs/>
                <w:kern w:val="2"/>
                <w:sz w:val="21"/>
                <w:szCs w:val="21"/>
                <w:highlight w:val="none"/>
                <w:lang w:val="en-US" w:eastAsia="zh-CN" w:bidi="ar-SA"/>
              </w:rPr>
            </w:pPr>
            <w:r>
              <w:rPr>
                <w:rFonts w:hint="eastAsia"/>
                <w:b/>
                <w:bCs/>
                <w:sz w:val="21"/>
                <w:szCs w:val="21"/>
                <w:highlight w:val="none"/>
                <w:lang w:val="en-US" w:eastAsia="zh-CN"/>
              </w:rPr>
              <w:t>超标</w:t>
            </w:r>
          </w:p>
        </w:tc>
        <w:tc>
          <w:tcPr>
            <w:tcW w:w="644" w:type="pct"/>
            <w:shd w:val="clear" w:color="auto" w:fill="auto"/>
            <w:noWrap w:val="0"/>
            <w:vAlign w:val="center"/>
          </w:tcPr>
          <w:p w14:paraId="0FBCE142">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bCs/>
                <w:kern w:val="2"/>
                <w:sz w:val="21"/>
                <w:szCs w:val="21"/>
                <w:highlight w:val="none"/>
                <w:lang w:val="en-US" w:eastAsia="zh-CN" w:bidi="ar-SA"/>
              </w:rPr>
            </w:pPr>
            <w:r>
              <w:rPr>
                <w:rFonts w:hint="eastAsia"/>
                <w:b/>
                <w:bCs/>
                <w:sz w:val="21"/>
                <w:szCs w:val="21"/>
                <w:highlight w:val="none"/>
                <w:lang w:val="en-US" w:eastAsia="zh-CN"/>
              </w:rPr>
              <w:t>60</w:t>
            </w:r>
          </w:p>
        </w:tc>
      </w:tr>
      <w:tr w14:paraId="17BE807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7" w:type="dxa"/>
            <w:bottom w:w="0" w:type="dxa"/>
            <w:right w:w="17" w:type="dxa"/>
          </w:tblCellMar>
        </w:tblPrEx>
        <w:trPr>
          <w:trHeight w:val="90" w:hRule="atLeast"/>
          <w:jc w:val="center"/>
        </w:trPr>
        <w:tc>
          <w:tcPr>
            <w:tcW w:w="288" w:type="pct"/>
            <w:vMerge w:val="continue"/>
            <w:noWrap w:val="0"/>
            <w:vAlign w:val="center"/>
          </w:tcPr>
          <w:p w14:paraId="60A809A4">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none"/>
                <w:lang w:val="en-US" w:eastAsia="zh-CN"/>
              </w:rPr>
            </w:pPr>
          </w:p>
        </w:tc>
        <w:tc>
          <w:tcPr>
            <w:tcW w:w="586" w:type="pct"/>
            <w:vMerge w:val="continue"/>
            <w:noWrap w:val="0"/>
            <w:vAlign w:val="center"/>
          </w:tcPr>
          <w:p w14:paraId="5E4BB429">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none"/>
                <w:lang w:val="en-US" w:eastAsia="zh-CN"/>
              </w:rPr>
            </w:pPr>
          </w:p>
        </w:tc>
        <w:tc>
          <w:tcPr>
            <w:tcW w:w="1139" w:type="pct"/>
            <w:shd w:val="clear" w:color="auto" w:fill="auto"/>
            <w:noWrap w:val="0"/>
            <w:vAlign w:val="center"/>
          </w:tcPr>
          <w:p w14:paraId="16F21FDA">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镍</w:t>
            </w:r>
          </w:p>
        </w:tc>
        <w:tc>
          <w:tcPr>
            <w:tcW w:w="514" w:type="pct"/>
            <w:shd w:val="clear" w:color="auto" w:fill="auto"/>
            <w:noWrap w:val="0"/>
            <w:vAlign w:val="center"/>
          </w:tcPr>
          <w:p w14:paraId="2EFAB233">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mg/kg</w:t>
            </w:r>
          </w:p>
        </w:tc>
        <w:tc>
          <w:tcPr>
            <w:tcW w:w="772" w:type="pct"/>
            <w:noWrap w:val="0"/>
            <w:vAlign w:val="center"/>
          </w:tcPr>
          <w:p w14:paraId="11656632">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sz w:val="21"/>
                <w:szCs w:val="21"/>
                <w:highlight w:val="none"/>
                <w:lang w:val="en-US" w:eastAsia="zh-CN"/>
              </w:rPr>
            </w:pPr>
            <w:r>
              <w:rPr>
                <w:rFonts w:hint="eastAsia"/>
                <w:sz w:val="21"/>
                <w:szCs w:val="21"/>
                <w:highlight w:val="none"/>
                <w:lang w:val="en-US" w:eastAsia="zh-CN"/>
              </w:rPr>
              <w:t>32</w:t>
            </w:r>
          </w:p>
        </w:tc>
        <w:tc>
          <w:tcPr>
            <w:tcW w:w="529" w:type="pct"/>
            <w:shd w:val="clear" w:color="auto" w:fill="auto"/>
            <w:noWrap w:val="0"/>
            <w:vAlign w:val="center"/>
          </w:tcPr>
          <w:p w14:paraId="0538F095">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0</w:t>
            </w:r>
          </w:p>
        </w:tc>
        <w:tc>
          <w:tcPr>
            <w:tcW w:w="525" w:type="pct"/>
            <w:shd w:val="clear" w:color="auto" w:fill="auto"/>
            <w:noWrap w:val="0"/>
            <w:vAlign w:val="center"/>
          </w:tcPr>
          <w:p w14:paraId="21205D92">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达标</w:t>
            </w:r>
          </w:p>
        </w:tc>
        <w:tc>
          <w:tcPr>
            <w:tcW w:w="644" w:type="pct"/>
            <w:shd w:val="clear" w:color="auto" w:fill="auto"/>
            <w:noWrap w:val="0"/>
            <w:vAlign w:val="center"/>
          </w:tcPr>
          <w:p w14:paraId="3E3212CF">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900</w:t>
            </w:r>
          </w:p>
        </w:tc>
      </w:tr>
      <w:tr w14:paraId="2BDE0EF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7" w:type="dxa"/>
            <w:bottom w:w="0" w:type="dxa"/>
            <w:right w:w="17" w:type="dxa"/>
          </w:tblCellMar>
        </w:tblPrEx>
        <w:trPr>
          <w:trHeight w:val="90" w:hRule="atLeast"/>
          <w:jc w:val="center"/>
        </w:trPr>
        <w:tc>
          <w:tcPr>
            <w:tcW w:w="288" w:type="pct"/>
            <w:vMerge w:val="continue"/>
            <w:noWrap w:val="0"/>
            <w:vAlign w:val="center"/>
          </w:tcPr>
          <w:p w14:paraId="039AA973">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none"/>
                <w:lang w:val="en-US" w:eastAsia="zh-CN"/>
              </w:rPr>
            </w:pPr>
          </w:p>
        </w:tc>
        <w:tc>
          <w:tcPr>
            <w:tcW w:w="586" w:type="pct"/>
            <w:vMerge w:val="continue"/>
            <w:noWrap w:val="0"/>
            <w:vAlign w:val="center"/>
          </w:tcPr>
          <w:p w14:paraId="6DD51ACE">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none"/>
                <w:lang w:val="en-US" w:eastAsia="zh-CN"/>
              </w:rPr>
            </w:pPr>
          </w:p>
        </w:tc>
        <w:tc>
          <w:tcPr>
            <w:tcW w:w="1139" w:type="pct"/>
            <w:shd w:val="clear" w:color="auto" w:fill="auto"/>
            <w:noWrap w:val="0"/>
            <w:vAlign w:val="center"/>
          </w:tcPr>
          <w:p w14:paraId="111D05CE">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铅</w:t>
            </w:r>
          </w:p>
        </w:tc>
        <w:tc>
          <w:tcPr>
            <w:tcW w:w="514" w:type="pct"/>
            <w:shd w:val="clear" w:color="auto" w:fill="auto"/>
            <w:noWrap w:val="0"/>
            <w:vAlign w:val="center"/>
          </w:tcPr>
          <w:p w14:paraId="7C52F324">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mg/kg</w:t>
            </w:r>
          </w:p>
        </w:tc>
        <w:tc>
          <w:tcPr>
            <w:tcW w:w="772" w:type="pct"/>
            <w:noWrap w:val="0"/>
            <w:vAlign w:val="center"/>
          </w:tcPr>
          <w:p w14:paraId="4F716109">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sz w:val="21"/>
                <w:szCs w:val="21"/>
                <w:highlight w:val="none"/>
                <w:lang w:val="en-US" w:eastAsia="zh-CN"/>
              </w:rPr>
            </w:pPr>
            <w:r>
              <w:rPr>
                <w:rFonts w:hint="eastAsia"/>
                <w:sz w:val="21"/>
                <w:szCs w:val="21"/>
                <w:highlight w:val="none"/>
                <w:lang w:val="en-US" w:eastAsia="zh-CN"/>
              </w:rPr>
              <w:t>45</w:t>
            </w:r>
          </w:p>
        </w:tc>
        <w:tc>
          <w:tcPr>
            <w:tcW w:w="529" w:type="pct"/>
            <w:shd w:val="clear" w:color="auto" w:fill="auto"/>
            <w:noWrap w:val="0"/>
            <w:vAlign w:val="center"/>
          </w:tcPr>
          <w:p w14:paraId="4ACAFF69">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0</w:t>
            </w:r>
          </w:p>
        </w:tc>
        <w:tc>
          <w:tcPr>
            <w:tcW w:w="525" w:type="pct"/>
            <w:shd w:val="clear" w:color="auto" w:fill="auto"/>
            <w:noWrap w:val="0"/>
            <w:vAlign w:val="center"/>
          </w:tcPr>
          <w:p w14:paraId="4EBCC398">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bCs/>
                <w:kern w:val="2"/>
                <w:sz w:val="21"/>
                <w:szCs w:val="21"/>
                <w:highlight w:val="none"/>
                <w:lang w:val="en-US" w:eastAsia="zh-CN" w:bidi="ar-SA"/>
              </w:rPr>
            </w:pPr>
            <w:r>
              <w:rPr>
                <w:rFonts w:hint="eastAsia"/>
                <w:b w:val="0"/>
                <w:bCs w:val="0"/>
                <w:sz w:val="21"/>
                <w:szCs w:val="21"/>
                <w:highlight w:val="none"/>
                <w:lang w:val="en-US" w:eastAsia="zh-CN"/>
              </w:rPr>
              <w:t>达标</w:t>
            </w:r>
          </w:p>
        </w:tc>
        <w:tc>
          <w:tcPr>
            <w:tcW w:w="644" w:type="pct"/>
            <w:shd w:val="clear" w:color="auto" w:fill="auto"/>
            <w:noWrap w:val="0"/>
            <w:vAlign w:val="center"/>
          </w:tcPr>
          <w:p w14:paraId="785D34F4">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800</w:t>
            </w:r>
          </w:p>
        </w:tc>
      </w:tr>
      <w:tr w14:paraId="33778FC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7" w:type="dxa"/>
            <w:bottom w:w="0" w:type="dxa"/>
            <w:right w:w="17" w:type="dxa"/>
          </w:tblCellMar>
        </w:tblPrEx>
        <w:trPr>
          <w:trHeight w:val="90" w:hRule="atLeast"/>
          <w:jc w:val="center"/>
        </w:trPr>
        <w:tc>
          <w:tcPr>
            <w:tcW w:w="288" w:type="pct"/>
            <w:vMerge w:val="continue"/>
            <w:noWrap w:val="0"/>
            <w:vAlign w:val="center"/>
          </w:tcPr>
          <w:p w14:paraId="0605BA88">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none"/>
                <w:lang w:val="en-US" w:eastAsia="zh-CN"/>
              </w:rPr>
            </w:pPr>
          </w:p>
        </w:tc>
        <w:tc>
          <w:tcPr>
            <w:tcW w:w="586" w:type="pct"/>
            <w:vMerge w:val="continue"/>
            <w:noWrap w:val="0"/>
            <w:vAlign w:val="center"/>
          </w:tcPr>
          <w:p w14:paraId="290E988F">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none"/>
                <w:lang w:val="en-US" w:eastAsia="zh-CN"/>
              </w:rPr>
            </w:pPr>
          </w:p>
        </w:tc>
        <w:tc>
          <w:tcPr>
            <w:tcW w:w="1139" w:type="pct"/>
            <w:shd w:val="clear" w:color="auto" w:fill="auto"/>
            <w:noWrap w:val="0"/>
            <w:vAlign w:val="center"/>
          </w:tcPr>
          <w:p w14:paraId="21457BD5">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镉</w:t>
            </w:r>
          </w:p>
        </w:tc>
        <w:tc>
          <w:tcPr>
            <w:tcW w:w="514" w:type="pct"/>
            <w:shd w:val="clear" w:color="auto" w:fill="auto"/>
            <w:noWrap w:val="0"/>
            <w:vAlign w:val="center"/>
          </w:tcPr>
          <w:p w14:paraId="634AF83D">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mg/kg</w:t>
            </w:r>
          </w:p>
        </w:tc>
        <w:tc>
          <w:tcPr>
            <w:tcW w:w="772" w:type="pct"/>
            <w:noWrap w:val="0"/>
            <w:vAlign w:val="center"/>
          </w:tcPr>
          <w:p w14:paraId="5A03A7CA">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sz w:val="21"/>
                <w:szCs w:val="21"/>
                <w:highlight w:val="none"/>
                <w:lang w:val="en-US" w:eastAsia="zh-CN"/>
              </w:rPr>
            </w:pPr>
            <w:r>
              <w:rPr>
                <w:rFonts w:hint="eastAsia"/>
                <w:sz w:val="21"/>
                <w:szCs w:val="21"/>
                <w:highlight w:val="none"/>
                <w:lang w:val="en-US" w:eastAsia="zh-CN"/>
              </w:rPr>
              <w:t>0.17</w:t>
            </w:r>
          </w:p>
        </w:tc>
        <w:tc>
          <w:tcPr>
            <w:tcW w:w="529" w:type="pct"/>
            <w:shd w:val="clear" w:color="auto" w:fill="auto"/>
            <w:noWrap w:val="0"/>
            <w:vAlign w:val="center"/>
          </w:tcPr>
          <w:p w14:paraId="30E7B7DE">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0</w:t>
            </w:r>
          </w:p>
        </w:tc>
        <w:tc>
          <w:tcPr>
            <w:tcW w:w="525" w:type="pct"/>
            <w:shd w:val="clear" w:color="auto" w:fill="auto"/>
            <w:noWrap w:val="0"/>
            <w:vAlign w:val="center"/>
          </w:tcPr>
          <w:p w14:paraId="79255E27">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达标</w:t>
            </w:r>
          </w:p>
        </w:tc>
        <w:tc>
          <w:tcPr>
            <w:tcW w:w="644" w:type="pct"/>
            <w:shd w:val="clear" w:color="auto" w:fill="auto"/>
            <w:noWrap w:val="0"/>
            <w:vAlign w:val="center"/>
          </w:tcPr>
          <w:p w14:paraId="5DBCB421">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65</w:t>
            </w:r>
          </w:p>
        </w:tc>
      </w:tr>
      <w:tr w14:paraId="7D341F9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7" w:type="dxa"/>
            <w:bottom w:w="0" w:type="dxa"/>
            <w:right w:w="17" w:type="dxa"/>
          </w:tblCellMar>
        </w:tblPrEx>
        <w:trPr>
          <w:trHeight w:val="90" w:hRule="atLeast"/>
          <w:jc w:val="center"/>
        </w:trPr>
        <w:tc>
          <w:tcPr>
            <w:tcW w:w="288" w:type="pct"/>
            <w:vMerge w:val="continue"/>
            <w:noWrap w:val="0"/>
            <w:vAlign w:val="center"/>
          </w:tcPr>
          <w:p w14:paraId="4AC5F7A7">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none"/>
                <w:lang w:val="en-US" w:eastAsia="zh-CN"/>
              </w:rPr>
            </w:pPr>
          </w:p>
        </w:tc>
        <w:tc>
          <w:tcPr>
            <w:tcW w:w="586" w:type="pct"/>
            <w:vMerge w:val="continue"/>
            <w:noWrap w:val="0"/>
            <w:vAlign w:val="center"/>
          </w:tcPr>
          <w:p w14:paraId="5BB329A0">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none"/>
                <w:lang w:val="en-US" w:eastAsia="zh-CN"/>
              </w:rPr>
            </w:pPr>
          </w:p>
        </w:tc>
        <w:tc>
          <w:tcPr>
            <w:tcW w:w="1139" w:type="pct"/>
            <w:shd w:val="clear" w:color="auto" w:fill="auto"/>
            <w:noWrap w:val="0"/>
            <w:vAlign w:val="center"/>
          </w:tcPr>
          <w:p w14:paraId="0556EC7D">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总铬</w:t>
            </w:r>
          </w:p>
        </w:tc>
        <w:tc>
          <w:tcPr>
            <w:tcW w:w="514" w:type="pct"/>
            <w:shd w:val="clear" w:color="auto" w:fill="auto"/>
            <w:noWrap w:val="0"/>
            <w:vAlign w:val="center"/>
          </w:tcPr>
          <w:p w14:paraId="33C8832C">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mg/kg</w:t>
            </w:r>
          </w:p>
        </w:tc>
        <w:tc>
          <w:tcPr>
            <w:tcW w:w="772" w:type="pct"/>
            <w:noWrap w:val="0"/>
            <w:vAlign w:val="center"/>
          </w:tcPr>
          <w:p w14:paraId="75A608A1">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sz w:val="21"/>
                <w:szCs w:val="21"/>
                <w:highlight w:val="none"/>
                <w:lang w:val="en-US" w:eastAsia="zh-CN"/>
              </w:rPr>
            </w:pPr>
            <w:r>
              <w:rPr>
                <w:rFonts w:hint="eastAsia"/>
                <w:sz w:val="21"/>
                <w:szCs w:val="21"/>
                <w:highlight w:val="none"/>
                <w:lang w:val="en-US" w:eastAsia="zh-CN"/>
              </w:rPr>
              <w:t>92</w:t>
            </w:r>
          </w:p>
        </w:tc>
        <w:tc>
          <w:tcPr>
            <w:tcW w:w="529" w:type="pct"/>
            <w:shd w:val="clear" w:color="auto" w:fill="auto"/>
            <w:noWrap w:val="0"/>
            <w:vAlign w:val="center"/>
          </w:tcPr>
          <w:p w14:paraId="3EA24178">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w:t>
            </w:r>
          </w:p>
        </w:tc>
        <w:tc>
          <w:tcPr>
            <w:tcW w:w="525" w:type="pct"/>
            <w:shd w:val="clear" w:color="auto" w:fill="auto"/>
            <w:noWrap w:val="0"/>
            <w:vAlign w:val="center"/>
          </w:tcPr>
          <w:p w14:paraId="79ADACA1">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bCs/>
                <w:kern w:val="2"/>
                <w:sz w:val="21"/>
                <w:szCs w:val="21"/>
                <w:highlight w:val="none"/>
                <w:lang w:val="en-US" w:eastAsia="zh-CN" w:bidi="ar-SA"/>
              </w:rPr>
            </w:pPr>
            <w:r>
              <w:rPr>
                <w:rFonts w:hint="eastAsia"/>
                <w:b w:val="0"/>
                <w:bCs w:val="0"/>
                <w:sz w:val="21"/>
                <w:szCs w:val="21"/>
                <w:highlight w:val="none"/>
                <w:lang w:val="en-US" w:eastAsia="zh-CN"/>
              </w:rPr>
              <w:t>/</w:t>
            </w:r>
          </w:p>
        </w:tc>
        <w:tc>
          <w:tcPr>
            <w:tcW w:w="644" w:type="pct"/>
            <w:shd w:val="clear" w:color="auto" w:fill="auto"/>
            <w:noWrap w:val="0"/>
            <w:vAlign w:val="center"/>
          </w:tcPr>
          <w:p w14:paraId="24D92803">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w:t>
            </w:r>
          </w:p>
        </w:tc>
      </w:tr>
      <w:tr w14:paraId="659CF95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7" w:type="dxa"/>
            <w:bottom w:w="0" w:type="dxa"/>
            <w:right w:w="17" w:type="dxa"/>
          </w:tblCellMar>
        </w:tblPrEx>
        <w:trPr>
          <w:trHeight w:val="90" w:hRule="atLeast"/>
          <w:jc w:val="center"/>
        </w:trPr>
        <w:tc>
          <w:tcPr>
            <w:tcW w:w="288" w:type="pct"/>
            <w:vMerge w:val="continue"/>
            <w:noWrap w:val="0"/>
            <w:vAlign w:val="center"/>
          </w:tcPr>
          <w:p w14:paraId="106559D5">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none"/>
                <w:lang w:val="en-US" w:eastAsia="zh-CN"/>
              </w:rPr>
            </w:pPr>
          </w:p>
        </w:tc>
        <w:tc>
          <w:tcPr>
            <w:tcW w:w="586" w:type="pct"/>
            <w:vMerge w:val="continue"/>
            <w:noWrap w:val="0"/>
            <w:vAlign w:val="center"/>
          </w:tcPr>
          <w:p w14:paraId="018D4262">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none"/>
                <w:lang w:val="en-US" w:eastAsia="zh-CN"/>
              </w:rPr>
            </w:pPr>
          </w:p>
        </w:tc>
        <w:tc>
          <w:tcPr>
            <w:tcW w:w="1139" w:type="pct"/>
            <w:shd w:val="clear" w:color="auto" w:fill="auto"/>
            <w:noWrap w:val="0"/>
            <w:vAlign w:val="center"/>
          </w:tcPr>
          <w:p w14:paraId="768D8F68">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铬（六价）</w:t>
            </w:r>
          </w:p>
        </w:tc>
        <w:tc>
          <w:tcPr>
            <w:tcW w:w="514" w:type="pct"/>
            <w:shd w:val="clear" w:color="auto" w:fill="auto"/>
            <w:noWrap w:val="0"/>
            <w:vAlign w:val="center"/>
          </w:tcPr>
          <w:p w14:paraId="666161CF">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mg/kg</w:t>
            </w:r>
          </w:p>
        </w:tc>
        <w:tc>
          <w:tcPr>
            <w:tcW w:w="772" w:type="pct"/>
            <w:noWrap w:val="0"/>
            <w:vAlign w:val="center"/>
          </w:tcPr>
          <w:p w14:paraId="25775B7A">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sz w:val="21"/>
                <w:szCs w:val="21"/>
                <w:highlight w:val="none"/>
                <w:lang w:val="en-US" w:eastAsia="zh-CN"/>
              </w:rPr>
            </w:pPr>
            <w:r>
              <w:rPr>
                <w:rFonts w:hint="eastAsia"/>
                <w:sz w:val="21"/>
                <w:szCs w:val="21"/>
                <w:highlight w:val="none"/>
                <w:lang w:val="en-US" w:eastAsia="zh-CN"/>
              </w:rPr>
              <w:t>ND</w:t>
            </w:r>
          </w:p>
        </w:tc>
        <w:tc>
          <w:tcPr>
            <w:tcW w:w="529" w:type="pct"/>
            <w:shd w:val="clear" w:color="auto" w:fill="auto"/>
            <w:noWrap w:val="0"/>
            <w:vAlign w:val="center"/>
          </w:tcPr>
          <w:p w14:paraId="6176736F">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0</w:t>
            </w:r>
          </w:p>
        </w:tc>
        <w:tc>
          <w:tcPr>
            <w:tcW w:w="525" w:type="pct"/>
            <w:shd w:val="clear" w:color="auto" w:fill="auto"/>
            <w:noWrap w:val="0"/>
            <w:vAlign w:val="center"/>
          </w:tcPr>
          <w:p w14:paraId="01C0B63E">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达标</w:t>
            </w:r>
          </w:p>
        </w:tc>
        <w:tc>
          <w:tcPr>
            <w:tcW w:w="644" w:type="pct"/>
            <w:shd w:val="clear" w:color="auto" w:fill="auto"/>
            <w:noWrap w:val="0"/>
            <w:vAlign w:val="center"/>
          </w:tcPr>
          <w:p w14:paraId="3A12ADE1">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5.7</w:t>
            </w:r>
          </w:p>
        </w:tc>
      </w:tr>
      <w:tr w14:paraId="05A3834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7" w:type="dxa"/>
            <w:bottom w:w="0" w:type="dxa"/>
            <w:right w:w="17" w:type="dxa"/>
          </w:tblCellMar>
        </w:tblPrEx>
        <w:trPr>
          <w:trHeight w:val="90" w:hRule="atLeast"/>
          <w:jc w:val="center"/>
        </w:trPr>
        <w:tc>
          <w:tcPr>
            <w:tcW w:w="288" w:type="pct"/>
            <w:vMerge w:val="continue"/>
            <w:noWrap w:val="0"/>
            <w:vAlign w:val="center"/>
          </w:tcPr>
          <w:p w14:paraId="4B1091C4">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none"/>
                <w:lang w:val="en-US" w:eastAsia="zh-CN"/>
              </w:rPr>
            </w:pPr>
          </w:p>
        </w:tc>
        <w:tc>
          <w:tcPr>
            <w:tcW w:w="586" w:type="pct"/>
            <w:vMerge w:val="continue"/>
            <w:noWrap w:val="0"/>
            <w:vAlign w:val="center"/>
          </w:tcPr>
          <w:p w14:paraId="0679F714">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none"/>
                <w:lang w:val="en-US" w:eastAsia="zh-CN"/>
              </w:rPr>
            </w:pPr>
          </w:p>
        </w:tc>
        <w:tc>
          <w:tcPr>
            <w:tcW w:w="1139" w:type="pct"/>
            <w:shd w:val="clear" w:color="auto" w:fill="auto"/>
            <w:noWrap w:val="0"/>
            <w:vAlign w:val="center"/>
          </w:tcPr>
          <w:p w14:paraId="52D8E6C0">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汞</w:t>
            </w:r>
          </w:p>
        </w:tc>
        <w:tc>
          <w:tcPr>
            <w:tcW w:w="514" w:type="pct"/>
            <w:shd w:val="clear" w:color="auto" w:fill="auto"/>
            <w:noWrap w:val="0"/>
            <w:vAlign w:val="center"/>
          </w:tcPr>
          <w:p w14:paraId="3DB95B7D">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mg/kg</w:t>
            </w:r>
          </w:p>
        </w:tc>
        <w:tc>
          <w:tcPr>
            <w:tcW w:w="772" w:type="pct"/>
            <w:noWrap w:val="0"/>
            <w:vAlign w:val="center"/>
          </w:tcPr>
          <w:p w14:paraId="1C718844">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sz w:val="21"/>
                <w:szCs w:val="21"/>
                <w:highlight w:val="none"/>
                <w:lang w:val="en-US" w:eastAsia="zh-CN"/>
              </w:rPr>
            </w:pPr>
            <w:r>
              <w:rPr>
                <w:rFonts w:hint="eastAsia"/>
                <w:sz w:val="21"/>
                <w:szCs w:val="21"/>
                <w:highlight w:val="none"/>
                <w:lang w:val="en-US" w:eastAsia="zh-CN"/>
              </w:rPr>
              <w:t>0.0643</w:t>
            </w:r>
          </w:p>
        </w:tc>
        <w:tc>
          <w:tcPr>
            <w:tcW w:w="529" w:type="pct"/>
            <w:shd w:val="clear" w:color="auto" w:fill="auto"/>
            <w:noWrap w:val="0"/>
            <w:vAlign w:val="center"/>
          </w:tcPr>
          <w:p w14:paraId="3969590E">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0</w:t>
            </w:r>
          </w:p>
        </w:tc>
        <w:tc>
          <w:tcPr>
            <w:tcW w:w="525" w:type="pct"/>
            <w:shd w:val="clear" w:color="auto" w:fill="auto"/>
            <w:noWrap w:val="0"/>
            <w:vAlign w:val="center"/>
          </w:tcPr>
          <w:p w14:paraId="358AC7E3">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bCs/>
                <w:kern w:val="2"/>
                <w:sz w:val="21"/>
                <w:szCs w:val="21"/>
                <w:highlight w:val="none"/>
                <w:lang w:val="en-US" w:eastAsia="zh-CN" w:bidi="ar-SA"/>
              </w:rPr>
            </w:pPr>
            <w:r>
              <w:rPr>
                <w:rFonts w:hint="eastAsia"/>
                <w:b w:val="0"/>
                <w:bCs w:val="0"/>
                <w:sz w:val="21"/>
                <w:szCs w:val="21"/>
                <w:highlight w:val="none"/>
                <w:lang w:val="en-US" w:eastAsia="zh-CN"/>
              </w:rPr>
              <w:t>达标</w:t>
            </w:r>
          </w:p>
        </w:tc>
        <w:tc>
          <w:tcPr>
            <w:tcW w:w="644" w:type="pct"/>
            <w:shd w:val="clear" w:color="auto" w:fill="auto"/>
            <w:noWrap w:val="0"/>
            <w:vAlign w:val="center"/>
          </w:tcPr>
          <w:p w14:paraId="7A34D5FA">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38</w:t>
            </w:r>
          </w:p>
        </w:tc>
      </w:tr>
      <w:tr w14:paraId="1DEE59E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7" w:type="dxa"/>
            <w:bottom w:w="0" w:type="dxa"/>
            <w:right w:w="17" w:type="dxa"/>
          </w:tblCellMar>
        </w:tblPrEx>
        <w:trPr>
          <w:trHeight w:val="90" w:hRule="atLeast"/>
          <w:jc w:val="center"/>
        </w:trPr>
        <w:tc>
          <w:tcPr>
            <w:tcW w:w="288" w:type="pct"/>
            <w:vMerge w:val="continue"/>
            <w:noWrap w:val="0"/>
            <w:vAlign w:val="center"/>
          </w:tcPr>
          <w:p w14:paraId="5FEC2A33">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none"/>
                <w:lang w:val="en-US" w:eastAsia="zh-CN"/>
              </w:rPr>
            </w:pPr>
          </w:p>
        </w:tc>
        <w:tc>
          <w:tcPr>
            <w:tcW w:w="586" w:type="pct"/>
            <w:vMerge w:val="continue"/>
            <w:noWrap w:val="0"/>
            <w:vAlign w:val="center"/>
          </w:tcPr>
          <w:p w14:paraId="167D1138">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none"/>
                <w:lang w:val="en-US" w:eastAsia="zh-CN"/>
              </w:rPr>
            </w:pPr>
          </w:p>
        </w:tc>
        <w:tc>
          <w:tcPr>
            <w:tcW w:w="1139" w:type="pct"/>
            <w:shd w:val="clear" w:color="auto" w:fill="auto"/>
            <w:noWrap w:val="0"/>
            <w:vAlign w:val="center"/>
          </w:tcPr>
          <w:p w14:paraId="3D6212CF">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铜</w:t>
            </w:r>
          </w:p>
        </w:tc>
        <w:tc>
          <w:tcPr>
            <w:tcW w:w="514" w:type="pct"/>
            <w:shd w:val="clear" w:color="auto" w:fill="auto"/>
            <w:noWrap w:val="0"/>
            <w:vAlign w:val="center"/>
          </w:tcPr>
          <w:p w14:paraId="4D58E88E">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mg/kg</w:t>
            </w:r>
          </w:p>
        </w:tc>
        <w:tc>
          <w:tcPr>
            <w:tcW w:w="772" w:type="pct"/>
            <w:noWrap w:val="0"/>
            <w:vAlign w:val="center"/>
          </w:tcPr>
          <w:p w14:paraId="4D84B7B1">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sz w:val="21"/>
                <w:szCs w:val="21"/>
                <w:highlight w:val="none"/>
                <w:lang w:val="en-US" w:eastAsia="zh-CN"/>
              </w:rPr>
            </w:pPr>
            <w:r>
              <w:rPr>
                <w:rFonts w:hint="eastAsia"/>
                <w:sz w:val="21"/>
                <w:szCs w:val="21"/>
                <w:highlight w:val="none"/>
                <w:lang w:val="en-US" w:eastAsia="zh-CN"/>
              </w:rPr>
              <w:t>35.2</w:t>
            </w:r>
          </w:p>
        </w:tc>
        <w:tc>
          <w:tcPr>
            <w:tcW w:w="529" w:type="pct"/>
            <w:shd w:val="clear" w:color="auto" w:fill="auto"/>
            <w:noWrap w:val="0"/>
            <w:vAlign w:val="center"/>
          </w:tcPr>
          <w:p w14:paraId="541D3F56">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0</w:t>
            </w:r>
          </w:p>
        </w:tc>
        <w:tc>
          <w:tcPr>
            <w:tcW w:w="525" w:type="pct"/>
            <w:shd w:val="clear" w:color="auto" w:fill="auto"/>
            <w:noWrap w:val="0"/>
            <w:vAlign w:val="center"/>
          </w:tcPr>
          <w:p w14:paraId="39693EEF">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达标</w:t>
            </w:r>
          </w:p>
        </w:tc>
        <w:tc>
          <w:tcPr>
            <w:tcW w:w="644" w:type="pct"/>
            <w:shd w:val="clear" w:color="auto" w:fill="auto"/>
            <w:noWrap w:val="0"/>
            <w:vAlign w:val="center"/>
          </w:tcPr>
          <w:p w14:paraId="73228F3C">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18000</w:t>
            </w:r>
          </w:p>
        </w:tc>
      </w:tr>
      <w:tr w14:paraId="72C1B5D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7" w:type="dxa"/>
            <w:bottom w:w="0" w:type="dxa"/>
            <w:right w:w="17" w:type="dxa"/>
          </w:tblCellMar>
        </w:tblPrEx>
        <w:trPr>
          <w:trHeight w:val="90" w:hRule="atLeast"/>
          <w:jc w:val="center"/>
        </w:trPr>
        <w:tc>
          <w:tcPr>
            <w:tcW w:w="288" w:type="pct"/>
            <w:vMerge w:val="continue"/>
            <w:noWrap w:val="0"/>
            <w:vAlign w:val="center"/>
          </w:tcPr>
          <w:p w14:paraId="545AE2CD">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none"/>
                <w:lang w:val="en-US" w:eastAsia="zh-CN"/>
              </w:rPr>
            </w:pPr>
          </w:p>
        </w:tc>
        <w:tc>
          <w:tcPr>
            <w:tcW w:w="586" w:type="pct"/>
            <w:vMerge w:val="continue"/>
            <w:noWrap w:val="0"/>
            <w:vAlign w:val="center"/>
          </w:tcPr>
          <w:p w14:paraId="4D22A443">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none"/>
                <w:lang w:val="en-US" w:eastAsia="zh-CN"/>
              </w:rPr>
            </w:pPr>
          </w:p>
        </w:tc>
        <w:tc>
          <w:tcPr>
            <w:tcW w:w="1139" w:type="pct"/>
            <w:shd w:val="clear" w:color="auto" w:fill="auto"/>
            <w:noWrap w:val="0"/>
            <w:vAlign w:val="center"/>
          </w:tcPr>
          <w:p w14:paraId="5E7D7580">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锌</w:t>
            </w:r>
          </w:p>
        </w:tc>
        <w:tc>
          <w:tcPr>
            <w:tcW w:w="514" w:type="pct"/>
            <w:shd w:val="clear" w:color="auto" w:fill="auto"/>
            <w:noWrap w:val="0"/>
            <w:vAlign w:val="center"/>
          </w:tcPr>
          <w:p w14:paraId="16655700">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mg/kg</w:t>
            </w:r>
          </w:p>
        </w:tc>
        <w:tc>
          <w:tcPr>
            <w:tcW w:w="772" w:type="pct"/>
            <w:noWrap w:val="0"/>
            <w:vAlign w:val="center"/>
          </w:tcPr>
          <w:p w14:paraId="6E768C84">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sz w:val="21"/>
                <w:szCs w:val="21"/>
                <w:highlight w:val="none"/>
                <w:lang w:val="en-US" w:eastAsia="zh-CN"/>
              </w:rPr>
            </w:pPr>
            <w:r>
              <w:rPr>
                <w:rFonts w:hint="eastAsia"/>
                <w:sz w:val="21"/>
                <w:szCs w:val="21"/>
                <w:highlight w:val="none"/>
                <w:lang w:val="en-US" w:eastAsia="zh-CN"/>
              </w:rPr>
              <w:t>158</w:t>
            </w:r>
          </w:p>
        </w:tc>
        <w:tc>
          <w:tcPr>
            <w:tcW w:w="529" w:type="pct"/>
            <w:shd w:val="clear" w:color="auto" w:fill="auto"/>
            <w:noWrap w:val="0"/>
            <w:vAlign w:val="center"/>
          </w:tcPr>
          <w:p w14:paraId="46E454B9">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w:t>
            </w:r>
          </w:p>
        </w:tc>
        <w:tc>
          <w:tcPr>
            <w:tcW w:w="525" w:type="pct"/>
            <w:shd w:val="clear" w:color="auto" w:fill="auto"/>
            <w:noWrap w:val="0"/>
            <w:vAlign w:val="center"/>
          </w:tcPr>
          <w:p w14:paraId="7445B0D1">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bCs/>
                <w:kern w:val="2"/>
                <w:sz w:val="21"/>
                <w:szCs w:val="21"/>
                <w:highlight w:val="none"/>
                <w:lang w:val="en-US" w:eastAsia="zh-CN" w:bidi="ar-SA"/>
              </w:rPr>
            </w:pPr>
            <w:r>
              <w:rPr>
                <w:rFonts w:hint="eastAsia"/>
                <w:b w:val="0"/>
                <w:bCs w:val="0"/>
                <w:sz w:val="21"/>
                <w:szCs w:val="21"/>
                <w:highlight w:val="none"/>
                <w:lang w:val="en-US" w:eastAsia="zh-CN"/>
              </w:rPr>
              <w:t>/</w:t>
            </w:r>
          </w:p>
        </w:tc>
        <w:tc>
          <w:tcPr>
            <w:tcW w:w="644" w:type="pct"/>
            <w:shd w:val="clear" w:color="auto" w:fill="auto"/>
            <w:noWrap w:val="0"/>
            <w:vAlign w:val="center"/>
          </w:tcPr>
          <w:p w14:paraId="4173CF02">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w:t>
            </w:r>
          </w:p>
        </w:tc>
      </w:tr>
      <w:tr w14:paraId="5821188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7" w:type="dxa"/>
            <w:bottom w:w="0" w:type="dxa"/>
            <w:right w:w="17" w:type="dxa"/>
          </w:tblCellMar>
        </w:tblPrEx>
        <w:trPr>
          <w:trHeight w:val="90" w:hRule="atLeast"/>
          <w:jc w:val="center"/>
        </w:trPr>
        <w:tc>
          <w:tcPr>
            <w:tcW w:w="288" w:type="pct"/>
            <w:vMerge w:val="continue"/>
            <w:noWrap w:val="0"/>
            <w:vAlign w:val="center"/>
          </w:tcPr>
          <w:p w14:paraId="4C7E3EBA">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none"/>
                <w:lang w:val="en-US" w:eastAsia="zh-CN"/>
              </w:rPr>
            </w:pPr>
          </w:p>
        </w:tc>
        <w:tc>
          <w:tcPr>
            <w:tcW w:w="586" w:type="pct"/>
            <w:vMerge w:val="continue"/>
            <w:noWrap w:val="0"/>
            <w:vAlign w:val="center"/>
          </w:tcPr>
          <w:p w14:paraId="492632B3">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none"/>
                <w:lang w:val="en-US" w:eastAsia="zh-CN"/>
              </w:rPr>
            </w:pPr>
          </w:p>
        </w:tc>
        <w:tc>
          <w:tcPr>
            <w:tcW w:w="1139" w:type="pct"/>
            <w:shd w:val="clear" w:color="auto" w:fill="auto"/>
            <w:noWrap w:val="0"/>
            <w:vAlign w:val="center"/>
          </w:tcPr>
          <w:p w14:paraId="1A310698">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氰化物</w:t>
            </w:r>
          </w:p>
        </w:tc>
        <w:tc>
          <w:tcPr>
            <w:tcW w:w="514" w:type="pct"/>
            <w:shd w:val="clear" w:color="auto" w:fill="auto"/>
            <w:noWrap w:val="0"/>
            <w:vAlign w:val="center"/>
          </w:tcPr>
          <w:p w14:paraId="420D475D">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mg/kg</w:t>
            </w:r>
          </w:p>
        </w:tc>
        <w:tc>
          <w:tcPr>
            <w:tcW w:w="772" w:type="pct"/>
            <w:noWrap w:val="0"/>
            <w:vAlign w:val="center"/>
          </w:tcPr>
          <w:p w14:paraId="4B849D98">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sz w:val="21"/>
                <w:szCs w:val="21"/>
                <w:highlight w:val="none"/>
                <w:lang w:val="en-US" w:eastAsia="zh-CN"/>
              </w:rPr>
            </w:pPr>
            <w:r>
              <w:rPr>
                <w:rFonts w:hint="eastAsia"/>
                <w:sz w:val="21"/>
                <w:szCs w:val="21"/>
                <w:highlight w:val="none"/>
                <w:lang w:val="en-US" w:eastAsia="zh-CN"/>
              </w:rPr>
              <w:t>ND</w:t>
            </w:r>
          </w:p>
        </w:tc>
        <w:tc>
          <w:tcPr>
            <w:tcW w:w="529" w:type="pct"/>
            <w:shd w:val="clear" w:color="auto" w:fill="auto"/>
            <w:noWrap w:val="0"/>
            <w:vAlign w:val="center"/>
          </w:tcPr>
          <w:p w14:paraId="02E31010">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0</w:t>
            </w:r>
          </w:p>
        </w:tc>
        <w:tc>
          <w:tcPr>
            <w:tcW w:w="525" w:type="pct"/>
            <w:shd w:val="clear" w:color="auto" w:fill="auto"/>
            <w:noWrap w:val="0"/>
            <w:vAlign w:val="center"/>
          </w:tcPr>
          <w:p w14:paraId="2A54C453">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达标</w:t>
            </w:r>
          </w:p>
        </w:tc>
        <w:tc>
          <w:tcPr>
            <w:tcW w:w="644" w:type="pct"/>
            <w:shd w:val="clear" w:color="auto" w:fill="auto"/>
            <w:noWrap w:val="0"/>
            <w:vAlign w:val="center"/>
          </w:tcPr>
          <w:p w14:paraId="23A04E85">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135</w:t>
            </w:r>
          </w:p>
        </w:tc>
      </w:tr>
      <w:tr w14:paraId="0C8E1C7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7" w:type="dxa"/>
            <w:bottom w:w="0" w:type="dxa"/>
            <w:right w:w="17" w:type="dxa"/>
          </w:tblCellMar>
        </w:tblPrEx>
        <w:trPr>
          <w:trHeight w:val="23" w:hRule="atLeast"/>
          <w:jc w:val="center"/>
        </w:trPr>
        <w:tc>
          <w:tcPr>
            <w:tcW w:w="288" w:type="pct"/>
            <w:vMerge w:val="restart"/>
            <w:noWrap w:val="0"/>
            <w:vAlign w:val="center"/>
          </w:tcPr>
          <w:p w14:paraId="04580F0B">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sz w:val="21"/>
                <w:szCs w:val="21"/>
                <w:highlight w:val="none"/>
                <w:lang w:val="en-US" w:eastAsia="zh-CN"/>
              </w:rPr>
            </w:pPr>
            <w:r>
              <w:rPr>
                <w:rFonts w:hint="eastAsia"/>
                <w:sz w:val="21"/>
                <w:szCs w:val="21"/>
                <w:highlight w:val="none"/>
                <w:lang w:val="en-US" w:eastAsia="zh-CN"/>
              </w:rPr>
              <w:t>T3</w:t>
            </w:r>
          </w:p>
        </w:tc>
        <w:tc>
          <w:tcPr>
            <w:tcW w:w="586" w:type="pct"/>
            <w:vMerge w:val="restart"/>
            <w:shd w:val="clear" w:color="auto" w:fill="auto"/>
            <w:noWrap w:val="0"/>
            <w:vAlign w:val="center"/>
          </w:tcPr>
          <w:p w14:paraId="4949CA58">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0~0.5m</w:t>
            </w:r>
          </w:p>
        </w:tc>
        <w:tc>
          <w:tcPr>
            <w:tcW w:w="1139" w:type="pct"/>
            <w:shd w:val="clear" w:color="auto" w:fill="auto"/>
            <w:noWrap w:val="0"/>
            <w:vAlign w:val="center"/>
          </w:tcPr>
          <w:p w14:paraId="54DCC2B9">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pH</w:t>
            </w:r>
          </w:p>
        </w:tc>
        <w:tc>
          <w:tcPr>
            <w:tcW w:w="514" w:type="pct"/>
            <w:shd w:val="clear" w:color="auto" w:fill="auto"/>
            <w:noWrap w:val="0"/>
            <w:vAlign w:val="center"/>
          </w:tcPr>
          <w:p w14:paraId="01753479">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无量纲</w:t>
            </w:r>
          </w:p>
        </w:tc>
        <w:tc>
          <w:tcPr>
            <w:tcW w:w="772" w:type="pct"/>
            <w:noWrap w:val="0"/>
            <w:vAlign w:val="center"/>
          </w:tcPr>
          <w:p w14:paraId="4DF86D9A">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4.62</w:t>
            </w:r>
          </w:p>
        </w:tc>
        <w:tc>
          <w:tcPr>
            <w:tcW w:w="529" w:type="pct"/>
            <w:shd w:val="clear" w:color="auto" w:fill="auto"/>
            <w:noWrap w:val="0"/>
            <w:vAlign w:val="center"/>
          </w:tcPr>
          <w:p w14:paraId="15706763">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w:t>
            </w:r>
          </w:p>
        </w:tc>
        <w:tc>
          <w:tcPr>
            <w:tcW w:w="525" w:type="pct"/>
            <w:shd w:val="clear" w:color="auto" w:fill="auto"/>
            <w:noWrap w:val="0"/>
            <w:vAlign w:val="center"/>
          </w:tcPr>
          <w:p w14:paraId="3AB443C7">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w:t>
            </w:r>
          </w:p>
        </w:tc>
        <w:tc>
          <w:tcPr>
            <w:tcW w:w="644" w:type="pct"/>
            <w:shd w:val="clear" w:color="auto" w:fill="auto"/>
            <w:noWrap w:val="0"/>
            <w:vAlign w:val="center"/>
          </w:tcPr>
          <w:p w14:paraId="6BF602AE">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w:t>
            </w:r>
          </w:p>
        </w:tc>
      </w:tr>
      <w:tr w14:paraId="1F380DB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7" w:type="dxa"/>
            <w:bottom w:w="0" w:type="dxa"/>
            <w:right w:w="17" w:type="dxa"/>
          </w:tblCellMar>
        </w:tblPrEx>
        <w:trPr>
          <w:trHeight w:val="23" w:hRule="atLeast"/>
          <w:jc w:val="center"/>
        </w:trPr>
        <w:tc>
          <w:tcPr>
            <w:tcW w:w="288" w:type="pct"/>
            <w:vMerge w:val="continue"/>
            <w:noWrap w:val="0"/>
            <w:vAlign w:val="center"/>
          </w:tcPr>
          <w:p w14:paraId="3EA103AF">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sz w:val="21"/>
                <w:szCs w:val="21"/>
                <w:highlight w:val="none"/>
                <w:lang w:val="en-US" w:eastAsia="zh-CN"/>
              </w:rPr>
            </w:pPr>
          </w:p>
        </w:tc>
        <w:tc>
          <w:tcPr>
            <w:tcW w:w="586" w:type="pct"/>
            <w:vMerge w:val="continue"/>
            <w:shd w:val="clear" w:color="auto" w:fill="auto"/>
            <w:noWrap w:val="0"/>
            <w:vAlign w:val="center"/>
          </w:tcPr>
          <w:p w14:paraId="5354B531">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none"/>
                <w:lang w:val="en-US" w:eastAsia="zh-CN"/>
              </w:rPr>
            </w:pPr>
          </w:p>
        </w:tc>
        <w:tc>
          <w:tcPr>
            <w:tcW w:w="1139" w:type="pct"/>
            <w:shd w:val="clear" w:color="auto" w:fill="auto"/>
            <w:noWrap w:val="0"/>
            <w:vAlign w:val="center"/>
          </w:tcPr>
          <w:p w14:paraId="7060115D">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砷</w:t>
            </w:r>
          </w:p>
        </w:tc>
        <w:tc>
          <w:tcPr>
            <w:tcW w:w="514" w:type="pct"/>
            <w:shd w:val="clear" w:color="auto" w:fill="auto"/>
            <w:noWrap w:val="0"/>
            <w:vAlign w:val="center"/>
          </w:tcPr>
          <w:p w14:paraId="4146AB31">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mg/kg</w:t>
            </w:r>
          </w:p>
        </w:tc>
        <w:tc>
          <w:tcPr>
            <w:tcW w:w="772" w:type="pct"/>
            <w:noWrap w:val="0"/>
            <w:vAlign w:val="center"/>
          </w:tcPr>
          <w:p w14:paraId="6FEE8F49">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b/>
                <w:bCs/>
                <w:color w:val="auto"/>
                <w:sz w:val="21"/>
                <w:szCs w:val="21"/>
                <w:highlight w:val="none"/>
                <w:lang w:val="en-US" w:eastAsia="zh-CN"/>
              </w:rPr>
            </w:pPr>
            <w:r>
              <w:rPr>
                <w:rFonts w:hint="eastAsia"/>
                <w:b/>
                <w:bCs/>
                <w:color w:val="auto"/>
                <w:sz w:val="21"/>
                <w:szCs w:val="21"/>
                <w:highlight w:val="none"/>
                <w:lang w:val="en-US" w:eastAsia="zh-CN"/>
              </w:rPr>
              <w:t>248</w:t>
            </w:r>
          </w:p>
        </w:tc>
        <w:tc>
          <w:tcPr>
            <w:tcW w:w="529" w:type="pct"/>
            <w:shd w:val="clear" w:color="auto" w:fill="auto"/>
            <w:noWrap w:val="0"/>
            <w:vAlign w:val="center"/>
          </w:tcPr>
          <w:p w14:paraId="068E4FED">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kern w:val="2"/>
                <w:sz w:val="21"/>
                <w:szCs w:val="21"/>
                <w:highlight w:val="none"/>
                <w:lang w:val="en-US" w:eastAsia="zh-CN" w:bidi="ar-SA"/>
              </w:rPr>
            </w:pPr>
            <w:r>
              <w:rPr>
                <w:rFonts w:hint="eastAsia" w:cs="Times New Roman"/>
                <w:b/>
                <w:bCs/>
                <w:kern w:val="2"/>
                <w:sz w:val="21"/>
                <w:szCs w:val="21"/>
                <w:highlight w:val="none"/>
                <w:lang w:val="en-US" w:eastAsia="zh-CN" w:bidi="ar-SA"/>
              </w:rPr>
              <w:t>3.13</w:t>
            </w:r>
          </w:p>
        </w:tc>
        <w:tc>
          <w:tcPr>
            <w:tcW w:w="525" w:type="pct"/>
            <w:shd w:val="clear" w:color="auto" w:fill="auto"/>
            <w:noWrap w:val="0"/>
            <w:vAlign w:val="center"/>
          </w:tcPr>
          <w:p w14:paraId="4A2F0487">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kern w:val="2"/>
                <w:sz w:val="21"/>
                <w:szCs w:val="21"/>
                <w:highlight w:val="none"/>
                <w:lang w:val="en-US" w:eastAsia="zh-CN" w:bidi="ar-SA"/>
              </w:rPr>
            </w:pPr>
            <w:r>
              <w:rPr>
                <w:rFonts w:hint="eastAsia" w:cs="Times New Roman"/>
                <w:b/>
                <w:bCs/>
                <w:kern w:val="2"/>
                <w:sz w:val="21"/>
                <w:szCs w:val="21"/>
                <w:highlight w:val="none"/>
                <w:lang w:val="en-US" w:eastAsia="zh-CN" w:bidi="ar-SA"/>
              </w:rPr>
              <w:t>超标</w:t>
            </w:r>
          </w:p>
        </w:tc>
        <w:tc>
          <w:tcPr>
            <w:tcW w:w="644" w:type="pct"/>
            <w:shd w:val="clear" w:color="auto" w:fill="auto"/>
            <w:noWrap w:val="0"/>
            <w:vAlign w:val="center"/>
          </w:tcPr>
          <w:p w14:paraId="733536A8">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bCs/>
                <w:kern w:val="2"/>
                <w:sz w:val="21"/>
                <w:szCs w:val="21"/>
                <w:highlight w:val="none"/>
                <w:lang w:val="en-US" w:eastAsia="zh-CN" w:bidi="ar-SA"/>
              </w:rPr>
            </w:pPr>
            <w:r>
              <w:rPr>
                <w:rFonts w:hint="eastAsia"/>
                <w:b/>
                <w:bCs/>
                <w:sz w:val="21"/>
                <w:szCs w:val="21"/>
                <w:highlight w:val="none"/>
                <w:lang w:val="en-US" w:eastAsia="zh-CN"/>
              </w:rPr>
              <w:t>60</w:t>
            </w:r>
          </w:p>
        </w:tc>
      </w:tr>
      <w:tr w14:paraId="2449F01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7" w:type="dxa"/>
            <w:bottom w:w="0" w:type="dxa"/>
            <w:right w:w="17" w:type="dxa"/>
          </w:tblCellMar>
        </w:tblPrEx>
        <w:trPr>
          <w:trHeight w:val="23" w:hRule="atLeast"/>
          <w:jc w:val="center"/>
        </w:trPr>
        <w:tc>
          <w:tcPr>
            <w:tcW w:w="288" w:type="pct"/>
            <w:vMerge w:val="continue"/>
            <w:noWrap w:val="0"/>
            <w:vAlign w:val="center"/>
          </w:tcPr>
          <w:p w14:paraId="29EF2A9E">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none"/>
                <w:lang w:val="en-US" w:eastAsia="zh-CN"/>
              </w:rPr>
            </w:pPr>
          </w:p>
        </w:tc>
        <w:tc>
          <w:tcPr>
            <w:tcW w:w="586" w:type="pct"/>
            <w:vMerge w:val="continue"/>
            <w:shd w:val="clear" w:color="auto" w:fill="auto"/>
            <w:noWrap w:val="0"/>
            <w:vAlign w:val="center"/>
          </w:tcPr>
          <w:p w14:paraId="10C9D000">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none"/>
                <w:lang w:val="en-US" w:eastAsia="zh-CN"/>
              </w:rPr>
            </w:pPr>
          </w:p>
        </w:tc>
        <w:tc>
          <w:tcPr>
            <w:tcW w:w="1139" w:type="pct"/>
            <w:shd w:val="clear" w:color="auto" w:fill="auto"/>
            <w:noWrap w:val="0"/>
            <w:vAlign w:val="center"/>
          </w:tcPr>
          <w:p w14:paraId="0947141B">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镉</w:t>
            </w:r>
          </w:p>
        </w:tc>
        <w:tc>
          <w:tcPr>
            <w:tcW w:w="514" w:type="pct"/>
            <w:shd w:val="clear" w:color="auto" w:fill="auto"/>
            <w:noWrap w:val="0"/>
            <w:vAlign w:val="center"/>
          </w:tcPr>
          <w:p w14:paraId="6496B047">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mg/kg</w:t>
            </w:r>
          </w:p>
        </w:tc>
        <w:tc>
          <w:tcPr>
            <w:tcW w:w="772" w:type="pct"/>
            <w:noWrap w:val="0"/>
            <w:vAlign w:val="center"/>
          </w:tcPr>
          <w:p w14:paraId="52A35BE2">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0.12</w:t>
            </w:r>
          </w:p>
        </w:tc>
        <w:tc>
          <w:tcPr>
            <w:tcW w:w="529" w:type="pct"/>
            <w:shd w:val="clear" w:color="auto" w:fill="auto"/>
            <w:noWrap w:val="0"/>
            <w:vAlign w:val="center"/>
          </w:tcPr>
          <w:p w14:paraId="48944066">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0</w:t>
            </w:r>
          </w:p>
        </w:tc>
        <w:tc>
          <w:tcPr>
            <w:tcW w:w="525" w:type="pct"/>
            <w:shd w:val="clear" w:color="auto" w:fill="auto"/>
            <w:noWrap w:val="0"/>
            <w:vAlign w:val="center"/>
          </w:tcPr>
          <w:p w14:paraId="3CB4AE9E">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达标</w:t>
            </w:r>
          </w:p>
        </w:tc>
        <w:tc>
          <w:tcPr>
            <w:tcW w:w="644" w:type="pct"/>
            <w:shd w:val="clear" w:color="auto" w:fill="auto"/>
            <w:noWrap w:val="0"/>
            <w:vAlign w:val="center"/>
          </w:tcPr>
          <w:p w14:paraId="3559807D">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65</w:t>
            </w:r>
          </w:p>
        </w:tc>
      </w:tr>
      <w:tr w14:paraId="0E10CD6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7" w:type="dxa"/>
            <w:bottom w:w="0" w:type="dxa"/>
            <w:right w:w="17" w:type="dxa"/>
          </w:tblCellMar>
        </w:tblPrEx>
        <w:trPr>
          <w:trHeight w:val="23" w:hRule="atLeast"/>
          <w:jc w:val="center"/>
        </w:trPr>
        <w:tc>
          <w:tcPr>
            <w:tcW w:w="288" w:type="pct"/>
            <w:vMerge w:val="continue"/>
            <w:noWrap w:val="0"/>
            <w:vAlign w:val="center"/>
          </w:tcPr>
          <w:p w14:paraId="7689B7FE">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none"/>
                <w:lang w:val="en-US" w:eastAsia="zh-CN"/>
              </w:rPr>
            </w:pPr>
          </w:p>
        </w:tc>
        <w:tc>
          <w:tcPr>
            <w:tcW w:w="586" w:type="pct"/>
            <w:vMerge w:val="continue"/>
            <w:shd w:val="clear" w:color="auto" w:fill="auto"/>
            <w:noWrap w:val="0"/>
            <w:vAlign w:val="center"/>
          </w:tcPr>
          <w:p w14:paraId="4EB6508D">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none"/>
                <w:lang w:val="en-US" w:eastAsia="zh-CN"/>
              </w:rPr>
            </w:pPr>
          </w:p>
        </w:tc>
        <w:tc>
          <w:tcPr>
            <w:tcW w:w="1139" w:type="pct"/>
            <w:shd w:val="clear" w:color="auto" w:fill="auto"/>
            <w:noWrap w:val="0"/>
            <w:vAlign w:val="center"/>
          </w:tcPr>
          <w:p w14:paraId="120D49C6">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铅</w:t>
            </w:r>
          </w:p>
        </w:tc>
        <w:tc>
          <w:tcPr>
            <w:tcW w:w="514" w:type="pct"/>
            <w:shd w:val="clear" w:color="auto" w:fill="auto"/>
            <w:noWrap w:val="0"/>
            <w:vAlign w:val="center"/>
          </w:tcPr>
          <w:p w14:paraId="13AB7E3A">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mg/kg</w:t>
            </w:r>
          </w:p>
        </w:tc>
        <w:tc>
          <w:tcPr>
            <w:tcW w:w="772" w:type="pct"/>
            <w:noWrap w:val="0"/>
            <w:vAlign w:val="center"/>
          </w:tcPr>
          <w:p w14:paraId="4A76B024">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28</w:t>
            </w:r>
          </w:p>
        </w:tc>
        <w:tc>
          <w:tcPr>
            <w:tcW w:w="529" w:type="pct"/>
            <w:shd w:val="clear" w:color="auto" w:fill="auto"/>
            <w:noWrap w:val="0"/>
            <w:vAlign w:val="center"/>
          </w:tcPr>
          <w:p w14:paraId="3ECD92E6">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0</w:t>
            </w:r>
          </w:p>
        </w:tc>
        <w:tc>
          <w:tcPr>
            <w:tcW w:w="525" w:type="pct"/>
            <w:shd w:val="clear" w:color="auto" w:fill="auto"/>
            <w:noWrap w:val="0"/>
            <w:vAlign w:val="center"/>
          </w:tcPr>
          <w:p w14:paraId="13813017">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达标</w:t>
            </w:r>
          </w:p>
        </w:tc>
        <w:tc>
          <w:tcPr>
            <w:tcW w:w="644" w:type="pct"/>
            <w:shd w:val="clear" w:color="auto" w:fill="auto"/>
            <w:noWrap w:val="0"/>
            <w:vAlign w:val="center"/>
          </w:tcPr>
          <w:p w14:paraId="5CF791F1">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800</w:t>
            </w:r>
          </w:p>
        </w:tc>
      </w:tr>
      <w:tr w14:paraId="3BD4A40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7" w:type="dxa"/>
            <w:bottom w:w="0" w:type="dxa"/>
            <w:right w:w="17" w:type="dxa"/>
          </w:tblCellMar>
        </w:tblPrEx>
        <w:trPr>
          <w:trHeight w:val="23" w:hRule="atLeast"/>
          <w:jc w:val="center"/>
        </w:trPr>
        <w:tc>
          <w:tcPr>
            <w:tcW w:w="288" w:type="pct"/>
            <w:vMerge w:val="continue"/>
            <w:noWrap w:val="0"/>
            <w:vAlign w:val="center"/>
          </w:tcPr>
          <w:p w14:paraId="70931E1F">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none"/>
                <w:lang w:val="en-US" w:eastAsia="zh-CN"/>
              </w:rPr>
            </w:pPr>
          </w:p>
        </w:tc>
        <w:tc>
          <w:tcPr>
            <w:tcW w:w="586" w:type="pct"/>
            <w:vMerge w:val="continue"/>
            <w:shd w:val="clear" w:color="auto" w:fill="auto"/>
            <w:noWrap w:val="0"/>
            <w:vAlign w:val="center"/>
          </w:tcPr>
          <w:p w14:paraId="67BA2BF2">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none"/>
                <w:lang w:val="en-US" w:eastAsia="zh-CN"/>
              </w:rPr>
            </w:pPr>
          </w:p>
        </w:tc>
        <w:tc>
          <w:tcPr>
            <w:tcW w:w="1139" w:type="pct"/>
            <w:shd w:val="clear" w:color="auto" w:fill="auto"/>
            <w:noWrap w:val="0"/>
            <w:vAlign w:val="center"/>
          </w:tcPr>
          <w:p w14:paraId="00DE1C71">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镍</w:t>
            </w:r>
          </w:p>
        </w:tc>
        <w:tc>
          <w:tcPr>
            <w:tcW w:w="514" w:type="pct"/>
            <w:shd w:val="clear" w:color="auto" w:fill="auto"/>
            <w:noWrap w:val="0"/>
            <w:vAlign w:val="center"/>
          </w:tcPr>
          <w:p w14:paraId="5459AD96">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mg/kg</w:t>
            </w:r>
          </w:p>
        </w:tc>
        <w:tc>
          <w:tcPr>
            <w:tcW w:w="772" w:type="pct"/>
            <w:noWrap w:val="0"/>
            <w:vAlign w:val="center"/>
          </w:tcPr>
          <w:p w14:paraId="4D50364C">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39</w:t>
            </w:r>
          </w:p>
        </w:tc>
        <w:tc>
          <w:tcPr>
            <w:tcW w:w="529" w:type="pct"/>
            <w:shd w:val="clear" w:color="auto" w:fill="auto"/>
            <w:noWrap w:val="0"/>
            <w:vAlign w:val="center"/>
          </w:tcPr>
          <w:p w14:paraId="303CD151">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0</w:t>
            </w:r>
          </w:p>
        </w:tc>
        <w:tc>
          <w:tcPr>
            <w:tcW w:w="525" w:type="pct"/>
            <w:shd w:val="clear" w:color="auto" w:fill="auto"/>
            <w:noWrap w:val="0"/>
            <w:vAlign w:val="center"/>
          </w:tcPr>
          <w:p w14:paraId="786F5D5C">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达标</w:t>
            </w:r>
          </w:p>
        </w:tc>
        <w:tc>
          <w:tcPr>
            <w:tcW w:w="644" w:type="pct"/>
            <w:shd w:val="clear" w:color="auto" w:fill="auto"/>
            <w:noWrap w:val="0"/>
            <w:vAlign w:val="center"/>
          </w:tcPr>
          <w:p w14:paraId="2B2DA105">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900</w:t>
            </w:r>
          </w:p>
        </w:tc>
      </w:tr>
      <w:tr w14:paraId="2E94EBE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7" w:type="dxa"/>
            <w:bottom w:w="0" w:type="dxa"/>
            <w:right w:w="17" w:type="dxa"/>
          </w:tblCellMar>
        </w:tblPrEx>
        <w:trPr>
          <w:trHeight w:val="23" w:hRule="atLeast"/>
          <w:jc w:val="center"/>
        </w:trPr>
        <w:tc>
          <w:tcPr>
            <w:tcW w:w="288" w:type="pct"/>
            <w:vMerge w:val="continue"/>
            <w:noWrap w:val="0"/>
            <w:vAlign w:val="center"/>
          </w:tcPr>
          <w:p w14:paraId="1851344C">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none"/>
                <w:lang w:val="en-US" w:eastAsia="zh-CN"/>
              </w:rPr>
            </w:pPr>
          </w:p>
        </w:tc>
        <w:tc>
          <w:tcPr>
            <w:tcW w:w="586" w:type="pct"/>
            <w:vMerge w:val="continue"/>
            <w:shd w:val="clear" w:color="auto" w:fill="auto"/>
            <w:noWrap w:val="0"/>
            <w:vAlign w:val="center"/>
          </w:tcPr>
          <w:p w14:paraId="759F5740">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none"/>
                <w:lang w:val="en-US" w:eastAsia="zh-CN"/>
              </w:rPr>
            </w:pPr>
          </w:p>
        </w:tc>
        <w:tc>
          <w:tcPr>
            <w:tcW w:w="1139" w:type="pct"/>
            <w:shd w:val="clear" w:color="auto" w:fill="auto"/>
            <w:noWrap w:val="0"/>
            <w:vAlign w:val="center"/>
          </w:tcPr>
          <w:p w14:paraId="71384DEF">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铜</w:t>
            </w:r>
          </w:p>
        </w:tc>
        <w:tc>
          <w:tcPr>
            <w:tcW w:w="514" w:type="pct"/>
            <w:shd w:val="clear" w:color="auto" w:fill="auto"/>
            <w:noWrap w:val="0"/>
            <w:vAlign w:val="center"/>
          </w:tcPr>
          <w:p w14:paraId="3EC8EE08">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mg/kg</w:t>
            </w:r>
          </w:p>
        </w:tc>
        <w:tc>
          <w:tcPr>
            <w:tcW w:w="772" w:type="pct"/>
            <w:noWrap w:val="0"/>
            <w:vAlign w:val="center"/>
          </w:tcPr>
          <w:p w14:paraId="63CB3BA6">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31.1</w:t>
            </w:r>
          </w:p>
        </w:tc>
        <w:tc>
          <w:tcPr>
            <w:tcW w:w="529" w:type="pct"/>
            <w:shd w:val="clear" w:color="auto" w:fill="auto"/>
            <w:noWrap w:val="0"/>
            <w:vAlign w:val="center"/>
          </w:tcPr>
          <w:p w14:paraId="7E95799F">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0</w:t>
            </w:r>
          </w:p>
        </w:tc>
        <w:tc>
          <w:tcPr>
            <w:tcW w:w="525" w:type="pct"/>
            <w:shd w:val="clear" w:color="auto" w:fill="auto"/>
            <w:noWrap w:val="0"/>
            <w:vAlign w:val="center"/>
          </w:tcPr>
          <w:p w14:paraId="1B1867E0">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达标</w:t>
            </w:r>
          </w:p>
        </w:tc>
        <w:tc>
          <w:tcPr>
            <w:tcW w:w="644" w:type="pct"/>
            <w:shd w:val="clear" w:color="auto" w:fill="auto"/>
            <w:noWrap w:val="0"/>
            <w:vAlign w:val="center"/>
          </w:tcPr>
          <w:p w14:paraId="22044DAE">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18000</w:t>
            </w:r>
          </w:p>
        </w:tc>
      </w:tr>
      <w:tr w14:paraId="120B055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7" w:type="dxa"/>
            <w:bottom w:w="0" w:type="dxa"/>
            <w:right w:w="17" w:type="dxa"/>
          </w:tblCellMar>
        </w:tblPrEx>
        <w:trPr>
          <w:trHeight w:val="23" w:hRule="atLeast"/>
          <w:jc w:val="center"/>
        </w:trPr>
        <w:tc>
          <w:tcPr>
            <w:tcW w:w="288" w:type="pct"/>
            <w:vMerge w:val="continue"/>
            <w:noWrap w:val="0"/>
            <w:vAlign w:val="center"/>
          </w:tcPr>
          <w:p w14:paraId="40A5E639">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none"/>
                <w:lang w:val="en-US" w:eastAsia="zh-CN"/>
              </w:rPr>
            </w:pPr>
          </w:p>
        </w:tc>
        <w:tc>
          <w:tcPr>
            <w:tcW w:w="586" w:type="pct"/>
            <w:vMerge w:val="continue"/>
            <w:shd w:val="clear" w:color="auto" w:fill="auto"/>
            <w:noWrap w:val="0"/>
            <w:vAlign w:val="center"/>
          </w:tcPr>
          <w:p w14:paraId="1E129E2B">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none"/>
                <w:lang w:val="en-US" w:eastAsia="zh-CN"/>
              </w:rPr>
            </w:pPr>
          </w:p>
        </w:tc>
        <w:tc>
          <w:tcPr>
            <w:tcW w:w="1139" w:type="pct"/>
            <w:shd w:val="clear" w:color="auto" w:fill="auto"/>
            <w:noWrap w:val="0"/>
            <w:vAlign w:val="center"/>
          </w:tcPr>
          <w:p w14:paraId="6732B12D">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铬（六价）</w:t>
            </w:r>
          </w:p>
        </w:tc>
        <w:tc>
          <w:tcPr>
            <w:tcW w:w="514" w:type="pct"/>
            <w:shd w:val="clear" w:color="auto" w:fill="auto"/>
            <w:noWrap w:val="0"/>
            <w:vAlign w:val="center"/>
          </w:tcPr>
          <w:p w14:paraId="4E4279E8">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mg/kg</w:t>
            </w:r>
          </w:p>
        </w:tc>
        <w:tc>
          <w:tcPr>
            <w:tcW w:w="772" w:type="pct"/>
            <w:noWrap w:val="0"/>
            <w:vAlign w:val="center"/>
          </w:tcPr>
          <w:p w14:paraId="230B07F7">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ND</w:t>
            </w:r>
          </w:p>
        </w:tc>
        <w:tc>
          <w:tcPr>
            <w:tcW w:w="529" w:type="pct"/>
            <w:shd w:val="clear" w:color="auto" w:fill="auto"/>
            <w:noWrap w:val="0"/>
            <w:vAlign w:val="center"/>
          </w:tcPr>
          <w:p w14:paraId="534CD74B">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0</w:t>
            </w:r>
          </w:p>
        </w:tc>
        <w:tc>
          <w:tcPr>
            <w:tcW w:w="525" w:type="pct"/>
            <w:shd w:val="clear" w:color="auto" w:fill="auto"/>
            <w:noWrap w:val="0"/>
            <w:vAlign w:val="center"/>
          </w:tcPr>
          <w:p w14:paraId="5BF85713">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达标</w:t>
            </w:r>
          </w:p>
        </w:tc>
        <w:tc>
          <w:tcPr>
            <w:tcW w:w="644" w:type="pct"/>
            <w:shd w:val="clear" w:color="auto" w:fill="auto"/>
            <w:noWrap w:val="0"/>
            <w:vAlign w:val="center"/>
          </w:tcPr>
          <w:p w14:paraId="3AFF733B">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5.7</w:t>
            </w:r>
          </w:p>
        </w:tc>
      </w:tr>
      <w:tr w14:paraId="0D6EA1D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7" w:type="dxa"/>
            <w:bottom w:w="0" w:type="dxa"/>
            <w:right w:w="17" w:type="dxa"/>
          </w:tblCellMar>
        </w:tblPrEx>
        <w:trPr>
          <w:trHeight w:val="23" w:hRule="atLeast"/>
          <w:jc w:val="center"/>
        </w:trPr>
        <w:tc>
          <w:tcPr>
            <w:tcW w:w="288" w:type="pct"/>
            <w:vMerge w:val="continue"/>
            <w:noWrap w:val="0"/>
            <w:vAlign w:val="center"/>
          </w:tcPr>
          <w:p w14:paraId="57127340">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none"/>
                <w:lang w:val="en-US" w:eastAsia="zh-CN"/>
              </w:rPr>
            </w:pPr>
          </w:p>
        </w:tc>
        <w:tc>
          <w:tcPr>
            <w:tcW w:w="586" w:type="pct"/>
            <w:vMerge w:val="continue"/>
            <w:shd w:val="clear" w:color="auto" w:fill="auto"/>
            <w:noWrap w:val="0"/>
            <w:vAlign w:val="center"/>
          </w:tcPr>
          <w:p w14:paraId="170BC832">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none"/>
                <w:lang w:val="en-US" w:eastAsia="zh-CN"/>
              </w:rPr>
            </w:pPr>
          </w:p>
        </w:tc>
        <w:tc>
          <w:tcPr>
            <w:tcW w:w="1139" w:type="pct"/>
            <w:shd w:val="clear" w:color="auto" w:fill="auto"/>
            <w:noWrap w:val="0"/>
            <w:vAlign w:val="center"/>
          </w:tcPr>
          <w:p w14:paraId="0B896668">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汞</w:t>
            </w:r>
          </w:p>
        </w:tc>
        <w:tc>
          <w:tcPr>
            <w:tcW w:w="514" w:type="pct"/>
            <w:shd w:val="clear" w:color="auto" w:fill="auto"/>
            <w:noWrap w:val="0"/>
            <w:vAlign w:val="center"/>
          </w:tcPr>
          <w:p w14:paraId="03E1E4E3">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mg/kg</w:t>
            </w:r>
          </w:p>
        </w:tc>
        <w:tc>
          <w:tcPr>
            <w:tcW w:w="772" w:type="pct"/>
            <w:noWrap w:val="0"/>
            <w:vAlign w:val="center"/>
          </w:tcPr>
          <w:p w14:paraId="20EFB8CA">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0.0783</w:t>
            </w:r>
          </w:p>
        </w:tc>
        <w:tc>
          <w:tcPr>
            <w:tcW w:w="529" w:type="pct"/>
            <w:shd w:val="clear" w:color="auto" w:fill="auto"/>
            <w:noWrap w:val="0"/>
            <w:vAlign w:val="center"/>
          </w:tcPr>
          <w:p w14:paraId="1922F61D">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0</w:t>
            </w:r>
          </w:p>
        </w:tc>
        <w:tc>
          <w:tcPr>
            <w:tcW w:w="525" w:type="pct"/>
            <w:shd w:val="clear" w:color="auto" w:fill="auto"/>
            <w:noWrap w:val="0"/>
            <w:vAlign w:val="center"/>
          </w:tcPr>
          <w:p w14:paraId="27DA839C">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达标</w:t>
            </w:r>
          </w:p>
        </w:tc>
        <w:tc>
          <w:tcPr>
            <w:tcW w:w="644" w:type="pct"/>
            <w:shd w:val="clear" w:color="auto" w:fill="auto"/>
            <w:noWrap w:val="0"/>
            <w:vAlign w:val="center"/>
          </w:tcPr>
          <w:p w14:paraId="71DB674B">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38</w:t>
            </w:r>
          </w:p>
        </w:tc>
      </w:tr>
      <w:tr w14:paraId="1D640F1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7" w:type="dxa"/>
            <w:bottom w:w="0" w:type="dxa"/>
            <w:right w:w="17" w:type="dxa"/>
          </w:tblCellMar>
        </w:tblPrEx>
        <w:trPr>
          <w:trHeight w:val="23" w:hRule="atLeast"/>
          <w:jc w:val="center"/>
        </w:trPr>
        <w:tc>
          <w:tcPr>
            <w:tcW w:w="288" w:type="pct"/>
            <w:vMerge w:val="continue"/>
            <w:noWrap w:val="0"/>
            <w:vAlign w:val="center"/>
          </w:tcPr>
          <w:p w14:paraId="1AF64E5B">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none"/>
                <w:lang w:val="en-US" w:eastAsia="zh-CN"/>
              </w:rPr>
            </w:pPr>
          </w:p>
        </w:tc>
        <w:tc>
          <w:tcPr>
            <w:tcW w:w="586" w:type="pct"/>
            <w:vMerge w:val="continue"/>
            <w:shd w:val="clear" w:color="auto" w:fill="auto"/>
            <w:noWrap w:val="0"/>
            <w:vAlign w:val="center"/>
          </w:tcPr>
          <w:p w14:paraId="427939F6">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none"/>
                <w:lang w:val="en-US" w:eastAsia="zh-CN"/>
              </w:rPr>
            </w:pPr>
          </w:p>
        </w:tc>
        <w:tc>
          <w:tcPr>
            <w:tcW w:w="1139" w:type="pct"/>
            <w:shd w:val="clear" w:color="auto" w:fill="auto"/>
            <w:noWrap w:val="0"/>
            <w:vAlign w:val="center"/>
          </w:tcPr>
          <w:p w14:paraId="600DCE0F">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氯甲烷</w:t>
            </w:r>
          </w:p>
        </w:tc>
        <w:tc>
          <w:tcPr>
            <w:tcW w:w="514" w:type="pct"/>
            <w:shd w:val="clear" w:color="auto" w:fill="auto"/>
            <w:noWrap w:val="0"/>
            <w:vAlign w:val="center"/>
          </w:tcPr>
          <w:p w14:paraId="569E9EDC">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mg/kg</w:t>
            </w:r>
          </w:p>
        </w:tc>
        <w:tc>
          <w:tcPr>
            <w:tcW w:w="772" w:type="pct"/>
            <w:shd w:val="clear" w:color="auto" w:fill="auto"/>
            <w:noWrap w:val="0"/>
            <w:vAlign w:val="center"/>
          </w:tcPr>
          <w:p w14:paraId="78296639">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ND</w:t>
            </w:r>
          </w:p>
        </w:tc>
        <w:tc>
          <w:tcPr>
            <w:tcW w:w="529" w:type="pct"/>
            <w:shd w:val="clear" w:color="auto" w:fill="auto"/>
            <w:noWrap w:val="0"/>
            <w:vAlign w:val="center"/>
          </w:tcPr>
          <w:p w14:paraId="445A232F">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0</w:t>
            </w:r>
          </w:p>
        </w:tc>
        <w:tc>
          <w:tcPr>
            <w:tcW w:w="525" w:type="pct"/>
            <w:shd w:val="clear" w:color="auto" w:fill="auto"/>
            <w:noWrap w:val="0"/>
            <w:vAlign w:val="center"/>
          </w:tcPr>
          <w:p w14:paraId="77B59596">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达标</w:t>
            </w:r>
          </w:p>
        </w:tc>
        <w:tc>
          <w:tcPr>
            <w:tcW w:w="644" w:type="pct"/>
            <w:shd w:val="clear" w:color="auto" w:fill="auto"/>
            <w:noWrap w:val="0"/>
            <w:vAlign w:val="center"/>
          </w:tcPr>
          <w:p w14:paraId="65F2A955">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37</w:t>
            </w:r>
          </w:p>
        </w:tc>
      </w:tr>
      <w:tr w14:paraId="6B37DA8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7" w:type="dxa"/>
            <w:bottom w:w="0" w:type="dxa"/>
            <w:right w:w="17" w:type="dxa"/>
          </w:tblCellMar>
        </w:tblPrEx>
        <w:trPr>
          <w:trHeight w:val="23" w:hRule="atLeast"/>
          <w:jc w:val="center"/>
        </w:trPr>
        <w:tc>
          <w:tcPr>
            <w:tcW w:w="288" w:type="pct"/>
            <w:vMerge w:val="continue"/>
            <w:noWrap w:val="0"/>
            <w:vAlign w:val="center"/>
          </w:tcPr>
          <w:p w14:paraId="6E544E0E">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none"/>
                <w:lang w:val="en-US" w:eastAsia="zh-CN"/>
              </w:rPr>
            </w:pPr>
          </w:p>
        </w:tc>
        <w:tc>
          <w:tcPr>
            <w:tcW w:w="586" w:type="pct"/>
            <w:vMerge w:val="continue"/>
            <w:shd w:val="clear" w:color="auto" w:fill="auto"/>
            <w:noWrap w:val="0"/>
            <w:vAlign w:val="center"/>
          </w:tcPr>
          <w:p w14:paraId="0673522D">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none"/>
                <w:lang w:val="en-US" w:eastAsia="zh-CN"/>
              </w:rPr>
            </w:pPr>
          </w:p>
        </w:tc>
        <w:tc>
          <w:tcPr>
            <w:tcW w:w="1139" w:type="pct"/>
            <w:shd w:val="clear" w:color="auto" w:fill="auto"/>
            <w:noWrap w:val="0"/>
            <w:vAlign w:val="center"/>
          </w:tcPr>
          <w:p w14:paraId="7B28D2BB">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氯乙烯</w:t>
            </w:r>
          </w:p>
        </w:tc>
        <w:tc>
          <w:tcPr>
            <w:tcW w:w="514" w:type="pct"/>
            <w:shd w:val="clear" w:color="auto" w:fill="auto"/>
            <w:noWrap w:val="0"/>
            <w:vAlign w:val="center"/>
          </w:tcPr>
          <w:p w14:paraId="3E24A520">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mg/kg</w:t>
            </w:r>
          </w:p>
        </w:tc>
        <w:tc>
          <w:tcPr>
            <w:tcW w:w="772" w:type="pct"/>
            <w:shd w:val="clear" w:color="auto" w:fill="auto"/>
            <w:noWrap w:val="0"/>
            <w:vAlign w:val="center"/>
          </w:tcPr>
          <w:p w14:paraId="596BC2ED">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ND</w:t>
            </w:r>
          </w:p>
        </w:tc>
        <w:tc>
          <w:tcPr>
            <w:tcW w:w="529" w:type="pct"/>
            <w:shd w:val="clear" w:color="auto" w:fill="auto"/>
            <w:noWrap w:val="0"/>
            <w:vAlign w:val="center"/>
          </w:tcPr>
          <w:p w14:paraId="0E753DF7">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0</w:t>
            </w:r>
          </w:p>
        </w:tc>
        <w:tc>
          <w:tcPr>
            <w:tcW w:w="525" w:type="pct"/>
            <w:shd w:val="clear" w:color="auto" w:fill="auto"/>
            <w:noWrap w:val="0"/>
            <w:vAlign w:val="center"/>
          </w:tcPr>
          <w:p w14:paraId="5FB60519">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达标</w:t>
            </w:r>
          </w:p>
        </w:tc>
        <w:tc>
          <w:tcPr>
            <w:tcW w:w="644" w:type="pct"/>
            <w:shd w:val="clear" w:color="auto" w:fill="auto"/>
            <w:noWrap w:val="0"/>
            <w:vAlign w:val="center"/>
          </w:tcPr>
          <w:p w14:paraId="6BD0D114">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0.43</w:t>
            </w:r>
          </w:p>
        </w:tc>
      </w:tr>
      <w:tr w14:paraId="6F69F1F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7" w:type="dxa"/>
            <w:bottom w:w="0" w:type="dxa"/>
            <w:right w:w="17" w:type="dxa"/>
          </w:tblCellMar>
        </w:tblPrEx>
        <w:trPr>
          <w:trHeight w:val="23" w:hRule="atLeast"/>
          <w:jc w:val="center"/>
        </w:trPr>
        <w:tc>
          <w:tcPr>
            <w:tcW w:w="288" w:type="pct"/>
            <w:vMerge w:val="continue"/>
            <w:noWrap w:val="0"/>
            <w:vAlign w:val="center"/>
          </w:tcPr>
          <w:p w14:paraId="0B940A9D">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none"/>
                <w:lang w:val="en-US" w:eastAsia="zh-CN"/>
              </w:rPr>
            </w:pPr>
          </w:p>
        </w:tc>
        <w:tc>
          <w:tcPr>
            <w:tcW w:w="586" w:type="pct"/>
            <w:vMerge w:val="continue"/>
            <w:shd w:val="clear" w:color="auto" w:fill="auto"/>
            <w:noWrap w:val="0"/>
            <w:vAlign w:val="center"/>
          </w:tcPr>
          <w:p w14:paraId="4E1B1C3D">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none"/>
                <w:lang w:val="en-US" w:eastAsia="zh-CN"/>
              </w:rPr>
            </w:pPr>
          </w:p>
        </w:tc>
        <w:tc>
          <w:tcPr>
            <w:tcW w:w="1139" w:type="pct"/>
            <w:shd w:val="clear" w:color="auto" w:fill="auto"/>
            <w:noWrap w:val="0"/>
            <w:vAlign w:val="center"/>
          </w:tcPr>
          <w:p w14:paraId="355FCBB1">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1,1-二氯乙烯</w:t>
            </w:r>
          </w:p>
        </w:tc>
        <w:tc>
          <w:tcPr>
            <w:tcW w:w="514" w:type="pct"/>
            <w:shd w:val="clear" w:color="auto" w:fill="auto"/>
            <w:noWrap w:val="0"/>
            <w:vAlign w:val="center"/>
          </w:tcPr>
          <w:p w14:paraId="00812C8F">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mg/kg</w:t>
            </w:r>
          </w:p>
        </w:tc>
        <w:tc>
          <w:tcPr>
            <w:tcW w:w="772" w:type="pct"/>
            <w:shd w:val="clear" w:color="auto" w:fill="auto"/>
            <w:noWrap w:val="0"/>
            <w:vAlign w:val="center"/>
          </w:tcPr>
          <w:p w14:paraId="79949343">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ND</w:t>
            </w:r>
          </w:p>
        </w:tc>
        <w:tc>
          <w:tcPr>
            <w:tcW w:w="529" w:type="pct"/>
            <w:shd w:val="clear" w:color="auto" w:fill="auto"/>
            <w:noWrap w:val="0"/>
            <w:vAlign w:val="center"/>
          </w:tcPr>
          <w:p w14:paraId="1FBAA62F">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0</w:t>
            </w:r>
          </w:p>
        </w:tc>
        <w:tc>
          <w:tcPr>
            <w:tcW w:w="525" w:type="pct"/>
            <w:shd w:val="clear" w:color="auto" w:fill="auto"/>
            <w:noWrap w:val="0"/>
            <w:vAlign w:val="center"/>
          </w:tcPr>
          <w:p w14:paraId="0F8F5EA2">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达标</w:t>
            </w:r>
          </w:p>
        </w:tc>
        <w:tc>
          <w:tcPr>
            <w:tcW w:w="644" w:type="pct"/>
            <w:shd w:val="clear" w:color="auto" w:fill="auto"/>
            <w:noWrap w:val="0"/>
            <w:vAlign w:val="center"/>
          </w:tcPr>
          <w:p w14:paraId="59B8C743">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66</w:t>
            </w:r>
          </w:p>
        </w:tc>
      </w:tr>
      <w:tr w14:paraId="250F387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7" w:type="dxa"/>
            <w:bottom w:w="0" w:type="dxa"/>
            <w:right w:w="17" w:type="dxa"/>
          </w:tblCellMar>
        </w:tblPrEx>
        <w:trPr>
          <w:trHeight w:val="23" w:hRule="atLeast"/>
          <w:jc w:val="center"/>
        </w:trPr>
        <w:tc>
          <w:tcPr>
            <w:tcW w:w="288" w:type="pct"/>
            <w:vMerge w:val="continue"/>
            <w:noWrap w:val="0"/>
            <w:vAlign w:val="center"/>
          </w:tcPr>
          <w:p w14:paraId="4885C200">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none"/>
                <w:lang w:val="en-US" w:eastAsia="zh-CN"/>
              </w:rPr>
            </w:pPr>
          </w:p>
        </w:tc>
        <w:tc>
          <w:tcPr>
            <w:tcW w:w="586" w:type="pct"/>
            <w:vMerge w:val="continue"/>
            <w:shd w:val="clear" w:color="auto" w:fill="auto"/>
            <w:noWrap w:val="0"/>
            <w:vAlign w:val="center"/>
          </w:tcPr>
          <w:p w14:paraId="7035815A">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none"/>
                <w:lang w:val="en-US" w:eastAsia="zh-CN"/>
              </w:rPr>
            </w:pPr>
          </w:p>
        </w:tc>
        <w:tc>
          <w:tcPr>
            <w:tcW w:w="1139" w:type="pct"/>
            <w:shd w:val="clear" w:color="auto" w:fill="auto"/>
            <w:noWrap w:val="0"/>
            <w:vAlign w:val="center"/>
          </w:tcPr>
          <w:p w14:paraId="7D03BFF5">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二氯甲烷</w:t>
            </w:r>
          </w:p>
        </w:tc>
        <w:tc>
          <w:tcPr>
            <w:tcW w:w="514" w:type="pct"/>
            <w:shd w:val="clear" w:color="auto" w:fill="auto"/>
            <w:noWrap w:val="0"/>
            <w:vAlign w:val="center"/>
          </w:tcPr>
          <w:p w14:paraId="7943222C">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mg/kg</w:t>
            </w:r>
          </w:p>
        </w:tc>
        <w:tc>
          <w:tcPr>
            <w:tcW w:w="772" w:type="pct"/>
            <w:shd w:val="clear" w:color="auto" w:fill="auto"/>
            <w:noWrap w:val="0"/>
            <w:vAlign w:val="center"/>
          </w:tcPr>
          <w:p w14:paraId="68DC2709">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ND</w:t>
            </w:r>
          </w:p>
        </w:tc>
        <w:tc>
          <w:tcPr>
            <w:tcW w:w="529" w:type="pct"/>
            <w:shd w:val="clear" w:color="auto" w:fill="auto"/>
            <w:noWrap w:val="0"/>
            <w:vAlign w:val="center"/>
          </w:tcPr>
          <w:p w14:paraId="114000E3">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0</w:t>
            </w:r>
          </w:p>
        </w:tc>
        <w:tc>
          <w:tcPr>
            <w:tcW w:w="525" w:type="pct"/>
            <w:shd w:val="clear" w:color="auto" w:fill="auto"/>
            <w:noWrap w:val="0"/>
            <w:vAlign w:val="center"/>
          </w:tcPr>
          <w:p w14:paraId="62AB6E51">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达标</w:t>
            </w:r>
          </w:p>
        </w:tc>
        <w:tc>
          <w:tcPr>
            <w:tcW w:w="644" w:type="pct"/>
            <w:shd w:val="clear" w:color="auto" w:fill="auto"/>
            <w:noWrap w:val="0"/>
            <w:vAlign w:val="center"/>
          </w:tcPr>
          <w:p w14:paraId="26A5EDBC">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616</w:t>
            </w:r>
          </w:p>
        </w:tc>
      </w:tr>
      <w:tr w14:paraId="647324A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7" w:type="dxa"/>
            <w:bottom w:w="0" w:type="dxa"/>
            <w:right w:w="17" w:type="dxa"/>
          </w:tblCellMar>
        </w:tblPrEx>
        <w:trPr>
          <w:trHeight w:val="23" w:hRule="atLeast"/>
          <w:jc w:val="center"/>
        </w:trPr>
        <w:tc>
          <w:tcPr>
            <w:tcW w:w="288" w:type="pct"/>
            <w:vMerge w:val="continue"/>
            <w:noWrap w:val="0"/>
            <w:vAlign w:val="center"/>
          </w:tcPr>
          <w:p w14:paraId="1ABAE16C">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none"/>
                <w:lang w:val="en-US" w:eastAsia="zh-CN"/>
              </w:rPr>
            </w:pPr>
          </w:p>
        </w:tc>
        <w:tc>
          <w:tcPr>
            <w:tcW w:w="586" w:type="pct"/>
            <w:vMerge w:val="continue"/>
            <w:shd w:val="clear" w:color="auto" w:fill="auto"/>
            <w:noWrap w:val="0"/>
            <w:vAlign w:val="center"/>
          </w:tcPr>
          <w:p w14:paraId="058B942C">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none"/>
                <w:lang w:val="en-US" w:eastAsia="zh-CN"/>
              </w:rPr>
            </w:pPr>
          </w:p>
        </w:tc>
        <w:tc>
          <w:tcPr>
            <w:tcW w:w="1139" w:type="pct"/>
            <w:shd w:val="clear" w:color="auto" w:fill="auto"/>
            <w:noWrap w:val="0"/>
            <w:vAlign w:val="center"/>
          </w:tcPr>
          <w:p w14:paraId="1D3D82E4">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反-1,2-二氯乙烯</w:t>
            </w:r>
          </w:p>
        </w:tc>
        <w:tc>
          <w:tcPr>
            <w:tcW w:w="514" w:type="pct"/>
            <w:shd w:val="clear" w:color="auto" w:fill="auto"/>
            <w:noWrap w:val="0"/>
            <w:vAlign w:val="center"/>
          </w:tcPr>
          <w:p w14:paraId="64AB344F">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mg/kg</w:t>
            </w:r>
          </w:p>
        </w:tc>
        <w:tc>
          <w:tcPr>
            <w:tcW w:w="772" w:type="pct"/>
            <w:shd w:val="clear" w:color="auto" w:fill="auto"/>
            <w:noWrap w:val="0"/>
            <w:vAlign w:val="center"/>
          </w:tcPr>
          <w:p w14:paraId="6E5A6799">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ND</w:t>
            </w:r>
          </w:p>
        </w:tc>
        <w:tc>
          <w:tcPr>
            <w:tcW w:w="529" w:type="pct"/>
            <w:shd w:val="clear" w:color="auto" w:fill="auto"/>
            <w:noWrap w:val="0"/>
            <w:vAlign w:val="center"/>
          </w:tcPr>
          <w:p w14:paraId="5332E67B">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0</w:t>
            </w:r>
          </w:p>
        </w:tc>
        <w:tc>
          <w:tcPr>
            <w:tcW w:w="525" w:type="pct"/>
            <w:shd w:val="clear" w:color="auto" w:fill="auto"/>
            <w:noWrap w:val="0"/>
            <w:vAlign w:val="center"/>
          </w:tcPr>
          <w:p w14:paraId="6F2551C9">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达标</w:t>
            </w:r>
          </w:p>
        </w:tc>
        <w:tc>
          <w:tcPr>
            <w:tcW w:w="644" w:type="pct"/>
            <w:shd w:val="clear" w:color="auto" w:fill="auto"/>
            <w:noWrap w:val="0"/>
            <w:vAlign w:val="center"/>
          </w:tcPr>
          <w:p w14:paraId="7DF69EA3">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54</w:t>
            </w:r>
          </w:p>
        </w:tc>
      </w:tr>
      <w:tr w14:paraId="64DB0C0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7" w:type="dxa"/>
            <w:bottom w:w="0" w:type="dxa"/>
            <w:right w:w="17" w:type="dxa"/>
          </w:tblCellMar>
        </w:tblPrEx>
        <w:trPr>
          <w:trHeight w:val="23" w:hRule="atLeast"/>
          <w:jc w:val="center"/>
        </w:trPr>
        <w:tc>
          <w:tcPr>
            <w:tcW w:w="288" w:type="pct"/>
            <w:vMerge w:val="continue"/>
            <w:noWrap w:val="0"/>
            <w:vAlign w:val="center"/>
          </w:tcPr>
          <w:p w14:paraId="79468D52">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none"/>
                <w:lang w:val="en-US" w:eastAsia="zh-CN"/>
              </w:rPr>
            </w:pPr>
          </w:p>
        </w:tc>
        <w:tc>
          <w:tcPr>
            <w:tcW w:w="586" w:type="pct"/>
            <w:vMerge w:val="continue"/>
            <w:shd w:val="clear" w:color="auto" w:fill="auto"/>
            <w:noWrap w:val="0"/>
            <w:vAlign w:val="center"/>
          </w:tcPr>
          <w:p w14:paraId="239AEF93">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none"/>
                <w:lang w:val="en-US" w:eastAsia="zh-CN"/>
              </w:rPr>
            </w:pPr>
          </w:p>
        </w:tc>
        <w:tc>
          <w:tcPr>
            <w:tcW w:w="1139" w:type="pct"/>
            <w:shd w:val="clear" w:color="auto" w:fill="auto"/>
            <w:noWrap w:val="0"/>
            <w:vAlign w:val="center"/>
          </w:tcPr>
          <w:p w14:paraId="3301D318">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1,1-二氯乙烷</w:t>
            </w:r>
          </w:p>
        </w:tc>
        <w:tc>
          <w:tcPr>
            <w:tcW w:w="514" w:type="pct"/>
            <w:shd w:val="clear" w:color="auto" w:fill="auto"/>
            <w:noWrap w:val="0"/>
            <w:vAlign w:val="center"/>
          </w:tcPr>
          <w:p w14:paraId="3C292BA7">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mg/kg</w:t>
            </w:r>
          </w:p>
        </w:tc>
        <w:tc>
          <w:tcPr>
            <w:tcW w:w="772" w:type="pct"/>
            <w:shd w:val="clear" w:color="auto" w:fill="auto"/>
            <w:noWrap w:val="0"/>
            <w:vAlign w:val="center"/>
          </w:tcPr>
          <w:p w14:paraId="5D27B15F">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ND</w:t>
            </w:r>
          </w:p>
        </w:tc>
        <w:tc>
          <w:tcPr>
            <w:tcW w:w="529" w:type="pct"/>
            <w:shd w:val="clear" w:color="auto" w:fill="auto"/>
            <w:noWrap w:val="0"/>
            <w:vAlign w:val="center"/>
          </w:tcPr>
          <w:p w14:paraId="124450A2">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0</w:t>
            </w:r>
          </w:p>
        </w:tc>
        <w:tc>
          <w:tcPr>
            <w:tcW w:w="525" w:type="pct"/>
            <w:shd w:val="clear" w:color="auto" w:fill="auto"/>
            <w:noWrap w:val="0"/>
            <w:vAlign w:val="center"/>
          </w:tcPr>
          <w:p w14:paraId="07C4AD5D">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达标</w:t>
            </w:r>
          </w:p>
        </w:tc>
        <w:tc>
          <w:tcPr>
            <w:tcW w:w="644" w:type="pct"/>
            <w:shd w:val="clear" w:color="auto" w:fill="auto"/>
            <w:noWrap w:val="0"/>
            <w:vAlign w:val="center"/>
          </w:tcPr>
          <w:p w14:paraId="627033EE">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9</w:t>
            </w:r>
          </w:p>
        </w:tc>
      </w:tr>
      <w:tr w14:paraId="3F6E293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7" w:type="dxa"/>
            <w:bottom w:w="0" w:type="dxa"/>
            <w:right w:w="17" w:type="dxa"/>
          </w:tblCellMar>
        </w:tblPrEx>
        <w:trPr>
          <w:trHeight w:val="23" w:hRule="atLeast"/>
          <w:jc w:val="center"/>
        </w:trPr>
        <w:tc>
          <w:tcPr>
            <w:tcW w:w="288" w:type="pct"/>
            <w:vMerge w:val="continue"/>
            <w:noWrap w:val="0"/>
            <w:vAlign w:val="center"/>
          </w:tcPr>
          <w:p w14:paraId="6098C19B">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none"/>
                <w:lang w:val="en-US" w:eastAsia="zh-CN"/>
              </w:rPr>
            </w:pPr>
          </w:p>
        </w:tc>
        <w:tc>
          <w:tcPr>
            <w:tcW w:w="586" w:type="pct"/>
            <w:vMerge w:val="continue"/>
            <w:shd w:val="clear" w:color="auto" w:fill="auto"/>
            <w:noWrap w:val="0"/>
            <w:vAlign w:val="center"/>
          </w:tcPr>
          <w:p w14:paraId="1648DB0E">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none"/>
                <w:lang w:val="en-US" w:eastAsia="zh-CN"/>
              </w:rPr>
            </w:pPr>
          </w:p>
        </w:tc>
        <w:tc>
          <w:tcPr>
            <w:tcW w:w="1139" w:type="pct"/>
            <w:shd w:val="clear" w:color="auto" w:fill="auto"/>
            <w:noWrap w:val="0"/>
            <w:vAlign w:val="center"/>
          </w:tcPr>
          <w:p w14:paraId="6080E756">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顺-1,2-二氯乙烯</w:t>
            </w:r>
          </w:p>
        </w:tc>
        <w:tc>
          <w:tcPr>
            <w:tcW w:w="514" w:type="pct"/>
            <w:shd w:val="clear" w:color="auto" w:fill="auto"/>
            <w:noWrap w:val="0"/>
            <w:vAlign w:val="center"/>
          </w:tcPr>
          <w:p w14:paraId="49BDDC74">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mg/kg</w:t>
            </w:r>
          </w:p>
        </w:tc>
        <w:tc>
          <w:tcPr>
            <w:tcW w:w="772" w:type="pct"/>
            <w:shd w:val="clear" w:color="auto" w:fill="auto"/>
            <w:noWrap w:val="0"/>
            <w:vAlign w:val="center"/>
          </w:tcPr>
          <w:p w14:paraId="13A4E6A6">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ND</w:t>
            </w:r>
          </w:p>
        </w:tc>
        <w:tc>
          <w:tcPr>
            <w:tcW w:w="529" w:type="pct"/>
            <w:shd w:val="clear" w:color="auto" w:fill="auto"/>
            <w:noWrap w:val="0"/>
            <w:vAlign w:val="center"/>
          </w:tcPr>
          <w:p w14:paraId="424B4FEC">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0</w:t>
            </w:r>
          </w:p>
        </w:tc>
        <w:tc>
          <w:tcPr>
            <w:tcW w:w="525" w:type="pct"/>
            <w:shd w:val="clear" w:color="auto" w:fill="auto"/>
            <w:noWrap w:val="0"/>
            <w:vAlign w:val="center"/>
          </w:tcPr>
          <w:p w14:paraId="0D329D0D">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达标</w:t>
            </w:r>
          </w:p>
        </w:tc>
        <w:tc>
          <w:tcPr>
            <w:tcW w:w="644" w:type="pct"/>
            <w:shd w:val="clear" w:color="auto" w:fill="auto"/>
            <w:noWrap w:val="0"/>
            <w:vAlign w:val="center"/>
          </w:tcPr>
          <w:p w14:paraId="42A75B2D">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596</w:t>
            </w:r>
          </w:p>
        </w:tc>
      </w:tr>
      <w:tr w14:paraId="6ED92B9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7" w:type="dxa"/>
            <w:bottom w:w="0" w:type="dxa"/>
            <w:right w:w="17" w:type="dxa"/>
          </w:tblCellMar>
        </w:tblPrEx>
        <w:trPr>
          <w:trHeight w:val="23" w:hRule="atLeast"/>
          <w:jc w:val="center"/>
        </w:trPr>
        <w:tc>
          <w:tcPr>
            <w:tcW w:w="288" w:type="pct"/>
            <w:vMerge w:val="continue"/>
            <w:noWrap w:val="0"/>
            <w:vAlign w:val="center"/>
          </w:tcPr>
          <w:p w14:paraId="5DD288BB">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none"/>
                <w:lang w:val="en-US" w:eastAsia="zh-CN"/>
              </w:rPr>
            </w:pPr>
          </w:p>
        </w:tc>
        <w:tc>
          <w:tcPr>
            <w:tcW w:w="586" w:type="pct"/>
            <w:vMerge w:val="continue"/>
            <w:shd w:val="clear" w:color="auto" w:fill="auto"/>
            <w:noWrap w:val="0"/>
            <w:vAlign w:val="center"/>
          </w:tcPr>
          <w:p w14:paraId="6506F7B5">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none"/>
                <w:lang w:val="en-US" w:eastAsia="zh-CN"/>
              </w:rPr>
            </w:pPr>
          </w:p>
        </w:tc>
        <w:tc>
          <w:tcPr>
            <w:tcW w:w="1139" w:type="pct"/>
            <w:shd w:val="clear" w:color="auto" w:fill="auto"/>
            <w:noWrap w:val="0"/>
            <w:vAlign w:val="center"/>
          </w:tcPr>
          <w:p w14:paraId="14BDD3A2">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氯仿</w:t>
            </w:r>
          </w:p>
        </w:tc>
        <w:tc>
          <w:tcPr>
            <w:tcW w:w="514" w:type="pct"/>
            <w:shd w:val="clear" w:color="auto" w:fill="auto"/>
            <w:noWrap w:val="0"/>
            <w:vAlign w:val="center"/>
          </w:tcPr>
          <w:p w14:paraId="25B6D8D4">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mg/kg</w:t>
            </w:r>
          </w:p>
        </w:tc>
        <w:tc>
          <w:tcPr>
            <w:tcW w:w="772" w:type="pct"/>
            <w:shd w:val="clear" w:color="auto" w:fill="auto"/>
            <w:noWrap w:val="0"/>
            <w:vAlign w:val="center"/>
          </w:tcPr>
          <w:p w14:paraId="5429CE58">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ND</w:t>
            </w:r>
          </w:p>
        </w:tc>
        <w:tc>
          <w:tcPr>
            <w:tcW w:w="529" w:type="pct"/>
            <w:shd w:val="clear" w:color="auto" w:fill="auto"/>
            <w:noWrap w:val="0"/>
            <w:vAlign w:val="center"/>
          </w:tcPr>
          <w:p w14:paraId="1FADEC09">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0</w:t>
            </w:r>
          </w:p>
        </w:tc>
        <w:tc>
          <w:tcPr>
            <w:tcW w:w="525" w:type="pct"/>
            <w:shd w:val="clear" w:color="auto" w:fill="auto"/>
            <w:noWrap w:val="0"/>
            <w:vAlign w:val="center"/>
          </w:tcPr>
          <w:p w14:paraId="2CD9ADC6">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达标</w:t>
            </w:r>
          </w:p>
        </w:tc>
        <w:tc>
          <w:tcPr>
            <w:tcW w:w="644" w:type="pct"/>
            <w:shd w:val="clear" w:color="auto" w:fill="auto"/>
            <w:noWrap w:val="0"/>
            <w:vAlign w:val="center"/>
          </w:tcPr>
          <w:p w14:paraId="3B25E875">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0.9</w:t>
            </w:r>
          </w:p>
        </w:tc>
      </w:tr>
      <w:tr w14:paraId="6101C3F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7" w:type="dxa"/>
            <w:bottom w:w="0" w:type="dxa"/>
            <w:right w:w="17" w:type="dxa"/>
          </w:tblCellMar>
        </w:tblPrEx>
        <w:trPr>
          <w:trHeight w:val="23" w:hRule="atLeast"/>
          <w:jc w:val="center"/>
        </w:trPr>
        <w:tc>
          <w:tcPr>
            <w:tcW w:w="288" w:type="pct"/>
            <w:vMerge w:val="continue"/>
            <w:noWrap w:val="0"/>
            <w:vAlign w:val="center"/>
          </w:tcPr>
          <w:p w14:paraId="63DD986D">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none"/>
                <w:lang w:val="en-US" w:eastAsia="zh-CN"/>
              </w:rPr>
            </w:pPr>
          </w:p>
        </w:tc>
        <w:tc>
          <w:tcPr>
            <w:tcW w:w="586" w:type="pct"/>
            <w:vMerge w:val="continue"/>
            <w:shd w:val="clear" w:color="auto" w:fill="auto"/>
            <w:noWrap w:val="0"/>
            <w:vAlign w:val="center"/>
          </w:tcPr>
          <w:p w14:paraId="1109C8ED">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none"/>
                <w:lang w:val="en-US" w:eastAsia="zh-CN"/>
              </w:rPr>
            </w:pPr>
          </w:p>
        </w:tc>
        <w:tc>
          <w:tcPr>
            <w:tcW w:w="1139" w:type="pct"/>
            <w:shd w:val="clear" w:color="auto" w:fill="auto"/>
            <w:noWrap w:val="0"/>
            <w:vAlign w:val="center"/>
          </w:tcPr>
          <w:p w14:paraId="4298D0E7">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1,1,1-三氯乙烷</w:t>
            </w:r>
          </w:p>
        </w:tc>
        <w:tc>
          <w:tcPr>
            <w:tcW w:w="514" w:type="pct"/>
            <w:shd w:val="clear" w:color="auto" w:fill="auto"/>
            <w:noWrap w:val="0"/>
            <w:vAlign w:val="center"/>
          </w:tcPr>
          <w:p w14:paraId="212B1CF7">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mg/kg</w:t>
            </w:r>
          </w:p>
        </w:tc>
        <w:tc>
          <w:tcPr>
            <w:tcW w:w="772" w:type="pct"/>
            <w:shd w:val="clear" w:color="auto" w:fill="auto"/>
            <w:noWrap w:val="0"/>
            <w:vAlign w:val="center"/>
          </w:tcPr>
          <w:p w14:paraId="29C78836">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ND</w:t>
            </w:r>
          </w:p>
        </w:tc>
        <w:tc>
          <w:tcPr>
            <w:tcW w:w="529" w:type="pct"/>
            <w:shd w:val="clear" w:color="auto" w:fill="auto"/>
            <w:noWrap w:val="0"/>
            <w:vAlign w:val="center"/>
          </w:tcPr>
          <w:p w14:paraId="73B39201">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0</w:t>
            </w:r>
          </w:p>
        </w:tc>
        <w:tc>
          <w:tcPr>
            <w:tcW w:w="525" w:type="pct"/>
            <w:shd w:val="clear" w:color="auto" w:fill="auto"/>
            <w:noWrap w:val="0"/>
            <w:vAlign w:val="center"/>
          </w:tcPr>
          <w:p w14:paraId="02DF2AA4">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达标</w:t>
            </w:r>
          </w:p>
        </w:tc>
        <w:tc>
          <w:tcPr>
            <w:tcW w:w="644" w:type="pct"/>
            <w:shd w:val="clear" w:color="auto" w:fill="auto"/>
            <w:noWrap w:val="0"/>
            <w:vAlign w:val="center"/>
          </w:tcPr>
          <w:p w14:paraId="39BB628F">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840</w:t>
            </w:r>
          </w:p>
        </w:tc>
      </w:tr>
      <w:tr w14:paraId="2831A63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7" w:type="dxa"/>
            <w:bottom w:w="0" w:type="dxa"/>
            <w:right w:w="17" w:type="dxa"/>
          </w:tblCellMar>
        </w:tblPrEx>
        <w:trPr>
          <w:trHeight w:val="23" w:hRule="atLeast"/>
          <w:jc w:val="center"/>
        </w:trPr>
        <w:tc>
          <w:tcPr>
            <w:tcW w:w="288" w:type="pct"/>
            <w:vMerge w:val="continue"/>
            <w:noWrap w:val="0"/>
            <w:vAlign w:val="center"/>
          </w:tcPr>
          <w:p w14:paraId="6B6C6193">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none"/>
                <w:lang w:val="en-US" w:eastAsia="zh-CN"/>
              </w:rPr>
            </w:pPr>
          </w:p>
        </w:tc>
        <w:tc>
          <w:tcPr>
            <w:tcW w:w="586" w:type="pct"/>
            <w:vMerge w:val="continue"/>
            <w:shd w:val="clear" w:color="auto" w:fill="auto"/>
            <w:noWrap w:val="0"/>
            <w:vAlign w:val="center"/>
          </w:tcPr>
          <w:p w14:paraId="658B5893">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none"/>
                <w:lang w:val="en-US" w:eastAsia="zh-CN"/>
              </w:rPr>
            </w:pPr>
          </w:p>
        </w:tc>
        <w:tc>
          <w:tcPr>
            <w:tcW w:w="1139" w:type="pct"/>
            <w:shd w:val="clear" w:color="auto" w:fill="auto"/>
            <w:noWrap w:val="0"/>
            <w:vAlign w:val="center"/>
          </w:tcPr>
          <w:p w14:paraId="55EA5868">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四氯化碳</w:t>
            </w:r>
          </w:p>
        </w:tc>
        <w:tc>
          <w:tcPr>
            <w:tcW w:w="514" w:type="pct"/>
            <w:shd w:val="clear" w:color="auto" w:fill="auto"/>
            <w:noWrap w:val="0"/>
            <w:vAlign w:val="center"/>
          </w:tcPr>
          <w:p w14:paraId="73CFFFCB">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mg/kg</w:t>
            </w:r>
          </w:p>
        </w:tc>
        <w:tc>
          <w:tcPr>
            <w:tcW w:w="772" w:type="pct"/>
            <w:shd w:val="clear" w:color="auto" w:fill="auto"/>
            <w:noWrap w:val="0"/>
            <w:vAlign w:val="center"/>
          </w:tcPr>
          <w:p w14:paraId="712BAD05">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ND</w:t>
            </w:r>
          </w:p>
        </w:tc>
        <w:tc>
          <w:tcPr>
            <w:tcW w:w="529" w:type="pct"/>
            <w:shd w:val="clear" w:color="auto" w:fill="auto"/>
            <w:noWrap w:val="0"/>
            <w:vAlign w:val="center"/>
          </w:tcPr>
          <w:p w14:paraId="2A1175ED">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0</w:t>
            </w:r>
          </w:p>
        </w:tc>
        <w:tc>
          <w:tcPr>
            <w:tcW w:w="525" w:type="pct"/>
            <w:shd w:val="clear" w:color="auto" w:fill="auto"/>
            <w:noWrap w:val="0"/>
            <w:vAlign w:val="center"/>
          </w:tcPr>
          <w:p w14:paraId="4D80FF8C">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达标</w:t>
            </w:r>
          </w:p>
        </w:tc>
        <w:tc>
          <w:tcPr>
            <w:tcW w:w="644" w:type="pct"/>
            <w:shd w:val="clear" w:color="auto" w:fill="auto"/>
            <w:noWrap w:val="0"/>
            <w:vAlign w:val="center"/>
          </w:tcPr>
          <w:p w14:paraId="5B687277">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2.8</w:t>
            </w:r>
          </w:p>
        </w:tc>
      </w:tr>
      <w:tr w14:paraId="5857C8D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7" w:type="dxa"/>
            <w:bottom w:w="0" w:type="dxa"/>
            <w:right w:w="17" w:type="dxa"/>
          </w:tblCellMar>
        </w:tblPrEx>
        <w:trPr>
          <w:trHeight w:val="23" w:hRule="atLeast"/>
          <w:jc w:val="center"/>
        </w:trPr>
        <w:tc>
          <w:tcPr>
            <w:tcW w:w="288" w:type="pct"/>
            <w:vMerge w:val="continue"/>
            <w:noWrap w:val="0"/>
            <w:vAlign w:val="center"/>
          </w:tcPr>
          <w:p w14:paraId="0C03BFEA">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none"/>
                <w:lang w:val="en-US" w:eastAsia="zh-CN"/>
              </w:rPr>
            </w:pPr>
          </w:p>
        </w:tc>
        <w:tc>
          <w:tcPr>
            <w:tcW w:w="586" w:type="pct"/>
            <w:vMerge w:val="continue"/>
            <w:shd w:val="clear" w:color="auto" w:fill="auto"/>
            <w:noWrap w:val="0"/>
            <w:vAlign w:val="center"/>
          </w:tcPr>
          <w:p w14:paraId="1B7F92D7">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none"/>
                <w:lang w:val="en-US" w:eastAsia="zh-CN"/>
              </w:rPr>
            </w:pPr>
          </w:p>
        </w:tc>
        <w:tc>
          <w:tcPr>
            <w:tcW w:w="1139" w:type="pct"/>
            <w:shd w:val="clear" w:color="auto" w:fill="auto"/>
            <w:noWrap w:val="0"/>
            <w:vAlign w:val="center"/>
          </w:tcPr>
          <w:p w14:paraId="60C8F286">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苯</w:t>
            </w:r>
          </w:p>
        </w:tc>
        <w:tc>
          <w:tcPr>
            <w:tcW w:w="514" w:type="pct"/>
            <w:shd w:val="clear" w:color="auto" w:fill="auto"/>
            <w:noWrap w:val="0"/>
            <w:vAlign w:val="center"/>
          </w:tcPr>
          <w:p w14:paraId="3F648A48">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mg/kg</w:t>
            </w:r>
          </w:p>
        </w:tc>
        <w:tc>
          <w:tcPr>
            <w:tcW w:w="772" w:type="pct"/>
            <w:shd w:val="clear" w:color="auto" w:fill="auto"/>
            <w:noWrap w:val="0"/>
            <w:vAlign w:val="center"/>
          </w:tcPr>
          <w:p w14:paraId="3B6A7B97">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ND</w:t>
            </w:r>
          </w:p>
        </w:tc>
        <w:tc>
          <w:tcPr>
            <w:tcW w:w="529" w:type="pct"/>
            <w:shd w:val="clear" w:color="auto" w:fill="auto"/>
            <w:noWrap w:val="0"/>
            <w:vAlign w:val="center"/>
          </w:tcPr>
          <w:p w14:paraId="04B5D20E">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0</w:t>
            </w:r>
          </w:p>
        </w:tc>
        <w:tc>
          <w:tcPr>
            <w:tcW w:w="525" w:type="pct"/>
            <w:shd w:val="clear" w:color="auto" w:fill="auto"/>
            <w:noWrap w:val="0"/>
            <w:vAlign w:val="center"/>
          </w:tcPr>
          <w:p w14:paraId="77BD7D7A">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达标</w:t>
            </w:r>
          </w:p>
        </w:tc>
        <w:tc>
          <w:tcPr>
            <w:tcW w:w="644" w:type="pct"/>
            <w:shd w:val="clear" w:color="auto" w:fill="auto"/>
            <w:noWrap w:val="0"/>
            <w:vAlign w:val="center"/>
          </w:tcPr>
          <w:p w14:paraId="5531141A">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4</w:t>
            </w:r>
          </w:p>
        </w:tc>
      </w:tr>
      <w:tr w14:paraId="3E78440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7" w:type="dxa"/>
            <w:bottom w:w="0" w:type="dxa"/>
            <w:right w:w="17" w:type="dxa"/>
          </w:tblCellMar>
        </w:tblPrEx>
        <w:trPr>
          <w:trHeight w:val="23" w:hRule="atLeast"/>
          <w:jc w:val="center"/>
        </w:trPr>
        <w:tc>
          <w:tcPr>
            <w:tcW w:w="288" w:type="pct"/>
            <w:vMerge w:val="continue"/>
            <w:noWrap w:val="0"/>
            <w:vAlign w:val="center"/>
          </w:tcPr>
          <w:p w14:paraId="5FE54EAF">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none"/>
                <w:lang w:val="en-US" w:eastAsia="zh-CN"/>
              </w:rPr>
            </w:pPr>
          </w:p>
        </w:tc>
        <w:tc>
          <w:tcPr>
            <w:tcW w:w="586" w:type="pct"/>
            <w:vMerge w:val="continue"/>
            <w:shd w:val="clear" w:color="auto" w:fill="auto"/>
            <w:noWrap w:val="0"/>
            <w:vAlign w:val="center"/>
          </w:tcPr>
          <w:p w14:paraId="0C9FEF70">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none"/>
                <w:lang w:val="en-US" w:eastAsia="zh-CN"/>
              </w:rPr>
            </w:pPr>
          </w:p>
        </w:tc>
        <w:tc>
          <w:tcPr>
            <w:tcW w:w="1139" w:type="pct"/>
            <w:shd w:val="clear" w:color="auto" w:fill="auto"/>
            <w:noWrap w:val="0"/>
            <w:vAlign w:val="center"/>
          </w:tcPr>
          <w:p w14:paraId="1E1BFAF5">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1,2-二氯乙烷</w:t>
            </w:r>
          </w:p>
        </w:tc>
        <w:tc>
          <w:tcPr>
            <w:tcW w:w="514" w:type="pct"/>
            <w:shd w:val="clear" w:color="auto" w:fill="auto"/>
            <w:noWrap w:val="0"/>
            <w:vAlign w:val="center"/>
          </w:tcPr>
          <w:p w14:paraId="457280CA">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mg/kg</w:t>
            </w:r>
          </w:p>
        </w:tc>
        <w:tc>
          <w:tcPr>
            <w:tcW w:w="772" w:type="pct"/>
            <w:shd w:val="clear" w:color="auto" w:fill="auto"/>
            <w:noWrap w:val="0"/>
            <w:vAlign w:val="center"/>
          </w:tcPr>
          <w:p w14:paraId="03A3D5F0">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ND</w:t>
            </w:r>
          </w:p>
        </w:tc>
        <w:tc>
          <w:tcPr>
            <w:tcW w:w="529" w:type="pct"/>
            <w:shd w:val="clear" w:color="auto" w:fill="auto"/>
            <w:noWrap w:val="0"/>
            <w:vAlign w:val="center"/>
          </w:tcPr>
          <w:p w14:paraId="6E54EC41">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0</w:t>
            </w:r>
          </w:p>
        </w:tc>
        <w:tc>
          <w:tcPr>
            <w:tcW w:w="525" w:type="pct"/>
            <w:shd w:val="clear" w:color="auto" w:fill="auto"/>
            <w:noWrap w:val="0"/>
            <w:vAlign w:val="center"/>
          </w:tcPr>
          <w:p w14:paraId="6F86F064">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达标</w:t>
            </w:r>
          </w:p>
        </w:tc>
        <w:tc>
          <w:tcPr>
            <w:tcW w:w="644" w:type="pct"/>
            <w:shd w:val="clear" w:color="auto" w:fill="auto"/>
            <w:noWrap w:val="0"/>
            <w:vAlign w:val="center"/>
          </w:tcPr>
          <w:p w14:paraId="66E156EA">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5</w:t>
            </w:r>
          </w:p>
        </w:tc>
      </w:tr>
      <w:tr w14:paraId="1D2626B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7" w:type="dxa"/>
            <w:bottom w:w="0" w:type="dxa"/>
            <w:right w:w="17" w:type="dxa"/>
          </w:tblCellMar>
        </w:tblPrEx>
        <w:trPr>
          <w:trHeight w:val="23" w:hRule="atLeast"/>
          <w:jc w:val="center"/>
        </w:trPr>
        <w:tc>
          <w:tcPr>
            <w:tcW w:w="288" w:type="pct"/>
            <w:vMerge w:val="continue"/>
            <w:noWrap w:val="0"/>
            <w:vAlign w:val="center"/>
          </w:tcPr>
          <w:p w14:paraId="0A51AB44">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none"/>
                <w:lang w:val="en-US" w:eastAsia="zh-CN"/>
              </w:rPr>
            </w:pPr>
          </w:p>
        </w:tc>
        <w:tc>
          <w:tcPr>
            <w:tcW w:w="586" w:type="pct"/>
            <w:vMerge w:val="continue"/>
            <w:shd w:val="clear" w:color="auto" w:fill="auto"/>
            <w:noWrap w:val="0"/>
            <w:vAlign w:val="center"/>
          </w:tcPr>
          <w:p w14:paraId="6D5396D0">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none"/>
                <w:lang w:val="en-US" w:eastAsia="zh-CN"/>
              </w:rPr>
            </w:pPr>
          </w:p>
        </w:tc>
        <w:tc>
          <w:tcPr>
            <w:tcW w:w="1139" w:type="pct"/>
            <w:shd w:val="clear" w:color="auto" w:fill="auto"/>
            <w:noWrap w:val="0"/>
            <w:vAlign w:val="center"/>
          </w:tcPr>
          <w:p w14:paraId="68A42A3B">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三氯乙烯</w:t>
            </w:r>
          </w:p>
        </w:tc>
        <w:tc>
          <w:tcPr>
            <w:tcW w:w="514" w:type="pct"/>
            <w:shd w:val="clear" w:color="auto" w:fill="auto"/>
            <w:noWrap w:val="0"/>
            <w:vAlign w:val="center"/>
          </w:tcPr>
          <w:p w14:paraId="1292AEDE">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mg/kg</w:t>
            </w:r>
          </w:p>
        </w:tc>
        <w:tc>
          <w:tcPr>
            <w:tcW w:w="772" w:type="pct"/>
            <w:shd w:val="clear" w:color="auto" w:fill="auto"/>
            <w:noWrap w:val="0"/>
            <w:vAlign w:val="center"/>
          </w:tcPr>
          <w:p w14:paraId="7E0E0193">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ND</w:t>
            </w:r>
          </w:p>
        </w:tc>
        <w:tc>
          <w:tcPr>
            <w:tcW w:w="529" w:type="pct"/>
            <w:shd w:val="clear" w:color="auto" w:fill="auto"/>
            <w:noWrap w:val="0"/>
            <w:vAlign w:val="center"/>
          </w:tcPr>
          <w:p w14:paraId="1B0A6C31">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0</w:t>
            </w:r>
          </w:p>
        </w:tc>
        <w:tc>
          <w:tcPr>
            <w:tcW w:w="525" w:type="pct"/>
            <w:shd w:val="clear" w:color="auto" w:fill="auto"/>
            <w:noWrap w:val="0"/>
            <w:vAlign w:val="center"/>
          </w:tcPr>
          <w:p w14:paraId="546E176E">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达标</w:t>
            </w:r>
          </w:p>
        </w:tc>
        <w:tc>
          <w:tcPr>
            <w:tcW w:w="644" w:type="pct"/>
            <w:shd w:val="clear" w:color="auto" w:fill="auto"/>
            <w:noWrap w:val="0"/>
            <w:vAlign w:val="center"/>
          </w:tcPr>
          <w:p w14:paraId="39CA8EC2">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2.8</w:t>
            </w:r>
          </w:p>
        </w:tc>
      </w:tr>
      <w:tr w14:paraId="090423B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7" w:type="dxa"/>
            <w:bottom w:w="0" w:type="dxa"/>
            <w:right w:w="17" w:type="dxa"/>
          </w:tblCellMar>
        </w:tblPrEx>
        <w:trPr>
          <w:trHeight w:val="23" w:hRule="atLeast"/>
          <w:jc w:val="center"/>
        </w:trPr>
        <w:tc>
          <w:tcPr>
            <w:tcW w:w="288" w:type="pct"/>
            <w:vMerge w:val="continue"/>
            <w:noWrap w:val="0"/>
            <w:vAlign w:val="center"/>
          </w:tcPr>
          <w:p w14:paraId="29F1ECC2">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none"/>
                <w:lang w:val="en-US" w:eastAsia="zh-CN"/>
              </w:rPr>
            </w:pPr>
          </w:p>
        </w:tc>
        <w:tc>
          <w:tcPr>
            <w:tcW w:w="586" w:type="pct"/>
            <w:vMerge w:val="continue"/>
            <w:shd w:val="clear" w:color="auto" w:fill="auto"/>
            <w:noWrap w:val="0"/>
            <w:vAlign w:val="center"/>
          </w:tcPr>
          <w:p w14:paraId="368FB948">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none"/>
                <w:lang w:val="en-US" w:eastAsia="zh-CN"/>
              </w:rPr>
            </w:pPr>
          </w:p>
        </w:tc>
        <w:tc>
          <w:tcPr>
            <w:tcW w:w="1139" w:type="pct"/>
            <w:shd w:val="clear" w:color="auto" w:fill="auto"/>
            <w:noWrap w:val="0"/>
            <w:vAlign w:val="center"/>
          </w:tcPr>
          <w:p w14:paraId="4A93E89F">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1,2-二氯丙烷</w:t>
            </w:r>
          </w:p>
        </w:tc>
        <w:tc>
          <w:tcPr>
            <w:tcW w:w="514" w:type="pct"/>
            <w:shd w:val="clear" w:color="auto" w:fill="auto"/>
            <w:noWrap w:val="0"/>
            <w:vAlign w:val="center"/>
          </w:tcPr>
          <w:p w14:paraId="23035013">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mg/kg</w:t>
            </w:r>
          </w:p>
        </w:tc>
        <w:tc>
          <w:tcPr>
            <w:tcW w:w="772" w:type="pct"/>
            <w:shd w:val="clear" w:color="auto" w:fill="auto"/>
            <w:noWrap w:val="0"/>
            <w:vAlign w:val="center"/>
          </w:tcPr>
          <w:p w14:paraId="3473C424">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ND</w:t>
            </w:r>
          </w:p>
        </w:tc>
        <w:tc>
          <w:tcPr>
            <w:tcW w:w="529" w:type="pct"/>
            <w:shd w:val="clear" w:color="auto" w:fill="auto"/>
            <w:noWrap w:val="0"/>
            <w:vAlign w:val="center"/>
          </w:tcPr>
          <w:p w14:paraId="7D0E30FB">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0</w:t>
            </w:r>
          </w:p>
        </w:tc>
        <w:tc>
          <w:tcPr>
            <w:tcW w:w="525" w:type="pct"/>
            <w:shd w:val="clear" w:color="auto" w:fill="auto"/>
            <w:noWrap w:val="0"/>
            <w:vAlign w:val="center"/>
          </w:tcPr>
          <w:p w14:paraId="3F114582">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达标</w:t>
            </w:r>
          </w:p>
        </w:tc>
        <w:tc>
          <w:tcPr>
            <w:tcW w:w="644" w:type="pct"/>
            <w:shd w:val="clear" w:color="auto" w:fill="auto"/>
            <w:noWrap w:val="0"/>
            <w:vAlign w:val="center"/>
          </w:tcPr>
          <w:p w14:paraId="4F80596A">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5</w:t>
            </w:r>
          </w:p>
        </w:tc>
      </w:tr>
      <w:tr w14:paraId="308E8DF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7" w:type="dxa"/>
            <w:bottom w:w="0" w:type="dxa"/>
            <w:right w:w="17" w:type="dxa"/>
          </w:tblCellMar>
        </w:tblPrEx>
        <w:trPr>
          <w:trHeight w:val="23" w:hRule="atLeast"/>
          <w:jc w:val="center"/>
        </w:trPr>
        <w:tc>
          <w:tcPr>
            <w:tcW w:w="288" w:type="pct"/>
            <w:vMerge w:val="continue"/>
            <w:noWrap w:val="0"/>
            <w:vAlign w:val="center"/>
          </w:tcPr>
          <w:p w14:paraId="66F490AD">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none"/>
                <w:lang w:val="en-US" w:eastAsia="zh-CN"/>
              </w:rPr>
            </w:pPr>
          </w:p>
        </w:tc>
        <w:tc>
          <w:tcPr>
            <w:tcW w:w="586" w:type="pct"/>
            <w:vMerge w:val="continue"/>
            <w:shd w:val="clear" w:color="auto" w:fill="auto"/>
            <w:noWrap w:val="0"/>
            <w:vAlign w:val="center"/>
          </w:tcPr>
          <w:p w14:paraId="776CB6C7">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none"/>
                <w:lang w:val="en-US" w:eastAsia="zh-CN"/>
              </w:rPr>
            </w:pPr>
          </w:p>
        </w:tc>
        <w:tc>
          <w:tcPr>
            <w:tcW w:w="1139" w:type="pct"/>
            <w:shd w:val="clear" w:color="auto" w:fill="auto"/>
            <w:noWrap w:val="0"/>
            <w:vAlign w:val="center"/>
          </w:tcPr>
          <w:p w14:paraId="6C14B5EE">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甲苯</w:t>
            </w:r>
          </w:p>
        </w:tc>
        <w:tc>
          <w:tcPr>
            <w:tcW w:w="514" w:type="pct"/>
            <w:shd w:val="clear" w:color="auto" w:fill="auto"/>
            <w:noWrap w:val="0"/>
            <w:vAlign w:val="center"/>
          </w:tcPr>
          <w:p w14:paraId="4D111C66">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mg/kg</w:t>
            </w:r>
          </w:p>
        </w:tc>
        <w:tc>
          <w:tcPr>
            <w:tcW w:w="772" w:type="pct"/>
            <w:shd w:val="clear" w:color="auto" w:fill="auto"/>
            <w:noWrap w:val="0"/>
            <w:vAlign w:val="center"/>
          </w:tcPr>
          <w:p w14:paraId="2284507B">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ND</w:t>
            </w:r>
          </w:p>
        </w:tc>
        <w:tc>
          <w:tcPr>
            <w:tcW w:w="529" w:type="pct"/>
            <w:shd w:val="clear" w:color="auto" w:fill="auto"/>
            <w:noWrap w:val="0"/>
            <w:vAlign w:val="center"/>
          </w:tcPr>
          <w:p w14:paraId="7A18744D">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0</w:t>
            </w:r>
          </w:p>
        </w:tc>
        <w:tc>
          <w:tcPr>
            <w:tcW w:w="525" w:type="pct"/>
            <w:shd w:val="clear" w:color="auto" w:fill="auto"/>
            <w:noWrap w:val="0"/>
            <w:vAlign w:val="center"/>
          </w:tcPr>
          <w:p w14:paraId="300947C9">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达标</w:t>
            </w:r>
          </w:p>
        </w:tc>
        <w:tc>
          <w:tcPr>
            <w:tcW w:w="644" w:type="pct"/>
            <w:shd w:val="clear" w:color="auto" w:fill="auto"/>
            <w:noWrap w:val="0"/>
            <w:vAlign w:val="center"/>
          </w:tcPr>
          <w:p w14:paraId="4A330AFB">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1200</w:t>
            </w:r>
          </w:p>
        </w:tc>
      </w:tr>
      <w:tr w14:paraId="1BAE1A1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7" w:type="dxa"/>
            <w:bottom w:w="0" w:type="dxa"/>
            <w:right w:w="17" w:type="dxa"/>
          </w:tblCellMar>
        </w:tblPrEx>
        <w:trPr>
          <w:trHeight w:val="23" w:hRule="atLeast"/>
          <w:jc w:val="center"/>
        </w:trPr>
        <w:tc>
          <w:tcPr>
            <w:tcW w:w="288" w:type="pct"/>
            <w:vMerge w:val="continue"/>
            <w:noWrap w:val="0"/>
            <w:vAlign w:val="center"/>
          </w:tcPr>
          <w:p w14:paraId="59CF7728">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none"/>
                <w:lang w:val="en-US" w:eastAsia="zh-CN"/>
              </w:rPr>
            </w:pPr>
          </w:p>
        </w:tc>
        <w:tc>
          <w:tcPr>
            <w:tcW w:w="586" w:type="pct"/>
            <w:vMerge w:val="continue"/>
            <w:shd w:val="clear" w:color="auto" w:fill="auto"/>
            <w:noWrap w:val="0"/>
            <w:vAlign w:val="center"/>
          </w:tcPr>
          <w:p w14:paraId="769CB84E">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none"/>
                <w:lang w:val="en-US" w:eastAsia="zh-CN"/>
              </w:rPr>
            </w:pPr>
          </w:p>
        </w:tc>
        <w:tc>
          <w:tcPr>
            <w:tcW w:w="1139" w:type="pct"/>
            <w:shd w:val="clear" w:color="auto" w:fill="auto"/>
            <w:noWrap w:val="0"/>
            <w:vAlign w:val="center"/>
          </w:tcPr>
          <w:p w14:paraId="739BAF94">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1,1,2-三氯乙烷</w:t>
            </w:r>
          </w:p>
        </w:tc>
        <w:tc>
          <w:tcPr>
            <w:tcW w:w="514" w:type="pct"/>
            <w:shd w:val="clear" w:color="auto" w:fill="auto"/>
            <w:noWrap w:val="0"/>
            <w:vAlign w:val="center"/>
          </w:tcPr>
          <w:p w14:paraId="497DB462">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mg/kg</w:t>
            </w:r>
          </w:p>
        </w:tc>
        <w:tc>
          <w:tcPr>
            <w:tcW w:w="772" w:type="pct"/>
            <w:shd w:val="clear" w:color="auto" w:fill="auto"/>
            <w:noWrap w:val="0"/>
            <w:vAlign w:val="center"/>
          </w:tcPr>
          <w:p w14:paraId="2C992712">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ND</w:t>
            </w:r>
          </w:p>
        </w:tc>
        <w:tc>
          <w:tcPr>
            <w:tcW w:w="529" w:type="pct"/>
            <w:shd w:val="clear" w:color="auto" w:fill="auto"/>
            <w:noWrap w:val="0"/>
            <w:vAlign w:val="center"/>
          </w:tcPr>
          <w:p w14:paraId="30EF98F2">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0</w:t>
            </w:r>
          </w:p>
        </w:tc>
        <w:tc>
          <w:tcPr>
            <w:tcW w:w="525" w:type="pct"/>
            <w:shd w:val="clear" w:color="auto" w:fill="auto"/>
            <w:noWrap w:val="0"/>
            <w:vAlign w:val="center"/>
          </w:tcPr>
          <w:p w14:paraId="5DD8A108">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达标</w:t>
            </w:r>
          </w:p>
        </w:tc>
        <w:tc>
          <w:tcPr>
            <w:tcW w:w="644" w:type="pct"/>
            <w:shd w:val="clear" w:color="auto" w:fill="auto"/>
            <w:noWrap w:val="0"/>
            <w:vAlign w:val="center"/>
          </w:tcPr>
          <w:p w14:paraId="6BB08499">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2.8</w:t>
            </w:r>
          </w:p>
        </w:tc>
      </w:tr>
      <w:tr w14:paraId="200028D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7" w:type="dxa"/>
            <w:bottom w:w="0" w:type="dxa"/>
            <w:right w:w="17" w:type="dxa"/>
          </w:tblCellMar>
        </w:tblPrEx>
        <w:trPr>
          <w:trHeight w:val="23" w:hRule="atLeast"/>
          <w:jc w:val="center"/>
        </w:trPr>
        <w:tc>
          <w:tcPr>
            <w:tcW w:w="288" w:type="pct"/>
            <w:vMerge w:val="continue"/>
            <w:noWrap w:val="0"/>
            <w:vAlign w:val="center"/>
          </w:tcPr>
          <w:p w14:paraId="33D2109E">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none"/>
                <w:lang w:val="en-US" w:eastAsia="zh-CN"/>
              </w:rPr>
            </w:pPr>
          </w:p>
        </w:tc>
        <w:tc>
          <w:tcPr>
            <w:tcW w:w="586" w:type="pct"/>
            <w:vMerge w:val="continue"/>
            <w:shd w:val="clear" w:color="auto" w:fill="auto"/>
            <w:noWrap w:val="0"/>
            <w:vAlign w:val="center"/>
          </w:tcPr>
          <w:p w14:paraId="2CBB0791">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none"/>
                <w:lang w:val="en-US" w:eastAsia="zh-CN"/>
              </w:rPr>
            </w:pPr>
          </w:p>
        </w:tc>
        <w:tc>
          <w:tcPr>
            <w:tcW w:w="1139" w:type="pct"/>
            <w:shd w:val="clear" w:color="auto" w:fill="auto"/>
            <w:noWrap w:val="0"/>
            <w:vAlign w:val="center"/>
          </w:tcPr>
          <w:p w14:paraId="761AB74B">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四氯乙烯</w:t>
            </w:r>
          </w:p>
        </w:tc>
        <w:tc>
          <w:tcPr>
            <w:tcW w:w="514" w:type="pct"/>
            <w:shd w:val="clear" w:color="auto" w:fill="auto"/>
            <w:noWrap w:val="0"/>
            <w:vAlign w:val="center"/>
          </w:tcPr>
          <w:p w14:paraId="33FC5D87">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mg/kg</w:t>
            </w:r>
          </w:p>
        </w:tc>
        <w:tc>
          <w:tcPr>
            <w:tcW w:w="772" w:type="pct"/>
            <w:shd w:val="clear" w:color="auto" w:fill="auto"/>
            <w:noWrap w:val="0"/>
            <w:vAlign w:val="center"/>
          </w:tcPr>
          <w:p w14:paraId="390B4568">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ND</w:t>
            </w:r>
          </w:p>
        </w:tc>
        <w:tc>
          <w:tcPr>
            <w:tcW w:w="529" w:type="pct"/>
            <w:shd w:val="clear" w:color="auto" w:fill="auto"/>
            <w:noWrap w:val="0"/>
            <w:vAlign w:val="center"/>
          </w:tcPr>
          <w:p w14:paraId="0051066B">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0</w:t>
            </w:r>
          </w:p>
        </w:tc>
        <w:tc>
          <w:tcPr>
            <w:tcW w:w="525" w:type="pct"/>
            <w:shd w:val="clear" w:color="auto" w:fill="auto"/>
            <w:noWrap w:val="0"/>
            <w:vAlign w:val="center"/>
          </w:tcPr>
          <w:p w14:paraId="6932EB3E">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达标</w:t>
            </w:r>
          </w:p>
        </w:tc>
        <w:tc>
          <w:tcPr>
            <w:tcW w:w="644" w:type="pct"/>
            <w:shd w:val="clear" w:color="auto" w:fill="auto"/>
            <w:noWrap w:val="0"/>
            <w:vAlign w:val="center"/>
          </w:tcPr>
          <w:p w14:paraId="01447FB4">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53</w:t>
            </w:r>
          </w:p>
        </w:tc>
      </w:tr>
      <w:tr w14:paraId="292981A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7" w:type="dxa"/>
            <w:bottom w:w="0" w:type="dxa"/>
            <w:right w:w="17" w:type="dxa"/>
          </w:tblCellMar>
        </w:tblPrEx>
        <w:trPr>
          <w:trHeight w:val="23" w:hRule="atLeast"/>
          <w:jc w:val="center"/>
        </w:trPr>
        <w:tc>
          <w:tcPr>
            <w:tcW w:w="288" w:type="pct"/>
            <w:vMerge w:val="continue"/>
            <w:noWrap w:val="0"/>
            <w:vAlign w:val="center"/>
          </w:tcPr>
          <w:p w14:paraId="13B55829">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none"/>
                <w:lang w:val="en-US" w:eastAsia="zh-CN"/>
              </w:rPr>
            </w:pPr>
          </w:p>
        </w:tc>
        <w:tc>
          <w:tcPr>
            <w:tcW w:w="586" w:type="pct"/>
            <w:vMerge w:val="continue"/>
            <w:shd w:val="clear" w:color="auto" w:fill="auto"/>
            <w:noWrap w:val="0"/>
            <w:vAlign w:val="center"/>
          </w:tcPr>
          <w:p w14:paraId="4404FADF">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none"/>
                <w:lang w:val="en-US" w:eastAsia="zh-CN"/>
              </w:rPr>
            </w:pPr>
          </w:p>
        </w:tc>
        <w:tc>
          <w:tcPr>
            <w:tcW w:w="1139" w:type="pct"/>
            <w:shd w:val="clear" w:color="auto" w:fill="auto"/>
            <w:noWrap w:val="0"/>
            <w:vAlign w:val="center"/>
          </w:tcPr>
          <w:p w14:paraId="32313CCA">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氯苯</w:t>
            </w:r>
          </w:p>
        </w:tc>
        <w:tc>
          <w:tcPr>
            <w:tcW w:w="514" w:type="pct"/>
            <w:shd w:val="clear" w:color="auto" w:fill="auto"/>
            <w:noWrap w:val="0"/>
            <w:vAlign w:val="center"/>
          </w:tcPr>
          <w:p w14:paraId="12D69298">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mg/kg</w:t>
            </w:r>
          </w:p>
        </w:tc>
        <w:tc>
          <w:tcPr>
            <w:tcW w:w="772" w:type="pct"/>
            <w:shd w:val="clear" w:color="auto" w:fill="auto"/>
            <w:noWrap w:val="0"/>
            <w:vAlign w:val="center"/>
          </w:tcPr>
          <w:p w14:paraId="169F6F57">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ND</w:t>
            </w:r>
          </w:p>
        </w:tc>
        <w:tc>
          <w:tcPr>
            <w:tcW w:w="529" w:type="pct"/>
            <w:shd w:val="clear" w:color="auto" w:fill="auto"/>
            <w:noWrap w:val="0"/>
            <w:vAlign w:val="center"/>
          </w:tcPr>
          <w:p w14:paraId="6B4DAC94">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0</w:t>
            </w:r>
          </w:p>
        </w:tc>
        <w:tc>
          <w:tcPr>
            <w:tcW w:w="525" w:type="pct"/>
            <w:shd w:val="clear" w:color="auto" w:fill="auto"/>
            <w:noWrap w:val="0"/>
            <w:vAlign w:val="center"/>
          </w:tcPr>
          <w:p w14:paraId="3BACF322">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达标</w:t>
            </w:r>
          </w:p>
        </w:tc>
        <w:tc>
          <w:tcPr>
            <w:tcW w:w="644" w:type="pct"/>
            <w:shd w:val="clear" w:color="auto" w:fill="auto"/>
            <w:noWrap w:val="0"/>
            <w:vAlign w:val="center"/>
          </w:tcPr>
          <w:p w14:paraId="27B541E2">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270</w:t>
            </w:r>
          </w:p>
        </w:tc>
      </w:tr>
      <w:tr w14:paraId="048B367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7" w:type="dxa"/>
            <w:bottom w:w="0" w:type="dxa"/>
            <w:right w:w="17" w:type="dxa"/>
          </w:tblCellMar>
        </w:tblPrEx>
        <w:trPr>
          <w:trHeight w:val="23" w:hRule="atLeast"/>
          <w:jc w:val="center"/>
        </w:trPr>
        <w:tc>
          <w:tcPr>
            <w:tcW w:w="288" w:type="pct"/>
            <w:vMerge w:val="continue"/>
            <w:noWrap w:val="0"/>
            <w:vAlign w:val="center"/>
          </w:tcPr>
          <w:p w14:paraId="61AD8D90">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none"/>
                <w:lang w:val="en-US" w:eastAsia="zh-CN"/>
              </w:rPr>
            </w:pPr>
          </w:p>
        </w:tc>
        <w:tc>
          <w:tcPr>
            <w:tcW w:w="586" w:type="pct"/>
            <w:vMerge w:val="continue"/>
            <w:shd w:val="clear" w:color="auto" w:fill="auto"/>
            <w:noWrap w:val="0"/>
            <w:vAlign w:val="center"/>
          </w:tcPr>
          <w:p w14:paraId="3BC75650">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none"/>
                <w:lang w:val="en-US" w:eastAsia="zh-CN"/>
              </w:rPr>
            </w:pPr>
          </w:p>
        </w:tc>
        <w:tc>
          <w:tcPr>
            <w:tcW w:w="1139" w:type="pct"/>
            <w:shd w:val="clear" w:color="auto" w:fill="auto"/>
            <w:noWrap w:val="0"/>
            <w:vAlign w:val="center"/>
          </w:tcPr>
          <w:p w14:paraId="6252DD17">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1,1,1,2-四氯乙烷</w:t>
            </w:r>
          </w:p>
        </w:tc>
        <w:tc>
          <w:tcPr>
            <w:tcW w:w="514" w:type="pct"/>
            <w:shd w:val="clear" w:color="auto" w:fill="auto"/>
            <w:noWrap w:val="0"/>
            <w:vAlign w:val="center"/>
          </w:tcPr>
          <w:p w14:paraId="0D832A73">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mg/kg</w:t>
            </w:r>
          </w:p>
        </w:tc>
        <w:tc>
          <w:tcPr>
            <w:tcW w:w="772" w:type="pct"/>
            <w:shd w:val="clear" w:color="auto" w:fill="auto"/>
            <w:noWrap w:val="0"/>
            <w:vAlign w:val="center"/>
          </w:tcPr>
          <w:p w14:paraId="69E6585B">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ND</w:t>
            </w:r>
          </w:p>
        </w:tc>
        <w:tc>
          <w:tcPr>
            <w:tcW w:w="529" w:type="pct"/>
            <w:shd w:val="clear" w:color="auto" w:fill="auto"/>
            <w:noWrap w:val="0"/>
            <w:vAlign w:val="center"/>
          </w:tcPr>
          <w:p w14:paraId="1A6B5F67">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0</w:t>
            </w:r>
          </w:p>
        </w:tc>
        <w:tc>
          <w:tcPr>
            <w:tcW w:w="525" w:type="pct"/>
            <w:shd w:val="clear" w:color="auto" w:fill="auto"/>
            <w:noWrap w:val="0"/>
            <w:vAlign w:val="center"/>
          </w:tcPr>
          <w:p w14:paraId="0680FD38">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达标</w:t>
            </w:r>
          </w:p>
        </w:tc>
        <w:tc>
          <w:tcPr>
            <w:tcW w:w="644" w:type="pct"/>
            <w:shd w:val="clear" w:color="auto" w:fill="auto"/>
            <w:noWrap w:val="0"/>
            <w:vAlign w:val="center"/>
          </w:tcPr>
          <w:p w14:paraId="06204477">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10</w:t>
            </w:r>
          </w:p>
        </w:tc>
      </w:tr>
      <w:tr w14:paraId="11E8569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7" w:type="dxa"/>
            <w:bottom w:w="0" w:type="dxa"/>
            <w:right w:w="17" w:type="dxa"/>
          </w:tblCellMar>
        </w:tblPrEx>
        <w:trPr>
          <w:trHeight w:val="23" w:hRule="atLeast"/>
          <w:jc w:val="center"/>
        </w:trPr>
        <w:tc>
          <w:tcPr>
            <w:tcW w:w="288" w:type="pct"/>
            <w:vMerge w:val="continue"/>
            <w:noWrap w:val="0"/>
            <w:vAlign w:val="center"/>
          </w:tcPr>
          <w:p w14:paraId="15DE8C60">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none"/>
                <w:lang w:val="en-US" w:eastAsia="zh-CN"/>
              </w:rPr>
            </w:pPr>
          </w:p>
        </w:tc>
        <w:tc>
          <w:tcPr>
            <w:tcW w:w="586" w:type="pct"/>
            <w:vMerge w:val="continue"/>
            <w:shd w:val="clear" w:color="auto" w:fill="auto"/>
            <w:noWrap w:val="0"/>
            <w:vAlign w:val="center"/>
          </w:tcPr>
          <w:p w14:paraId="53E643CA">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none"/>
                <w:lang w:val="en-US" w:eastAsia="zh-CN"/>
              </w:rPr>
            </w:pPr>
          </w:p>
        </w:tc>
        <w:tc>
          <w:tcPr>
            <w:tcW w:w="1139" w:type="pct"/>
            <w:shd w:val="clear" w:color="auto" w:fill="auto"/>
            <w:noWrap w:val="0"/>
            <w:vAlign w:val="center"/>
          </w:tcPr>
          <w:p w14:paraId="057453F8">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乙苯</w:t>
            </w:r>
          </w:p>
        </w:tc>
        <w:tc>
          <w:tcPr>
            <w:tcW w:w="514" w:type="pct"/>
            <w:shd w:val="clear" w:color="auto" w:fill="auto"/>
            <w:noWrap w:val="0"/>
            <w:vAlign w:val="center"/>
          </w:tcPr>
          <w:p w14:paraId="56808E06">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mg/kg</w:t>
            </w:r>
          </w:p>
        </w:tc>
        <w:tc>
          <w:tcPr>
            <w:tcW w:w="772" w:type="pct"/>
            <w:shd w:val="clear" w:color="auto" w:fill="auto"/>
            <w:noWrap w:val="0"/>
            <w:vAlign w:val="center"/>
          </w:tcPr>
          <w:p w14:paraId="78651A65">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ND</w:t>
            </w:r>
          </w:p>
        </w:tc>
        <w:tc>
          <w:tcPr>
            <w:tcW w:w="529" w:type="pct"/>
            <w:shd w:val="clear" w:color="auto" w:fill="auto"/>
            <w:noWrap w:val="0"/>
            <w:vAlign w:val="center"/>
          </w:tcPr>
          <w:p w14:paraId="27051D79">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0</w:t>
            </w:r>
          </w:p>
        </w:tc>
        <w:tc>
          <w:tcPr>
            <w:tcW w:w="525" w:type="pct"/>
            <w:shd w:val="clear" w:color="auto" w:fill="auto"/>
            <w:noWrap w:val="0"/>
            <w:vAlign w:val="center"/>
          </w:tcPr>
          <w:p w14:paraId="2B2691CC">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达标</w:t>
            </w:r>
          </w:p>
        </w:tc>
        <w:tc>
          <w:tcPr>
            <w:tcW w:w="644" w:type="pct"/>
            <w:shd w:val="clear" w:color="auto" w:fill="auto"/>
            <w:noWrap w:val="0"/>
            <w:vAlign w:val="center"/>
          </w:tcPr>
          <w:p w14:paraId="0BCFAA15">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28</w:t>
            </w:r>
          </w:p>
        </w:tc>
      </w:tr>
      <w:tr w14:paraId="3245E0C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7" w:type="dxa"/>
            <w:bottom w:w="0" w:type="dxa"/>
            <w:right w:w="17" w:type="dxa"/>
          </w:tblCellMar>
        </w:tblPrEx>
        <w:trPr>
          <w:trHeight w:val="23" w:hRule="atLeast"/>
          <w:jc w:val="center"/>
        </w:trPr>
        <w:tc>
          <w:tcPr>
            <w:tcW w:w="288" w:type="pct"/>
            <w:vMerge w:val="continue"/>
            <w:noWrap w:val="0"/>
            <w:vAlign w:val="center"/>
          </w:tcPr>
          <w:p w14:paraId="127B3BB5">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none"/>
                <w:lang w:val="en-US" w:eastAsia="zh-CN"/>
              </w:rPr>
            </w:pPr>
          </w:p>
        </w:tc>
        <w:tc>
          <w:tcPr>
            <w:tcW w:w="586" w:type="pct"/>
            <w:vMerge w:val="continue"/>
            <w:shd w:val="clear" w:color="auto" w:fill="auto"/>
            <w:noWrap w:val="0"/>
            <w:vAlign w:val="center"/>
          </w:tcPr>
          <w:p w14:paraId="330A86A3">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none"/>
                <w:lang w:val="en-US" w:eastAsia="zh-CN"/>
              </w:rPr>
            </w:pPr>
          </w:p>
        </w:tc>
        <w:tc>
          <w:tcPr>
            <w:tcW w:w="1139" w:type="pct"/>
            <w:shd w:val="clear" w:color="auto" w:fill="auto"/>
            <w:noWrap w:val="0"/>
            <w:vAlign w:val="center"/>
          </w:tcPr>
          <w:p w14:paraId="326B2475">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间二甲苯+对二甲苯</w:t>
            </w:r>
          </w:p>
        </w:tc>
        <w:tc>
          <w:tcPr>
            <w:tcW w:w="514" w:type="pct"/>
            <w:shd w:val="clear" w:color="auto" w:fill="auto"/>
            <w:noWrap w:val="0"/>
            <w:vAlign w:val="center"/>
          </w:tcPr>
          <w:p w14:paraId="12D4E162">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mg/kg</w:t>
            </w:r>
          </w:p>
        </w:tc>
        <w:tc>
          <w:tcPr>
            <w:tcW w:w="772" w:type="pct"/>
            <w:shd w:val="clear" w:color="auto" w:fill="auto"/>
            <w:noWrap w:val="0"/>
            <w:vAlign w:val="center"/>
          </w:tcPr>
          <w:p w14:paraId="1063270B">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ND</w:t>
            </w:r>
          </w:p>
        </w:tc>
        <w:tc>
          <w:tcPr>
            <w:tcW w:w="529" w:type="pct"/>
            <w:shd w:val="clear" w:color="auto" w:fill="auto"/>
            <w:noWrap w:val="0"/>
            <w:vAlign w:val="center"/>
          </w:tcPr>
          <w:p w14:paraId="75C0FD5E">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0</w:t>
            </w:r>
          </w:p>
        </w:tc>
        <w:tc>
          <w:tcPr>
            <w:tcW w:w="525" w:type="pct"/>
            <w:shd w:val="clear" w:color="auto" w:fill="auto"/>
            <w:noWrap w:val="0"/>
            <w:vAlign w:val="center"/>
          </w:tcPr>
          <w:p w14:paraId="54F39789">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达标</w:t>
            </w:r>
          </w:p>
        </w:tc>
        <w:tc>
          <w:tcPr>
            <w:tcW w:w="644" w:type="pct"/>
            <w:shd w:val="clear" w:color="auto" w:fill="auto"/>
            <w:noWrap w:val="0"/>
            <w:vAlign w:val="center"/>
          </w:tcPr>
          <w:p w14:paraId="09D65024">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570</w:t>
            </w:r>
          </w:p>
        </w:tc>
      </w:tr>
      <w:tr w14:paraId="0188111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7" w:type="dxa"/>
            <w:bottom w:w="0" w:type="dxa"/>
            <w:right w:w="17" w:type="dxa"/>
          </w:tblCellMar>
        </w:tblPrEx>
        <w:trPr>
          <w:trHeight w:val="23" w:hRule="atLeast"/>
          <w:jc w:val="center"/>
        </w:trPr>
        <w:tc>
          <w:tcPr>
            <w:tcW w:w="288" w:type="pct"/>
            <w:vMerge w:val="continue"/>
            <w:noWrap w:val="0"/>
            <w:vAlign w:val="center"/>
          </w:tcPr>
          <w:p w14:paraId="3D026233">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none"/>
                <w:lang w:val="en-US" w:eastAsia="zh-CN"/>
              </w:rPr>
            </w:pPr>
          </w:p>
        </w:tc>
        <w:tc>
          <w:tcPr>
            <w:tcW w:w="586" w:type="pct"/>
            <w:vMerge w:val="continue"/>
            <w:shd w:val="clear" w:color="auto" w:fill="auto"/>
            <w:noWrap w:val="0"/>
            <w:vAlign w:val="center"/>
          </w:tcPr>
          <w:p w14:paraId="5C387CDA">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none"/>
                <w:lang w:val="en-US" w:eastAsia="zh-CN"/>
              </w:rPr>
            </w:pPr>
          </w:p>
        </w:tc>
        <w:tc>
          <w:tcPr>
            <w:tcW w:w="1139" w:type="pct"/>
            <w:shd w:val="clear" w:color="auto" w:fill="auto"/>
            <w:noWrap w:val="0"/>
            <w:vAlign w:val="center"/>
          </w:tcPr>
          <w:p w14:paraId="3E779A67">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1,1,2,2-四氯乙烷</w:t>
            </w:r>
          </w:p>
        </w:tc>
        <w:tc>
          <w:tcPr>
            <w:tcW w:w="514" w:type="pct"/>
            <w:shd w:val="clear" w:color="auto" w:fill="auto"/>
            <w:noWrap w:val="0"/>
            <w:vAlign w:val="center"/>
          </w:tcPr>
          <w:p w14:paraId="654D1E0E">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mg/kg</w:t>
            </w:r>
          </w:p>
        </w:tc>
        <w:tc>
          <w:tcPr>
            <w:tcW w:w="772" w:type="pct"/>
            <w:shd w:val="clear" w:color="auto" w:fill="auto"/>
            <w:noWrap w:val="0"/>
            <w:vAlign w:val="center"/>
          </w:tcPr>
          <w:p w14:paraId="43C64CCE">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ND</w:t>
            </w:r>
          </w:p>
        </w:tc>
        <w:tc>
          <w:tcPr>
            <w:tcW w:w="529" w:type="pct"/>
            <w:shd w:val="clear" w:color="auto" w:fill="auto"/>
            <w:noWrap w:val="0"/>
            <w:vAlign w:val="center"/>
          </w:tcPr>
          <w:p w14:paraId="1357FA93">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0</w:t>
            </w:r>
          </w:p>
        </w:tc>
        <w:tc>
          <w:tcPr>
            <w:tcW w:w="525" w:type="pct"/>
            <w:shd w:val="clear" w:color="auto" w:fill="auto"/>
            <w:noWrap w:val="0"/>
            <w:vAlign w:val="center"/>
          </w:tcPr>
          <w:p w14:paraId="3879088C">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达标</w:t>
            </w:r>
          </w:p>
        </w:tc>
        <w:tc>
          <w:tcPr>
            <w:tcW w:w="644" w:type="pct"/>
            <w:shd w:val="clear" w:color="auto" w:fill="auto"/>
            <w:noWrap w:val="0"/>
            <w:vAlign w:val="center"/>
          </w:tcPr>
          <w:p w14:paraId="5B43109B">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6.8</w:t>
            </w:r>
          </w:p>
        </w:tc>
      </w:tr>
      <w:tr w14:paraId="31C4184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7" w:type="dxa"/>
            <w:bottom w:w="0" w:type="dxa"/>
            <w:right w:w="17" w:type="dxa"/>
          </w:tblCellMar>
        </w:tblPrEx>
        <w:trPr>
          <w:trHeight w:val="23" w:hRule="atLeast"/>
          <w:jc w:val="center"/>
        </w:trPr>
        <w:tc>
          <w:tcPr>
            <w:tcW w:w="288" w:type="pct"/>
            <w:vMerge w:val="continue"/>
            <w:noWrap w:val="0"/>
            <w:vAlign w:val="center"/>
          </w:tcPr>
          <w:p w14:paraId="2F163172">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none"/>
                <w:lang w:val="en-US" w:eastAsia="zh-CN"/>
              </w:rPr>
            </w:pPr>
          </w:p>
        </w:tc>
        <w:tc>
          <w:tcPr>
            <w:tcW w:w="586" w:type="pct"/>
            <w:vMerge w:val="continue"/>
            <w:shd w:val="clear" w:color="auto" w:fill="auto"/>
            <w:noWrap w:val="0"/>
            <w:vAlign w:val="center"/>
          </w:tcPr>
          <w:p w14:paraId="70280C23">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none"/>
                <w:lang w:val="en-US" w:eastAsia="zh-CN"/>
              </w:rPr>
            </w:pPr>
          </w:p>
        </w:tc>
        <w:tc>
          <w:tcPr>
            <w:tcW w:w="1139" w:type="pct"/>
            <w:shd w:val="clear" w:color="auto" w:fill="auto"/>
            <w:noWrap w:val="0"/>
            <w:vAlign w:val="center"/>
          </w:tcPr>
          <w:p w14:paraId="4672F02D">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1,2,3-三氯丙烷</w:t>
            </w:r>
          </w:p>
        </w:tc>
        <w:tc>
          <w:tcPr>
            <w:tcW w:w="514" w:type="pct"/>
            <w:shd w:val="clear" w:color="auto" w:fill="auto"/>
            <w:noWrap w:val="0"/>
            <w:vAlign w:val="center"/>
          </w:tcPr>
          <w:p w14:paraId="407B5CFA">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mg/kg</w:t>
            </w:r>
          </w:p>
        </w:tc>
        <w:tc>
          <w:tcPr>
            <w:tcW w:w="772" w:type="pct"/>
            <w:shd w:val="clear" w:color="auto" w:fill="auto"/>
            <w:noWrap w:val="0"/>
            <w:vAlign w:val="center"/>
          </w:tcPr>
          <w:p w14:paraId="731BD5A1">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ND</w:t>
            </w:r>
          </w:p>
        </w:tc>
        <w:tc>
          <w:tcPr>
            <w:tcW w:w="529" w:type="pct"/>
            <w:shd w:val="clear" w:color="auto" w:fill="auto"/>
            <w:noWrap w:val="0"/>
            <w:vAlign w:val="center"/>
          </w:tcPr>
          <w:p w14:paraId="79A5A70D">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0</w:t>
            </w:r>
          </w:p>
        </w:tc>
        <w:tc>
          <w:tcPr>
            <w:tcW w:w="525" w:type="pct"/>
            <w:shd w:val="clear" w:color="auto" w:fill="auto"/>
            <w:noWrap w:val="0"/>
            <w:vAlign w:val="center"/>
          </w:tcPr>
          <w:p w14:paraId="684EA34D">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达标</w:t>
            </w:r>
          </w:p>
        </w:tc>
        <w:tc>
          <w:tcPr>
            <w:tcW w:w="644" w:type="pct"/>
            <w:shd w:val="clear" w:color="auto" w:fill="auto"/>
            <w:noWrap w:val="0"/>
            <w:vAlign w:val="center"/>
          </w:tcPr>
          <w:p w14:paraId="7D95F673">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0.5</w:t>
            </w:r>
          </w:p>
        </w:tc>
      </w:tr>
      <w:tr w14:paraId="2ADA8F9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7" w:type="dxa"/>
            <w:bottom w:w="0" w:type="dxa"/>
            <w:right w:w="17" w:type="dxa"/>
          </w:tblCellMar>
        </w:tblPrEx>
        <w:trPr>
          <w:trHeight w:val="23" w:hRule="atLeast"/>
          <w:jc w:val="center"/>
        </w:trPr>
        <w:tc>
          <w:tcPr>
            <w:tcW w:w="288" w:type="pct"/>
            <w:vMerge w:val="continue"/>
            <w:noWrap w:val="0"/>
            <w:vAlign w:val="center"/>
          </w:tcPr>
          <w:p w14:paraId="0F9947E7">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none"/>
                <w:lang w:val="en-US" w:eastAsia="zh-CN"/>
              </w:rPr>
            </w:pPr>
          </w:p>
        </w:tc>
        <w:tc>
          <w:tcPr>
            <w:tcW w:w="586" w:type="pct"/>
            <w:vMerge w:val="continue"/>
            <w:shd w:val="clear" w:color="auto" w:fill="auto"/>
            <w:noWrap w:val="0"/>
            <w:vAlign w:val="center"/>
          </w:tcPr>
          <w:p w14:paraId="0AB0CA20">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none"/>
                <w:lang w:val="en-US" w:eastAsia="zh-CN"/>
              </w:rPr>
            </w:pPr>
          </w:p>
        </w:tc>
        <w:tc>
          <w:tcPr>
            <w:tcW w:w="1139" w:type="pct"/>
            <w:shd w:val="clear" w:color="auto" w:fill="auto"/>
            <w:noWrap w:val="0"/>
            <w:vAlign w:val="center"/>
          </w:tcPr>
          <w:p w14:paraId="75CEF8A5">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1,4-二氯苯</w:t>
            </w:r>
          </w:p>
        </w:tc>
        <w:tc>
          <w:tcPr>
            <w:tcW w:w="514" w:type="pct"/>
            <w:shd w:val="clear" w:color="auto" w:fill="auto"/>
            <w:noWrap w:val="0"/>
            <w:vAlign w:val="center"/>
          </w:tcPr>
          <w:p w14:paraId="3B8C9586">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mg/kg</w:t>
            </w:r>
          </w:p>
        </w:tc>
        <w:tc>
          <w:tcPr>
            <w:tcW w:w="772" w:type="pct"/>
            <w:shd w:val="clear" w:color="auto" w:fill="auto"/>
            <w:noWrap w:val="0"/>
            <w:vAlign w:val="center"/>
          </w:tcPr>
          <w:p w14:paraId="4F667B34">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ND</w:t>
            </w:r>
          </w:p>
        </w:tc>
        <w:tc>
          <w:tcPr>
            <w:tcW w:w="529" w:type="pct"/>
            <w:shd w:val="clear" w:color="auto" w:fill="auto"/>
            <w:noWrap w:val="0"/>
            <w:vAlign w:val="center"/>
          </w:tcPr>
          <w:p w14:paraId="60CEAF37">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0</w:t>
            </w:r>
          </w:p>
        </w:tc>
        <w:tc>
          <w:tcPr>
            <w:tcW w:w="525" w:type="pct"/>
            <w:shd w:val="clear" w:color="auto" w:fill="auto"/>
            <w:noWrap w:val="0"/>
            <w:vAlign w:val="center"/>
          </w:tcPr>
          <w:p w14:paraId="0B5A88B2">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达标</w:t>
            </w:r>
          </w:p>
        </w:tc>
        <w:tc>
          <w:tcPr>
            <w:tcW w:w="644" w:type="pct"/>
            <w:shd w:val="clear" w:color="auto" w:fill="auto"/>
            <w:noWrap w:val="0"/>
            <w:vAlign w:val="center"/>
          </w:tcPr>
          <w:p w14:paraId="3CDE84FA">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20</w:t>
            </w:r>
          </w:p>
        </w:tc>
      </w:tr>
      <w:tr w14:paraId="2BC3D37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7" w:type="dxa"/>
            <w:bottom w:w="0" w:type="dxa"/>
            <w:right w:w="17" w:type="dxa"/>
          </w:tblCellMar>
        </w:tblPrEx>
        <w:trPr>
          <w:trHeight w:val="23" w:hRule="atLeast"/>
          <w:jc w:val="center"/>
        </w:trPr>
        <w:tc>
          <w:tcPr>
            <w:tcW w:w="288" w:type="pct"/>
            <w:vMerge w:val="continue"/>
            <w:noWrap w:val="0"/>
            <w:vAlign w:val="center"/>
          </w:tcPr>
          <w:p w14:paraId="4A1E97FB">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none"/>
                <w:lang w:val="en-US" w:eastAsia="zh-CN"/>
              </w:rPr>
            </w:pPr>
          </w:p>
        </w:tc>
        <w:tc>
          <w:tcPr>
            <w:tcW w:w="586" w:type="pct"/>
            <w:vMerge w:val="continue"/>
            <w:shd w:val="clear" w:color="auto" w:fill="auto"/>
            <w:noWrap w:val="0"/>
            <w:vAlign w:val="center"/>
          </w:tcPr>
          <w:p w14:paraId="234B6B0D">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none"/>
                <w:lang w:val="en-US" w:eastAsia="zh-CN"/>
              </w:rPr>
            </w:pPr>
          </w:p>
        </w:tc>
        <w:tc>
          <w:tcPr>
            <w:tcW w:w="1139" w:type="pct"/>
            <w:shd w:val="clear" w:color="auto" w:fill="auto"/>
            <w:noWrap w:val="0"/>
            <w:vAlign w:val="center"/>
          </w:tcPr>
          <w:p w14:paraId="1E515CF0">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1,2-二氯苯</w:t>
            </w:r>
          </w:p>
        </w:tc>
        <w:tc>
          <w:tcPr>
            <w:tcW w:w="514" w:type="pct"/>
            <w:shd w:val="clear" w:color="auto" w:fill="auto"/>
            <w:noWrap w:val="0"/>
            <w:vAlign w:val="center"/>
          </w:tcPr>
          <w:p w14:paraId="252A6F9A">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mg/kg</w:t>
            </w:r>
          </w:p>
        </w:tc>
        <w:tc>
          <w:tcPr>
            <w:tcW w:w="772" w:type="pct"/>
            <w:shd w:val="clear" w:color="auto" w:fill="auto"/>
            <w:noWrap w:val="0"/>
            <w:vAlign w:val="center"/>
          </w:tcPr>
          <w:p w14:paraId="3B6B65DC">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ND</w:t>
            </w:r>
          </w:p>
        </w:tc>
        <w:tc>
          <w:tcPr>
            <w:tcW w:w="529" w:type="pct"/>
            <w:shd w:val="clear" w:color="auto" w:fill="auto"/>
            <w:noWrap w:val="0"/>
            <w:vAlign w:val="center"/>
          </w:tcPr>
          <w:p w14:paraId="4617F9B3">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0</w:t>
            </w:r>
          </w:p>
        </w:tc>
        <w:tc>
          <w:tcPr>
            <w:tcW w:w="525" w:type="pct"/>
            <w:shd w:val="clear" w:color="auto" w:fill="auto"/>
            <w:noWrap w:val="0"/>
            <w:vAlign w:val="center"/>
          </w:tcPr>
          <w:p w14:paraId="4F65222D">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达标</w:t>
            </w:r>
          </w:p>
        </w:tc>
        <w:tc>
          <w:tcPr>
            <w:tcW w:w="644" w:type="pct"/>
            <w:shd w:val="clear" w:color="auto" w:fill="auto"/>
            <w:noWrap w:val="0"/>
            <w:vAlign w:val="center"/>
          </w:tcPr>
          <w:p w14:paraId="79950D7A">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560</w:t>
            </w:r>
          </w:p>
        </w:tc>
      </w:tr>
      <w:tr w14:paraId="5FCF4D6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7" w:type="dxa"/>
            <w:bottom w:w="0" w:type="dxa"/>
            <w:right w:w="17" w:type="dxa"/>
          </w:tblCellMar>
        </w:tblPrEx>
        <w:trPr>
          <w:trHeight w:val="23" w:hRule="atLeast"/>
          <w:jc w:val="center"/>
        </w:trPr>
        <w:tc>
          <w:tcPr>
            <w:tcW w:w="288" w:type="pct"/>
            <w:vMerge w:val="continue"/>
            <w:noWrap w:val="0"/>
            <w:vAlign w:val="center"/>
          </w:tcPr>
          <w:p w14:paraId="7B10F2AE">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none"/>
                <w:lang w:val="en-US" w:eastAsia="zh-CN"/>
              </w:rPr>
            </w:pPr>
          </w:p>
        </w:tc>
        <w:tc>
          <w:tcPr>
            <w:tcW w:w="586" w:type="pct"/>
            <w:vMerge w:val="continue"/>
            <w:shd w:val="clear" w:color="auto" w:fill="auto"/>
            <w:noWrap w:val="0"/>
            <w:vAlign w:val="center"/>
          </w:tcPr>
          <w:p w14:paraId="7A798EF0">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none"/>
                <w:lang w:val="en-US" w:eastAsia="zh-CN"/>
              </w:rPr>
            </w:pPr>
          </w:p>
        </w:tc>
        <w:tc>
          <w:tcPr>
            <w:tcW w:w="1139" w:type="pct"/>
            <w:shd w:val="clear" w:color="auto" w:fill="auto"/>
            <w:noWrap w:val="0"/>
            <w:vAlign w:val="center"/>
          </w:tcPr>
          <w:p w14:paraId="20262140">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邻二甲苯</w:t>
            </w:r>
          </w:p>
        </w:tc>
        <w:tc>
          <w:tcPr>
            <w:tcW w:w="514" w:type="pct"/>
            <w:shd w:val="clear" w:color="auto" w:fill="auto"/>
            <w:noWrap w:val="0"/>
            <w:vAlign w:val="center"/>
          </w:tcPr>
          <w:p w14:paraId="47CD8FDD">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mg/kg</w:t>
            </w:r>
          </w:p>
        </w:tc>
        <w:tc>
          <w:tcPr>
            <w:tcW w:w="772" w:type="pct"/>
            <w:shd w:val="clear" w:color="auto" w:fill="auto"/>
            <w:noWrap w:val="0"/>
            <w:vAlign w:val="center"/>
          </w:tcPr>
          <w:p w14:paraId="2A5632FD">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ND</w:t>
            </w:r>
          </w:p>
        </w:tc>
        <w:tc>
          <w:tcPr>
            <w:tcW w:w="529" w:type="pct"/>
            <w:shd w:val="clear" w:color="auto" w:fill="auto"/>
            <w:noWrap w:val="0"/>
            <w:vAlign w:val="center"/>
          </w:tcPr>
          <w:p w14:paraId="04500936">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0</w:t>
            </w:r>
          </w:p>
        </w:tc>
        <w:tc>
          <w:tcPr>
            <w:tcW w:w="525" w:type="pct"/>
            <w:shd w:val="clear" w:color="auto" w:fill="auto"/>
            <w:noWrap w:val="0"/>
            <w:vAlign w:val="center"/>
          </w:tcPr>
          <w:p w14:paraId="34F104C8">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达标</w:t>
            </w:r>
          </w:p>
        </w:tc>
        <w:tc>
          <w:tcPr>
            <w:tcW w:w="644" w:type="pct"/>
            <w:shd w:val="clear" w:color="auto" w:fill="auto"/>
            <w:noWrap w:val="0"/>
            <w:vAlign w:val="center"/>
          </w:tcPr>
          <w:p w14:paraId="3276A2D5">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640</w:t>
            </w:r>
          </w:p>
        </w:tc>
      </w:tr>
      <w:tr w14:paraId="4E350A8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7" w:type="dxa"/>
            <w:bottom w:w="0" w:type="dxa"/>
            <w:right w:w="17" w:type="dxa"/>
          </w:tblCellMar>
        </w:tblPrEx>
        <w:trPr>
          <w:trHeight w:val="23" w:hRule="atLeast"/>
          <w:jc w:val="center"/>
        </w:trPr>
        <w:tc>
          <w:tcPr>
            <w:tcW w:w="288" w:type="pct"/>
            <w:vMerge w:val="continue"/>
            <w:noWrap w:val="0"/>
            <w:vAlign w:val="center"/>
          </w:tcPr>
          <w:p w14:paraId="6F87106B">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none"/>
                <w:lang w:val="en-US" w:eastAsia="zh-CN"/>
              </w:rPr>
            </w:pPr>
          </w:p>
        </w:tc>
        <w:tc>
          <w:tcPr>
            <w:tcW w:w="586" w:type="pct"/>
            <w:vMerge w:val="continue"/>
            <w:shd w:val="clear" w:color="auto" w:fill="auto"/>
            <w:noWrap w:val="0"/>
            <w:vAlign w:val="center"/>
          </w:tcPr>
          <w:p w14:paraId="4C5173DA">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none"/>
                <w:lang w:val="en-US" w:eastAsia="zh-CN"/>
              </w:rPr>
            </w:pPr>
          </w:p>
        </w:tc>
        <w:tc>
          <w:tcPr>
            <w:tcW w:w="1139" w:type="pct"/>
            <w:shd w:val="clear" w:color="auto" w:fill="auto"/>
            <w:noWrap w:val="0"/>
            <w:vAlign w:val="center"/>
          </w:tcPr>
          <w:p w14:paraId="52FE9D29">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苯乙烯</w:t>
            </w:r>
          </w:p>
        </w:tc>
        <w:tc>
          <w:tcPr>
            <w:tcW w:w="514" w:type="pct"/>
            <w:shd w:val="clear" w:color="auto" w:fill="auto"/>
            <w:noWrap w:val="0"/>
            <w:vAlign w:val="center"/>
          </w:tcPr>
          <w:p w14:paraId="1B1CD030">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mg/kg</w:t>
            </w:r>
          </w:p>
        </w:tc>
        <w:tc>
          <w:tcPr>
            <w:tcW w:w="772" w:type="pct"/>
            <w:shd w:val="clear" w:color="auto" w:fill="auto"/>
            <w:noWrap w:val="0"/>
            <w:vAlign w:val="center"/>
          </w:tcPr>
          <w:p w14:paraId="6539F0D2">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ND</w:t>
            </w:r>
          </w:p>
        </w:tc>
        <w:tc>
          <w:tcPr>
            <w:tcW w:w="529" w:type="pct"/>
            <w:shd w:val="clear" w:color="auto" w:fill="auto"/>
            <w:noWrap w:val="0"/>
            <w:vAlign w:val="center"/>
          </w:tcPr>
          <w:p w14:paraId="0B6C9813">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0</w:t>
            </w:r>
          </w:p>
        </w:tc>
        <w:tc>
          <w:tcPr>
            <w:tcW w:w="525" w:type="pct"/>
            <w:shd w:val="clear" w:color="auto" w:fill="auto"/>
            <w:noWrap w:val="0"/>
            <w:vAlign w:val="center"/>
          </w:tcPr>
          <w:p w14:paraId="4E7C7941">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达标</w:t>
            </w:r>
          </w:p>
        </w:tc>
        <w:tc>
          <w:tcPr>
            <w:tcW w:w="644" w:type="pct"/>
            <w:shd w:val="clear" w:color="auto" w:fill="auto"/>
            <w:noWrap w:val="0"/>
            <w:vAlign w:val="center"/>
          </w:tcPr>
          <w:p w14:paraId="6DB57993">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1290</w:t>
            </w:r>
          </w:p>
        </w:tc>
      </w:tr>
      <w:tr w14:paraId="4C338B3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7" w:type="dxa"/>
            <w:bottom w:w="0" w:type="dxa"/>
            <w:right w:w="17" w:type="dxa"/>
          </w:tblCellMar>
        </w:tblPrEx>
        <w:trPr>
          <w:trHeight w:val="23" w:hRule="atLeast"/>
          <w:jc w:val="center"/>
        </w:trPr>
        <w:tc>
          <w:tcPr>
            <w:tcW w:w="288" w:type="pct"/>
            <w:vMerge w:val="continue"/>
            <w:noWrap w:val="0"/>
            <w:vAlign w:val="center"/>
          </w:tcPr>
          <w:p w14:paraId="5BBF36C9">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none"/>
                <w:lang w:val="en-US" w:eastAsia="zh-CN"/>
              </w:rPr>
            </w:pPr>
          </w:p>
        </w:tc>
        <w:tc>
          <w:tcPr>
            <w:tcW w:w="586" w:type="pct"/>
            <w:vMerge w:val="continue"/>
            <w:shd w:val="clear" w:color="auto" w:fill="auto"/>
            <w:noWrap w:val="0"/>
            <w:vAlign w:val="center"/>
          </w:tcPr>
          <w:p w14:paraId="0090A769">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none"/>
                <w:lang w:val="en-US" w:eastAsia="zh-CN"/>
              </w:rPr>
            </w:pPr>
          </w:p>
        </w:tc>
        <w:tc>
          <w:tcPr>
            <w:tcW w:w="1139" w:type="pct"/>
            <w:shd w:val="clear" w:color="auto" w:fill="auto"/>
            <w:noWrap w:val="0"/>
            <w:vAlign w:val="center"/>
          </w:tcPr>
          <w:p w14:paraId="02746EAF">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苯胺</w:t>
            </w:r>
          </w:p>
        </w:tc>
        <w:tc>
          <w:tcPr>
            <w:tcW w:w="514" w:type="pct"/>
            <w:shd w:val="clear" w:color="auto" w:fill="auto"/>
            <w:noWrap w:val="0"/>
            <w:vAlign w:val="center"/>
          </w:tcPr>
          <w:p w14:paraId="385D45F8">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mg/kg</w:t>
            </w:r>
          </w:p>
        </w:tc>
        <w:tc>
          <w:tcPr>
            <w:tcW w:w="772" w:type="pct"/>
            <w:shd w:val="clear" w:color="auto" w:fill="auto"/>
            <w:noWrap w:val="0"/>
            <w:vAlign w:val="center"/>
          </w:tcPr>
          <w:p w14:paraId="60B1DDAD">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ND</w:t>
            </w:r>
          </w:p>
        </w:tc>
        <w:tc>
          <w:tcPr>
            <w:tcW w:w="529" w:type="pct"/>
            <w:shd w:val="clear" w:color="auto" w:fill="auto"/>
            <w:noWrap w:val="0"/>
            <w:vAlign w:val="center"/>
          </w:tcPr>
          <w:p w14:paraId="3A6FAEA5">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0</w:t>
            </w:r>
          </w:p>
        </w:tc>
        <w:tc>
          <w:tcPr>
            <w:tcW w:w="525" w:type="pct"/>
            <w:shd w:val="clear" w:color="auto" w:fill="auto"/>
            <w:noWrap w:val="0"/>
            <w:vAlign w:val="center"/>
          </w:tcPr>
          <w:p w14:paraId="24B1F7BC">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达标</w:t>
            </w:r>
          </w:p>
        </w:tc>
        <w:tc>
          <w:tcPr>
            <w:tcW w:w="644" w:type="pct"/>
            <w:shd w:val="clear" w:color="auto" w:fill="auto"/>
            <w:noWrap w:val="0"/>
            <w:vAlign w:val="center"/>
          </w:tcPr>
          <w:p w14:paraId="4A80374A">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260</w:t>
            </w:r>
          </w:p>
        </w:tc>
      </w:tr>
      <w:tr w14:paraId="79EB181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7" w:type="dxa"/>
            <w:bottom w:w="0" w:type="dxa"/>
            <w:right w:w="17" w:type="dxa"/>
          </w:tblCellMar>
        </w:tblPrEx>
        <w:trPr>
          <w:trHeight w:val="23" w:hRule="atLeast"/>
          <w:jc w:val="center"/>
        </w:trPr>
        <w:tc>
          <w:tcPr>
            <w:tcW w:w="288" w:type="pct"/>
            <w:vMerge w:val="continue"/>
            <w:noWrap w:val="0"/>
            <w:vAlign w:val="center"/>
          </w:tcPr>
          <w:p w14:paraId="58B6411E">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none"/>
                <w:lang w:val="en-US" w:eastAsia="zh-CN"/>
              </w:rPr>
            </w:pPr>
          </w:p>
        </w:tc>
        <w:tc>
          <w:tcPr>
            <w:tcW w:w="586" w:type="pct"/>
            <w:vMerge w:val="continue"/>
            <w:shd w:val="clear" w:color="auto" w:fill="auto"/>
            <w:noWrap w:val="0"/>
            <w:vAlign w:val="center"/>
          </w:tcPr>
          <w:p w14:paraId="5883ECFF">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none"/>
                <w:lang w:val="en-US" w:eastAsia="zh-CN"/>
              </w:rPr>
            </w:pPr>
          </w:p>
        </w:tc>
        <w:tc>
          <w:tcPr>
            <w:tcW w:w="1139" w:type="pct"/>
            <w:shd w:val="clear" w:color="auto" w:fill="auto"/>
            <w:noWrap w:val="0"/>
            <w:vAlign w:val="center"/>
          </w:tcPr>
          <w:p w14:paraId="6B358A65">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2-氯酚</w:t>
            </w:r>
          </w:p>
        </w:tc>
        <w:tc>
          <w:tcPr>
            <w:tcW w:w="514" w:type="pct"/>
            <w:shd w:val="clear" w:color="auto" w:fill="auto"/>
            <w:noWrap w:val="0"/>
            <w:vAlign w:val="center"/>
          </w:tcPr>
          <w:p w14:paraId="27DD53A7">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mg/kg</w:t>
            </w:r>
          </w:p>
        </w:tc>
        <w:tc>
          <w:tcPr>
            <w:tcW w:w="772" w:type="pct"/>
            <w:shd w:val="clear" w:color="auto" w:fill="auto"/>
            <w:noWrap w:val="0"/>
            <w:vAlign w:val="center"/>
          </w:tcPr>
          <w:p w14:paraId="285ED61A">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ND</w:t>
            </w:r>
          </w:p>
        </w:tc>
        <w:tc>
          <w:tcPr>
            <w:tcW w:w="529" w:type="pct"/>
            <w:shd w:val="clear" w:color="auto" w:fill="auto"/>
            <w:noWrap w:val="0"/>
            <w:vAlign w:val="center"/>
          </w:tcPr>
          <w:p w14:paraId="0F206F75">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0</w:t>
            </w:r>
          </w:p>
        </w:tc>
        <w:tc>
          <w:tcPr>
            <w:tcW w:w="525" w:type="pct"/>
            <w:shd w:val="clear" w:color="auto" w:fill="auto"/>
            <w:noWrap w:val="0"/>
            <w:vAlign w:val="center"/>
          </w:tcPr>
          <w:p w14:paraId="760FC19E">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达标</w:t>
            </w:r>
          </w:p>
        </w:tc>
        <w:tc>
          <w:tcPr>
            <w:tcW w:w="644" w:type="pct"/>
            <w:shd w:val="clear" w:color="auto" w:fill="auto"/>
            <w:noWrap w:val="0"/>
            <w:vAlign w:val="center"/>
          </w:tcPr>
          <w:p w14:paraId="7EF886BF">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2256</w:t>
            </w:r>
          </w:p>
        </w:tc>
      </w:tr>
      <w:tr w14:paraId="74392B5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7" w:type="dxa"/>
            <w:bottom w:w="0" w:type="dxa"/>
            <w:right w:w="17" w:type="dxa"/>
          </w:tblCellMar>
        </w:tblPrEx>
        <w:trPr>
          <w:trHeight w:val="23" w:hRule="atLeast"/>
          <w:jc w:val="center"/>
        </w:trPr>
        <w:tc>
          <w:tcPr>
            <w:tcW w:w="288" w:type="pct"/>
            <w:vMerge w:val="continue"/>
            <w:noWrap w:val="0"/>
            <w:vAlign w:val="center"/>
          </w:tcPr>
          <w:p w14:paraId="554ED664">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none"/>
                <w:lang w:val="en-US" w:eastAsia="zh-CN"/>
              </w:rPr>
            </w:pPr>
          </w:p>
        </w:tc>
        <w:tc>
          <w:tcPr>
            <w:tcW w:w="586" w:type="pct"/>
            <w:vMerge w:val="continue"/>
            <w:shd w:val="clear" w:color="auto" w:fill="auto"/>
            <w:noWrap w:val="0"/>
            <w:vAlign w:val="center"/>
          </w:tcPr>
          <w:p w14:paraId="332F6DC0">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none"/>
                <w:lang w:val="en-US" w:eastAsia="zh-CN"/>
              </w:rPr>
            </w:pPr>
          </w:p>
        </w:tc>
        <w:tc>
          <w:tcPr>
            <w:tcW w:w="1139" w:type="pct"/>
            <w:shd w:val="clear" w:color="auto" w:fill="auto"/>
            <w:noWrap w:val="0"/>
            <w:vAlign w:val="center"/>
          </w:tcPr>
          <w:p w14:paraId="1BCA0A6F">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硝基苯</w:t>
            </w:r>
          </w:p>
        </w:tc>
        <w:tc>
          <w:tcPr>
            <w:tcW w:w="514" w:type="pct"/>
            <w:shd w:val="clear" w:color="auto" w:fill="auto"/>
            <w:noWrap w:val="0"/>
            <w:vAlign w:val="center"/>
          </w:tcPr>
          <w:p w14:paraId="68806E08">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mg/kg</w:t>
            </w:r>
          </w:p>
        </w:tc>
        <w:tc>
          <w:tcPr>
            <w:tcW w:w="772" w:type="pct"/>
            <w:shd w:val="clear" w:color="auto" w:fill="auto"/>
            <w:noWrap w:val="0"/>
            <w:vAlign w:val="center"/>
          </w:tcPr>
          <w:p w14:paraId="6869DC14">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ND</w:t>
            </w:r>
          </w:p>
        </w:tc>
        <w:tc>
          <w:tcPr>
            <w:tcW w:w="529" w:type="pct"/>
            <w:shd w:val="clear" w:color="auto" w:fill="auto"/>
            <w:noWrap w:val="0"/>
            <w:vAlign w:val="center"/>
          </w:tcPr>
          <w:p w14:paraId="2960FCAC">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0</w:t>
            </w:r>
          </w:p>
        </w:tc>
        <w:tc>
          <w:tcPr>
            <w:tcW w:w="525" w:type="pct"/>
            <w:shd w:val="clear" w:color="auto" w:fill="auto"/>
            <w:noWrap w:val="0"/>
            <w:vAlign w:val="center"/>
          </w:tcPr>
          <w:p w14:paraId="6E52EA8F">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达标</w:t>
            </w:r>
          </w:p>
        </w:tc>
        <w:tc>
          <w:tcPr>
            <w:tcW w:w="644" w:type="pct"/>
            <w:shd w:val="clear" w:color="auto" w:fill="auto"/>
            <w:noWrap w:val="0"/>
            <w:vAlign w:val="center"/>
          </w:tcPr>
          <w:p w14:paraId="03E151F3">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76</w:t>
            </w:r>
          </w:p>
        </w:tc>
      </w:tr>
      <w:tr w14:paraId="71F28BD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7" w:type="dxa"/>
            <w:bottom w:w="0" w:type="dxa"/>
            <w:right w:w="17" w:type="dxa"/>
          </w:tblCellMar>
        </w:tblPrEx>
        <w:trPr>
          <w:trHeight w:val="23" w:hRule="atLeast"/>
          <w:jc w:val="center"/>
        </w:trPr>
        <w:tc>
          <w:tcPr>
            <w:tcW w:w="288" w:type="pct"/>
            <w:vMerge w:val="continue"/>
            <w:noWrap w:val="0"/>
            <w:vAlign w:val="center"/>
          </w:tcPr>
          <w:p w14:paraId="41A20B2C">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none"/>
                <w:lang w:val="en-US" w:eastAsia="zh-CN"/>
              </w:rPr>
            </w:pPr>
          </w:p>
        </w:tc>
        <w:tc>
          <w:tcPr>
            <w:tcW w:w="586" w:type="pct"/>
            <w:vMerge w:val="continue"/>
            <w:shd w:val="clear" w:color="auto" w:fill="auto"/>
            <w:noWrap w:val="0"/>
            <w:vAlign w:val="center"/>
          </w:tcPr>
          <w:p w14:paraId="7377A704">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none"/>
                <w:lang w:val="en-US" w:eastAsia="zh-CN"/>
              </w:rPr>
            </w:pPr>
          </w:p>
        </w:tc>
        <w:tc>
          <w:tcPr>
            <w:tcW w:w="1139" w:type="pct"/>
            <w:shd w:val="clear" w:color="auto" w:fill="auto"/>
            <w:noWrap w:val="0"/>
            <w:vAlign w:val="center"/>
          </w:tcPr>
          <w:p w14:paraId="6C69D14B">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萘</w:t>
            </w:r>
          </w:p>
        </w:tc>
        <w:tc>
          <w:tcPr>
            <w:tcW w:w="514" w:type="pct"/>
            <w:shd w:val="clear" w:color="auto" w:fill="auto"/>
            <w:noWrap w:val="0"/>
            <w:vAlign w:val="center"/>
          </w:tcPr>
          <w:p w14:paraId="7E732A6A">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mg/kg</w:t>
            </w:r>
          </w:p>
        </w:tc>
        <w:tc>
          <w:tcPr>
            <w:tcW w:w="772" w:type="pct"/>
            <w:shd w:val="clear" w:color="auto" w:fill="auto"/>
            <w:noWrap w:val="0"/>
            <w:vAlign w:val="center"/>
          </w:tcPr>
          <w:p w14:paraId="1BF7508E">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ND</w:t>
            </w:r>
          </w:p>
        </w:tc>
        <w:tc>
          <w:tcPr>
            <w:tcW w:w="529" w:type="pct"/>
            <w:shd w:val="clear" w:color="auto" w:fill="auto"/>
            <w:noWrap w:val="0"/>
            <w:vAlign w:val="center"/>
          </w:tcPr>
          <w:p w14:paraId="6B507E99">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0</w:t>
            </w:r>
          </w:p>
        </w:tc>
        <w:tc>
          <w:tcPr>
            <w:tcW w:w="525" w:type="pct"/>
            <w:shd w:val="clear" w:color="auto" w:fill="auto"/>
            <w:noWrap w:val="0"/>
            <w:vAlign w:val="center"/>
          </w:tcPr>
          <w:p w14:paraId="55B0CC95">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达标</w:t>
            </w:r>
          </w:p>
        </w:tc>
        <w:tc>
          <w:tcPr>
            <w:tcW w:w="644" w:type="pct"/>
            <w:shd w:val="clear" w:color="auto" w:fill="auto"/>
            <w:noWrap w:val="0"/>
            <w:vAlign w:val="center"/>
          </w:tcPr>
          <w:p w14:paraId="1D162C72">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70</w:t>
            </w:r>
          </w:p>
        </w:tc>
      </w:tr>
      <w:tr w14:paraId="33B0327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7" w:type="dxa"/>
            <w:bottom w:w="0" w:type="dxa"/>
            <w:right w:w="17" w:type="dxa"/>
          </w:tblCellMar>
        </w:tblPrEx>
        <w:trPr>
          <w:trHeight w:val="23" w:hRule="atLeast"/>
          <w:jc w:val="center"/>
        </w:trPr>
        <w:tc>
          <w:tcPr>
            <w:tcW w:w="288" w:type="pct"/>
            <w:vMerge w:val="continue"/>
            <w:noWrap w:val="0"/>
            <w:vAlign w:val="center"/>
          </w:tcPr>
          <w:p w14:paraId="2264BAF9">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none"/>
                <w:lang w:val="en-US" w:eastAsia="zh-CN"/>
              </w:rPr>
            </w:pPr>
          </w:p>
        </w:tc>
        <w:tc>
          <w:tcPr>
            <w:tcW w:w="586" w:type="pct"/>
            <w:vMerge w:val="continue"/>
            <w:shd w:val="clear" w:color="auto" w:fill="auto"/>
            <w:noWrap w:val="0"/>
            <w:vAlign w:val="center"/>
          </w:tcPr>
          <w:p w14:paraId="6A15E72E">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none"/>
                <w:lang w:val="en-US" w:eastAsia="zh-CN"/>
              </w:rPr>
            </w:pPr>
          </w:p>
        </w:tc>
        <w:tc>
          <w:tcPr>
            <w:tcW w:w="1139" w:type="pct"/>
            <w:shd w:val="clear" w:color="auto" w:fill="auto"/>
            <w:noWrap w:val="0"/>
            <w:vAlign w:val="center"/>
          </w:tcPr>
          <w:p w14:paraId="021D91A0">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苯并[a]蒽</w:t>
            </w:r>
          </w:p>
        </w:tc>
        <w:tc>
          <w:tcPr>
            <w:tcW w:w="514" w:type="pct"/>
            <w:shd w:val="clear" w:color="auto" w:fill="auto"/>
            <w:noWrap w:val="0"/>
            <w:vAlign w:val="center"/>
          </w:tcPr>
          <w:p w14:paraId="226A2826">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mg/kg</w:t>
            </w:r>
          </w:p>
        </w:tc>
        <w:tc>
          <w:tcPr>
            <w:tcW w:w="772" w:type="pct"/>
            <w:shd w:val="clear" w:color="auto" w:fill="auto"/>
            <w:noWrap w:val="0"/>
            <w:vAlign w:val="center"/>
          </w:tcPr>
          <w:p w14:paraId="6D8B9726">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ND</w:t>
            </w:r>
          </w:p>
        </w:tc>
        <w:tc>
          <w:tcPr>
            <w:tcW w:w="529" w:type="pct"/>
            <w:shd w:val="clear" w:color="auto" w:fill="auto"/>
            <w:noWrap w:val="0"/>
            <w:vAlign w:val="center"/>
          </w:tcPr>
          <w:p w14:paraId="05450A01">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0</w:t>
            </w:r>
          </w:p>
        </w:tc>
        <w:tc>
          <w:tcPr>
            <w:tcW w:w="525" w:type="pct"/>
            <w:shd w:val="clear" w:color="auto" w:fill="auto"/>
            <w:noWrap w:val="0"/>
            <w:vAlign w:val="center"/>
          </w:tcPr>
          <w:p w14:paraId="61B30503">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达标</w:t>
            </w:r>
          </w:p>
        </w:tc>
        <w:tc>
          <w:tcPr>
            <w:tcW w:w="644" w:type="pct"/>
            <w:shd w:val="clear" w:color="auto" w:fill="auto"/>
            <w:noWrap w:val="0"/>
            <w:vAlign w:val="center"/>
          </w:tcPr>
          <w:p w14:paraId="7CBD9D47">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15</w:t>
            </w:r>
          </w:p>
        </w:tc>
      </w:tr>
      <w:tr w14:paraId="10D7821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7" w:type="dxa"/>
            <w:bottom w:w="0" w:type="dxa"/>
            <w:right w:w="17" w:type="dxa"/>
          </w:tblCellMar>
        </w:tblPrEx>
        <w:trPr>
          <w:trHeight w:val="23" w:hRule="atLeast"/>
          <w:jc w:val="center"/>
        </w:trPr>
        <w:tc>
          <w:tcPr>
            <w:tcW w:w="288" w:type="pct"/>
            <w:vMerge w:val="continue"/>
            <w:noWrap w:val="0"/>
            <w:vAlign w:val="center"/>
          </w:tcPr>
          <w:p w14:paraId="13B5A206">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none"/>
                <w:lang w:val="en-US" w:eastAsia="zh-CN"/>
              </w:rPr>
            </w:pPr>
          </w:p>
        </w:tc>
        <w:tc>
          <w:tcPr>
            <w:tcW w:w="586" w:type="pct"/>
            <w:vMerge w:val="continue"/>
            <w:shd w:val="clear" w:color="auto" w:fill="auto"/>
            <w:noWrap w:val="0"/>
            <w:vAlign w:val="center"/>
          </w:tcPr>
          <w:p w14:paraId="6462C7B1">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none"/>
                <w:lang w:val="en-US" w:eastAsia="zh-CN"/>
              </w:rPr>
            </w:pPr>
          </w:p>
        </w:tc>
        <w:tc>
          <w:tcPr>
            <w:tcW w:w="1139" w:type="pct"/>
            <w:shd w:val="clear" w:color="auto" w:fill="auto"/>
            <w:noWrap w:val="0"/>
            <w:vAlign w:val="center"/>
          </w:tcPr>
          <w:p w14:paraId="2CB7C880">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䓛</w:t>
            </w:r>
          </w:p>
        </w:tc>
        <w:tc>
          <w:tcPr>
            <w:tcW w:w="514" w:type="pct"/>
            <w:shd w:val="clear" w:color="auto" w:fill="auto"/>
            <w:noWrap w:val="0"/>
            <w:vAlign w:val="center"/>
          </w:tcPr>
          <w:p w14:paraId="76FCAF5F">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mg/kg</w:t>
            </w:r>
          </w:p>
        </w:tc>
        <w:tc>
          <w:tcPr>
            <w:tcW w:w="772" w:type="pct"/>
            <w:shd w:val="clear" w:color="auto" w:fill="auto"/>
            <w:noWrap w:val="0"/>
            <w:vAlign w:val="center"/>
          </w:tcPr>
          <w:p w14:paraId="37C59EC2">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ND</w:t>
            </w:r>
          </w:p>
        </w:tc>
        <w:tc>
          <w:tcPr>
            <w:tcW w:w="529" w:type="pct"/>
            <w:shd w:val="clear" w:color="auto" w:fill="auto"/>
            <w:noWrap w:val="0"/>
            <w:vAlign w:val="center"/>
          </w:tcPr>
          <w:p w14:paraId="4585AA19">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0</w:t>
            </w:r>
          </w:p>
        </w:tc>
        <w:tc>
          <w:tcPr>
            <w:tcW w:w="525" w:type="pct"/>
            <w:shd w:val="clear" w:color="auto" w:fill="auto"/>
            <w:noWrap w:val="0"/>
            <w:vAlign w:val="center"/>
          </w:tcPr>
          <w:p w14:paraId="4DB948D2">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达标</w:t>
            </w:r>
          </w:p>
        </w:tc>
        <w:tc>
          <w:tcPr>
            <w:tcW w:w="644" w:type="pct"/>
            <w:shd w:val="clear" w:color="auto" w:fill="auto"/>
            <w:noWrap w:val="0"/>
            <w:vAlign w:val="center"/>
          </w:tcPr>
          <w:p w14:paraId="13E065A5">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1293</w:t>
            </w:r>
          </w:p>
        </w:tc>
      </w:tr>
      <w:tr w14:paraId="6DC2A9D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7" w:type="dxa"/>
            <w:bottom w:w="0" w:type="dxa"/>
            <w:right w:w="17" w:type="dxa"/>
          </w:tblCellMar>
        </w:tblPrEx>
        <w:trPr>
          <w:trHeight w:val="23" w:hRule="atLeast"/>
          <w:jc w:val="center"/>
        </w:trPr>
        <w:tc>
          <w:tcPr>
            <w:tcW w:w="288" w:type="pct"/>
            <w:vMerge w:val="continue"/>
            <w:noWrap w:val="0"/>
            <w:vAlign w:val="center"/>
          </w:tcPr>
          <w:p w14:paraId="3A8C3FE4">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none"/>
                <w:lang w:val="en-US" w:eastAsia="zh-CN"/>
              </w:rPr>
            </w:pPr>
          </w:p>
        </w:tc>
        <w:tc>
          <w:tcPr>
            <w:tcW w:w="586" w:type="pct"/>
            <w:vMerge w:val="continue"/>
            <w:shd w:val="clear" w:color="auto" w:fill="auto"/>
            <w:noWrap w:val="0"/>
            <w:vAlign w:val="center"/>
          </w:tcPr>
          <w:p w14:paraId="62E70838">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none"/>
                <w:lang w:val="en-US" w:eastAsia="zh-CN"/>
              </w:rPr>
            </w:pPr>
          </w:p>
        </w:tc>
        <w:tc>
          <w:tcPr>
            <w:tcW w:w="1139" w:type="pct"/>
            <w:shd w:val="clear" w:color="auto" w:fill="auto"/>
            <w:noWrap w:val="0"/>
            <w:vAlign w:val="center"/>
          </w:tcPr>
          <w:p w14:paraId="3D45B614">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苯并[b]荧蒽</w:t>
            </w:r>
          </w:p>
        </w:tc>
        <w:tc>
          <w:tcPr>
            <w:tcW w:w="514" w:type="pct"/>
            <w:shd w:val="clear" w:color="auto" w:fill="auto"/>
            <w:noWrap w:val="0"/>
            <w:vAlign w:val="center"/>
          </w:tcPr>
          <w:p w14:paraId="52B8B6F5">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mg/kg</w:t>
            </w:r>
          </w:p>
        </w:tc>
        <w:tc>
          <w:tcPr>
            <w:tcW w:w="772" w:type="pct"/>
            <w:shd w:val="clear" w:color="auto" w:fill="auto"/>
            <w:noWrap w:val="0"/>
            <w:vAlign w:val="center"/>
          </w:tcPr>
          <w:p w14:paraId="3838CE87">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ND</w:t>
            </w:r>
          </w:p>
        </w:tc>
        <w:tc>
          <w:tcPr>
            <w:tcW w:w="529" w:type="pct"/>
            <w:shd w:val="clear" w:color="auto" w:fill="auto"/>
            <w:noWrap w:val="0"/>
            <w:vAlign w:val="center"/>
          </w:tcPr>
          <w:p w14:paraId="4369B756">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0</w:t>
            </w:r>
          </w:p>
        </w:tc>
        <w:tc>
          <w:tcPr>
            <w:tcW w:w="525" w:type="pct"/>
            <w:shd w:val="clear" w:color="auto" w:fill="auto"/>
            <w:noWrap w:val="0"/>
            <w:vAlign w:val="center"/>
          </w:tcPr>
          <w:p w14:paraId="5BF6075C">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达标</w:t>
            </w:r>
          </w:p>
        </w:tc>
        <w:tc>
          <w:tcPr>
            <w:tcW w:w="644" w:type="pct"/>
            <w:shd w:val="clear" w:color="auto" w:fill="auto"/>
            <w:noWrap w:val="0"/>
            <w:vAlign w:val="center"/>
          </w:tcPr>
          <w:p w14:paraId="3EAF6251">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15</w:t>
            </w:r>
          </w:p>
        </w:tc>
      </w:tr>
      <w:tr w14:paraId="68E904B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7" w:type="dxa"/>
            <w:bottom w:w="0" w:type="dxa"/>
            <w:right w:w="17" w:type="dxa"/>
          </w:tblCellMar>
        </w:tblPrEx>
        <w:trPr>
          <w:trHeight w:val="23" w:hRule="atLeast"/>
          <w:jc w:val="center"/>
        </w:trPr>
        <w:tc>
          <w:tcPr>
            <w:tcW w:w="288" w:type="pct"/>
            <w:vMerge w:val="continue"/>
            <w:noWrap w:val="0"/>
            <w:vAlign w:val="center"/>
          </w:tcPr>
          <w:p w14:paraId="33748861">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none"/>
                <w:lang w:val="en-US" w:eastAsia="zh-CN"/>
              </w:rPr>
            </w:pPr>
          </w:p>
        </w:tc>
        <w:tc>
          <w:tcPr>
            <w:tcW w:w="586" w:type="pct"/>
            <w:vMerge w:val="continue"/>
            <w:shd w:val="clear" w:color="auto" w:fill="auto"/>
            <w:noWrap w:val="0"/>
            <w:vAlign w:val="center"/>
          </w:tcPr>
          <w:p w14:paraId="647FCFFC">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none"/>
                <w:lang w:val="en-US" w:eastAsia="zh-CN"/>
              </w:rPr>
            </w:pPr>
          </w:p>
        </w:tc>
        <w:tc>
          <w:tcPr>
            <w:tcW w:w="1139" w:type="pct"/>
            <w:shd w:val="clear" w:color="auto" w:fill="auto"/>
            <w:noWrap w:val="0"/>
            <w:vAlign w:val="center"/>
          </w:tcPr>
          <w:p w14:paraId="692204FC">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苯并[k]荧蒽</w:t>
            </w:r>
          </w:p>
        </w:tc>
        <w:tc>
          <w:tcPr>
            <w:tcW w:w="514" w:type="pct"/>
            <w:shd w:val="clear" w:color="auto" w:fill="auto"/>
            <w:noWrap w:val="0"/>
            <w:vAlign w:val="center"/>
          </w:tcPr>
          <w:p w14:paraId="76D25930">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mg/kg</w:t>
            </w:r>
          </w:p>
        </w:tc>
        <w:tc>
          <w:tcPr>
            <w:tcW w:w="772" w:type="pct"/>
            <w:shd w:val="clear" w:color="auto" w:fill="auto"/>
            <w:noWrap w:val="0"/>
            <w:vAlign w:val="center"/>
          </w:tcPr>
          <w:p w14:paraId="17AE99DF">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ND</w:t>
            </w:r>
          </w:p>
        </w:tc>
        <w:tc>
          <w:tcPr>
            <w:tcW w:w="529" w:type="pct"/>
            <w:shd w:val="clear" w:color="auto" w:fill="auto"/>
            <w:noWrap w:val="0"/>
            <w:vAlign w:val="center"/>
          </w:tcPr>
          <w:p w14:paraId="6B5E957F">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0</w:t>
            </w:r>
          </w:p>
        </w:tc>
        <w:tc>
          <w:tcPr>
            <w:tcW w:w="525" w:type="pct"/>
            <w:shd w:val="clear" w:color="auto" w:fill="auto"/>
            <w:noWrap w:val="0"/>
            <w:vAlign w:val="center"/>
          </w:tcPr>
          <w:p w14:paraId="3999B3CE">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达标</w:t>
            </w:r>
          </w:p>
        </w:tc>
        <w:tc>
          <w:tcPr>
            <w:tcW w:w="644" w:type="pct"/>
            <w:shd w:val="clear" w:color="auto" w:fill="auto"/>
            <w:noWrap w:val="0"/>
            <w:vAlign w:val="center"/>
          </w:tcPr>
          <w:p w14:paraId="4ACE7A2A">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151</w:t>
            </w:r>
          </w:p>
        </w:tc>
      </w:tr>
      <w:tr w14:paraId="2E88D75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7" w:type="dxa"/>
            <w:bottom w:w="0" w:type="dxa"/>
            <w:right w:w="17" w:type="dxa"/>
          </w:tblCellMar>
        </w:tblPrEx>
        <w:trPr>
          <w:trHeight w:val="23" w:hRule="atLeast"/>
          <w:jc w:val="center"/>
        </w:trPr>
        <w:tc>
          <w:tcPr>
            <w:tcW w:w="288" w:type="pct"/>
            <w:vMerge w:val="continue"/>
            <w:noWrap w:val="0"/>
            <w:vAlign w:val="center"/>
          </w:tcPr>
          <w:p w14:paraId="36DB8C67">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none"/>
                <w:lang w:val="en-US" w:eastAsia="zh-CN"/>
              </w:rPr>
            </w:pPr>
          </w:p>
        </w:tc>
        <w:tc>
          <w:tcPr>
            <w:tcW w:w="586" w:type="pct"/>
            <w:vMerge w:val="continue"/>
            <w:shd w:val="clear" w:color="auto" w:fill="auto"/>
            <w:noWrap w:val="0"/>
            <w:vAlign w:val="center"/>
          </w:tcPr>
          <w:p w14:paraId="5EEF7D5D">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none"/>
                <w:lang w:val="en-US" w:eastAsia="zh-CN"/>
              </w:rPr>
            </w:pPr>
          </w:p>
        </w:tc>
        <w:tc>
          <w:tcPr>
            <w:tcW w:w="1139" w:type="pct"/>
            <w:shd w:val="clear" w:color="auto" w:fill="auto"/>
            <w:noWrap w:val="0"/>
            <w:vAlign w:val="center"/>
          </w:tcPr>
          <w:p w14:paraId="60AF6D23">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苯并[a]芘</w:t>
            </w:r>
          </w:p>
        </w:tc>
        <w:tc>
          <w:tcPr>
            <w:tcW w:w="514" w:type="pct"/>
            <w:shd w:val="clear" w:color="auto" w:fill="auto"/>
            <w:noWrap w:val="0"/>
            <w:vAlign w:val="center"/>
          </w:tcPr>
          <w:p w14:paraId="32A2BE9B">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mg/kg</w:t>
            </w:r>
          </w:p>
        </w:tc>
        <w:tc>
          <w:tcPr>
            <w:tcW w:w="772" w:type="pct"/>
            <w:shd w:val="clear" w:color="auto" w:fill="auto"/>
            <w:noWrap w:val="0"/>
            <w:vAlign w:val="center"/>
          </w:tcPr>
          <w:p w14:paraId="70D1B2BD">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ND</w:t>
            </w:r>
          </w:p>
        </w:tc>
        <w:tc>
          <w:tcPr>
            <w:tcW w:w="529" w:type="pct"/>
            <w:shd w:val="clear" w:color="auto" w:fill="auto"/>
            <w:noWrap w:val="0"/>
            <w:vAlign w:val="center"/>
          </w:tcPr>
          <w:p w14:paraId="18199C55">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0</w:t>
            </w:r>
          </w:p>
        </w:tc>
        <w:tc>
          <w:tcPr>
            <w:tcW w:w="525" w:type="pct"/>
            <w:shd w:val="clear" w:color="auto" w:fill="auto"/>
            <w:noWrap w:val="0"/>
            <w:vAlign w:val="center"/>
          </w:tcPr>
          <w:p w14:paraId="73139817">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达标</w:t>
            </w:r>
          </w:p>
        </w:tc>
        <w:tc>
          <w:tcPr>
            <w:tcW w:w="644" w:type="pct"/>
            <w:shd w:val="clear" w:color="auto" w:fill="auto"/>
            <w:noWrap w:val="0"/>
            <w:vAlign w:val="center"/>
          </w:tcPr>
          <w:p w14:paraId="521AE31B">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1.5</w:t>
            </w:r>
          </w:p>
        </w:tc>
      </w:tr>
      <w:tr w14:paraId="3E646A2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7" w:type="dxa"/>
            <w:bottom w:w="0" w:type="dxa"/>
            <w:right w:w="17" w:type="dxa"/>
          </w:tblCellMar>
        </w:tblPrEx>
        <w:trPr>
          <w:trHeight w:val="23" w:hRule="atLeast"/>
          <w:jc w:val="center"/>
        </w:trPr>
        <w:tc>
          <w:tcPr>
            <w:tcW w:w="288" w:type="pct"/>
            <w:vMerge w:val="continue"/>
            <w:noWrap w:val="0"/>
            <w:vAlign w:val="center"/>
          </w:tcPr>
          <w:p w14:paraId="657E68D5">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none"/>
                <w:lang w:val="en-US" w:eastAsia="zh-CN"/>
              </w:rPr>
            </w:pPr>
          </w:p>
        </w:tc>
        <w:tc>
          <w:tcPr>
            <w:tcW w:w="586" w:type="pct"/>
            <w:vMerge w:val="continue"/>
            <w:shd w:val="clear" w:color="auto" w:fill="auto"/>
            <w:noWrap w:val="0"/>
            <w:vAlign w:val="center"/>
          </w:tcPr>
          <w:p w14:paraId="302AE04C">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none"/>
                <w:lang w:val="en-US" w:eastAsia="zh-CN"/>
              </w:rPr>
            </w:pPr>
          </w:p>
        </w:tc>
        <w:tc>
          <w:tcPr>
            <w:tcW w:w="1139" w:type="pct"/>
            <w:shd w:val="clear" w:color="auto" w:fill="auto"/>
            <w:noWrap w:val="0"/>
            <w:vAlign w:val="center"/>
          </w:tcPr>
          <w:p w14:paraId="73C5BD23">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茚并[1,2,3-cd]芘</w:t>
            </w:r>
          </w:p>
        </w:tc>
        <w:tc>
          <w:tcPr>
            <w:tcW w:w="514" w:type="pct"/>
            <w:shd w:val="clear" w:color="auto" w:fill="auto"/>
            <w:noWrap w:val="0"/>
            <w:vAlign w:val="center"/>
          </w:tcPr>
          <w:p w14:paraId="78428578">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mg/kg</w:t>
            </w:r>
          </w:p>
        </w:tc>
        <w:tc>
          <w:tcPr>
            <w:tcW w:w="772" w:type="pct"/>
            <w:shd w:val="clear" w:color="auto" w:fill="auto"/>
            <w:noWrap w:val="0"/>
            <w:vAlign w:val="center"/>
          </w:tcPr>
          <w:p w14:paraId="6AB8E6A7">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ND</w:t>
            </w:r>
          </w:p>
        </w:tc>
        <w:tc>
          <w:tcPr>
            <w:tcW w:w="529" w:type="pct"/>
            <w:shd w:val="clear" w:color="auto" w:fill="auto"/>
            <w:noWrap w:val="0"/>
            <w:vAlign w:val="center"/>
          </w:tcPr>
          <w:p w14:paraId="76AE5E40">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0</w:t>
            </w:r>
          </w:p>
        </w:tc>
        <w:tc>
          <w:tcPr>
            <w:tcW w:w="525" w:type="pct"/>
            <w:shd w:val="clear" w:color="auto" w:fill="auto"/>
            <w:noWrap w:val="0"/>
            <w:vAlign w:val="center"/>
          </w:tcPr>
          <w:p w14:paraId="763AED64">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达标</w:t>
            </w:r>
          </w:p>
        </w:tc>
        <w:tc>
          <w:tcPr>
            <w:tcW w:w="644" w:type="pct"/>
            <w:shd w:val="clear" w:color="auto" w:fill="auto"/>
            <w:noWrap w:val="0"/>
            <w:vAlign w:val="center"/>
          </w:tcPr>
          <w:p w14:paraId="2DBC8E2E">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15</w:t>
            </w:r>
          </w:p>
        </w:tc>
      </w:tr>
      <w:tr w14:paraId="4FEF24C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7" w:type="dxa"/>
            <w:bottom w:w="0" w:type="dxa"/>
            <w:right w:w="17" w:type="dxa"/>
          </w:tblCellMar>
        </w:tblPrEx>
        <w:trPr>
          <w:trHeight w:val="23" w:hRule="atLeast"/>
          <w:jc w:val="center"/>
        </w:trPr>
        <w:tc>
          <w:tcPr>
            <w:tcW w:w="288" w:type="pct"/>
            <w:vMerge w:val="continue"/>
            <w:noWrap w:val="0"/>
            <w:vAlign w:val="center"/>
          </w:tcPr>
          <w:p w14:paraId="71C3CD46">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none"/>
                <w:lang w:val="en-US" w:eastAsia="zh-CN"/>
              </w:rPr>
            </w:pPr>
          </w:p>
        </w:tc>
        <w:tc>
          <w:tcPr>
            <w:tcW w:w="586" w:type="pct"/>
            <w:vMerge w:val="continue"/>
            <w:shd w:val="clear" w:color="auto" w:fill="auto"/>
            <w:noWrap w:val="0"/>
            <w:vAlign w:val="center"/>
          </w:tcPr>
          <w:p w14:paraId="03B57FC7">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none"/>
                <w:lang w:val="en-US" w:eastAsia="zh-CN"/>
              </w:rPr>
            </w:pPr>
          </w:p>
        </w:tc>
        <w:tc>
          <w:tcPr>
            <w:tcW w:w="1139" w:type="pct"/>
            <w:shd w:val="clear" w:color="auto" w:fill="auto"/>
            <w:noWrap w:val="0"/>
            <w:vAlign w:val="center"/>
          </w:tcPr>
          <w:p w14:paraId="3F40250E">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二苯并[a,h]蒽</w:t>
            </w:r>
          </w:p>
        </w:tc>
        <w:tc>
          <w:tcPr>
            <w:tcW w:w="514" w:type="pct"/>
            <w:shd w:val="clear" w:color="auto" w:fill="auto"/>
            <w:noWrap w:val="0"/>
            <w:vAlign w:val="center"/>
          </w:tcPr>
          <w:p w14:paraId="4C4E59BE">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mg/kg</w:t>
            </w:r>
          </w:p>
        </w:tc>
        <w:tc>
          <w:tcPr>
            <w:tcW w:w="772" w:type="pct"/>
            <w:shd w:val="clear" w:color="auto" w:fill="auto"/>
            <w:noWrap w:val="0"/>
            <w:vAlign w:val="center"/>
          </w:tcPr>
          <w:p w14:paraId="537F04AA">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ND</w:t>
            </w:r>
          </w:p>
        </w:tc>
        <w:tc>
          <w:tcPr>
            <w:tcW w:w="529" w:type="pct"/>
            <w:shd w:val="clear" w:color="auto" w:fill="auto"/>
            <w:noWrap w:val="0"/>
            <w:vAlign w:val="center"/>
          </w:tcPr>
          <w:p w14:paraId="1991F237">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0</w:t>
            </w:r>
          </w:p>
        </w:tc>
        <w:tc>
          <w:tcPr>
            <w:tcW w:w="525" w:type="pct"/>
            <w:shd w:val="clear" w:color="auto" w:fill="auto"/>
            <w:noWrap w:val="0"/>
            <w:vAlign w:val="center"/>
          </w:tcPr>
          <w:p w14:paraId="5372CADA">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达标</w:t>
            </w:r>
          </w:p>
        </w:tc>
        <w:tc>
          <w:tcPr>
            <w:tcW w:w="644" w:type="pct"/>
            <w:shd w:val="clear" w:color="auto" w:fill="auto"/>
            <w:noWrap w:val="0"/>
            <w:vAlign w:val="center"/>
          </w:tcPr>
          <w:p w14:paraId="40BF0898">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1.5</w:t>
            </w:r>
          </w:p>
        </w:tc>
      </w:tr>
      <w:tr w14:paraId="1C9D7AA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7" w:type="dxa"/>
            <w:bottom w:w="0" w:type="dxa"/>
            <w:right w:w="17" w:type="dxa"/>
          </w:tblCellMar>
        </w:tblPrEx>
        <w:trPr>
          <w:trHeight w:val="23" w:hRule="atLeast"/>
          <w:jc w:val="center"/>
        </w:trPr>
        <w:tc>
          <w:tcPr>
            <w:tcW w:w="288" w:type="pct"/>
            <w:vMerge w:val="continue"/>
            <w:noWrap w:val="0"/>
            <w:vAlign w:val="center"/>
          </w:tcPr>
          <w:p w14:paraId="3EEB8D38">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none"/>
                <w:lang w:val="en-US" w:eastAsia="zh-CN"/>
              </w:rPr>
            </w:pPr>
          </w:p>
        </w:tc>
        <w:tc>
          <w:tcPr>
            <w:tcW w:w="586" w:type="pct"/>
            <w:vMerge w:val="continue"/>
            <w:shd w:val="clear" w:color="auto" w:fill="auto"/>
            <w:noWrap w:val="0"/>
            <w:vAlign w:val="center"/>
          </w:tcPr>
          <w:p w14:paraId="4DDB3598">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none"/>
                <w:lang w:val="en-US" w:eastAsia="zh-CN"/>
              </w:rPr>
            </w:pPr>
          </w:p>
        </w:tc>
        <w:tc>
          <w:tcPr>
            <w:tcW w:w="1139" w:type="pct"/>
            <w:shd w:val="clear" w:color="auto" w:fill="auto"/>
            <w:noWrap w:val="0"/>
            <w:vAlign w:val="center"/>
          </w:tcPr>
          <w:p w14:paraId="12C02816">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氰化物</w:t>
            </w:r>
          </w:p>
        </w:tc>
        <w:tc>
          <w:tcPr>
            <w:tcW w:w="514" w:type="pct"/>
            <w:shd w:val="clear" w:color="auto" w:fill="auto"/>
            <w:noWrap w:val="0"/>
            <w:vAlign w:val="center"/>
          </w:tcPr>
          <w:p w14:paraId="07DEDA44">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mg/kg</w:t>
            </w:r>
          </w:p>
        </w:tc>
        <w:tc>
          <w:tcPr>
            <w:tcW w:w="772" w:type="pct"/>
            <w:shd w:val="clear" w:color="auto" w:fill="auto"/>
            <w:noWrap w:val="0"/>
            <w:vAlign w:val="center"/>
          </w:tcPr>
          <w:p w14:paraId="3EAFA3C2">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ND</w:t>
            </w:r>
          </w:p>
        </w:tc>
        <w:tc>
          <w:tcPr>
            <w:tcW w:w="529" w:type="pct"/>
            <w:shd w:val="clear" w:color="auto" w:fill="auto"/>
            <w:noWrap w:val="0"/>
            <w:vAlign w:val="center"/>
          </w:tcPr>
          <w:p w14:paraId="632AB83E">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0</w:t>
            </w:r>
          </w:p>
        </w:tc>
        <w:tc>
          <w:tcPr>
            <w:tcW w:w="525" w:type="pct"/>
            <w:shd w:val="clear" w:color="auto" w:fill="auto"/>
            <w:noWrap w:val="0"/>
            <w:vAlign w:val="center"/>
          </w:tcPr>
          <w:p w14:paraId="41222FF2">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达标</w:t>
            </w:r>
          </w:p>
        </w:tc>
        <w:tc>
          <w:tcPr>
            <w:tcW w:w="644" w:type="pct"/>
            <w:shd w:val="clear" w:color="auto" w:fill="auto"/>
            <w:noWrap w:val="0"/>
            <w:vAlign w:val="center"/>
          </w:tcPr>
          <w:p w14:paraId="7685B5C0">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sz w:val="21"/>
                <w:szCs w:val="21"/>
                <w:highlight w:val="none"/>
                <w:lang w:val="en-US" w:eastAsia="zh-CN"/>
              </w:rPr>
            </w:pPr>
            <w:r>
              <w:rPr>
                <w:rFonts w:hint="eastAsia"/>
                <w:sz w:val="21"/>
                <w:szCs w:val="21"/>
                <w:highlight w:val="none"/>
                <w:lang w:val="en-US" w:eastAsia="zh-CN"/>
              </w:rPr>
              <w:t>135</w:t>
            </w:r>
          </w:p>
        </w:tc>
      </w:tr>
      <w:tr w14:paraId="46E6422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7" w:type="dxa"/>
            <w:bottom w:w="0" w:type="dxa"/>
            <w:right w:w="17" w:type="dxa"/>
          </w:tblCellMar>
        </w:tblPrEx>
        <w:trPr>
          <w:trHeight w:val="23" w:hRule="atLeast"/>
          <w:jc w:val="center"/>
        </w:trPr>
        <w:tc>
          <w:tcPr>
            <w:tcW w:w="288" w:type="pct"/>
            <w:vMerge w:val="continue"/>
            <w:noWrap w:val="0"/>
            <w:vAlign w:val="center"/>
          </w:tcPr>
          <w:p w14:paraId="6AC7F565">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none"/>
                <w:lang w:val="en-US" w:eastAsia="zh-CN"/>
              </w:rPr>
            </w:pPr>
          </w:p>
        </w:tc>
        <w:tc>
          <w:tcPr>
            <w:tcW w:w="586" w:type="pct"/>
            <w:vMerge w:val="continue"/>
            <w:shd w:val="clear" w:color="auto" w:fill="auto"/>
            <w:noWrap w:val="0"/>
            <w:vAlign w:val="center"/>
          </w:tcPr>
          <w:p w14:paraId="28782B49">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none"/>
                <w:lang w:val="en-US" w:eastAsia="zh-CN"/>
              </w:rPr>
            </w:pPr>
          </w:p>
        </w:tc>
        <w:tc>
          <w:tcPr>
            <w:tcW w:w="1139" w:type="pct"/>
            <w:shd w:val="clear" w:color="auto" w:fill="auto"/>
            <w:noWrap w:val="0"/>
            <w:vAlign w:val="center"/>
          </w:tcPr>
          <w:p w14:paraId="21D9F3AA">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锌</w:t>
            </w:r>
          </w:p>
        </w:tc>
        <w:tc>
          <w:tcPr>
            <w:tcW w:w="514" w:type="pct"/>
            <w:shd w:val="clear" w:color="auto" w:fill="auto"/>
            <w:noWrap w:val="0"/>
            <w:vAlign w:val="center"/>
          </w:tcPr>
          <w:p w14:paraId="1BB4892E">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mg/kg</w:t>
            </w:r>
          </w:p>
        </w:tc>
        <w:tc>
          <w:tcPr>
            <w:tcW w:w="772" w:type="pct"/>
            <w:shd w:val="clear" w:color="auto" w:fill="auto"/>
            <w:noWrap w:val="0"/>
            <w:vAlign w:val="center"/>
          </w:tcPr>
          <w:p w14:paraId="29D98F70">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179</w:t>
            </w:r>
          </w:p>
        </w:tc>
        <w:tc>
          <w:tcPr>
            <w:tcW w:w="529" w:type="pct"/>
            <w:shd w:val="clear" w:color="auto" w:fill="auto"/>
            <w:noWrap w:val="0"/>
            <w:vAlign w:val="center"/>
          </w:tcPr>
          <w:p w14:paraId="4DE24D09">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w:t>
            </w:r>
          </w:p>
        </w:tc>
        <w:tc>
          <w:tcPr>
            <w:tcW w:w="525" w:type="pct"/>
            <w:shd w:val="clear" w:color="auto" w:fill="auto"/>
            <w:noWrap w:val="0"/>
            <w:vAlign w:val="center"/>
          </w:tcPr>
          <w:p w14:paraId="61DDC704">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w:t>
            </w:r>
          </w:p>
        </w:tc>
        <w:tc>
          <w:tcPr>
            <w:tcW w:w="644" w:type="pct"/>
            <w:shd w:val="clear" w:color="auto" w:fill="auto"/>
            <w:noWrap w:val="0"/>
            <w:vAlign w:val="center"/>
          </w:tcPr>
          <w:p w14:paraId="16F2DFBF">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sz w:val="21"/>
                <w:szCs w:val="21"/>
                <w:highlight w:val="none"/>
                <w:lang w:val="en-US" w:eastAsia="zh-CN"/>
              </w:rPr>
            </w:pPr>
            <w:r>
              <w:rPr>
                <w:rFonts w:hint="eastAsia"/>
                <w:sz w:val="21"/>
                <w:szCs w:val="21"/>
                <w:highlight w:val="none"/>
                <w:lang w:val="en-US" w:eastAsia="zh-CN"/>
              </w:rPr>
              <w:t>/</w:t>
            </w:r>
          </w:p>
        </w:tc>
      </w:tr>
      <w:tr w14:paraId="353F5A5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7" w:type="dxa"/>
            <w:bottom w:w="0" w:type="dxa"/>
            <w:right w:w="17" w:type="dxa"/>
          </w:tblCellMar>
        </w:tblPrEx>
        <w:trPr>
          <w:trHeight w:val="23" w:hRule="atLeast"/>
          <w:jc w:val="center"/>
        </w:trPr>
        <w:tc>
          <w:tcPr>
            <w:tcW w:w="288" w:type="pct"/>
            <w:vMerge w:val="continue"/>
            <w:noWrap w:val="0"/>
            <w:vAlign w:val="center"/>
          </w:tcPr>
          <w:p w14:paraId="58244666">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none"/>
                <w:lang w:val="en-US" w:eastAsia="zh-CN"/>
              </w:rPr>
            </w:pPr>
          </w:p>
        </w:tc>
        <w:tc>
          <w:tcPr>
            <w:tcW w:w="586" w:type="pct"/>
            <w:vMerge w:val="continue"/>
            <w:shd w:val="clear" w:color="auto" w:fill="auto"/>
            <w:noWrap w:val="0"/>
            <w:vAlign w:val="center"/>
          </w:tcPr>
          <w:p w14:paraId="15EAE4CB">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none"/>
                <w:lang w:val="en-US" w:eastAsia="zh-CN"/>
              </w:rPr>
            </w:pPr>
          </w:p>
        </w:tc>
        <w:tc>
          <w:tcPr>
            <w:tcW w:w="1139" w:type="pct"/>
            <w:shd w:val="clear" w:color="auto" w:fill="auto"/>
            <w:noWrap w:val="0"/>
            <w:vAlign w:val="center"/>
          </w:tcPr>
          <w:p w14:paraId="0F7AA16B">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总铬</w:t>
            </w:r>
          </w:p>
        </w:tc>
        <w:tc>
          <w:tcPr>
            <w:tcW w:w="514" w:type="pct"/>
            <w:shd w:val="clear" w:color="auto" w:fill="auto"/>
            <w:noWrap w:val="0"/>
            <w:vAlign w:val="center"/>
          </w:tcPr>
          <w:p w14:paraId="07E8A6DC">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mg/kg</w:t>
            </w:r>
          </w:p>
        </w:tc>
        <w:tc>
          <w:tcPr>
            <w:tcW w:w="772" w:type="pct"/>
            <w:shd w:val="clear" w:color="auto" w:fill="auto"/>
            <w:noWrap w:val="0"/>
            <w:vAlign w:val="center"/>
          </w:tcPr>
          <w:p w14:paraId="6066DD2C">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87</w:t>
            </w:r>
          </w:p>
        </w:tc>
        <w:tc>
          <w:tcPr>
            <w:tcW w:w="529" w:type="pct"/>
            <w:shd w:val="clear" w:color="auto" w:fill="auto"/>
            <w:noWrap w:val="0"/>
            <w:vAlign w:val="center"/>
          </w:tcPr>
          <w:p w14:paraId="2C4EF53D">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w:t>
            </w:r>
          </w:p>
        </w:tc>
        <w:tc>
          <w:tcPr>
            <w:tcW w:w="525" w:type="pct"/>
            <w:shd w:val="clear" w:color="auto" w:fill="auto"/>
            <w:noWrap w:val="0"/>
            <w:vAlign w:val="center"/>
          </w:tcPr>
          <w:p w14:paraId="20BD43AD">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w:t>
            </w:r>
          </w:p>
        </w:tc>
        <w:tc>
          <w:tcPr>
            <w:tcW w:w="644" w:type="pct"/>
            <w:shd w:val="clear" w:color="auto" w:fill="auto"/>
            <w:noWrap w:val="0"/>
            <w:vAlign w:val="center"/>
          </w:tcPr>
          <w:p w14:paraId="390C41C2">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sz w:val="21"/>
                <w:szCs w:val="21"/>
                <w:highlight w:val="none"/>
                <w:lang w:val="en-US" w:eastAsia="zh-CN"/>
              </w:rPr>
            </w:pPr>
            <w:r>
              <w:rPr>
                <w:rFonts w:hint="eastAsia"/>
                <w:sz w:val="21"/>
                <w:szCs w:val="21"/>
                <w:highlight w:val="none"/>
                <w:lang w:val="en-US" w:eastAsia="zh-CN"/>
              </w:rPr>
              <w:t>/</w:t>
            </w:r>
          </w:p>
        </w:tc>
      </w:tr>
      <w:tr w14:paraId="665DF56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7" w:type="dxa"/>
            <w:bottom w:w="0" w:type="dxa"/>
            <w:right w:w="17" w:type="dxa"/>
          </w:tblCellMar>
        </w:tblPrEx>
        <w:trPr>
          <w:trHeight w:val="23" w:hRule="atLeast"/>
          <w:jc w:val="center"/>
        </w:trPr>
        <w:tc>
          <w:tcPr>
            <w:tcW w:w="288" w:type="pct"/>
            <w:vMerge w:val="continue"/>
            <w:noWrap w:val="0"/>
            <w:vAlign w:val="center"/>
          </w:tcPr>
          <w:p w14:paraId="4AE7CFAD">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none"/>
                <w:lang w:val="en-US" w:eastAsia="zh-CN"/>
              </w:rPr>
            </w:pPr>
          </w:p>
        </w:tc>
        <w:tc>
          <w:tcPr>
            <w:tcW w:w="586" w:type="pct"/>
            <w:vMerge w:val="restart"/>
            <w:shd w:val="clear" w:color="auto" w:fill="auto"/>
            <w:noWrap w:val="0"/>
            <w:vAlign w:val="center"/>
          </w:tcPr>
          <w:p w14:paraId="3C85316A">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0.5~1.5m</w:t>
            </w:r>
          </w:p>
        </w:tc>
        <w:tc>
          <w:tcPr>
            <w:tcW w:w="1139" w:type="pct"/>
            <w:shd w:val="clear" w:color="auto" w:fill="auto"/>
            <w:noWrap w:val="0"/>
            <w:vAlign w:val="center"/>
          </w:tcPr>
          <w:p w14:paraId="61B7B0FB">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sz w:val="21"/>
                <w:szCs w:val="21"/>
                <w:highlight w:val="none"/>
                <w:lang w:val="en-US" w:eastAsia="zh-CN"/>
              </w:rPr>
            </w:pPr>
            <w:r>
              <w:rPr>
                <w:rFonts w:hint="eastAsia"/>
                <w:sz w:val="21"/>
                <w:szCs w:val="21"/>
                <w:highlight w:val="none"/>
                <w:lang w:val="en-US" w:eastAsia="zh-CN"/>
              </w:rPr>
              <w:t>pH</w:t>
            </w:r>
          </w:p>
        </w:tc>
        <w:tc>
          <w:tcPr>
            <w:tcW w:w="514" w:type="pct"/>
            <w:shd w:val="clear" w:color="auto" w:fill="auto"/>
            <w:noWrap w:val="0"/>
            <w:vAlign w:val="center"/>
          </w:tcPr>
          <w:p w14:paraId="7FA4E3A1">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无量纲</w:t>
            </w:r>
          </w:p>
        </w:tc>
        <w:tc>
          <w:tcPr>
            <w:tcW w:w="772" w:type="pct"/>
            <w:noWrap w:val="0"/>
            <w:vAlign w:val="center"/>
          </w:tcPr>
          <w:p w14:paraId="735DE323">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sz w:val="21"/>
                <w:szCs w:val="21"/>
                <w:highlight w:val="none"/>
                <w:lang w:val="en-US" w:eastAsia="zh-CN"/>
              </w:rPr>
            </w:pPr>
            <w:r>
              <w:rPr>
                <w:rFonts w:hint="eastAsia"/>
                <w:sz w:val="21"/>
                <w:szCs w:val="21"/>
                <w:highlight w:val="none"/>
                <w:lang w:val="en-US" w:eastAsia="zh-CN"/>
              </w:rPr>
              <w:t>4.63</w:t>
            </w:r>
          </w:p>
        </w:tc>
        <w:tc>
          <w:tcPr>
            <w:tcW w:w="529" w:type="pct"/>
            <w:shd w:val="clear" w:color="auto" w:fill="auto"/>
            <w:noWrap w:val="0"/>
            <w:vAlign w:val="center"/>
          </w:tcPr>
          <w:p w14:paraId="048E4524">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w:t>
            </w:r>
          </w:p>
        </w:tc>
        <w:tc>
          <w:tcPr>
            <w:tcW w:w="525" w:type="pct"/>
            <w:shd w:val="clear" w:color="auto" w:fill="auto"/>
            <w:noWrap w:val="0"/>
            <w:vAlign w:val="center"/>
          </w:tcPr>
          <w:p w14:paraId="67A457C2">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w:t>
            </w:r>
          </w:p>
        </w:tc>
        <w:tc>
          <w:tcPr>
            <w:tcW w:w="644" w:type="pct"/>
            <w:shd w:val="clear" w:color="auto" w:fill="auto"/>
            <w:noWrap w:val="0"/>
            <w:vAlign w:val="center"/>
          </w:tcPr>
          <w:p w14:paraId="26D61C75">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w:t>
            </w:r>
          </w:p>
        </w:tc>
      </w:tr>
      <w:tr w14:paraId="42C8C15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7" w:type="dxa"/>
            <w:bottom w:w="0" w:type="dxa"/>
            <w:right w:w="17" w:type="dxa"/>
          </w:tblCellMar>
        </w:tblPrEx>
        <w:trPr>
          <w:trHeight w:val="23" w:hRule="atLeast"/>
          <w:jc w:val="center"/>
        </w:trPr>
        <w:tc>
          <w:tcPr>
            <w:tcW w:w="288" w:type="pct"/>
            <w:vMerge w:val="continue"/>
            <w:noWrap w:val="0"/>
            <w:vAlign w:val="center"/>
          </w:tcPr>
          <w:p w14:paraId="40CD69BB">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none"/>
                <w:lang w:val="en-US" w:eastAsia="zh-CN"/>
              </w:rPr>
            </w:pPr>
          </w:p>
        </w:tc>
        <w:tc>
          <w:tcPr>
            <w:tcW w:w="586" w:type="pct"/>
            <w:vMerge w:val="continue"/>
            <w:shd w:val="clear" w:color="auto" w:fill="auto"/>
            <w:noWrap w:val="0"/>
            <w:vAlign w:val="center"/>
          </w:tcPr>
          <w:p w14:paraId="7821CEB6">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none"/>
                <w:lang w:val="en-US" w:eastAsia="zh-CN"/>
              </w:rPr>
            </w:pPr>
          </w:p>
        </w:tc>
        <w:tc>
          <w:tcPr>
            <w:tcW w:w="1139" w:type="pct"/>
            <w:shd w:val="clear" w:color="auto" w:fill="auto"/>
            <w:noWrap w:val="0"/>
            <w:vAlign w:val="center"/>
          </w:tcPr>
          <w:p w14:paraId="688A3D0D">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砷</w:t>
            </w:r>
          </w:p>
        </w:tc>
        <w:tc>
          <w:tcPr>
            <w:tcW w:w="514" w:type="pct"/>
            <w:shd w:val="clear" w:color="auto" w:fill="auto"/>
            <w:noWrap w:val="0"/>
            <w:vAlign w:val="center"/>
          </w:tcPr>
          <w:p w14:paraId="2FB5CD29">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mg/kg</w:t>
            </w:r>
          </w:p>
        </w:tc>
        <w:tc>
          <w:tcPr>
            <w:tcW w:w="772" w:type="pct"/>
            <w:noWrap w:val="0"/>
            <w:vAlign w:val="center"/>
          </w:tcPr>
          <w:p w14:paraId="58964718">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b/>
                <w:bCs/>
                <w:sz w:val="21"/>
                <w:szCs w:val="21"/>
                <w:highlight w:val="none"/>
                <w:lang w:val="en-US" w:eastAsia="zh-CN"/>
              </w:rPr>
            </w:pPr>
            <w:r>
              <w:rPr>
                <w:rFonts w:hint="eastAsia"/>
                <w:b/>
                <w:bCs/>
                <w:sz w:val="21"/>
                <w:szCs w:val="21"/>
                <w:highlight w:val="none"/>
                <w:lang w:val="en-US" w:eastAsia="zh-CN"/>
              </w:rPr>
              <w:t>200</w:t>
            </w:r>
          </w:p>
        </w:tc>
        <w:tc>
          <w:tcPr>
            <w:tcW w:w="529" w:type="pct"/>
            <w:shd w:val="clear" w:color="auto" w:fill="auto"/>
            <w:noWrap w:val="0"/>
            <w:vAlign w:val="center"/>
          </w:tcPr>
          <w:p w14:paraId="0C2F04EE">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kern w:val="2"/>
                <w:sz w:val="21"/>
                <w:szCs w:val="21"/>
                <w:highlight w:val="none"/>
                <w:lang w:val="en-US" w:eastAsia="zh-CN" w:bidi="ar-SA"/>
              </w:rPr>
            </w:pPr>
            <w:r>
              <w:rPr>
                <w:rFonts w:hint="eastAsia" w:cs="Times New Roman"/>
                <w:b/>
                <w:bCs/>
                <w:kern w:val="2"/>
                <w:sz w:val="21"/>
                <w:szCs w:val="21"/>
                <w:highlight w:val="none"/>
                <w:lang w:val="en-US" w:eastAsia="zh-CN" w:bidi="ar-SA"/>
              </w:rPr>
              <w:t>2.33</w:t>
            </w:r>
          </w:p>
        </w:tc>
        <w:tc>
          <w:tcPr>
            <w:tcW w:w="525" w:type="pct"/>
            <w:shd w:val="clear" w:color="auto" w:fill="auto"/>
            <w:noWrap w:val="0"/>
            <w:vAlign w:val="center"/>
          </w:tcPr>
          <w:p w14:paraId="326705AA">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bCs/>
                <w:kern w:val="2"/>
                <w:sz w:val="21"/>
                <w:szCs w:val="21"/>
                <w:highlight w:val="none"/>
                <w:lang w:val="en-US" w:eastAsia="zh-CN" w:bidi="ar-SA"/>
              </w:rPr>
            </w:pPr>
            <w:r>
              <w:rPr>
                <w:rFonts w:hint="eastAsia" w:cs="Times New Roman"/>
                <w:b/>
                <w:bCs/>
                <w:kern w:val="2"/>
                <w:sz w:val="21"/>
                <w:szCs w:val="21"/>
                <w:highlight w:val="none"/>
                <w:lang w:val="en-US" w:eastAsia="zh-CN" w:bidi="ar-SA"/>
              </w:rPr>
              <w:t>超标</w:t>
            </w:r>
          </w:p>
        </w:tc>
        <w:tc>
          <w:tcPr>
            <w:tcW w:w="644" w:type="pct"/>
            <w:shd w:val="clear" w:color="auto" w:fill="auto"/>
            <w:noWrap w:val="0"/>
            <w:vAlign w:val="center"/>
          </w:tcPr>
          <w:p w14:paraId="4D8B474D">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bCs/>
                <w:kern w:val="2"/>
                <w:sz w:val="21"/>
                <w:szCs w:val="21"/>
                <w:highlight w:val="none"/>
                <w:lang w:val="en-US" w:eastAsia="zh-CN" w:bidi="ar-SA"/>
              </w:rPr>
            </w:pPr>
            <w:r>
              <w:rPr>
                <w:rFonts w:hint="eastAsia"/>
                <w:b/>
                <w:bCs/>
                <w:sz w:val="21"/>
                <w:szCs w:val="21"/>
                <w:highlight w:val="none"/>
                <w:lang w:val="en-US" w:eastAsia="zh-CN"/>
              </w:rPr>
              <w:t>60</w:t>
            </w:r>
          </w:p>
        </w:tc>
      </w:tr>
      <w:tr w14:paraId="632627B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7" w:type="dxa"/>
            <w:bottom w:w="0" w:type="dxa"/>
            <w:right w:w="17" w:type="dxa"/>
          </w:tblCellMar>
        </w:tblPrEx>
        <w:trPr>
          <w:trHeight w:val="23" w:hRule="atLeast"/>
          <w:jc w:val="center"/>
        </w:trPr>
        <w:tc>
          <w:tcPr>
            <w:tcW w:w="288" w:type="pct"/>
            <w:vMerge w:val="continue"/>
            <w:noWrap w:val="0"/>
            <w:vAlign w:val="center"/>
          </w:tcPr>
          <w:p w14:paraId="548BC088">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none"/>
                <w:lang w:val="en-US" w:eastAsia="zh-CN"/>
              </w:rPr>
            </w:pPr>
          </w:p>
        </w:tc>
        <w:tc>
          <w:tcPr>
            <w:tcW w:w="586" w:type="pct"/>
            <w:vMerge w:val="continue"/>
            <w:shd w:val="clear" w:color="auto" w:fill="auto"/>
            <w:noWrap w:val="0"/>
            <w:vAlign w:val="center"/>
          </w:tcPr>
          <w:p w14:paraId="01596068">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none"/>
                <w:lang w:val="en-US" w:eastAsia="zh-CN"/>
              </w:rPr>
            </w:pPr>
          </w:p>
        </w:tc>
        <w:tc>
          <w:tcPr>
            <w:tcW w:w="1139" w:type="pct"/>
            <w:shd w:val="clear" w:color="auto" w:fill="auto"/>
            <w:noWrap w:val="0"/>
            <w:vAlign w:val="center"/>
          </w:tcPr>
          <w:p w14:paraId="10DED113">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镉</w:t>
            </w:r>
          </w:p>
        </w:tc>
        <w:tc>
          <w:tcPr>
            <w:tcW w:w="514" w:type="pct"/>
            <w:shd w:val="clear" w:color="auto" w:fill="auto"/>
            <w:noWrap w:val="0"/>
            <w:vAlign w:val="center"/>
          </w:tcPr>
          <w:p w14:paraId="5E207C21">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mg/kg</w:t>
            </w:r>
          </w:p>
        </w:tc>
        <w:tc>
          <w:tcPr>
            <w:tcW w:w="772" w:type="pct"/>
            <w:noWrap w:val="0"/>
            <w:vAlign w:val="center"/>
          </w:tcPr>
          <w:p w14:paraId="0E9C1320">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sz w:val="21"/>
                <w:szCs w:val="21"/>
                <w:highlight w:val="none"/>
                <w:lang w:val="en-US" w:eastAsia="zh-CN"/>
              </w:rPr>
            </w:pPr>
            <w:r>
              <w:rPr>
                <w:rFonts w:hint="eastAsia"/>
                <w:sz w:val="21"/>
                <w:szCs w:val="21"/>
                <w:highlight w:val="none"/>
                <w:lang w:val="en-US" w:eastAsia="zh-CN"/>
              </w:rPr>
              <w:t>0.10</w:t>
            </w:r>
          </w:p>
        </w:tc>
        <w:tc>
          <w:tcPr>
            <w:tcW w:w="529" w:type="pct"/>
            <w:shd w:val="clear" w:color="auto" w:fill="auto"/>
            <w:noWrap w:val="0"/>
            <w:vAlign w:val="center"/>
          </w:tcPr>
          <w:p w14:paraId="47E7354B">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0</w:t>
            </w:r>
          </w:p>
        </w:tc>
        <w:tc>
          <w:tcPr>
            <w:tcW w:w="525" w:type="pct"/>
            <w:shd w:val="clear" w:color="auto" w:fill="auto"/>
            <w:noWrap w:val="0"/>
            <w:vAlign w:val="center"/>
          </w:tcPr>
          <w:p w14:paraId="680D596D">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达标</w:t>
            </w:r>
          </w:p>
        </w:tc>
        <w:tc>
          <w:tcPr>
            <w:tcW w:w="644" w:type="pct"/>
            <w:shd w:val="clear" w:color="auto" w:fill="auto"/>
            <w:noWrap w:val="0"/>
            <w:vAlign w:val="center"/>
          </w:tcPr>
          <w:p w14:paraId="1CCEDB49">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65</w:t>
            </w:r>
          </w:p>
        </w:tc>
      </w:tr>
      <w:tr w14:paraId="7241F31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7" w:type="dxa"/>
            <w:bottom w:w="0" w:type="dxa"/>
            <w:right w:w="17" w:type="dxa"/>
          </w:tblCellMar>
        </w:tblPrEx>
        <w:trPr>
          <w:trHeight w:val="23" w:hRule="atLeast"/>
          <w:jc w:val="center"/>
        </w:trPr>
        <w:tc>
          <w:tcPr>
            <w:tcW w:w="288" w:type="pct"/>
            <w:vMerge w:val="continue"/>
            <w:noWrap w:val="0"/>
            <w:vAlign w:val="center"/>
          </w:tcPr>
          <w:p w14:paraId="17125B83">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none"/>
                <w:lang w:val="en-US" w:eastAsia="zh-CN"/>
              </w:rPr>
            </w:pPr>
          </w:p>
        </w:tc>
        <w:tc>
          <w:tcPr>
            <w:tcW w:w="586" w:type="pct"/>
            <w:vMerge w:val="continue"/>
            <w:shd w:val="clear" w:color="auto" w:fill="auto"/>
            <w:noWrap w:val="0"/>
            <w:vAlign w:val="center"/>
          </w:tcPr>
          <w:p w14:paraId="53EDE4ED">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none"/>
                <w:lang w:val="en-US" w:eastAsia="zh-CN"/>
              </w:rPr>
            </w:pPr>
          </w:p>
        </w:tc>
        <w:tc>
          <w:tcPr>
            <w:tcW w:w="1139" w:type="pct"/>
            <w:shd w:val="clear" w:color="auto" w:fill="auto"/>
            <w:noWrap w:val="0"/>
            <w:vAlign w:val="center"/>
          </w:tcPr>
          <w:p w14:paraId="1E7EFB26">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铅</w:t>
            </w:r>
          </w:p>
        </w:tc>
        <w:tc>
          <w:tcPr>
            <w:tcW w:w="514" w:type="pct"/>
            <w:shd w:val="clear" w:color="auto" w:fill="auto"/>
            <w:noWrap w:val="0"/>
            <w:vAlign w:val="center"/>
          </w:tcPr>
          <w:p w14:paraId="6F177B17">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mg/kg</w:t>
            </w:r>
          </w:p>
        </w:tc>
        <w:tc>
          <w:tcPr>
            <w:tcW w:w="772" w:type="pct"/>
            <w:noWrap w:val="0"/>
            <w:vAlign w:val="center"/>
          </w:tcPr>
          <w:p w14:paraId="16FC3ED4">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sz w:val="21"/>
                <w:szCs w:val="21"/>
                <w:highlight w:val="none"/>
                <w:lang w:val="en-US" w:eastAsia="zh-CN"/>
              </w:rPr>
            </w:pPr>
            <w:r>
              <w:rPr>
                <w:rFonts w:hint="eastAsia"/>
                <w:sz w:val="21"/>
                <w:szCs w:val="21"/>
                <w:highlight w:val="none"/>
                <w:lang w:val="en-US" w:eastAsia="zh-CN"/>
              </w:rPr>
              <w:t>32</w:t>
            </w:r>
          </w:p>
        </w:tc>
        <w:tc>
          <w:tcPr>
            <w:tcW w:w="529" w:type="pct"/>
            <w:shd w:val="clear" w:color="auto" w:fill="auto"/>
            <w:noWrap w:val="0"/>
            <w:vAlign w:val="center"/>
          </w:tcPr>
          <w:p w14:paraId="663835F1">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0</w:t>
            </w:r>
          </w:p>
        </w:tc>
        <w:tc>
          <w:tcPr>
            <w:tcW w:w="525" w:type="pct"/>
            <w:shd w:val="clear" w:color="auto" w:fill="auto"/>
            <w:noWrap w:val="0"/>
            <w:vAlign w:val="center"/>
          </w:tcPr>
          <w:p w14:paraId="0F529256">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达标</w:t>
            </w:r>
          </w:p>
        </w:tc>
        <w:tc>
          <w:tcPr>
            <w:tcW w:w="644" w:type="pct"/>
            <w:shd w:val="clear" w:color="auto" w:fill="auto"/>
            <w:noWrap w:val="0"/>
            <w:vAlign w:val="center"/>
          </w:tcPr>
          <w:p w14:paraId="63D9F5AB">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800</w:t>
            </w:r>
          </w:p>
        </w:tc>
      </w:tr>
      <w:tr w14:paraId="4C2AAD3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7" w:type="dxa"/>
            <w:bottom w:w="0" w:type="dxa"/>
            <w:right w:w="17" w:type="dxa"/>
          </w:tblCellMar>
        </w:tblPrEx>
        <w:trPr>
          <w:trHeight w:val="23" w:hRule="atLeast"/>
          <w:jc w:val="center"/>
        </w:trPr>
        <w:tc>
          <w:tcPr>
            <w:tcW w:w="288" w:type="pct"/>
            <w:vMerge w:val="continue"/>
            <w:noWrap w:val="0"/>
            <w:vAlign w:val="center"/>
          </w:tcPr>
          <w:p w14:paraId="555121B0">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none"/>
                <w:lang w:val="en-US" w:eastAsia="zh-CN"/>
              </w:rPr>
            </w:pPr>
          </w:p>
        </w:tc>
        <w:tc>
          <w:tcPr>
            <w:tcW w:w="586" w:type="pct"/>
            <w:vMerge w:val="continue"/>
            <w:shd w:val="clear" w:color="auto" w:fill="auto"/>
            <w:noWrap w:val="0"/>
            <w:vAlign w:val="center"/>
          </w:tcPr>
          <w:p w14:paraId="78452F2A">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none"/>
                <w:lang w:val="en-US" w:eastAsia="zh-CN"/>
              </w:rPr>
            </w:pPr>
          </w:p>
        </w:tc>
        <w:tc>
          <w:tcPr>
            <w:tcW w:w="1139" w:type="pct"/>
            <w:shd w:val="clear" w:color="auto" w:fill="auto"/>
            <w:noWrap w:val="0"/>
            <w:vAlign w:val="center"/>
          </w:tcPr>
          <w:p w14:paraId="36FFD325">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镍</w:t>
            </w:r>
          </w:p>
        </w:tc>
        <w:tc>
          <w:tcPr>
            <w:tcW w:w="514" w:type="pct"/>
            <w:shd w:val="clear" w:color="auto" w:fill="auto"/>
            <w:noWrap w:val="0"/>
            <w:vAlign w:val="center"/>
          </w:tcPr>
          <w:p w14:paraId="339C084E">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mg/kg</w:t>
            </w:r>
          </w:p>
        </w:tc>
        <w:tc>
          <w:tcPr>
            <w:tcW w:w="772" w:type="pct"/>
            <w:noWrap w:val="0"/>
            <w:vAlign w:val="center"/>
          </w:tcPr>
          <w:p w14:paraId="32472D44">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sz w:val="21"/>
                <w:szCs w:val="21"/>
                <w:highlight w:val="none"/>
                <w:lang w:val="en-US" w:eastAsia="zh-CN"/>
              </w:rPr>
            </w:pPr>
            <w:r>
              <w:rPr>
                <w:rFonts w:hint="eastAsia"/>
                <w:sz w:val="21"/>
                <w:szCs w:val="21"/>
                <w:highlight w:val="none"/>
                <w:lang w:val="en-US" w:eastAsia="zh-CN"/>
              </w:rPr>
              <w:t>41</w:t>
            </w:r>
          </w:p>
        </w:tc>
        <w:tc>
          <w:tcPr>
            <w:tcW w:w="529" w:type="pct"/>
            <w:shd w:val="clear" w:color="auto" w:fill="auto"/>
            <w:noWrap w:val="0"/>
            <w:vAlign w:val="center"/>
          </w:tcPr>
          <w:p w14:paraId="7351BA37">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0</w:t>
            </w:r>
          </w:p>
        </w:tc>
        <w:tc>
          <w:tcPr>
            <w:tcW w:w="525" w:type="pct"/>
            <w:shd w:val="clear" w:color="auto" w:fill="auto"/>
            <w:noWrap w:val="0"/>
            <w:vAlign w:val="center"/>
          </w:tcPr>
          <w:p w14:paraId="635A37A3">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达标</w:t>
            </w:r>
          </w:p>
        </w:tc>
        <w:tc>
          <w:tcPr>
            <w:tcW w:w="644" w:type="pct"/>
            <w:shd w:val="clear" w:color="auto" w:fill="auto"/>
            <w:noWrap w:val="0"/>
            <w:vAlign w:val="center"/>
          </w:tcPr>
          <w:p w14:paraId="2E3552BE">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900</w:t>
            </w:r>
          </w:p>
        </w:tc>
      </w:tr>
      <w:tr w14:paraId="27FA8C8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7" w:type="dxa"/>
            <w:bottom w:w="0" w:type="dxa"/>
            <w:right w:w="17" w:type="dxa"/>
          </w:tblCellMar>
        </w:tblPrEx>
        <w:trPr>
          <w:trHeight w:val="23" w:hRule="atLeast"/>
          <w:jc w:val="center"/>
        </w:trPr>
        <w:tc>
          <w:tcPr>
            <w:tcW w:w="288" w:type="pct"/>
            <w:vMerge w:val="continue"/>
            <w:noWrap w:val="0"/>
            <w:vAlign w:val="center"/>
          </w:tcPr>
          <w:p w14:paraId="215E0F8A">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none"/>
                <w:lang w:val="en-US" w:eastAsia="zh-CN"/>
              </w:rPr>
            </w:pPr>
          </w:p>
        </w:tc>
        <w:tc>
          <w:tcPr>
            <w:tcW w:w="586" w:type="pct"/>
            <w:vMerge w:val="continue"/>
            <w:shd w:val="clear" w:color="auto" w:fill="auto"/>
            <w:noWrap w:val="0"/>
            <w:vAlign w:val="center"/>
          </w:tcPr>
          <w:p w14:paraId="0AFBF807">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none"/>
                <w:lang w:val="en-US" w:eastAsia="zh-CN"/>
              </w:rPr>
            </w:pPr>
          </w:p>
        </w:tc>
        <w:tc>
          <w:tcPr>
            <w:tcW w:w="1139" w:type="pct"/>
            <w:shd w:val="clear" w:color="auto" w:fill="auto"/>
            <w:noWrap w:val="0"/>
            <w:vAlign w:val="center"/>
          </w:tcPr>
          <w:p w14:paraId="10D872FC">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铜</w:t>
            </w:r>
          </w:p>
        </w:tc>
        <w:tc>
          <w:tcPr>
            <w:tcW w:w="514" w:type="pct"/>
            <w:shd w:val="clear" w:color="auto" w:fill="auto"/>
            <w:noWrap w:val="0"/>
            <w:vAlign w:val="center"/>
          </w:tcPr>
          <w:p w14:paraId="35602314">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mg/kg</w:t>
            </w:r>
          </w:p>
        </w:tc>
        <w:tc>
          <w:tcPr>
            <w:tcW w:w="772" w:type="pct"/>
            <w:noWrap w:val="0"/>
            <w:vAlign w:val="center"/>
          </w:tcPr>
          <w:p w14:paraId="120AAD57">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sz w:val="21"/>
                <w:szCs w:val="21"/>
                <w:highlight w:val="none"/>
                <w:lang w:val="en-US" w:eastAsia="zh-CN"/>
              </w:rPr>
            </w:pPr>
            <w:r>
              <w:rPr>
                <w:rFonts w:hint="eastAsia"/>
                <w:sz w:val="21"/>
                <w:szCs w:val="21"/>
                <w:highlight w:val="none"/>
                <w:lang w:val="en-US" w:eastAsia="zh-CN"/>
              </w:rPr>
              <w:t>31.9</w:t>
            </w:r>
          </w:p>
        </w:tc>
        <w:tc>
          <w:tcPr>
            <w:tcW w:w="529" w:type="pct"/>
            <w:shd w:val="clear" w:color="auto" w:fill="auto"/>
            <w:noWrap w:val="0"/>
            <w:vAlign w:val="center"/>
          </w:tcPr>
          <w:p w14:paraId="29053B05">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0</w:t>
            </w:r>
          </w:p>
        </w:tc>
        <w:tc>
          <w:tcPr>
            <w:tcW w:w="525" w:type="pct"/>
            <w:shd w:val="clear" w:color="auto" w:fill="auto"/>
            <w:noWrap w:val="0"/>
            <w:vAlign w:val="center"/>
          </w:tcPr>
          <w:p w14:paraId="0D61289D">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达标</w:t>
            </w:r>
          </w:p>
        </w:tc>
        <w:tc>
          <w:tcPr>
            <w:tcW w:w="644" w:type="pct"/>
            <w:shd w:val="clear" w:color="auto" w:fill="auto"/>
            <w:noWrap w:val="0"/>
            <w:vAlign w:val="center"/>
          </w:tcPr>
          <w:p w14:paraId="0833BAAC">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18000</w:t>
            </w:r>
          </w:p>
        </w:tc>
      </w:tr>
      <w:tr w14:paraId="1122479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7" w:type="dxa"/>
            <w:bottom w:w="0" w:type="dxa"/>
            <w:right w:w="17" w:type="dxa"/>
          </w:tblCellMar>
        </w:tblPrEx>
        <w:trPr>
          <w:trHeight w:val="23" w:hRule="atLeast"/>
          <w:jc w:val="center"/>
        </w:trPr>
        <w:tc>
          <w:tcPr>
            <w:tcW w:w="288" w:type="pct"/>
            <w:vMerge w:val="continue"/>
            <w:noWrap w:val="0"/>
            <w:vAlign w:val="center"/>
          </w:tcPr>
          <w:p w14:paraId="702CDB83">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none"/>
                <w:lang w:val="en-US" w:eastAsia="zh-CN"/>
              </w:rPr>
            </w:pPr>
          </w:p>
        </w:tc>
        <w:tc>
          <w:tcPr>
            <w:tcW w:w="586" w:type="pct"/>
            <w:vMerge w:val="continue"/>
            <w:shd w:val="clear" w:color="auto" w:fill="auto"/>
            <w:noWrap w:val="0"/>
            <w:vAlign w:val="center"/>
          </w:tcPr>
          <w:p w14:paraId="1E3C4831">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none"/>
                <w:lang w:val="en-US" w:eastAsia="zh-CN"/>
              </w:rPr>
            </w:pPr>
          </w:p>
        </w:tc>
        <w:tc>
          <w:tcPr>
            <w:tcW w:w="1139" w:type="pct"/>
            <w:shd w:val="clear" w:color="auto" w:fill="auto"/>
            <w:noWrap w:val="0"/>
            <w:vAlign w:val="center"/>
          </w:tcPr>
          <w:p w14:paraId="5A1830A4">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铬（六价）</w:t>
            </w:r>
          </w:p>
        </w:tc>
        <w:tc>
          <w:tcPr>
            <w:tcW w:w="514" w:type="pct"/>
            <w:shd w:val="clear" w:color="auto" w:fill="auto"/>
            <w:noWrap w:val="0"/>
            <w:vAlign w:val="center"/>
          </w:tcPr>
          <w:p w14:paraId="1FB64F28">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mg/kg</w:t>
            </w:r>
          </w:p>
        </w:tc>
        <w:tc>
          <w:tcPr>
            <w:tcW w:w="772" w:type="pct"/>
            <w:noWrap w:val="0"/>
            <w:vAlign w:val="center"/>
          </w:tcPr>
          <w:p w14:paraId="30697456">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sz w:val="21"/>
                <w:szCs w:val="21"/>
                <w:highlight w:val="none"/>
                <w:lang w:val="en-US" w:eastAsia="zh-CN"/>
              </w:rPr>
            </w:pPr>
            <w:r>
              <w:rPr>
                <w:rFonts w:hint="eastAsia"/>
                <w:sz w:val="21"/>
                <w:szCs w:val="21"/>
                <w:highlight w:val="none"/>
                <w:lang w:val="en-US" w:eastAsia="zh-CN"/>
              </w:rPr>
              <w:t>ND</w:t>
            </w:r>
          </w:p>
        </w:tc>
        <w:tc>
          <w:tcPr>
            <w:tcW w:w="529" w:type="pct"/>
            <w:shd w:val="clear" w:color="auto" w:fill="auto"/>
            <w:noWrap w:val="0"/>
            <w:vAlign w:val="center"/>
          </w:tcPr>
          <w:p w14:paraId="01B5F04A">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0</w:t>
            </w:r>
          </w:p>
        </w:tc>
        <w:tc>
          <w:tcPr>
            <w:tcW w:w="525" w:type="pct"/>
            <w:shd w:val="clear" w:color="auto" w:fill="auto"/>
            <w:noWrap w:val="0"/>
            <w:vAlign w:val="center"/>
          </w:tcPr>
          <w:p w14:paraId="60EC4703">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达标</w:t>
            </w:r>
          </w:p>
        </w:tc>
        <w:tc>
          <w:tcPr>
            <w:tcW w:w="644" w:type="pct"/>
            <w:shd w:val="clear" w:color="auto" w:fill="auto"/>
            <w:noWrap w:val="0"/>
            <w:vAlign w:val="center"/>
          </w:tcPr>
          <w:p w14:paraId="77710D40">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5.7</w:t>
            </w:r>
          </w:p>
        </w:tc>
      </w:tr>
      <w:tr w14:paraId="3EAEF8B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7" w:type="dxa"/>
            <w:bottom w:w="0" w:type="dxa"/>
            <w:right w:w="17" w:type="dxa"/>
          </w:tblCellMar>
        </w:tblPrEx>
        <w:trPr>
          <w:trHeight w:val="23" w:hRule="atLeast"/>
          <w:jc w:val="center"/>
        </w:trPr>
        <w:tc>
          <w:tcPr>
            <w:tcW w:w="288" w:type="pct"/>
            <w:vMerge w:val="continue"/>
            <w:noWrap w:val="0"/>
            <w:vAlign w:val="center"/>
          </w:tcPr>
          <w:p w14:paraId="4A47BF1F">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none"/>
                <w:lang w:val="en-US" w:eastAsia="zh-CN"/>
              </w:rPr>
            </w:pPr>
          </w:p>
        </w:tc>
        <w:tc>
          <w:tcPr>
            <w:tcW w:w="586" w:type="pct"/>
            <w:vMerge w:val="continue"/>
            <w:shd w:val="clear" w:color="auto" w:fill="auto"/>
            <w:noWrap w:val="0"/>
            <w:vAlign w:val="center"/>
          </w:tcPr>
          <w:p w14:paraId="145F5E31">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none"/>
                <w:lang w:val="en-US" w:eastAsia="zh-CN"/>
              </w:rPr>
            </w:pPr>
          </w:p>
        </w:tc>
        <w:tc>
          <w:tcPr>
            <w:tcW w:w="1139" w:type="pct"/>
            <w:shd w:val="clear" w:color="auto" w:fill="auto"/>
            <w:noWrap w:val="0"/>
            <w:vAlign w:val="center"/>
          </w:tcPr>
          <w:p w14:paraId="7A6595DC">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汞</w:t>
            </w:r>
          </w:p>
        </w:tc>
        <w:tc>
          <w:tcPr>
            <w:tcW w:w="514" w:type="pct"/>
            <w:shd w:val="clear" w:color="auto" w:fill="auto"/>
            <w:noWrap w:val="0"/>
            <w:vAlign w:val="center"/>
          </w:tcPr>
          <w:p w14:paraId="2E0D77BF">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mg/kg</w:t>
            </w:r>
          </w:p>
        </w:tc>
        <w:tc>
          <w:tcPr>
            <w:tcW w:w="772" w:type="pct"/>
            <w:noWrap w:val="0"/>
            <w:vAlign w:val="center"/>
          </w:tcPr>
          <w:p w14:paraId="34AE6080">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sz w:val="21"/>
                <w:szCs w:val="21"/>
                <w:highlight w:val="none"/>
                <w:lang w:val="en-US" w:eastAsia="zh-CN"/>
              </w:rPr>
            </w:pPr>
            <w:r>
              <w:rPr>
                <w:rFonts w:hint="eastAsia"/>
                <w:sz w:val="21"/>
                <w:szCs w:val="21"/>
                <w:highlight w:val="none"/>
                <w:lang w:val="en-US" w:eastAsia="zh-CN"/>
              </w:rPr>
              <w:t>0.0663</w:t>
            </w:r>
          </w:p>
        </w:tc>
        <w:tc>
          <w:tcPr>
            <w:tcW w:w="529" w:type="pct"/>
            <w:shd w:val="clear" w:color="auto" w:fill="auto"/>
            <w:noWrap w:val="0"/>
            <w:vAlign w:val="center"/>
          </w:tcPr>
          <w:p w14:paraId="24A63995">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0</w:t>
            </w:r>
          </w:p>
        </w:tc>
        <w:tc>
          <w:tcPr>
            <w:tcW w:w="525" w:type="pct"/>
            <w:shd w:val="clear" w:color="auto" w:fill="auto"/>
            <w:noWrap w:val="0"/>
            <w:vAlign w:val="center"/>
          </w:tcPr>
          <w:p w14:paraId="2D6AB0F8">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达标</w:t>
            </w:r>
          </w:p>
        </w:tc>
        <w:tc>
          <w:tcPr>
            <w:tcW w:w="644" w:type="pct"/>
            <w:shd w:val="clear" w:color="auto" w:fill="auto"/>
            <w:noWrap w:val="0"/>
            <w:vAlign w:val="center"/>
          </w:tcPr>
          <w:p w14:paraId="33222989">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38</w:t>
            </w:r>
          </w:p>
        </w:tc>
      </w:tr>
      <w:tr w14:paraId="4AE3F50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7" w:type="dxa"/>
            <w:bottom w:w="0" w:type="dxa"/>
            <w:right w:w="17" w:type="dxa"/>
          </w:tblCellMar>
        </w:tblPrEx>
        <w:trPr>
          <w:trHeight w:val="23" w:hRule="atLeast"/>
          <w:jc w:val="center"/>
        </w:trPr>
        <w:tc>
          <w:tcPr>
            <w:tcW w:w="288" w:type="pct"/>
            <w:vMerge w:val="continue"/>
            <w:noWrap w:val="0"/>
            <w:vAlign w:val="center"/>
          </w:tcPr>
          <w:p w14:paraId="7569A57E">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none"/>
                <w:lang w:val="en-US" w:eastAsia="zh-CN"/>
              </w:rPr>
            </w:pPr>
          </w:p>
        </w:tc>
        <w:tc>
          <w:tcPr>
            <w:tcW w:w="586" w:type="pct"/>
            <w:vMerge w:val="continue"/>
            <w:shd w:val="clear" w:color="auto" w:fill="auto"/>
            <w:noWrap w:val="0"/>
            <w:vAlign w:val="center"/>
          </w:tcPr>
          <w:p w14:paraId="58A11202">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none"/>
                <w:lang w:val="en-US" w:eastAsia="zh-CN"/>
              </w:rPr>
            </w:pPr>
          </w:p>
        </w:tc>
        <w:tc>
          <w:tcPr>
            <w:tcW w:w="1139" w:type="pct"/>
            <w:shd w:val="clear" w:color="auto" w:fill="auto"/>
            <w:noWrap w:val="0"/>
            <w:vAlign w:val="center"/>
          </w:tcPr>
          <w:p w14:paraId="1B019D51">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氯甲烷</w:t>
            </w:r>
          </w:p>
        </w:tc>
        <w:tc>
          <w:tcPr>
            <w:tcW w:w="514" w:type="pct"/>
            <w:shd w:val="clear" w:color="auto" w:fill="auto"/>
            <w:noWrap w:val="0"/>
            <w:vAlign w:val="center"/>
          </w:tcPr>
          <w:p w14:paraId="7F9EAAE5">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mg/kg</w:t>
            </w:r>
          </w:p>
        </w:tc>
        <w:tc>
          <w:tcPr>
            <w:tcW w:w="772" w:type="pct"/>
            <w:shd w:val="clear" w:color="auto" w:fill="auto"/>
            <w:noWrap w:val="0"/>
            <w:vAlign w:val="center"/>
          </w:tcPr>
          <w:p w14:paraId="6A1A5E04">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ND</w:t>
            </w:r>
          </w:p>
        </w:tc>
        <w:tc>
          <w:tcPr>
            <w:tcW w:w="529" w:type="pct"/>
            <w:shd w:val="clear" w:color="auto" w:fill="auto"/>
            <w:noWrap w:val="0"/>
            <w:vAlign w:val="center"/>
          </w:tcPr>
          <w:p w14:paraId="6288F798">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0</w:t>
            </w:r>
          </w:p>
        </w:tc>
        <w:tc>
          <w:tcPr>
            <w:tcW w:w="525" w:type="pct"/>
            <w:shd w:val="clear" w:color="auto" w:fill="auto"/>
            <w:noWrap w:val="0"/>
            <w:vAlign w:val="center"/>
          </w:tcPr>
          <w:p w14:paraId="02E26078">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达标</w:t>
            </w:r>
          </w:p>
        </w:tc>
        <w:tc>
          <w:tcPr>
            <w:tcW w:w="644" w:type="pct"/>
            <w:shd w:val="clear" w:color="auto" w:fill="auto"/>
            <w:noWrap w:val="0"/>
            <w:vAlign w:val="center"/>
          </w:tcPr>
          <w:p w14:paraId="0AA16AF2">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37</w:t>
            </w:r>
          </w:p>
        </w:tc>
      </w:tr>
      <w:tr w14:paraId="7329B4F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7" w:type="dxa"/>
            <w:bottom w:w="0" w:type="dxa"/>
            <w:right w:w="17" w:type="dxa"/>
          </w:tblCellMar>
        </w:tblPrEx>
        <w:trPr>
          <w:trHeight w:val="23" w:hRule="atLeast"/>
          <w:jc w:val="center"/>
        </w:trPr>
        <w:tc>
          <w:tcPr>
            <w:tcW w:w="288" w:type="pct"/>
            <w:vMerge w:val="continue"/>
            <w:noWrap w:val="0"/>
            <w:vAlign w:val="center"/>
          </w:tcPr>
          <w:p w14:paraId="49BE4001">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none"/>
                <w:lang w:val="en-US" w:eastAsia="zh-CN"/>
              </w:rPr>
            </w:pPr>
          </w:p>
        </w:tc>
        <w:tc>
          <w:tcPr>
            <w:tcW w:w="586" w:type="pct"/>
            <w:vMerge w:val="continue"/>
            <w:shd w:val="clear" w:color="auto" w:fill="auto"/>
            <w:noWrap w:val="0"/>
            <w:vAlign w:val="center"/>
          </w:tcPr>
          <w:p w14:paraId="451BE23B">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none"/>
                <w:lang w:val="en-US" w:eastAsia="zh-CN"/>
              </w:rPr>
            </w:pPr>
          </w:p>
        </w:tc>
        <w:tc>
          <w:tcPr>
            <w:tcW w:w="1139" w:type="pct"/>
            <w:shd w:val="clear" w:color="auto" w:fill="auto"/>
            <w:noWrap w:val="0"/>
            <w:vAlign w:val="center"/>
          </w:tcPr>
          <w:p w14:paraId="4F221AC3">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氯乙烯</w:t>
            </w:r>
          </w:p>
        </w:tc>
        <w:tc>
          <w:tcPr>
            <w:tcW w:w="514" w:type="pct"/>
            <w:shd w:val="clear" w:color="auto" w:fill="auto"/>
            <w:noWrap w:val="0"/>
            <w:vAlign w:val="center"/>
          </w:tcPr>
          <w:p w14:paraId="68D60C26">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mg/kg</w:t>
            </w:r>
          </w:p>
        </w:tc>
        <w:tc>
          <w:tcPr>
            <w:tcW w:w="772" w:type="pct"/>
            <w:shd w:val="clear" w:color="auto" w:fill="auto"/>
            <w:noWrap w:val="0"/>
            <w:vAlign w:val="center"/>
          </w:tcPr>
          <w:p w14:paraId="441C9276">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ND</w:t>
            </w:r>
          </w:p>
        </w:tc>
        <w:tc>
          <w:tcPr>
            <w:tcW w:w="529" w:type="pct"/>
            <w:shd w:val="clear" w:color="auto" w:fill="auto"/>
            <w:noWrap w:val="0"/>
            <w:vAlign w:val="center"/>
          </w:tcPr>
          <w:p w14:paraId="54CB4DD0">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0</w:t>
            </w:r>
          </w:p>
        </w:tc>
        <w:tc>
          <w:tcPr>
            <w:tcW w:w="525" w:type="pct"/>
            <w:shd w:val="clear" w:color="auto" w:fill="auto"/>
            <w:noWrap w:val="0"/>
            <w:vAlign w:val="center"/>
          </w:tcPr>
          <w:p w14:paraId="76173A2D">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达标</w:t>
            </w:r>
          </w:p>
        </w:tc>
        <w:tc>
          <w:tcPr>
            <w:tcW w:w="644" w:type="pct"/>
            <w:shd w:val="clear" w:color="auto" w:fill="auto"/>
            <w:noWrap w:val="0"/>
            <w:vAlign w:val="center"/>
          </w:tcPr>
          <w:p w14:paraId="347ECD6C">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0.43</w:t>
            </w:r>
          </w:p>
        </w:tc>
      </w:tr>
      <w:tr w14:paraId="6F400BA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7" w:type="dxa"/>
            <w:bottom w:w="0" w:type="dxa"/>
            <w:right w:w="17" w:type="dxa"/>
          </w:tblCellMar>
        </w:tblPrEx>
        <w:trPr>
          <w:trHeight w:val="23" w:hRule="atLeast"/>
          <w:jc w:val="center"/>
        </w:trPr>
        <w:tc>
          <w:tcPr>
            <w:tcW w:w="288" w:type="pct"/>
            <w:vMerge w:val="continue"/>
            <w:noWrap w:val="0"/>
            <w:vAlign w:val="center"/>
          </w:tcPr>
          <w:p w14:paraId="1ACC2D07">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none"/>
                <w:lang w:val="en-US" w:eastAsia="zh-CN"/>
              </w:rPr>
            </w:pPr>
          </w:p>
        </w:tc>
        <w:tc>
          <w:tcPr>
            <w:tcW w:w="586" w:type="pct"/>
            <w:vMerge w:val="continue"/>
            <w:shd w:val="clear" w:color="auto" w:fill="auto"/>
            <w:noWrap w:val="0"/>
            <w:vAlign w:val="center"/>
          </w:tcPr>
          <w:p w14:paraId="703B6C1B">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none"/>
                <w:lang w:val="en-US" w:eastAsia="zh-CN"/>
              </w:rPr>
            </w:pPr>
          </w:p>
        </w:tc>
        <w:tc>
          <w:tcPr>
            <w:tcW w:w="1139" w:type="pct"/>
            <w:shd w:val="clear" w:color="auto" w:fill="auto"/>
            <w:noWrap w:val="0"/>
            <w:vAlign w:val="center"/>
          </w:tcPr>
          <w:p w14:paraId="699AFBF3">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1,1-二氯乙烯</w:t>
            </w:r>
          </w:p>
        </w:tc>
        <w:tc>
          <w:tcPr>
            <w:tcW w:w="514" w:type="pct"/>
            <w:shd w:val="clear" w:color="auto" w:fill="auto"/>
            <w:noWrap w:val="0"/>
            <w:vAlign w:val="center"/>
          </w:tcPr>
          <w:p w14:paraId="33DD7248">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mg/kg</w:t>
            </w:r>
          </w:p>
        </w:tc>
        <w:tc>
          <w:tcPr>
            <w:tcW w:w="772" w:type="pct"/>
            <w:shd w:val="clear" w:color="auto" w:fill="auto"/>
            <w:noWrap w:val="0"/>
            <w:vAlign w:val="center"/>
          </w:tcPr>
          <w:p w14:paraId="786C0736">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ND</w:t>
            </w:r>
          </w:p>
        </w:tc>
        <w:tc>
          <w:tcPr>
            <w:tcW w:w="529" w:type="pct"/>
            <w:shd w:val="clear" w:color="auto" w:fill="auto"/>
            <w:noWrap w:val="0"/>
            <w:vAlign w:val="center"/>
          </w:tcPr>
          <w:p w14:paraId="1DAA0996">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0</w:t>
            </w:r>
          </w:p>
        </w:tc>
        <w:tc>
          <w:tcPr>
            <w:tcW w:w="525" w:type="pct"/>
            <w:shd w:val="clear" w:color="auto" w:fill="auto"/>
            <w:noWrap w:val="0"/>
            <w:vAlign w:val="center"/>
          </w:tcPr>
          <w:p w14:paraId="649ED96D">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达标</w:t>
            </w:r>
          </w:p>
        </w:tc>
        <w:tc>
          <w:tcPr>
            <w:tcW w:w="644" w:type="pct"/>
            <w:shd w:val="clear" w:color="auto" w:fill="auto"/>
            <w:noWrap w:val="0"/>
            <w:vAlign w:val="center"/>
          </w:tcPr>
          <w:p w14:paraId="077727D3">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66</w:t>
            </w:r>
          </w:p>
        </w:tc>
      </w:tr>
      <w:tr w14:paraId="6F3751B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7" w:type="dxa"/>
            <w:bottom w:w="0" w:type="dxa"/>
            <w:right w:w="17" w:type="dxa"/>
          </w:tblCellMar>
        </w:tblPrEx>
        <w:trPr>
          <w:trHeight w:val="23" w:hRule="atLeast"/>
          <w:jc w:val="center"/>
        </w:trPr>
        <w:tc>
          <w:tcPr>
            <w:tcW w:w="288" w:type="pct"/>
            <w:vMerge w:val="continue"/>
            <w:noWrap w:val="0"/>
            <w:vAlign w:val="center"/>
          </w:tcPr>
          <w:p w14:paraId="33A30219">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none"/>
                <w:lang w:val="en-US" w:eastAsia="zh-CN"/>
              </w:rPr>
            </w:pPr>
          </w:p>
        </w:tc>
        <w:tc>
          <w:tcPr>
            <w:tcW w:w="586" w:type="pct"/>
            <w:vMerge w:val="continue"/>
            <w:shd w:val="clear" w:color="auto" w:fill="auto"/>
            <w:noWrap w:val="0"/>
            <w:vAlign w:val="center"/>
          </w:tcPr>
          <w:p w14:paraId="2438C386">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none"/>
                <w:lang w:val="en-US" w:eastAsia="zh-CN"/>
              </w:rPr>
            </w:pPr>
          </w:p>
        </w:tc>
        <w:tc>
          <w:tcPr>
            <w:tcW w:w="1139" w:type="pct"/>
            <w:shd w:val="clear" w:color="auto" w:fill="auto"/>
            <w:noWrap w:val="0"/>
            <w:vAlign w:val="center"/>
          </w:tcPr>
          <w:p w14:paraId="42C78109">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二氯甲烷</w:t>
            </w:r>
          </w:p>
        </w:tc>
        <w:tc>
          <w:tcPr>
            <w:tcW w:w="514" w:type="pct"/>
            <w:shd w:val="clear" w:color="auto" w:fill="auto"/>
            <w:noWrap w:val="0"/>
            <w:vAlign w:val="center"/>
          </w:tcPr>
          <w:p w14:paraId="05287930">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mg/kg</w:t>
            </w:r>
          </w:p>
        </w:tc>
        <w:tc>
          <w:tcPr>
            <w:tcW w:w="772" w:type="pct"/>
            <w:shd w:val="clear" w:color="auto" w:fill="auto"/>
            <w:noWrap w:val="0"/>
            <w:vAlign w:val="center"/>
          </w:tcPr>
          <w:p w14:paraId="60D83CF6">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ND</w:t>
            </w:r>
          </w:p>
        </w:tc>
        <w:tc>
          <w:tcPr>
            <w:tcW w:w="529" w:type="pct"/>
            <w:shd w:val="clear" w:color="auto" w:fill="auto"/>
            <w:noWrap w:val="0"/>
            <w:vAlign w:val="center"/>
          </w:tcPr>
          <w:p w14:paraId="5188C624">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0</w:t>
            </w:r>
          </w:p>
        </w:tc>
        <w:tc>
          <w:tcPr>
            <w:tcW w:w="525" w:type="pct"/>
            <w:shd w:val="clear" w:color="auto" w:fill="auto"/>
            <w:noWrap w:val="0"/>
            <w:vAlign w:val="center"/>
          </w:tcPr>
          <w:p w14:paraId="01FAC091">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达标</w:t>
            </w:r>
          </w:p>
        </w:tc>
        <w:tc>
          <w:tcPr>
            <w:tcW w:w="644" w:type="pct"/>
            <w:shd w:val="clear" w:color="auto" w:fill="auto"/>
            <w:noWrap w:val="0"/>
            <w:vAlign w:val="center"/>
          </w:tcPr>
          <w:p w14:paraId="363B4402">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616</w:t>
            </w:r>
          </w:p>
        </w:tc>
      </w:tr>
      <w:tr w14:paraId="23F0B30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7" w:type="dxa"/>
            <w:bottom w:w="0" w:type="dxa"/>
            <w:right w:w="17" w:type="dxa"/>
          </w:tblCellMar>
        </w:tblPrEx>
        <w:trPr>
          <w:trHeight w:val="23" w:hRule="atLeast"/>
          <w:jc w:val="center"/>
        </w:trPr>
        <w:tc>
          <w:tcPr>
            <w:tcW w:w="288" w:type="pct"/>
            <w:vMerge w:val="continue"/>
            <w:noWrap w:val="0"/>
            <w:vAlign w:val="center"/>
          </w:tcPr>
          <w:p w14:paraId="2836AD37">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none"/>
                <w:lang w:val="en-US" w:eastAsia="zh-CN"/>
              </w:rPr>
            </w:pPr>
          </w:p>
        </w:tc>
        <w:tc>
          <w:tcPr>
            <w:tcW w:w="586" w:type="pct"/>
            <w:vMerge w:val="continue"/>
            <w:shd w:val="clear" w:color="auto" w:fill="auto"/>
            <w:noWrap w:val="0"/>
            <w:vAlign w:val="center"/>
          </w:tcPr>
          <w:p w14:paraId="1E39A55B">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none"/>
                <w:lang w:val="en-US" w:eastAsia="zh-CN"/>
              </w:rPr>
            </w:pPr>
          </w:p>
        </w:tc>
        <w:tc>
          <w:tcPr>
            <w:tcW w:w="1139" w:type="pct"/>
            <w:shd w:val="clear" w:color="auto" w:fill="auto"/>
            <w:noWrap w:val="0"/>
            <w:vAlign w:val="center"/>
          </w:tcPr>
          <w:p w14:paraId="51378C8A">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反-1,2-二氯乙烯</w:t>
            </w:r>
          </w:p>
        </w:tc>
        <w:tc>
          <w:tcPr>
            <w:tcW w:w="514" w:type="pct"/>
            <w:shd w:val="clear" w:color="auto" w:fill="auto"/>
            <w:noWrap w:val="0"/>
            <w:vAlign w:val="center"/>
          </w:tcPr>
          <w:p w14:paraId="1E10C9E9">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mg/kg</w:t>
            </w:r>
          </w:p>
        </w:tc>
        <w:tc>
          <w:tcPr>
            <w:tcW w:w="772" w:type="pct"/>
            <w:shd w:val="clear" w:color="auto" w:fill="auto"/>
            <w:noWrap w:val="0"/>
            <w:vAlign w:val="center"/>
          </w:tcPr>
          <w:p w14:paraId="50CE90DF">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ND</w:t>
            </w:r>
          </w:p>
        </w:tc>
        <w:tc>
          <w:tcPr>
            <w:tcW w:w="529" w:type="pct"/>
            <w:shd w:val="clear" w:color="auto" w:fill="auto"/>
            <w:noWrap w:val="0"/>
            <w:vAlign w:val="center"/>
          </w:tcPr>
          <w:p w14:paraId="25E38972">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0</w:t>
            </w:r>
          </w:p>
        </w:tc>
        <w:tc>
          <w:tcPr>
            <w:tcW w:w="525" w:type="pct"/>
            <w:shd w:val="clear" w:color="auto" w:fill="auto"/>
            <w:noWrap w:val="0"/>
            <w:vAlign w:val="center"/>
          </w:tcPr>
          <w:p w14:paraId="3B8E1B64">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达标</w:t>
            </w:r>
          </w:p>
        </w:tc>
        <w:tc>
          <w:tcPr>
            <w:tcW w:w="644" w:type="pct"/>
            <w:shd w:val="clear" w:color="auto" w:fill="auto"/>
            <w:noWrap w:val="0"/>
            <w:vAlign w:val="center"/>
          </w:tcPr>
          <w:p w14:paraId="34A79DAB">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54</w:t>
            </w:r>
          </w:p>
        </w:tc>
      </w:tr>
      <w:tr w14:paraId="2D0DE58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7" w:type="dxa"/>
            <w:bottom w:w="0" w:type="dxa"/>
            <w:right w:w="17" w:type="dxa"/>
          </w:tblCellMar>
        </w:tblPrEx>
        <w:trPr>
          <w:trHeight w:val="23" w:hRule="atLeast"/>
          <w:jc w:val="center"/>
        </w:trPr>
        <w:tc>
          <w:tcPr>
            <w:tcW w:w="288" w:type="pct"/>
            <w:vMerge w:val="continue"/>
            <w:noWrap w:val="0"/>
            <w:vAlign w:val="center"/>
          </w:tcPr>
          <w:p w14:paraId="76A30844">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none"/>
                <w:lang w:val="en-US" w:eastAsia="zh-CN"/>
              </w:rPr>
            </w:pPr>
          </w:p>
        </w:tc>
        <w:tc>
          <w:tcPr>
            <w:tcW w:w="586" w:type="pct"/>
            <w:vMerge w:val="continue"/>
            <w:shd w:val="clear" w:color="auto" w:fill="auto"/>
            <w:noWrap w:val="0"/>
            <w:vAlign w:val="center"/>
          </w:tcPr>
          <w:p w14:paraId="5C69C20C">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none"/>
                <w:lang w:val="en-US" w:eastAsia="zh-CN"/>
              </w:rPr>
            </w:pPr>
          </w:p>
        </w:tc>
        <w:tc>
          <w:tcPr>
            <w:tcW w:w="1139" w:type="pct"/>
            <w:shd w:val="clear" w:color="auto" w:fill="auto"/>
            <w:noWrap w:val="0"/>
            <w:vAlign w:val="center"/>
          </w:tcPr>
          <w:p w14:paraId="65337BE6">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1,1-二氯乙烷</w:t>
            </w:r>
          </w:p>
        </w:tc>
        <w:tc>
          <w:tcPr>
            <w:tcW w:w="514" w:type="pct"/>
            <w:shd w:val="clear" w:color="auto" w:fill="auto"/>
            <w:noWrap w:val="0"/>
            <w:vAlign w:val="center"/>
          </w:tcPr>
          <w:p w14:paraId="6BE2014A">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mg/kg</w:t>
            </w:r>
          </w:p>
        </w:tc>
        <w:tc>
          <w:tcPr>
            <w:tcW w:w="772" w:type="pct"/>
            <w:shd w:val="clear" w:color="auto" w:fill="auto"/>
            <w:noWrap w:val="0"/>
            <w:vAlign w:val="center"/>
          </w:tcPr>
          <w:p w14:paraId="24C8F2A5">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ND</w:t>
            </w:r>
          </w:p>
        </w:tc>
        <w:tc>
          <w:tcPr>
            <w:tcW w:w="529" w:type="pct"/>
            <w:shd w:val="clear" w:color="auto" w:fill="auto"/>
            <w:noWrap w:val="0"/>
            <w:vAlign w:val="center"/>
          </w:tcPr>
          <w:p w14:paraId="6BF71CCF">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0</w:t>
            </w:r>
          </w:p>
        </w:tc>
        <w:tc>
          <w:tcPr>
            <w:tcW w:w="525" w:type="pct"/>
            <w:shd w:val="clear" w:color="auto" w:fill="auto"/>
            <w:noWrap w:val="0"/>
            <w:vAlign w:val="center"/>
          </w:tcPr>
          <w:p w14:paraId="78DD1CE2">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达标</w:t>
            </w:r>
          </w:p>
        </w:tc>
        <w:tc>
          <w:tcPr>
            <w:tcW w:w="644" w:type="pct"/>
            <w:shd w:val="clear" w:color="auto" w:fill="auto"/>
            <w:noWrap w:val="0"/>
            <w:vAlign w:val="center"/>
          </w:tcPr>
          <w:p w14:paraId="705E2137">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9</w:t>
            </w:r>
          </w:p>
        </w:tc>
      </w:tr>
      <w:tr w14:paraId="697DD64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7" w:type="dxa"/>
            <w:bottom w:w="0" w:type="dxa"/>
            <w:right w:w="17" w:type="dxa"/>
          </w:tblCellMar>
        </w:tblPrEx>
        <w:trPr>
          <w:trHeight w:val="23" w:hRule="atLeast"/>
          <w:jc w:val="center"/>
        </w:trPr>
        <w:tc>
          <w:tcPr>
            <w:tcW w:w="288" w:type="pct"/>
            <w:vMerge w:val="continue"/>
            <w:noWrap w:val="0"/>
            <w:vAlign w:val="center"/>
          </w:tcPr>
          <w:p w14:paraId="0ACEE72C">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none"/>
                <w:lang w:val="en-US" w:eastAsia="zh-CN"/>
              </w:rPr>
            </w:pPr>
          </w:p>
        </w:tc>
        <w:tc>
          <w:tcPr>
            <w:tcW w:w="586" w:type="pct"/>
            <w:vMerge w:val="continue"/>
            <w:shd w:val="clear" w:color="auto" w:fill="auto"/>
            <w:noWrap w:val="0"/>
            <w:vAlign w:val="center"/>
          </w:tcPr>
          <w:p w14:paraId="25E44D25">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none"/>
                <w:lang w:val="en-US" w:eastAsia="zh-CN"/>
              </w:rPr>
            </w:pPr>
          </w:p>
        </w:tc>
        <w:tc>
          <w:tcPr>
            <w:tcW w:w="1139" w:type="pct"/>
            <w:shd w:val="clear" w:color="auto" w:fill="auto"/>
            <w:noWrap w:val="0"/>
            <w:vAlign w:val="center"/>
          </w:tcPr>
          <w:p w14:paraId="1D8AE04C">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顺-1,2-二氯乙烯</w:t>
            </w:r>
          </w:p>
        </w:tc>
        <w:tc>
          <w:tcPr>
            <w:tcW w:w="514" w:type="pct"/>
            <w:shd w:val="clear" w:color="auto" w:fill="auto"/>
            <w:noWrap w:val="0"/>
            <w:vAlign w:val="center"/>
          </w:tcPr>
          <w:p w14:paraId="1D9B4EFF">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mg/kg</w:t>
            </w:r>
          </w:p>
        </w:tc>
        <w:tc>
          <w:tcPr>
            <w:tcW w:w="772" w:type="pct"/>
            <w:shd w:val="clear" w:color="auto" w:fill="auto"/>
            <w:noWrap w:val="0"/>
            <w:vAlign w:val="center"/>
          </w:tcPr>
          <w:p w14:paraId="6096E2D5">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ND</w:t>
            </w:r>
          </w:p>
        </w:tc>
        <w:tc>
          <w:tcPr>
            <w:tcW w:w="529" w:type="pct"/>
            <w:shd w:val="clear" w:color="auto" w:fill="auto"/>
            <w:noWrap w:val="0"/>
            <w:vAlign w:val="center"/>
          </w:tcPr>
          <w:p w14:paraId="211A0D8B">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0</w:t>
            </w:r>
          </w:p>
        </w:tc>
        <w:tc>
          <w:tcPr>
            <w:tcW w:w="525" w:type="pct"/>
            <w:shd w:val="clear" w:color="auto" w:fill="auto"/>
            <w:noWrap w:val="0"/>
            <w:vAlign w:val="center"/>
          </w:tcPr>
          <w:p w14:paraId="78DE6DD2">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达标</w:t>
            </w:r>
          </w:p>
        </w:tc>
        <w:tc>
          <w:tcPr>
            <w:tcW w:w="644" w:type="pct"/>
            <w:shd w:val="clear" w:color="auto" w:fill="auto"/>
            <w:noWrap w:val="0"/>
            <w:vAlign w:val="center"/>
          </w:tcPr>
          <w:p w14:paraId="242F35AB">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596</w:t>
            </w:r>
          </w:p>
        </w:tc>
      </w:tr>
      <w:tr w14:paraId="25A12B4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7" w:type="dxa"/>
            <w:bottom w:w="0" w:type="dxa"/>
            <w:right w:w="17" w:type="dxa"/>
          </w:tblCellMar>
        </w:tblPrEx>
        <w:trPr>
          <w:trHeight w:val="23" w:hRule="atLeast"/>
          <w:jc w:val="center"/>
        </w:trPr>
        <w:tc>
          <w:tcPr>
            <w:tcW w:w="288" w:type="pct"/>
            <w:vMerge w:val="continue"/>
            <w:noWrap w:val="0"/>
            <w:vAlign w:val="center"/>
          </w:tcPr>
          <w:p w14:paraId="5A6C8E63">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none"/>
                <w:lang w:val="en-US" w:eastAsia="zh-CN"/>
              </w:rPr>
            </w:pPr>
          </w:p>
        </w:tc>
        <w:tc>
          <w:tcPr>
            <w:tcW w:w="586" w:type="pct"/>
            <w:vMerge w:val="continue"/>
            <w:shd w:val="clear" w:color="auto" w:fill="auto"/>
            <w:noWrap w:val="0"/>
            <w:vAlign w:val="center"/>
          </w:tcPr>
          <w:p w14:paraId="1344BDA1">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none"/>
                <w:lang w:val="en-US" w:eastAsia="zh-CN"/>
              </w:rPr>
            </w:pPr>
          </w:p>
        </w:tc>
        <w:tc>
          <w:tcPr>
            <w:tcW w:w="1139" w:type="pct"/>
            <w:shd w:val="clear" w:color="auto" w:fill="auto"/>
            <w:noWrap w:val="0"/>
            <w:vAlign w:val="center"/>
          </w:tcPr>
          <w:p w14:paraId="12E6908C">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氯仿</w:t>
            </w:r>
          </w:p>
        </w:tc>
        <w:tc>
          <w:tcPr>
            <w:tcW w:w="514" w:type="pct"/>
            <w:shd w:val="clear" w:color="auto" w:fill="auto"/>
            <w:noWrap w:val="0"/>
            <w:vAlign w:val="center"/>
          </w:tcPr>
          <w:p w14:paraId="68AAFEC6">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mg/kg</w:t>
            </w:r>
          </w:p>
        </w:tc>
        <w:tc>
          <w:tcPr>
            <w:tcW w:w="772" w:type="pct"/>
            <w:shd w:val="clear" w:color="auto" w:fill="auto"/>
            <w:noWrap w:val="0"/>
            <w:vAlign w:val="center"/>
          </w:tcPr>
          <w:p w14:paraId="35AD32B7">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ND</w:t>
            </w:r>
          </w:p>
        </w:tc>
        <w:tc>
          <w:tcPr>
            <w:tcW w:w="529" w:type="pct"/>
            <w:shd w:val="clear" w:color="auto" w:fill="auto"/>
            <w:noWrap w:val="0"/>
            <w:vAlign w:val="center"/>
          </w:tcPr>
          <w:p w14:paraId="645F114B">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0</w:t>
            </w:r>
          </w:p>
        </w:tc>
        <w:tc>
          <w:tcPr>
            <w:tcW w:w="525" w:type="pct"/>
            <w:shd w:val="clear" w:color="auto" w:fill="auto"/>
            <w:noWrap w:val="0"/>
            <w:vAlign w:val="center"/>
          </w:tcPr>
          <w:p w14:paraId="55392781">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达标</w:t>
            </w:r>
          </w:p>
        </w:tc>
        <w:tc>
          <w:tcPr>
            <w:tcW w:w="644" w:type="pct"/>
            <w:shd w:val="clear" w:color="auto" w:fill="auto"/>
            <w:noWrap w:val="0"/>
            <w:vAlign w:val="center"/>
          </w:tcPr>
          <w:p w14:paraId="7F0335EF">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0.9</w:t>
            </w:r>
          </w:p>
        </w:tc>
      </w:tr>
      <w:tr w14:paraId="2A9227D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7" w:type="dxa"/>
            <w:bottom w:w="0" w:type="dxa"/>
            <w:right w:w="17" w:type="dxa"/>
          </w:tblCellMar>
        </w:tblPrEx>
        <w:trPr>
          <w:trHeight w:val="23" w:hRule="atLeast"/>
          <w:jc w:val="center"/>
        </w:trPr>
        <w:tc>
          <w:tcPr>
            <w:tcW w:w="288" w:type="pct"/>
            <w:vMerge w:val="continue"/>
            <w:noWrap w:val="0"/>
            <w:vAlign w:val="center"/>
          </w:tcPr>
          <w:p w14:paraId="1F322B48">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none"/>
                <w:lang w:val="en-US" w:eastAsia="zh-CN"/>
              </w:rPr>
            </w:pPr>
          </w:p>
        </w:tc>
        <w:tc>
          <w:tcPr>
            <w:tcW w:w="586" w:type="pct"/>
            <w:vMerge w:val="continue"/>
            <w:shd w:val="clear" w:color="auto" w:fill="auto"/>
            <w:noWrap w:val="0"/>
            <w:vAlign w:val="center"/>
          </w:tcPr>
          <w:p w14:paraId="26C00E9A">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none"/>
                <w:lang w:val="en-US" w:eastAsia="zh-CN"/>
              </w:rPr>
            </w:pPr>
          </w:p>
        </w:tc>
        <w:tc>
          <w:tcPr>
            <w:tcW w:w="1139" w:type="pct"/>
            <w:shd w:val="clear" w:color="auto" w:fill="auto"/>
            <w:noWrap w:val="0"/>
            <w:vAlign w:val="center"/>
          </w:tcPr>
          <w:p w14:paraId="3A32B0E3">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1,1,1-三氯乙烷</w:t>
            </w:r>
          </w:p>
        </w:tc>
        <w:tc>
          <w:tcPr>
            <w:tcW w:w="514" w:type="pct"/>
            <w:shd w:val="clear" w:color="auto" w:fill="auto"/>
            <w:noWrap w:val="0"/>
            <w:vAlign w:val="center"/>
          </w:tcPr>
          <w:p w14:paraId="1B53D4CB">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mg/kg</w:t>
            </w:r>
          </w:p>
        </w:tc>
        <w:tc>
          <w:tcPr>
            <w:tcW w:w="772" w:type="pct"/>
            <w:shd w:val="clear" w:color="auto" w:fill="auto"/>
            <w:noWrap w:val="0"/>
            <w:vAlign w:val="center"/>
          </w:tcPr>
          <w:p w14:paraId="28C28153">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ND</w:t>
            </w:r>
          </w:p>
        </w:tc>
        <w:tc>
          <w:tcPr>
            <w:tcW w:w="529" w:type="pct"/>
            <w:shd w:val="clear" w:color="auto" w:fill="auto"/>
            <w:noWrap w:val="0"/>
            <w:vAlign w:val="center"/>
          </w:tcPr>
          <w:p w14:paraId="083151B8">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0</w:t>
            </w:r>
          </w:p>
        </w:tc>
        <w:tc>
          <w:tcPr>
            <w:tcW w:w="525" w:type="pct"/>
            <w:shd w:val="clear" w:color="auto" w:fill="auto"/>
            <w:noWrap w:val="0"/>
            <w:vAlign w:val="center"/>
          </w:tcPr>
          <w:p w14:paraId="78EFBB32">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达标</w:t>
            </w:r>
          </w:p>
        </w:tc>
        <w:tc>
          <w:tcPr>
            <w:tcW w:w="644" w:type="pct"/>
            <w:shd w:val="clear" w:color="auto" w:fill="auto"/>
            <w:noWrap w:val="0"/>
            <w:vAlign w:val="center"/>
          </w:tcPr>
          <w:p w14:paraId="044D1C51">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840</w:t>
            </w:r>
          </w:p>
        </w:tc>
      </w:tr>
      <w:tr w14:paraId="7B0493E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7" w:type="dxa"/>
            <w:bottom w:w="0" w:type="dxa"/>
            <w:right w:w="17" w:type="dxa"/>
          </w:tblCellMar>
        </w:tblPrEx>
        <w:trPr>
          <w:trHeight w:val="23" w:hRule="atLeast"/>
          <w:jc w:val="center"/>
        </w:trPr>
        <w:tc>
          <w:tcPr>
            <w:tcW w:w="288" w:type="pct"/>
            <w:vMerge w:val="continue"/>
            <w:noWrap w:val="0"/>
            <w:vAlign w:val="center"/>
          </w:tcPr>
          <w:p w14:paraId="5F9237CA">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none"/>
                <w:lang w:val="en-US" w:eastAsia="zh-CN"/>
              </w:rPr>
            </w:pPr>
          </w:p>
        </w:tc>
        <w:tc>
          <w:tcPr>
            <w:tcW w:w="586" w:type="pct"/>
            <w:vMerge w:val="continue"/>
            <w:shd w:val="clear" w:color="auto" w:fill="auto"/>
            <w:noWrap w:val="0"/>
            <w:vAlign w:val="center"/>
          </w:tcPr>
          <w:p w14:paraId="2C2BCEA5">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none"/>
                <w:lang w:val="en-US" w:eastAsia="zh-CN"/>
              </w:rPr>
            </w:pPr>
          </w:p>
        </w:tc>
        <w:tc>
          <w:tcPr>
            <w:tcW w:w="1139" w:type="pct"/>
            <w:shd w:val="clear" w:color="auto" w:fill="auto"/>
            <w:noWrap w:val="0"/>
            <w:vAlign w:val="center"/>
          </w:tcPr>
          <w:p w14:paraId="683ED418">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四氯化碳</w:t>
            </w:r>
          </w:p>
        </w:tc>
        <w:tc>
          <w:tcPr>
            <w:tcW w:w="514" w:type="pct"/>
            <w:shd w:val="clear" w:color="auto" w:fill="auto"/>
            <w:noWrap w:val="0"/>
            <w:vAlign w:val="center"/>
          </w:tcPr>
          <w:p w14:paraId="12277852">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mg/kg</w:t>
            </w:r>
          </w:p>
        </w:tc>
        <w:tc>
          <w:tcPr>
            <w:tcW w:w="772" w:type="pct"/>
            <w:shd w:val="clear" w:color="auto" w:fill="auto"/>
            <w:noWrap w:val="0"/>
            <w:vAlign w:val="center"/>
          </w:tcPr>
          <w:p w14:paraId="69099915">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ND</w:t>
            </w:r>
          </w:p>
        </w:tc>
        <w:tc>
          <w:tcPr>
            <w:tcW w:w="529" w:type="pct"/>
            <w:shd w:val="clear" w:color="auto" w:fill="auto"/>
            <w:noWrap w:val="0"/>
            <w:vAlign w:val="center"/>
          </w:tcPr>
          <w:p w14:paraId="350CCFAE">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0</w:t>
            </w:r>
          </w:p>
        </w:tc>
        <w:tc>
          <w:tcPr>
            <w:tcW w:w="525" w:type="pct"/>
            <w:shd w:val="clear" w:color="auto" w:fill="auto"/>
            <w:noWrap w:val="0"/>
            <w:vAlign w:val="center"/>
          </w:tcPr>
          <w:p w14:paraId="560443E8">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达标</w:t>
            </w:r>
          </w:p>
        </w:tc>
        <w:tc>
          <w:tcPr>
            <w:tcW w:w="644" w:type="pct"/>
            <w:shd w:val="clear" w:color="auto" w:fill="auto"/>
            <w:noWrap w:val="0"/>
            <w:vAlign w:val="center"/>
          </w:tcPr>
          <w:p w14:paraId="48129A5B">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2.8</w:t>
            </w:r>
          </w:p>
        </w:tc>
      </w:tr>
      <w:tr w14:paraId="7A96AFF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7" w:type="dxa"/>
            <w:bottom w:w="0" w:type="dxa"/>
            <w:right w:w="17" w:type="dxa"/>
          </w:tblCellMar>
        </w:tblPrEx>
        <w:trPr>
          <w:trHeight w:val="23" w:hRule="atLeast"/>
          <w:jc w:val="center"/>
        </w:trPr>
        <w:tc>
          <w:tcPr>
            <w:tcW w:w="288" w:type="pct"/>
            <w:vMerge w:val="continue"/>
            <w:noWrap w:val="0"/>
            <w:vAlign w:val="center"/>
          </w:tcPr>
          <w:p w14:paraId="46747A9F">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none"/>
                <w:lang w:val="en-US" w:eastAsia="zh-CN"/>
              </w:rPr>
            </w:pPr>
          </w:p>
        </w:tc>
        <w:tc>
          <w:tcPr>
            <w:tcW w:w="586" w:type="pct"/>
            <w:vMerge w:val="continue"/>
            <w:shd w:val="clear" w:color="auto" w:fill="auto"/>
            <w:noWrap w:val="0"/>
            <w:vAlign w:val="center"/>
          </w:tcPr>
          <w:p w14:paraId="74887528">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none"/>
                <w:lang w:val="en-US" w:eastAsia="zh-CN"/>
              </w:rPr>
            </w:pPr>
          </w:p>
        </w:tc>
        <w:tc>
          <w:tcPr>
            <w:tcW w:w="1139" w:type="pct"/>
            <w:shd w:val="clear" w:color="auto" w:fill="auto"/>
            <w:noWrap w:val="0"/>
            <w:vAlign w:val="center"/>
          </w:tcPr>
          <w:p w14:paraId="772D3B96">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苯</w:t>
            </w:r>
          </w:p>
        </w:tc>
        <w:tc>
          <w:tcPr>
            <w:tcW w:w="514" w:type="pct"/>
            <w:shd w:val="clear" w:color="auto" w:fill="auto"/>
            <w:noWrap w:val="0"/>
            <w:vAlign w:val="center"/>
          </w:tcPr>
          <w:p w14:paraId="056956F2">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mg/kg</w:t>
            </w:r>
          </w:p>
        </w:tc>
        <w:tc>
          <w:tcPr>
            <w:tcW w:w="772" w:type="pct"/>
            <w:shd w:val="clear" w:color="auto" w:fill="auto"/>
            <w:noWrap w:val="0"/>
            <w:vAlign w:val="center"/>
          </w:tcPr>
          <w:p w14:paraId="2DE4E3E3">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ND</w:t>
            </w:r>
          </w:p>
        </w:tc>
        <w:tc>
          <w:tcPr>
            <w:tcW w:w="529" w:type="pct"/>
            <w:shd w:val="clear" w:color="auto" w:fill="auto"/>
            <w:noWrap w:val="0"/>
            <w:vAlign w:val="center"/>
          </w:tcPr>
          <w:p w14:paraId="50298A3F">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0</w:t>
            </w:r>
          </w:p>
        </w:tc>
        <w:tc>
          <w:tcPr>
            <w:tcW w:w="525" w:type="pct"/>
            <w:shd w:val="clear" w:color="auto" w:fill="auto"/>
            <w:noWrap w:val="0"/>
            <w:vAlign w:val="center"/>
          </w:tcPr>
          <w:p w14:paraId="31297DD3">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达标</w:t>
            </w:r>
          </w:p>
        </w:tc>
        <w:tc>
          <w:tcPr>
            <w:tcW w:w="644" w:type="pct"/>
            <w:shd w:val="clear" w:color="auto" w:fill="auto"/>
            <w:noWrap w:val="0"/>
            <w:vAlign w:val="center"/>
          </w:tcPr>
          <w:p w14:paraId="18490E64">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4</w:t>
            </w:r>
          </w:p>
        </w:tc>
      </w:tr>
      <w:tr w14:paraId="71FA59E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7" w:type="dxa"/>
            <w:bottom w:w="0" w:type="dxa"/>
            <w:right w:w="17" w:type="dxa"/>
          </w:tblCellMar>
        </w:tblPrEx>
        <w:trPr>
          <w:trHeight w:val="23" w:hRule="atLeast"/>
          <w:jc w:val="center"/>
        </w:trPr>
        <w:tc>
          <w:tcPr>
            <w:tcW w:w="288" w:type="pct"/>
            <w:vMerge w:val="continue"/>
            <w:noWrap w:val="0"/>
            <w:vAlign w:val="center"/>
          </w:tcPr>
          <w:p w14:paraId="0CB2318B">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none"/>
                <w:lang w:val="en-US" w:eastAsia="zh-CN"/>
              </w:rPr>
            </w:pPr>
          </w:p>
        </w:tc>
        <w:tc>
          <w:tcPr>
            <w:tcW w:w="586" w:type="pct"/>
            <w:vMerge w:val="continue"/>
            <w:shd w:val="clear" w:color="auto" w:fill="auto"/>
            <w:noWrap w:val="0"/>
            <w:vAlign w:val="center"/>
          </w:tcPr>
          <w:p w14:paraId="7E7A5E03">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none"/>
                <w:lang w:val="en-US" w:eastAsia="zh-CN"/>
              </w:rPr>
            </w:pPr>
          </w:p>
        </w:tc>
        <w:tc>
          <w:tcPr>
            <w:tcW w:w="1139" w:type="pct"/>
            <w:shd w:val="clear" w:color="auto" w:fill="auto"/>
            <w:noWrap w:val="0"/>
            <w:vAlign w:val="center"/>
          </w:tcPr>
          <w:p w14:paraId="55734B13">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1,2-二氯乙烷</w:t>
            </w:r>
          </w:p>
        </w:tc>
        <w:tc>
          <w:tcPr>
            <w:tcW w:w="514" w:type="pct"/>
            <w:shd w:val="clear" w:color="auto" w:fill="auto"/>
            <w:noWrap w:val="0"/>
            <w:vAlign w:val="center"/>
          </w:tcPr>
          <w:p w14:paraId="1A02540D">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mg/kg</w:t>
            </w:r>
          </w:p>
        </w:tc>
        <w:tc>
          <w:tcPr>
            <w:tcW w:w="772" w:type="pct"/>
            <w:shd w:val="clear" w:color="auto" w:fill="auto"/>
            <w:noWrap w:val="0"/>
            <w:vAlign w:val="center"/>
          </w:tcPr>
          <w:p w14:paraId="7B408A3A">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ND</w:t>
            </w:r>
          </w:p>
        </w:tc>
        <w:tc>
          <w:tcPr>
            <w:tcW w:w="529" w:type="pct"/>
            <w:shd w:val="clear" w:color="auto" w:fill="auto"/>
            <w:noWrap w:val="0"/>
            <w:vAlign w:val="center"/>
          </w:tcPr>
          <w:p w14:paraId="057556AF">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0</w:t>
            </w:r>
          </w:p>
        </w:tc>
        <w:tc>
          <w:tcPr>
            <w:tcW w:w="525" w:type="pct"/>
            <w:shd w:val="clear" w:color="auto" w:fill="auto"/>
            <w:noWrap w:val="0"/>
            <w:vAlign w:val="center"/>
          </w:tcPr>
          <w:p w14:paraId="0F00D131">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达标</w:t>
            </w:r>
          </w:p>
        </w:tc>
        <w:tc>
          <w:tcPr>
            <w:tcW w:w="644" w:type="pct"/>
            <w:shd w:val="clear" w:color="auto" w:fill="auto"/>
            <w:noWrap w:val="0"/>
            <w:vAlign w:val="center"/>
          </w:tcPr>
          <w:p w14:paraId="68F6D880">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5</w:t>
            </w:r>
          </w:p>
        </w:tc>
      </w:tr>
      <w:tr w14:paraId="0969A43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7" w:type="dxa"/>
            <w:bottom w:w="0" w:type="dxa"/>
            <w:right w:w="17" w:type="dxa"/>
          </w:tblCellMar>
        </w:tblPrEx>
        <w:trPr>
          <w:trHeight w:val="23" w:hRule="atLeast"/>
          <w:jc w:val="center"/>
        </w:trPr>
        <w:tc>
          <w:tcPr>
            <w:tcW w:w="288" w:type="pct"/>
            <w:vMerge w:val="continue"/>
            <w:noWrap w:val="0"/>
            <w:vAlign w:val="center"/>
          </w:tcPr>
          <w:p w14:paraId="49971EC1">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none"/>
                <w:lang w:val="en-US" w:eastAsia="zh-CN"/>
              </w:rPr>
            </w:pPr>
          </w:p>
        </w:tc>
        <w:tc>
          <w:tcPr>
            <w:tcW w:w="586" w:type="pct"/>
            <w:vMerge w:val="continue"/>
            <w:shd w:val="clear" w:color="auto" w:fill="auto"/>
            <w:noWrap w:val="0"/>
            <w:vAlign w:val="center"/>
          </w:tcPr>
          <w:p w14:paraId="27892C5A">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none"/>
                <w:lang w:val="en-US" w:eastAsia="zh-CN"/>
              </w:rPr>
            </w:pPr>
          </w:p>
        </w:tc>
        <w:tc>
          <w:tcPr>
            <w:tcW w:w="1139" w:type="pct"/>
            <w:shd w:val="clear" w:color="auto" w:fill="auto"/>
            <w:noWrap w:val="0"/>
            <w:vAlign w:val="center"/>
          </w:tcPr>
          <w:p w14:paraId="6BE0C9A6">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三氯乙烯</w:t>
            </w:r>
          </w:p>
        </w:tc>
        <w:tc>
          <w:tcPr>
            <w:tcW w:w="514" w:type="pct"/>
            <w:shd w:val="clear" w:color="auto" w:fill="auto"/>
            <w:noWrap w:val="0"/>
            <w:vAlign w:val="center"/>
          </w:tcPr>
          <w:p w14:paraId="25409551">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mg/kg</w:t>
            </w:r>
          </w:p>
        </w:tc>
        <w:tc>
          <w:tcPr>
            <w:tcW w:w="772" w:type="pct"/>
            <w:shd w:val="clear" w:color="auto" w:fill="auto"/>
            <w:noWrap w:val="0"/>
            <w:vAlign w:val="center"/>
          </w:tcPr>
          <w:p w14:paraId="34D45EB2">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ND</w:t>
            </w:r>
          </w:p>
        </w:tc>
        <w:tc>
          <w:tcPr>
            <w:tcW w:w="529" w:type="pct"/>
            <w:shd w:val="clear" w:color="auto" w:fill="auto"/>
            <w:noWrap w:val="0"/>
            <w:vAlign w:val="center"/>
          </w:tcPr>
          <w:p w14:paraId="1DFD493B">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0</w:t>
            </w:r>
          </w:p>
        </w:tc>
        <w:tc>
          <w:tcPr>
            <w:tcW w:w="525" w:type="pct"/>
            <w:shd w:val="clear" w:color="auto" w:fill="auto"/>
            <w:noWrap w:val="0"/>
            <w:vAlign w:val="center"/>
          </w:tcPr>
          <w:p w14:paraId="7CCDED3B">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达标</w:t>
            </w:r>
          </w:p>
        </w:tc>
        <w:tc>
          <w:tcPr>
            <w:tcW w:w="644" w:type="pct"/>
            <w:shd w:val="clear" w:color="auto" w:fill="auto"/>
            <w:noWrap w:val="0"/>
            <w:vAlign w:val="center"/>
          </w:tcPr>
          <w:p w14:paraId="6A03802A">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2.8</w:t>
            </w:r>
          </w:p>
        </w:tc>
      </w:tr>
      <w:tr w14:paraId="56DC061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7" w:type="dxa"/>
            <w:bottom w:w="0" w:type="dxa"/>
            <w:right w:w="17" w:type="dxa"/>
          </w:tblCellMar>
        </w:tblPrEx>
        <w:trPr>
          <w:trHeight w:val="23" w:hRule="atLeast"/>
          <w:jc w:val="center"/>
        </w:trPr>
        <w:tc>
          <w:tcPr>
            <w:tcW w:w="288" w:type="pct"/>
            <w:vMerge w:val="continue"/>
            <w:noWrap w:val="0"/>
            <w:vAlign w:val="center"/>
          </w:tcPr>
          <w:p w14:paraId="1CAFC5CC">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none"/>
                <w:lang w:val="en-US" w:eastAsia="zh-CN"/>
              </w:rPr>
            </w:pPr>
          </w:p>
        </w:tc>
        <w:tc>
          <w:tcPr>
            <w:tcW w:w="586" w:type="pct"/>
            <w:vMerge w:val="continue"/>
            <w:shd w:val="clear" w:color="auto" w:fill="auto"/>
            <w:noWrap w:val="0"/>
            <w:vAlign w:val="center"/>
          </w:tcPr>
          <w:p w14:paraId="67ED6797">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none"/>
                <w:lang w:val="en-US" w:eastAsia="zh-CN"/>
              </w:rPr>
            </w:pPr>
          </w:p>
        </w:tc>
        <w:tc>
          <w:tcPr>
            <w:tcW w:w="1139" w:type="pct"/>
            <w:shd w:val="clear" w:color="auto" w:fill="auto"/>
            <w:noWrap w:val="0"/>
            <w:vAlign w:val="center"/>
          </w:tcPr>
          <w:p w14:paraId="7AF74381">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1,2-二氯丙烷</w:t>
            </w:r>
          </w:p>
        </w:tc>
        <w:tc>
          <w:tcPr>
            <w:tcW w:w="514" w:type="pct"/>
            <w:shd w:val="clear" w:color="auto" w:fill="auto"/>
            <w:noWrap w:val="0"/>
            <w:vAlign w:val="center"/>
          </w:tcPr>
          <w:p w14:paraId="7D200538">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mg/kg</w:t>
            </w:r>
          </w:p>
        </w:tc>
        <w:tc>
          <w:tcPr>
            <w:tcW w:w="772" w:type="pct"/>
            <w:shd w:val="clear" w:color="auto" w:fill="auto"/>
            <w:noWrap w:val="0"/>
            <w:vAlign w:val="center"/>
          </w:tcPr>
          <w:p w14:paraId="5DCAE278">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ND</w:t>
            </w:r>
          </w:p>
        </w:tc>
        <w:tc>
          <w:tcPr>
            <w:tcW w:w="529" w:type="pct"/>
            <w:shd w:val="clear" w:color="auto" w:fill="auto"/>
            <w:noWrap w:val="0"/>
            <w:vAlign w:val="center"/>
          </w:tcPr>
          <w:p w14:paraId="6528727E">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0</w:t>
            </w:r>
          </w:p>
        </w:tc>
        <w:tc>
          <w:tcPr>
            <w:tcW w:w="525" w:type="pct"/>
            <w:shd w:val="clear" w:color="auto" w:fill="auto"/>
            <w:noWrap w:val="0"/>
            <w:vAlign w:val="center"/>
          </w:tcPr>
          <w:p w14:paraId="1CD9C6EB">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达标</w:t>
            </w:r>
          </w:p>
        </w:tc>
        <w:tc>
          <w:tcPr>
            <w:tcW w:w="644" w:type="pct"/>
            <w:shd w:val="clear" w:color="auto" w:fill="auto"/>
            <w:noWrap w:val="0"/>
            <w:vAlign w:val="center"/>
          </w:tcPr>
          <w:p w14:paraId="128F4E0F">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5</w:t>
            </w:r>
          </w:p>
        </w:tc>
      </w:tr>
      <w:tr w14:paraId="655780F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7" w:type="dxa"/>
            <w:bottom w:w="0" w:type="dxa"/>
            <w:right w:w="17" w:type="dxa"/>
          </w:tblCellMar>
        </w:tblPrEx>
        <w:trPr>
          <w:trHeight w:val="23" w:hRule="atLeast"/>
          <w:jc w:val="center"/>
        </w:trPr>
        <w:tc>
          <w:tcPr>
            <w:tcW w:w="288" w:type="pct"/>
            <w:vMerge w:val="continue"/>
            <w:noWrap w:val="0"/>
            <w:vAlign w:val="center"/>
          </w:tcPr>
          <w:p w14:paraId="70536761">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none"/>
                <w:lang w:val="en-US" w:eastAsia="zh-CN"/>
              </w:rPr>
            </w:pPr>
          </w:p>
        </w:tc>
        <w:tc>
          <w:tcPr>
            <w:tcW w:w="586" w:type="pct"/>
            <w:vMerge w:val="continue"/>
            <w:shd w:val="clear" w:color="auto" w:fill="auto"/>
            <w:noWrap w:val="0"/>
            <w:vAlign w:val="center"/>
          </w:tcPr>
          <w:p w14:paraId="13813327">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none"/>
                <w:lang w:val="en-US" w:eastAsia="zh-CN"/>
              </w:rPr>
            </w:pPr>
          </w:p>
        </w:tc>
        <w:tc>
          <w:tcPr>
            <w:tcW w:w="1139" w:type="pct"/>
            <w:shd w:val="clear" w:color="auto" w:fill="auto"/>
            <w:noWrap w:val="0"/>
            <w:vAlign w:val="center"/>
          </w:tcPr>
          <w:p w14:paraId="5C0D2902">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甲苯</w:t>
            </w:r>
          </w:p>
        </w:tc>
        <w:tc>
          <w:tcPr>
            <w:tcW w:w="514" w:type="pct"/>
            <w:shd w:val="clear" w:color="auto" w:fill="auto"/>
            <w:noWrap w:val="0"/>
            <w:vAlign w:val="center"/>
          </w:tcPr>
          <w:p w14:paraId="07892429">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mg/kg</w:t>
            </w:r>
          </w:p>
        </w:tc>
        <w:tc>
          <w:tcPr>
            <w:tcW w:w="772" w:type="pct"/>
            <w:shd w:val="clear" w:color="auto" w:fill="auto"/>
            <w:noWrap w:val="0"/>
            <w:vAlign w:val="center"/>
          </w:tcPr>
          <w:p w14:paraId="3A50D308">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ND</w:t>
            </w:r>
          </w:p>
        </w:tc>
        <w:tc>
          <w:tcPr>
            <w:tcW w:w="529" w:type="pct"/>
            <w:shd w:val="clear" w:color="auto" w:fill="auto"/>
            <w:noWrap w:val="0"/>
            <w:vAlign w:val="center"/>
          </w:tcPr>
          <w:p w14:paraId="348809B0">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0</w:t>
            </w:r>
          </w:p>
        </w:tc>
        <w:tc>
          <w:tcPr>
            <w:tcW w:w="525" w:type="pct"/>
            <w:shd w:val="clear" w:color="auto" w:fill="auto"/>
            <w:noWrap w:val="0"/>
            <w:vAlign w:val="center"/>
          </w:tcPr>
          <w:p w14:paraId="4D3AE264">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达标</w:t>
            </w:r>
          </w:p>
        </w:tc>
        <w:tc>
          <w:tcPr>
            <w:tcW w:w="644" w:type="pct"/>
            <w:shd w:val="clear" w:color="auto" w:fill="auto"/>
            <w:noWrap w:val="0"/>
            <w:vAlign w:val="center"/>
          </w:tcPr>
          <w:p w14:paraId="2ABCB98B">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1200</w:t>
            </w:r>
          </w:p>
        </w:tc>
      </w:tr>
      <w:tr w14:paraId="072EB26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7" w:type="dxa"/>
            <w:bottom w:w="0" w:type="dxa"/>
            <w:right w:w="17" w:type="dxa"/>
          </w:tblCellMar>
        </w:tblPrEx>
        <w:trPr>
          <w:trHeight w:val="23" w:hRule="atLeast"/>
          <w:jc w:val="center"/>
        </w:trPr>
        <w:tc>
          <w:tcPr>
            <w:tcW w:w="288" w:type="pct"/>
            <w:vMerge w:val="continue"/>
            <w:noWrap w:val="0"/>
            <w:vAlign w:val="center"/>
          </w:tcPr>
          <w:p w14:paraId="6C6C5163">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none"/>
                <w:lang w:val="en-US" w:eastAsia="zh-CN"/>
              </w:rPr>
            </w:pPr>
          </w:p>
        </w:tc>
        <w:tc>
          <w:tcPr>
            <w:tcW w:w="586" w:type="pct"/>
            <w:vMerge w:val="continue"/>
            <w:shd w:val="clear" w:color="auto" w:fill="auto"/>
            <w:noWrap w:val="0"/>
            <w:vAlign w:val="center"/>
          </w:tcPr>
          <w:p w14:paraId="1E81E4B0">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none"/>
                <w:lang w:val="en-US" w:eastAsia="zh-CN"/>
              </w:rPr>
            </w:pPr>
          </w:p>
        </w:tc>
        <w:tc>
          <w:tcPr>
            <w:tcW w:w="1139" w:type="pct"/>
            <w:shd w:val="clear" w:color="auto" w:fill="auto"/>
            <w:noWrap w:val="0"/>
            <w:vAlign w:val="center"/>
          </w:tcPr>
          <w:p w14:paraId="1DDB6C04">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1,1,2-三氯乙烷</w:t>
            </w:r>
          </w:p>
        </w:tc>
        <w:tc>
          <w:tcPr>
            <w:tcW w:w="514" w:type="pct"/>
            <w:shd w:val="clear" w:color="auto" w:fill="auto"/>
            <w:noWrap w:val="0"/>
            <w:vAlign w:val="center"/>
          </w:tcPr>
          <w:p w14:paraId="6DF042B5">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mg/kg</w:t>
            </w:r>
          </w:p>
        </w:tc>
        <w:tc>
          <w:tcPr>
            <w:tcW w:w="772" w:type="pct"/>
            <w:shd w:val="clear" w:color="auto" w:fill="auto"/>
            <w:noWrap w:val="0"/>
            <w:vAlign w:val="center"/>
          </w:tcPr>
          <w:p w14:paraId="2E7867C1">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ND</w:t>
            </w:r>
          </w:p>
        </w:tc>
        <w:tc>
          <w:tcPr>
            <w:tcW w:w="529" w:type="pct"/>
            <w:shd w:val="clear" w:color="auto" w:fill="auto"/>
            <w:noWrap w:val="0"/>
            <w:vAlign w:val="center"/>
          </w:tcPr>
          <w:p w14:paraId="5F96DD3D">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0</w:t>
            </w:r>
          </w:p>
        </w:tc>
        <w:tc>
          <w:tcPr>
            <w:tcW w:w="525" w:type="pct"/>
            <w:shd w:val="clear" w:color="auto" w:fill="auto"/>
            <w:noWrap w:val="0"/>
            <w:vAlign w:val="center"/>
          </w:tcPr>
          <w:p w14:paraId="387E185E">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达标</w:t>
            </w:r>
          </w:p>
        </w:tc>
        <w:tc>
          <w:tcPr>
            <w:tcW w:w="644" w:type="pct"/>
            <w:shd w:val="clear" w:color="auto" w:fill="auto"/>
            <w:noWrap w:val="0"/>
            <w:vAlign w:val="center"/>
          </w:tcPr>
          <w:p w14:paraId="27DBBDFF">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2.8</w:t>
            </w:r>
          </w:p>
        </w:tc>
      </w:tr>
      <w:tr w14:paraId="7BC68E3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7" w:type="dxa"/>
            <w:bottom w:w="0" w:type="dxa"/>
            <w:right w:w="17" w:type="dxa"/>
          </w:tblCellMar>
        </w:tblPrEx>
        <w:trPr>
          <w:trHeight w:val="23" w:hRule="atLeast"/>
          <w:jc w:val="center"/>
        </w:trPr>
        <w:tc>
          <w:tcPr>
            <w:tcW w:w="288" w:type="pct"/>
            <w:vMerge w:val="continue"/>
            <w:noWrap w:val="0"/>
            <w:vAlign w:val="center"/>
          </w:tcPr>
          <w:p w14:paraId="26490362">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none"/>
                <w:lang w:val="en-US" w:eastAsia="zh-CN"/>
              </w:rPr>
            </w:pPr>
          </w:p>
        </w:tc>
        <w:tc>
          <w:tcPr>
            <w:tcW w:w="586" w:type="pct"/>
            <w:vMerge w:val="continue"/>
            <w:shd w:val="clear" w:color="auto" w:fill="auto"/>
            <w:noWrap w:val="0"/>
            <w:vAlign w:val="center"/>
          </w:tcPr>
          <w:p w14:paraId="0BFB0900">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none"/>
                <w:lang w:val="en-US" w:eastAsia="zh-CN"/>
              </w:rPr>
            </w:pPr>
          </w:p>
        </w:tc>
        <w:tc>
          <w:tcPr>
            <w:tcW w:w="1139" w:type="pct"/>
            <w:shd w:val="clear" w:color="auto" w:fill="auto"/>
            <w:noWrap w:val="0"/>
            <w:vAlign w:val="center"/>
          </w:tcPr>
          <w:p w14:paraId="50A43A11">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四氯乙烯</w:t>
            </w:r>
          </w:p>
        </w:tc>
        <w:tc>
          <w:tcPr>
            <w:tcW w:w="514" w:type="pct"/>
            <w:shd w:val="clear" w:color="auto" w:fill="auto"/>
            <w:noWrap w:val="0"/>
            <w:vAlign w:val="center"/>
          </w:tcPr>
          <w:p w14:paraId="4342A351">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mg/kg</w:t>
            </w:r>
          </w:p>
        </w:tc>
        <w:tc>
          <w:tcPr>
            <w:tcW w:w="772" w:type="pct"/>
            <w:shd w:val="clear" w:color="auto" w:fill="auto"/>
            <w:noWrap w:val="0"/>
            <w:vAlign w:val="center"/>
          </w:tcPr>
          <w:p w14:paraId="258F1BC0">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ND</w:t>
            </w:r>
          </w:p>
        </w:tc>
        <w:tc>
          <w:tcPr>
            <w:tcW w:w="529" w:type="pct"/>
            <w:shd w:val="clear" w:color="auto" w:fill="auto"/>
            <w:noWrap w:val="0"/>
            <w:vAlign w:val="center"/>
          </w:tcPr>
          <w:p w14:paraId="6DD3E88C">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0</w:t>
            </w:r>
          </w:p>
        </w:tc>
        <w:tc>
          <w:tcPr>
            <w:tcW w:w="525" w:type="pct"/>
            <w:shd w:val="clear" w:color="auto" w:fill="auto"/>
            <w:noWrap w:val="0"/>
            <w:vAlign w:val="center"/>
          </w:tcPr>
          <w:p w14:paraId="35B61F7F">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达标</w:t>
            </w:r>
          </w:p>
        </w:tc>
        <w:tc>
          <w:tcPr>
            <w:tcW w:w="644" w:type="pct"/>
            <w:shd w:val="clear" w:color="auto" w:fill="auto"/>
            <w:noWrap w:val="0"/>
            <w:vAlign w:val="center"/>
          </w:tcPr>
          <w:p w14:paraId="0D48D422">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53</w:t>
            </w:r>
          </w:p>
        </w:tc>
      </w:tr>
      <w:tr w14:paraId="6540B6C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7" w:type="dxa"/>
            <w:bottom w:w="0" w:type="dxa"/>
            <w:right w:w="17" w:type="dxa"/>
          </w:tblCellMar>
        </w:tblPrEx>
        <w:trPr>
          <w:trHeight w:val="23" w:hRule="atLeast"/>
          <w:jc w:val="center"/>
        </w:trPr>
        <w:tc>
          <w:tcPr>
            <w:tcW w:w="288" w:type="pct"/>
            <w:vMerge w:val="continue"/>
            <w:noWrap w:val="0"/>
            <w:vAlign w:val="center"/>
          </w:tcPr>
          <w:p w14:paraId="6E172AF6">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none"/>
                <w:lang w:val="en-US" w:eastAsia="zh-CN"/>
              </w:rPr>
            </w:pPr>
          </w:p>
        </w:tc>
        <w:tc>
          <w:tcPr>
            <w:tcW w:w="586" w:type="pct"/>
            <w:vMerge w:val="continue"/>
            <w:shd w:val="clear" w:color="auto" w:fill="auto"/>
            <w:noWrap w:val="0"/>
            <w:vAlign w:val="center"/>
          </w:tcPr>
          <w:p w14:paraId="488DDFD4">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none"/>
                <w:lang w:val="en-US" w:eastAsia="zh-CN"/>
              </w:rPr>
            </w:pPr>
          </w:p>
        </w:tc>
        <w:tc>
          <w:tcPr>
            <w:tcW w:w="1139" w:type="pct"/>
            <w:shd w:val="clear" w:color="auto" w:fill="auto"/>
            <w:noWrap w:val="0"/>
            <w:vAlign w:val="center"/>
          </w:tcPr>
          <w:p w14:paraId="2F3EC2F3">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氯苯</w:t>
            </w:r>
          </w:p>
        </w:tc>
        <w:tc>
          <w:tcPr>
            <w:tcW w:w="514" w:type="pct"/>
            <w:shd w:val="clear" w:color="auto" w:fill="auto"/>
            <w:noWrap w:val="0"/>
            <w:vAlign w:val="center"/>
          </w:tcPr>
          <w:p w14:paraId="168FD38F">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mg/kg</w:t>
            </w:r>
          </w:p>
        </w:tc>
        <w:tc>
          <w:tcPr>
            <w:tcW w:w="772" w:type="pct"/>
            <w:shd w:val="clear" w:color="auto" w:fill="auto"/>
            <w:noWrap w:val="0"/>
            <w:vAlign w:val="center"/>
          </w:tcPr>
          <w:p w14:paraId="5D252752">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ND</w:t>
            </w:r>
          </w:p>
        </w:tc>
        <w:tc>
          <w:tcPr>
            <w:tcW w:w="529" w:type="pct"/>
            <w:shd w:val="clear" w:color="auto" w:fill="auto"/>
            <w:noWrap w:val="0"/>
            <w:vAlign w:val="center"/>
          </w:tcPr>
          <w:p w14:paraId="2034772A">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0</w:t>
            </w:r>
          </w:p>
        </w:tc>
        <w:tc>
          <w:tcPr>
            <w:tcW w:w="525" w:type="pct"/>
            <w:shd w:val="clear" w:color="auto" w:fill="auto"/>
            <w:noWrap w:val="0"/>
            <w:vAlign w:val="center"/>
          </w:tcPr>
          <w:p w14:paraId="1CA18523">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达标</w:t>
            </w:r>
          </w:p>
        </w:tc>
        <w:tc>
          <w:tcPr>
            <w:tcW w:w="644" w:type="pct"/>
            <w:shd w:val="clear" w:color="auto" w:fill="auto"/>
            <w:noWrap w:val="0"/>
            <w:vAlign w:val="center"/>
          </w:tcPr>
          <w:p w14:paraId="09495543">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270</w:t>
            </w:r>
          </w:p>
        </w:tc>
      </w:tr>
      <w:tr w14:paraId="600D1D8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7" w:type="dxa"/>
            <w:bottom w:w="0" w:type="dxa"/>
            <w:right w:w="17" w:type="dxa"/>
          </w:tblCellMar>
        </w:tblPrEx>
        <w:trPr>
          <w:trHeight w:val="23" w:hRule="atLeast"/>
          <w:jc w:val="center"/>
        </w:trPr>
        <w:tc>
          <w:tcPr>
            <w:tcW w:w="288" w:type="pct"/>
            <w:vMerge w:val="continue"/>
            <w:noWrap w:val="0"/>
            <w:vAlign w:val="center"/>
          </w:tcPr>
          <w:p w14:paraId="58911A7C">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none"/>
                <w:lang w:val="en-US" w:eastAsia="zh-CN"/>
              </w:rPr>
            </w:pPr>
          </w:p>
        </w:tc>
        <w:tc>
          <w:tcPr>
            <w:tcW w:w="586" w:type="pct"/>
            <w:vMerge w:val="continue"/>
            <w:shd w:val="clear" w:color="auto" w:fill="auto"/>
            <w:noWrap w:val="0"/>
            <w:vAlign w:val="center"/>
          </w:tcPr>
          <w:p w14:paraId="5E4B1AA2">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none"/>
                <w:lang w:val="en-US" w:eastAsia="zh-CN"/>
              </w:rPr>
            </w:pPr>
          </w:p>
        </w:tc>
        <w:tc>
          <w:tcPr>
            <w:tcW w:w="1139" w:type="pct"/>
            <w:shd w:val="clear" w:color="auto" w:fill="auto"/>
            <w:noWrap w:val="0"/>
            <w:vAlign w:val="center"/>
          </w:tcPr>
          <w:p w14:paraId="130FA89F">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1,1,1,2-四氯乙烷</w:t>
            </w:r>
          </w:p>
        </w:tc>
        <w:tc>
          <w:tcPr>
            <w:tcW w:w="514" w:type="pct"/>
            <w:shd w:val="clear" w:color="auto" w:fill="auto"/>
            <w:noWrap w:val="0"/>
            <w:vAlign w:val="center"/>
          </w:tcPr>
          <w:p w14:paraId="6F3B7B64">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mg/kg</w:t>
            </w:r>
          </w:p>
        </w:tc>
        <w:tc>
          <w:tcPr>
            <w:tcW w:w="772" w:type="pct"/>
            <w:shd w:val="clear" w:color="auto" w:fill="auto"/>
            <w:noWrap w:val="0"/>
            <w:vAlign w:val="center"/>
          </w:tcPr>
          <w:p w14:paraId="40B2CAAB">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ND</w:t>
            </w:r>
          </w:p>
        </w:tc>
        <w:tc>
          <w:tcPr>
            <w:tcW w:w="529" w:type="pct"/>
            <w:shd w:val="clear" w:color="auto" w:fill="auto"/>
            <w:noWrap w:val="0"/>
            <w:vAlign w:val="center"/>
          </w:tcPr>
          <w:p w14:paraId="0883C978">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0</w:t>
            </w:r>
          </w:p>
        </w:tc>
        <w:tc>
          <w:tcPr>
            <w:tcW w:w="525" w:type="pct"/>
            <w:shd w:val="clear" w:color="auto" w:fill="auto"/>
            <w:noWrap w:val="0"/>
            <w:vAlign w:val="center"/>
          </w:tcPr>
          <w:p w14:paraId="01AFDD66">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达标</w:t>
            </w:r>
          </w:p>
        </w:tc>
        <w:tc>
          <w:tcPr>
            <w:tcW w:w="644" w:type="pct"/>
            <w:shd w:val="clear" w:color="auto" w:fill="auto"/>
            <w:noWrap w:val="0"/>
            <w:vAlign w:val="center"/>
          </w:tcPr>
          <w:p w14:paraId="26CD7F22">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10</w:t>
            </w:r>
          </w:p>
        </w:tc>
      </w:tr>
      <w:tr w14:paraId="5B6683A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7" w:type="dxa"/>
            <w:bottom w:w="0" w:type="dxa"/>
            <w:right w:w="17" w:type="dxa"/>
          </w:tblCellMar>
        </w:tblPrEx>
        <w:trPr>
          <w:trHeight w:val="23" w:hRule="atLeast"/>
          <w:jc w:val="center"/>
        </w:trPr>
        <w:tc>
          <w:tcPr>
            <w:tcW w:w="288" w:type="pct"/>
            <w:vMerge w:val="continue"/>
            <w:noWrap w:val="0"/>
            <w:vAlign w:val="center"/>
          </w:tcPr>
          <w:p w14:paraId="7049556A">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none"/>
                <w:lang w:val="en-US" w:eastAsia="zh-CN"/>
              </w:rPr>
            </w:pPr>
          </w:p>
        </w:tc>
        <w:tc>
          <w:tcPr>
            <w:tcW w:w="586" w:type="pct"/>
            <w:vMerge w:val="continue"/>
            <w:shd w:val="clear" w:color="auto" w:fill="auto"/>
            <w:noWrap w:val="0"/>
            <w:vAlign w:val="center"/>
          </w:tcPr>
          <w:p w14:paraId="7E88B627">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none"/>
                <w:lang w:val="en-US" w:eastAsia="zh-CN"/>
              </w:rPr>
            </w:pPr>
          </w:p>
        </w:tc>
        <w:tc>
          <w:tcPr>
            <w:tcW w:w="1139" w:type="pct"/>
            <w:shd w:val="clear" w:color="auto" w:fill="auto"/>
            <w:noWrap w:val="0"/>
            <w:vAlign w:val="center"/>
          </w:tcPr>
          <w:p w14:paraId="4CFA690B">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乙苯</w:t>
            </w:r>
          </w:p>
        </w:tc>
        <w:tc>
          <w:tcPr>
            <w:tcW w:w="514" w:type="pct"/>
            <w:shd w:val="clear" w:color="auto" w:fill="auto"/>
            <w:noWrap w:val="0"/>
            <w:vAlign w:val="center"/>
          </w:tcPr>
          <w:p w14:paraId="3993FBF6">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mg/kg</w:t>
            </w:r>
          </w:p>
        </w:tc>
        <w:tc>
          <w:tcPr>
            <w:tcW w:w="772" w:type="pct"/>
            <w:shd w:val="clear" w:color="auto" w:fill="auto"/>
            <w:noWrap w:val="0"/>
            <w:vAlign w:val="center"/>
          </w:tcPr>
          <w:p w14:paraId="59E67D89">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ND</w:t>
            </w:r>
          </w:p>
        </w:tc>
        <w:tc>
          <w:tcPr>
            <w:tcW w:w="529" w:type="pct"/>
            <w:shd w:val="clear" w:color="auto" w:fill="auto"/>
            <w:noWrap w:val="0"/>
            <w:vAlign w:val="center"/>
          </w:tcPr>
          <w:p w14:paraId="7EB3CD29">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0</w:t>
            </w:r>
          </w:p>
        </w:tc>
        <w:tc>
          <w:tcPr>
            <w:tcW w:w="525" w:type="pct"/>
            <w:shd w:val="clear" w:color="auto" w:fill="auto"/>
            <w:noWrap w:val="0"/>
            <w:vAlign w:val="center"/>
          </w:tcPr>
          <w:p w14:paraId="32FAF9BC">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达标</w:t>
            </w:r>
          </w:p>
        </w:tc>
        <w:tc>
          <w:tcPr>
            <w:tcW w:w="644" w:type="pct"/>
            <w:shd w:val="clear" w:color="auto" w:fill="auto"/>
            <w:noWrap w:val="0"/>
            <w:vAlign w:val="center"/>
          </w:tcPr>
          <w:p w14:paraId="6B624A5F">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28</w:t>
            </w:r>
          </w:p>
        </w:tc>
      </w:tr>
      <w:tr w14:paraId="3CA2969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7" w:type="dxa"/>
            <w:bottom w:w="0" w:type="dxa"/>
            <w:right w:w="17" w:type="dxa"/>
          </w:tblCellMar>
        </w:tblPrEx>
        <w:trPr>
          <w:trHeight w:val="23" w:hRule="atLeast"/>
          <w:jc w:val="center"/>
        </w:trPr>
        <w:tc>
          <w:tcPr>
            <w:tcW w:w="288" w:type="pct"/>
            <w:vMerge w:val="continue"/>
            <w:noWrap w:val="0"/>
            <w:vAlign w:val="center"/>
          </w:tcPr>
          <w:p w14:paraId="00CDC8C8">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none"/>
                <w:lang w:val="en-US" w:eastAsia="zh-CN"/>
              </w:rPr>
            </w:pPr>
          </w:p>
        </w:tc>
        <w:tc>
          <w:tcPr>
            <w:tcW w:w="586" w:type="pct"/>
            <w:vMerge w:val="continue"/>
            <w:shd w:val="clear" w:color="auto" w:fill="auto"/>
            <w:noWrap w:val="0"/>
            <w:vAlign w:val="center"/>
          </w:tcPr>
          <w:p w14:paraId="6AA66042">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none"/>
                <w:lang w:val="en-US" w:eastAsia="zh-CN"/>
              </w:rPr>
            </w:pPr>
          </w:p>
        </w:tc>
        <w:tc>
          <w:tcPr>
            <w:tcW w:w="1139" w:type="pct"/>
            <w:shd w:val="clear" w:color="auto" w:fill="auto"/>
            <w:noWrap w:val="0"/>
            <w:vAlign w:val="center"/>
          </w:tcPr>
          <w:p w14:paraId="38997AF2">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间二甲苯+对二甲苯</w:t>
            </w:r>
          </w:p>
        </w:tc>
        <w:tc>
          <w:tcPr>
            <w:tcW w:w="514" w:type="pct"/>
            <w:shd w:val="clear" w:color="auto" w:fill="auto"/>
            <w:noWrap w:val="0"/>
            <w:vAlign w:val="center"/>
          </w:tcPr>
          <w:p w14:paraId="556E4493">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mg/kg</w:t>
            </w:r>
          </w:p>
        </w:tc>
        <w:tc>
          <w:tcPr>
            <w:tcW w:w="772" w:type="pct"/>
            <w:shd w:val="clear" w:color="auto" w:fill="auto"/>
            <w:noWrap w:val="0"/>
            <w:vAlign w:val="center"/>
          </w:tcPr>
          <w:p w14:paraId="1A52BBA7">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ND</w:t>
            </w:r>
          </w:p>
        </w:tc>
        <w:tc>
          <w:tcPr>
            <w:tcW w:w="529" w:type="pct"/>
            <w:shd w:val="clear" w:color="auto" w:fill="auto"/>
            <w:noWrap w:val="0"/>
            <w:vAlign w:val="center"/>
          </w:tcPr>
          <w:p w14:paraId="208A3BBF">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0</w:t>
            </w:r>
          </w:p>
        </w:tc>
        <w:tc>
          <w:tcPr>
            <w:tcW w:w="525" w:type="pct"/>
            <w:shd w:val="clear" w:color="auto" w:fill="auto"/>
            <w:noWrap w:val="0"/>
            <w:vAlign w:val="center"/>
          </w:tcPr>
          <w:p w14:paraId="4760DF90">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达标</w:t>
            </w:r>
          </w:p>
        </w:tc>
        <w:tc>
          <w:tcPr>
            <w:tcW w:w="644" w:type="pct"/>
            <w:shd w:val="clear" w:color="auto" w:fill="auto"/>
            <w:noWrap w:val="0"/>
            <w:vAlign w:val="center"/>
          </w:tcPr>
          <w:p w14:paraId="01D4561D">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570</w:t>
            </w:r>
          </w:p>
        </w:tc>
      </w:tr>
      <w:tr w14:paraId="6BCC940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7" w:type="dxa"/>
            <w:bottom w:w="0" w:type="dxa"/>
            <w:right w:w="17" w:type="dxa"/>
          </w:tblCellMar>
        </w:tblPrEx>
        <w:trPr>
          <w:trHeight w:val="23" w:hRule="atLeast"/>
          <w:jc w:val="center"/>
        </w:trPr>
        <w:tc>
          <w:tcPr>
            <w:tcW w:w="288" w:type="pct"/>
            <w:vMerge w:val="continue"/>
            <w:noWrap w:val="0"/>
            <w:vAlign w:val="center"/>
          </w:tcPr>
          <w:p w14:paraId="03002215">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none"/>
                <w:lang w:val="en-US" w:eastAsia="zh-CN"/>
              </w:rPr>
            </w:pPr>
          </w:p>
        </w:tc>
        <w:tc>
          <w:tcPr>
            <w:tcW w:w="586" w:type="pct"/>
            <w:vMerge w:val="continue"/>
            <w:shd w:val="clear" w:color="auto" w:fill="auto"/>
            <w:noWrap w:val="0"/>
            <w:vAlign w:val="center"/>
          </w:tcPr>
          <w:p w14:paraId="2F05D80F">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none"/>
                <w:lang w:val="en-US" w:eastAsia="zh-CN"/>
              </w:rPr>
            </w:pPr>
          </w:p>
        </w:tc>
        <w:tc>
          <w:tcPr>
            <w:tcW w:w="1139" w:type="pct"/>
            <w:shd w:val="clear" w:color="auto" w:fill="auto"/>
            <w:noWrap w:val="0"/>
            <w:vAlign w:val="center"/>
          </w:tcPr>
          <w:p w14:paraId="69045226">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1,1,2,2-四氯乙烷</w:t>
            </w:r>
          </w:p>
        </w:tc>
        <w:tc>
          <w:tcPr>
            <w:tcW w:w="514" w:type="pct"/>
            <w:shd w:val="clear" w:color="auto" w:fill="auto"/>
            <w:noWrap w:val="0"/>
            <w:vAlign w:val="center"/>
          </w:tcPr>
          <w:p w14:paraId="72C44DC1">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mg/kg</w:t>
            </w:r>
          </w:p>
        </w:tc>
        <w:tc>
          <w:tcPr>
            <w:tcW w:w="772" w:type="pct"/>
            <w:shd w:val="clear" w:color="auto" w:fill="auto"/>
            <w:noWrap w:val="0"/>
            <w:vAlign w:val="center"/>
          </w:tcPr>
          <w:p w14:paraId="7A6C56EA">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ND</w:t>
            </w:r>
          </w:p>
        </w:tc>
        <w:tc>
          <w:tcPr>
            <w:tcW w:w="529" w:type="pct"/>
            <w:shd w:val="clear" w:color="auto" w:fill="auto"/>
            <w:noWrap w:val="0"/>
            <w:vAlign w:val="center"/>
          </w:tcPr>
          <w:p w14:paraId="3DD7AEE3">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0</w:t>
            </w:r>
          </w:p>
        </w:tc>
        <w:tc>
          <w:tcPr>
            <w:tcW w:w="525" w:type="pct"/>
            <w:shd w:val="clear" w:color="auto" w:fill="auto"/>
            <w:noWrap w:val="0"/>
            <w:vAlign w:val="center"/>
          </w:tcPr>
          <w:p w14:paraId="68099B67">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达标</w:t>
            </w:r>
          </w:p>
        </w:tc>
        <w:tc>
          <w:tcPr>
            <w:tcW w:w="644" w:type="pct"/>
            <w:shd w:val="clear" w:color="auto" w:fill="auto"/>
            <w:noWrap w:val="0"/>
            <w:vAlign w:val="center"/>
          </w:tcPr>
          <w:p w14:paraId="134ED119">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6.8</w:t>
            </w:r>
          </w:p>
        </w:tc>
      </w:tr>
      <w:tr w14:paraId="02DEF14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7" w:type="dxa"/>
            <w:bottom w:w="0" w:type="dxa"/>
            <w:right w:w="17" w:type="dxa"/>
          </w:tblCellMar>
        </w:tblPrEx>
        <w:trPr>
          <w:trHeight w:val="23" w:hRule="atLeast"/>
          <w:jc w:val="center"/>
        </w:trPr>
        <w:tc>
          <w:tcPr>
            <w:tcW w:w="288" w:type="pct"/>
            <w:vMerge w:val="continue"/>
            <w:noWrap w:val="0"/>
            <w:vAlign w:val="center"/>
          </w:tcPr>
          <w:p w14:paraId="68D07E06">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none"/>
                <w:lang w:val="en-US" w:eastAsia="zh-CN"/>
              </w:rPr>
            </w:pPr>
          </w:p>
        </w:tc>
        <w:tc>
          <w:tcPr>
            <w:tcW w:w="586" w:type="pct"/>
            <w:vMerge w:val="continue"/>
            <w:shd w:val="clear" w:color="auto" w:fill="auto"/>
            <w:noWrap w:val="0"/>
            <w:vAlign w:val="center"/>
          </w:tcPr>
          <w:p w14:paraId="7208F474">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none"/>
                <w:lang w:val="en-US" w:eastAsia="zh-CN"/>
              </w:rPr>
            </w:pPr>
          </w:p>
        </w:tc>
        <w:tc>
          <w:tcPr>
            <w:tcW w:w="1139" w:type="pct"/>
            <w:shd w:val="clear" w:color="auto" w:fill="auto"/>
            <w:noWrap w:val="0"/>
            <w:vAlign w:val="center"/>
          </w:tcPr>
          <w:p w14:paraId="11A467AB">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1,2,3-三氯丙烷</w:t>
            </w:r>
          </w:p>
        </w:tc>
        <w:tc>
          <w:tcPr>
            <w:tcW w:w="514" w:type="pct"/>
            <w:shd w:val="clear" w:color="auto" w:fill="auto"/>
            <w:noWrap w:val="0"/>
            <w:vAlign w:val="center"/>
          </w:tcPr>
          <w:p w14:paraId="66D4AC73">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mg/kg</w:t>
            </w:r>
          </w:p>
        </w:tc>
        <w:tc>
          <w:tcPr>
            <w:tcW w:w="772" w:type="pct"/>
            <w:shd w:val="clear" w:color="auto" w:fill="auto"/>
            <w:noWrap w:val="0"/>
            <w:vAlign w:val="center"/>
          </w:tcPr>
          <w:p w14:paraId="3EBAE1FB">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ND</w:t>
            </w:r>
          </w:p>
        </w:tc>
        <w:tc>
          <w:tcPr>
            <w:tcW w:w="529" w:type="pct"/>
            <w:shd w:val="clear" w:color="auto" w:fill="auto"/>
            <w:noWrap w:val="0"/>
            <w:vAlign w:val="center"/>
          </w:tcPr>
          <w:p w14:paraId="7F533CAE">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0</w:t>
            </w:r>
          </w:p>
        </w:tc>
        <w:tc>
          <w:tcPr>
            <w:tcW w:w="525" w:type="pct"/>
            <w:shd w:val="clear" w:color="auto" w:fill="auto"/>
            <w:noWrap w:val="0"/>
            <w:vAlign w:val="center"/>
          </w:tcPr>
          <w:p w14:paraId="14192ECC">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达标</w:t>
            </w:r>
          </w:p>
        </w:tc>
        <w:tc>
          <w:tcPr>
            <w:tcW w:w="644" w:type="pct"/>
            <w:shd w:val="clear" w:color="auto" w:fill="auto"/>
            <w:noWrap w:val="0"/>
            <w:vAlign w:val="center"/>
          </w:tcPr>
          <w:p w14:paraId="4C0DCE22">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0.5</w:t>
            </w:r>
          </w:p>
        </w:tc>
      </w:tr>
      <w:tr w14:paraId="7467FE8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7" w:type="dxa"/>
            <w:bottom w:w="0" w:type="dxa"/>
            <w:right w:w="17" w:type="dxa"/>
          </w:tblCellMar>
        </w:tblPrEx>
        <w:trPr>
          <w:trHeight w:val="23" w:hRule="atLeast"/>
          <w:jc w:val="center"/>
        </w:trPr>
        <w:tc>
          <w:tcPr>
            <w:tcW w:w="288" w:type="pct"/>
            <w:vMerge w:val="continue"/>
            <w:noWrap w:val="0"/>
            <w:vAlign w:val="center"/>
          </w:tcPr>
          <w:p w14:paraId="65E8C69E">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none"/>
                <w:lang w:val="en-US" w:eastAsia="zh-CN"/>
              </w:rPr>
            </w:pPr>
          </w:p>
        </w:tc>
        <w:tc>
          <w:tcPr>
            <w:tcW w:w="586" w:type="pct"/>
            <w:vMerge w:val="continue"/>
            <w:shd w:val="clear" w:color="auto" w:fill="auto"/>
            <w:noWrap w:val="0"/>
            <w:vAlign w:val="center"/>
          </w:tcPr>
          <w:p w14:paraId="59B44206">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none"/>
                <w:lang w:val="en-US" w:eastAsia="zh-CN"/>
              </w:rPr>
            </w:pPr>
          </w:p>
        </w:tc>
        <w:tc>
          <w:tcPr>
            <w:tcW w:w="1139" w:type="pct"/>
            <w:shd w:val="clear" w:color="auto" w:fill="auto"/>
            <w:noWrap w:val="0"/>
            <w:vAlign w:val="center"/>
          </w:tcPr>
          <w:p w14:paraId="19932B2A">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1,4-二氯苯</w:t>
            </w:r>
          </w:p>
        </w:tc>
        <w:tc>
          <w:tcPr>
            <w:tcW w:w="514" w:type="pct"/>
            <w:shd w:val="clear" w:color="auto" w:fill="auto"/>
            <w:noWrap w:val="0"/>
            <w:vAlign w:val="center"/>
          </w:tcPr>
          <w:p w14:paraId="4CC9B81C">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mg/kg</w:t>
            </w:r>
          </w:p>
        </w:tc>
        <w:tc>
          <w:tcPr>
            <w:tcW w:w="772" w:type="pct"/>
            <w:shd w:val="clear" w:color="auto" w:fill="auto"/>
            <w:noWrap w:val="0"/>
            <w:vAlign w:val="center"/>
          </w:tcPr>
          <w:p w14:paraId="668652B9">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ND</w:t>
            </w:r>
          </w:p>
        </w:tc>
        <w:tc>
          <w:tcPr>
            <w:tcW w:w="529" w:type="pct"/>
            <w:shd w:val="clear" w:color="auto" w:fill="auto"/>
            <w:noWrap w:val="0"/>
            <w:vAlign w:val="center"/>
          </w:tcPr>
          <w:p w14:paraId="2B3C491E">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0</w:t>
            </w:r>
          </w:p>
        </w:tc>
        <w:tc>
          <w:tcPr>
            <w:tcW w:w="525" w:type="pct"/>
            <w:shd w:val="clear" w:color="auto" w:fill="auto"/>
            <w:noWrap w:val="0"/>
            <w:vAlign w:val="center"/>
          </w:tcPr>
          <w:p w14:paraId="5C02E056">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达标</w:t>
            </w:r>
          </w:p>
        </w:tc>
        <w:tc>
          <w:tcPr>
            <w:tcW w:w="644" w:type="pct"/>
            <w:shd w:val="clear" w:color="auto" w:fill="auto"/>
            <w:noWrap w:val="0"/>
            <w:vAlign w:val="center"/>
          </w:tcPr>
          <w:p w14:paraId="4178DBE2">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20</w:t>
            </w:r>
          </w:p>
        </w:tc>
      </w:tr>
      <w:tr w14:paraId="3023E52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7" w:type="dxa"/>
            <w:bottom w:w="0" w:type="dxa"/>
            <w:right w:w="17" w:type="dxa"/>
          </w:tblCellMar>
        </w:tblPrEx>
        <w:trPr>
          <w:trHeight w:val="23" w:hRule="atLeast"/>
          <w:jc w:val="center"/>
        </w:trPr>
        <w:tc>
          <w:tcPr>
            <w:tcW w:w="288" w:type="pct"/>
            <w:vMerge w:val="continue"/>
            <w:noWrap w:val="0"/>
            <w:vAlign w:val="center"/>
          </w:tcPr>
          <w:p w14:paraId="7B9C787E">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none"/>
                <w:lang w:val="en-US" w:eastAsia="zh-CN"/>
              </w:rPr>
            </w:pPr>
          </w:p>
        </w:tc>
        <w:tc>
          <w:tcPr>
            <w:tcW w:w="586" w:type="pct"/>
            <w:vMerge w:val="continue"/>
            <w:shd w:val="clear" w:color="auto" w:fill="auto"/>
            <w:noWrap w:val="0"/>
            <w:vAlign w:val="center"/>
          </w:tcPr>
          <w:p w14:paraId="12807BF7">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none"/>
                <w:lang w:val="en-US" w:eastAsia="zh-CN"/>
              </w:rPr>
            </w:pPr>
          </w:p>
        </w:tc>
        <w:tc>
          <w:tcPr>
            <w:tcW w:w="1139" w:type="pct"/>
            <w:shd w:val="clear" w:color="auto" w:fill="auto"/>
            <w:noWrap w:val="0"/>
            <w:vAlign w:val="center"/>
          </w:tcPr>
          <w:p w14:paraId="0C4CCA6B">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1,2-二氯苯</w:t>
            </w:r>
          </w:p>
        </w:tc>
        <w:tc>
          <w:tcPr>
            <w:tcW w:w="514" w:type="pct"/>
            <w:shd w:val="clear" w:color="auto" w:fill="auto"/>
            <w:noWrap w:val="0"/>
            <w:vAlign w:val="center"/>
          </w:tcPr>
          <w:p w14:paraId="431B219A">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mg/kg</w:t>
            </w:r>
          </w:p>
        </w:tc>
        <w:tc>
          <w:tcPr>
            <w:tcW w:w="772" w:type="pct"/>
            <w:shd w:val="clear" w:color="auto" w:fill="auto"/>
            <w:noWrap w:val="0"/>
            <w:vAlign w:val="center"/>
          </w:tcPr>
          <w:p w14:paraId="24969C9D">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ND</w:t>
            </w:r>
          </w:p>
        </w:tc>
        <w:tc>
          <w:tcPr>
            <w:tcW w:w="529" w:type="pct"/>
            <w:shd w:val="clear" w:color="auto" w:fill="auto"/>
            <w:noWrap w:val="0"/>
            <w:vAlign w:val="center"/>
          </w:tcPr>
          <w:p w14:paraId="23578617">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0</w:t>
            </w:r>
          </w:p>
        </w:tc>
        <w:tc>
          <w:tcPr>
            <w:tcW w:w="525" w:type="pct"/>
            <w:shd w:val="clear" w:color="auto" w:fill="auto"/>
            <w:noWrap w:val="0"/>
            <w:vAlign w:val="center"/>
          </w:tcPr>
          <w:p w14:paraId="3B258694">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达标</w:t>
            </w:r>
          </w:p>
        </w:tc>
        <w:tc>
          <w:tcPr>
            <w:tcW w:w="644" w:type="pct"/>
            <w:shd w:val="clear" w:color="auto" w:fill="auto"/>
            <w:noWrap w:val="0"/>
            <w:vAlign w:val="center"/>
          </w:tcPr>
          <w:p w14:paraId="138CA009">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560</w:t>
            </w:r>
          </w:p>
        </w:tc>
      </w:tr>
      <w:tr w14:paraId="5A26ADA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7" w:type="dxa"/>
            <w:bottom w:w="0" w:type="dxa"/>
            <w:right w:w="17" w:type="dxa"/>
          </w:tblCellMar>
        </w:tblPrEx>
        <w:trPr>
          <w:trHeight w:val="23" w:hRule="atLeast"/>
          <w:jc w:val="center"/>
        </w:trPr>
        <w:tc>
          <w:tcPr>
            <w:tcW w:w="288" w:type="pct"/>
            <w:vMerge w:val="continue"/>
            <w:noWrap w:val="0"/>
            <w:vAlign w:val="center"/>
          </w:tcPr>
          <w:p w14:paraId="3064A1DE">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none"/>
                <w:lang w:val="en-US" w:eastAsia="zh-CN"/>
              </w:rPr>
            </w:pPr>
          </w:p>
        </w:tc>
        <w:tc>
          <w:tcPr>
            <w:tcW w:w="586" w:type="pct"/>
            <w:vMerge w:val="continue"/>
            <w:shd w:val="clear" w:color="auto" w:fill="auto"/>
            <w:noWrap w:val="0"/>
            <w:vAlign w:val="center"/>
          </w:tcPr>
          <w:p w14:paraId="34131EC0">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none"/>
                <w:lang w:val="en-US" w:eastAsia="zh-CN"/>
              </w:rPr>
            </w:pPr>
          </w:p>
        </w:tc>
        <w:tc>
          <w:tcPr>
            <w:tcW w:w="1139" w:type="pct"/>
            <w:shd w:val="clear" w:color="auto" w:fill="auto"/>
            <w:noWrap w:val="0"/>
            <w:vAlign w:val="center"/>
          </w:tcPr>
          <w:p w14:paraId="175FA189">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邻二甲苯</w:t>
            </w:r>
          </w:p>
        </w:tc>
        <w:tc>
          <w:tcPr>
            <w:tcW w:w="514" w:type="pct"/>
            <w:shd w:val="clear" w:color="auto" w:fill="auto"/>
            <w:noWrap w:val="0"/>
            <w:vAlign w:val="center"/>
          </w:tcPr>
          <w:p w14:paraId="440BE8D8">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mg/kg</w:t>
            </w:r>
          </w:p>
        </w:tc>
        <w:tc>
          <w:tcPr>
            <w:tcW w:w="772" w:type="pct"/>
            <w:shd w:val="clear" w:color="auto" w:fill="auto"/>
            <w:noWrap w:val="0"/>
            <w:vAlign w:val="center"/>
          </w:tcPr>
          <w:p w14:paraId="12CAB4CE">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ND</w:t>
            </w:r>
          </w:p>
        </w:tc>
        <w:tc>
          <w:tcPr>
            <w:tcW w:w="529" w:type="pct"/>
            <w:shd w:val="clear" w:color="auto" w:fill="auto"/>
            <w:noWrap w:val="0"/>
            <w:vAlign w:val="center"/>
          </w:tcPr>
          <w:p w14:paraId="538F8C9B">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0</w:t>
            </w:r>
          </w:p>
        </w:tc>
        <w:tc>
          <w:tcPr>
            <w:tcW w:w="525" w:type="pct"/>
            <w:shd w:val="clear" w:color="auto" w:fill="auto"/>
            <w:noWrap w:val="0"/>
            <w:vAlign w:val="center"/>
          </w:tcPr>
          <w:p w14:paraId="71452AC2">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达标</w:t>
            </w:r>
          </w:p>
        </w:tc>
        <w:tc>
          <w:tcPr>
            <w:tcW w:w="644" w:type="pct"/>
            <w:shd w:val="clear" w:color="auto" w:fill="auto"/>
            <w:noWrap w:val="0"/>
            <w:vAlign w:val="center"/>
          </w:tcPr>
          <w:p w14:paraId="48C42D4A">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640</w:t>
            </w:r>
          </w:p>
        </w:tc>
      </w:tr>
      <w:tr w14:paraId="348B6A1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7" w:type="dxa"/>
            <w:bottom w:w="0" w:type="dxa"/>
            <w:right w:w="17" w:type="dxa"/>
          </w:tblCellMar>
        </w:tblPrEx>
        <w:trPr>
          <w:trHeight w:val="23" w:hRule="atLeast"/>
          <w:jc w:val="center"/>
        </w:trPr>
        <w:tc>
          <w:tcPr>
            <w:tcW w:w="288" w:type="pct"/>
            <w:vMerge w:val="continue"/>
            <w:noWrap w:val="0"/>
            <w:vAlign w:val="center"/>
          </w:tcPr>
          <w:p w14:paraId="10D0523F">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none"/>
                <w:lang w:val="en-US" w:eastAsia="zh-CN"/>
              </w:rPr>
            </w:pPr>
          </w:p>
        </w:tc>
        <w:tc>
          <w:tcPr>
            <w:tcW w:w="586" w:type="pct"/>
            <w:vMerge w:val="continue"/>
            <w:shd w:val="clear" w:color="auto" w:fill="auto"/>
            <w:noWrap w:val="0"/>
            <w:vAlign w:val="center"/>
          </w:tcPr>
          <w:p w14:paraId="127B8E4E">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none"/>
                <w:lang w:val="en-US" w:eastAsia="zh-CN"/>
              </w:rPr>
            </w:pPr>
          </w:p>
        </w:tc>
        <w:tc>
          <w:tcPr>
            <w:tcW w:w="1139" w:type="pct"/>
            <w:shd w:val="clear" w:color="auto" w:fill="auto"/>
            <w:noWrap w:val="0"/>
            <w:vAlign w:val="center"/>
          </w:tcPr>
          <w:p w14:paraId="60FFB0B2">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苯乙烯</w:t>
            </w:r>
          </w:p>
        </w:tc>
        <w:tc>
          <w:tcPr>
            <w:tcW w:w="514" w:type="pct"/>
            <w:shd w:val="clear" w:color="auto" w:fill="auto"/>
            <w:noWrap w:val="0"/>
            <w:vAlign w:val="center"/>
          </w:tcPr>
          <w:p w14:paraId="094D55BA">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mg/kg</w:t>
            </w:r>
          </w:p>
        </w:tc>
        <w:tc>
          <w:tcPr>
            <w:tcW w:w="772" w:type="pct"/>
            <w:shd w:val="clear" w:color="auto" w:fill="auto"/>
            <w:noWrap w:val="0"/>
            <w:vAlign w:val="center"/>
          </w:tcPr>
          <w:p w14:paraId="644D9DEF">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ND</w:t>
            </w:r>
          </w:p>
        </w:tc>
        <w:tc>
          <w:tcPr>
            <w:tcW w:w="529" w:type="pct"/>
            <w:shd w:val="clear" w:color="auto" w:fill="auto"/>
            <w:noWrap w:val="0"/>
            <w:vAlign w:val="center"/>
          </w:tcPr>
          <w:p w14:paraId="551D07E1">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0</w:t>
            </w:r>
          </w:p>
        </w:tc>
        <w:tc>
          <w:tcPr>
            <w:tcW w:w="525" w:type="pct"/>
            <w:shd w:val="clear" w:color="auto" w:fill="auto"/>
            <w:noWrap w:val="0"/>
            <w:vAlign w:val="center"/>
          </w:tcPr>
          <w:p w14:paraId="76D9AE1E">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达标</w:t>
            </w:r>
          </w:p>
        </w:tc>
        <w:tc>
          <w:tcPr>
            <w:tcW w:w="644" w:type="pct"/>
            <w:shd w:val="clear" w:color="auto" w:fill="auto"/>
            <w:noWrap w:val="0"/>
            <w:vAlign w:val="center"/>
          </w:tcPr>
          <w:p w14:paraId="00FC5D4A">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1290</w:t>
            </w:r>
          </w:p>
        </w:tc>
      </w:tr>
      <w:tr w14:paraId="4EEA6AF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7" w:type="dxa"/>
            <w:bottom w:w="0" w:type="dxa"/>
            <w:right w:w="17" w:type="dxa"/>
          </w:tblCellMar>
        </w:tblPrEx>
        <w:trPr>
          <w:trHeight w:val="23" w:hRule="atLeast"/>
          <w:jc w:val="center"/>
        </w:trPr>
        <w:tc>
          <w:tcPr>
            <w:tcW w:w="288" w:type="pct"/>
            <w:vMerge w:val="continue"/>
            <w:noWrap w:val="0"/>
            <w:vAlign w:val="center"/>
          </w:tcPr>
          <w:p w14:paraId="3640402D">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none"/>
                <w:lang w:val="en-US" w:eastAsia="zh-CN"/>
              </w:rPr>
            </w:pPr>
          </w:p>
        </w:tc>
        <w:tc>
          <w:tcPr>
            <w:tcW w:w="586" w:type="pct"/>
            <w:vMerge w:val="continue"/>
            <w:shd w:val="clear" w:color="auto" w:fill="auto"/>
            <w:noWrap w:val="0"/>
            <w:vAlign w:val="center"/>
          </w:tcPr>
          <w:p w14:paraId="78C29C61">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none"/>
                <w:lang w:val="en-US" w:eastAsia="zh-CN"/>
              </w:rPr>
            </w:pPr>
          </w:p>
        </w:tc>
        <w:tc>
          <w:tcPr>
            <w:tcW w:w="1139" w:type="pct"/>
            <w:shd w:val="clear" w:color="auto" w:fill="auto"/>
            <w:noWrap w:val="0"/>
            <w:vAlign w:val="center"/>
          </w:tcPr>
          <w:p w14:paraId="10863F8C">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苯胺</w:t>
            </w:r>
          </w:p>
        </w:tc>
        <w:tc>
          <w:tcPr>
            <w:tcW w:w="514" w:type="pct"/>
            <w:shd w:val="clear" w:color="auto" w:fill="auto"/>
            <w:noWrap w:val="0"/>
            <w:vAlign w:val="center"/>
          </w:tcPr>
          <w:p w14:paraId="7B39AB75">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mg/kg</w:t>
            </w:r>
          </w:p>
        </w:tc>
        <w:tc>
          <w:tcPr>
            <w:tcW w:w="772" w:type="pct"/>
            <w:shd w:val="clear" w:color="auto" w:fill="auto"/>
            <w:noWrap w:val="0"/>
            <w:vAlign w:val="center"/>
          </w:tcPr>
          <w:p w14:paraId="0B8CE85C">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ND</w:t>
            </w:r>
          </w:p>
        </w:tc>
        <w:tc>
          <w:tcPr>
            <w:tcW w:w="529" w:type="pct"/>
            <w:shd w:val="clear" w:color="auto" w:fill="auto"/>
            <w:noWrap w:val="0"/>
            <w:vAlign w:val="center"/>
          </w:tcPr>
          <w:p w14:paraId="0999C1BA">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0</w:t>
            </w:r>
          </w:p>
        </w:tc>
        <w:tc>
          <w:tcPr>
            <w:tcW w:w="525" w:type="pct"/>
            <w:shd w:val="clear" w:color="auto" w:fill="auto"/>
            <w:noWrap w:val="0"/>
            <w:vAlign w:val="center"/>
          </w:tcPr>
          <w:p w14:paraId="70189004">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达标</w:t>
            </w:r>
          </w:p>
        </w:tc>
        <w:tc>
          <w:tcPr>
            <w:tcW w:w="644" w:type="pct"/>
            <w:shd w:val="clear" w:color="auto" w:fill="auto"/>
            <w:noWrap w:val="0"/>
            <w:vAlign w:val="center"/>
          </w:tcPr>
          <w:p w14:paraId="73FEEEDC">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260</w:t>
            </w:r>
          </w:p>
        </w:tc>
      </w:tr>
      <w:tr w14:paraId="27774F3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7" w:type="dxa"/>
            <w:bottom w:w="0" w:type="dxa"/>
            <w:right w:w="17" w:type="dxa"/>
          </w:tblCellMar>
        </w:tblPrEx>
        <w:trPr>
          <w:trHeight w:val="23" w:hRule="atLeast"/>
          <w:jc w:val="center"/>
        </w:trPr>
        <w:tc>
          <w:tcPr>
            <w:tcW w:w="288" w:type="pct"/>
            <w:vMerge w:val="continue"/>
            <w:noWrap w:val="0"/>
            <w:vAlign w:val="center"/>
          </w:tcPr>
          <w:p w14:paraId="7C594A93">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none"/>
                <w:lang w:val="en-US" w:eastAsia="zh-CN"/>
              </w:rPr>
            </w:pPr>
          </w:p>
        </w:tc>
        <w:tc>
          <w:tcPr>
            <w:tcW w:w="586" w:type="pct"/>
            <w:vMerge w:val="continue"/>
            <w:shd w:val="clear" w:color="auto" w:fill="auto"/>
            <w:noWrap w:val="0"/>
            <w:vAlign w:val="center"/>
          </w:tcPr>
          <w:p w14:paraId="61B7A9EC">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none"/>
                <w:lang w:val="en-US" w:eastAsia="zh-CN"/>
              </w:rPr>
            </w:pPr>
          </w:p>
        </w:tc>
        <w:tc>
          <w:tcPr>
            <w:tcW w:w="1139" w:type="pct"/>
            <w:shd w:val="clear" w:color="auto" w:fill="auto"/>
            <w:noWrap w:val="0"/>
            <w:vAlign w:val="center"/>
          </w:tcPr>
          <w:p w14:paraId="53A597AC">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2-氯酚</w:t>
            </w:r>
          </w:p>
        </w:tc>
        <w:tc>
          <w:tcPr>
            <w:tcW w:w="514" w:type="pct"/>
            <w:shd w:val="clear" w:color="auto" w:fill="auto"/>
            <w:noWrap w:val="0"/>
            <w:vAlign w:val="center"/>
          </w:tcPr>
          <w:p w14:paraId="735CAFAC">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mg/kg</w:t>
            </w:r>
          </w:p>
        </w:tc>
        <w:tc>
          <w:tcPr>
            <w:tcW w:w="772" w:type="pct"/>
            <w:shd w:val="clear" w:color="auto" w:fill="auto"/>
            <w:noWrap w:val="0"/>
            <w:vAlign w:val="center"/>
          </w:tcPr>
          <w:p w14:paraId="2322B751">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ND</w:t>
            </w:r>
          </w:p>
        </w:tc>
        <w:tc>
          <w:tcPr>
            <w:tcW w:w="529" w:type="pct"/>
            <w:shd w:val="clear" w:color="auto" w:fill="auto"/>
            <w:noWrap w:val="0"/>
            <w:vAlign w:val="center"/>
          </w:tcPr>
          <w:p w14:paraId="4338B3C2">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0</w:t>
            </w:r>
          </w:p>
        </w:tc>
        <w:tc>
          <w:tcPr>
            <w:tcW w:w="525" w:type="pct"/>
            <w:shd w:val="clear" w:color="auto" w:fill="auto"/>
            <w:noWrap w:val="0"/>
            <w:vAlign w:val="center"/>
          </w:tcPr>
          <w:p w14:paraId="7BB0458A">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达标</w:t>
            </w:r>
          </w:p>
        </w:tc>
        <w:tc>
          <w:tcPr>
            <w:tcW w:w="644" w:type="pct"/>
            <w:shd w:val="clear" w:color="auto" w:fill="auto"/>
            <w:noWrap w:val="0"/>
            <w:vAlign w:val="center"/>
          </w:tcPr>
          <w:p w14:paraId="2E2D3D1C">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2256</w:t>
            </w:r>
          </w:p>
        </w:tc>
      </w:tr>
      <w:tr w14:paraId="322BF04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7" w:type="dxa"/>
            <w:bottom w:w="0" w:type="dxa"/>
            <w:right w:w="17" w:type="dxa"/>
          </w:tblCellMar>
        </w:tblPrEx>
        <w:trPr>
          <w:trHeight w:val="23" w:hRule="atLeast"/>
          <w:jc w:val="center"/>
        </w:trPr>
        <w:tc>
          <w:tcPr>
            <w:tcW w:w="288" w:type="pct"/>
            <w:vMerge w:val="continue"/>
            <w:noWrap w:val="0"/>
            <w:vAlign w:val="center"/>
          </w:tcPr>
          <w:p w14:paraId="2EF85451">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none"/>
                <w:lang w:val="en-US" w:eastAsia="zh-CN"/>
              </w:rPr>
            </w:pPr>
          </w:p>
        </w:tc>
        <w:tc>
          <w:tcPr>
            <w:tcW w:w="586" w:type="pct"/>
            <w:vMerge w:val="continue"/>
            <w:shd w:val="clear" w:color="auto" w:fill="auto"/>
            <w:noWrap w:val="0"/>
            <w:vAlign w:val="center"/>
          </w:tcPr>
          <w:p w14:paraId="0E9CBB5D">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none"/>
                <w:lang w:val="en-US" w:eastAsia="zh-CN"/>
              </w:rPr>
            </w:pPr>
          </w:p>
        </w:tc>
        <w:tc>
          <w:tcPr>
            <w:tcW w:w="1139" w:type="pct"/>
            <w:shd w:val="clear" w:color="auto" w:fill="auto"/>
            <w:noWrap w:val="0"/>
            <w:vAlign w:val="center"/>
          </w:tcPr>
          <w:p w14:paraId="5C7730C5">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硝基苯</w:t>
            </w:r>
          </w:p>
        </w:tc>
        <w:tc>
          <w:tcPr>
            <w:tcW w:w="514" w:type="pct"/>
            <w:shd w:val="clear" w:color="auto" w:fill="auto"/>
            <w:noWrap w:val="0"/>
            <w:vAlign w:val="center"/>
          </w:tcPr>
          <w:p w14:paraId="6A5475FA">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mg/kg</w:t>
            </w:r>
          </w:p>
        </w:tc>
        <w:tc>
          <w:tcPr>
            <w:tcW w:w="772" w:type="pct"/>
            <w:shd w:val="clear" w:color="auto" w:fill="auto"/>
            <w:noWrap w:val="0"/>
            <w:vAlign w:val="center"/>
          </w:tcPr>
          <w:p w14:paraId="00F5901C">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ND</w:t>
            </w:r>
          </w:p>
        </w:tc>
        <w:tc>
          <w:tcPr>
            <w:tcW w:w="529" w:type="pct"/>
            <w:shd w:val="clear" w:color="auto" w:fill="auto"/>
            <w:noWrap w:val="0"/>
            <w:vAlign w:val="center"/>
          </w:tcPr>
          <w:p w14:paraId="26DB2C05">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0</w:t>
            </w:r>
          </w:p>
        </w:tc>
        <w:tc>
          <w:tcPr>
            <w:tcW w:w="525" w:type="pct"/>
            <w:shd w:val="clear" w:color="auto" w:fill="auto"/>
            <w:noWrap w:val="0"/>
            <w:vAlign w:val="center"/>
          </w:tcPr>
          <w:p w14:paraId="4E7D665C">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达标</w:t>
            </w:r>
          </w:p>
        </w:tc>
        <w:tc>
          <w:tcPr>
            <w:tcW w:w="644" w:type="pct"/>
            <w:shd w:val="clear" w:color="auto" w:fill="auto"/>
            <w:noWrap w:val="0"/>
            <w:vAlign w:val="center"/>
          </w:tcPr>
          <w:p w14:paraId="1EE91D2B">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76</w:t>
            </w:r>
          </w:p>
        </w:tc>
      </w:tr>
      <w:tr w14:paraId="6123600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7" w:type="dxa"/>
            <w:bottom w:w="0" w:type="dxa"/>
            <w:right w:w="17" w:type="dxa"/>
          </w:tblCellMar>
        </w:tblPrEx>
        <w:trPr>
          <w:trHeight w:val="23" w:hRule="atLeast"/>
          <w:jc w:val="center"/>
        </w:trPr>
        <w:tc>
          <w:tcPr>
            <w:tcW w:w="288" w:type="pct"/>
            <w:vMerge w:val="continue"/>
            <w:noWrap w:val="0"/>
            <w:vAlign w:val="center"/>
          </w:tcPr>
          <w:p w14:paraId="4297DC8F">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none"/>
                <w:lang w:val="en-US" w:eastAsia="zh-CN"/>
              </w:rPr>
            </w:pPr>
          </w:p>
        </w:tc>
        <w:tc>
          <w:tcPr>
            <w:tcW w:w="586" w:type="pct"/>
            <w:vMerge w:val="continue"/>
            <w:shd w:val="clear" w:color="auto" w:fill="auto"/>
            <w:noWrap w:val="0"/>
            <w:vAlign w:val="center"/>
          </w:tcPr>
          <w:p w14:paraId="55E1D71C">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none"/>
                <w:lang w:val="en-US" w:eastAsia="zh-CN"/>
              </w:rPr>
            </w:pPr>
          </w:p>
        </w:tc>
        <w:tc>
          <w:tcPr>
            <w:tcW w:w="1139" w:type="pct"/>
            <w:shd w:val="clear" w:color="auto" w:fill="auto"/>
            <w:noWrap w:val="0"/>
            <w:vAlign w:val="center"/>
          </w:tcPr>
          <w:p w14:paraId="520EC14D">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萘</w:t>
            </w:r>
          </w:p>
        </w:tc>
        <w:tc>
          <w:tcPr>
            <w:tcW w:w="514" w:type="pct"/>
            <w:shd w:val="clear" w:color="auto" w:fill="auto"/>
            <w:noWrap w:val="0"/>
            <w:vAlign w:val="center"/>
          </w:tcPr>
          <w:p w14:paraId="0DF72173">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mg/kg</w:t>
            </w:r>
          </w:p>
        </w:tc>
        <w:tc>
          <w:tcPr>
            <w:tcW w:w="772" w:type="pct"/>
            <w:shd w:val="clear" w:color="auto" w:fill="auto"/>
            <w:noWrap w:val="0"/>
            <w:vAlign w:val="center"/>
          </w:tcPr>
          <w:p w14:paraId="60CC9F1D">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ND</w:t>
            </w:r>
          </w:p>
        </w:tc>
        <w:tc>
          <w:tcPr>
            <w:tcW w:w="529" w:type="pct"/>
            <w:shd w:val="clear" w:color="auto" w:fill="auto"/>
            <w:noWrap w:val="0"/>
            <w:vAlign w:val="center"/>
          </w:tcPr>
          <w:p w14:paraId="5B1B4ED7">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0</w:t>
            </w:r>
          </w:p>
        </w:tc>
        <w:tc>
          <w:tcPr>
            <w:tcW w:w="525" w:type="pct"/>
            <w:shd w:val="clear" w:color="auto" w:fill="auto"/>
            <w:noWrap w:val="0"/>
            <w:vAlign w:val="center"/>
          </w:tcPr>
          <w:p w14:paraId="6D2063E9">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达标</w:t>
            </w:r>
          </w:p>
        </w:tc>
        <w:tc>
          <w:tcPr>
            <w:tcW w:w="644" w:type="pct"/>
            <w:shd w:val="clear" w:color="auto" w:fill="auto"/>
            <w:noWrap w:val="0"/>
            <w:vAlign w:val="center"/>
          </w:tcPr>
          <w:p w14:paraId="7DA96E16">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70</w:t>
            </w:r>
          </w:p>
        </w:tc>
      </w:tr>
      <w:tr w14:paraId="0321630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7" w:type="dxa"/>
            <w:bottom w:w="0" w:type="dxa"/>
            <w:right w:w="17" w:type="dxa"/>
          </w:tblCellMar>
        </w:tblPrEx>
        <w:trPr>
          <w:trHeight w:val="23" w:hRule="atLeast"/>
          <w:jc w:val="center"/>
        </w:trPr>
        <w:tc>
          <w:tcPr>
            <w:tcW w:w="288" w:type="pct"/>
            <w:vMerge w:val="continue"/>
            <w:noWrap w:val="0"/>
            <w:vAlign w:val="center"/>
          </w:tcPr>
          <w:p w14:paraId="19F037D3">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none"/>
                <w:lang w:val="en-US" w:eastAsia="zh-CN"/>
              </w:rPr>
            </w:pPr>
          </w:p>
        </w:tc>
        <w:tc>
          <w:tcPr>
            <w:tcW w:w="586" w:type="pct"/>
            <w:vMerge w:val="continue"/>
            <w:shd w:val="clear" w:color="auto" w:fill="auto"/>
            <w:noWrap w:val="0"/>
            <w:vAlign w:val="center"/>
          </w:tcPr>
          <w:p w14:paraId="4F2D6C8C">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none"/>
                <w:lang w:val="en-US" w:eastAsia="zh-CN"/>
              </w:rPr>
            </w:pPr>
          </w:p>
        </w:tc>
        <w:tc>
          <w:tcPr>
            <w:tcW w:w="1139" w:type="pct"/>
            <w:shd w:val="clear" w:color="auto" w:fill="auto"/>
            <w:noWrap w:val="0"/>
            <w:vAlign w:val="center"/>
          </w:tcPr>
          <w:p w14:paraId="7F8E960D">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苯并[a]蒽</w:t>
            </w:r>
          </w:p>
        </w:tc>
        <w:tc>
          <w:tcPr>
            <w:tcW w:w="514" w:type="pct"/>
            <w:shd w:val="clear" w:color="auto" w:fill="auto"/>
            <w:noWrap w:val="0"/>
            <w:vAlign w:val="center"/>
          </w:tcPr>
          <w:p w14:paraId="0FC06998">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mg/kg</w:t>
            </w:r>
          </w:p>
        </w:tc>
        <w:tc>
          <w:tcPr>
            <w:tcW w:w="772" w:type="pct"/>
            <w:shd w:val="clear" w:color="auto" w:fill="auto"/>
            <w:noWrap w:val="0"/>
            <w:vAlign w:val="center"/>
          </w:tcPr>
          <w:p w14:paraId="2CBE0F22">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ND</w:t>
            </w:r>
          </w:p>
        </w:tc>
        <w:tc>
          <w:tcPr>
            <w:tcW w:w="529" w:type="pct"/>
            <w:shd w:val="clear" w:color="auto" w:fill="auto"/>
            <w:noWrap w:val="0"/>
            <w:vAlign w:val="center"/>
          </w:tcPr>
          <w:p w14:paraId="2AC72EF1">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0</w:t>
            </w:r>
          </w:p>
        </w:tc>
        <w:tc>
          <w:tcPr>
            <w:tcW w:w="525" w:type="pct"/>
            <w:shd w:val="clear" w:color="auto" w:fill="auto"/>
            <w:noWrap w:val="0"/>
            <w:vAlign w:val="center"/>
          </w:tcPr>
          <w:p w14:paraId="7113F298">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达标</w:t>
            </w:r>
          </w:p>
        </w:tc>
        <w:tc>
          <w:tcPr>
            <w:tcW w:w="644" w:type="pct"/>
            <w:shd w:val="clear" w:color="auto" w:fill="auto"/>
            <w:noWrap w:val="0"/>
            <w:vAlign w:val="center"/>
          </w:tcPr>
          <w:p w14:paraId="2E87D22C">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15</w:t>
            </w:r>
          </w:p>
        </w:tc>
      </w:tr>
      <w:tr w14:paraId="6D6EFED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7" w:type="dxa"/>
            <w:bottom w:w="0" w:type="dxa"/>
            <w:right w:w="17" w:type="dxa"/>
          </w:tblCellMar>
        </w:tblPrEx>
        <w:trPr>
          <w:trHeight w:val="23" w:hRule="atLeast"/>
          <w:jc w:val="center"/>
        </w:trPr>
        <w:tc>
          <w:tcPr>
            <w:tcW w:w="288" w:type="pct"/>
            <w:vMerge w:val="continue"/>
            <w:noWrap w:val="0"/>
            <w:vAlign w:val="center"/>
          </w:tcPr>
          <w:p w14:paraId="33DD98E0">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none"/>
                <w:lang w:val="en-US" w:eastAsia="zh-CN"/>
              </w:rPr>
            </w:pPr>
          </w:p>
        </w:tc>
        <w:tc>
          <w:tcPr>
            <w:tcW w:w="586" w:type="pct"/>
            <w:vMerge w:val="continue"/>
            <w:shd w:val="clear" w:color="auto" w:fill="auto"/>
            <w:noWrap w:val="0"/>
            <w:vAlign w:val="center"/>
          </w:tcPr>
          <w:p w14:paraId="4832527F">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none"/>
                <w:lang w:val="en-US" w:eastAsia="zh-CN"/>
              </w:rPr>
            </w:pPr>
          </w:p>
        </w:tc>
        <w:tc>
          <w:tcPr>
            <w:tcW w:w="1139" w:type="pct"/>
            <w:shd w:val="clear" w:color="auto" w:fill="auto"/>
            <w:noWrap w:val="0"/>
            <w:vAlign w:val="center"/>
          </w:tcPr>
          <w:p w14:paraId="16641228">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䓛</w:t>
            </w:r>
          </w:p>
        </w:tc>
        <w:tc>
          <w:tcPr>
            <w:tcW w:w="514" w:type="pct"/>
            <w:shd w:val="clear" w:color="auto" w:fill="auto"/>
            <w:noWrap w:val="0"/>
            <w:vAlign w:val="center"/>
          </w:tcPr>
          <w:p w14:paraId="16F2AF6A">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mg/kg</w:t>
            </w:r>
          </w:p>
        </w:tc>
        <w:tc>
          <w:tcPr>
            <w:tcW w:w="772" w:type="pct"/>
            <w:shd w:val="clear" w:color="auto" w:fill="auto"/>
            <w:noWrap w:val="0"/>
            <w:vAlign w:val="center"/>
          </w:tcPr>
          <w:p w14:paraId="328113A5">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ND</w:t>
            </w:r>
          </w:p>
        </w:tc>
        <w:tc>
          <w:tcPr>
            <w:tcW w:w="529" w:type="pct"/>
            <w:shd w:val="clear" w:color="auto" w:fill="auto"/>
            <w:noWrap w:val="0"/>
            <w:vAlign w:val="center"/>
          </w:tcPr>
          <w:p w14:paraId="26884937">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0</w:t>
            </w:r>
          </w:p>
        </w:tc>
        <w:tc>
          <w:tcPr>
            <w:tcW w:w="525" w:type="pct"/>
            <w:shd w:val="clear" w:color="auto" w:fill="auto"/>
            <w:noWrap w:val="0"/>
            <w:vAlign w:val="center"/>
          </w:tcPr>
          <w:p w14:paraId="61071C5D">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达标</w:t>
            </w:r>
          </w:p>
        </w:tc>
        <w:tc>
          <w:tcPr>
            <w:tcW w:w="644" w:type="pct"/>
            <w:shd w:val="clear" w:color="auto" w:fill="auto"/>
            <w:noWrap w:val="0"/>
            <w:vAlign w:val="center"/>
          </w:tcPr>
          <w:p w14:paraId="36F142AB">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1293</w:t>
            </w:r>
          </w:p>
        </w:tc>
      </w:tr>
      <w:tr w14:paraId="3529E4F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7" w:type="dxa"/>
            <w:bottom w:w="0" w:type="dxa"/>
            <w:right w:w="17" w:type="dxa"/>
          </w:tblCellMar>
        </w:tblPrEx>
        <w:trPr>
          <w:trHeight w:val="23" w:hRule="atLeast"/>
          <w:jc w:val="center"/>
        </w:trPr>
        <w:tc>
          <w:tcPr>
            <w:tcW w:w="288" w:type="pct"/>
            <w:vMerge w:val="continue"/>
            <w:noWrap w:val="0"/>
            <w:vAlign w:val="center"/>
          </w:tcPr>
          <w:p w14:paraId="18B22893">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none"/>
                <w:lang w:val="en-US" w:eastAsia="zh-CN"/>
              </w:rPr>
            </w:pPr>
          </w:p>
        </w:tc>
        <w:tc>
          <w:tcPr>
            <w:tcW w:w="586" w:type="pct"/>
            <w:vMerge w:val="continue"/>
            <w:shd w:val="clear" w:color="auto" w:fill="auto"/>
            <w:noWrap w:val="0"/>
            <w:vAlign w:val="center"/>
          </w:tcPr>
          <w:p w14:paraId="4C393B2D">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none"/>
                <w:lang w:val="en-US" w:eastAsia="zh-CN"/>
              </w:rPr>
            </w:pPr>
          </w:p>
        </w:tc>
        <w:tc>
          <w:tcPr>
            <w:tcW w:w="1139" w:type="pct"/>
            <w:shd w:val="clear" w:color="auto" w:fill="auto"/>
            <w:noWrap w:val="0"/>
            <w:vAlign w:val="center"/>
          </w:tcPr>
          <w:p w14:paraId="77EF66C2">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苯并[b]荧蒽</w:t>
            </w:r>
          </w:p>
        </w:tc>
        <w:tc>
          <w:tcPr>
            <w:tcW w:w="514" w:type="pct"/>
            <w:shd w:val="clear" w:color="auto" w:fill="auto"/>
            <w:noWrap w:val="0"/>
            <w:vAlign w:val="center"/>
          </w:tcPr>
          <w:p w14:paraId="4D4A4265">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mg/kg</w:t>
            </w:r>
          </w:p>
        </w:tc>
        <w:tc>
          <w:tcPr>
            <w:tcW w:w="772" w:type="pct"/>
            <w:shd w:val="clear" w:color="auto" w:fill="auto"/>
            <w:noWrap w:val="0"/>
            <w:vAlign w:val="center"/>
          </w:tcPr>
          <w:p w14:paraId="2401F6E3">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ND</w:t>
            </w:r>
          </w:p>
        </w:tc>
        <w:tc>
          <w:tcPr>
            <w:tcW w:w="529" w:type="pct"/>
            <w:shd w:val="clear" w:color="auto" w:fill="auto"/>
            <w:noWrap w:val="0"/>
            <w:vAlign w:val="center"/>
          </w:tcPr>
          <w:p w14:paraId="71E13E48">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0</w:t>
            </w:r>
          </w:p>
        </w:tc>
        <w:tc>
          <w:tcPr>
            <w:tcW w:w="525" w:type="pct"/>
            <w:shd w:val="clear" w:color="auto" w:fill="auto"/>
            <w:noWrap w:val="0"/>
            <w:vAlign w:val="center"/>
          </w:tcPr>
          <w:p w14:paraId="33091334">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达标</w:t>
            </w:r>
          </w:p>
        </w:tc>
        <w:tc>
          <w:tcPr>
            <w:tcW w:w="644" w:type="pct"/>
            <w:shd w:val="clear" w:color="auto" w:fill="auto"/>
            <w:noWrap w:val="0"/>
            <w:vAlign w:val="center"/>
          </w:tcPr>
          <w:p w14:paraId="18E63C97">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15</w:t>
            </w:r>
          </w:p>
        </w:tc>
      </w:tr>
      <w:tr w14:paraId="4D53732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7" w:type="dxa"/>
            <w:bottom w:w="0" w:type="dxa"/>
            <w:right w:w="17" w:type="dxa"/>
          </w:tblCellMar>
        </w:tblPrEx>
        <w:trPr>
          <w:trHeight w:val="23" w:hRule="atLeast"/>
          <w:jc w:val="center"/>
        </w:trPr>
        <w:tc>
          <w:tcPr>
            <w:tcW w:w="288" w:type="pct"/>
            <w:vMerge w:val="continue"/>
            <w:noWrap w:val="0"/>
            <w:vAlign w:val="center"/>
          </w:tcPr>
          <w:p w14:paraId="19037D72">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none"/>
                <w:lang w:val="en-US" w:eastAsia="zh-CN"/>
              </w:rPr>
            </w:pPr>
          </w:p>
        </w:tc>
        <w:tc>
          <w:tcPr>
            <w:tcW w:w="586" w:type="pct"/>
            <w:vMerge w:val="continue"/>
            <w:shd w:val="clear" w:color="auto" w:fill="auto"/>
            <w:noWrap w:val="0"/>
            <w:vAlign w:val="center"/>
          </w:tcPr>
          <w:p w14:paraId="4719DAD1">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none"/>
                <w:lang w:val="en-US" w:eastAsia="zh-CN"/>
              </w:rPr>
            </w:pPr>
          </w:p>
        </w:tc>
        <w:tc>
          <w:tcPr>
            <w:tcW w:w="1139" w:type="pct"/>
            <w:shd w:val="clear" w:color="auto" w:fill="auto"/>
            <w:noWrap w:val="0"/>
            <w:vAlign w:val="center"/>
          </w:tcPr>
          <w:p w14:paraId="2630796E">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苯并[k]荧蒽</w:t>
            </w:r>
          </w:p>
        </w:tc>
        <w:tc>
          <w:tcPr>
            <w:tcW w:w="514" w:type="pct"/>
            <w:shd w:val="clear" w:color="auto" w:fill="auto"/>
            <w:noWrap w:val="0"/>
            <w:vAlign w:val="center"/>
          </w:tcPr>
          <w:p w14:paraId="0BBC194B">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mg/kg</w:t>
            </w:r>
          </w:p>
        </w:tc>
        <w:tc>
          <w:tcPr>
            <w:tcW w:w="772" w:type="pct"/>
            <w:shd w:val="clear" w:color="auto" w:fill="auto"/>
            <w:noWrap w:val="0"/>
            <w:vAlign w:val="center"/>
          </w:tcPr>
          <w:p w14:paraId="4BDC435B">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ND</w:t>
            </w:r>
          </w:p>
        </w:tc>
        <w:tc>
          <w:tcPr>
            <w:tcW w:w="529" w:type="pct"/>
            <w:shd w:val="clear" w:color="auto" w:fill="auto"/>
            <w:noWrap w:val="0"/>
            <w:vAlign w:val="center"/>
          </w:tcPr>
          <w:p w14:paraId="50F206E7">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0</w:t>
            </w:r>
          </w:p>
        </w:tc>
        <w:tc>
          <w:tcPr>
            <w:tcW w:w="525" w:type="pct"/>
            <w:shd w:val="clear" w:color="auto" w:fill="auto"/>
            <w:noWrap w:val="0"/>
            <w:vAlign w:val="center"/>
          </w:tcPr>
          <w:p w14:paraId="24584B3D">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达标</w:t>
            </w:r>
          </w:p>
        </w:tc>
        <w:tc>
          <w:tcPr>
            <w:tcW w:w="644" w:type="pct"/>
            <w:shd w:val="clear" w:color="auto" w:fill="auto"/>
            <w:noWrap w:val="0"/>
            <w:vAlign w:val="center"/>
          </w:tcPr>
          <w:p w14:paraId="7477FFB7">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151</w:t>
            </w:r>
          </w:p>
        </w:tc>
      </w:tr>
      <w:tr w14:paraId="66793D3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7" w:type="dxa"/>
            <w:bottom w:w="0" w:type="dxa"/>
            <w:right w:w="17" w:type="dxa"/>
          </w:tblCellMar>
        </w:tblPrEx>
        <w:trPr>
          <w:trHeight w:val="23" w:hRule="atLeast"/>
          <w:jc w:val="center"/>
        </w:trPr>
        <w:tc>
          <w:tcPr>
            <w:tcW w:w="288" w:type="pct"/>
            <w:vMerge w:val="continue"/>
            <w:noWrap w:val="0"/>
            <w:vAlign w:val="center"/>
          </w:tcPr>
          <w:p w14:paraId="032D97BC">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none"/>
                <w:lang w:val="en-US" w:eastAsia="zh-CN"/>
              </w:rPr>
            </w:pPr>
          </w:p>
        </w:tc>
        <w:tc>
          <w:tcPr>
            <w:tcW w:w="586" w:type="pct"/>
            <w:vMerge w:val="continue"/>
            <w:shd w:val="clear" w:color="auto" w:fill="auto"/>
            <w:noWrap w:val="0"/>
            <w:vAlign w:val="center"/>
          </w:tcPr>
          <w:p w14:paraId="2C9AFB5B">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none"/>
                <w:lang w:val="en-US" w:eastAsia="zh-CN"/>
              </w:rPr>
            </w:pPr>
          </w:p>
        </w:tc>
        <w:tc>
          <w:tcPr>
            <w:tcW w:w="1139" w:type="pct"/>
            <w:shd w:val="clear" w:color="auto" w:fill="auto"/>
            <w:noWrap w:val="0"/>
            <w:vAlign w:val="center"/>
          </w:tcPr>
          <w:p w14:paraId="445ECF3D">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苯并[a]芘</w:t>
            </w:r>
          </w:p>
        </w:tc>
        <w:tc>
          <w:tcPr>
            <w:tcW w:w="514" w:type="pct"/>
            <w:shd w:val="clear" w:color="auto" w:fill="auto"/>
            <w:noWrap w:val="0"/>
            <w:vAlign w:val="center"/>
          </w:tcPr>
          <w:p w14:paraId="376308D8">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mg/kg</w:t>
            </w:r>
          </w:p>
        </w:tc>
        <w:tc>
          <w:tcPr>
            <w:tcW w:w="772" w:type="pct"/>
            <w:shd w:val="clear" w:color="auto" w:fill="auto"/>
            <w:noWrap w:val="0"/>
            <w:vAlign w:val="center"/>
          </w:tcPr>
          <w:p w14:paraId="71940D3A">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ND</w:t>
            </w:r>
          </w:p>
        </w:tc>
        <w:tc>
          <w:tcPr>
            <w:tcW w:w="529" w:type="pct"/>
            <w:shd w:val="clear" w:color="auto" w:fill="auto"/>
            <w:noWrap w:val="0"/>
            <w:vAlign w:val="center"/>
          </w:tcPr>
          <w:p w14:paraId="714293D4">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0</w:t>
            </w:r>
          </w:p>
        </w:tc>
        <w:tc>
          <w:tcPr>
            <w:tcW w:w="525" w:type="pct"/>
            <w:shd w:val="clear" w:color="auto" w:fill="auto"/>
            <w:noWrap w:val="0"/>
            <w:vAlign w:val="center"/>
          </w:tcPr>
          <w:p w14:paraId="6735058C">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达标</w:t>
            </w:r>
          </w:p>
        </w:tc>
        <w:tc>
          <w:tcPr>
            <w:tcW w:w="644" w:type="pct"/>
            <w:shd w:val="clear" w:color="auto" w:fill="auto"/>
            <w:noWrap w:val="0"/>
            <w:vAlign w:val="center"/>
          </w:tcPr>
          <w:p w14:paraId="70EB424D">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1.5</w:t>
            </w:r>
          </w:p>
        </w:tc>
      </w:tr>
      <w:tr w14:paraId="1F2FEF8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7" w:type="dxa"/>
            <w:bottom w:w="0" w:type="dxa"/>
            <w:right w:w="17" w:type="dxa"/>
          </w:tblCellMar>
        </w:tblPrEx>
        <w:trPr>
          <w:trHeight w:val="23" w:hRule="atLeast"/>
          <w:jc w:val="center"/>
        </w:trPr>
        <w:tc>
          <w:tcPr>
            <w:tcW w:w="288" w:type="pct"/>
            <w:vMerge w:val="continue"/>
            <w:noWrap w:val="0"/>
            <w:vAlign w:val="center"/>
          </w:tcPr>
          <w:p w14:paraId="5FF74C1E">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none"/>
                <w:lang w:val="en-US" w:eastAsia="zh-CN"/>
              </w:rPr>
            </w:pPr>
          </w:p>
        </w:tc>
        <w:tc>
          <w:tcPr>
            <w:tcW w:w="586" w:type="pct"/>
            <w:vMerge w:val="continue"/>
            <w:shd w:val="clear" w:color="auto" w:fill="auto"/>
            <w:noWrap w:val="0"/>
            <w:vAlign w:val="center"/>
          </w:tcPr>
          <w:p w14:paraId="294C8EA4">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none"/>
                <w:lang w:val="en-US" w:eastAsia="zh-CN"/>
              </w:rPr>
            </w:pPr>
          </w:p>
        </w:tc>
        <w:tc>
          <w:tcPr>
            <w:tcW w:w="1139" w:type="pct"/>
            <w:shd w:val="clear" w:color="auto" w:fill="auto"/>
            <w:noWrap w:val="0"/>
            <w:vAlign w:val="center"/>
          </w:tcPr>
          <w:p w14:paraId="57EEECBF">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茚并[1,2,3-cd]芘</w:t>
            </w:r>
          </w:p>
        </w:tc>
        <w:tc>
          <w:tcPr>
            <w:tcW w:w="514" w:type="pct"/>
            <w:shd w:val="clear" w:color="auto" w:fill="auto"/>
            <w:noWrap w:val="0"/>
            <w:vAlign w:val="center"/>
          </w:tcPr>
          <w:p w14:paraId="03C8DE15">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mg/kg</w:t>
            </w:r>
          </w:p>
        </w:tc>
        <w:tc>
          <w:tcPr>
            <w:tcW w:w="772" w:type="pct"/>
            <w:shd w:val="clear" w:color="auto" w:fill="auto"/>
            <w:noWrap w:val="0"/>
            <w:vAlign w:val="center"/>
          </w:tcPr>
          <w:p w14:paraId="5C84E647">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ND</w:t>
            </w:r>
          </w:p>
        </w:tc>
        <w:tc>
          <w:tcPr>
            <w:tcW w:w="529" w:type="pct"/>
            <w:shd w:val="clear" w:color="auto" w:fill="auto"/>
            <w:noWrap w:val="0"/>
            <w:vAlign w:val="center"/>
          </w:tcPr>
          <w:p w14:paraId="446EFAA5">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0</w:t>
            </w:r>
          </w:p>
        </w:tc>
        <w:tc>
          <w:tcPr>
            <w:tcW w:w="525" w:type="pct"/>
            <w:shd w:val="clear" w:color="auto" w:fill="auto"/>
            <w:noWrap w:val="0"/>
            <w:vAlign w:val="center"/>
          </w:tcPr>
          <w:p w14:paraId="67F23BDF">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达标</w:t>
            </w:r>
          </w:p>
        </w:tc>
        <w:tc>
          <w:tcPr>
            <w:tcW w:w="644" w:type="pct"/>
            <w:shd w:val="clear" w:color="auto" w:fill="auto"/>
            <w:noWrap w:val="0"/>
            <w:vAlign w:val="center"/>
          </w:tcPr>
          <w:p w14:paraId="2A7533AA">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15</w:t>
            </w:r>
          </w:p>
        </w:tc>
      </w:tr>
      <w:tr w14:paraId="7441CC9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7" w:type="dxa"/>
            <w:bottom w:w="0" w:type="dxa"/>
            <w:right w:w="17" w:type="dxa"/>
          </w:tblCellMar>
        </w:tblPrEx>
        <w:trPr>
          <w:trHeight w:val="23" w:hRule="atLeast"/>
          <w:jc w:val="center"/>
        </w:trPr>
        <w:tc>
          <w:tcPr>
            <w:tcW w:w="288" w:type="pct"/>
            <w:vMerge w:val="continue"/>
            <w:noWrap w:val="0"/>
            <w:vAlign w:val="center"/>
          </w:tcPr>
          <w:p w14:paraId="508D3AF1">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none"/>
                <w:lang w:val="en-US" w:eastAsia="zh-CN"/>
              </w:rPr>
            </w:pPr>
          </w:p>
        </w:tc>
        <w:tc>
          <w:tcPr>
            <w:tcW w:w="586" w:type="pct"/>
            <w:vMerge w:val="continue"/>
            <w:shd w:val="clear" w:color="auto" w:fill="auto"/>
            <w:noWrap w:val="0"/>
            <w:vAlign w:val="center"/>
          </w:tcPr>
          <w:p w14:paraId="4B1E5EAD">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none"/>
                <w:lang w:val="en-US" w:eastAsia="zh-CN"/>
              </w:rPr>
            </w:pPr>
          </w:p>
        </w:tc>
        <w:tc>
          <w:tcPr>
            <w:tcW w:w="1139" w:type="pct"/>
            <w:shd w:val="clear" w:color="auto" w:fill="auto"/>
            <w:noWrap w:val="0"/>
            <w:vAlign w:val="center"/>
          </w:tcPr>
          <w:p w14:paraId="70B98251">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二苯并[a,h]蒽</w:t>
            </w:r>
          </w:p>
        </w:tc>
        <w:tc>
          <w:tcPr>
            <w:tcW w:w="514" w:type="pct"/>
            <w:shd w:val="clear" w:color="auto" w:fill="auto"/>
            <w:noWrap w:val="0"/>
            <w:vAlign w:val="center"/>
          </w:tcPr>
          <w:p w14:paraId="52417686">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mg/kg</w:t>
            </w:r>
          </w:p>
        </w:tc>
        <w:tc>
          <w:tcPr>
            <w:tcW w:w="772" w:type="pct"/>
            <w:shd w:val="clear" w:color="auto" w:fill="auto"/>
            <w:noWrap w:val="0"/>
            <w:vAlign w:val="center"/>
          </w:tcPr>
          <w:p w14:paraId="7997E98B">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ND</w:t>
            </w:r>
          </w:p>
        </w:tc>
        <w:tc>
          <w:tcPr>
            <w:tcW w:w="529" w:type="pct"/>
            <w:shd w:val="clear" w:color="auto" w:fill="auto"/>
            <w:noWrap w:val="0"/>
            <w:vAlign w:val="center"/>
          </w:tcPr>
          <w:p w14:paraId="58161FB9">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0</w:t>
            </w:r>
          </w:p>
        </w:tc>
        <w:tc>
          <w:tcPr>
            <w:tcW w:w="525" w:type="pct"/>
            <w:shd w:val="clear" w:color="auto" w:fill="auto"/>
            <w:noWrap w:val="0"/>
            <w:vAlign w:val="center"/>
          </w:tcPr>
          <w:p w14:paraId="3F507DF6">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达标</w:t>
            </w:r>
          </w:p>
        </w:tc>
        <w:tc>
          <w:tcPr>
            <w:tcW w:w="644" w:type="pct"/>
            <w:shd w:val="clear" w:color="auto" w:fill="auto"/>
            <w:noWrap w:val="0"/>
            <w:vAlign w:val="center"/>
          </w:tcPr>
          <w:p w14:paraId="753E05D4">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1.5</w:t>
            </w:r>
          </w:p>
        </w:tc>
      </w:tr>
      <w:tr w14:paraId="306AF96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7" w:type="dxa"/>
            <w:bottom w:w="0" w:type="dxa"/>
            <w:right w:w="17" w:type="dxa"/>
          </w:tblCellMar>
        </w:tblPrEx>
        <w:trPr>
          <w:trHeight w:val="23" w:hRule="atLeast"/>
          <w:jc w:val="center"/>
        </w:trPr>
        <w:tc>
          <w:tcPr>
            <w:tcW w:w="288" w:type="pct"/>
            <w:vMerge w:val="continue"/>
            <w:noWrap w:val="0"/>
            <w:vAlign w:val="center"/>
          </w:tcPr>
          <w:p w14:paraId="7B20E034">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none"/>
                <w:lang w:val="en-US" w:eastAsia="zh-CN"/>
              </w:rPr>
            </w:pPr>
          </w:p>
        </w:tc>
        <w:tc>
          <w:tcPr>
            <w:tcW w:w="586" w:type="pct"/>
            <w:vMerge w:val="continue"/>
            <w:shd w:val="clear" w:color="auto" w:fill="auto"/>
            <w:noWrap w:val="0"/>
            <w:vAlign w:val="center"/>
          </w:tcPr>
          <w:p w14:paraId="73ABCBF1">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none"/>
                <w:lang w:val="en-US" w:eastAsia="zh-CN"/>
              </w:rPr>
            </w:pPr>
          </w:p>
        </w:tc>
        <w:tc>
          <w:tcPr>
            <w:tcW w:w="1139" w:type="pct"/>
            <w:shd w:val="clear" w:color="auto" w:fill="auto"/>
            <w:noWrap w:val="0"/>
            <w:vAlign w:val="center"/>
          </w:tcPr>
          <w:p w14:paraId="41FF68C2">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氰化物</w:t>
            </w:r>
          </w:p>
        </w:tc>
        <w:tc>
          <w:tcPr>
            <w:tcW w:w="514" w:type="pct"/>
            <w:shd w:val="clear" w:color="auto" w:fill="auto"/>
            <w:noWrap w:val="0"/>
            <w:vAlign w:val="center"/>
          </w:tcPr>
          <w:p w14:paraId="521496DB">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mg/kg</w:t>
            </w:r>
          </w:p>
        </w:tc>
        <w:tc>
          <w:tcPr>
            <w:tcW w:w="772" w:type="pct"/>
            <w:shd w:val="clear" w:color="auto" w:fill="auto"/>
            <w:noWrap w:val="0"/>
            <w:vAlign w:val="center"/>
          </w:tcPr>
          <w:p w14:paraId="3501096F">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ND</w:t>
            </w:r>
          </w:p>
        </w:tc>
        <w:tc>
          <w:tcPr>
            <w:tcW w:w="529" w:type="pct"/>
            <w:shd w:val="clear" w:color="auto" w:fill="auto"/>
            <w:noWrap w:val="0"/>
            <w:vAlign w:val="center"/>
          </w:tcPr>
          <w:p w14:paraId="699940F4">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0</w:t>
            </w:r>
          </w:p>
        </w:tc>
        <w:tc>
          <w:tcPr>
            <w:tcW w:w="525" w:type="pct"/>
            <w:shd w:val="clear" w:color="auto" w:fill="auto"/>
            <w:noWrap w:val="0"/>
            <w:vAlign w:val="center"/>
          </w:tcPr>
          <w:p w14:paraId="29383696">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达标</w:t>
            </w:r>
          </w:p>
        </w:tc>
        <w:tc>
          <w:tcPr>
            <w:tcW w:w="644" w:type="pct"/>
            <w:shd w:val="clear" w:color="auto" w:fill="auto"/>
            <w:noWrap w:val="0"/>
            <w:vAlign w:val="center"/>
          </w:tcPr>
          <w:p w14:paraId="5D63C230">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sz w:val="21"/>
                <w:szCs w:val="21"/>
                <w:highlight w:val="none"/>
                <w:lang w:val="en-US" w:eastAsia="zh-CN"/>
              </w:rPr>
            </w:pPr>
            <w:r>
              <w:rPr>
                <w:rFonts w:hint="eastAsia"/>
                <w:sz w:val="21"/>
                <w:szCs w:val="21"/>
                <w:highlight w:val="none"/>
                <w:lang w:val="en-US" w:eastAsia="zh-CN"/>
              </w:rPr>
              <w:t>135</w:t>
            </w:r>
          </w:p>
        </w:tc>
      </w:tr>
      <w:tr w14:paraId="489A5DC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7" w:type="dxa"/>
            <w:bottom w:w="0" w:type="dxa"/>
            <w:right w:w="17" w:type="dxa"/>
          </w:tblCellMar>
        </w:tblPrEx>
        <w:trPr>
          <w:trHeight w:val="23" w:hRule="atLeast"/>
          <w:jc w:val="center"/>
        </w:trPr>
        <w:tc>
          <w:tcPr>
            <w:tcW w:w="288" w:type="pct"/>
            <w:vMerge w:val="continue"/>
            <w:noWrap w:val="0"/>
            <w:vAlign w:val="center"/>
          </w:tcPr>
          <w:p w14:paraId="0CB87FDF">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none"/>
                <w:lang w:val="en-US" w:eastAsia="zh-CN"/>
              </w:rPr>
            </w:pPr>
          </w:p>
        </w:tc>
        <w:tc>
          <w:tcPr>
            <w:tcW w:w="586" w:type="pct"/>
            <w:vMerge w:val="continue"/>
            <w:shd w:val="clear" w:color="auto" w:fill="auto"/>
            <w:noWrap w:val="0"/>
            <w:vAlign w:val="center"/>
          </w:tcPr>
          <w:p w14:paraId="1AAB804D">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none"/>
                <w:lang w:val="en-US" w:eastAsia="zh-CN"/>
              </w:rPr>
            </w:pPr>
          </w:p>
        </w:tc>
        <w:tc>
          <w:tcPr>
            <w:tcW w:w="1139" w:type="pct"/>
            <w:shd w:val="clear" w:color="auto" w:fill="auto"/>
            <w:noWrap w:val="0"/>
            <w:vAlign w:val="center"/>
          </w:tcPr>
          <w:p w14:paraId="2AAECF8B">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锌</w:t>
            </w:r>
          </w:p>
        </w:tc>
        <w:tc>
          <w:tcPr>
            <w:tcW w:w="514" w:type="pct"/>
            <w:shd w:val="clear" w:color="auto" w:fill="auto"/>
            <w:noWrap w:val="0"/>
            <w:vAlign w:val="center"/>
          </w:tcPr>
          <w:p w14:paraId="2147B50E">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mg/kg</w:t>
            </w:r>
          </w:p>
        </w:tc>
        <w:tc>
          <w:tcPr>
            <w:tcW w:w="772" w:type="pct"/>
            <w:shd w:val="clear" w:color="auto" w:fill="auto"/>
            <w:noWrap w:val="0"/>
            <w:vAlign w:val="center"/>
          </w:tcPr>
          <w:p w14:paraId="0877B59B">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88</w:t>
            </w:r>
          </w:p>
        </w:tc>
        <w:tc>
          <w:tcPr>
            <w:tcW w:w="529" w:type="pct"/>
            <w:shd w:val="clear" w:color="auto" w:fill="auto"/>
            <w:noWrap w:val="0"/>
            <w:vAlign w:val="center"/>
          </w:tcPr>
          <w:p w14:paraId="793746C5">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w:t>
            </w:r>
          </w:p>
        </w:tc>
        <w:tc>
          <w:tcPr>
            <w:tcW w:w="525" w:type="pct"/>
            <w:shd w:val="clear" w:color="auto" w:fill="auto"/>
            <w:noWrap w:val="0"/>
            <w:vAlign w:val="center"/>
          </w:tcPr>
          <w:p w14:paraId="33D9174C">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w:t>
            </w:r>
          </w:p>
        </w:tc>
        <w:tc>
          <w:tcPr>
            <w:tcW w:w="644" w:type="pct"/>
            <w:shd w:val="clear" w:color="auto" w:fill="auto"/>
            <w:noWrap w:val="0"/>
            <w:vAlign w:val="center"/>
          </w:tcPr>
          <w:p w14:paraId="12DE2EE7">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sz w:val="21"/>
                <w:szCs w:val="21"/>
                <w:highlight w:val="none"/>
                <w:lang w:val="en-US" w:eastAsia="zh-CN"/>
              </w:rPr>
            </w:pPr>
            <w:r>
              <w:rPr>
                <w:rFonts w:hint="eastAsia"/>
                <w:sz w:val="21"/>
                <w:szCs w:val="21"/>
                <w:highlight w:val="none"/>
                <w:lang w:val="en-US" w:eastAsia="zh-CN"/>
              </w:rPr>
              <w:t>/</w:t>
            </w:r>
          </w:p>
        </w:tc>
      </w:tr>
      <w:tr w14:paraId="638A858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7" w:type="dxa"/>
            <w:bottom w:w="0" w:type="dxa"/>
            <w:right w:w="17" w:type="dxa"/>
          </w:tblCellMar>
        </w:tblPrEx>
        <w:trPr>
          <w:trHeight w:val="23" w:hRule="atLeast"/>
          <w:jc w:val="center"/>
        </w:trPr>
        <w:tc>
          <w:tcPr>
            <w:tcW w:w="288" w:type="pct"/>
            <w:vMerge w:val="continue"/>
            <w:noWrap w:val="0"/>
            <w:vAlign w:val="center"/>
          </w:tcPr>
          <w:p w14:paraId="2823E0F3">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none"/>
                <w:lang w:val="en-US" w:eastAsia="zh-CN"/>
              </w:rPr>
            </w:pPr>
          </w:p>
        </w:tc>
        <w:tc>
          <w:tcPr>
            <w:tcW w:w="586" w:type="pct"/>
            <w:vMerge w:val="continue"/>
            <w:shd w:val="clear" w:color="auto" w:fill="auto"/>
            <w:noWrap w:val="0"/>
            <w:vAlign w:val="center"/>
          </w:tcPr>
          <w:p w14:paraId="64396DBC">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none"/>
                <w:lang w:val="en-US" w:eastAsia="zh-CN"/>
              </w:rPr>
            </w:pPr>
          </w:p>
        </w:tc>
        <w:tc>
          <w:tcPr>
            <w:tcW w:w="1139" w:type="pct"/>
            <w:shd w:val="clear" w:color="auto" w:fill="auto"/>
            <w:noWrap w:val="0"/>
            <w:vAlign w:val="center"/>
          </w:tcPr>
          <w:p w14:paraId="0A7B2D9C">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总铬</w:t>
            </w:r>
          </w:p>
        </w:tc>
        <w:tc>
          <w:tcPr>
            <w:tcW w:w="514" w:type="pct"/>
            <w:shd w:val="clear" w:color="auto" w:fill="auto"/>
            <w:noWrap w:val="0"/>
            <w:vAlign w:val="center"/>
          </w:tcPr>
          <w:p w14:paraId="2AF120FB">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mg/kg</w:t>
            </w:r>
          </w:p>
        </w:tc>
        <w:tc>
          <w:tcPr>
            <w:tcW w:w="772" w:type="pct"/>
            <w:shd w:val="clear" w:color="auto" w:fill="auto"/>
            <w:noWrap w:val="0"/>
            <w:vAlign w:val="center"/>
          </w:tcPr>
          <w:p w14:paraId="602222C8">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185</w:t>
            </w:r>
          </w:p>
        </w:tc>
        <w:tc>
          <w:tcPr>
            <w:tcW w:w="529" w:type="pct"/>
            <w:shd w:val="clear" w:color="auto" w:fill="auto"/>
            <w:noWrap w:val="0"/>
            <w:vAlign w:val="center"/>
          </w:tcPr>
          <w:p w14:paraId="26018941">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w:t>
            </w:r>
          </w:p>
        </w:tc>
        <w:tc>
          <w:tcPr>
            <w:tcW w:w="525" w:type="pct"/>
            <w:shd w:val="clear" w:color="auto" w:fill="auto"/>
            <w:noWrap w:val="0"/>
            <w:vAlign w:val="center"/>
          </w:tcPr>
          <w:p w14:paraId="154780E9">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w:t>
            </w:r>
          </w:p>
        </w:tc>
        <w:tc>
          <w:tcPr>
            <w:tcW w:w="644" w:type="pct"/>
            <w:shd w:val="clear" w:color="auto" w:fill="auto"/>
            <w:noWrap w:val="0"/>
            <w:vAlign w:val="center"/>
          </w:tcPr>
          <w:p w14:paraId="67F88825">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sz w:val="21"/>
                <w:szCs w:val="21"/>
                <w:highlight w:val="none"/>
                <w:lang w:val="en-US" w:eastAsia="zh-CN"/>
              </w:rPr>
            </w:pPr>
            <w:r>
              <w:rPr>
                <w:rFonts w:hint="eastAsia"/>
                <w:sz w:val="21"/>
                <w:szCs w:val="21"/>
                <w:highlight w:val="none"/>
                <w:lang w:val="en-US" w:eastAsia="zh-CN"/>
              </w:rPr>
              <w:t>/</w:t>
            </w:r>
          </w:p>
        </w:tc>
      </w:tr>
      <w:tr w14:paraId="0897409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7" w:type="dxa"/>
            <w:bottom w:w="0" w:type="dxa"/>
            <w:right w:w="17" w:type="dxa"/>
          </w:tblCellMar>
        </w:tblPrEx>
        <w:trPr>
          <w:trHeight w:val="23" w:hRule="atLeast"/>
          <w:jc w:val="center"/>
        </w:trPr>
        <w:tc>
          <w:tcPr>
            <w:tcW w:w="288" w:type="pct"/>
            <w:vMerge w:val="continue"/>
            <w:noWrap w:val="0"/>
            <w:vAlign w:val="center"/>
          </w:tcPr>
          <w:p w14:paraId="5FBFAD17">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none"/>
                <w:lang w:val="en-US" w:eastAsia="zh-CN"/>
              </w:rPr>
            </w:pPr>
          </w:p>
        </w:tc>
        <w:tc>
          <w:tcPr>
            <w:tcW w:w="586" w:type="pct"/>
            <w:vMerge w:val="restart"/>
            <w:shd w:val="clear" w:color="auto" w:fill="auto"/>
            <w:noWrap w:val="0"/>
            <w:vAlign w:val="center"/>
          </w:tcPr>
          <w:p w14:paraId="10B91C08">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1.5~3.0m</w:t>
            </w:r>
          </w:p>
        </w:tc>
        <w:tc>
          <w:tcPr>
            <w:tcW w:w="1139" w:type="pct"/>
            <w:shd w:val="clear" w:color="auto" w:fill="auto"/>
            <w:noWrap w:val="0"/>
            <w:vAlign w:val="center"/>
          </w:tcPr>
          <w:p w14:paraId="5F483FE8">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sz w:val="21"/>
                <w:szCs w:val="21"/>
                <w:highlight w:val="none"/>
                <w:lang w:val="en-US" w:eastAsia="zh-CN"/>
              </w:rPr>
            </w:pPr>
            <w:r>
              <w:rPr>
                <w:rFonts w:hint="eastAsia"/>
                <w:sz w:val="21"/>
                <w:szCs w:val="21"/>
                <w:highlight w:val="none"/>
                <w:lang w:val="en-US" w:eastAsia="zh-CN"/>
              </w:rPr>
              <w:t>pH</w:t>
            </w:r>
          </w:p>
        </w:tc>
        <w:tc>
          <w:tcPr>
            <w:tcW w:w="514" w:type="pct"/>
            <w:shd w:val="clear" w:color="auto" w:fill="auto"/>
            <w:noWrap w:val="0"/>
            <w:vAlign w:val="center"/>
          </w:tcPr>
          <w:p w14:paraId="31BC8AEA">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无量纲</w:t>
            </w:r>
          </w:p>
        </w:tc>
        <w:tc>
          <w:tcPr>
            <w:tcW w:w="772" w:type="pct"/>
            <w:noWrap w:val="0"/>
            <w:vAlign w:val="center"/>
          </w:tcPr>
          <w:p w14:paraId="3716EBA9">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sz w:val="21"/>
                <w:szCs w:val="21"/>
                <w:highlight w:val="none"/>
                <w:lang w:val="en-US" w:eastAsia="zh-CN"/>
              </w:rPr>
            </w:pPr>
            <w:r>
              <w:rPr>
                <w:rFonts w:hint="eastAsia"/>
                <w:sz w:val="21"/>
                <w:szCs w:val="21"/>
                <w:highlight w:val="none"/>
                <w:lang w:val="en-US" w:eastAsia="zh-CN"/>
              </w:rPr>
              <w:t>4.68</w:t>
            </w:r>
          </w:p>
        </w:tc>
        <w:tc>
          <w:tcPr>
            <w:tcW w:w="529" w:type="pct"/>
            <w:shd w:val="clear" w:color="auto" w:fill="auto"/>
            <w:noWrap w:val="0"/>
            <w:vAlign w:val="center"/>
          </w:tcPr>
          <w:p w14:paraId="5CDF8BB8">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w:t>
            </w:r>
          </w:p>
        </w:tc>
        <w:tc>
          <w:tcPr>
            <w:tcW w:w="525" w:type="pct"/>
            <w:shd w:val="clear" w:color="auto" w:fill="auto"/>
            <w:noWrap w:val="0"/>
            <w:vAlign w:val="center"/>
          </w:tcPr>
          <w:p w14:paraId="7750B449">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w:t>
            </w:r>
          </w:p>
        </w:tc>
        <w:tc>
          <w:tcPr>
            <w:tcW w:w="644" w:type="pct"/>
            <w:shd w:val="clear" w:color="auto" w:fill="auto"/>
            <w:noWrap w:val="0"/>
            <w:vAlign w:val="center"/>
          </w:tcPr>
          <w:p w14:paraId="64BC6B57">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w:t>
            </w:r>
          </w:p>
        </w:tc>
      </w:tr>
      <w:tr w14:paraId="44409A7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7" w:type="dxa"/>
            <w:bottom w:w="0" w:type="dxa"/>
            <w:right w:w="17" w:type="dxa"/>
          </w:tblCellMar>
        </w:tblPrEx>
        <w:trPr>
          <w:trHeight w:val="23" w:hRule="atLeast"/>
          <w:jc w:val="center"/>
        </w:trPr>
        <w:tc>
          <w:tcPr>
            <w:tcW w:w="288" w:type="pct"/>
            <w:vMerge w:val="continue"/>
            <w:noWrap w:val="0"/>
            <w:vAlign w:val="center"/>
          </w:tcPr>
          <w:p w14:paraId="16D96BA5">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none"/>
                <w:lang w:val="en-US" w:eastAsia="zh-CN"/>
              </w:rPr>
            </w:pPr>
          </w:p>
        </w:tc>
        <w:tc>
          <w:tcPr>
            <w:tcW w:w="586" w:type="pct"/>
            <w:vMerge w:val="continue"/>
            <w:shd w:val="clear" w:color="auto" w:fill="auto"/>
            <w:noWrap w:val="0"/>
            <w:vAlign w:val="center"/>
          </w:tcPr>
          <w:p w14:paraId="0FF6101F">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none"/>
                <w:lang w:val="en-US" w:eastAsia="zh-CN"/>
              </w:rPr>
            </w:pPr>
          </w:p>
        </w:tc>
        <w:tc>
          <w:tcPr>
            <w:tcW w:w="1139" w:type="pct"/>
            <w:shd w:val="clear" w:color="auto" w:fill="auto"/>
            <w:noWrap w:val="0"/>
            <w:vAlign w:val="center"/>
          </w:tcPr>
          <w:p w14:paraId="696E370B">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砷</w:t>
            </w:r>
          </w:p>
        </w:tc>
        <w:tc>
          <w:tcPr>
            <w:tcW w:w="514" w:type="pct"/>
            <w:shd w:val="clear" w:color="auto" w:fill="auto"/>
            <w:noWrap w:val="0"/>
            <w:vAlign w:val="center"/>
          </w:tcPr>
          <w:p w14:paraId="465ADC2C">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mg/kg</w:t>
            </w:r>
          </w:p>
        </w:tc>
        <w:tc>
          <w:tcPr>
            <w:tcW w:w="772" w:type="pct"/>
            <w:noWrap w:val="0"/>
            <w:vAlign w:val="center"/>
          </w:tcPr>
          <w:p w14:paraId="1E569FE8">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b/>
                <w:bCs/>
                <w:sz w:val="21"/>
                <w:szCs w:val="21"/>
                <w:highlight w:val="none"/>
                <w:lang w:val="en-US" w:eastAsia="zh-CN"/>
              </w:rPr>
            </w:pPr>
            <w:r>
              <w:rPr>
                <w:rFonts w:hint="eastAsia"/>
                <w:b/>
                <w:bCs/>
                <w:sz w:val="21"/>
                <w:szCs w:val="21"/>
                <w:highlight w:val="none"/>
                <w:lang w:val="en-US" w:eastAsia="zh-CN"/>
              </w:rPr>
              <w:t>230</w:t>
            </w:r>
          </w:p>
        </w:tc>
        <w:tc>
          <w:tcPr>
            <w:tcW w:w="529" w:type="pct"/>
            <w:shd w:val="clear" w:color="auto" w:fill="auto"/>
            <w:noWrap w:val="0"/>
            <w:vAlign w:val="center"/>
          </w:tcPr>
          <w:p w14:paraId="20F14BAB">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kern w:val="2"/>
                <w:sz w:val="21"/>
                <w:szCs w:val="21"/>
                <w:highlight w:val="none"/>
                <w:lang w:val="en-US" w:eastAsia="zh-CN" w:bidi="ar-SA"/>
              </w:rPr>
            </w:pPr>
            <w:r>
              <w:rPr>
                <w:rFonts w:hint="eastAsia" w:cs="Times New Roman"/>
                <w:b/>
                <w:bCs/>
                <w:kern w:val="2"/>
                <w:sz w:val="21"/>
                <w:szCs w:val="21"/>
                <w:highlight w:val="none"/>
                <w:lang w:val="en-US" w:eastAsia="zh-CN" w:bidi="ar-SA"/>
              </w:rPr>
              <w:t>2.83</w:t>
            </w:r>
          </w:p>
        </w:tc>
        <w:tc>
          <w:tcPr>
            <w:tcW w:w="525" w:type="pct"/>
            <w:shd w:val="clear" w:color="auto" w:fill="auto"/>
            <w:noWrap w:val="0"/>
            <w:vAlign w:val="center"/>
          </w:tcPr>
          <w:p w14:paraId="537F0488">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bCs/>
                <w:kern w:val="2"/>
                <w:sz w:val="21"/>
                <w:szCs w:val="21"/>
                <w:highlight w:val="none"/>
                <w:lang w:val="en-US" w:eastAsia="zh-CN" w:bidi="ar-SA"/>
              </w:rPr>
            </w:pPr>
            <w:r>
              <w:rPr>
                <w:rFonts w:hint="eastAsia" w:cs="Times New Roman"/>
                <w:b/>
                <w:bCs/>
                <w:kern w:val="2"/>
                <w:sz w:val="21"/>
                <w:szCs w:val="21"/>
                <w:highlight w:val="none"/>
                <w:lang w:val="en-US" w:eastAsia="zh-CN" w:bidi="ar-SA"/>
              </w:rPr>
              <w:t>超标</w:t>
            </w:r>
          </w:p>
        </w:tc>
        <w:tc>
          <w:tcPr>
            <w:tcW w:w="644" w:type="pct"/>
            <w:shd w:val="clear" w:color="auto" w:fill="auto"/>
            <w:noWrap w:val="0"/>
            <w:vAlign w:val="center"/>
          </w:tcPr>
          <w:p w14:paraId="2782462F">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bCs/>
                <w:kern w:val="2"/>
                <w:sz w:val="21"/>
                <w:szCs w:val="21"/>
                <w:highlight w:val="none"/>
                <w:lang w:val="en-US" w:eastAsia="zh-CN" w:bidi="ar-SA"/>
              </w:rPr>
            </w:pPr>
            <w:r>
              <w:rPr>
                <w:rFonts w:hint="eastAsia"/>
                <w:b/>
                <w:bCs/>
                <w:sz w:val="21"/>
                <w:szCs w:val="21"/>
                <w:highlight w:val="none"/>
                <w:lang w:val="en-US" w:eastAsia="zh-CN"/>
              </w:rPr>
              <w:t>60</w:t>
            </w:r>
          </w:p>
        </w:tc>
      </w:tr>
      <w:tr w14:paraId="138F3AE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7" w:type="dxa"/>
            <w:bottom w:w="0" w:type="dxa"/>
            <w:right w:w="17" w:type="dxa"/>
          </w:tblCellMar>
        </w:tblPrEx>
        <w:trPr>
          <w:trHeight w:val="23" w:hRule="atLeast"/>
          <w:jc w:val="center"/>
        </w:trPr>
        <w:tc>
          <w:tcPr>
            <w:tcW w:w="288" w:type="pct"/>
            <w:vMerge w:val="continue"/>
            <w:noWrap w:val="0"/>
            <w:vAlign w:val="center"/>
          </w:tcPr>
          <w:p w14:paraId="30D09358">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none"/>
                <w:lang w:val="en-US" w:eastAsia="zh-CN"/>
              </w:rPr>
            </w:pPr>
          </w:p>
        </w:tc>
        <w:tc>
          <w:tcPr>
            <w:tcW w:w="586" w:type="pct"/>
            <w:vMerge w:val="continue"/>
            <w:shd w:val="clear" w:color="auto" w:fill="auto"/>
            <w:noWrap w:val="0"/>
            <w:vAlign w:val="center"/>
          </w:tcPr>
          <w:p w14:paraId="28D2CB39">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none"/>
                <w:lang w:val="en-US" w:eastAsia="zh-CN"/>
              </w:rPr>
            </w:pPr>
          </w:p>
        </w:tc>
        <w:tc>
          <w:tcPr>
            <w:tcW w:w="1139" w:type="pct"/>
            <w:shd w:val="clear" w:color="auto" w:fill="auto"/>
            <w:noWrap w:val="0"/>
            <w:vAlign w:val="center"/>
          </w:tcPr>
          <w:p w14:paraId="1243F603">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镉</w:t>
            </w:r>
          </w:p>
        </w:tc>
        <w:tc>
          <w:tcPr>
            <w:tcW w:w="514" w:type="pct"/>
            <w:shd w:val="clear" w:color="auto" w:fill="auto"/>
            <w:noWrap w:val="0"/>
            <w:vAlign w:val="center"/>
          </w:tcPr>
          <w:p w14:paraId="644D6948">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mg/kg</w:t>
            </w:r>
          </w:p>
        </w:tc>
        <w:tc>
          <w:tcPr>
            <w:tcW w:w="772" w:type="pct"/>
            <w:noWrap w:val="0"/>
            <w:vAlign w:val="center"/>
          </w:tcPr>
          <w:p w14:paraId="5FC4A764">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sz w:val="21"/>
                <w:szCs w:val="21"/>
                <w:highlight w:val="none"/>
                <w:lang w:val="en-US" w:eastAsia="zh-CN"/>
              </w:rPr>
            </w:pPr>
            <w:r>
              <w:rPr>
                <w:rFonts w:hint="eastAsia"/>
                <w:sz w:val="21"/>
                <w:szCs w:val="21"/>
                <w:highlight w:val="none"/>
                <w:lang w:val="en-US" w:eastAsia="zh-CN"/>
              </w:rPr>
              <w:t>0.13</w:t>
            </w:r>
          </w:p>
        </w:tc>
        <w:tc>
          <w:tcPr>
            <w:tcW w:w="529" w:type="pct"/>
            <w:shd w:val="clear" w:color="auto" w:fill="auto"/>
            <w:noWrap w:val="0"/>
            <w:vAlign w:val="center"/>
          </w:tcPr>
          <w:p w14:paraId="517A4C64">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0</w:t>
            </w:r>
          </w:p>
        </w:tc>
        <w:tc>
          <w:tcPr>
            <w:tcW w:w="525" w:type="pct"/>
            <w:shd w:val="clear" w:color="auto" w:fill="auto"/>
            <w:noWrap w:val="0"/>
            <w:vAlign w:val="center"/>
          </w:tcPr>
          <w:p w14:paraId="5214CF12">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达标</w:t>
            </w:r>
          </w:p>
        </w:tc>
        <w:tc>
          <w:tcPr>
            <w:tcW w:w="644" w:type="pct"/>
            <w:shd w:val="clear" w:color="auto" w:fill="auto"/>
            <w:noWrap w:val="0"/>
            <w:vAlign w:val="center"/>
          </w:tcPr>
          <w:p w14:paraId="24E4E261">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65</w:t>
            </w:r>
          </w:p>
        </w:tc>
      </w:tr>
      <w:tr w14:paraId="57CF04E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7" w:type="dxa"/>
            <w:bottom w:w="0" w:type="dxa"/>
            <w:right w:w="17" w:type="dxa"/>
          </w:tblCellMar>
        </w:tblPrEx>
        <w:trPr>
          <w:trHeight w:val="23" w:hRule="atLeast"/>
          <w:jc w:val="center"/>
        </w:trPr>
        <w:tc>
          <w:tcPr>
            <w:tcW w:w="288" w:type="pct"/>
            <w:vMerge w:val="continue"/>
            <w:noWrap w:val="0"/>
            <w:vAlign w:val="center"/>
          </w:tcPr>
          <w:p w14:paraId="3A5C5727">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none"/>
                <w:lang w:val="en-US" w:eastAsia="zh-CN"/>
              </w:rPr>
            </w:pPr>
          </w:p>
        </w:tc>
        <w:tc>
          <w:tcPr>
            <w:tcW w:w="586" w:type="pct"/>
            <w:vMerge w:val="continue"/>
            <w:shd w:val="clear" w:color="auto" w:fill="auto"/>
            <w:noWrap w:val="0"/>
            <w:vAlign w:val="center"/>
          </w:tcPr>
          <w:p w14:paraId="1B4CBA4B">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none"/>
                <w:lang w:val="en-US" w:eastAsia="zh-CN"/>
              </w:rPr>
            </w:pPr>
          </w:p>
        </w:tc>
        <w:tc>
          <w:tcPr>
            <w:tcW w:w="1139" w:type="pct"/>
            <w:shd w:val="clear" w:color="auto" w:fill="auto"/>
            <w:noWrap w:val="0"/>
            <w:vAlign w:val="center"/>
          </w:tcPr>
          <w:p w14:paraId="539437FC">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铅</w:t>
            </w:r>
          </w:p>
        </w:tc>
        <w:tc>
          <w:tcPr>
            <w:tcW w:w="514" w:type="pct"/>
            <w:shd w:val="clear" w:color="auto" w:fill="auto"/>
            <w:noWrap w:val="0"/>
            <w:vAlign w:val="center"/>
          </w:tcPr>
          <w:p w14:paraId="706D5926">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mg/kg</w:t>
            </w:r>
          </w:p>
        </w:tc>
        <w:tc>
          <w:tcPr>
            <w:tcW w:w="772" w:type="pct"/>
            <w:noWrap w:val="0"/>
            <w:vAlign w:val="center"/>
          </w:tcPr>
          <w:p w14:paraId="56C727E0">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sz w:val="21"/>
                <w:szCs w:val="21"/>
                <w:highlight w:val="none"/>
                <w:lang w:val="en-US" w:eastAsia="zh-CN"/>
              </w:rPr>
            </w:pPr>
            <w:r>
              <w:rPr>
                <w:rFonts w:hint="eastAsia"/>
                <w:sz w:val="21"/>
                <w:szCs w:val="21"/>
                <w:highlight w:val="none"/>
                <w:lang w:val="en-US" w:eastAsia="zh-CN"/>
              </w:rPr>
              <w:t>30</w:t>
            </w:r>
          </w:p>
        </w:tc>
        <w:tc>
          <w:tcPr>
            <w:tcW w:w="529" w:type="pct"/>
            <w:shd w:val="clear" w:color="auto" w:fill="auto"/>
            <w:noWrap w:val="0"/>
            <w:vAlign w:val="center"/>
          </w:tcPr>
          <w:p w14:paraId="010B26B0">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0</w:t>
            </w:r>
          </w:p>
        </w:tc>
        <w:tc>
          <w:tcPr>
            <w:tcW w:w="525" w:type="pct"/>
            <w:shd w:val="clear" w:color="auto" w:fill="auto"/>
            <w:noWrap w:val="0"/>
            <w:vAlign w:val="center"/>
          </w:tcPr>
          <w:p w14:paraId="048C8B0B">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达标</w:t>
            </w:r>
          </w:p>
        </w:tc>
        <w:tc>
          <w:tcPr>
            <w:tcW w:w="644" w:type="pct"/>
            <w:shd w:val="clear" w:color="auto" w:fill="auto"/>
            <w:noWrap w:val="0"/>
            <w:vAlign w:val="center"/>
          </w:tcPr>
          <w:p w14:paraId="2CF43465">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800</w:t>
            </w:r>
          </w:p>
        </w:tc>
      </w:tr>
      <w:tr w14:paraId="482B007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7" w:type="dxa"/>
            <w:bottom w:w="0" w:type="dxa"/>
            <w:right w:w="17" w:type="dxa"/>
          </w:tblCellMar>
        </w:tblPrEx>
        <w:trPr>
          <w:trHeight w:val="23" w:hRule="atLeast"/>
          <w:jc w:val="center"/>
        </w:trPr>
        <w:tc>
          <w:tcPr>
            <w:tcW w:w="288" w:type="pct"/>
            <w:vMerge w:val="continue"/>
            <w:noWrap w:val="0"/>
            <w:vAlign w:val="center"/>
          </w:tcPr>
          <w:p w14:paraId="144833C9">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none"/>
                <w:lang w:val="en-US" w:eastAsia="zh-CN"/>
              </w:rPr>
            </w:pPr>
          </w:p>
        </w:tc>
        <w:tc>
          <w:tcPr>
            <w:tcW w:w="586" w:type="pct"/>
            <w:vMerge w:val="continue"/>
            <w:shd w:val="clear" w:color="auto" w:fill="auto"/>
            <w:noWrap w:val="0"/>
            <w:vAlign w:val="center"/>
          </w:tcPr>
          <w:p w14:paraId="47AC51AA">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none"/>
                <w:lang w:val="en-US" w:eastAsia="zh-CN"/>
              </w:rPr>
            </w:pPr>
          </w:p>
        </w:tc>
        <w:tc>
          <w:tcPr>
            <w:tcW w:w="1139" w:type="pct"/>
            <w:shd w:val="clear" w:color="auto" w:fill="auto"/>
            <w:noWrap w:val="0"/>
            <w:vAlign w:val="center"/>
          </w:tcPr>
          <w:p w14:paraId="55000ACA">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镍</w:t>
            </w:r>
          </w:p>
        </w:tc>
        <w:tc>
          <w:tcPr>
            <w:tcW w:w="514" w:type="pct"/>
            <w:shd w:val="clear" w:color="auto" w:fill="auto"/>
            <w:noWrap w:val="0"/>
            <w:vAlign w:val="center"/>
          </w:tcPr>
          <w:p w14:paraId="1C9DA481">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mg/kg</w:t>
            </w:r>
          </w:p>
        </w:tc>
        <w:tc>
          <w:tcPr>
            <w:tcW w:w="772" w:type="pct"/>
            <w:noWrap w:val="0"/>
            <w:vAlign w:val="center"/>
          </w:tcPr>
          <w:p w14:paraId="4E43BADC">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sz w:val="21"/>
                <w:szCs w:val="21"/>
                <w:highlight w:val="none"/>
                <w:lang w:val="en-US" w:eastAsia="zh-CN"/>
              </w:rPr>
            </w:pPr>
            <w:r>
              <w:rPr>
                <w:rFonts w:hint="eastAsia"/>
                <w:sz w:val="21"/>
                <w:szCs w:val="21"/>
                <w:highlight w:val="none"/>
                <w:lang w:val="en-US" w:eastAsia="zh-CN"/>
              </w:rPr>
              <w:t>40</w:t>
            </w:r>
          </w:p>
        </w:tc>
        <w:tc>
          <w:tcPr>
            <w:tcW w:w="529" w:type="pct"/>
            <w:shd w:val="clear" w:color="auto" w:fill="auto"/>
            <w:noWrap w:val="0"/>
            <w:vAlign w:val="center"/>
          </w:tcPr>
          <w:p w14:paraId="60D7E651">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0</w:t>
            </w:r>
          </w:p>
        </w:tc>
        <w:tc>
          <w:tcPr>
            <w:tcW w:w="525" w:type="pct"/>
            <w:shd w:val="clear" w:color="auto" w:fill="auto"/>
            <w:noWrap w:val="0"/>
            <w:vAlign w:val="center"/>
          </w:tcPr>
          <w:p w14:paraId="2891B170">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达标</w:t>
            </w:r>
          </w:p>
        </w:tc>
        <w:tc>
          <w:tcPr>
            <w:tcW w:w="644" w:type="pct"/>
            <w:shd w:val="clear" w:color="auto" w:fill="auto"/>
            <w:noWrap w:val="0"/>
            <w:vAlign w:val="center"/>
          </w:tcPr>
          <w:p w14:paraId="6853C27B">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900</w:t>
            </w:r>
          </w:p>
        </w:tc>
      </w:tr>
      <w:tr w14:paraId="340D5B9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7" w:type="dxa"/>
            <w:bottom w:w="0" w:type="dxa"/>
            <w:right w:w="17" w:type="dxa"/>
          </w:tblCellMar>
        </w:tblPrEx>
        <w:trPr>
          <w:trHeight w:val="23" w:hRule="atLeast"/>
          <w:jc w:val="center"/>
        </w:trPr>
        <w:tc>
          <w:tcPr>
            <w:tcW w:w="288" w:type="pct"/>
            <w:vMerge w:val="continue"/>
            <w:noWrap w:val="0"/>
            <w:vAlign w:val="center"/>
          </w:tcPr>
          <w:p w14:paraId="108DE075">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none"/>
                <w:lang w:val="en-US" w:eastAsia="zh-CN"/>
              </w:rPr>
            </w:pPr>
          </w:p>
        </w:tc>
        <w:tc>
          <w:tcPr>
            <w:tcW w:w="586" w:type="pct"/>
            <w:vMerge w:val="continue"/>
            <w:shd w:val="clear" w:color="auto" w:fill="auto"/>
            <w:noWrap w:val="0"/>
            <w:vAlign w:val="center"/>
          </w:tcPr>
          <w:p w14:paraId="3E8DD68E">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none"/>
                <w:lang w:val="en-US" w:eastAsia="zh-CN"/>
              </w:rPr>
            </w:pPr>
          </w:p>
        </w:tc>
        <w:tc>
          <w:tcPr>
            <w:tcW w:w="1139" w:type="pct"/>
            <w:shd w:val="clear" w:color="auto" w:fill="auto"/>
            <w:noWrap w:val="0"/>
            <w:vAlign w:val="center"/>
          </w:tcPr>
          <w:p w14:paraId="3F8A7E37">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铜</w:t>
            </w:r>
          </w:p>
        </w:tc>
        <w:tc>
          <w:tcPr>
            <w:tcW w:w="514" w:type="pct"/>
            <w:shd w:val="clear" w:color="auto" w:fill="auto"/>
            <w:noWrap w:val="0"/>
            <w:vAlign w:val="center"/>
          </w:tcPr>
          <w:p w14:paraId="0D5A586B">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mg/kg</w:t>
            </w:r>
          </w:p>
        </w:tc>
        <w:tc>
          <w:tcPr>
            <w:tcW w:w="772" w:type="pct"/>
            <w:noWrap w:val="0"/>
            <w:vAlign w:val="center"/>
          </w:tcPr>
          <w:p w14:paraId="168AA47F">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sz w:val="21"/>
                <w:szCs w:val="21"/>
                <w:highlight w:val="none"/>
                <w:lang w:val="en-US" w:eastAsia="zh-CN"/>
              </w:rPr>
            </w:pPr>
            <w:r>
              <w:rPr>
                <w:rFonts w:hint="eastAsia"/>
                <w:sz w:val="21"/>
                <w:szCs w:val="21"/>
                <w:highlight w:val="none"/>
                <w:lang w:val="en-US" w:eastAsia="zh-CN"/>
              </w:rPr>
              <w:t>32.0</w:t>
            </w:r>
          </w:p>
        </w:tc>
        <w:tc>
          <w:tcPr>
            <w:tcW w:w="529" w:type="pct"/>
            <w:shd w:val="clear" w:color="auto" w:fill="auto"/>
            <w:noWrap w:val="0"/>
            <w:vAlign w:val="center"/>
          </w:tcPr>
          <w:p w14:paraId="5F975B09">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0</w:t>
            </w:r>
          </w:p>
        </w:tc>
        <w:tc>
          <w:tcPr>
            <w:tcW w:w="525" w:type="pct"/>
            <w:shd w:val="clear" w:color="auto" w:fill="auto"/>
            <w:noWrap w:val="0"/>
            <w:vAlign w:val="center"/>
          </w:tcPr>
          <w:p w14:paraId="7E4E9F2E">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达标</w:t>
            </w:r>
          </w:p>
        </w:tc>
        <w:tc>
          <w:tcPr>
            <w:tcW w:w="644" w:type="pct"/>
            <w:shd w:val="clear" w:color="auto" w:fill="auto"/>
            <w:noWrap w:val="0"/>
            <w:vAlign w:val="center"/>
          </w:tcPr>
          <w:p w14:paraId="468722C3">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18000</w:t>
            </w:r>
          </w:p>
        </w:tc>
      </w:tr>
      <w:tr w14:paraId="5B75780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7" w:type="dxa"/>
            <w:bottom w:w="0" w:type="dxa"/>
            <w:right w:w="17" w:type="dxa"/>
          </w:tblCellMar>
        </w:tblPrEx>
        <w:trPr>
          <w:trHeight w:val="23" w:hRule="atLeast"/>
          <w:jc w:val="center"/>
        </w:trPr>
        <w:tc>
          <w:tcPr>
            <w:tcW w:w="288" w:type="pct"/>
            <w:vMerge w:val="continue"/>
            <w:noWrap w:val="0"/>
            <w:vAlign w:val="center"/>
          </w:tcPr>
          <w:p w14:paraId="14CC15B7">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none"/>
                <w:lang w:val="en-US" w:eastAsia="zh-CN"/>
              </w:rPr>
            </w:pPr>
          </w:p>
        </w:tc>
        <w:tc>
          <w:tcPr>
            <w:tcW w:w="586" w:type="pct"/>
            <w:vMerge w:val="continue"/>
            <w:shd w:val="clear" w:color="auto" w:fill="auto"/>
            <w:noWrap w:val="0"/>
            <w:vAlign w:val="center"/>
          </w:tcPr>
          <w:p w14:paraId="41F084F5">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none"/>
                <w:lang w:val="en-US" w:eastAsia="zh-CN"/>
              </w:rPr>
            </w:pPr>
          </w:p>
        </w:tc>
        <w:tc>
          <w:tcPr>
            <w:tcW w:w="1139" w:type="pct"/>
            <w:shd w:val="clear" w:color="auto" w:fill="auto"/>
            <w:noWrap w:val="0"/>
            <w:vAlign w:val="center"/>
          </w:tcPr>
          <w:p w14:paraId="77559B4B">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铬（六价）</w:t>
            </w:r>
          </w:p>
        </w:tc>
        <w:tc>
          <w:tcPr>
            <w:tcW w:w="514" w:type="pct"/>
            <w:shd w:val="clear" w:color="auto" w:fill="auto"/>
            <w:noWrap w:val="0"/>
            <w:vAlign w:val="center"/>
          </w:tcPr>
          <w:p w14:paraId="2EAE879C">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mg/kg</w:t>
            </w:r>
          </w:p>
        </w:tc>
        <w:tc>
          <w:tcPr>
            <w:tcW w:w="772" w:type="pct"/>
            <w:noWrap w:val="0"/>
            <w:vAlign w:val="center"/>
          </w:tcPr>
          <w:p w14:paraId="271F7BCF">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sz w:val="21"/>
                <w:szCs w:val="21"/>
                <w:highlight w:val="none"/>
                <w:lang w:val="en-US" w:eastAsia="zh-CN"/>
              </w:rPr>
            </w:pPr>
            <w:r>
              <w:rPr>
                <w:rFonts w:hint="eastAsia"/>
                <w:sz w:val="21"/>
                <w:szCs w:val="21"/>
                <w:highlight w:val="none"/>
                <w:lang w:val="en-US" w:eastAsia="zh-CN"/>
              </w:rPr>
              <w:t>ND</w:t>
            </w:r>
          </w:p>
        </w:tc>
        <w:tc>
          <w:tcPr>
            <w:tcW w:w="529" w:type="pct"/>
            <w:shd w:val="clear" w:color="auto" w:fill="auto"/>
            <w:noWrap w:val="0"/>
            <w:vAlign w:val="center"/>
          </w:tcPr>
          <w:p w14:paraId="2F9DA142">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0</w:t>
            </w:r>
          </w:p>
        </w:tc>
        <w:tc>
          <w:tcPr>
            <w:tcW w:w="525" w:type="pct"/>
            <w:shd w:val="clear" w:color="auto" w:fill="auto"/>
            <w:noWrap w:val="0"/>
            <w:vAlign w:val="center"/>
          </w:tcPr>
          <w:p w14:paraId="29755A12">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达标</w:t>
            </w:r>
          </w:p>
        </w:tc>
        <w:tc>
          <w:tcPr>
            <w:tcW w:w="644" w:type="pct"/>
            <w:shd w:val="clear" w:color="auto" w:fill="auto"/>
            <w:noWrap w:val="0"/>
            <w:vAlign w:val="center"/>
          </w:tcPr>
          <w:p w14:paraId="1B108322">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5.7</w:t>
            </w:r>
          </w:p>
        </w:tc>
      </w:tr>
      <w:tr w14:paraId="758DB7F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7" w:type="dxa"/>
            <w:bottom w:w="0" w:type="dxa"/>
            <w:right w:w="17" w:type="dxa"/>
          </w:tblCellMar>
        </w:tblPrEx>
        <w:trPr>
          <w:trHeight w:val="23" w:hRule="atLeast"/>
          <w:jc w:val="center"/>
        </w:trPr>
        <w:tc>
          <w:tcPr>
            <w:tcW w:w="288" w:type="pct"/>
            <w:vMerge w:val="continue"/>
            <w:noWrap w:val="0"/>
            <w:vAlign w:val="center"/>
          </w:tcPr>
          <w:p w14:paraId="50EF53C1">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none"/>
                <w:lang w:val="en-US" w:eastAsia="zh-CN"/>
              </w:rPr>
            </w:pPr>
          </w:p>
        </w:tc>
        <w:tc>
          <w:tcPr>
            <w:tcW w:w="586" w:type="pct"/>
            <w:vMerge w:val="continue"/>
            <w:shd w:val="clear" w:color="auto" w:fill="auto"/>
            <w:noWrap w:val="0"/>
            <w:vAlign w:val="center"/>
          </w:tcPr>
          <w:p w14:paraId="79AED43B">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none"/>
                <w:lang w:val="en-US" w:eastAsia="zh-CN"/>
              </w:rPr>
            </w:pPr>
          </w:p>
        </w:tc>
        <w:tc>
          <w:tcPr>
            <w:tcW w:w="1139" w:type="pct"/>
            <w:shd w:val="clear" w:color="auto" w:fill="auto"/>
            <w:noWrap w:val="0"/>
            <w:vAlign w:val="center"/>
          </w:tcPr>
          <w:p w14:paraId="457511F4">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汞</w:t>
            </w:r>
          </w:p>
        </w:tc>
        <w:tc>
          <w:tcPr>
            <w:tcW w:w="514" w:type="pct"/>
            <w:shd w:val="clear" w:color="auto" w:fill="auto"/>
            <w:noWrap w:val="0"/>
            <w:vAlign w:val="center"/>
          </w:tcPr>
          <w:p w14:paraId="54CB9673">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mg/kg</w:t>
            </w:r>
          </w:p>
        </w:tc>
        <w:tc>
          <w:tcPr>
            <w:tcW w:w="772" w:type="pct"/>
            <w:noWrap w:val="0"/>
            <w:vAlign w:val="center"/>
          </w:tcPr>
          <w:p w14:paraId="28ED6B49">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sz w:val="21"/>
                <w:szCs w:val="21"/>
                <w:highlight w:val="none"/>
                <w:lang w:val="en-US" w:eastAsia="zh-CN"/>
              </w:rPr>
            </w:pPr>
            <w:r>
              <w:rPr>
                <w:rFonts w:hint="eastAsia"/>
                <w:sz w:val="21"/>
                <w:szCs w:val="21"/>
                <w:highlight w:val="none"/>
                <w:lang w:val="en-US" w:eastAsia="zh-CN"/>
              </w:rPr>
              <w:t>0.0727</w:t>
            </w:r>
          </w:p>
        </w:tc>
        <w:tc>
          <w:tcPr>
            <w:tcW w:w="529" w:type="pct"/>
            <w:shd w:val="clear" w:color="auto" w:fill="auto"/>
            <w:noWrap w:val="0"/>
            <w:vAlign w:val="center"/>
          </w:tcPr>
          <w:p w14:paraId="785CF31D">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0</w:t>
            </w:r>
          </w:p>
        </w:tc>
        <w:tc>
          <w:tcPr>
            <w:tcW w:w="525" w:type="pct"/>
            <w:shd w:val="clear" w:color="auto" w:fill="auto"/>
            <w:noWrap w:val="0"/>
            <w:vAlign w:val="center"/>
          </w:tcPr>
          <w:p w14:paraId="5F126868">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达标</w:t>
            </w:r>
          </w:p>
        </w:tc>
        <w:tc>
          <w:tcPr>
            <w:tcW w:w="644" w:type="pct"/>
            <w:shd w:val="clear" w:color="auto" w:fill="auto"/>
            <w:noWrap w:val="0"/>
            <w:vAlign w:val="center"/>
          </w:tcPr>
          <w:p w14:paraId="50948D9A">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38</w:t>
            </w:r>
          </w:p>
        </w:tc>
      </w:tr>
      <w:tr w14:paraId="6D70080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7" w:type="dxa"/>
            <w:bottom w:w="0" w:type="dxa"/>
            <w:right w:w="17" w:type="dxa"/>
          </w:tblCellMar>
        </w:tblPrEx>
        <w:trPr>
          <w:trHeight w:val="23" w:hRule="atLeast"/>
          <w:jc w:val="center"/>
        </w:trPr>
        <w:tc>
          <w:tcPr>
            <w:tcW w:w="288" w:type="pct"/>
            <w:vMerge w:val="continue"/>
            <w:noWrap w:val="0"/>
            <w:vAlign w:val="center"/>
          </w:tcPr>
          <w:p w14:paraId="1EFFE32C">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none"/>
                <w:lang w:val="en-US" w:eastAsia="zh-CN"/>
              </w:rPr>
            </w:pPr>
          </w:p>
        </w:tc>
        <w:tc>
          <w:tcPr>
            <w:tcW w:w="586" w:type="pct"/>
            <w:vMerge w:val="continue"/>
            <w:shd w:val="clear" w:color="auto" w:fill="auto"/>
            <w:noWrap w:val="0"/>
            <w:vAlign w:val="center"/>
          </w:tcPr>
          <w:p w14:paraId="5B954FAD">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none"/>
                <w:lang w:val="en-US" w:eastAsia="zh-CN"/>
              </w:rPr>
            </w:pPr>
          </w:p>
        </w:tc>
        <w:tc>
          <w:tcPr>
            <w:tcW w:w="1139" w:type="pct"/>
            <w:shd w:val="clear" w:color="auto" w:fill="auto"/>
            <w:noWrap w:val="0"/>
            <w:vAlign w:val="center"/>
          </w:tcPr>
          <w:p w14:paraId="32F69284">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氯甲烷</w:t>
            </w:r>
          </w:p>
        </w:tc>
        <w:tc>
          <w:tcPr>
            <w:tcW w:w="514" w:type="pct"/>
            <w:shd w:val="clear" w:color="auto" w:fill="auto"/>
            <w:noWrap w:val="0"/>
            <w:vAlign w:val="center"/>
          </w:tcPr>
          <w:p w14:paraId="1C33A334">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mg/kg</w:t>
            </w:r>
          </w:p>
        </w:tc>
        <w:tc>
          <w:tcPr>
            <w:tcW w:w="772" w:type="pct"/>
            <w:shd w:val="clear" w:color="auto" w:fill="auto"/>
            <w:noWrap w:val="0"/>
            <w:vAlign w:val="center"/>
          </w:tcPr>
          <w:p w14:paraId="45784F50">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ND</w:t>
            </w:r>
          </w:p>
        </w:tc>
        <w:tc>
          <w:tcPr>
            <w:tcW w:w="529" w:type="pct"/>
            <w:shd w:val="clear" w:color="auto" w:fill="auto"/>
            <w:noWrap w:val="0"/>
            <w:vAlign w:val="center"/>
          </w:tcPr>
          <w:p w14:paraId="1F0DA176">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0</w:t>
            </w:r>
          </w:p>
        </w:tc>
        <w:tc>
          <w:tcPr>
            <w:tcW w:w="525" w:type="pct"/>
            <w:shd w:val="clear" w:color="auto" w:fill="auto"/>
            <w:noWrap w:val="0"/>
            <w:vAlign w:val="center"/>
          </w:tcPr>
          <w:p w14:paraId="6EDC3406">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达标</w:t>
            </w:r>
          </w:p>
        </w:tc>
        <w:tc>
          <w:tcPr>
            <w:tcW w:w="644" w:type="pct"/>
            <w:shd w:val="clear" w:color="auto" w:fill="auto"/>
            <w:noWrap w:val="0"/>
            <w:vAlign w:val="center"/>
          </w:tcPr>
          <w:p w14:paraId="0C869BCA">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37</w:t>
            </w:r>
          </w:p>
        </w:tc>
      </w:tr>
      <w:tr w14:paraId="7D9CD19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7" w:type="dxa"/>
            <w:bottom w:w="0" w:type="dxa"/>
            <w:right w:w="17" w:type="dxa"/>
          </w:tblCellMar>
        </w:tblPrEx>
        <w:trPr>
          <w:trHeight w:val="23" w:hRule="atLeast"/>
          <w:jc w:val="center"/>
        </w:trPr>
        <w:tc>
          <w:tcPr>
            <w:tcW w:w="288" w:type="pct"/>
            <w:vMerge w:val="continue"/>
            <w:noWrap w:val="0"/>
            <w:vAlign w:val="center"/>
          </w:tcPr>
          <w:p w14:paraId="2EFFCB0B">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none"/>
                <w:lang w:val="en-US" w:eastAsia="zh-CN"/>
              </w:rPr>
            </w:pPr>
          </w:p>
        </w:tc>
        <w:tc>
          <w:tcPr>
            <w:tcW w:w="586" w:type="pct"/>
            <w:vMerge w:val="continue"/>
            <w:shd w:val="clear" w:color="auto" w:fill="auto"/>
            <w:noWrap w:val="0"/>
            <w:vAlign w:val="center"/>
          </w:tcPr>
          <w:p w14:paraId="1D87147A">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none"/>
                <w:lang w:val="en-US" w:eastAsia="zh-CN"/>
              </w:rPr>
            </w:pPr>
          </w:p>
        </w:tc>
        <w:tc>
          <w:tcPr>
            <w:tcW w:w="1139" w:type="pct"/>
            <w:shd w:val="clear" w:color="auto" w:fill="auto"/>
            <w:noWrap w:val="0"/>
            <w:vAlign w:val="center"/>
          </w:tcPr>
          <w:p w14:paraId="22D60B81">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氯乙烯</w:t>
            </w:r>
          </w:p>
        </w:tc>
        <w:tc>
          <w:tcPr>
            <w:tcW w:w="514" w:type="pct"/>
            <w:shd w:val="clear" w:color="auto" w:fill="auto"/>
            <w:noWrap w:val="0"/>
            <w:vAlign w:val="center"/>
          </w:tcPr>
          <w:p w14:paraId="73B751A0">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mg/kg</w:t>
            </w:r>
          </w:p>
        </w:tc>
        <w:tc>
          <w:tcPr>
            <w:tcW w:w="772" w:type="pct"/>
            <w:shd w:val="clear" w:color="auto" w:fill="auto"/>
            <w:noWrap w:val="0"/>
            <w:vAlign w:val="center"/>
          </w:tcPr>
          <w:p w14:paraId="7D56DCED">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ND</w:t>
            </w:r>
          </w:p>
        </w:tc>
        <w:tc>
          <w:tcPr>
            <w:tcW w:w="529" w:type="pct"/>
            <w:shd w:val="clear" w:color="auto" w:fill="auto"/>
            <w:noWrap w:val="0"/>
            <w:vAlign w:val="center"/>
          </w:tcPr>
          <w:p w14:paraId="6346472B">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0</w:t>
            </w:r>
          </w:p>
        </w:tc>
        <w:tc>
          <w:tcPr>
            <w:tcW w:w="525" w:type="pct"/>
            <w:shd w:val="clear" w:color="auto" w:fill="auto"/>
            <w:noWrap w:val="0"/>
            <w:vAlign w:val="center"/>
          </w:tcPr>
          <w:p w14:paraId="2E8888EA">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达标</w:t>
            </w:r>
          </w:p>
        </w:tc>
        <w:tc>
          <w:tcPr>
            <w:tcW w:w="644" w:type="pct"/>
            <w:shd w:val="clear" w:color="auto" w:fill="auto"/>
            <w:noWrap w:val="0"/>
            <w:vAlign w:val="center"/>
          </w:tcPr>
          <w:p w14:paraId="017F6841">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0.43</w:t>
            </w:r>
          </w:p>
        </w:tc>
      </w:tr>
      <w:tr w14:paraId="5C0E61D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7" w:type="dxa"/>
            <w:bottom w:w="0" w:type="dxa"/>
            <w:right w:w="17" w:type="dxa"/>
          </w:tblCellMar>
        </w:tblPrEx>
        <w:trPr>
          <w:trHeight w:val="23" w:hRule="atLeast"/>
          <w:jc w:val="center"/>
        </w:trPr>
        <w:tc>
          <w:tcPr>
            <w:tcW w:w="288" w:type="pct"/>
            <w:vMerge w:val="continue"/>
            <w:noWrap w:val="0"/>
            <w:vAlign w:val="center"/>
          </w:tcPr>
          <w:p w14:paraId="2C0C3B3B">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none"/>
                <w:lang w:val="en-US" w:eastAsia="zh-CN"/>
              </w:rPr>
            </w:pPr>
          </w:p>
        </w:tc>
        <w:tc>
          <w:tcPr>
            <w:tcW w:w="586" w:type="pct"/>
            <w:vMerge w:val="continue"/>
            <w:shd w:val="clear" w:color="auto" w:fill="auto"/>
            <w:noWrap w:val="0"/>
            <w:vAlign w:val="center"/>
          </w:tcPr>
          <w:p w14:paraId="1BDFD7AB">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none"/>
                <w:lang w:val="en-US" w:eastAsia="zh-CN"/>
              </w:rPr>
            </w:pPr>
          </w:p>
        </w:tc>
        <w:tc>
          <w:tcPr>
            <w:tcW w:w="1139" w:type="pct"/>
            <w:shd w:val="clear" w:color="auto" w:fill="auto"/>
            <w:noWrap w:val="0"/>
            <w:vAlign w:val="center"/>
          </w:tcPr>
          <w:p w14:paraId="502E446A">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1,1-二氯乙烯</w:t>
            </w:r>
          </w:p>
        </w:tc>
        <w:tc>
          <w:tcPr>
            <w:tcW w:w="514" w:type="pct"/>
            <w:shd w:val="clear" w:color="auto" w:fill="auto"/>
            <w:noWrap w:val="0"/>
            <w:vAlign w:val="center"/>
          </w:tcPr>
          <w:p w14:paraId="022A4DD7">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mg/kg</w:t>
            </w:r>
          </w:p>
        </w:tc>
        <w:tc>
          <w:tcPr>
            <w:tcW w:w="772" w:type="pct"/>
            <w:shd w:val="clear" w:color="auto" w:fill="auto"/>
            <w:noWrap w:val="0"/>
            <w:vAlign w:val="center"/>
          </w:tcPr>
          <w:p w14:paraId="2FF23DDF">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ND</w:t>
            </w:r>
          </w:p>
        </w:tc>
        <w:tc>
          <w:tcPr>
            <w:tcW w:w="529" w:type="pct"/>
            <w:shd w:val="clear" w:color="auto" w:fill="auto"/>
            <w:noWrap w:val="0"/>
            <w:vAlign w:val="center"/>
          </w:tcPr>
          <w:p w14:paraId="237DF264">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0</w:t>
            </w:r>
          </w:p>
        </w:tc>
        <w:tc>
          <w:tcPr>
            <w:tcW w:w="525" w:type="pct"/>
            <w:shd w:val="clear" w:color="auto" w:fill="auto"/>
            <w:noWrap w:val="0"/>
            <w:vAlign w:val="center"/>
          </w:tcPr>
          <w:p w14:paraId="7035CF4C">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达标</w:t>
            </w:r>
          </w:p>
        </w:tc>
        <w:tc>
          <w:tcPr>
            <w:tcW w:w="644" w:type="pct"/>
            <w:shd w:val="clear" w:color="auto" w:fill="auto"/>
            <w:noWrap w:val="0"/>
            <w:vAlign w:val="center"/>
          </w:tcPr>
          <w:p w14:paraId="652019C7">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66</w:t>
            </w:r>
          </w:p>
        </w:tc>
      </w:tr>
      <w:tr w14:paraId="35F9160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7" w:type="dxa"/>
            <w:bottom w:w="0" w:type="dxa"/>
            <w:right w:w="17" w:type="dxa"/>
          </w:tblCellMar>
        </w:tblPrEx>
        <w:trPr>
          <w:trHeight w:val="23" w:hRule="atLeast"/>
          <w:jc w:val="center"/>
        </w:trPr>
        <w:tc>
          <w:tcPr>
            <w:tcW w:w="288" w:type="pct"/>
            <w:vMerge w:val="continue"/>
            <w:noWrap w:val="0"/>
            <w:vAlign w:val="center"/>
          </w:tcPr>
          <w:p w14:paraId="31713C68">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none"/>
                <w:lang w:val="en-US" w:eastAsia="zh-CN"/>
              </w:rPr>
            </w:pPr>
          </w:p>
        </w:tc>
        <w:tc>
          <w:tcPr>
            <w:tcW w:w="586" w:type="pct"/>
            <w:vMerge w:val="continue"/>
            <w:shd w:val="clear" w:color="auto" w:fill="auto"/>
            <w:noWrap w:val="0"/>
            <w:vAlign w:val="center"/>
          </w:tcPr>
          <w:p w14:paraId="0F5C6AE1">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none"/>
                <w:lang w:val="en-US" w:eastAsia="zh-CN"/>
              </w:rPr>
            </w:pPr>
          </w:p>
        </w:tc>
        <w:tc>
          <w:tcPr>
            <w:tcW w:w="1139" w:type="pct"/>
            <w:shd w:val="clear" w:color="auto" w:fill="auto"/>
            <w:noWrap w:val="0"/>
            <w:vAlign w:val="center"/>
          </w:tcPr>
          <w:p w14:paraId="5A8DAA75">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二氯甲烷</w:t>
            </w:r>
          </w:p>
        </w:tc>
        <w:tc>
          <w:tcPr>
            <w:tcW w:w="514" w:type="pct"/>
            <w:shd w:val="clear" w:color="auto" w:fill="auto"/>
            <w:noWrap w:val="0"/>
            <w:vAlign w:val="center"/>
          </w:tcPr>
          <w:p w14:paraId="02259247">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mg/kg</w:t>
            </w:r>
          </w:p>
        </w:tc>
        <w:tc>
          <w:tcPr>
            <w:tcW w:w="772" w:type="pct"/>
            <w:shd w:val="clear" w:color="auto" w:fill="auto"/>
            <w:noWrap w:val="0"/>
            <w:vAlign w:val="center"/>
          </w:tcPr>
          <w:p w14:paraId="325CF59A">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ND</w:t>
            </w:r>
          </w:p>
        </w:tc>
        <w:tc>
          <w:tcPr>
            <w:tcW w:w="529" w:type="pct"/>
            <w:shd w:val="clear" w:color="auto" w:fill="auto"/>
            <w:noWrap w:val="0"/>
            <w:vAlign w:val="center"/>
          </w:tcPr>
          <w:p w14:paraId="2C8F29B2">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0</w:t>
            </w:r>
          </w:p>
        </w:tc>
        <w:tc>
          <w:tcPr>
            <w:tcW w:w="525" w:type="pct"/>
            <w:shd w:val="clear" w:color="auto" w:fill="auto"/>
            <w:noWrap w:val="0"/>
            <w:vAlign w:val="center"/>
          </w:tcPr>
          <w:p w14:paraId="461FAED0">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达标</w:t>
            </w:r>
          </w:p>
        </w:tc>
        <w:tc>
          <w:tcPr>
            <w:tcW w:w="644" w:type="pct"/>
            <w:shd w:val="clear" w:color="auto" w:fill="auto"/>
            <w:noWrap w:val="0"/>
            <w:vAlign w:val="center"/>
          </w:tcPr>
          <w:p w14:paraId="2086516D">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616</w:t>
            </w:r>
          </w:p>
        </w:tc>
      </w:tr>
      <w:tr w14:paraId="10E63FD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7" w:type="dxa"/>
            <w:bottom w:w="0" w:type="dxa"/>
            <w:right w:w="17" w:type="dxa"/>
          </w:tblCellMar>
        </w:tblPrEx>
        <w:trPr>
          <w:trHeight w:val="23" w:hRule="atLeast"/>
          <w:jc w:val="center"/>
        </w:trPr>
        <w:tc>
          <w:tcPr>
            <w:tcW w:w="288" w:type="pct"/>
            <w:vMerge w:val="continue"/>
            <w:noWrap w:val="0"/>
            <w:vAlign w:val="center"/>
          </w:tcPr>
          <w:p w14:paraId="0926B9C1">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none"/>
                <w:lang w:val="en-US" w:eastAsia="zh-CN"/>
              </w:rPr>
            </w:pPr>
          </w:p>
        </w:tc>
        <w:tc>
          <w:tcPr>
            <w:tcW w:w="586" w:type="pct"/>
            <w:vMerge w:val="continue"/>
            <w:shd w:val="clear" w:color="auto" w:fill="auto"/>
            <w:noWrap w:val="0"/>
            <w:vAlign w:val="center"/>
          </w:tcPr>
          <w:p w14:paraId="399770AC">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none"/>
                <w:lang w:val="en-US" w:eastAsia="zh-CN"/>
              </w:rPr>
            </w:pPr>
          </w:p>
        </w:tc>
        <w:tc>
          <w:tcPr>
            <w:tcW w:w="1139" w:type="pct"/>
            <w:shd w:val="clear" w:color="auto" w:fill="auto"/>
            <w:noWrap w:val="0"/>
            <w:vAlign w:val="center"/>
          </w:tcPr>
          <w:p w14:paraId="166CB832">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反-1,2-二氯乙烯</w:t>
            </w:r>
          </w:p>
        </w:tc>
        <w:tc>
          <w:tcPr>
            <w:tcW w:w="514" w:type="pct"/>
            <w:shd w:val="clear" w:color="auto" w:fill="auto"/>
            <w:noWrap w:val="0"/>
            <w:vAlign w:val="center"/>
          </w:tcPr>
          <w:p w14:paraId="79921461">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mg/kg</w:t>
            </w:r>
          </w:p>
        </w:tc>
        <w:tc>
          <w:tcPr>
            <w:tcW w:w="772" w:type="pct"/>
            <w:shd w:val="clear" w:color="auto" w:fill="auto"/>
            <w:noWrap w:val="0"/>
            <w:vAlign w:val="center"/>
          </w:tcPr>
          <w:p w14:paraId="71E0D2D7">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ND</w:t>
            </w:r>
          </w:p>
        </w:tc>
        <w:tc>
          <w:tcPr>
            <w:tcW w:w="529" w:type="pct"/>
            <w:shd w:val="clear" w:color="auto" w:fill="auto"/>
            <w:noWrap w:val="0"/>
            <w:vAlign w:val="center"/>
          </w:tcPr>
          <w:p w14:paraId="6B13F611">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0</w:t>
            </w:r>
          </w:p>
        </w:tc>
        <w:tc>
          <w:tcPr>
            <w:tcW w:w="525" w:type="pct"/>
            <w:shd w:val="clear" w:color="auto" w:fill="auto"/>
            <w:noWrap w:val="0"/>
            <w:vAlign w:val="center"/>
          </w:tcPr>
          <w:p w14:paraId="2E08662B">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达标</w:t>
            </w:r>
          </w:p>
        </w:tc>
        <w:tc>
          <w:tcPr>
            <w:tcW w:w="644" w:type="pct"/>
            <w:shd w:val="clear" w:color="auto" w:fill="auto"/>
            <w:noWrap w:val="0"/>
            <w:vAlign w:val="center"/>
          </w:tcPr>
          <w:p w14:paraId="32E79D36">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54</w:t>
            </w:r>
          </w:p>
        </w:tc>
      </w:tr>
      <w:tr w14:paraId="1B2D922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7" w:type="dxa"/>
            <w:bottom w:w="0" w:type="dxa"/>
            <w:right w:w="17" w:type="dxa"/>
          </w:tblCellMar>
        </w:tblPrEx>
        <w:trPr>
          <w:trHeight w:val="23" w:hRule="atLeast"/>
          <w:jc w:val="center"/>
        </w:trPr>
        <w:tc>
          <w:tcPr>
            <w:tcW w:w="288" w:type="pct"/>
            <w:vMerge w:val="continue"/>
            <w:noWrap w:val="0"/>
            <w:vAlign w:val="center"/>
          </w:tcPr>
          <w:p w14:paraId="43F8FBB3">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none"/>
                <w:lang w:val="en-US" w:eastAsia="zh-CN"/>
              </w:rPr>
            </w:pPr>
          </w:p>
        </w:tc>
        <w:tc>
          <w:tcPr>
            <w:tcW w:w="586" w:type="pct"/>
            <w:vMerge w:val="continue"/>
            <w:shd w:val="clear" w:color="auto" w:fill="auto"/>
            <w:noWrap w:val="0"/>
            <w:vAlign w:val="center"/>
          </w:tcPr>
          <w:p w14:paraId="614BC79C">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none"/>
                <w:lang w:val="en-US" w:eastAsia="zh-CN"/>
              </w:rPr>
            </w:pPr>
          </w:p>
        </w:tc>
        <w:tc>
          <w:tcPr>
            <w:tcW w:w="1139" w:type="pct"/>
            <w:shd w:val="clear" w:color="auto" w:fill="auto"/>
            <w:noWrap w:val="0"/>
            <w:vAlign w:val="center"/>
          </w:tcPr>
          <w:p w14:paraId="05AD2573">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1,1-二氯乙烷</w:t>
            </w:r>
          </w:p>
        </w:tc>
        <w:tc>
          <w:tcPr>
            <w:tcW w:w="514" w:type="pct"/>
            <w:shd w:val="clear" w:color="auto" w:fill="auto"/>
            <w:noWrap w:val="0"/>
            <w:vAlign w:val="center"/>
          </w:tcPr>
          <w:p w14:paraId="4A08BD34">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mg/kg</w:t>
            </w:r>
          </w:p>
        </w:tc>
        <w:tc>
          <w:tcPr>
            <w:tcW w:w="772" w:type="pct"/>
            <w:shd w:val="clear" w:color="auto" w:fill="auto"/>
            <w:noWrap w:val="0"/>
            <w:vAlign w:val="center"/>
          </w:tcPr>
          <w:p w14:paraId="0F73D5FB">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ND</w:t>
            </w:r>
          </w:p>
        </w:tc>
        <w:tc>
          <w:tcPr>
            <w:tcW w:w="529" w:type="pct"/>
            <w:shd w:val="clear" w:color="auto" w:fill="auto"/>
            <w:noWrap w:val="0"/>
            <w:vAlign w:val="center"/>
          </w:tcPr>
          <w:p w14:paraId="78E19470">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0</w:t>
            </w:r>
          </w:p>
        </w:tc>
        <w:tc>
          <w:tcPr>
            <w:tcW w:w="525" w:type="pct"/>
            <w:shd w:val="clear" w:color="auto" w:fill="auto"/>
            <w:noWrap w:val="0"/>
            <w:vAlign w:val="center"/>
          </w:tcPr>
          <w:p w14:paraId="55696513">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达标</w:t>
            </w:r>
          </w:p>
        </w:tc>
        <w:tc>
          <w:tcPr>
            <w:tcW w:w="644" w:type="pct"/>
            <w:shd w:val="clear" w:color="auto" w:fill="auto"/>
            <w:noWrap w:val="0"/>
            <w:vAlign w:val="center"/>
          </w:tcPr>
          <w:p w14:paraId="1E6A3077">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9</w:t>
            </w:r>
          </w:p>
        </w:tc>
      </w:tr>
      <w:tr w14:paraId="3C73831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7" w:type="dxa"/>
            <w:bottom w:w="0" w:type="dxa"/>
            <w:right w:w="17" w:type="dxa"/>
          </w:tblCellMar>
        </w:tblPrEx>
        <w:trPr>
          <w:trHeight w:val="23" w:hRule="atLeast"/>
          <w:jc w:val="center"/>
        </w:trPr>
        <w:tc>
          <w:tcPr>
            <w:tcW w:w="288" w:type="pct"/>
            <w:vMerge w:val="continue"/>
            <w:noWrap w:val="0"/>
            <w:vAlign w:val="center"/>
          </w:tcPr>
          <w:p w14:paraId="0A7C615A">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none"/>
                <w:lang w:val="en-US" w:eastAsia="zh-CN"/>
              </w:rPr>
            </w:pPr>
          </w:p>
        </w:tc>
        <w:tc>
          <w:tcPr>
            <w:tcW w:w="586" w:type="pct"/>
            <w:vMerge w:val="continue"/>
            <w:shd w:val="clear" w:color="auto" w:fill="auto"/>
            <w:noWrap w:val="0"/>
            <w:vAlign w:val="center"/>
          </w:tcPr>
          <w:p w14:paraId="0FABA7A8">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none"/>
                <w:lang w:val="en-US" w:eastAsia="zh-CN"/>
              </w:rPr>
            </w:pPr>
          </w:p>
        </w:tc>
        <w:tc>
          <w:tcPr>
            <w:tcW w:w="1139" w:type="pct"/>
            <w:shd w:val="clear" w:color="auto" w:fill="auto"/>
            <w:noWrap w:val="0"/>
            <w:vAlign w:val="center"/>
          </w:tcPr>
          <w:p w14:paraId="0E119B3D">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顺-1,2-二氯乙烯</w:t>
            </w:r>
          </w:p>
        </w:tc>
        <w:tc>
          <w:tcPr>
            <w:tcW w:w="514" w:type="pct"/>
            <w:shd w:val="clear" w:color="auto" w:fill="auto"/>
            <w:noWrap w:val="0"/>
            <w:vAlign w:val="center"/>
          </w:tcPr>
          <w:p w14:paraId="0B3F7584">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mg/kg</w:t>
            </w:r>
          </w:p>
        </w:tc>
        <w:tc>
          <w:tcPr>
            <w:tcW w:w="772" w:type="pct"/>
            <w:shd w:val="clear" w:color="auto" w:fill="auto"/>
            <w:noWrap w:val="0"/>
            <w:vAlign w:val="center"/>
          </w:tcPr>
          <w:p w14:paraId="668CB19A">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ND</w:t>
            </w:r>
          </w:p>
        </w:tc>
        <w:tc>
          <w:tcPr>
            <w:tcW w:w="529" w:type="pct"/>
            <w:shd w:val="clear" w:color="auto" w:fill="auto"/>
            <w:noWrap w:val="0"/>
            <w:vAlign w:val="center"/>
          </w:tcPr>
          <w:p w14:paraId="1CACDE62">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0</w:t>
            </w:r>
          </w:p>
        </w:tc>
        <w:tc>
          <w:tcPr>
            <w:tcW w:w="525" w:type="pct"/>
            <w:shd w:val="clear" w:color="auto" w:fill="auto"/>
            <w:noWrap w:val="0"/>
            <w:vAlign w:val="center"/>
          </w:tcPr>
          <w:p w14:paraId="59B1F40D">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达标</w:t>
            </w:r>
          </w:p>
        </w:tc>
        <w:tc>
          <w:tcPr>
            <w:tcW w:w="644" w:type="pct"/>
            <w:shd w:val="clear" w:color="auto" w:fill="auto"/>
            <w:noWrap w:val="0"/>
            <w:vAlign w:val="center"/>
          </w:tcPr>
          <w:p w14:paraId="20B33562">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596</w:t>
            </w:r>
          </w:p>
        </w:tc>
      </w:tr>
      <w:tr w14:paraId="09927E4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7" w:type="dxa"/>
            <w:bottom w:w="0" w:type="dxa"/>
            <w:right w:w="17" w:type="dxa"/>
          </w:tblCellMar>
        </w:tblPrEx>
        <w:trPr>
          <w:trHeight w:val="23" w:hRule="atLeast"/>
          <w:jc w:val="center"/>
        </w:trPr>
        <w:tc>
          <w:tcPr>
            <w:tcW w:w="288" w:type="pct"/>
            <w:vMerge w:val="continue"/>
            <w:noWrap w:val="0"/>
            <w:vAlign w:val="center"/>
          </w:tcPr>
          <w:p w14:paraId="58211D28">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none"/>
                <w:lang w:val="en-US" w:eastAsia="zh-CN"/>
              </w:rPr>
            </w:pPr>
          </w:p>
        </w:tc>
        <w:tc>
          <w:tcPr>
            <w:tcW w:w="586" w:type="pct"/>
            <w:vMerge w:val="continue"/>
            <w:shd w:val="clear" w:color="auto" w:fill="auto"/>
            <w:noWrap w:val="0"/>
            <w:vAlign w:val="center"/>
          </w:tcPr>
          <w:p w14:paraId="33A865E6">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none"/>
                <w:lang w:val="en-US" w:eastAsia="zh-CN"/>
              </w:rPr>
            </w:pPr>
          </w:p>
        </w:tc>
        <w:tc>
          <w:tcPr>
            <w:tcW w:w="1139" w:type="pct"/>
            <w:shd w:val="clear" w:color="auto" w:fill="auto"/>
            <w:noWrap w:val="0"/>
            <w:vAlign w:val="center"/>
          </w:tcPr>
          <w:p w14:paraId="08293D9B">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氯仿</w:t>
            </w:r>
          </w:p>
        </w:tc>
        <w:tc>
          <w:tcPr>
            <w:tcW w:w="514" w:type="pct"/>
            <w:shd w:val="clear" w:color="auto" w:fill="auto"/>
            <w:noWrap w:val="0"/>
            <w:vAlign w:val="center"/>
          </w:tcPr>
          <w:p w14:paraId="3C56D4CC">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mg/kg</w:t>
            </w:r>
          </w:p>
        </w:tc>
        <w:tc>
          <w:tcPr>
            <w:tcW w:w="772" w:type="pct"/>
            <w:shd w:val="clear" w:color="auto" w:fill="auto"/>
            <w:noWrap w:val="0"/>
            <w:vAlign w:val="center"/>
          </w:tcPr>
          <w:p w14:paraId="24E6B3C4">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ND</w:t>
            </w:r>
          </w:p>
        </w:tc>
        <w:tc>
          <w:tcPr>
            <w:tcW w:w="529" w:type="pct"/>
            <w:shd w:val="clear" w:color="auto" w:fill="auto"/>
            <w:noWrap w:val="0"/>
            <w:vAlign w:val="center"/>
          </w:tcPr>
          <w:p w14:paraId="23258803">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0</w:t>
            </w:r>
          </w:p>
        </w:tc>
        <w:tc>
          <w:tcPr>
            <w:tcW w:w="525" w:type="pct"/>
            <w:shd w:val="clear" w:color="auto" w:fill="auto"/>
            <w:noWrap w:val="0"/>
            <w:vAlign w:val="center"/>
          </w:tcPr>
          <w:p w14:paraId="2FCC2907">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达标</w:t>
            </w:r>
          </w:p>
        </w:tc>
        <w:tc>
          <w:tcPr>
            <w:tcW w:w="644" w:type="pct"/>
            <w:shd w:val="clear" w:color="auto" w:fill="auto"/>
            <w:noWrap w:val="0"/>
            <w:vAlign w:val="center"/>
          </w:tcPr>
          <w:p w14:paraId="0B89B9CB">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0.9</w:t>
            </w:r>
          </w:p>
        </w:tc>
      </w:tr>
      <w:tr w14:paraId="524346A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7" w:type="dxa"/>
            <w:bottom w:w="0" w:type="dxa"/>
            <w:right w:w="17" w:type="dxa"/>
          </w:tblCellMar>
        </w:tblPrEx>
        <w:trPr>
          <w:trHeight w:val="23" w:hRule="atLeast"/>
          <w:jc w:val="center"/>
        </w:trPr>
        <w:tc>
          <w:tcPr>
            <w:tcW w:w="288" w:type="pct"/>
            <w:vMerge w:val="continue"/>
            <w:noWrap w:val="0"/>
            <w:vAlign w:val="center"/>
          </w:tcPr>
          <w:p w14:paraId="00D092C7">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none"/>
                <w:lang w:val="en-US" w:eastAsia="zh-CN"/>
              </w:rPr>
            </w:pPr>
          </w:p>
        </w:tc>
        <w:tc>
          <w:tcPr>
            <w:tcW w:w="586" w:type="pct"/>
            <w:vMerge w:val="continue"/>
            <w:shd w:val="clear" w:color="auto" w:fill="auto"/>
            <w:noWrap w:val="0"/>
            <w:vAlign w:val="center"/>
          </w:tcPr>
          <w:p w14:paraId="7C57D91F">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none"/>
                <w:lang w:val="en-US" w:eastAsia="zh-CN"/>
              </w:rPr>
            </w:pPr>
          </w:p>
        </w:tc>
        <w:tc>
          <w:tcPr>
            <w:tcW w:w="1139" w:type="pct"/>
            <w:shd w:val="clear" w:color="auto" w:fill="auto"/>
            <w:noWrap w:val="0"/>
            <w:vAlign w:val="center"/>
          </w:tcPr>
          <w:p w14:paraId="4D769997">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1,1,1-三氯乙烷</w:t>
            </w:r>
          </w:p>
        </w:tc>
        <w:tc>
          <w:tcPr>
            <w:tcW w:w="514" w:type="pct"/>
            <w:shd w:val="clear" w:color="auto" w:fill="auto"/>
            <w:noWrap w:val="0"/>
            <w:vAlign w:val="center"/>
          </w:tcPr>
          <w:p w14:paraId="6F58FAF3">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mg/kg</w:t>
            </w:r>
          </w:p>
        </w:tc>
        <w:tc>
          <w:tcPr>
            <w:tcW w:w="772" w:type="pct"/>
            <w:shd w:val="clear" w:color="auto" w:fill="auto"/>
            <w:noWrap w:val="0"/>
            <w:vAlign w:val="center"/>
          </w:tcPr>
          <w:p w14:paraId="4F8C071C">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ND</w:t>
            </w:r>
          </w:p>
        </w:tc>
        <w:tc>
          <w:tcPr>
            <w:tcW w:w="529" w:type="pct"/>
            <w:shd w:val="clear" w:color="auto" w:fill="auto"/>
            <w:noWrap w:val="0"/>
            <w:vAlign w:val="center"/>
          </w:tcPr>
          <w:p w14:paraId="30133930">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0</w:t>
            </w:r>
          </w:p>
        </w:tc>
        <w:tc>
          <w:tcPr>
            <w:tcW w:w="525" w:type="pct"/>
            <w:shd w:val="clear" w:color="auto" w:fill="auto"/>
            <w:noWrap w:val="0"/>
            <w:vAlign w:val="center"/>
          </w:tcPr>
          <w:p w14:paraId="7A94CBE5">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达标</w:t>
            </w:r>
          </w:p>
        </w:tc>
        <w:tc>
          <w:tcPr>
            <w:tcW w:w="644" w:type="pct"/>
            <w:shd w:val="clear" w:color="auto" w:fill="auto"/>
            <w:noWrap w:val="0"/>
            <w:vAlign w:val="center"/>
          </w:tcPr>
          <w:p w14:paraId="7FAF4278">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840</w:t>
            </w:r>
          </w:p>
        </w:tc>
      </w:tr>
      <w:tr w14:paraId="763AB11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7" w:type="dxa"/>
            <w:bottom w:w="0" w:type="dxa"/>
            <w:right w:w="17" w:type="dxa"/>
          </w:tblCellMar>
        </w:tblPrEx>
        <w:trPr>
          <w:trHeight w:val="23" w:hRule="atLeast"/>
          <w:jc w:val="center"/>
        </w:trPr>
        <w:tc>
          <w:tcPr>
            <w:tcW w:w="288" w:type="pct"/>
            <w:vMerge w:val="continue"/>
            <w:noWrap w:val="0"/>
            <w:vAlign w:val="center"/>
          </w:tcPr>
          <w:p w14:paraId="55504680">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none"/>
                <w:lang w:val="en-US" w:eastAsia="zh-CN"/>
              </w:rPr>
            </w:pPr>
          </w:p>
        </w:tc>
        <w:tc>
          <w:tcPr>
            <w:tcW w:w="586" w:type="pct"/>
            <w:vMerge w:val="continue"/>
            <w:shd w:val="clear" w:color="auto" w:fill="auto"/>
            <w:noWrap w:val="0"/>
            <w:vAlign w:val="center"/>
          </w:tcPr>
          <w:p w14:paraId="7181CCED">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none"/>
                <w:lang w:val="en-US" w:eastAsia="zh-CN"/>
              </w:rPr>
            </w:pPr>
          </w:p>
        </w:tc>
        <w:tc>
          <w:tcPr>
            <w:tcW w:w="1139" w:type="pct"/>
            <w:shd w:val="clear" w:color="auto" w:fill="auto"/>
            <w:noWrap w:val="0"/>
            <w:vAlign w:val="center"/>
          </w:tcPr>
          <w:p w14:paraId="4D992815">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四氯化碳</w:t>
            </w:r>
          </w:p>
        </w:tc>
        <w:tc>
          <w:tcPr>
            <w:tcW w:w="514" w:type="pct"/>
            <w:shd w:val="clear" w:color="auto" w:fill="auto"/>
            <w:noWrap w:val="0"/>
            <w:vAlign w:val="center"/>
          </w:tcPr>
          <w:p w14:paraId="78A4308B">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mg/kg</w:t>
            </w:r>
          </w:p>
        </w:tc>
        <w:tc>
          <w:tcPr>
            <w:tcW w:w="772" w:type="pct"/>
            <w:shd w:val="clear" w:color="auto" w:fill="auto"/>
            <w:noWrap w:val="0"/>
            <w:vAlign w:val="center"/>
          </w:tcPr>
          <w:p w14:paraId="5016BC68">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ND</w:t>
            </w:r>
          </w:p>
        </w:tc>
        <w:tc>
          <w:tcPr>
            <w:tcW w:w="529" w:type="pct"/>
            <w:shd w:val="clear" w:color="auto" w:fill="auto"/>
            <w:noWrap w:val="0"/>
            <w:vAlign w:val="center"/>
          </w:tcPr>
          <w:p w14:paraId="3C86DEEC">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0</w:t>
            </w:r>
          </w:p>
        </w:tc>
        <w:tc>
          <w:tcPr>
            <w:tcW w:w="525" w:type="pct"/>
            <w:shd w:val="clear" w:color="auto" w:fill="auto"/>
            <w:noWrap w:val="0"/>
            <w:vAlign w:val="center"/>
          </w:tcPr>
          <w:p w14:paraId="2EB8DC73">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达标</w:t>
            </w:r>
          </w:p>
        </w:tc>
        <w:tc>
          <w:tcPr>
            <w:tcW w:w="644" w:type="pct"/>
            <w:shd w:val="clear" w:color="auto" w:fill="auto"/>
            <w:noWrap w:val="0"/>
            <w:vAlign w:val="center"/>
          </w:tcPr>
          <w:p w14:paraId="7C0C7774">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2.8</w:t>
            </w:r>
          </w:p>
        </w:tc>
      </w:tr>
      <w:tr w14:paraId="5B7ED0F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7" w:type="dxa"/>
            <w:bottom w:w="0" w:type="dxa"/>
            <w:right w:w="17" w:type="dxa"/>
          </w:tblCellMar>
        </w:tblPrEx>
        <w:trPr>
          <w:trHeight w:val="23" w:hRule="atLeast"/>
          <w:jc w:val="center"/>
        </w:trPr>
        <w:tc>
          <w:tcPr>
            <w:tcW w:w="288" w:type="pct"/>
            <w:vMerge w:val="continue"/>
            <w:noWrap w:val="0"/>
            <w:vAlign w:val="center"/>
          </w:tcPr>
          <w:p w14:paraId="500B07A4">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none"/>
                <w:lang w:val="en-US" w:eastAsia="zh-CN"/>
              </w:rPr>
            </w:pPr>
          </w:p>
        </w:tc>
        <w:tc>
          <w:tcPr>
            <w:tcW w:w="586" w:type="pct"/>
            <w:vMerge w:val="continue"/>
            <w:shd w:val="clear" w:color="auto" w:fill="auto"/>
            <w:noWrap w:val="0"/>
            <w:vAlign w:val="center"/>
          </w:tcPr>
          <w:p w14:paraId="517AB5DE">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none"/>
                <w:lang w:val="en-US" w:eastAsia="zh-CN"/>
              </w:rPr>
            </w:pPr>
          </w:p>
        </w:tc>
        <w:tc>
          <w:tcPr>
            <w:tcW w:w="1139" w:type="pct"/>
            <w:shd w:val="clear" w:color="auto" w:fill="auto"/>
            <w:noWrap w:val="0"/>
            <w:vAlign w:val="center"/>
          </w:tcPr>
          <w:p w14:paraId="7F359849">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苯</w:t>
            </w:r>
          </w:p>
        </w:tc>
        <w:tc>
          <w:tcPr>
            <w:tcW w:w="514" w:type="pct"/>
            <w:shd w:val="clear" w:color="auto" w:fill="auto"/>
            <w:noWrap w:val="0"/>
            <w:vAlign w:val="center"/>
          </w:tcPr>
          <w:p w14:paraId="771C5316">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mg/kg</w:t>
            </w:r>
          </w:p>
        </w:tc>
        <w:tc>
          <w:tcPr>
            <w:tcW w:w="772" w:type="pct"/>
            <w:shd w:val="clear" w:color="auto" w:fill="auto"/>
            <w:noWrap w:val="0"/>
            <w:vAlign w:val="center"/>
          </w:tcPr>
          <w:p w14:paraId="6C5F56A3">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ND</w:t>
            </w:r>
          </w:p>
        </w:tc>
        <w:tc>
          <w:tcPr>
            <w:tcW w:w="529" w:type="pct"/>
            <w:shd w:val="clear" w:color="auto" w:fill="auto"/>
            <w:noWrap w:val="0"/>
            <w:vAlign w:val="center"/>
          </w:tcPr>
          <w:p w14:paraId="288A481C">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0</w:t>
            </w:r>
          </w:p>
        </w:tc>
        <w:tc>
          <w:tcPr>
            <w:tcW w:w="525" w:type="pct"/>
            <w:shd w:val="clear" w:color="auto" w:fill="auto"/>
            <w:noWrap w:val="0"/>
            <w:vAlign w:val="center"/>
          </w:tcPr>
          <w:p w14:paraId="4CBFAA58">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达标</w:t>
            </w:r>
          </w:p>
        </w:tc>
        <w:tc>
          <w:tcPr>
            <w:tcW w:w="644" w:type="pct"/>
            <w:shd w:val="clear" w:color="auto" w:fill="auto"/>
            <w:noWrap w:val="0"/>
            <w:vAlign w:val="center"/>
          </w:tcPr>
          <w:p w14:paraId="7C52B9E4">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4</w:t>
            </w:r>
          </w:p>
        </w:tc>
      </w:tr>
      <w:tr w14:paraId="294803C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7" w:type="dxa"/>
            <w:bottom w:w="0" w:type="dxa"/>
            <w:right w:w="17" w:type="dxa"/>
          </w:tblCellMar>
        </w:tblPrEx>
        <w:trPr>
          <w:trHeight w:val="23" w:hRule="atLeast"/>
          <w:jc w:val="center"/>
        </w:trPr>
        <w:tc>
          <w:tcPr>
            <w:tcW w:w="288" w:type="pct"/>
            <w:vMerge w:val="continue"/>
            <w:noWrap w:val="0"/>
            <w:vAlign w:val="center"/>
          </w:tcPr>
          <w:p w14:paraId="1EB51A95">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none"/>
                <w:lang w:val="en-US" w:eastAsia="zh-CN"/>
              </w:rPr>
            </w:pPr>
          </w:p>
        </w:tc>
        <w:tc>
          <w:tcPr>
            <w:tcW w:w="586" w:type="pct"/>
            <w:vMerge w:val="continue"/>
            <w:shd w:val="clear" w:color="auto" w:fill="auto"/>
            <w:noWrap w:val="0"/>
            <w:vAlign w:val="center"/>
          </w:tcPr>
          <w:p w14:paraId="70287C0F">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none"/>
                <w:lang w:val="en-US" w:eastAsia="zh-CN"/>
              </w:rPr>
            </w:pPr>
          </w:p>
        </w:tc>
        <w:tc>
          <w:tcPr>
            <w:tcW w:w="1139" w:type="pct"/>
            <w:shd w:val="clear" w:color="auto" w:fill="auto"/>
            <w:noWrap w:val="0"/>
            <w:vAlign w:val="center"/>
          </w:tcPr>
          <w:p w14:paraId="00AB6203">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1,2-二氯乙烷</w:t>
            </w:r>
          </w:p>
        </w:tc>
        <w:tc>
          <w:tcPr>
            <w:tcW w:w="514" w:type="pct"/>
            <w:shd w:val="clear" w:color="auto" w:fill="auto"/>
            <w:noWrap w:val="0"/>
            <w:vAlign w:val="center"/>
          </w:tcPr>
          <w:p w14:paraId="728A4B89">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mg/kg</w:t>
            </w:r>
          </w:p>
        </w:tc>
        <w:tc>
          <w:tcPr>
            <w:tcW w:w="772" w:type="pct"/>
            <w:shd w:val="clear" w:color="auto" w:fill="auto"/>
            <w:noWrap w:val="0"/>
            <w:vAlign w:val="center"/>
          </w:tcPr>
          <w:p w14:paraId="0F9D28EB">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ND</w:t>
            </w:r>
          </w:p>
        </w:tc>
        <w:tc>
          <w:tcPr>
            <w:tcW w:w="529" w:type="pct"/>
            <w:shd w:val="clear" w:color="auto" w:fill="auto"/>
            <w:noWrap w:val="0"/>
            <w:vAlign w:val="center"/>
          </w:tcPr>
          <w:p w14:paraId="006FDFDD">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0</w:t>
            </w:r>
          </w:p>
        </w:tc>
        <w:tc>
          <w:tcPr>
            <w:tcW w:w="525" w:type="pct"/>
            <w:shd w:val="clear" w:color="auto" w:fill="auto"/>
            <w:noWrap w:val="0"/>
            <w:vAlign w:val="center"/>
          </w:tcPr>
          <w:p w14:paraId="04EB4017">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达标</w:t>
            </w:r>
          </w:p>
        </w:tc>
        <w:tc>
          <w:tcPr>
            <w:tcW w:w="644" w:type="pct"/>
            <w:shd w:val="clear" w:color="auto" w:fill="auto"/>
            <w:noWrap w:val="0"/>
            <w:vAlign w:val="center"/>
          </w:tcPr>
          <w:p w14:paraId="3A4D212B">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5</w:t>
            </w:r>
          </w:p>
        </w:tc>
      </w:tr>
      <w:tr w14:paraId="415DFC5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7" w:type="dxa"/>
            <w:bottom w:w="0" w:type="dxa"/>
            <w:right w:w="17" w:type="dxa"/>
          </w:tblCellMar>
        </w:tblPrEx>
        <w:trPr>
          <w:trHeight w:val="23" w:hRule="atLeast"/>
          <w:jc w:val="center"/>
        </w:trPr>
        <w:tc>
          <w:tcPr>
            <w:tcW w:w="288" w:type="pct"/>
            <w:vMerge w:val="continue"/>
            <w:noWrap w:val="0"/>
            <w:vAlign w:val="center"/>
          </w:tcPr>
          <w:p w14:paraId="0E91475F">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none"/>
                <w:lang w:val="en-US" w:eastAsia="zh-CN"/>
              </w:rPr>
            </w:pPr>
          </w:p>
        </w:tc>
        <w:tc>
          <w:tcPr>
            <w:tcW w:w="586" w:type="pct"/>
            <w:vMerge w:val="continue"/>
            <w:shd w:val="clear" w:color="auto" w:fill="auto"/>
            <w:noWrap w:val="0"/>
            <w:vAlign w:val="center"/>
          </w:tcPr>
          <w:p w14:paraId="228007CC">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none"/>
                <w:lang w:val="en-US" w:eastAsia="zh-CN"/>
              </w:rPr>
            </w:pPr>
          </w:p>
        </w:tc>
        <w:tc>
          <w:tcPr>
            <w:tcW w:w="1139" w:type="pct"/>
            <w:shd w:val="clear" w:color="auto" w:fill="auto"/>
            <w:noWrap w:val="0"/>
            <w:vAlign w:val="center"/>
          </w:tcPr>
          <w:p w14:paraId="60F5FAB1">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三氯乙烯</w:t>
            </w:r>
          </w:p>
        </w:tc>
        <w:tc>
          <w:tcPr>
            <w:tcW w:w="514" w:type="pct"/>
            <w:shd w:val="clear" w:color="auto" w:fill="auto"/>
            <w:noWrap w:val="0"/>
            <w:vAlign w:val="center"/>
          </w:tcPr>
          <w:p w14:paraId="31F0CF2D">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mg/kg</w:t>
            </w:r>
          </w:p>
        </w:tc>
        <w:tc>
          <w:tcPr>
            <w:tcW w:w="772" w:type="pct"/>
            <w:shd w:val="clear" w:color="auto" w:fill="auto"/>
            <w:noWrap w:val="0"/>
            <w:vAlign w:val="center"/>
          </w:tcPr>
          <w:p w14:paraId="58F85062">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ND</w:t>
            </w:r>
          </w:p>
        </w:tc>
        <w:tc>
          <w:tcPr>
            <w:tcW w:w="529" w:type="pct"/>
            <w:shd w:val="clear" w:color="auto" w:fill="auto"/>
            <w:noWrap w:val="0"/>
            <w:vAlign w:val="center"/>
          </w:tcPr>
          <w:p w14:paraId="571165EE">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0</w:t>
            </w:r>
          </w:p>
        </w:tc>
        <w:tc>
          <w:tcPr>
            <w:tcW w:w="525" w:type="pct"/>
            <w:shd w:val="clear" w:color="auto" w:fill="auto"/>
            <w:noWrap w:val="0"/>
            <w:vAlign w:val="center"/>
          </w:tcPr>
          <w:p w14:paraId="462FACBF">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达标</w:t>
            </w:r>
          </w:p>
        </w:tc>
        <w:tc>
          <w:tcPr>
            <w:tcW w:w="644" w:type="pct"/>
            <w:shd w:val="clear" w:color="auto" w:fill="auto"/>
            <w:noWrap w:val="0"/>
            <w:vAlign w:val="center"/>
          </w:tcPr>
          <w:p w14:paraId="3473B60C">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2.8</w:t>
            </w:r>
          </w:p>
        </w:tc>
      </w:tr>
      <w:tr w14:paraId="397A873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7" w:type="dxa"/>
            <w:bottom w:w="0" w:type="dxa"/>
            <w:right w:w="17" w:type="dxa"/>
          </w:tblCellMar>
        </w:tblPrEx>
        <w:trPr>
          <w:trHeight w:val="23" w:hRule="atLeast"/>
          <w:jc w:val="center"/>
        </w:trPr>
        <w:tc>
          <w:tcPr>
            <w:tcW w:w="288" w:type="pct"/>
            <w:vMerge w:val="continue"/>
            <w:noWrap w:val="0"/>
            <w:vAlign w:val="center"/>
          </w:tcPr>
          <w:p w14:paraId="78DC4420">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none"/>
                <w:lang w:val="en-US" w:eastAsia="zh-CN"/>
              </w:rPr>
            </w:pPr>
          </w:p>
        </w:tc>
        <w:tc>
          <w:tcPr>
            <w:tcW w:w="586" w:type="pct"/>
            <w:vMerge w:val="continue"/>
            <w:shd w:val="clear" w:color="auto" w:fill="auto"/>
            <w:noWrap w:val="0"/>
            <w:vAlign w:val="center"/>
          </w:tcPr>
          <w:p w14:paraId="1DCBF395">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none"/>
                <w:lang w:val="en-US" w:eastAsia="zh-CN"/>
              </w:rPr>
            </w:pPr>
          </w:p>
        </w:tc>
        <w:tc>
          <w:tcPr>
            <w:tcW w:w="1139" w:type="pct"/>
            <w:shd w:val="clear" w:color="auto" w:fill="auto"/>
            <w:noWrap w:val="0"/>
            <w:vAlign w:val="center"/>
          </w:tcPr>
          <w:p w14:paraId="3D333339">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1,2-二氯丙烷</w:t>
            </w:r>
          </w:p>
        </w:tc>
        <w:tc>
          <w:tcPr>
            <w:tcW w:w="514" w:type="pct"/>
            <w:shd w:val="clear" w:color="auto" w:fill="auto"/>
            <w:noWrap w:val="0"/>
            <w:vAlign w:val="center"/>
          </w:tcPr>
          <w:p w14:paraId="270C9883">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mg/kg</w:t>
            </w:r>
          </w:p>
        </w:tc>
        <w:tc>
          <w:tcPr>
            <w:tcW w:w="772" w:type="pct"/>
            <w:shd w:val="clear" w:color="auto" w:fill="auto"/>
            <w:noWrap w:val="0"/>
            <w:vAlign w:val="center"/>
          </w:tcPr>
          <w:p w14:paraId="79D6EC25">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ND</w:t>
            </w:r>
          </w:p>
        </w:tc>
        <w:tc>
          <w:tcPr>
            <w:tcW w:w="529" w:type="pct"/>
            <w:shd w:val="clear" w:color="auto" w:fill="auto"/>
            <w:noWrap w:val="0"/>
            <w:vAlign w:val="center"/>
          </w:tcPr>
          <w:p w14:paraId="4F441468">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0</w:t>
            </w:r>
          </w:p>
        </w:tc>
        <w:tc>
          <w:tcPr>
            <w:tcW w:w="525" w:type="pct"/>
            <w:shd w:val="clear" w:color="auto" w:fill="auto"/>
            <w:noWrap w:val="0"/>
            <w:vAlign w:val="center"/>
          </w:tcPr>
          <w:p w14:paraId="67435435">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达标</w:t>
            </w:r>
          </w:p>
        </w:tc>
        <w:tc>
          <w:tcPr>
            <w:tcW w:w="644" w:type="pct"/>
            <w:shd w:val="clear" w:color="auto" w:fill="auto"/>
            <w:noWrap w:val="0"/>
            <w:vAlign w:val="center"/>
          </w:tcPr>
          <w:p w14:paraId="3D26C3B5">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5</w:t>
            </w:r>
          </w:p>
        </w:tc>
      </w:tr>
      <w:tr w14:paraId="5272EE2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7" w:type="dxa"/>
            <w:bottom w:w="0" w:type="dxa"/>
            <w:right w:w="17" w:type="dxa"/>
          </w:tblCellMar>
        </w:tblPrEx>
        <w:trPr>
          <w:trHeight w:val="23" w:hRule="atLeast"/>
          <w:jc w:val="center"/>
        </w:trPr>
        <w:tc>
          <w:tcPr>
            <w:tcW w:w="288" w:type="pct"/>
            <w:vMerge w:val="continue"/>
            <w:noWrap w:val="0"/>
            <w:vAlign w:val="center"/>
          </w:tcPr>
          <w:p w14:paraId="7BF72172">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none"/>
                <w:lang w:val="en-US" w:eastAsia="zh-CN"/>
              </w:rPr>
            </w:pPr>
          </w:p>
        </w:tc>
        <w:tc>
          <w:tcPr>
            <w:tcW w:w="586" w:type="pct"/>
            <w:vMerge w:val="continue"/>
            <w:shd w:val="clear" w:color="auto" w:fill="auto"/>
            <w:noWrap w:val="0"/>
            <w:vAlign w:val="center"/>
          </w:tcPr>
          <w:p w14:paraId="04FE786B">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none"/>
                <w:lang w:val="en-US" w:eastAsia="zh-CN"/>
              </w:rPr>
            </w:pPr>
          </w:p>
        </w:tc>
        <w:tc>
          <w:tcPr>
            <w:tcW w:w="1139" w:type="pct"/>
            <w:shd w:val="clear" w:color="auto" w:fill="auto"/>
            <w:noWrap w:val="0"/>
            <w:vAlign w:val="center"/>
          </w:tcPr>
          <w:p w14:paraId="553DB201">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甲苯</w:t>
            </w:r>
          </w:p>
        </w:tc>
        <w:tc>
          <w:tcPr>
            <w:tcW w:w="514" w:type="pct"/>
            <w:shd w:val="clear" w:color="auto" w:fill="auto"/>
            <w:noWrap w:val="0"/>
            <w:vAlign w:val="center"/>
          </w:tcPr>
          <w:p w14:paraId="7762397A">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mg/kg</w:t>
            </w:r>
          </w:p>
        </w:tc>
        <w:tc>
          <w:tcPr>
            <w:tcW w:w="772" w:type="pct"/>
            <w:shd w:val="clear" w:color="auto" w:fill="auto"/>
            <w:noWrap w:val="0"/>
            <w:vAlign w:val="center"/>
          </w:tcPr>
          <w:p w14:paraId="48E43088">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ND</w:t>
            </w:r>
          </w:p>
        </w:tc>
        <w:tc>
          <w:tcPr>
            <w:tcW w:w="529" w:type="pct"/>
            <w:shd w:val="clear" w:color="auto" w:fill="auto"/>
            <w:noWrap w:val="0"/>
            <w:vAlign w:val="center"/>
          </w:tcPr>
          <w:p w14:paraId="43E044F9">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0</w:t>
            </w:r>
          </w:p>
        </w:tc>
        <w:tc>
          <w:tcPr>
            <w:tcW w:w="525" w:type="pct"/>
            <w:shd w:val="clear" w:color="auto" w:fill="auto"/>
            <w:noWrap w:val="0"/>
            <w:vAlign w:val="center"/>
          </w:tcPr>
          <w:p w14:paraId="55746039">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达标</w:t>
            </w:r>
          </w:p>
        </w:tc>
        <w:tc>
          <w:tcPr>
            <w:tcW w:w="644" w:type="pct"/>
            <w:shd w:val="clear" w:color="auto" w:fill="auto"/>
            <w:noWrap w:val="0"/>
            <w:vAlign w:val="center"/>
          </w:tcPr>
          <w:p w14:paraId="05D1115A">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1200</w:t>
            </w:r>
          </w:p>
        </w:tc>
      </w:tr>
      <w:tr w14:paraId="56F3030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7" w:type="dxa"/>
            <w:bottom w:w="0" w:type="dxa"/>
            <w:right w:w="17" w:type="dxa"/>
          </w:tblCellMar>
        </w:tblPrEx>
        <w:trPr>
          <w:trHeight w:val="23" w:hRule="atLeast"/>
          <w:jc w:val="center"/>
        </w:trPr>
        <w:tc>
          <w:tcPr>
            <w:tcW w:w="288" w:type="pct"/>
            <w:vMerge w:val="continue"/>
            <w:noWrap w:val="0"/>
            <w:vAlign w:val="center"/>
          </w:tcPr>
          <w:p w14:paraId="3F0C2147">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none"/>
                <w:lang w:val="en-US" w:eastAsia="zh-CN"/>
              </w:rPr>
            </w:pPr>
          </w:p>
        </w:tc>
        <w:tc>
          <w:tcPr>
            <w:tcW w:w="586" w:type="pct"/>
            <w:vMerge w:val="continue"/>
            <w:shd w:val="clear" w:color="auto" w:fill="auto"/>
            <w:noWrap w:val="0"/>
            <w:vAlign w:val="center"/>
          </w:tcPr>
          <w:p w14:paraId="40587BE6">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none"/>
                <w:lang w:val="en-US" w:eastAsia="zh-CN"/>
              </w:rPr>
            </w:pPr>
          </w:p>
        </w:tc>
        <w:tc>
          <w:tcPr>
            <w:tcW w:w="1139" w:type="pct"/>
            <w:shd w:val="clear" w:color="auto" w:fill="auto"/>
            <w:noWrap w:val="0"/>
            <w:vAlign w:val="center"/>
          </w:tcPr>
          <w:p w14:paraId="7D4C1132">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1,1,2-三氯乙烷</w:t>
            </w:r>
          </w:p>
        </w:tc>
        <w:tc>
          <w:tcPr>
            <w:tcW w:w="514" w:type="pct"/>
            <w:shd w:val="clear" w:color="auto" w:fill="auto"/>
            <w:noWrap w:val="0"/>
            <w:vAlign w:val="center"/>
          </w:tcPr>
          <w:p w14:paraId="137729FF">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mg/kg</w:t>
            </w:r>
          </w:p>
        </w:tc>
        <w:tc>
          <w:tcPr>
            <w:tcW w:w="772" w:type="pct"/>
            <w:shd w:val="clear" w:color="auto" w:fill="auto"/>
            <w:noWrap w:val="0"/>
            <w:vAlign w:val="center"/>
          </w:tcPr>
          <w:p w14:paraId="0C6DE0F5">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ND</w:t>
            </w:r>
          </w:p>
        </w:tc>
        <w:tc>
          <w:tcPr>
            <w:tcW w:w="529" w:type="pct"/>
            <w:shd w:val="clear" w:color="auto" w:fill="auto"/>
            <w:noWrap w:val="0"/>
            <w:vAlign w:val="center"/>
          </w:tcPr>
          <w:p w14:paraId="27690AE0">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0</w:t>
            </w:r>
          </w:p>
        </w:tc>
        <w:tc>
          <w:tcPr>
            <w:tcW w:w="525" w:type="pct"/>
            <w:shd w:val="clear" w:color="auto" w:fill="auto"/>
            <w:noWrap w:val="0"/>
            <w:vAlign w:val="center"/>
          </w:tcPr>
          <w:p w14:paraId="07E16543">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达标</w:t>
            </w:r>
          </w:p>
        </w:tc>
        <w:tc>
          <w:tcPr>
            <w:tcW w:w="644" w:type="pct"/>
            <w:shd w:val="clear" w:color="auto" w:fill="auto"/>
            <w:noWrap w:val="0"/>
            <w:vAlign w:val="center"/>
          </w:tcPr>
          <w:p w14:paraId="0CD3D88F">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2.8</w:t>
            </w:r>
          </w:p>
        </w:tc>
      </w:tr>
      <w:tr w14:paraId="13B4061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7" w:type="dxa"/>
            <w:bottom w:w="0" w:type="dxa"/>
            <w:right w:w="17" w:type="dxa"/>
          </w:tblCellMar>
        </w:tblPrEx>
        <w:trPr>
          <w:trHeight w:val="23" w:hRule="atLeast"/>
          <w:jc w:val="center"/>
        </w:trPr>
        <w:tc>
          <w:tcPr>
            <w:tcW w:w="288" w:type="pct"/>
            <w:vMerge w:val="continue"/>
            <w:noWrap w:val="0"/>
            <w:vAlign w:val="center"/>
          </w:tcPr>
          <w:p w14:paraId="20B8E4D3">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none"/>
                <w:lang w:val="en-US" w:eastAsia="zh-CN"/>
              </w:rPr>
            </w:pPr>
          </w:p>
        </w:tc>
        <w:tc>
          <w:tcPr>
            <w:tcW w:w="586" w:type="pct"/>
            <w:vMerge w:val="continue"/>
            <w:shd w:val="clear" w:color="auto" w:fill="auto"/>
            <w:noWrap w:val="0"/>
            <w:vAlign w:val="center"/>
          </w:tcPr>
          <w:p w14:paraId="761B1B63">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none"/>
                <w:lang w:val="en-US" w:eastAsia="zh-CN"/>
              </w:rPr>
            </w:pPr>
          </w:p>
        </w:tc>
        <w:tc>
          <w:tcPr>
            <w:tcW w:w="1139" w:type="pct"/>
            <w:shd w:val="clear" w:color="auto" w:fill="auto"/>
            <w:noWrap w:val="0"/>
            <w:vAlign w:val="center"/>
          </w:tcPr>
          <w:p w14:paraId="0A3C9D8C">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四氯乙烯</w:t>
            </w:r>
          </w:p>
        </w:tc>
        <w:tc>
          <w:tcPr>
            <w:tcW w:w="514" w:type="pct"/>
            <w:shd w:val="clear" w:color="auto" w:fill="auto"/>
            <w:noWrap w:val="0"/>
            <w:vAlign w:val="center"/>
          </w:tcPr>
          <w:p w14:paraId="71847FF5">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mg/kg</w:t>
            </w:r>
          </w:p>
        </w:tc>
        <w:tc>
          <w:tcPr>
            <w:tcW w:w="772" w:type="pct"/>
            <w:shd w:val="clear" w:color="auto" w:fill="auto"/>
            <w:noWrap w:val="0"/>
            <w:vAlign w:val="center"/>
          </w:tcPr>
          <w:p w14:paraId="0FA50C91">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ND</w:t>
            </w:r>
          </w:p>
        </w:tc>
        <w:tc>
          <w:tcPr>
            <w:tcW w:w="529" w:type="pct"/>
            <w:shd w:val="clear" w:color="auto" w:fill="auto"/>
            <w:noWrap w:val="0"/>
            <w:vAlign w:val="center"/>
          </w:tcPr>
          <w:p w14:paraId="1C83A4BA">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0</w:t>
            </w:r>
          </w:p>
        </w:tc>
        <w:tc>
          <w:tcPr>
            <w:tcW w:w="525" w:type="pct"/>
            <w:shd w:val="clear" w:color="auto" w:fill="auto"/>
            <w:noWrap w:val="0"/>
            <w:vAlign w:val="center"/>
          </w:tcPr>
          <w:p w14:paraId="50F0FF34">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达标</w:t>
            </w:r>
          </w:p>
        </w:tc>
        <w:tc>
          <w:tcPr>
            <w:tcW w:w="644" w:type="pct"/>
            <w:shd w:val="clear" w:color="auto" w:fill="auto"/>
            <w:noWrap w:val="0"/>
            <w:vAlign w:val="center"/>
          </w:tcPr>
          <w:p w14:paraId="7798056C">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53</w:t>
            </w:r>
          </w:p>
        </w:tc>
      </w:tr>
      <w:tr w14:paraId="1B2B489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7" w:type="dxa"/>
            <w:bottom w:w="0" w:type="dxa"/>
            <w:right w:w="17" w:type="dxa"/>
          </w:tblCellMar>
        </w:tblPrEx>
        <w:trPr>
          <w:trHeight w:val="23" w:hRule="atLeast"/>
          <w:jc w:val="center"/>
        </w:trPr>
        <w:tc>
          <w:tcPr>
            <w:tcW w:w="288" w:type="pct"/>
            <w:vMerge w:val="continue"/>
            <w:noWrap w:val="0"/>
            <w:vAlign w:val="center"/>
          </w:tcPr>
          <w:p w14:paraId="4EC9B1FB">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none"/>
                <w:lang w:val="en-US" w:eastAsia="zh-CN"/>
              </w:rPr>
            </w:pPr>
          </w:p>
        </w:tc>
        <w:tc>
          <w:tcPr>
            <w:tcW w:w="586" w:type="pct"/>
            <w:vMerge w:val="continue"/>
            <w:shd w:val="clear" w:color="auto" w:fill="auto"/>
            <w:noWrap w:val="0"/>
            <w:vAlign w:val="center"/>
          </w:tcPr>
          <w:p w14:paraId="21BB9949">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none"/>
                <w:lang w:val="en-US" w:eastAsia="zh-CN"/>
              </w:rPr>
            </w:pPr>
          </w:p>
        </w:tc>
        <w:tc>
          <w:tcPr>
            <w:tcW w:w="1139" w:type="pct"/>
            <w:shd w:val="clear" w:color="auto" w:fill="auto"/>
            <w:noWrap w:val="0"/>
            <w:vAlign w:val="center"/>
          </w:tcPr>
          <w:p w14:paraId="2D2317ED">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氯苯</w:t>
            </w:r>
          </w:p>
        </w:tc>
        <w:tc>
          <w:tcPr>
            <w:tcW w:w="514" w:type="pct"/>
            <w:shd w:val="clear" w:color="auto" w:fill="auto"/>
            <w:noWrap w:val="0"/>
            <w:vAlign w:val="center"/>
          </w:tcPr>
          <w:p w14:paraId="4420D477">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mg/kg</w:t>
            </w:r>
          </w:p>
        </w:tc>
        <w:tc>
          <w:tcPr>
            <w:tcW w:w="772" w:type="pct"/>
            <w:shd w:val="clear" w:color="auto" w:fill="auto"/>
            <w:noWrap w:val="0"/>
            <w:vAlign w:val="center"/>
          </w:tcPr>
          <w:p w14:paraId="212606B0">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ND</w:t>
            </w:r>
          </w:p>
        </w:tc>
        <w:tc>
          <w:tcPr>
            <w:tcW w:w="529" w:type="pct"/>
            <w:shd w:val="clear" w:color="auto" w:fill="auto"/>
            <w:noWrap w:val="0"/>
            <w:vAlign w:val="center"/>
          </w:tcPr>
          <w:p w14:paraId="0B3D3082">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0</w:t>
            </w:r>
          </w:p>
        </w:tc>
        <w:tc>
          <w:tcPr>
            <w:tcW w:w="525" w:type="pct"/>
            <w:shd w:val="clear" w:color="auto" w:fill="auto"/>
            <w:noWrap w:val="0"/>
            <w:vAlign w:val="center"/>
          </w:tcPr>
          <w:p w14:paraId="1457506D">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达标</w:t>
            </w:r>
          </w:p>
        </w:tc>
        <w:tc>
          <w:tcPr>
            <w:tcW w:w="644" w:type="pct"/>
            <w:shd w:val="clear" w:color="auto" w:fill="auto"/>
            <w:noWrap w:val="0"/>
            <w:vAlign w:val="center"/>
          </w:tcPr>
          <w:p w14:paraId="204DC1AB">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270</w:t>
            </w:r>
          </w:p>
        </w:tc>
      </w:tr>
      <w:tr w14:paraId="1C23F40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7" w:type="dxa"/>
            <w:bottom w:w="0" w:type="dxa"/>
            <w:right w:w="17" w:type="dxa"/>
          </w:tblCellMar>
        </w:tblPrEx>
        <w:trPr>
          <w:trHeight w:val="23" w:hRule="atLeast"/>
          <w:jc w:val="center"/>
        </w:trPr>
        <w:tc>
          <w:tcPr>
            <w:tcW w:w="288" w:type="pct"/>
            <w:vMerge w:val="continue"/>
            <w:noWrap w:val="0"/>
            <w:vAlign w:val="center"/>
          </w:tcPr>
          <w:p w14:paraId="3B1DA8C5">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none"/>
                <w:lang w:val="en-US" w:eastAsia="zh-CN"/>
              </w:rPr>
            </w:pPr>
          </w:p>
        </w:tc>
        <w:tc>
          <w:tcPr>
            <w:tcW w:w="586" w:type="pct"/>
            <w:vMerge w:val="continue"/>
            <w:shd w:val="clear" w:color="auto" w:fill="auto"/>
            <w:noWrap w:val="0"/>
            <w:vAlign w:val="center"/>
          </w:tcPr>
          <w:p w14:paraId="7EF676BA">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none"/>
                <w:lang w:val="en-US" w:eastAsia="zh-CN"/>
              </w:rPr>
            </w:pPr>
          </w:p>
        </w:tc>
        <w:tc>
          <w:tcPr>
            <w:tcW w:w="1139" w:type="pct"/>
            <w:shd w:val="clear" w:color="auto" w:fill="auto"/>
            <w:noWrap w:val="0"/>
            <w:vAlign w:val="center"/>
          </w:tcPr>
          <w:p w14:paraId="1B92BEEA">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1,1,1,2-四氯乙烷</w:t>
            </w:r>
          </w:p>
        </w:tc>
        <w:tc>
          <w:tcPr>
            <w:tcW w:w="514" w:type="pct"/>
            <w:shd w:val="clear" w:color="auto" w:fill="auto"/>
            <w:noWrap w:val="0"/>
            <w:vAlign w:val="center"/>
          </w:tcPr>
          <w:p w14:paraId="3C743644">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mg/kg</w:t>
            </w:r>
          </w:p>
        </w:tc>
        <w:tc>
          <w:tcPr>
            <w:tcW w:w="772" w:type="pct"/>
            <w:shd w:val="clear" w:color="auto" w:fill="auto"/>
            <w:noWrap w:val="0"/>
            <w:vAlign w:val="center"/>
          </w:tcPr>
          <w:p w14:paraId="76D7BBA7">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ND</w:t>
            </w:r>
          </w:p>
        </w:tc>
        <w:tc>
          <w:tcPr>
            <w:tcW w:w="529" w:type="pct"/>
            <w:shd w:val="clear" w:color="auto" w:fill="auto"/>
            <w:noWrap w:val="0"/>
            <w:vAlign w:val="center"/>
          </w:tcPr>
          <w:p w14:paraId="0D7C7386">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0</w:t>
            </w:r>
          </w:p>
        </w:tc>
        <w:tc>
          <w:tcPr>
            <w:tcW w:w="525" w:type="pct"/>
            <w:shd w:val="clear" w:color="auto" w:fill="auto"/>
            <w:noWrap w:val="0"/>
            <w:vAlign w:val="center"/>
          </w:tcPr>
          <w:p w14:paraId="2CF7BB86">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达标</w:t>
            </w:r>
          </w:p>
        </w:tc>
        <w:tc>
          <w:tcPr>
            <w:tcW w:w="644" w:type="pct"/>
            <w:shd w:val="clear" w:color="auto" w:fill="auto"/>
            <w:noWrap w:val="0"/>
            <w:vAlign w:val="center"/>
          </w:tcPr>
          <w:p w14:paraId="6F8CF53A">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10</w:t>
            </w:r>
          </w:p>
        </w:tc>
      </w:tr>
      <w:tr w14:paraId="77D65A3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7" w:type="dxa"/>
            <w:bottom w:w="0" w:type="dxa"/>
            <w:right w:w="17" w:type="dxa"/>
          </w:tblCellMar>
        </w:tblPrEx>
        <w:trPr>
          <w:trHeight w:val="23" w:hRule="atLeast"/>
          <w:jc w:val="center"/>
        </w:trPr>
        <w:tc>
          <w:tcPr>
            <w:tcW w:w="288" w:type="pct"/>
            <w:vMerge w:val="continue"/>
            <w:noWrap w:val="0"/>
            <w:vAlign w:val="center"/>
          </w:tcPr>
          <w:p w14:paraId="04F051C0">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none"/>
                <w:lang w:val="en-US" w:eastAsia="zh-CN"/>
              </w:rPr>
            </w:pPr>
          </w:p>
        </w:tc>
        <w:tc>
          <w:tcPr>
            <w:tcW w:w="586" w:type="pct"/>
            <w:vMerge w:val="continue"/>
            <w:shd w:val="clear" w:color="auto" w:fill="auto"/>
            <w:noWrap w:val="0"/>
            <w:vAlign w:val="center"/>
          </w:tcPr>
          <w:p w14:paraId="28F995B6">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none"/>
                <w:lang w:val="en-US" w:eastAsia="zh-CN"/>
              </w:rPr>
            </w:pPr>
          </w:p>
        </w:tc>
        <w:tc>
          <w:tcPr>
            <w:tcW w:w="1139" w:type="pct"/>
            <w:shd w:val="clear" w:color="auto" w:fill="auto"/>
            <w:noWrap w:val="0"/>
            <w:vAlign w:val="center"/>
          </w:tcPr>
          <w:p w14:paraId="3D7CA14B">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乙苯</w:t>
            </w:r>
          </w:p>
        </w:tc>
        <w:tc>
          <w:tcPr>
            <w:tcW w:w="514" w:type="pct"/>
            <w:shd w:val="clear" w:color="auto" w:fill="auto"/>
            <w:noWrap w:val="0"/>
            <w:vAlign w:val="center"/>
          </w:tcPr>
          <w:p w14:paraId="14D2AD44">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mg/kg</w:t>
            </w:r>
          </w:p>
        </w:tc>
        <w:tc>
          <w:tcPr>
            <w:tcW w:w="772" w:type="pct"/>
            <w:shd w:val="clear" w:color="auto" w:fill="auto"/>
            <w:noWrap w:val="0"/>
            <w:vAlign w:val="center"/>
          </w:tcPr>
          <w:p w14:paraId="1F3D2111">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ND</w:t>
            </w:r>
          </w:p>
        </w:tc>
        <w:tc>
          <w:tcPr>
            <w:tcW w:w="529" w:type="pct"/>
            <w:shd w:val="clear" w:color="auto" w:fill="auto"/>
            <w:noWrap w:val="0"/>
            <w:vAlign w:val="center"/>
          </w:tcPr>
          <w:p w14:paraId="42207DF4">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0</w:t>
            </w:r>
          </w:p>
        </w:tc>
        <w:tc>
          <w:tcPr>
            <w:tcW w:w="525" w:type="pct"/>
            <w:shd w:val="clear" w:color="auto" w:fill="auto"/>
            <w:noWrap w:val="0"/>
            <w:vAlign w:val="center"/>
          </w:tcPr>
          <w:p w14:paraId="65136A13">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达标</w:t>
            </w:r>
          </w:p>
        </w:tc>
        <w:tc>
          <w:tcPr>
            <w:tcW w:w="644" w:type="pct"/>
            <w:shd w:val="clear" w:color="auto" w:fill="auto"/>
            <w:noWrap w:val="0"/>
            <w:vAlign w:val="center"/>
          </w:tcPr>
          <w:p w14:paraId="18797536">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28</w:t>
            </w:r>
          </w:p>
        </w:tc>
      </w:tr>
      <w:tr w14:paraId="252CA8B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7" w:type="dxa"/>
            <w:bottom w:w="0" w:type="dxa"/>
            <w:right w:w="17" w:type="dxa"/>
          </w:tblCellMar>
        </w:tblPrEx>
        <w:trPr>
          <w:trHeight w:val="23" w:hRule="atLeast"/>
          <w:jc w:val="center"/>
        </w:trPr>
        <w:tc>
          <w:tcPr>
            <w:tcW w:w="288" w:type="pct"/>
            <w:vMerge w:val="continue"/>
            <w:noWrap w:val="0"/>
            <w:vAlign w:val="center"/>
          </w:tcPr>
          <w:p w14:paraId="21A326F5">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none"/>
                <w:lang w:val="en-US" w:eastAsia="zh-CN"/>
              </w:rPr>
            </w:pPr>
          </w:p>
        </w:tc>
        <w:tc>
          <w:tcPr>
            <w:tcW w:w="586" w:type="pct"/>
            <w:vMerge w:val="continue"/>
            <w:shd w:val="clear" w:color="auto" w:fill="auto"/>
            <w:noWrap w:val="0"/>
            <w:vAlign w:val="center"/>
          </w:tcPr>
          <w:p w14:paraId="1289899C">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none"/>
                <w:lang w:val="en-US" w:eastAsia="zh-CN"/>
              </w:rPr>
            </w:pPr>
          </w:p>
        </w:tc>
        <w:tc>
          <w:tcPr>
            <w:tcW w:w="1139" w:type="pct"/>
            <w:shd w:val="clear" w:color="auto" w:fill="auto"/>
            <w:noWrap w:val="0"/>
            <w:vAlign w:val="center"/>
          </w:tcPr>
          <w:p w14:paraId="07549A64">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间二甲苯+对二甲苯</w:t>
            </w:r>
          </w:p>
        </w:tc>
        <w:tc>
          <w:tcPr>
            <w:tcW w:w="514" w:type="pct"/>
            <w:shd w:val="clear" w:color="auto" w:fill="auto"/>
            <w:noWrap w:val="0"/>
            <w:vAlign w:val="center"/>
          </w:tcPr>
          <w:p w14:paraId="5F80D363">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mg/kg</w:t>
            </w:r>
          </w:p>
        </w:tc>
        <w:tc>
          <w:tcPr>
            <w:tcW w:w="772" w:type="pct"/>
            <w:shd w:val="clear" w:color="auto" w:fill="auto"/>
            <w:noWrap w:val="0"/>
            <w:vAlign w:val="center"/>
          </w:tcPr>
          <w:p w14:paraId="4AC2B01E">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ND</w:t>
            </w:r>
          </w:p>
        </w:tc>
        <w:tc>
          <w:tcPr>
            <w:tcW w:w="529" w:type="pct"/>
            <w:shd w:val="clear" w:color="auto" w:fill="auto"/>
            <w:noWrap w:val="0"/>
            <w:vAlign w:val="center"/>
          </w:tcPr>
          <w:p w14:paraId="362F9050">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0</w:t>
            </w:r>
          </w:p>
        </w:tc>
        <w:tc>
          <w:tcPr>
            <w:tcW w:w="525" w:type="pct"/>
            <w:shd w:val="clear" w:color="auto" w:fill="auto"/>
            <w:noWrap w:val="0"/>
            <w:vAlign w:val="center"/>
          </w:tcPr>
          <w:p w14:paraId="0061C734">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达标</w:t>
            </w:r>
          </w:p>
        </w:tc>
        <w:tc>
          <w:tcPr>
            <w:tcW w:w="644" w:type="pct"/>
            <w:shd w:val="clear" w:color="auto" w:fill="auto"/>
            <w:noWrap w:val="0"/>
            <w:vAlign w:val="center"/>
          </w:tcPr>
          <w:p w14:paraId="3C7C9500">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570</w:t>
            </w:r>
          </w:p>
        </w:tc>
      </w:tr>
      <w:tr w14:paraId="75A9073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7" w:type="dxa"/>
            <w:bottom w:w="0" w:type="dxa"/>
            <w:right w:w="17" w:type="dxa"/>
          </w:tblCellMar>
        </w:tblPrEx>
        <w:trPr>
          <w:trHeight w:val="23" w:hRule="atLeast"/>
          <w:jc w:val="center"/>
        </w:trPr>
        <w:tc>
          <w:tcPr>
            <w:tcW w:w="288" w:type="pct"/>
            <w:vMerge w:val="continue"/>
            <w:noWrap w:val="0"/>
            <w:vAlign w:val="center"/>
          </w:tcPr>
          <w:p w14:paraId="3012CB59">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none"/>
                <w:lang w:val="en-US" w:eastAsia="zh-CN"/>
              </w:rPr>
            </w:pPr>
          </w:p>
        </w:tc>
        <w:tc>
          <w:tcPr>
            <w:tcW w:w="586" w:type="pct"/>
            <w:vMerge w:val="continue"/>
            <w:shd w:val="clear" w:color="auto" w:fill="auto"/>
            <w:noWrap w:val="0"/>
            <w:vAlign w:val="center"/>
          </w:tcPr>
          <w:p w14:paraId="31610260">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none"/>
                <w:lang w:val="en-US" w:eastAsia="zh-CN"/>
              </w:rPr>
            </w:pPr>
          </w:p>
        </w:tc>
        <w:tc>
          <w:tcPr>
            <w:tcW w:w="1139" w:type="pct"/>
            <w:shd w:val="clear" w:color="auto" w:fill="auto"/>
            <w:noWrap w:val="0"/>
            <w:vAlign w:val="center"/>
          </w:tcPr>
          <w:p w14:paraId="462566AF">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1,1,2,2-四氯乙烷</w:t>
            </w:r>
          </w:p>
        </w:tc>
        <w:tc>
          <w:tcPr>
            <w:tcW w:w="514" w:type="pct"/>
            <w:shd w:val="clear" w:color="auto" w:fill="auto"/>
            <w:noWrap w:val="0"/>
            <w:vAlign w:val="center"/>
          </w:tcPr>
          <w:p w14:paraId="2CFB0DAD">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mg/kg</w:t>
            </w:r>
          </w:p>
        </w:tc>
        <w:tc>
          <w:tcPr>
            <w:tcW w:w="772" w:type="pct"/>
            <w:shd w:val="clear" w:color="auto" w:fill="auto"/>
            <w:noWrap w:val="0"/>
            <w:vAlign w:val="center"/>
          </w:tcPr>
          <w:p w14:paraId="57FC8EB2">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ND</w:t>
            </w:r>
          </w:p>
        </w:tc>
        <w:tc>
          <w:tcPr>
            <w:tcW w:w="529" w:type="pct"/>
            <w:shd w:val="clear" w:color="auto" w:fill="auto"/>
            <w:noWrap w:val="0"/>
            <w:vAlign w:val="center"/>
          </w:tcPr>
          <w:p w14:paraId="058A963D">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0</w:t>
            </w:r>
          </w:p>
        </w:tc>
        <w:tc>
          <w:tcPr>
            <w:tcW w:w="525" w:type="pct"/>
            <w:shd w:val="clear" w:color="auto" w:fill="auto"/>
            <w:noWrap w:val="0"/>
            <w:vAlign w:val="center"/>
          </w:tcPr>
          <w:p w14:paraId="4CC089D5">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达标</w:t>
            </w:r>
          </w:p>
        </w:tc>
        <w:tc>
          <w:tcPr>
            <w:tcW w:w="644" w:type="pct"/>
            <w:shd w:val="clear" w:color="auto" w:fill="auto"/>
            <w:noWrap w:val="0"/>
            <w:vAlign w:val="center"/>
          </w:tcPr>
          <w:p w14:paraId="71F0A884">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6.8</w:t>
            </w:r>
          </w:p>
        </w:tc>
      </w:tr>
      <w:tr w14:paraId="38610F3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7" w:type="dxa"/>
            <w:bottom w:w="0" w:type="dxa"/>
            <w:right w:w="17" w:type="dxa"/>
          </w:tblCellMar>
        </w:tblPrEx>
        <w:trPr>
          <w:trHeight w:val="23" w:hRule="atLeast"/>
          <w:jc w:val="center"/>
        </w:trPr>
        <w:tc>
          <w:tcPr>
            <w:tcW w:w="288" w:type="pct"/>
            <w:vMerge w:val="continue"/>
            <w:noWrap w:val="0"/>
            <w:vAlign w:val="center"/>
          </w:tcPr>
          <w:p w14:paraId="055386EF">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none"/>
                <w:lang w:val="en-US" w:eastAsia="zh-CN"/>
              </w:rPr>
            </w:pPr>
          </w:p>
        </w:tc>
        <w:tc>
          <w:tcPr>
            <w:tcW w:w="586" w:type="pct"/>
            <w:vMerge w:val="continue"/>
            <w:shd w:val="clear" w:color="auto" w:fill="auto"/>
            <w:noWrap w:val="0"/>
            <w:vAlign w:val="center"/>
          </w:tcPr>
          <w:p w14:paraId="08714759">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none"/>
                <w:lang w:val="en-US" w:eastAsia="zh-CN"/>
              </w:rPr>
            </w:pPr>
          </w:p>
        </w:tc>
        <w:tc>
          <w:tcPr>
            <w:tcW w:w="1139" w:type="pct"/>
            <w:shd w:val="clear" w:color="auto" w:fill="auto"/>
            <w:noWrap w:val="0"/>
            <w:vAlign w:val="center"/>
          </w:tcPr>
          <w:p w14:paraId="1969B334">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1,2,3-三氯丙烷</w:t>
            </w:r>
          </w:p>
        </w:tc>
        <w:tc>
          <w:tcPr>
            <w:tcW w:w="514" w:type="pct"/>
            <w:shd w:val="clear" w:color="auto" w:fill="auto"/>
            <w:noWrap w:val="0"/>
            <w:vAlign w:val="center"/>
          </w:tcPr>
          <w:p w14:paraId="0C768474">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mg/kg</w:t>
            </w:r>
          </w:p>
        </w:tc>
        <w:tc>
          <w:tcPr>
            <w:tcW w:w="772" w:type="pct"/>
            <w:shd w:val="clear" w:color="auto" w:fill="auto"/>
            <w:noWrap w:val="0"/>
            <w:vAlign w:val="center"/>
          </w:tcPr>
          <w:p w14:paraId="1451041B">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ND</w:t>
            </w:r>
          </w:p>
        </w:tc>
        <w:tc>
          <w:tcPr>
            <w:tcW w:w="529" w:type="pct"/>
            <w:shd w:val="clear" w:color="auto" w:fill="auto"/>
            <w:noWrap w:val="0"/>
            <w:vAlign w:val="center"/>
          </w:tcPr>
          <w:p w14:paraId="5F27EA1D">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0</w:t>
            </w:r>
          </w:p>
        </w:tc>
        <w:tc>
          <w:tcPr>
            <w:tcW w:w="525" w:type="pct"/>
            <w:shd w:val="clear" w:color="auto" w:fill="auto"/>
            <w:noWrap w:val="0"/>
            <w:vAlign w:val="center"/>
          </w:tcPr>
          <w:p w14:paraId="2ED795FD">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达标</w:t>
            </w:r>
          </w:p>
        </w:tc>
        <w:tc>
          <w:tcPr>
            <w:tcW w:w="644" w:type="pct"/>
            <w:shd w:val="clear" w:color="auto" w:fill="auto"/>
            <w:noWrap w:val="0"/>
            <w:vAlign w:val="center"/>
          </w:tcPr>
          <w:p w14:paraId="691D1ED7">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0.5</w:t>
            </w:r>
          </w:p>
        </w:tc>
      </w:tr>
      <w:tr w14:paraId="24C1A58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7" w:type="dxa"/>
            <w:bottom w:w="0" w:type="dxa"/>
            <w:right w:w="17" w:type="dxa"/>
          </w:tblCellMar>
        </w:tblPrEx>
        <w:trPr>
          <w:trHeight w:val="23" w:hRule="atLeast"/>
          <w:jc w:val="center"/>
        </w:trPr>
        <w:tc>
          <w:tcPr>
            <w:tcW w:w="288" w:type="pct"/>
            <w:vMerge w:val="continue"/>
            <w:noWrap w:val="0"/>
            <w:vAlign w:val="center"/>
          </w:tcPr>
          <w:p w14:paraId="55879CB1">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none"/>
                <w:lang w:val="en-US" w:eastAsia="zh-CN"/>
              </w:rPr>
            </w:pPr>
          </w:p>
        </w:tc>
        <w:tc>
          <w:tcPr>
            <w:tcW w:w="586" w:type="pct"/>
            <w:vMerge w:val="continue"/>
            <w:shd w:val="clear" w:color="auto" w:fill="auto"/>
            <w:noWrap w:val="0"/>
            <w:vAlign w:val="center"/>
          </w:tcPr>
          <w:p w14:paraId="7FD85C49">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none"/>
                <w:lang w:val="en-US" w:eastAsia="zh-CN"/>
              </w:rPr>
            </w:pPr>
          </w:p>
        </w:tc>
        <w:tc>
          <w:tcPr>
            <w:tcW w:w="1139" w:type="pct"/>
            <w:shd w:val="clear" w:color="auto" w:fill="auto"/>
            <w:noWrap w:val="0"/>
            <w:vAlign w:val="center"/>
          </w:tcPr>
          <w:p w14:paraId="7C3E1481">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1,4-二氯苯</w:t>
            </w:r>
          </w:p>
        </w:tc>
        <w:tc>
          <w:tcPr>
            <w:tcW w:w="514" w:type="pct"/>
            <w:shd w:val="clear" w:color="auto" w:fill="auto"/>
            <w:noWrap w:val="0"/>
            <w:vAlign w:val="center"/>
          </w:tcPr>
          <w:p w14:paraId="522F36A8">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mg/kg</w:t>
            </w:r>
          </w:p>
        </w:tc>
        <w:tc>
          <w:tcPr>
            <w:tcW w:w="772" w:type="pct"/>
            <w:shd w:val="clear" w:color="auto" w:fill="auto"/>
            <w:noWrap w:val="0"/>
            <w:vAlign w:val="center"/>
          </w:tcPr>
          <w:p w14:paraId="09473E84">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ND</w:t>
            </w:r>
          </w:p>
        </w:tc>
        <w:tc>
          <w:tcPr>
            <w:tcW w:w="529" w:type="pct"/>
            <w:shd w:val="clear" w:color="auto" w:fill="auto"/>
            <w:noWrap w:val="0"/>
            <w:vAlign w:val="center"/>
          </w:tcPr>
          <w:p w14:paraId="7593ADB2">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0</w:t>
            </w:r>
          </w:p>
        </w:tc>
        <w:tc>
          <w:tcPr>
            <w:tcW w:w="525" w:type="pct"/>
            <w:shd w:val="clear" w:color="auto" w:fill="auto"/>
            <w:noWrap w:val="0"/>
            <w:vAlign w:val="center"/>
          </w:tcPr>
          <w:p w14:paraId="5AF5DE26">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达标</w:t>
            </w:r>
          </w:p>
        </w:tc>
        <w:tc>
          <w:tcPr>
            <w:tcW w:w="644" w:type="pct"/>
            <w:shd w:val="clear" w:color="auto" w:fill="auto"/>
            <w:noWrap w:val="0"/>
            <w:vAlign w:val="center"/>
          </w:tcPr>
          <w:p w14:paraId="104DCD2B">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20</w:t>
            </w:r>
          </w:p>
        </w:tc>
      </w:tr>
      <w:tr w14:paraId="57B5AB7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7" w:type="dxa"/>
            <w:bottom w:w="0" w:type="dxa"/>
            <w:right w:w="17" w:type="dxa"/>
          </w:tblCellMar>
        </w:tblPrEx>
        <w:trPr>
          <w:trHeight w:val="23" w:hRule="atLeast"/>
          <w:jc w:val="center"/>
        </w:trPr>
        <w:tc>
          <w:tcPr>
            <w:tcW w:w="288" w:type="pct"/>
            <w:vMerge w:val="continue"/>
            <w:noWrap w:val="0"/>
            <w:vAlign w:val="center"/>
          </w:tcPr>
          <w:p w14:paraId="6C6290C2">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none"/>
                <w:lang w:val="en-US" w:eastAsia="zh-CN"/>
              </w:rPr>
            </w:pPr>
          </w:p>
        </w:tc>
        <w:tc>
          <w:tcPr>
            <w:tcW w:w="586" w:type="pct"/>
            <w:vMerge w:val="continue"/>
            <w:shd w:val="clear" w:color="auto" w:fill="auto"/>
            <w:noWrap w:val="0"/>
            <w:vAlign w:val="center"/>
          </w:tcPr>
          <w:p w14:paraId="065D9132">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none"/>
                <w:lang w:val="en-US" w:eastAsia="zh-CN"/>
              </w:rPr>
            </w:pPr>
          </w:p>
        </w:tc>
        <w:tc>
          <w:tcPr>
            <w:tcW w:w="1139" w:type="pct"/>
            <w:shd w:val="clear" w:color="auto" w:fill="auto"/>
            <w:noWrap w:val="0"/>
            <w:vAlign w:val="center"/>
          </w:tcPr>
          <w:p w14:paraId="27A0B375">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1,2-二氯苯</w:t>
            </w:r>
          </w:p>
        </w:tc>
        <w:tc>
          <w:tcPr>
            <w:tcW w:w="514" w:type="pct"/>
            <w:shd w:val="clear" w:color="auto" w:fill="auto"/>
            <w:noWrap w:val="0"/>
            <w:vAlign w:val="center"/>
          </w:tcPr>
          <w:p w14:paraId="50A17960">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mg/kg</w:t>
            </w:r>
          </w:p>
        </w:tc>
        <w:tc>
          <w:tcPr>
            <w:tcW w:w="772" w:type="pct"/>
            <w:shd w:val="clear" w:color="auto" w:fill="auto"/>
            <w:noWrap w:val="0"/>
            <w:vAlign w:val="center"/>
          </w:tcPr>
          <w:p w14:paraId="5714D069">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ND</w:t>
            </w:r>
          </w:p>
        </w:tc>
        <w:tc>
          <w:tcPr>
            <w:tcW w:w="529" w:type="pct"/>
            <w:shd w:val="clear" w:color="auto" w:fill="auto"/>
            <w:noWrap w:val="0"/>
            <w:vAlign w:val="center"/>
          </w:tcPr>
          <w:p w14:paraId="40F9C4B2">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0</w:t>
            </w:r>
          </w:p>
        </w:tc>
        <w:tc>
          <w:tcPr>
            <w:tcW w:w="525" w:type="pct"/>
            <w:shd w:val="clear" w:color="auto" w:fill="auto"/>
            <w:noWrap w:val="0"/>
            <w:vAlign w:val="center"/>
          </w:tcPr>
          <w:p w14:paraId="433A75EB">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达标</w:t>
            </w:r>
          </w:p>
        </w:tc>
        <w:tc>
          <w:tcPr>
            <w:tcW w:w="644" w:type="pct"/>
            <w:shd w:val="clear" w:color="auto" w:fill="auto"/>
            <w:noWrap w:val="0"/>
            <w:vAlign w:val="center"/>
          </w:tcPr>
          <w:p w14:paraId="20CE9283">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560</w:t>
            </w:r>
          </w:p>
        </w:tc>
      </w:tr>
      <w:tr w14:paraId="2B396B2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7" w:type="dxa"/>
            <w:bottom w:w="0" w:type="dxa"/>
            <w:right w:w="17" w:type="dxa"/>
          </w:tblCellMar>
        </w:tblPrEx>
        <w:trPr>
          <w:trHeight w:val="23" w:hRule="atLeast"/>
          <w:jc w:val="center"/>
        </w:trPr>
        <w:tc>
          <w:tcPr>
            <w:tcW w:w="288" w:type="pct"/>
            <w:vMerge w:val="continue"/>
            <w:noWrap w:val="0"/>
            <w:vAlign w:val="center"/>
          </w:tcPr>
          <w:p w14:paraId="72B8EE7D">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none"/>
                <w:lang w:val="en-US" w:eastAsia="zh-CN"/>
              </w:rPr>
            </w:pPr>
          </w:p>
        </w:tc>
        <w:tc>
          <w:tcPr>
            <w:tcW w:w="586" w:type="pct"/>
            <w:vMerge w:val="continue"/>
            <w:shd w:val="clear" w:color="auto" w:fill="auto"/>
            <w:noWrap w:val="0"/>
            <w:vAlign w:val="center"/>
          </w:tcPr>
          <w:p w14:paraId="10F92955">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none"/>
                <w:lang w:val="en-US" w:eastAsia="zh-CN"/>
              </w:rPr>
            </w:pPr>
          </w:p>
        </w:tc>
        <w:tc>
          <w:tcPr>
            <w:tcW w:w="1139" w:type="pct"/>
            <w:shd w:val="clear" w:color="auto" w:fill="auto"/>
            <w:noWrap w:val="0"/>
            <w:vAlign w:val="center"/>
          </w:tcPr>
          <w:p w14:paraId="03BD360D">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邻二甲苯</w:t>
            </w:r>
          </w:p>
        </w:tc>
        <w:tc>
          <w:tcPr>
            <w:tcW w:w="514" w:type="pct"/>
            <w:shd w:val="clear" w:color="auto" w:fill="auto"/>
            <w:noWrap w:val="0"/>
            <w:vAlign w:val="center"/>
          </w:tcPr>
          <w:p w14:paraId="1D2DF4E7">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mg/kg</w:t>
            </w:r>
          </w:p>
        </w:tc>
        <w:tc>
          <w:tcPr>
            <w:tcW w:w="772" w:type="pct"/>
            <w:shd w:val="clear" w:color="auto" w:fill="auto"/>
            <w:noWrap w:val="0"/>
            <w:vAlign w:val="center"/>
          </w:tcPr>
          <w:p w14:paraId="1D35E53D">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ND</w:t>
            </w:r>
          </w:p>
        </w:tc>
        <w:tc>
          <w:tcPr>
            <w:tcW w:w="529" w:type="pct"/>
            <w:shd w:val="clear" w:color="auto" w:fill="auto"/>
            <w:noWrap w:val="0"/>
            <w:vAlign w:val="center"/>
          </w:tcPr>
          <w:p w14:paraId="3C849C05">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0</w:t>
            </w:r>
          </w:p>
        </w:tc>
        <w:tc>
          <w:tcPr>
            <w:tcW w:w="525" w:type="pct"/>
            <w:shd w:val="clear" w:color="auto" w:fill="auto"/>
            <w:noWrap w:val="0"/>
            <w:vAlign w:val="center"/>
          </w:tcPr>
          <w:p w14:paraId="2208E194">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达标</w:t>
            </w:r>
          </w:p>
        </w:tc>
        <w:tc>
          <w:tcPr>
            <w:tcW w:w="644" w:type="pct"/>
            <w:shd w:val="clear" w:color="auto" w:fill="auto"/>
            <w:noWrap w:val="0"/>
            <w:vAlign w:val="center"/>
          </w:tcPr>
          <w:p w14:paraId="000D5155">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640</w:t>
            </w:r>
          </w:p>
        </w:tc>
      </w:tr>
      <w:tr w14:paraId="7B24F22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7" w:type="dxa"/>
            <w:bottom w:w="0" w:type="dxa"/>
            <w:right w:w="17" w:type="dxa"/>
          </w:tblCellMar>
        </w:tblPrEx>
        <w:trPr>
          <w:trHeight w:val="23" w:hRule="atLeast"/>
          <w:jc w:val="center"/>
        </w:trPr>
        <w:tc>
          <w:tcPr>
            <w:tcW w:w="288" w:type="pct"/>
            <w:vMerge w:val="continue"/>
            <w:noWrap w:val="0"/>
            <w:vAlign w:val="center"/>
          </w:tcPr>
          <w:p w14:paraId="6C549352">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none"/>
                <w:lang w:val="en-US" w:eastAsia="zh-CN"/>
              </w:rPr>
            </w:pPr>
          </w:p>
        </w:tc>
        <w:tc>
          <w:tcPr>
            <w:tcW w:w="586" w:type="pct"/>
            <w:vMerge w:val="continue"/>
            <w:shd w:val="clear" w:color="auto" w:fill="auto"/>
            <w:noWrap w:val="0"/>
            <w:vAlign w:val="center"/>
          </w:tcPr>
          <w:p w14:paraId="4B8F1420">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none"/>
                <w:lang w:val="en-US" w:eastAsia="zh-CN"/>
              </w:rPr>
            </w:pPr>
          </w:p>
        </w:tc>
        <w:tc>
          <w:tcPr>
            <w:tcW w:w="1139" w:type="pct"/>
            <w:shd w:val="clear" w:color="auto" w:fill="auto"/>
            <w:noWrap w:val="0"/>
            <w:vAlign w:val="center"/>
          </w:tcPr>
          <w:p w14:paraId="6B63CBBC">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苯乙烯</w:t>
            </w:r>
          </w:p>
        </w:tc>
        <w:tc>
          <w:tcPr>
            <w:tcW w:w="514" w:type="pct"/>
            <w:shd w:val="clear" w:color="auto" w:fill="auto"/>
            <w:noWrap w:val="0"/>
            <w:vAlign w:val="center"/>
          </w:tcPr>
          <w:p w14:paraId="79F00DD6">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mg/kg</w:t>
            </w:r>
          </w:p>
        </w:tc>
        <w:tc>
          <w:tcPr>
            <w:tcW w:w="772" w:type="pct"/>
            <w:shd w:val="clear" w:color="auto" w:fill="auto"/>
            <w:noWrap w:val="0"/>
            <w:vAlign w:val="center"/>
          </w:tcPr>
          <w:p w14:paraId="7C54DE98">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ND</w:t>
            </w:r>
          </w:p>
        </w:tc>
        <w:tc>
          <w:tcPr>
            <w:tcW w:w="529" w:type="pct"/>
            <w:shd w:val="clear" w:color="auto" w:fill="auto"/>
            <w:noWrap w:val="0"/>
            <w:vAlign w:val="center"/>
          </w:tcPr>
          <w:p w14:paraId="070122F7">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0</w:t>
            </w:r>
          </w:p>
        </w:tc>
        <w:tc>
          <w:tcPr>
            <w:tcW w:w="525" w:type="pct"/>
            <w:shd w:val="clear" w:color="auto" w:fill="auto"/>
            <w:noWrap w:val="0"/>
            <w:vAlign w:val="center"/>
          </w:tcPr>
          <w:p w14:paraId="5689489A">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达标</w:t>
            </w:r>
          </w:p>
        </w:tc>
        <w:tc>
          <w:tcPr>
            <w:tcW w:w="644" w:type="pct"/>
            <w:shd w:val="clear" w:color="auto" w:fill="auto"/>
            <w:noWrap w:val="0"/>
            <w:vAlign w:val="center"/>
          </w:tcPr>
          <w:p w14:paraId="2CABDFC8">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1290</w:t>
            </w:r>
          </w:p>
        </w:tc>
      </w:tr>
      <w:tr w14:paraId="2A6F345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7" w:type="dxa"/>
            <w:bottom w:w="0" w:type="dxa"/>
            <w:right w:w="17" w:type="dxa"/>
          </w:tblCellMar>
        </w:tblPrEx>
        <w:trPr>
          <w:trHeight w:val="23" w:hRule="atLeast"/>
          <w:jc w:val="center"/>
        </w:trPr>
        <w:tc>
          <w:tcPr>
            <w:tcW w:w="288" w:type="pct"/>
            <w:vMerge w:val="continue"/>
            <w:noWrap w:val="0"/>
            <w:vAlign w:val="center"/>
          </w:tcPr>
          <w:p w14:paraId="4826A50B">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none"/>
                <w:lang w:val="en-US" w:eastAsia="zh-CN"/>
              </w:rPr>
            </w:pPr>
          </w:p>
        </w:tc>
        <w:tc>
          <w:tcPr>
            <w:tcW w:w="586" w:type="pct"/>
            <w:vMerge w:val="continue"/>
            <w:shd w:val="clear" w:color="auto" w:fill="auto"/>
            <w:noWrap w:val="0"/>
            <w:vAlign w:val="center"/>
          </w:tcPr>
          <w:p w14:paraId="0FFECEF2">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none"/>
                <w:lang w:val="en-US" w:eastAsia="zh-CN"/>
              </w:rPr>
            </w:pPr>
          </w:p>
        </w:tc>
        <w:tc>
          <w:tcPr>
            <w:tcW w:w="1139" w:type="pct"/>
            <w:shd w:val="clear" w:color="auto" w:fill="auto"/>
            <w:noWrap w:val="0"/>
            <w:vAlign w:val="center"/>
          </w:tcPr>
          <w:p w14:paraId="18C3315D">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苯胺</w:t>
            </w:r>
          </w:p>
        </w:tc>
        <w:tc>
          <w:tcPr>
            <w:tcW w:w="514" w:type="pct"/>
            <w:shd w:val="clear" w:color="auto" w:fill="auto"/>
            <w:noWrap w:val="0"/>
            <w:vAlign w:val="center"/>
          </w:tcPr>
          <w:p w14:paraId="53814E72">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mg/kg</w:t>
            </w:r>
          </w:p>
        </w:tc>
        <w:tc>
          <w:tcPr>
            <w:tcW w:w="772" w:type="pct"/>
            <w:shd w:val="clear" w:color="auto" w:fill="auto"/>
            <w:noWrap w:val="0"/>
            <w:vAlign w:val="center"/>
          </w:tcPr>
          <w:p w14:paraId="53997646">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ND</w:t>
            </w:r>
          </w:p>
        </w:tc>
        <w:tc>
          <w:tcPr>
            <w:tcW w:w="529" w:type="pct"/>
            <w:shd w:val="clear" w:color="auto" w:fill="auto"/>
            <w:noWrap w:val="0"/>
            <w:vAlign w:val="center"/>
          </w:tcPr>
          <w:p w14:paraId="1C22D973">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0</w:t>
            </w:r>
          </w:p>
        </w:tc>
        <w:tc>
          <w:tcPr>
            <w:tcW w:w="525" w:type="pct"/>
            <w:shd w:val="clear" w:color="auto" w:fill="auto"/>
            <w:noWrap w:val="0"/>
            <w:vAlign w:val="center"/>
          </w:tcPr>
          <w:p w14:paraId="5FA2D63A">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达标</w:t>
            </w:r>
          </w:p>
        </w:tc>
        <w:tc>
          <w:tcPr>
            <w:tcW w:w="644" w:type="pct"/>
            <w:shd w:val="clear" w:color="auto" w:fill="auto"/>
            <w:noWrap w:val="0"/>
            <w:vAlign w:val="center"/>
          </w:tcPr>
          <w:p w14:paraId="3AEEBC47">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260</w:t>
            </w:r>
          </w:p>
        </w:tc>
      </w:tr>
      <w:tr w14:paraId="7DB6EE1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7" w:type="dxa"/>
            <w:bottom w:w="0" w:type="dxa"/>
            <w:right w:w="17" w:type="dxa"/>
          </w:tblCellMar>
        </w:tblPrEx>
        <w:trPr>
          <w:trHeight w:val="23" w:hRule="atLeast"/>
          <w:jc w:val="center"/>
        </w:trPr>
        <w:tc>
          <w:tcPr>
            <w:tcW w:w="288" w:type="pct"/>
            <w:vMerge w:val="continue"/>
            <w:noWrap w:val="0"/>
            <w:vAlign w:val="center"/>
          </w:tcPr>
          <w:p w14:paraId="42B2517E">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none"/>
                <w:lang w:val="en-US" w:eastAsia="zh-CN"/>
              </w:rPr>
            </w:pPr>
          </w:p>
        </w:tc>
        <w:tc>
          <w:tcPr>
            <w:tcW w:w="586" w:type="pct"/>
            <w:vMerge w:val="continue"/>
            <w:shd w:val="clear" w:color="auto" w:fill="auto"/>
            <w:noWrap w:val="0"/>
            <w:vAlign w:val="center"/>
          </w:tcPr>
          <w:p w14:paraId="4B022766">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none"/>
                <w:lang w:val="en-US" w:eastAsia="zh-CN"/>
              </w:rPr>
            </w:pPr>
          </w:p>
        </w:tc>
        <w:tc>
          <w:tcPr>
            <w:tcW w:w="1139" w:type="pct"/>
            <w:shd w:val="clear" w:color="auto" w:fill="auto"/>
            <w:noWrap w:val="0"/>
            <w:vAlign w:val="center"/>
          </w:tcPr>
          <w:p w14:paraId="3846147C">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2-氯酚</w:t>
            </w:r>
          </w:p>
        </w:tc>
        <w:tc>
          <w:tcPr>
            <w:tcW w:w="514" w:type="pct"/>
            <w:shd w:val="clear" w:color="auto" w:fill="auto"/>
            <w:noWrap w:val="0"/>
            <w:vAlign w:val="center"/>
          </w:tcPr>
          <w:p w14:paraId="205FDC23">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mg/kg</w:t>
            </w:r>
          </w:p>
        </w:tc>
        <w:tc>
          <w:tcPr>
            <w:tcW w:w="772" w:type="pct"/>
            <w:shd w:val="clear" w:color="auto" w:fill="auto"/>
            <w:noWrap w:val="0"/>
            <w:vAlign w:val="center"/>
          </w:tcPr>
          <w:p w14:paraId="73256CF3">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ND</w:t>
            </w:r>
          </w:p>
        </w:tc>
        <w:tc>
          <w:tcPr>
            <w:tcW w:w="529" w:type="pct"/>
            <w:shd w:val="clear" w:color="auto" w:fill="auto"/>
            <w:noWrap w:val="0"/>
            <w:vAlign w:val="center"/>
          </w:tcPr>
          <w:p w14:paraId="0FF0213B">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0</w:t>
            </w:r>
          </w:p>
        </w:tc>
        <w:tc>
          <w:tcPr>
            <w:tcW w:w="525" w:type="pct"/>
            <w:shd w:val="clear" w:color="auto" w:fill="auto"/>
            <w:noWrap w:val="0"/>
            <w:vAlign w:val="center"/>
          </w:tcPr>
          <w:p w14:paraId="3E59C896">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达标</w:t>
            </w:r>
          </w:p>
        </w:tc>
        <w:tc>
          <w:tcPr>
            <w:tcW w:w="644" w:type="pct"/>
            <w:shd w:val="clear" w:color="auto" w:fill="auto"/>
            <w:noWrap w:val="0"/>
            <w:vAlign w:val="center"/>
          </w:tcPr>
          <w:p w14:paraId="09B8423A">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2256</w:t>
            </w:r>
          </w:p>
        </w:tc>
      </w:tr>
      <w:tr w14:paraId="6A0AB98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7" w:type="dxa"/>
            <w:bottom w:w="0" w:type="dxa"/>
            <w:right w:w="17" w:type="dxa"/>
          </w:tblCellMar>
        </w:tblPrEx>
        <w:trPr>
          <w:trHeight w:val="23" w:hRule="atLeast"/>
          <w:jc w:val="center"/>
        </w:trPr>
        <w:tc>
          <w:tcPr>
            <w:tcW w:w="288" w:type="pct"/>
            <w:vMerge w:val="continue"/>
            <w:noWrap w:val="0"/>
            <w:vAlign w:val="center"/>
          </w:tcPr>
          <w:p w14:paraId="6FE24721">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none"/>
                <w:lang w:val="en-US" w:eastAsia="zh-CN"/>
              </w:rPr>
            </w:pPr>
          </w:p>
        </w:tc>
        <w:tc>
          <w:tcPr>
            <w:tcW w:w="586" w:type="pct"/>
            <w:vMerge w:val="continue"/>
            <w:shd w:val="clear" w:color="auto" w:fill="auto"/>
            <w:noWrap w:val="0"/>
            <w:vAlign w:val="center"/>
          </w:tcPr>
          <w:p w14:paraId="50879FDD">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none"/>
                <w:lang w:val="en-US" w:eastAsia="zh-CN"/>
              </w:rPr>
            </w:pPr>
          </w:p>
        </w:tc>
        <w:tc>
          <w:tcPr>
            <w:tcW w:w="1139" w:type="pct"/>
            <w:shd w:val="clear" w:color="auto" w:fill="auto"/>
            <w:noWrap w:val="0"/>
            <w:vAlign w:val="center"/>
          </w:tcPr>
          <w:p w14:paraId="092EA9BE">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硝基苯</w:t>
            </w:r>
          </w:p>
        </w:tc>
        <w:tc>
          <w:tcPr>
            <w:tcW w:w="514" w:type="pct"/>
            <w:shd w:val="clear" w:color="auto" w:fill="auto"/>
            <w:noWrap w:val="0"/>
            <w:vAlign w:val="center"/>
          </w:tcPr>
          <w:p w14:paraId="694D8EF8">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mg/kg</w:t>
            </w:r>
          </w:p>
        </w:tc>
        <w:tc>
          <w:tcPr>
            <w:tcW w:w="772" w:type="pct"/>
            <w:shd w:val="clear" w:color="auto" w:fill="auto"/>
            <w:noWrap w:val="0"/>
            <w:vAlign w:val="center"/>
          </w:tcPr>
          <w:p w14:paraId="7C819768">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ND</w:t>
            </w:r>
          </w:p>
        </w:tc>
        <w:tc>
          <w:tcPr>
            <w:tcW w:w="529" w:type="pct"/>
            <w:shd w:val="clear" w:color="auto" w:fill="auto"/>
            <w:noWrap w:val="0"/>
            <w:vAlign w:val="center"/>
          </w:tcPr>
          <w:p w14:paraId="785693F1">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0</w:t>
            </w:r>
          </w:p>
        </w:tc>
        <w:tc>
          <w:tcPr>
            <w:tcW w:w="525" w:type="pct"/>
            <w:shd w:val="clear" w:color="auto" w:fill="auto"/>
            <w:noWrap w:val="0"/>
            <w:vAlign w:val="center"/>
          </w:tcPr>
          <w:p w14:paraId="675F8CFA">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达标</w:t>
            </w:r>
          </w:p>
        </w:tc>
        <w:tc>
          <w:tcPr>
            <w:tcW w:w="644" w:type="pct"/>
            <w:shd w:val="clear" w:color="auto" w:fill="auto"/>
            <w:noWrap w:val="0"/>
            <w:vAlign w:val="center"/>
          </w:tcPr>
          <w:p w14:paraId="4B9DFA95">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76</w:t>
            </w:r>
          </w:p>
        </w:tc>
      </w:tr>
      <w:tr w14:paraId="5223958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7" w:type="dxa"/>
            <w:bottom w:w="0" w:type="dxa"/>
            <w:right w:w="17" w:type="dxa"/>
          </w:tblCellMar>
        </w:tblPrEx>
        <w:trPr>
          <w:trHeight w:val="23" w:hRule="atLeast"/>
          <w:jc w:val="center"/>
        </w:trPr>
        <w:tc>
          <w:tcPr>
            <w:tcW w:w="288" w:type="pct"/>
            <w:vMerge w:val="continue"/>
            <w:noWrap w:val="0"/>
            <w:vAlign w:val="center"/>
          </w:tcPr>
          <w:p w14:paraId="3918C81A">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none"/>
                <w:lang w:val="en-US" w:eastAsia="zh-CN"/>
              </w:rPr>
            </w:pPr>
          </w:p>
        </w:tc>
        <w:tc>
          <w:tcPr>
            <w:tcW w:w="586" w:type="pct"/>
            <w:vMerge w:val="continue"/>
            <w:shd w:val="clear" w:color="auto" w:fill="auto"/>
            <w:noWrap w:val="0"/>
            <w:vAlign w:val="center"/>
          </w:tcPr>
          <w:p w14:paraId="43B0638B">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none"/>
                <w:lang w:val="en-US" w:eastAsia="zh-CN"/>
              </w:rPr>
            </w:pPr>
          </w:p>
        </w:tc>
        <w:tc>
          <w:tcPr>
            <w:tcW w:w="1139" w:type="pct"/>
            <w:shd w:val="clear" w:color="auto" w:fill="auto"/>
            <w:noWrap w:val="0"/>
            <w:vAlign w:val="center"/>
          </w:tcPr>
          <w:p w14:paraId="42926B76">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萘</w:t>
            </w:r>
          </w:p>
        </w:tc>
        <w:tc>
          <w:tcPr>
            <w:tcW w:w="514" w:type="pct"/>
            <w:shd w:val="clear" w:color="auto" w:fill="auto"/>
            <w:noWrap w:val="0"/>
            <w:vAlign w:val="center"/>
          </w:tcPr>
          <w:p w14:paraId="20698B13">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mg/kg</w:t>
            </w:r>
          </w:p>
        </w:tc>
        <w:tc>
          <w:tcPr>
            <w:tcW w:w="772" w:type="pct"/>
            <w:shd w:val="clear" w:color="auto" w:fill="auto"/>
            <w:noWrap w:val="0"/>
            <w:vAlign w:val="center"/>
          </w:tcPr>
          <w:p w14:paraId="42F7CB3F">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ND</w:t>
            </w:r>
          </w:p>
        </w:tc>
        <w:tc>
          <w:tcPr>
            <w:tcW w:w="529" w:type="pct"/>
            <w:shd w:val="clear" w:color="auto" w:fill="auto"/>
            <w:noWrap w:val="0"/>
            <w:vAlign w:val="center"/>
          </w:tcPr>
          <w:p w14:paraId="2DD01A29">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0</w:t>
            </w:r>
          </w:p>
        </w:tc>
        <w:tc>
          <w:tcPr>
            <w:tcW w:w="525" w:type="pct"/>
            <w:shd w:val="clear" w:color="auto" w:fill="auto"/>
            <w:noWrap w:val="0"/>
            <w:vAlign w:val="center"/>
          </w:tcPr>
          <w:p w14:paraId="1BEBC161">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达标</w:t>
            </w:r>
          </w:p>
        </w:tc>
        <w:tc>
          <w:tcPr>
            <w:tcW w:w="644" w:type="pct"/>
            <w:shd w:val="clear" w:color="auto" w:fill="auto"/>
            <w:noWrap w:val="0"/>
            <w:vAlign w:val="center"/>
          </w:tcPr>
          <w:p w14:paraId="6304F1C9">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70</w:t>
            </w:r>
          </w:p>
        </w:tc>
      </w:tr>
      <w:tr w14:paraId="3DABD7F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7" w:type="dxa"/>
            <w:bottom w:w="0" w:type="dxa"/>
            <w:right w:w="17" w:type="dxa"/>
          </w:tblCellMar>
        </w:tblPrEx>
        <w:trPr>
          <w:trHeight w:val="23" w:hRule="atLeast"/>
          <w:jc w:val="center"/>
        </w:trPr>
        <w:tc>
          <w:tcPr>
            <w:tcW w:w="288" w:type="pct"/>
            <w:vMerge w:val="continue"/>
            <w:noWrap w:val="0"/>
            <w:vAlign w:val="center"/>
          </w:tcPr>
          <w:p w14:paraId="0A9BAE0C">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none"/>
                <w:lang w:val="en-US" w:eastAsia="zh-CN"/>
              </w:rPr>
            </w:pPr>
          </w:p>
        </w:tc>
        <w:tc>
          <w:tcPr>
            <w:tcW w:w="586" w:type="pct"/>
            <w:vMerge w:val="continue"/>
            <w:shd w:val="clear" w:color="auto" w:fill="auto"/>
            <w:noWrap w:val="0"/>
            <w:vAlign w:val="center"/>
          </w:tcPr>
          <w:p w14:paraId="208F397F">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none"/>
                <w:lang w:val="en-US" w:eastAsia="zh-CN"/>
              </w:rPr>
            </w:pPr>
          </w:p>
        </w:tc>
        <w:tc>
          <w:tcPr>
            <w:tcW w:w="1139" w:type="pct"/>
            <w:shd w:val="clear" w:color="auto" w:fill="auto"/>
            <w:noWrap w:val="0"/>
            <w:vAlign w:val="center"/>
          </w:tcPr>
          <w:p w14:paraId="520809C2">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苯并[a]蒽</w:t>
            </w:r>
          </w:p>
        </w:tc>
        <w:tc>
          <w:tcPr>
            <w:tcW w:w="514" w:type="pct"/>
            <w:shd w:val="clear" w:color="auto" w:fill="auto"/>
            <w:noWrap w:val="0"/>
            <w:vAlign w:val="center"/>
          </w:tcPr>
          <w:p w14:paraId="13368A6B">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mg/kg</w:t>
            </w:r>
          </w:p>
        </w:tc>
        <w:tc>
          <w:tcPr>
            <w:tcW w:w="772" w:type="pct"/>
            <w:shd w:val="clear" w:color="auto" w:fill="auto"/>
            <w:noWrap w:val="0"/>
            <w:vAlign w:val="center"/>
          </w:tcPr>
          <w:p w14:paraId="75CE8CE6">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ND</w:t>
            </w:r>
          </w:p>
        </w:tc>
        <w:tc>
          <w:tcPr>
            <w:tcW w:w="529" w:type="pct"/>
            <w:shd w:val="clear" w:color="auto" w:fill="auto"/>
            <w:noWrap w:val="0"/>
            <w:vAlign w:val="center"/>
          </w:tcPr>
          <w:p w14:paraId="15D9D5B0">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0</w:t>
            </w:r>
          </w:p>
        </w:tc>
        <w:tc>
          <w:tcPr>
            <w:tcW w:w="525" w:type="pct"/>
            <w:shd w:val="clear" w:color="auto" w:fill="auto"/>
            <w:noWrap w:val="0"/>
            <w:vAlign w:val="center"/>
          </w:tcPr>
          <w:p w14:paraId="7D4F2D3D">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达标</w:t>
            </w:r>
          </w:p>
        </w:tc>
        <w:tc>
          <w:tcPr>
            <w:tcW w:w="644" w:type="pct"/>
            <w:shd w:val="clear" w:color="auto" w:fill="auto"/>
            <w:noWrap w:val="0"/>
            <w:vAlign w:val="center"/>
          </w:tcPr>
          <w:p w14:paraId="21558AF1">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15</w:t>
            </w:r>
          </w:p>
        </w:tc>
      </w:tr>
      <w:tr w14:paraId="4490261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7" w:type="dxa"/>
            <w:bottom w:w="0" w:type="dxa"/>
            <w:right w:w="17" w:type="dxa"/>
          </w:tblCellMar>
        </w:tblPrEx>
        <w:trPr>
          <w:trHeight w:val="23" w:hRule="atLeast"/>
          <w:jc w:val="center"/>
        </w:trPr>
        <w:tc>
          <w:tcPr>
            <w:tcW w:w="288" w:type="pct"/>
            <w:vMerge w:val="continue"/>
            <w:noWrap w:val="0"/>
            <w:vAlign w:val="center"/>
          </w:tcPr>
          <w:p w14:paraId="339B69C0">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none"/>
                <w:lang w:val="en-US" w:eastAsia="zh-CN"/>
              </w:rPr>
            </w:pPr>
          </w:p>
        </w:tc>
        <w:tc>
          <w:tcPr>
            <w:tcW w:w="586" w:type="pct"/>
            <w:vMerge w:val="continue"/>
            <w:shd w:val="clear" w:color="auto" w:fill="auto"/>
            <w:noWrap w:val="0"/>
            <w:vAlign w:val="center"/>
          </w:tcPr>
          <w:p w14:paraId="5C1CC2F3">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none"/>
                <w:lang w:val="en-US" w:eastAsia="zh-CN"/>
              </w:rPr>
            </w:pPr>
          </w:p>
        </w:tc>
        <w:tc>
          <w:tcPr>
            <w:tcW w:w="1139" w:type="pct"/>
            <w:shd w:val="clear" w:color="auto" w:fill="auto"/>
            <w:noWrap w:val="0"/>
            <w:vAlign w:val="center"/>
          </w:tcPr>
          <w:p w14:paraId="412ACA5E">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䓛</w:t>
            </w:r>
          </w:p>
        </w:tc>
        <w:tc>
          <w:tcPr>
            <w:tcW w:w="514" w:type="pct"/>
            <w:shd w:val="clear" w:color="auto" w:fill="auto"/>
            <w:noWrap w:val="0"/>
            <w:vAlign w:val="center"/>
          </w:tcPr>
          <w:p w14:paraId="7E566562">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mg/kg</w:t>
            </w:r>
          </w:p>
        </w:tc>
        <w:tc>
          <w:tcPr>
            <w:tcW w:w="772" w:type="pct"/>
            <w:shd w:val="clear" w:color="auto" w:fill="auto"/>
            <w:noWrap w:val="0"/>
            <w:vAlign w:val="center"/>
          </w:tcPr>
          <w:p w14:paraId="023FE365">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ND</w:t>
            </w:r>
          </w:p>
        </w:tc>
        <w:tc>
          <w:tcPr>
            <w:tcW w:w="529" w:type="pct"/>
            <w:shd w:val="clear" w:color="auto" w:fill="auto"/>
            <w:noWrap w:val="0"/>
            <w:vAlign w:val="center"/>
          </w:tcPr>
          <w:p w14:paraId="779F9931">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0</w:t>
            </w:r>
          </w:p>
        </w:tc>
        <w:tc>
          <w:tcPr>
            <w:tcW w:w="525" w:type="pct"/>
            <w:shd w:val="clear" w:color="auto" w:fill="auto"/>
            <w:noWrap w:val="0"/>
            <w:vAlign w:val="center"/>
          </w:tcPr>
          <w:p w14:paraId="1524DD30">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达标</w:t>
            </w:r>
          </w:p>
        </w:tc>
        <w:tc>
          <w:tcPr>
            <w:tcW w:w="644" w:type="pct"/>
            <w:shd w:val="clear" w:color="auto" w:fill="auto"/>
            <w:noWrap w:val="0"/>
            <w:vAlign w:val="center"/>
          </w:tcPr>
          <w:p w14:paraId="627C2ADD">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1293</w:t>
            </w:r>
          </w:p>
        </w:tc>
      </w:tr>
      <w:tr w14:paraId="2CE5071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7" w:type="dxa"/>
            <w:bottom w:w="0" w:type="dxa"/>
            <w:right w:w="17" w:type="dxa"/>
          </w:tblCellMar>
        </w:tblPrEx>
        <w:trPr>
          <w:trHeight w:val="23" w:hRule="atLeast"/>
          <w:jc w:val="center"/>
        </w:trPr>
        <w:tc>
          <w:tcPr>
            <w:tcW w:w="288" w:type="pct"/>
            <w:vMerge w:val="continue"/>
            <w:noWrap w:val="0"/>
            <w:vAlign w:val="center"/>
          </w:tcPr>
          <w:p w14:paraId="2F66DC26">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none"/>
                <w:lang w:val="en-US" w:eastAsia="zh-CN"/>
              </w:rPr>
            </w:pPr>
          </w:p>
        </w:tc>
        <w:tc>
          <w:tcPr>
            <w:tcW w:w="586" w:type="pct"/>
            <w:vMerge w:val="continue"/>
            <w:shd w:val="clear" w:color="auto" w:fill="auto"/>
            <w:noWrap w:val="0"/>
            <w:vAlign w:val="center"/>
          </w:tcPr>
          <w:p w14:paraId="67331EE7">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none"/>
                <w:lang w:val="en-US" w:eastAsia="zh-CN"/>
              </w:rPr>
            </w:pPr>
          </w:p>
        </w:tc>
        <w:tc>
          <w:tcPr>
            <w:tcW w:w="1139" w:type="pct"/>
            <w:shd w:val="clear" w:color="auto" w:fill="auto"/>
            <w:noWrap w:val="0"/>
            <w:vAlign w:val="center"/>
          </w:tcPr>
          <w:p w14:paraId="2E909B0D">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苯并[b]荧蒽</w:t>
            </w:r>
          </w:p>
        </w:tc>
        <w:tc>
          <w:tcPr>
            <w:tcW w:w="514" w:type="pct"/>
            <w:shd w:val="clear" w:color="auto" w:fill="auto"/>
            <w:noWrap w:val="0"/>
            <w:vAlign w:val="center"/>
          </w:tcPr>
          <w:p w14:paraId="27C9EFE2">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mg/kg</w:t>
            </w:r>
          </w:p>
        </w:tc>
        <w:tc>
          <w:tcPr>
            <w:tcW w:w="772" w:type="pct"/>
            <w:shd w:val="clear" w:color="auto" w:fill="auto"/>
            <w:noWrap w:val="0"/>
            <w:vAlign w:val="center"/>
          </w:tcPr>
          <w:p w14:paraId="4B0A2D82">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ND</w:t>
            </w:r>
          </w:p>
        </w:tc>
        <w:tc>
          <w:tcPr>
            <w:tcW w:w="529" w:type="pct"/>
            <w:shd w:val="clear" w:color="auto" w:fill="auto"/>
            <w:noWrap w:val="0"/>
            <w:vAlign w:val="center"/>
          </w:tcPr>
          <w:p w14:paraId="7CC4495F">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0</w:t>
            </w:r>
          </w:p>
        </w:tc>
        <w:tc>
          <w:tcPr>
            <w:tcW w:w="525" w:type="pct"/>
            <w:shd w:val="clear" w:color="auto" w:fill="auto"/>
            <w:noWrap w:val="0"/>
            <w:vAlign w:val="center"/>
          </w:tcPr>
          <w:p w14:paraId="1880613A">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达标</w:t>
            </w:r>
          </w:p>
        </w:tc>
        <w:tc>
          <w:tcPr>
            <w:tcW w:w="644" w:type="pct"/>
            <w:shd w:val="clear" w:color="auto" w:fill="auto"/>
            <w:noWrap w:val="0"/>
            <w:vAlign w:val="center"/>
          </w:tcPr>
          <w:p w14:paraId="668B599C">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15</w:t>
            </w:r>
          </w:p>
        </w:tc>
      </w:tr>
      <w:tr w14:paraId="25CFED5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7" w:type="dxa"/>
            <w:bottom w:w="0" w:type="dxa"/>
            <w:right w:w="17" w:type="dxa"/>
          </w:tblCellMar>
        </w:tblPrEx>
        <w:trPr>
          <w:trHeight w:val="23" w:hRule="atLeast"/>
          <w:jc w:val="center"/>
        </w:trPr>
        <w:tc>
          <w:tcPr>
            <w:tcW w:w="288" w:type="pct"/>
            <w:vMerge w:val="continue"/>
            <w:noWrap w:val="0"/>
            <w:vAlign w:val="center"/>
          </w:tcPr>
          <w:p w14:paraId="3CE7D773">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none"/>
                <w:lang w:val="en-US" w:eastAsia="zh-CN"/>
              </w:rPr>
            </w:pPr>
          </w:p>
        </w:tc>
        <w:tc>
          <w:tcPr>
            <w:tcW w:w="586" w:type="pct"/>
            <w:vMerge w:val="continue"/>
            <w:shd w:val="clear" w:color="auto" w:fill="auto"/>
            <w:noWrap w:val="0"/>
            <w:vAlign w:val="center"/>
          </w:tcPr>
          <w:p w14:paraId="40ED2148">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none"/>
                <w:lang w:val="en-US" w:eastAsia="zh-CN"/>
              </w:rPr>
            </w:pPr>
          </w:p>
        </w:tc>
        <w:tc>
          <w:tcPr>
            <w:tcW w:w="1139" w:type="pct"/>
            <w:shd w:val="clear" w:color="auto" w:fill="auto"/>
            <w:noWrap w:val="0"/>
            <w:vAlign w:val="center"/>
          </w:tcPr>
          <w:p w14:paraId="194B037B">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苯并[k]荧蒽</w:t>
            </w:r>
          </w:p>
        </w:tc>
        <w:tc>
          <w:tcPr>
            <w:tcW w:w="514" w:type="pct"/>
            <w:shd w:val="clear" w:color="auto" w:fill="auto"/>
            <w:noWrap w:val="0"/>
            <w:vAlign w:val="center"/>
          </w:tcPr>
          <w:p w14:paraId="352475AC">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mg/kg</w:t>
            </w:r>
          </w:p>
        </w:tc>
        <w:tc>
          <w:tcPr>
            <w:tcW w:w="772" w:type="pct"/>
            <w:shd w:val="clear" w:color="auto" w:fill="auto"/>
            <w:noWrap w:val="0"/>
            <w:vAlign w:val="center"/>
          </w:tcPr>
          <w:p w14:paraId="549D66F3">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ND</w:t>
            </w:r>
          </w:p>
        </w:tc>
        <w:tc>
          <w:tcPr>
            <w:tcW w:w="529" w:type="pct"/>
            <w:shd w:val="clear" w:color="auto" w:fill="auto"/>
            <w:noWrap w:val="0"/>
            <w:vAlign w:val="center"/>
          </w:tcPr>
          <w:p w14:paraId="133837A3">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0</w:t>
            </w:r>
          </w:p>
        </w:tc>
        <w:tc>
          <w:tcPr>
            <w:tcW w:w="525" w:type="pct"/>
            <w:shd w:val="clear" w:color="auto" w:fill="auto"/>
            <w:noWrap w:val="0"/>
            <w:vAlign w:val="center"/>
          </w:tcPr>
          <w:p w14:paraId="452F8BD1">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达标</w:t>
            </w:r>
          </w:p>
        </w:tc>
        <w:tc>
          <w:tcPr>
            <w:tcW w:w="644" w:type="pct"/>
            <w:shd w:val="clear" w:color="auto" w:fill="auto"/>
            <w:noWrap w:val="0"/>
            <w:vAlign w:val="center"/>
          </w:tcPr>
          <w:p w14:paraId="64340DC4">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151</w:t>
            </w:r>
          </w:p>
        </w:tc>
      </w:tr>
      <w:tr w14:paraId="5DD7256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7" w:type="dxa"/>
            <w:bottom w:w="0" w:type="dxa"/>
            <w:right w:w="17" w:type="dxa"/>
          </w:tblCellMar>
        </w:tblPrEx>
        <w:trPr>
          <w:trHeight w:val="23" w:hRule="atLeast"/>
          <w:jc w:val="center"/>
        </w:trPr>
        <w:tc>
          <w:tcPr>
            <w:tcW w:w="288" w:type="pct"/>
            <w:vMerge w:val="continue"/>
            <w:noWrap w:val="0"/>
            <w:vAlign w:val="center"/>
          </w:tcPr>
          <w:p w14:paraId="24DD02E8">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none"/>
                <w:lang w:val="en-US" w:eastAsia="zh-CN"/>
              </w:rPr>
            </w:pPr>
          </w:p>
        </w:tc>
        <w:tc>
          <w:tcPr>
            <w:tcW w:w="586" w:type="pct"/>
            <w:vMerge w:val="continue"/>
            <w:shd w:val="clear" w:color="auto" w:fill="auto"/>
            <w:noWrap w:val="0"/>
            <w:vAlign w:val="center"/>
          </w:tcPr>
          <w:p w14:paraId="6676A757">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none"/>
                <w:lang w:val="en-US" w:eastAsia="zh-CN"/>
              </w:rPr>
            </w:pPr>
          </w:p>
        </w:tc>
        <w:tc>
          <w:tcPr>
            <w:tcW w:w="1139" w:type="pct"/>
            <w:shd w:val="clear" w:color="auto" w:fill="auto"/>
            <w:noWrap w:val="0"/>
            <w:vAlign w:val="center"/>
          </w:tcPr>
          <w:p w14:paraId="51759A5D">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苯并[a]芘</w:t>
            </w:r>
          </w:p>
        </w:tc>
        <w:tc>
          <w:tcPr>
            <w:tcW w:w="514" w:type="pct"/>
            <w:shd w:val="clear" w:color="auto" w:fill="auto"/>
            <w:noWrap w:val="0"/>
            <w:vAlign w:val="center"/>
          </w:tcPr>
          <w:p w14:paraId="0174F269">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mg/kg</w:t>
            </w:r>
          </w:p>
        </w:tc>
        <w:tc>
          <w:tcPr>
            <w:tcW w:w="772" w:type="pct"/>
            <w:shd w:val="clear" w:color="auto" w:fill="auto"/>
            <w:noWrap w:val="0"/>
            <w:vAlign w:val="center"/>
          </w:tcPr>
          <w:p w14:paraId="178F0E3C">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ND</w:t>
            </w:r>
          </w:p>
        </w:tc>
        <w:tc>
          <w:tcPr>
            <w:tcW w:w="529" w:type="pct"/>
            <w:shd w:val="clear" w:color="auto" w:fill="auto"/>
            <w:noWrap w:val="0"/>
            <w:vAlign w:val="center"/>
          </w:tcPr>
          <w:p w14:paraId="696635C6">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0</w:t>
            </w:r>
          </w:p>
        </w:tc>
        <w:tc>
          <w:tcPr>
            <w:tcW w:w="525" w:type="pct"/>
            <w:shd w:val="clear" w:color="auto" w:fill="auto"/>
            <w:noWrap w:val="0"/>
            <w:vAlign w:val="center"/>
          </w:tcPr>
          <w:p w14:paraId="13F7D1BE">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达标</w:t>
            </w:r>
          </w:p>
        </w:tc>
        <w:tc>
          <w:tcPr>
            <w:tcW w:w="644" w:type="pct"/>
            <w:shd w:val="clear" w:color="auto" w:fill="auto"/>
            <w:noWrap w:val="0"/>
            <w:vAlign w:val="center"/>
          </w:tcPr>
          <w:p w14:paraId="21003E2D">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1.5</w:t>
            </w:r>
          </w:p>
        </w:tc>
      </w:tr>
      <w:tr w14:paraId="27C478F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7" w:type="dxa"/>
            <w:bottom w:w="0" w:type="dxa"/>
            <w:right w:w="17" w:type="dxa"/>
          </w:tblCellMar>
        </w:tblPrEx>
        <w:trPr>
          <w:trHeight w:val="23" w:hRule="atLeast"/>
          <w:jc w:val="center"/>
        </w:trPr>
        <w:tc>
          <w:tcPr>
            <w:tcW w:w="288" w:type="pct"/>
            <w:vMerge w:val="continue"/>
            <w:noWrap w:val="0"/>
            <w:vAlign w:val="center"/>
          </w:tcPr>
          <w:p w14:paraId="6EA5F8BD">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none"/>
                <w:lang w:val="en-US" w:eastAsia="zh-CN"/>
              </w:rPr>
            </w:pPr>
          </w:p>
        </w:tc>
        <w:tc>
          <w:tcPr>
            <w:tcW w:w="586" w:type="pct"/>
            <w:vMerge w:val="continue"/>
            <w:shd w:val="clear" w:color="auto" w:fill="auto"/>
            <w:noWrap w:val="0"/>
            <w:vAlign w:val="center"/>
          </w:tcPr>
          <w:p w14:paraId="02633CA3">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none"/>
                <w:lang w:val="en-US" w:eastAsia="zh-CN"/>
              </w:rPr>
            </w:pPr>
          </w:p>
        </w:tc>
        <w:tc>
          <w:tcPr>
            <w:tcW w:w="1139" w:type="pct"/>
            <w:shd w:val="clear" w:color="auto" w:fill="auto"/>
            <w:noWrap w:val="0"/>
            <w:vAlign w:val="center"/>
          </w:tcPr>
          <w:p w14:paraId="706E8E9B">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茚并[1,2,3-cd]芘</w:t>
            </w:r>
          </w:p>
        </w:tc>
        <w:tc>
          <w:tcPr>
            <w:tcW w:w="514" w:type="pct"/>
            <w:shd w:val="clear" w:color="auto" w:fill="auto"/>
            <w:noWrap w:val="0"/>
            <w:vAlign w:val="center"/>
          </w:tcPr>
          <w:p w14:paraId="25A95E2A">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mg/kg</w:t>
            </w:r>
          </w:p>
        </w:tc>
        <w:tc>
          <w:tcPr>
            <w:tcW w:w="772" w:type="pct"/>
            <w:shd w:val="clear" w:color="auto" w:fill="auto"/>
            <w:noWrap w:val="0"/>
            <w:vAlign w:val="center"/>
          </w:tcPr>
          <w:p w14:paraId="15529EB1">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ND</w:t>
            </w:r>
          </w:p>
        </w:tc>
        <w:tc>
          <w:tcPr>
            <w:tcW w:w="529" w:type="pct"/>
            <w:shd w:val="clear" w:color="auto" w:fill="auto"/>
            <w:noWrap w:val="0"/>
            <w:vAlign w:val="center"/>
          </w:tcPr>
          <w:p w14:paraId="707B9068">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0</w:t>
            </w:r>
          </w:p>
        </w:tc>
        <w:tc>
          <w:tcPr>
            <w:tcW w:w="525" w:type="pct"/>
            <w:shd w:val="clear" w:color="auto" w:fill="auto"/>
            <w:noWrap w:val="0"/>
            <w:vAlign w:val="center"/>
          </w:tcPr>
          <w:p w14:paraId="0685BDDA">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达标</w:t>
            </w:r>
          </w:p>
        </w:tc>
        <w:tc>
          <w:tcPr>
            <w:tcW w:w="644" w:type="pct"/>
            <w:shd w:val="clear" w:color="auto" w:fill="auto"/>
            <w:noWrap w:val="0"/>
            <w:vAlign w:val="center"/>
          </w:tcPr>
          <w:p w14:paraId="6772845C">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15</w:t>
            </w:r>
          </w:p>
        </w:tc>
      </w:tr>
      <w:tr w14:paraId="08471E6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7" w:type="dxa"/>
            <w:bottom w:w="0" w:type="dxa"/>
            <w:right w:w="17" w:type="dxa"/>
          </w:tblCellMar>
        </w:tblPrEx>
        <w:trPr>
          <w:trHeight w:val="23" w:hRule="atLeast"/>
          <w:jc w:val="center"/>
        </w:trPr>
        <w:tc>
          <w:tcPr>
            <w:tcW w:w="288" w:type="pct"/>
            <w:vMerge w:val="continue"/>
            <w:noWrap w:val="0"/>
            <w:vAlign w:val="center"/>
          </w:tcPr>
          <w:p w14:paraId="42439F06">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none"/>
                <w:lang w:val="en-US" w:eastAsia="zh-CN"/>
              </w:rPr>
            </w:pPr>
          </w:p>
        </w:tc>
        <w:tc>
          <w:tcPr>
            <w:tcW w:w="586" w:type="pct"/>
            <w:vMerge w:val="continue"/>
            <w:shd w:val="clear" w:color="auto" w:fill="auto"/>
            <w:noWrap w:val="0"/>
            <w:vAlign w:val="center"/>
          </w:tcPr>
          <w:p w14:paraId="0F1A57E9">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none"/>
                <w:lang w:val="en-US" w:eastAsia="zh-CN"/>
              </w:rPr>
            </w:pPr>
          </w:p>
        </w:tc>
        <w:tc>
          <w:tcPr>
            <w:tcW w:w="1139" w:type="pct"/>
            <w:shd w:val="clear" w:color="auto" w:fill="auto"/>
            <w:noWrap w:val="0"/>
            <w:vAlign w:val="center"/>
          </w:tcPr>
          <w:p w14:paraId="10249AC6">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二苯并[a,h]蒽</w:t>
            </w:r>
          </w:p>
        </w:tc>
        <w:tc>
          <w:tcPr>
            <w:tcW w:w="514" w:type="pct"/>
            <w:shd w:val="clear" w:color="auto" w:fill="auto"/>
            <w:noWrap w:val="0"/>
            <w:vAlign w:val="center"/>
          </w:tcPr>
          <w:p w14:paraId="750B7330">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mg/kg</w:t>
            </w:r>
          </w:p>
        </w:tc>
        <w:tc>
          <w:tcPr>
            <w:tcW w:w="772" w:type="pct"/>
            <w:shd w:val="clear" w:color="auto" w:fill="auto"/>
            <w:noWrap w:val="0"/>
            <w:vAlign w:val="center"/>
          </w:tcPr>
          <w:p w14:paraId="6F8168D4">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ND</w:t>
            </w:r>
          </w:p>
        </w:tc>
        <w:tc>
          <w:tcPr>
            <w:tcW w:w="529" w:type="pct"/>
            <w:shd w:val="clear" w:color="auto" w:fill="auto"/>
            <w:noWrap w:val="0"/>
            <w:vAlign w:val="center"/>
          </w:tcPr>
          <w:p w14:paraId="772E5C92">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0</w:t>
            </w:r>
          </w:p>
        </w:tc>
        <w:tc>
          <w:tcPr>
            <w:tcW w:w="525" w:type="pct"/>
            <w:shd w:val="clear" w:color="auto" w:fill="auto"/>
            <w:noWrap w:val="0"/>
            <w:vAlign w:val="center"/>
          </w:tcPr>
          <w:p w14:paraId="6EE15FF7">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达标</w:t>
            </w:r>
          </w:p>
        </w:tc>
        <w:tc>
          <w:tcPr>
            <w:tcW w:w="644" w:type="pct"/>
            <w:shd w:val="clear" w:color="auto" w:fill="auto"/>
            <w:noWrap w:val="0"/>
            <w:vAlign w:val="center"/>
          </w:tcPr>
          <w:p w14:paraId="16B6161F">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1.5</w:t>
            </w:r>
          </w:p>
        </w:tc>
      </w:tr>
      <w:tr w14:paraId="7E8AB41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7" w:type="dxa"/>
            <w:bottom w:w="0" w:type="dxa"/>
            <w:right w:w="17" w:type="dxa"/>
          </w:tblCellMar>
        </w:tblPrEx>
        <w:trPr>
          <w:trHeight w:val="23" w:hRule="atLeast"/>
          <w:jc w:val="center"/>
        </w:trPr>
        <w:tc>
          <w:tcPr>
            <w:tcW w:w="288" w:type="pct"/>
            <w:vMerge w:val="continue"/>
            <w:noWrap w:val="0"/>
            <w:vAlign w:val="center"/>
          </w:tcPr>
          <w:p w14:paraId="464A9B24">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none"/>
                <w:lang w:val="en-US" w:eastAsia="zh-CN"/>
              </w:rPr>
            </w:pPr>
          </w:p>
        </w:tc>
        <w:tc>
          <w:tcPr>
            <w:tcW w:w="586" w:type="pct"/>
            <w:vMerge w:val="continue"/>
            <w:shd w:val="clear" w:color="auto" w:fill="auto"/>
            <w:noWrap w:val="0"/>
            <w:vAlign w:val="center"/>
          </w:tcPr>
          <w:p w14:paraId="4E03335B">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none"/>
                <w:lang w:val="en-US" w:eastAsia="zh-CN"/>
              </w:rPr>
            </w:pPr>
          </w:p>
        </w:tc>
        <w:tc>
          <w:tcPr>
            <w:tcW w:w="1139" w:type="pct"/>
            <w:shd w:val="clear" w:color="auto" w:fill="auto"/>
            <w:noWrap w:val="0"/>
            <w:vAlign w:val="center"/>
          </w:tcPr>
          <w:p w14:paraId="45D4C80D">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氰化物</w:t>
            </w:r>
          </w:p>
        </w:tc>
        <w:tc>
          <w:tcPr>
            <w:tcW w:w="514" w:type="pct"/>
            <w:shd w:val="clear" w:color="auto" w:fill="auto"/>
            <w:noWrap w:val="0"/>
            <w:vAlign w:val="center"/>
          </w:tcPr>
          <w:p w14:paraId="53CDF5CD">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mg/kg</w:t>
            </w:r>
          </w:p>
        </w:tc>
        <w:tc>
          <w:tcPr>
            <w:tcW w:w="772" w:type="pct"/>
            <w:shd w:val="clear" w:color="auto" w:fill="auto"/>
            <w:noWrap w:val="0"/>
            <w:vAlign w:val="center"/>
          </w:tcPr>
          <w:p w14:paraId="6D56A008">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ND</w:t>
            </w:r>
          </w:p>
        </w:tc>
        <w:tc>
          <w:tcPr>
            <w:tcW w:w="529" w:type="pct"/>
            <w:shd w:val="clear" w:color="auto" w:fill="auto"/>
            <w:noWrap w:val="0"/>
            <w:vAlign w:val="center"/>
          </w:tcPr>
          <w:p w14:paraId="461C66CD">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0</w:t>
            </w:r>
          </w:p>
        </w:tc>
        <w:tc>
          <w:tcPr>
            <w:tcW w:w="525" w:type="pct"/>
            <w:shd w:val="clear" w:color="auto" w:fill="auto"/>
            <w:noWrap w:val="0"/>
            <w:vAlign w:val="center"/>
          </w:tcPr>
          <w:p w14:paraId="2F579428">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达标</w:t>
            </w:r>
          </w:p>
        </w:tc>
        <w:tc>
          <w:tcPr>
            <w:tcW w:w="644" w:type="pct"/>
            <w:shd w:val="clear" w:color="auto" w:fill="auto"/>
            <w:noWrap w:val="0"/>
            <w:vAlign w:val="center"/>
          </w:tcPr>
          <w:p w14:paraId="39E5C339">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sz w:val="21"/>
                <w:szCs w:val="21"/>
                <w:highlight w:val="none"/>
                <w:lang w:val="en-US" w:eastAsia="zh-CN"/>
              </w:rPr>
            </w:pPr>
            <w:r>
              <w:rPr>
                <w:rFonts w:hint="eastAsia"/>
                <w:sz w:val="21"/>
                <w:szCs w:val="21"/>
                <w:highlight w:val="none"/>
                <w:lang w:val="en-US" w:eastAsia="zh-CN"/>
              </w:rPr>
              <w:t>135</w:t>
            </w:r>
          </w:p>
        </w:tc>
      </w:tr>
      <w:tr w14:paraId="449CF26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7" w:type="dxa"/>
            <w:bottom w:w="0" w:type="dxa"/>
            <w:right w:w="17" w:type="dxa"/>
          </w:tblCellMar>
        </w:tblPrEx>
        <w:trPr>
          <w:trHeight w:val="23" w:hRule="atLeast"/>
          <w:jc w:val="center"/>
        </w:trPr>
        <w:tc>
          <w:tcPr>
            <w:tcW w:w="288" w:type="pct"/>
            <w:vMerge w:val="continue"/>
            <w:noWrap w:val="0"/>
            <w:vAlign w:val="center"/>
          </w:tcPr>
          <w:p w14:paraId="121A7212">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none"/>
                <w:lang w:val="en-US" w:eastAsia="zh-CN"/>
              </w:rPr>
            </w:pPr>
          </w:p>
        </w:tc>
        <w:tc>
          <w:tcPr>
            <w:tcW w:w="586" w:type="pct"/>
            <w:vMerge w:val="continue"/>
            <w:shd w:val="clear" w:color="auto" w:fill="auto"/>
            <w:noWrap w:val="0"/>
            <w:vAlign w:val="center"/>
          </w:tcPr>
          <w:p w14:paraId="70772F3E">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none"/>
                <w:lang w:val="en-US" w:eastAsia="zh-CN"/>
              </w:rPr>
            </w:pPr>
          </w:p>
        </w:tc>
        <w:tc>
          <w:tcPr>
            <w:tcW w:w="1139" w:type="pct"/>
            <w:shd w:val="clear" w:color="auto" w:fill="auto"/>
            <w:noWrap w:val="0"/>
            <w:vAlign w:val="center"/>
          </w:tcPr>
          <w:p w14:paraId="27C284B3">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锌</w:t>
            </w:r>
          </w:p>
        </w:tc>
        <w:tc>
          <w:tcPr>
            <w:tcW w:w="514" w:type="pct"/>
            <w:shd w:val="clear" w:color="auto" w:fill="auto"/>
            <w:noWrap w:val="0"/>
            <w:vAlign w:val="center"/>
          </w:tcPr>
          <w:p w14:paraId="7E61B66B">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mg/kg</w:t>
            </w:r>
          </w:p>
        </w:tc>
        <w:tc>
          <w:tcPr>
            <w:tcW w:w="772" w:type="pct"/>
            <w:shd w:val="clear" w:color="auto" w:fill="auto"/>
            <w:noWrap w:val="0"/>
            <w:vAlign w:val="center"/>
          </w:tcPr>
          <w:p w14:paraId="194C625E">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179</w:t>
            </w:r>
          </w:p>
        </w:tc>
        <w:tc>
          <w:tcPr>
            <w:tcW w:w="529" w:type="pct"/>
            <w:shd w:val="clear" w:color="auto" w:fill="auto"/>
            <w:noWrap w:val="0"/>
            <w:vAlign w:val="center"/>
          </w:tcPr>
          <w:p w14:paraId="0277BF9C">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w:t>
            </w:r>
          </w:p>
        </w:tc>
        <w:tc>
          <w:tcPr>
            <w:tcW w:w="525" w:type="pct"/>
            <w:shd w:val="clear" w:color="auto" w:fill="auto"/>
            <w:noWrap w:val="0"/>
            <w:vAlign w:val="center"/>
          </w:tcPr>
          <w:p w14:paraId="503110B3">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w:t>
            </w:r>
          </w:p>
        </w:tc>
        <w:tc>
          <w:tcPr>
            <w:tcW w:w="644" w:type="pct"/>
            <w:shd w:val="clear" w:color="auto" w:fill="auto"/>
            <w:noWrap w:val="0"/>
            <w:vAlign w:val="center"/>
          </w:tcPr>
          <w:p w14:paraId="35640A14">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sz w:val="21"/>
                <w:szCs w:val="21"/>
                <w:highlight w:val="none"/>
                <w:lang w:val="en-US" w:eastAsia="zh-CN"/>
              </w:rPr>
            </w:pPr>
            <w:r>
              <w:rPr>
                <w:rFonts w:hint="eastAsia"/>
                <w:sz w:val="21"/>
                <w:szCs w:val="21"/>
                <w:highlight w:val="none"/>
                <w:lang w:val="en-US" w:eastAsia="zh-CN"/>
              </w:rPr>
              <w:t>/</w:t>
            </w:r>
          </w:p>
        </w:tc>
      </w:tr>
      <w:tr w14:paraId="2D6FCFA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7" w:type="dxa"/>
            <w:bottom w:w="0" w:type="dxa"/>
            <w:right w:w="17" w:type="dxa"/>
          </w:tblCellMar>
        </w:tblPrEx>
        <w:trPr>
          <w:trHeight w:val="23" w:hRule="atLeast"/>
          <w:jc w:val="center"/>
        </w:trPr>
        <w:tc>
          <w:tcPr>
            <w:tcW w:w="288" w:type="pct"/>
            <w:vMerge w:val="continue"/>
            <w:noWrap w:val="0"/>
            <w:vAlign w:val="center"/>
          </w:tcPr>
          <w:p w14:paraId="605C4F26">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none"/>
                <w:lang w:val="en-US" w:eastAsia="zh-CN"/>
              </w:rPr>
            </w:pPr>
          </w:p>
        </w:tc>
        <w:tc>
          <w:tcPr>
            <w:tcW w:w="586" w:type="pct"/>
            <w:vMerge w:val="continue"/>
            <w:shd w:val="clear" w:color="auto" w:fill="auto"/>
            <w:noWrap w:val="0"/>
            <w:vAlign w:val="center"/>
          </w:tcPr>
          <w:p w14:paraId="4DF7EB11">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none"/>
                <w:lang w:val="en-US" w:eastAsia="zh-CN"/>
              </w:rPr>
            </w:pPr>
          </w:p>
        </w:tc>
        <w:tc>
          <w:tcPr>
            <w:tcW w:w="1139" w:type="pct"/>
            <w:shd w:val="clear" w:color="auto" w:fill="auto"/>
            <w:noWrap w:val="0"/>
            <w:vAlign w:val="center"/>
          </w:tcPr>
          <w:p w14:paraId="1D7A44FE">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总铬</w:t>
            </w:r>
          </w:p>
        </w:tc>
        <w:tc>
          <w:tcPr>
            <w:tcW w:w="514" w:type="pct"/>
            <w:shd w:val="clear" w:color="auto" w:fill="auto"/>
            <w:noWrap w:val="0"/>
            <w:vAlign w:val="center"/>
          </w:tcPr>
          <w:p w14:paraId="6DC45FF6">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mg/kg</w:t>
            </w:r>
          </w:p>
        </w:tc>
        <w:tc>
          <w:tcPr>
            <w:tcW w:w="772" w:type="pct"/>
            <w:shd w:val="clear" w:color="auto" w:fill="auto"/>
            <w:noWrap w:val="0"/>
            <w:vAlign w:val="center"/>
          </w:tcPr>
          <w:p w14:paraId="482F9524">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89</w:t>
            </w:r>
          </w:p>
        </w:tc>
        <w:tc>
          <w:tcPr>
            <w:tcW w:w="529" w:type="pct"/>
            <w:shd w:val="clear" w:color="auto" w:fill="auto"/>
            <w:noWrap w:val="0"/>
            <w:vAlign w:val="center"/>
          </w:tcPr>
          <w:p w14:paraId="4E80BC50">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w:t>
            </w:r>
          </w:p>
        </w:tc>
        <w:tc>
          <w:tcPr>
            <w:tcW w:w="525" w:type="pct"/>
            <w:shd w:val="clear" w:color="auto" w:fill="auto"/>
            <w:noWrap w:val="0"/>
            <w:vAlign w:val="center"/>
          </w:tcPr>
          <w:p w14:paraId="7390B862">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w:t>
            </w:r>
          </w:p>
        </w:tc>
        <w:tc>
          <w:tcPr>
            <w:tcW w:w="644" w:type="pct"/>
            <w:shd w:val="clear" w:color="auto" w:fill="auto"/>
            <w:noWrap w:val="0"/>
            <w:vAlign w:val="center"/>
          </w:tcPr>
          <w:p w14:paraId="6E3A9267">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sz w:val="21"/>
                <w:szCs w:val="21"/>
                <w:highlight w:val="none"/>
                <w:lang w:val="en-US" w:eastAsia="zh-CN"/>
              </w:rPr>
            </w:pPr>
            <w:r>
              <w:rPr>
                <w:rFonts w:hint="eastAsia"/>
                <w:sz w:val="21"/>
                <w:szCs w:val="21"/>
                <w:highlight w:val="none"/>
                <w:lang w:val="en-US" w:eastAsia="zh-CN"/>
              </w:rPr>
              <w:t>/</w:t>
            </w:r>
          </w:p>
        </w:tc>
      </w:tr>
      <w:tr w14:paraId="03A13A5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7" w:type="dxa"/>
            <w:bottom w:w="0" w:type="dxa"/>
            <w:right w:w="17" w:type="dxa"/>
          </w:tblCellMar>
        </w:tblPrEx>
        <w:trPr>
          <w:trHeight w:val="23" w:hRule="atLeast"/>
          <w:jc w:val="center"/>
        </w:trPr>
        <w:tc>
          <w:tcPr>
            <w:tcW w:w="288" w:type="pct"/>
            <w:vMerge w:val="restart"/>
            <w:noWrap w:val="0"/>
            <w:vAlign w:val="center"/>
          </w:tcPr>
          <w:p w14:paraId="355988DD">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sz w:val="21"/>
                <w:szCs w:val="21"/>
                <w:highlight w:val="none"/>
                <w:lang w:val="en-US" w:eastAsia="zh-CN"/>
              </w:rPr>
            </w:pPr>
            <w:r>
              <w:rPr>
                <w:rFonts w:hint="eastAsia"/>
                <w:sz w:val="21"/>
                <w:szCs w:val="21"/>
                <w:highlight w:val="none"/>
                <w:lang w:val="en-US" w:eastAsia="zh-CN"/>
              </w:rPr>
              <w:t>T4</w:t>
            </w:r>
          </w:p>
        </w:tc>
        <w:tc>
          <w:tcPr>
            <w:tcW w:w="586" w:type="pct"/>
            <w:vMerge w:val="restart"/>
            <w:shd w:val="clear" w:color="auto" w:fill="auto"/>
            <w:noWrap w:val="0"/>
            <w:vAlign w:val="center"/>
          </w:tcPr>
          <w:p w14:paraId="10F35441">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sz w:val="21"/>
                <w:szCs w:val="21"/>
                <w:highlight w:val="none"/>
                <w:lang w:val="en-US" w:eastAsia="zh-CN"/>
              </w:rPr>
            </w:pPr>
            <w:r>
              <w:rPr>
                <w:rFonts w:hint="eastAsia"/>
                <w:sz w:val="21"/>
                <w:szCs w:val="21"/>
                <w:highlight w:val="none"/>
                <w:lang w:val="en-US" w:eastAsia="zh-CN"/>
              </w:rPr>
              <w:t>0~0.2m</w:t>
            </w:r>
          </w:p>
        </w:tc>
        <w:tc>
          <w:tcPr>
            <w:tcW w:w="1139" w:type="pct"/>
            <w:shd w:val="clear" w:color="auto" w:fill="auto"/>
            <w:noWrap w:val="0"/>
            <w:vAlign w:val="center"/>
          </w:tcPr>
          <w:p w14:paraId="05B632D3">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pH</w:t>
            </w:r>
          </w:p>
        </w:tc>
        <w:tc>
          <w:tcPr>
            <w:tcW w:w="514" w:type="pct"/>
            <w:shd w:val="clear" w:color="auto" w:fill="auto"/>
            <w:noWrap w:val="0"/>
            <w:vAlign w:val="center"/>
          </w:tcPr>
          <w:p w14:paraId="76A3BEB4">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color w:val="auto"/>
                <w:sz w:val="21"/>
                <w:szCs w:val="21"/>
                <w:highlight w:val="none"/>
                <w:lang w:val="en-US" w:eastAsia="zh-CN"/>
              </w:rPr>
              <w:t>无量纲</w:t>
            </w:r>
          </w:p>
        </w:tc>
        <w:tc>
          <w:tcPr>
            <w:tcW w:w="772" w:type="pct"/>
            <w:shd w:val="clear" w:color="auto" w:fill="auto"/>
            <w:noWrap w:val="0"/>
            <w:vAlign w:val="center"/>
          </w:tcPr>
          <w:p w14:paraId="45D46310">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4.91</w:t>
            </w:r>
          </w:p>
        </w:tc>
        <w:tc>
          <w:tcPr>
            <w:tcW w:w="529" w:type="pct"/>
            <w:shd w:val="clear" w:color="auto" w:fill="auto"/>
            <w:noWrap w:val="0"/>
            <w:vAlign w:val="center"/>
          </w:tcPr>
          <w:p w14:paraId="212A5A81">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w:t>
            </w:r>
          </w:p>
        </w:tc>
        <w:tc>
          <w:tcPr>
            <w:tcW w:w="525" w:type="pct"/>
            <w:shd w:val="clear" w:color="auto" w:fill="auto"/>
            <w:noWrap w:val="0"/>
            <w:vAlign w:val="center"/>
          </w:tcPr>
          <w:p w14:paraId="13F759A0">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w:t>
            </w:r>
          </w:p>
        </w:tc>
        <w:tc>
          <w:tcPr>
            <w:tcW w:w="644" w:type="pct"/>
            <w:shd w:val="clear" w:color="auto" w:fill="auto"/>
            <w:noWrap w:val="0"/>
            <w:vAlign w:val="center"/>
          </w:tcPr>
          <w:p w14:paraId="56CF6801">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w:t>
            </w:r>
          </w:p>
        </w:tc>
      </w:tr>
      <w:tr w14:paraId="4DE9446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7" w:type="dxa"/>
            <w:bottom w:w="0" w:type="dxa"/>
            <w:right w:w="17" w:type="dxa"/>
          </w:tblCellMar>
        </w:tblPrEx>
        <w:trPr>
          <w:trHeight w:val="23" w:hRule="atLeast"/>
          <w:jc w:val="center"/>
        </w:trPr>
        <w:tc>
          <w:tcPr>
            <w:tcW w:w="288" w:type="pct"/>
            <w:vMerge w:val="continue"/>
            <w:noWrap w:val="0"/>
            <w:vAlign w:val="center"/>
          </w:tcPr>
          <w:p w14:paraId="36694B9E">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none"/>
                <w:lang w:val="en-US" w:eastAsia="zh-CN"/>
              </w:rPr>
            </w:pPr>
          </w:p>
        </w:tc>
        <w:tc>
          <w:tcPr>
            <w:tcW w:w="586" w:type="pct"/>
            <w:vMerge w:val="continue"/>
            <w:shd w:val="clear" w:color="auto" w:fill="auto"/>
            <w:noWrap w:val="0"/>
            <w:vAlign w:val="center"/>
          </w:tcPr>
          <w:p w14:paraId="78E18CC7">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none"/>
                <w:lang w:val="en-US" w:eastAsia="zh-CN"/>
              </w:rPr>
            </w:pPr>
          </w:p>
        </w:tc>
        <w:tc>
          <w:tcPr>
            <w:tcW w:w="1139" w:type="pct"/>
            <w:shd w:val="clear" w:color="auto" w:fill="auto"/>
            <w:noWrap w:val="0"/>
            <w:vAlign w:val="center"/>
          </w:tcPr>
          <w:p w14:paraId="4D43F226">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砷</w:t>
            </w:r>
          </w:p>
        </w:tc>
        <w:tc>
          <w:tcPr>
            <w:tcW w:w="514" w:type="pct"/>
            <w:shd w:val="clear" w:color="auto" w:fill="auto"/>
            <w:noWrap w:val="0"/>
            <w:vAlign w:val="center"/>
          </w:tcPr>
          <w:p w14:paraId="71D6F995">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mg/kg</w:t>
            </w:r>
          </w:p>
        </w:tc>
        <w:tc>
          <w:tcPr>
            <w:tcW w:w="772" w:type="pct"/>
            <w:shd w:val="clear" w:color="auto" w:fill="auto"/>
            <w:noWrap w:val="0"/>
            <w:vAlign w:val="center"/>
          </w:tcPr>
          <w:p w14:paraId="7A60E5D2">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kern w:val="2"/>
                <w:sz w:val="21"/>
                <w:szCs w:val="21"/>
                <w:highlight w:val="none"/>
                <w:lang w:val="en-US" w:eastAsia="zh-CN" w:bidi="ar-SA"/>
              </w:rPr>
            </w:pPr>
            <w:r>
              <w:rPr>
                <w:rFonts w:hint="eastAsia" w:cs="Times New Roman"/>
                <w:b/>
                <w:bCs/>
                <w:kern w:val="2"/>
                <w:sz w:val="21"/>
                <w:szCs w:val="21"/>
                <w:highlight w:val="none"/>
                <w:lang w:val="en-US" w:eastAsia="zh-CN" w:bidi="ar-SA"/>
              </w:rPr>
              <w:t>121</w:t>
            </w:r>
          </w:p>
        </w:tc>
        <w:tc>
          <w:tcPr>
            <w:tcW w:w="529" w:type="pct"/>
            <w:shd w:val="clear" w:color="auto" w:fill="auto"/>
            <w:noWrap w:val="0"/>
            <w:vAlign w:val="center"/>
          </w:tcPr>
          <w:p w14:paraId="36B06CA4">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kern w:val="2"/>
                <w:sz w:val="21"/>
                <w:szCs w:val="21"/>
                <w:highlight w:val="none"/>
                <w:lang w:val="en-US" w:eastAsia="zh-CN" w:bidi="ar-SA"/>
              </w:rPr>
            </w:pPr>
            <w:r>
              <w:rPr>
                <w:rFonts w:hint="eastAsia" w:cs="Times New Roman"/>
                <w:b/>
                <w:bCs/>
                <w:kern w:val="2"/>
                <w:sz w:val="21"/>
                <w:szCs w:val="21"/>
                <w:highlight w:val="none"/>
                <w:lang w:val="en-US" w:eastAsia="zh-CN" w:bidi="ar-SA"/>
              </w:rPr>
              <w:t>1.02</w:t>
            </w:r>
          </w:p>
        </w:tc>
        <w:tc>
          <w:tcPr>
            <w:tcW w:w="525" w:type="pct"/>
            <w:shd w:val="clear" w:color="auto" w:fill="auto"/>
            <w:noWrap w:val="0"/>
            <w:vAlign w:val="center"/>
          </w:tcPr>
          <w:p w14:paraId="0737CA6F">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kern w:val="2"/>
                <w:sz w:val="21"/>
                <w:szCs w:val="21"/>
                <w:highlight w:val="none"/>
                <w:lang w:val="en-US" w:eastAsia="zh-CN" w:bidi="ar-SA"/>
              </w:rPr>
            </w:pPr>
            <w:r>
              <w:rPr>
                <w:rFonts w:hint="eastAsia" w:cs="Times New Roman"/>
                <w:b/>
                <w:bCs/>
                <w:kern w:val="2"/>
                <w:sz w:val="21"/>
                <w:szCs w:val="21"/>
                <w:highlight w:val="none"/>
                <w:lang w:val="en-US" w:eastAsia="zh-CN" w:bidi="ar-SA"/>
              </w:rPr>
              <w:t>超标</w:t>
            </w:r>
          </w:p>
        </w:tc>
        <w:tc>
          <w:tcPr>
            <w:tcW w:w="644" w:type="pct"/>
            <w:shd w:val="clear" w:color="auto" w:fill="auto"/>
            <w:noWrap w:val="0"/>
            <w:vAlign w:val="center"/>
          </w:tcPr>
          <w:p w14:paraId="1912F7D8">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bCs/>
                <w:kern w:val="2"/>
                <w:sz w:val="21"/>
                <w:szCs w:val="21"/>
                <w:highlight w:val="none"/>
                <w:lang w:val="en-US" w:eastAsia="zh-CN" w:bidi="ar-SA"/>
              </w:rPr>
            </w:pPr>
            <w:r>
              <w:rPr>
                <w:rFonts w:hint="eastAsia"/>
                <w:b/>
                <w:bCs/>
                <w:sz w:val="21"/>
                <w:szCs w:val="21"/>
                <w:highlight w:val="none"/>
                <w:lang w:val="en-US" w:eastAsia="zh-CN"/>
              </w:rPr>
              <w:t>60</w:t>
            </w:r>
          </w:p>
        </w:tc>
      </w:tr>
      <w:tr w14:paraId="6CB1D79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7" w:type="dxa"/>
            <w:bottom w:w="0" w:type="dxa"/>
            <w:right w:w="17" w:type="dxa"/>
          </w:tblCellMar>
        </w:tblPrEx>
        <w:trPr>
          <w:trHeight w:val="23" w:hRule="atLeast"/>
          <w:jc w:val="center"/>
        </w:trPr>
        <w:tc>
          <w:tcPr>
            <w:tcW w:w="288" w:type="pct"/>
            <w:vMerge w:val="continue"/>
            <w:noWrap w:val="0"/>
            <w:vAlign w:val="center"/>
          </w:tcPr>
          <w:p w14:paraId="23D39639">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none"/>
                <w:lang w:val="en-US" w:eastAsia="zh-CN"/>
              </w:rPr>
            </w:pPr>
          </w:p>
        </w:tc>
        <w:tc>
          <w:tcPr>
            <w:tcW w:w="586" w:type="pct"/>
            <w:vMerge w:val="continue"/>
            <w:shd w:val="clear" w:color="auto" w:fill="auto"/>
            <w:noWrap w:val="0"/>
            <w:vAlign w:val="center"/>
          </w:tcPr>
          <w:p w14:paraId="5E7C5B4B">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none"/>
                <w:lang w:val="en-US" w:eastAsia="zh-CN"/>
              </w:rPr>
            </w:pPr>
          </w:p>
        </w:tc>
        <w:tc>
          <w:tcPr>
            <w:tcW w:w="1139" w:type="pct"/>
            <w:shd w:val="clear" w:color="auto" w:fill="auto"/>
            <w:noWrap w:val="0"/>
            <w:vAlign w:val="center"/>
          </w:tcPr>
          <w:p w14:paraId="3A5E17CC">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镍</w:t>
            </w:r>
          </w:p>
        </w:tc>
        <w:tc>
          <w:tcPr>
            <w:tcW w:w="514" w:type="pct"/>
            <w:shd w:val="clear" w:color="auto" w:fill="auto"/>
            <w:noWrap w:val="0"/>
            <w:vAlign w:val="center"/>
          </w:tcPr>
          <w:p w14:paraId="0035E62A">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mg/kg</w:t>
            </w:r>
          </w:p>
        </w:tc>
        <w:tc>
          <w:tcPr>
            <w:tcW w:w="772" w:type="pct"/>
            <w:shd w:val="clear" w:color="auto" w:fill="auto"/>
            <w:noWrap w:val="0"/>
            <w:vAlign w:val="center"/>
          </w:tcPr>
          <w:p w14:paraId="5F9D4FC5">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31</w:t>
            </w:r>
          </w:p>
        </w:tc>
        <w:tc>
          <w:tcPr>
            <w:tcW w:w="529" w:type="pct"/>
            <w:shd w:val="clear" w:color="auto" w:fill="auto"/>
            <w:noWrap w:val="0"/>
            <w:vAlign w:val="center"/>
          </w:tcPr>
          <w:p w14:paraId="04DD5EB1">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0</w:t>
            </w:r>
          </w:p>
        </w:tc>
        <w:tc>
          <w:tcPr>
            <w:tcW w:w="525" w:type="pct"/>
            <w:shd w:val="clear" w:color="auto" w:fill="auto"/>
            <w:noWrap w:val="0"/>
            <w:vAlign w:val="center"/>
          </w:tcPr>
          <w:p w14:paraId="5783A033">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达标</w:t>
            </w:r>
          </w:p>
        </w:tc>
        <w:tc>
          <w:tcPr>
            <w:tcW w:w="644" w:type="pct"/>
            <w:shd w:val="clear" w:color="auto" w:fill="auto"/>
            <w:noWrap w:val="0"/>
            <w:vAlign w:val="center"/>
          </w:tcPr>
          <w:p w14:paraId="6D603681">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900</w:t>
            </w:r>
          </w:p>
        </w:tc>
      </w:tr>
      <w:tr w14:paraId="7729E68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7" w:type="dxa"/>
            <w:bottom w:w="0" w:type="dxa"/>
            <w:right w:w="17" w:type="dxa"/>
          </w:tblCellMar>
        </w:tblPrEx>
        <w:trPr>
          <w:trHeight w:val="23" w:hRule="atLeast"/>
          <w:jc w:val="center"/>
        </w:trPr>
        <w:tc>
          <w:tcPr>
            <w:tcW w:w="288" w:type="pct"/>
            <w:vMerge w:val="continue"/>
            <w:noWrap w:val="0"/>
            <w:vAlign w:val="center"/>
          </w:tcPr>
          <w:p w14:paraId="2B68501E">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none"/>
                <w:lang w:val="en-US" w:eastAsia="zh-CN"/>
              </w:rPr>
            </w:pPr>
          </w:p>
        </w:tc>
        <w:tc>
          <w:tcPr>
            <w:tcW w:w="586" w:type="pct"/>
            <w:vMerge w:val="continue"/>
            <w:shd w:val="clear" w:color="auto" w:fill="auto"/>
            <w:noWrap w:val="0"/>
            <w:vAlign w:val="center"/>
          </w:tcPr>
          <w:p w14:paraId="2288D607">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none"/>
                <w:lang w:val="en-US" w:eastAsia="zh-CN"/>
              </w:rPr>
            </w:pPr>
          </w:p>
        </w:tc>
        <w:tc>
          <w:tcPr>
            <w:tcW w:w="1139" w:type="pct"/>
            <w:shd w:val="clear" w:color="auto" w:fill="auto"/>
            <w:noWrap w:val="0"/>
            <w:vAlign w:val="center"/>
          </w:tcPr>
          <w:p w14:paraId="4BEFB559">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铅</w:t>
            </w:r>
          </w:p>
        </w:tc>
        <w:tc>
          <w:tcPr>
            <w:tcW w:w="514" w:type="pct"/>
            <w:shd w:val="clear" w:color="auto" w:fill="auto"/>
            <w:noWrap w:val="0"/>
            <w:vAlign w:val="center"/>
          </w:tcPr>
          <w:p w14:paraId="08F2D549">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mg/kg</w:t>
            </w:r>
          </w:p>
        </w:tc>
        <w:tc>
          <w:tcPr>
            <w:tcW w:w="772" w:type="pct"/>
            <w:shd w:val="clear" w:color="auto" w:fill="auto"/>
            <w:noWrap w:val="0"/>
            <w:vAlign w:val="center"/>
          </w:tcPr>
          <w:p w14:paraId="112FEE86">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43</w:t>
            </w:r>
          </w:p>
        </w:tc>
        <w:tc>
          <w:tcPr>
            <w:tcW w:w="529" w:type="pct"/>
            <w:shd w:val="clear" w:color="auto" w:fill="auto"/>
            <w:noWrap w:val="0"/>
            <w:vAlign w:val="center"/>
          </w:tcPr>
          <w:p w14:paraId="76CD4190">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0</w:t>
            </w:r>
          </w:p>
        </w:tc>
        <w:tc>
          <w:tcPr>
            <w:tcW w:w="525" w:type="pct"/>
            <w:shd w:val="clear" w:color="auto" w:fill="auto"/>
            <w:noWrap w:val="0"/>
            <w:vAlign w:val="center"/>
          </w:tcPr>
          <w:p w14:paraId="36D437E9">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达标</w:t>
            </w:r>
          </w:p>
        </w:tc>
        <w:tc>
          <w:tcPr>
            <w:tcW w:w="644" w:type="pct"/>
            <w:shd w:val="clear" w:color="auto" w:fill="auto"/>
            <w:noWrap w:val="0"/>
            <w:vAlign w:val="center"/>
          </w:tcPr>
          <w:p w14:paraId="68109092">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800</w:t>
            </w:r>
          </w:p>
        </w:tc>
      </w:tr>
      <w:tr w14:paraId="2EF0215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7" w:type="dxa"/>
            <w:bottom w:w="0" w:type="dxa"/>
            <w:right w:w="17" w:type="dxa"/>
          </w:tblCellMar>
        </w:tblPrEx>
        <w:trPr>
          <w:trHeight w:val="23" w:hRule="atLeast"/>
          <w:jc w:val="center"/>
        </w:trPr>
        <w:tc>
          <w:tcPr>
            <w:tcW w:w="288" w:type="pct"/>
            <w:vMerge w:val="continue"/>
            <w:noWrap w:val="0"/>
            <w:vAlign w:val="center"/>
          </w:tcPr>
          <w:p w14:paraId="6F11A593">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none"/>
                <w:lang w:val="en-US" w:eastAsia="zh-CN"/>
              </w:rPr>
            </w:pPr>
          </w:p>
        </w:tc>
        <w:tc>
          <w:tcPr>
            <w:tcW w:w="586" w:type="pct"/>
            <w:vMerge w:val="continue"/>
            <w:shd w:val="clear" w:color="auto" w:fill="auto"/>
            <w:noWrap w:val="0"/>
            <w:vAlign w:val="center"/>
          </w:tcPr>
          <w:p w14:paraId="3892BE0D">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none"/>
                <w:lang w:val="en-US" w:eastAsia="zh-CN"/>
              </w:rPr>
            </w:pPr>
          </w:p>
        </w:tc>
        <w:tc>
          <w:tcPr>
            <w:tcW w:w="1139" w:type="pct"/>
            <w:shd w:val="clear" w:color="auto" w:fill="auto"/>
            <w:noWrap w:val="0"/>
            <w:vAlign w:val="center"/>
          </w:tcPr>
          <w:p w14:paraId="7D664209">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镉</w:t>
            </w:r>
          </w:p>
        </w:tc>
        <w:tc>
          <w:tcPr>
            <w:tcW w:w="514" w:type="pct"/>
            <w:shd w:val="clear" w:color="auto" w:fill="auto"/>
            <w:noWrap w:val="0"/>
            <w:vAlign w:val="center"/>
          </w:tcPr>
          <w:p w14:paraId="01D27D58">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mg/kg</w:t>
            </w:r>
          </w:p>
        </w:tc>
        <w:tc>
          <w:tcPr>
            <w:tcW w:w="772" w:type="pct"/>
            <w:shd w:val="clear" w:color="auto" w:fill="auto"/>
            <w:noWrap w:val="0"/>
            <w:vAlign w:val="center"/>
          </w:tcPr>
          <w:p w14:paraId="3C433A61">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0.15</w:t>
            </w:r>
          </w:p>
        </w:tc>
        <w:tc>
          <w:tcPr>
            <w:tcW w:w="529" w:type="pct"/>
            <w:shd w:val="clear" w:color="auto" w:fill="auto"/>
            <w:noWrap w:val="0"/>
            <w:vAlign w:val="center"/>
          </w:tcPr>
          <w:p w14:paraId="4A10CA6A">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0</w:t>
            </w:r>
          </w:p>
        </w:tc>
        <w:tc>
          <w:tcPr>
            <w:tcW w:w="525" w:type="pct"/>
            <w:shd w:val="clear" w:color="auto" w:fill="auto"/>
            <w:noWrap w:val="0"/>
            <w:vAlign w:val="center"/>
          </w:tcPr>
          <w:p w14:paraId="5E3460F2">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达标</w:t>
            </w:r>
          </w:p>
        </w:tc>
        <w:tc>
          <w:tcPr>
            <w:tcW w:w="644" w:type="pct"/>
            <w:shd w:val="clear" w:color="auto" w:fill="auto"/>
            <w:noWrap w:val="0"/>
            <w:vAlign w:val="center"/>
          </w:tcPr>
          <w:p w14:paraId="371873E5">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65</w:t>
            </w:r>
          </w:p>
        </w:tc>
      </w:tr>
      <w:tr w14:paraId="5C0C139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7" w:type="dxa"/>
            <w:bottom w:w="0" w:type="dxa"/>
            <w:right w:w="17" w:type="dxa"/>
          </w:tblCellMar>
        </w:tblPrEx>
        <w:trPr>
          <w:trHeight w:val="23" w:hRule="atLeast"/>
          <w:jc w:val="center"/>
        </w:trPr>
        <w:tc>
          <w:tcPr>
            <w:tcW w:w="288" w:type="pct"/>
            <w:vMerge w:val="continue"/>
            <w:noWrap w:val="0"/>
            <w:vAlign w:val="center"/>
          </w:tcPr>
          <w:p w14:paraId="0666349A">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none"/>
                <w:lang w:val="en-US" w:eastAsia="zh-CN"/>
              </w:rPr>
            </w:pPr>
          </w:p>
        </w:tc>
        <w:tc>
          <w:tcPr>
            <w:tcW w:w="586" w:type="pct"/>
            <w:vMerge w:val="continue"/>
            <w:shd w:val="clear" w:color="auto" w:fill="auto"/>
            <w:noWrap w:val="0"/>
            <w:vAlign w:val="center"/>
          </w:tcPr>
          <w:p w14:paraId="78FB0C74">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none"/>
                <w:lang w:val="en-US" w:eastAsia="zh-CN"/>
              </w:rPr>
            </w:pPr>
          </w:p>
        </w:tc>
        <w:tc>
          <w:tcPr>
            <w:tcW w:w="1139" w:type="pct"/>
            <w:shd w:val="clear" w:color="auto" w:fill="auto"/>
            <w:noWrap w:val="0"/>
            <w:vAlign w:val="center"/>
          </w:tcPr>
          <w:p w14:paraId="1F3A71E0">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总铬</w:t>
            </w:r>
          </w:p>
        </w:tc>
        <w:tc>
          <w:tcPr>
            <w:tcW w:w="514" w:type="pct"/>
            <w:shd w:val="clear" w:color="auto" w:fill="auto"/>
            <w:noWrap w:val="0"/>
            <w:vAlign w:val="center"/>
          </w:tcPr>
          <w:p w14:paraId="1FF0789A">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mg/kg</w:t>
            </w:r>
          </w:p>
        </w:tc>
        <w:tc>
          <w:tcPr>
            <w:tcW w:w="772" w:type="pct"/>
            <w:shd w:val="clear" w:color="auto" w:fill="auto"/>
            <w:noWrap w:val="0"/>
            <w:vAlign w:val="center"/>
          </w:tcPr>
          <w:p w14:paraId="002D8791">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86</w:t>
            </w:r>
          </w:p>
        </w:tc>
        <w:tc>
          <w:tcPr>
            <w:tcW w:w="529" w:type="pct"/>
            <w:shd w:val="clear" w:color="auto" w:fill="auto"/>
            <w:noWrap w:val="0"/>
            <w:vAlign w:val="center"/>
          </w:tcPr>
          <w:p w14:paraId="4268AB09">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w:t>
            </w:r>
          </w:p>
        </w:tc>
        <w:tc>
          <w:tcPr>
            <w:tcW w:w="525" w:type="pct"/>
            <w:shd w:val="clear" w:color="auto" w:fill="auto"/>
            <w:noWrap w:val="0"/>
            <w:vAlign w:val="center"/>
          </w:tcPr>
          <w:p w14:paraId="0AAD7CC5">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w:t>
            </w:r>
          </w:p>
        </w:tc>
        <w:tc>
          <w:tcPr>
            <w:tcW w:w="644" w:type="pct"/>
            <w:shd w:val="clear" w:color="auto" w:fill="auto"/>
            <w:noWrap w:val="0"/>
            <w:vAlign w:val="center"/>
          </w:tcPr>
          <w:p w14:paraId="453524FF">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w:t>
            </w:r>
          </w:p>
        </w:tc>
      </w:tr>
      <w:tr w14:paraId="68A3024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7" w:type="dxa"/>
            <w:bottom w:w="0" w:type="dxa"/>
            <w:right w:w="17" w:type="dxa"/>
          </w:tblCellMar>
        </w:tblPrEx>
        <w:trPr>
          <w:trHeight w:val="23" w:hRule="atLeast"/>
          <w:jc w:val="center"/>
        </w:trPr>
        <w:tc>
          <w:tcPr>
            <w:tcW w:w="288" w:type="pct"/>
            <w:vMerge w:val="continue"/>
            <w:noWrap w:val="0"/>
            <w:vAlign w:val="center"/>
          </w:tcPr>
          <w:p w14:paraId="138BC9E4">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none"/>
                <w:lang w:val="en-US" w:eastAsia="zh-CN"/>
              </w:rPr>
            </w:pPr>
          </w:p>
        </w:tc>
        <w:tc>
          <w:tcPr>
            <w:tcW w:w="586" w:type="pct"/>
            <w:vMerge w:val="continue"/>
            <w:shd w:val="clear" w:color="auto" w:fill="auto"/>
            <w:noWrap w:val="0"/>
            <w:vAlign w:val="center"/>
          </w:tcPr>
          <w:p w14:paraId="5337BBA7">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none"/>
                <w:lang w:val="en-US" w:eastAsia="zh-CN"/>
              </w:rPr>
            </w:pPr>
          </w:p>
        </w:tc>
        <w:tc>
          <w:tcPr>
            <w:tcW w:w="1139" w:type="pct"/>
            <w:shd w:val="clear" w:color="auto" w:fill="auto"/>
            <w:noWrap w:val="0"/>
            <w:vAlign w:val="center"/>
          </w:tcPr>
          <w:p w14:paraId="0E2768CE">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铬（六价）</w:t>
            </w:r>
          </w:p>
        </w:tc>
        <w:tc>
          <w:tcPr>
            <w:tcW w:w="514" w:type="pct"/>
            <w:shd w:val="clear" w:color="auto" w:fill="auto"/>
            <w:noWrap w:val="0"/>
            <w:vAlign w:val="center"/>
          </w:tcPr>
          <w:p w14:paraId="7E33CD0D">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mg/kg</w:t>
            </w:r>
          </w:p>
        </w:tc>
        <w:tc>
          <w:tcPr>
            <w:tcW w:w="772" w:type="pct"/>
            <w:shd w:val="clear" w:color="auto" w:fill="auto"/>
            <w:noWrap w:val="0"/>
            <w:vAlign w:val="center"/>
          </w:tcPr>
          <w:p w14:paraId="695930FD">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ND</w:t>
            </w:r>
          </w:p>
        </w:tc>
        <w:tc>
          <w:tcPr>
            <w:tcW w:w="529" w:type="pct"/>
            <w:shd w:val="clear" w:color="auto" w:fill="auto"/>
            <w:noWrap w:val="0"/>
            <w:vAlign w:val="center"/>
          </w:tcPr>
          <w:p w14:paraId="294B5799">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0</w:t>
            </w:r>
          </w:p>
        </w:tc>
        <w:tc>
          <w:tcPr>
            <w:tcW w:w="525" w:type="pct"/>
            <w:shd w:val="clear" w:color="auto" w:fill="auto"/>
            <w:noWrap w:val="0"/>
            <w:vAlign w:val="center"/>
          </w:tcPr>
          <w:p w14:paraId="7A72B5DA">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达标</w:t>
            </w:r>
          </w:p>
        </w:tc>
        <w:tc>
          <w:tcPr>
            <w:tcW w:w="644" w:type="pct"/>
            <w:shd w:val="clear" w:color="auto" w:fill="auto"/>
            <w:noWrap w:val="0"/>
            <w:vAlign w:val="center"/>
          </w:tcPr>
          <w:p w14:paraId="06E8F134">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5.7</w:t>
            </w:r>
          </w:p>
        </w:tc>
      </w:tr>
      <w:tr w14:paraId="5E4869C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7" w:type="dxa"/>
            <w:bottom w:w="0" w:type="dxa"/>
            <w:right w:w="17" w:type="dxa"/>
          </w:tblCellMar>
        </w:tblPrEx>
        <w:trPr>
          <w:trHeight w:val="23" w:hRule="atLeast"/>
          <w:jc w:val="center"/>
        </w:trPr>
        <w:tc>
          <w:tcPr>
            <w:tcW w:w="288" w:type="pct"/>
            <w:vMerge w:val="continue"/>
            <w:noWrap w:val="0"/>
            <w:vAlign w:val="center"/>
          </w:tcPr>
          <w:p w14:paraId="5EB7A2FB">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sz w:val="21"/>
                <w:szCs w:val="21"/>
                <w:highlight w:val="none"/>
                <w:lang w:val="en-US" w:eastAsia="zh-CN"/>
              </w:rPr>
            </w:pPr>
          </w:p>
        </w:tc>
        <w:tc>
          <w:tcPr>
            <w:tcW w:w="586" w:type="pct"/>
            <w:vMerge w:val="continue"/>
            <w:shd w:val="clear" w:color="auto" w:fill="auto"/>
            <w:noWrap w:val="0"/>
            <w:vAlign w:val="center"/>
          </w:tcPr>
          <w:p w14:paraId="6DD180C2">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sz w:val="21"/>
                <w:szCs w:val="21"/>
                <w:highlight w:val="none"/>
                <w:lang w:val="en-US" w:eastAsia="zh-CN"/>
              </w:rPr>
            </w:pPr>
          </w:p>
        </w:tc>
        <w:tc>
          <w:tcPr>
            <w:tcW w:w="1139" w:type="pct"/>
            <w:shd w:val="clear" w:color="auto" w:fill="auto"/>
            <w:noWrap w:val="0"/>
            <w:vAlign w:val="center"/>
          </w:tcPr>
          <w:p w14:paraId="2435D402">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汞</w:t>
            </w:r>
          </w:p>
        </w:tc>
        <w:tc>
          <w:tcPr>
            <w:tcW w:w="514" w:type="pct"/>
            <w:shd w:val="clear" w:color="auto" w:fill="auto"/>
            <w:noWrap w:val="0"/>
            <w:vAlign w:val="center"/>
          </w:tcPr>
          <w:p w14:paraId="3AE63C4F">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mg/kg</w:t>
            </w:r>
          </w:p>
        </w:tc>
        <w:tc>
          <w:tcPr>
            <w:tcW w:w="772" w:type="pct"/>
            <w:shd w:val="clear" w:color="auto" w:fill="auto"/>
            <w:noWrap w:val="0"/>
            <w:vAlign w:val="center"/>
          </w:tcPr>
          <w:p w14:paraId="15C40CDA">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0.0756</w:t>
            </w:r>
          </w:p>
        </w:tc>
        <w:tc>
          <w:tcPr>
            <w:tcW w:w="529" w:type="pct"/>
            <w:shd w:val="clear" w:color="auto" w:fill="auto"/>
            <w:noWrap w:val="0"/>
            <w:vAlign w:val="center"/>
          </w:tcPr>
          <w:p w14:paraId="75BF3C8D">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0</w:t>
            </w:r>
          </w:p>
        </w:tc>
        <w:tc>
          <w:tcPr>
            <w:tcW w:w="525" w:type="pct"/>
            <w:shd w:val="clear" w:color="auto" w:fill="auto"/>
            <w:noWrap w:val="0"/>
            <w:vAlign w:val="center"/>
          </w:tcPr>
          <w:p w14:paraId="131890CF">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达标</w:t>
            </w:r>
          </w:p>
        </w:tc>
        <w:tc>
          <w:tcPr>
            <w:tcW w:w="644" w:type="pct"/>
            <w:shd w:val="clear" w:color="auto" w:fill="auto"/>
            <w:noWrap w:val="0"/>
            <w:vAlign w:val="center"/>
          </w:tcPr>
          <w:p w14:paraId="186187A9">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38</w:t>
            </w:r>
          </w:p>
        </w:tc>
      </w:tr>
      <w:tr w14:paraId="0648A4D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7" w:type="dxa"/>
            <w:bottom w:w="0" w:type="dxa"/>
            <w:right w:w="17" w:type="dxa"/>
          </w:tblCellMar>
        </w:tblPrEx>
        <w:trPr>
          <w:trHeight w:val="90" w:hRule="atLeast"/>
          <w:jc w:val="center"/>
        </w:trPr>
        <w:tc>
          <w:tcPr>
            <w:tcW w:w="288" w:type="pct"/>
            <w:vMerge w:val="continue"/>
            <w:noWrap w:val="0"/>
            <w:vAlign w:val="center"/>
          </w:tcPr>
          <w:p w14:paraId="1A9384C4">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sz w:val="21"/>
                <w:szCs w:val="21"/>
                <w:highlight w:val="none"/>
                <w:lang w:val="en-US" w:eastAsia="zh-CN"/>
              </w:rPr>
            </w:pPr>
          </w:p>
        </w:tc>
        <w:tc>
          <w:tcPr>
            <w:tcW w:w="586" w:type="pct"/>
            <w:vMerge w:val="continue"/>
            <w:shd w:val="clear" w:color="auto" w:fill="auto"/>
            <w:noWrap w:val="0"/>
            <w:vAlign w:val="center"/>
          </w:tcPr>
          <w:p w14:paraId="37103A9D">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none"/>
                <w:lang w:val="en-US" w:eastAsia="zh-CN"/>
              </w:rPr>
            </w:pPr>
          </w:p>
        </w:tc>
        <w:tc>
          <w:tcPr>
            <w:tcW w:w="1139" w:type="pct"/>
            <w:shd w:val="clear" w:color="auto" w:fill="auto"/>
            <w:noWrap w:val="0"/>
            <w:vAlign w:val="center"/>
          </w:tcPr>
          <w:p w14:paraId="0210557C">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铜</w:t>
            </w:r>
          </w:p>
        </w:tc>
        <w:tc>
          <w:tcPr>
            <w:tcW w:w="514" w:type="pct"/>
            <w:shd w:val="clear" w:color="auto" w:fill="auto"/>
            <w:noWrap w:val="0"/>
            <w:vAlign w:val="center"/>
          </w:tcPr>
          <w:p w14:paraId="6F1D8867">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mg/kg</w:t>
            </w:r>
          </w:p>
        </w:tc>
        <w:tc>
          <w:tcPr>
            <w:tcW w:w="772" w:type="pct"/>
            <w:shd w:val="clear" w:color="auto" w:fill="auto"/>
            <w:noWrap w:val="0"/>
            <w:vAlign w:val="center"/>
          </w:tcPr>
          <w:p w14:paraId="165D0B14">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33.1</w:t>
            </w:r>
          </w:p>
        </w:tc>
        <w:tc>
          <w:tcPr>
            <w:tcW w:w="529" w:type="pct"/>
            <w:shd w:val="clear" w:color="auto" w:fill="auto"/>
            <w:noWrap w:val="0"/>
            <w:vAlign w:val="center"/>
          </w:tcPr>
          <w:p w14:paraId="7A604021">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0</w:t>
            </w:r>
          </w:p>
        </w:tc>
        <w:tc>
          <w:tcPr>
            <w:tcW w:w="525" w:type="pct"/>
            <w:shd w:val="clear" w:color="auto" w:fill="auto"/>
            <w:noWrap w:val="0"/>
            <w:vAlign w:val="center"/>
          </w:tcPr>
          <w:p w14:paraId="63C2B66C">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达标</w:t>
            </w:r>
          </w:p>
        </w:tc>
        <w:tc>
          <w:tcPr>
            <w:tcW w:w="644" w:type="pct"/>
            <w:shd w:val="clear" w:color="auto" w:fill="auto"/>
            <w:noWrap w:val="0"/>
            <w:vAlign w:val="center"/>
          </w:tcPr>
          <w:p w14:paraId="572DB0A7">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18000</w:t>
            </w:r>
          </w:p>
        </w:tc>
      </w:tr>
      <w:tr w14:paraId="4BEADAF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7" w:type="dxa"/>
            <w:bottom w:w="0" w:type="dxa"/>
            <w:right w:w="17" w:type="dxa"/>
          </w:tblCellMar>
        </w:tblPrEx>
        <w:trPr>
          <w:trHeight w:val="23" w:hRule="atLeast"/>
          <w:jc w:val="center"/>
        </w:trPr>
        <w:tc>
          <w:tcPr>
            <w:tcW w:w="288" w:type="pct"/>
            <w:vMerge w:val="continue"/>
            <w:noWrap w:val="0"/>
            <w:vAlign w:val="center"/>
          </w:tcPr>
          <w:p w14:paraId="7179357E">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sz w:val="21"/>
                <w:szCs w:val="21"/>
                <w:highlight w:val="none"/>
                <w:lang w:val="en-US" w:eastAsia="zh-CN"/>
              </w:rPr>
            </w:pPr>
          </w:p>
        </w:tc>
        <w:tc>
          <w:tcPr>
            <w:tcW w:w="586" w:type="pct"/>
            <w:vMerge w:val="continue"/>
            <w:shd w:val="clear" w:color="auto" w:fill="auto"/>
            <w:noWrap w:val="0"/>
            <w:vAlign w:val="center"/>
          </w:tcPr>
          <w:p w14:paraId="079FFF65">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none"/>
                <w:lang w:val="en-US" w:eastAsia="zh-CN"/>
              </w:rPr>
            </w:pPr>
          </w:p>
        </w:tc>
        <w:tc>
          <w:tcPr>
            <w:tcW w:w="1139" w:type="pct"/>
            <w:shd w:val="clear" w:color="auto" w:fill="auto"/>
            <w:noWrap w:val="0"/>
            <w:vAlign w:val="center"/>
          </w:tcPr>
          <w:p w14:paraId="34DDBFA2">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锌</w:t>
            </w:r>
          </w:p>
        </w:tc>
        <w:tc>
          <w:tcPr>
            <w:tcW w:w="514" w:type="pct"/>
            <w:shd w:val="clear" w:color="auto" w:fill="auto"/>
            <w:noWrap w:val="0"/>
            <w:vAlign w:val="center"/>
          </w:tcPr>
          <w:p w14:paraId="1E3A7317">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mg/kg</w:t>
            </w:r>
          </w:p>
        </w:tc>
        <w:tc>
          <w:tcPr>
            <w:tcW w:w="772" w:type="pct"/>
            <w:shd w:val="clear" w:color="auto" w:fill="auto"/>
            <w:noWrap w:val="0"/>
            <w:vAlign w:val="center"/>
          </w:tcPr>
          <w:p w14:paraId="6F77CAB7">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144</w:t>
            </w:r>
          </w:p>
        </w:tc>
        <w:tc>
          <w:tcPr>
            <w:tcW w:w="529" w:type="pct"/>
            <w:shd w:val="clear" w:color="auto" w:fill="auto"/>
            <w:noWrap w:val="0"/>
            <w:vAlign w:val="center"/>
          </w:tcPr>
          <w:p w14:paraId="21B43D94">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w:t>
            </w:r>
          </w:p>
        </w:tc>
        <w:tc>
          <w:tcPr>
            <w:tcW w:w="525" w:type="pct"/>
            <w:shd w:val="clear" w:color="auto" w:fill="auto"/>
            <w:noWrap w:val="0"/>
            <w:vAlign w:val="center"/>
          </w:tcPr>
          <w:p w14:paraId="1EAEFEF7">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w:t>
            </w:r>
          </w:p>
        </w:tc>
        <w:tc>
          <w:tcPr>
            <w:tcW w:w="644" w:type="pct"/>
            <w:shd w:val="clear" w:color="auto" w:fill="auto"/>
            <w:noWrap w:val="0"/>
            <w:vAlign w:val="center"/>
          </w:tcPr>
          <w:p w14:paraId="2C732091">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w:t>
            </w:r>
          </w:p>
        </w:tc>
      </w:tr>
      <w:tr w14:paraId="2570672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7" w:type="dxa"/>
            <w:bottom w:w="0" w:type="dxa"/>
            <w:right w:w="17" w:type="dxa"/>
          </w:tblCellMar>
        </w:tblPrEx>
        <w:trPr>
          <w:trHeight w:val="23" w:hRule="atLeast"/>
          <w:jc w:val="center"/>
        </w:trPr>
        <w:tc>
          <w:tcPr>
            <w:tcW w:w="288" w:type="pct"/>
            <w:vMerge w:val="continue"/>
            <w:noWrap w:val="0"/>
            <w:vAlign w:val="center"/>
          </w:tcPr>
          <w:p w14:paraId="7717E705">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sz w:val="21"/>
                <w:szCs w:val="21"/>
                <w:highlight w:val="none"/>
                <w:lang w:val="en-US" w:eastAsia="zh-CN"/>
              </w:rPr>
            </w:pPr>
          </w:p>
        </w:tc>
        <w:tc>
          <w:tcPr>
            <w:tcW w:w="586" w:type="pct"/>
            <w:vMerge w:val="continue"/>
            <w:shd w:val="clear" w:color="auto" w:fill="auto"/>
            <w:noWrap w:val="0"/>
            <w:vAlign w:val="center"/>
          </w:tcPr>
          <w:p w14:paraId="56702B79">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none"/>
                <w:lang w:val="en-US" w:eastAsia="zh-CN"/>
              </w:rPr>
            </w:pPr>
          </w:p>
        </w:tc>
        <w:tc>
          <w:tcPr>
            <w:tcW w:w="1139" w:type="pct"/>
            <w:shd w:val="clear" w:color="auto" w:fill="auto"/>
            <w:noWrap w:val="0"/>
            <w:vAlign w:val="center"/>
          </w:tcPr>
          <w:p w14:paraId="01BB6A13">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氰化物</w:t>
            </w:r>
          </w:p>
        </w:tc>
        <w:tc>
          <w:tcPr>
            <w:tcW w:w="514" w:type="pct"/>
            <w:shd w:val="clear" w:color="auto" w:fill="auto"/>
            <w:noWrap w:val="0"/>
            <w:vAlign w:val="center"/>
          </w:tcPr>
          <w:p w14:paraId="10897646">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mg/kg</w:t>
            </w:r>
          </w:p>
        </w:tc>
        <w:tc>
          <w:tcPr>
            <w:tcW w:w="772" w:type="pct"/>
            <w:shd w:val="clear" w:color="auto" w:fill="auto"/>
            <w:noWrap w:val="0"/>
            <w:vAlign w:val="center"/>
          </w:tcPr>
          <w:p w14:paraId="39F77F8A">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ND</w:t>
            </w:r>
          </w:p>
        </w:tc>
        <w:tc>
          <w:tcPr>
            <w:tcW w:w="529" w:type="pct"/>
            <w:shd w:val="clear" w:color="auto" w:fill="auto"/>
            <w:noWrap w:val="0"/>
            <w:vAlign w:val="center"/>
          </w:tcPr>
          <w:p w14:paraId="3EB5FCB3">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0</w:t>
            </w:r>
          </w:p>
        </w:tc>
        <w:tc>
          <w:tcPr>
            <w:tcW w:w="525" w:type="pct"/>
            <w:shd w:val="clear" w:color="auto" w:fill="auto"/>
            <w:noWrap w:val="0"/>
            <w:vAlign w:val="center"/>
          </w:tcPr>
          <w:p w14:paraId="240CDFF3">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达标</w:t>
            </w:r>
          </w:p>
        </w:tc>
        <w:tc>
          <w:tcPr>
            <w:tcW w:w="644" w:type="pct"/>
            <w:shd w:val="clear" w:color="auto" w:fill="auto"/>
            <w:noWrap w:val="0"/>
            <w:vAlign w:val="center"/>
          </w:tcPr>
          <w:p w14:paraId="2AB358FE">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135</w:t>
            </w:r>
          </w:p>
        </w:tc>
      </w:tr>
      <w:tr w14:paraId="01DC13C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7" w:type="dxa"/>
            <w:bottom w:w="0" w:type="dxa"/>
            <w:right w:w="17" w:type="dxa"/>
          </w:tblCellMar>
        </w:tblPrEx>
        <w:trPr>
          <w:trHeight w:val="23" w:hRule="atLeast"/>
          <w:jc w:val="center"/>
        </w:trPr>
        <w:tc>
          <w:tcPr>
            <w:tcW w:w="288" w:type="pct"/>
            <w:vMerge w:val="restart"/>
            <w:noWrap w:val="0"/>
            <w:vAlign w:val="center"/>
          </w:tcPr>
          <w:p w14:paraId="3FD622B2">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sz w:val="21"/>
                <w:szCs w:val="21"/>
                <w:highlight w:val="none"/>
                <w:lang w:val="en-US" w:eastAsia="zh-CN"/>
              </w:rPr>
            </w:pPr>
            <w:r>
              <w:rPr>
                <w:rFonts w:hint="eastAsia"/>
                <w:sz w:val="21"/>
                <w:szCs w:val="21"/>
                <w:highlight w:val="none"/>
                <w:lang w:val="en-US" w:eastAsia="zh-CN"/>
              </w:rPr>
              <w:t>T5</w:t>
            </w:r>
          </w:p>
        </w:tc>
        <w:tc>
          <w:tcPr>
            <w:tcW w:w="586" w:type="pct"/>
            <w:vMerge w:val="restart"/>
            <w:shd w:val="clear" w:color="auto" w:fill="auto"/>
            <w:noWrap w:val="0"/>
            <w:vAlign w:val="center"/>
          </w:tcPr>
          <w:p w14:paraId="3BE6ED06">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highlight w:val="none"/>
                <w:lang w:val="en-US" w:eastAsia="zh-CN"/>
              </w:rPr>
            </w:pPr>
            <w:r>
              <w:rPr>
                <w:rFonts w:hint="eastAsia"/>
                <w:sz w:val="21"/>
                <w:szCs w:val="21"/>
                <w:highlight w:val="none"/>
                <w:lang w:val="en-US" w:eastAsia="zh-CN"/>
              </w:rPr>
              <w:t>0~0.2m</w:t>
            </w:r>
          </w:p>
        </w:tc>
        <w:tc>
          <w:tcPr>
            <w:tcW w:w="1139" w:type="pct"/>
            <w:shd w:val="clear" w:color="auto" w:fill="auto"/>
            <w:noWrap w:val="0"/>
            <w:vAlign w:val="center"/>
          </w:tcPr>
          <w:p w14:paraId="05E8DFF1">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pH</w:t>
            </w:r>
          </w:p>
        </w:tc>
        <w:tc>
          <w:tcPr>
            <w:tcW w:w="514" w:type="pct"/>
            <w:shd w:val="clear" w:color="auto" w:fill="auto"/>
            <w:noWrap w:val="0"/>
            <w:vAlign w:val="center"/>
          </w:tcPr>
          <w:p w14:paraId="54A14907">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color w:val="auto"/>
                <w:sz w:val="21"/>
                <w:szCs w:val="21"/>
                <w:highlight w:val="none"/>
                <w:lang w:val="en-US" w:eastAsia="zh-CN"/>
              </w:rPr>
              <w:t>无量纲</w:t>
            </w:r>
          </w:p>
        </w:tc>
        <w:tc>
          <w:tcPr>
            <w:tcW w:w="772" w:type="pct"/>
            <w:shd w:val="clear" w:color="auto" w:fill="auto"/>
            <w:noWrap w:val="0"/>
            <w:vAlign w:val="center"/>
          </w:tcPr>
          <w:p w14:paraId="67FF73D7">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4.21</w:t>
            </w:r>
          </w:p>
        </w:tc>
        <w:tc>
          <w:tcPr>
            <w:tcW w:w="529" w:type="pct"/>
            <w:shd w:val="clear" w:color="auto" w:fill="auto"/>
            <w:noWrap w:val="0"/>
            <w:vAlign w:val="center"/>
          </w:tcPr>
          <w:p w14:paraId="72BEAB87">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w:t>
            </w:r>
          </w:p>
        </w:tc>
        <w:tc>
          <w:tcPr>
            <w:tcW w:w="525" w:type="pct"/>
            <w:shd w:val="clear" w:color="auto" w:fill="auto"/>
            <w:noWrap w:val="0"/>
            <w:vAlign w:val="center"/>
          </w:tcPr>
          <w:p w14:paraId="2E04B78E">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w:t>
            </w:r>
          </w:p>
        </w:tc>
        <w:tc>
          <w:tcPr>
            <w:tcW w:w="644" w:type="pct"/>
            <w:shd w:val="clear" w:color="auto" w:fill="auto"/>
            <w:noWrap w:val="0"/>
            <w:vAlign w:val="center"/>
          </w:tcPr>
          <w:p w14:paraId="2755A0F5">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w:t>
            </w:r>
          </w:p>
        </w:tc>
      </w:tr>
      <w:tr w14:paraId="6C2FCE7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7" w:type="dxa"/>
            <w:bottom w:w="0" w:type="dxa"/>
            <w:right w:w="17" w:type="dxa"/>
          </w:tblCellMar>
        </w:tblPrEx>
        <w:trPr>
          <w:trHeight w:val="23" w:hRule="atLeast"/>
          <w:jc w:val="center"/>
        </w:trPr>
        <w:tc>
          <w:tcPr>
            <w:tcW w:w="288" w:type="pct"/>
            <w:vMerge w:val="continue"/>
            <w:vAlign w:val="center"/>
          </w:tcPr>
          <w:p w14:paraId="50B7C32C">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sz w:val="21"/>
                <w:szCs w:val="21"/>
                <w:highlight w:val="none"/>
                <w:lang w:val="en-US" w:eastAsia="zh-CN"/>
              </w:rPr>
            </w:pPr>
          </w:p>
        </w:tc>
        <w:tc>
          <w:tcPr>
            <w:tcW w:w="586" w:type="pct"/>
            <w:vMerge w:val="continue"/>
            <w:vAlign w:val="center"/>
          </w:tcPr>
          <w:p w14:paraId="4C9BFB3F">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none"/>
                <w:lang w:val="en-US" w:eastAsia="zh-CN"/>
              </w:rPr>
            </w:pPr>
          </w:p>
        </w:tc>
        <w:tc>
          <w:tcPr>
            <w:tcW w:w="0" w:type="auto"/>
            <w:shd w:val="clear" w:color="auto" w:fill="auto"/>
            <w:vAlign w:val="center"/>
          </w:tcPr>
          <w:p w14:paraId="43C6B78E">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砷</w:t>
            </w:r>
          </w:p>
        </w:tc>
        <w:tc>
          <w:tcPr>
            <w:tcW w:w="0" w:type="auto"/>
            <w:shd w:val="clear" w:color="auto" w:fill="auto"/>
            <w:vAlign w:val="center"/>
          </w:tcPr>
          <w:p w14:paraId="03AC20FC">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mg/kg</w:t>
            </w:r>
          </w:p>
        </w:tc>
        <w:tc>
          <w:tcPr>
            <w:tcW w:w="0" w:type="auto"/>
            <w:vAlign w:val="center"/>
          </w:tcPr>
          <w:p w14:paraId="2A21C04D">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kern w:val="2"/>
                <w:sz w:val="21"/>
                <w:szCs w:val="21"/>
                <w:highlight w:val="none"/>
                <w:lang w:val="en-US" w:eastAsia="zh-CN" w:bidi="ar-SA"/>
              </w:rPr>
            </w:pPr>
            <w:r>
              <w:rPr>
                <w:rFonts w:hint="eastAsia" w:cs="Times New Roman"/>
                <w:b/>
                <w:bCs/>
                <w:kern w:val="2"/>
                <w:sz w:val="21"/>
                <w:szCs w:val="21"/>
                <w:highlight w:val="none"/>
                <w:lang w:val="en-US" w:eastAsia="zh-CN" w:bidi="ar-SA"/>
              </w:rPr>
              <w:t>37.1</w:t>
            </w:r>
          </w:p>
        </w:tc>
        <w:tc>
          <w:tcPr>
            <w:tcW w:w="0" w:type="auto"/>
            <w:vAlign w:val="center"/>
          </w:tcPr>
          <w:p w14:paraId="3983F521">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kern w:val="2"/>
                <w:sz w:val="21"/>
                <w:szCs w:val="21"/>
                <w:highlight w:val="none"/>
                <w:lang w:val="en-US" w:eastAsia="zh-CN" w:bidi="ar-SA"/>
              </w:rPr>
            </w:pPr>
            <w:r>
              <w:rPr>
                <w:rFonts w:hint="eastAsia" w:cs="Times New Roman"/>
                <w:b/>
                <w:bCs/>
                <w:kern w:val="2"/>
                <w:sz w:val="21"/>
                <w:szCs w:val="21"/>
                <w:highlight w:val="none"/>
                <w:lang w:val="en-US" w:eastAsia="zh-CN" w:bidi="ar-SA"/>
              </w:rPr>
              <w:t>0.24</w:t>
            </w:r>
          </w:p>
        </w:tc>
        <w:tc>
          <w:tcPr>
            <w:tcW w:w="0" w:type="auto"/>
            <w:vAlign w:val="center"/>
          </w:tcPr>
          <w:p w14:paraId="4787BC4B">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kern w:val="2"/>
                <w:sz w:val="21"/>
                <w:szCs w:val="21"/>
                <w:highlight w:val="none"/>
                <w:lang w:val="en-US" w:eastAsia="zh-CN" w:bidi="ar-SA"/>
              </w:rPr>
            </w:pPr>
            <w:r>
              <w:rPr>
                <w:rFonts w:hint="eastAsia" w:cs="Times New Roman"/>
                <w:b/>
                <w:bCs/>
                <w:kern w:val="2"/>
                <w:sz w:val="21"/>
                <w:szCs w:val="21"/>
                <w:highlight w:val="none"/>
                <w:lang w:val="en-US" w:eastAsia="zh-CN" w:bidi="ar-SA"/>
              </w:rPr>
              <w:t>超标</w:t>
            </w:r>
          </w:p>
        </w:tc>
        <w:tc>
          <w:tcPr>
            <w:tcW w:w="0" w:type="auto"/>
            <w:vAlign w:val="center"/>
          </w:tcPr>
          <w:p w14:paraId="5491E108">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kern w:val="2"/>
                <w:sz w:val="21"/>
                <w:szCs w:val="21"/>
                <w:highlight w:val="none"/>
                <w:lang w:val="en-US" w:eastAsia="zh-CN" w:bidi="ar-SA"/>
              </w:rPr>
            </w:pPr>
            <w:r>
              <w:rPr>
                <w:rFonts w:hint="eastAsia" w:cs="Times New Roman"/>
                <w:b/>
                <w:bCs/>
                <w:kern w:val="2"/>
                <w:sz w:val="21"/>
                <w:szCs w:val="21"/>
                <w:highlight w:val="none"/>
                <w:lang w:val="en-US" w:eastAsia="zh-CN" w:bidi="ar-SA"/>
              </w:rPr>
              <w:t>30</w:t>
            </w:r>
          </w:p>
        </w:tc>
      </w:tr>
      <w:tr w14:paraId="67F66E5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7" w:type="dxa"/>
            <w:bottom w:w="0" w:type="dxa"/>
            <w:right w:w="17" w:type="dxa"/>
          </w:tblCellMar>
        </w:tblPrEx>
        <w:trPr>
          <w:trHeight w:val="23" w:hRule="atLeast"/>
          <w:jc w:val="center"/>
        </w:trPr>
        <w:tc>
          <w:tcPr>
            <w:tcW w:w="288" w:type="pct"/>
            <w:vMerge w:val="continue"/>
            <w:vAlign w:val="center"/>
          </w:tcPr>
          <w:p w14:paraId="41A5161D">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sz w:val="21"/>
                <w:szCs w:val="21"/>
                <w:highlight w:val="none"/>
                <w:lang w:val="en-US" w:eastAsia="zh-CN"/>
              </w:rPr>
            </w:pPr>
          </w:p>
        </w:tc>
        <w:tc>
          <w:tcPr>
            <w:tcW w:w="586" w:type="pct"/>
            <w:vMerge w:val="continue"/>
            <w:vAlign w:val="center"/>
          </w:tcPr>
          <w:p w14:paraId="35FF2EF1">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none"/>
                <w:lang w:val="en-US" w:eastAsia="zh-CN"/>
              </w:rPr>
            </w:pPr>
          </w:p>
        </w:tc>
        <w:tc>
          <w:tcPr>
            <w:tcW w:w="0" w:type="auto"/>
            <w:shd w:val="clear" w:color="auto" w:fill="auto"/>
            <w:vAlign w:val="center"/>
          </w:tcPr>
          <w:p w14:paraId="38B26B2D">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镍</w:t>
            </w:r>
          </w:p>
        </w:tc>
        <w:tc>
          <w:tcPr>
            <w:tcW w:w="0" w:type="auto"/>
            <w:shd w:val="clear" w:color="auto" w:fill="auto"/>
            <w:vAlign w:val="center"/>
          </w:tcPr>
          <w:p w14:paraId="0998C32A">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mg/kg</w:t>
            </w:r>
          </w:p>
        </w:tc>
        <w:tc>
          <w:tcPr>
            <w:tcW w:w="0" w:type="auto"/>
            <w:vAlign w:val="center"/>
          </w:tcPr>
          <w:p w14:paraId="27260FA0">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27</w:t>
            </w:r>
          </w:p>
        </w:tc>
        <w:tc>
          <w:tcPr>
            <w:tcW w:w="0" w:type="auto"/>
            <w:shd w:val="clear" w:color="auto" w:fill="auto"/>
            <w:vAlign w:val="center"/>
          </w:tcPr>
          <w:p w14:paraId="1A7770A2">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0</w:t>
            </w:r>
          </w:p>
        </w:tc>
        <w:tc>
          <w:tcPr>
            <w:tcW w:w="0" w:type="auto"/>
            <w:shd w:val="clear" w:color="auto" w:fill="auto"/>
            <w:vAlign w:val="center"/>
          </w:tcPr>
          <w:p w14:paraId="06CE5021">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达标</w:t>
            </w:r>
          </w:p>
        </w:tc>
        <w:tc>
          <w:tcPr>
            <w:tcW w:w="0" w:type="auto"/>
            <w:vAlign w:val="center"/>
          </w:tcPr>
          <w:p w14:paraId="72C7941C">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60</w:t>
            </w:r>
          </w:p>
        </w:tc>
      </w:tr>
      <w:tr w14:paraId="612CAD4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7" w:type="dxa"/>
            <w:bottom w:w="0" w:type="dxa"/>
            <w:right w:w="17" w:type="dxa"/>
          </w:tblCellMar>
        </w:tblPrEx>
        <w:trPr>
          <w:trHeight w:val="23" w:hRule="atLeast"/>
          <w:jc w:val="center"/>
        </w:trPr>
        <w:tc>
          <w:tcPr>
            <w:tcW w:w="288" w:type="pct"/>
            <w:vMerge w:val="continue"/>
            <w:vAlign w:val="center"/>
          </w:tcPr>
          <w:p w14:paraId="09DCBE5C">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sz w:val="21"/>
                <w:szCs w:val="21"/>
                <w:highlight w:val="none"/>
                <w:lang w:val="en-US" w:eastAsia="zh-CN"/>
              </w:rPr>
            </w:pPr>
          </w:p>
        </w:tc>
        <w:tc>
          <w:tcPr>
            <w:tcW w:w="586" w:type="pct"/>
            <w:vMerge w:val="continue"/>
            <w:vAlign w:val="center"/>
          </w:tcPr>
          <w:p w14:paraId="27102BA4">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none"/>
                <w:lang w:val="en-US" w:eastAsia="zh-CN"/>
              </w:rPr>
            </w:pPr>
          </w:p>
        </w:tc>
        <w:tc>
          <w:tcPr>
            <w:tcW w:w="0" w:type="auto"/>
            <w:shd w:val="clear" w:color="auto" w:fill="auto"/>
            <w:vAlign w:val="center"/>
          </w:tcPr>
          <w:p w14:paraId="50BD4C7C">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铅</w:t>
            </w:r>
          </w:p>
        </w:tc>
        <w:tc>
          <w:tcPr>
            <w:tcW w:w="0" w:type="auto"/>
            <w:shd w:val="clear" w:color="auto" w:fill="auto"/>
            <w:vAlign w:val="center"/>
          </w:tcPr>
          <w:p w14:paraId="4183642F">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mg/kg</w:t>
            </w:r>
          </w:p>
        </w:tc>
        <w:tc>
          <w:tcPr>
            <w:tcW w:w="0" w:type="auto"/>
            <w:vAlign w:val="center"/>
          </w:tcPr>
          <w:p w14:paraId="337313B3">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50</w:t>
            </w:r>
          </w:p>
        </w:tc>
        <w:tc>
          <w:tcPr>
            <w:tcW w:w="0" w:type="auto"/>
            <w:shd w:val="clear" w:color="auto" w:fill="auto"/>
            <w:vAlign w:val="center"/>
          </w:tcPr>
          <w:p w14:paraId="3C56F863">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0</w:t>
            </w:r>
          </w:p>
        </w:tc>
        <w:tc>
          <w:tcPr>
            <w:tcW w:w="0" w:type="auto"/>
            <w:shd w:val="clear" w:color="auto" w:fill="auto"/>
            <w:vAlign w:val="center"/>
          </w:tcPr>
          <w:p w14:paraId="0E90BFE3">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达标</w:t>
            </w:r>
          </w:p>
        </w:tc>
        <w:tc>
          <w:tcPr>
            <w:tcW w:w="0" w:type="auto"/>
            <w:vAlign w:val="center"/>
          </w:tcPr>
          <w:p w14:paraId="08C11D33">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80</w:t>
            </w:r>
          </w:p>
        </w:tc>
      </w:tr>
      <w:tr w14:paraId="09DF1A2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7" w:type="dxa"/>
            <w:bottom w:w="0" w:type="dxa"/>
            <w:right w:w="17" w:type="dxa"/>
          </w:tblCellMar>
        </w:tblPrEx>
        <w:trPr>
          <w:trHeight w:val="23" w:hRule="atLeast"/>
          <w:jc w:val="center"/>
        </w:trPr>
        <w:tc>
          <w:tcPr>
            <w:tcW w:w="288" w:type="pct"/>
            <w:vMerge w:val="continue"/>
            <w:vAlign w:val="center"/>
          </w:tcPr>
          <w:p w14:paraId="7C7169BE">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sz w:val="21"/>
                <w:szCs w:val="21"/>
                <w:highlight w:val="none"/>
                <w:lang w:val="en-US" w:eastAsia="zh-CN"/>
              </w:rPr>
            </w:pPr>
          </w:p>
        </w:tc>
        <w:tc>
          <w:tcPr>
            <w:tcW w:w="586" w:type="pct"/>
            <w:vMerge w:val="continue"/>
            <w:vAlign w:val="center"/>
          </w:tcPr>
          <w:p w14:paraId="71EEA9BE">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none"/>
                <w:lang w:val="en-US" w:eastAsia="zh-CN"/>
              </w:rPr>
            </w:pPr>
          </w:p>
        </w:tc>
        <w:tc>
          <w:tcPr>
            <w:tcW w:w="0" w:type="auto"/>
            <w:shd w:val="clear" w:color="auto" w:fill="auto"/>
            <w:vAlign w:val="center"/>
          </w:tcPr>
          <w:p w14:paraId="0B82F021">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镉</w:t>
            </w:r>
          </w:p>
        </w:tc>
        <w:tc>
          <w:tcPr>
            <w:tcW w:w="0" w:type="auto"/>
            <w:shd w:val="clear" w:color="auto" w:fill="auto"/>
            <w:vAlign w:val="center"/>
          </w:tcPr>
          <w:p w14:paraId="6BFD8E83">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mg/kg</w:t>
            </w:r>
          </w:p>
        </w:tc>
        <w:tc>
          <w:tcPr>
            <w:tcW w:w="0" w:type="auto"/>
            <w:vAlign w:val="center"/>
          </w:tcPr>
          <w:p w14:paraId="505EA5CC">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0.10</w:t>
            </w:r>
          </w:p>
        </w:tc>
        <w:tc>
          <w:tcPr>
            <w:tcW w:w="0" w:type="auto"/>
            <w:shd w:val="clear" w:color="auto" w:fill="auto"/>
            <w:vAlign w:val="center"/>
          </w:tcPr>
          <w:p w14:paraId="403FF911">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0</w:t>
            </w:r>
          </w:p>
        </w:tc>
        <w:tc>
          <w:tcPr>
            <w:tcW w:w="0" w:type="auto"/>
            <w:shd w:val="clear" w:color="auto" w:fill="auto"/>
            <w:vAlign w:val="center"/>
          </w:tcPr>
          <w:p w14:paraId="01261897">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达标</w:t>
            </w:r>
          </w:p>
        </w:tc>
        <w:tc>
          <w:tcPr>
            <w:tcW w:w="0" w:type="auto"/>
            <w:vAlign w:val="center"/>
          </w:tcPr>
          <w:p w14:paraId="51640847">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0.3</w:t>
            </w:r>
          </w:p>
        </w:tc>
      </w:tr>
      <w:tr w14:paraId="63DDE4B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7" w:type="dxa"/>
            <w:bottom w:w="0" w:type="dxa"/>
            <w:right w:w="17" w:type="dxa"/>
          </w:tblCellMar>
        </w:tblPrEx>
        <w:trPr>
          <w:trHeight w:val="23" w:hRule="atLeast"/>
          <w:jc w:val="center"/>
        </w:trPr>
        <w:tc>
          <w:tcPr>
            <w:tcW w:w="288" w:type="pct"/>
            <w:vMerge w:val="continue"/>
            <w:vAlign w:val="center"/>
          </w:tcPr>
          <w:p w14:paraId="473F226A">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sz w:val="21"/>
                <w:szCs w:val="21"/>
                <w:highlight w:val="none"/>
                <w:lang w:val="en-US" w:eastAsia="zh-CN"/>
              </w:rPr>
            </w:pPr>
          </w:p>
        </w:tc>
        <w:tc>
          <w:tcPr>
            <w:tcW w:w="586" w:type="pct"/>
            <w:vMerge w:val="continue"/>
            <w:vAlign w:val="center"/>
          </w:tcPr>
          <w:p w14:paraId="0B6D66CE">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none"/>
                <w:lang w:val="en-US" w:eastAsia="zh-CN"/>
              </w:rPr>
            </w:pPr>
          </w:p>
        </w:tc>
        <w:tc>
          <w:tcPr>
            <w:tcW w:w="0" w:type="auto"/>
            <w:shd w:val="clear" w:color="auto" w:fill="auto"/>
            <w:vAlign w:val="center"/>
          </w:tcPr>
          <w:p w14:paraId="135984E7">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总铬</w:t>
            </w:r>
          </w:p>
        </w:tc>
        <w:tc>
          <w:tcPr>
            <w:tcW w:w="0" w:type="auto"/>
            <w:shd w:val="clear" w:color="auto" w:fill="auto"/>
            <w:vAlign w:val="center"/>
          </w:tcPr>
          <w:p w14:paraId="38EB00AC">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mg/kg</w:t>
            </w:r>
          </w:p>
        </w:tc>
        <w:tc>
          <w:tcPr>
            <w:tcW w:w="0" w:type="auto"/>
            <w:vAlign w:val="center"/>
          </w:tcPr>
          <w:p w14:paraId="14151A15">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70</w:t>
            </w:r>
          </w:p>
        </w:tc>
        <w:tc>
          <w:tcPr>
            <w:tcW w:w="0" w:type="auto"/>
            <w:shd w:val="clear" w:color="auto" w:fill="auto"/>
            <w:vAlign w:val="center"/>
          </w:tcPr>
          <w:p w14:paraId="35DAFABD">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0</w:t>
            </w:r>
          </w:p>
        </w:tc>
        <w:tc>
          <w:tcPr>
            <w:tcW w:w="0" w:type="auto"/>
            <w:shd w:val="clear" w:color="auto" w:fill="auto"/>
            <w:vAlign w:val="center"/>
          </w:tcPr>
          <w:p w14:paraId="243F5361">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达标</w:t>
            </w:r>
          </w:p>
        </w:tc>
        <w:tc>
          <w:tcPr>
            <w:tcW w:w="0" w:type="auto"/>
            <w:vAlign w:val="center"/>
          </w:tcPr>
          <w:p w14:paraId="1B3A026D">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250</w:t>
            </w:r>
          </w:p>
        </w:tc>
      </w:tr>
      <w:tr w14:paraId="2EC259C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7" w:type="dxa"/>
            <w:bottom w:w="0" w:type="dxa"/>
            <w:right w:w="17" w:type="dxa"/>
          </w:tblCellMar>
        </w:tblPrEx>
        <w:trPr>
          <w:trHeight w:val="23" w:hRule="atLeast"/>
          <w:jc w:val="center"/>
        </w:trPr>
        <w:tc>
          <w:tcPr>
            <w:tcW w:w="288" w:type="pct"/>
            <w:vMerge w:val="continue"/>
            <w:vAlign w:val="center"/>
          </w:tcPr>
          <w:p w14:paraId="73F35D25">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sz w:val="21"/>
                <w:szCs w:val="21"/>
                <w:highlight w:val="none"/>
                <w:lang w:val="en-US" w:eastAsia="zh-CN"/>
              </w:rPr>
            </w:pPr>
          </w:p>
        </w:tc>
        <w:tc>
          <w:tcPr>
            <w:tcW w:w="586" w:type="pct"/>
            <w:vMerge w:val="continue"/>
            <w:vAlign w:val="center"/>
          </w:tcPr>
          <w:p w14:paraId="37B2566B">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none"/>
                <w:lang w:val="en-US" w:eastAsia="zh-CN"/>
              </w:rPr>
            </w:pPr>
          </w:p>
        </w:tc>
        <w:tc>
          <w:tcPr>
            <w:tcW w:w="0" w:type="auto"/>
            <w:shd w:val="clear" w:color="auto" w:fill="auto"/>
            <w:vAlign w:val="center"/>
          </w:tcPr>
          <w:p w14:paraId="791EBB72">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铬（六价）</w:t>
            </w:r>
          </w:p>
        </w:tc>
        <w:tc>
          <w:tcPr>
            <w:tcW w:w="0" w:type="auto"/>
            <w:shd w:val="clear" w:color="auto" w:fill="auto"/>
            <w:vAlign w:val="center"/>
          </w:tcPr>
          <w:p w14:paraId="027E63A8">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mg/kg</w:t>
            </w:r>
          </w:p>
        </w:tc>
        <w:tc>
          <w:tcPr>
            <w:tcW w:w="0" w:type="auto"/>
            <w:vAlign w:val="center"/>
          </w:tcPr>
          <w:p w14:paraId="71F85AF8">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ND</w:t>
            </w:r>
          </w:p>
        </w:tc>
        <w:tc>
          <w:tcPr>
            <w:tcW w:w="0" w:type="auto"/>
            <w:vAlign w:val="center"/>
          </w:tcPr>
          <w:p w14:paraId="047A6087">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w:t>
            </w:r>
          </w:p>
        </w:tc>
        <w:tc>
          <w:tcPr>
            <w:tcW w:w="0" w:type="auto"/>
            <w:vAlign w:val="center"/>
          </w:tcPr>
          <w:p w14:paraId="2909A6D8">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w:t>
            </w:r>
          </w:p>
        </w:tc>
        <w:tc>
          <w:tcPr>
            <w:tcW w:w="0" w:type="auto"/>
            <w:vAlign w:val="center"/>
          </w:tcPr>
          <w:p w14:paraId="3583AD0E">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w:t>
            </w:r>
          </w:p>
        </w:tc>
      </w:tr>
      <w:tr w14:paraId="57AD519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23" w:hRule="atLeast"/>
          <w:jc w:val="center"/>
        </w:trPr>
        <w:tc>
          <w:tcPr>
            <w:tcW w:w="288" w:type="pct"/>
            <w:vMerge w:val="continue"/>
            <w:vAlign w:val="center"/>
          </w:tcPr>
          <w:p w14:paraId="2B473C5C">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sz w:val="21"/>
                <w:szCs w:val="21"/>
                <w:highlight w:val="none"/>
                <w:lang w:val="en-US" w:eastAsia="zh-CN"/>
              </w:rPr>
            </w:pPr>
          </w:p>
        </w:tc>
        <w:tc>
          <w:tcPr>
            <w:tcW w:w="586" w:type="pct"/>
            <w:vMerge w:val="continue"/>
            <w:vAlign w:val="center"/>
          </w:tcPr>
          <w:p w14:paraId="1CB9283A">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none"/>
                <w:lang w:val="en-US" w:eastAsia="zh-CN"/>
              </w:rPr>
            </w:pPr>
          </w:p>
        </w:tc>
        <w:tc>
          <w:tcPr>
            <w:tcW w:w="0" w:type="auto"/>
            <w:shd w:val="clear" w:color="auto" w:fill="auto"/>
            <w:vAlign w:val="center"/>
          </w:tcPr>
          <w:p w14:paraId="51C67AFC">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汞</w:t>
            </w:r>
          </w:p>
        </w:tc>
        <w:tc>
          <w:tcPr>
            <w:tcW w:w="0" w:type="auto"/>
            <w:shd w:val="clear" w:color="auto" w:fill="auto"/>
            <w:vAlign w:val="center"/>
          </w:tcPr>
          <w:p w14:paraId="10FF26BA">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mg/kg</w:t>
            </w:r>
          </w:p>
        </w:tc>
        <w:tc>
          <w:tcPr>
            <w:tcW w:w="0" w:type="auto"/>
            <w:vAlign w:val="center"/>
          </w:tcPr>
          <w:p w14:paraId="6B9E9115">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0.0725</w:t>
            </w:r>
          </w:p>
        </w:tc>
        <w:tc>
          <w:tcPr>
            <w:tcW w:w="0" w:type="auto"/>
            <w:shd w:val="clear" w:color="auto" w:fill="auto"/>
            <w:vAlign w:val="center"/>
          </w:tcPr>
          <w:p w14:paraId="39EEB1C3">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0</w:t>
            </w:r>
          </w:p>
        </w:tc>
        <w:tc>
          <w:tcPr>
            <w:tcW w:w="0" w:type="auto"/>
            <w:shd w:val="clear" w:color="auto" w:fill="auto"/>
            <w:vAlign w:val="center"/>
          </w:tcPr>
          <w:p w14:paraId="1FB26499">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达标</w:t>
            </w:r>
          </w:p>
        </w:tc>
        <w:tc>
          <w:tcPr>
            <w:tcW w:w="0" w:type="auto"/>
            <w:vAlign w:val="center"/>
          </w:tcPr>
          <w:p w14:paraId="5CD6A558">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0.5</w:t>
            </w:r>
          </w:p>
        </w:tc>
      </w:tr>
      <w:tr w14:paraId="6914C03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7" w:type="dxa"/>
            <w:bottom w:w="0" w:type="dxa"/>
            <w:right w:w="17" w:type="dxa"/>
          </w:tblCellMar>
        </w:tblPrEx>
        <w:trPr>
          <w:trHeight w:val="23" w:hRule="atLeast"/>
          <w:jc w:val="center"/>
        </w:trPr>
        <w:tc>
          <w:tcPr>
            <w:tcW w:w="288" w:type="pct"/>
            <w:vMerge w:val="continue"/>
            <w:vAlign w:val="center"/>
          </w:tcPr>
          <w:p w14:paraId="5D42F09B">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sz w:val="21"/>
                <w:szCs w:val="21"/>
                <w:highlight w:val="none"/>
                <w:lang w:val="en-US" w:eastAsia="zh-CN"/>
              </w:rPr>
            </w:pPr>
          </w:p>
        </w:tc>
        <w:tc>
          <w:tcPr>
            <w:tcW w:w="586" w:type="pct"/>
            <w:vMerge w:val="continue"/>
            <w:vAlign w:val="center"/>
          </w:tcPr>
          <w:p w14:paraId="4E300EEB">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none"/>
                <w:lang w:val="en-US" w:eastAsia="zh-CN"/>
              </w:rPr>
            </w:pPr>
          </w:p>
        </w:tc>
        <w:tc>
          <w:tcPr>
            <w:tcW w:w="0" w:type="auto"/>
            <w:shd w:val="clear" w:color="auto" w:fill="auto"/>
            <w:vAlign w:val="center"/>
          </w:tcPr>
          <w:p w14:paraId="6B478857">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铜</w:t>
            </w:r>
          </w:p>
        </w:tc>
        <w:tc>
          <w:tcPr>
            <w:tcW w:w="0" w:type="auto"/>
            <w:shd w:val="clear" w:color="auto" w:fill="auto"/>
            <w:vAlign w:val="center"/>
          </w:tcPr>
          <w:p w14:paraId="3CBE6632">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mg/kg</w:t>
            </w:r>
          </w:p>
        </w:tc>
        <w:tc>
          <w:tcPr>
            <w:tcW w:w="0" w:type="auto"/>
            <w:vAlign w:val="center"/>
          </w:tcPr>
          <w:p w14:paraId="479003E4">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30.7</w:t>
            </w:r>
          </w:p>
        </w:tc>
        <w:tc>
          <w:tcPr>
            <w:tcW w:w="0" w:type="auto"/>
            <w:shd w:val="clear" w:color="auto" w:fill="auto"/>
            <w:vAlign w:val="center"/>
          </w:tcPr>
          <w:p w14:paraId="114AAA32">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0</w:t>
            </w:r>
          </w:p>
        </w:tc>
        <w:tc>
          <w:tcPr>
            <w:tcW w:w="0" w:type="auto"/>
            <w:shd w:val="clear" w:color="auto" w:fill="auto"/>
            <w:vAlign w:val="center"/>
          </w:tcPr>
          <w:p w14:paraId="6AF9C9AB">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达标</w:t>
            </w:r>
          </w:p>
        </w:tc>
        <w:tc>
          <w:tcPr>
            <w:tcW w:w="0" w:type="auto"/>
            <w:vAlign w:val="center"/>
          </w:tcPr>
          <w:p w14:paraId="04E3CDEA">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50</w:t>
            </w:r>
          </w:p>
        </w:tc>
      </w:tr>
      <w:tr w14:paraId="5E2A555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7" w:type="dxa"/>
            <w:bottom w:w="0" w:type="dxa"/>
            <w:right w:w="17" w:type="dxa"/>
          </w:tblCellMar>
        </w:tblPrEx>
        <w:trPr>
          <w:trHeight w:val="23" w:hRule="atLeast"/>
          <w:jc w:val="center"/>
        </w:trPr>
        <w:tc>
          <w:tcPr>
            <w:tcW w:w="288" w:type="pct"/>
            <w:vMerge w:val="continue"/>
            <w:vAlign w:val="center"/>
          </w:tcPr>
          <w:p w14:paraId="3418D12E">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sz w:val="21"/>
                <w:szCs w:val="21"/>
                <w:highlight w:val="none"/>
                <w:lang w:val="en-US" w:eastAsia="zh-CN"/>
              </w:rPr>
            </w:pPr>
          </w:p>
        </w:tc>
        <w:tc>
          <w:tcPr>
            <w:tcW w:w="586" w:type="pct"/>
            <w:vMerge w:val="continue"/>
            <w:vAlign w:val="center"/>
          </w:tcPr>
          <w:p w14:paraId="6860A1A4">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none"/>
                <w:lang w:val="en-US" w:eastAsia="zh-CN"/>
              </w:rPr>
            </w:pPr>
          </w:p>
        </w:tc>
        <w:tc>
          <w:tcPr>
            <w:tcW w:w="0" w:type="auto"/>
            <w:shd w:val="clear" w:color="auto" w:fill="auto"/>
            <w:vAlign w:val="center"/>
          </w:tcPr>
          <w:p w14:paraId="1A7461C0">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锌</w:t>
            </w:r>
          </w:p>
        </w:tc>
        <w:tc>
          <w:tcPr>
            <w:tcW w:w="0" w:type="auto"/>
            <w:shd w:val="clear" w:color="auto" w:fill="auto"/>
            <w:vAlign w:val="center"/>
          </w:tcPr>
          <w:p w14:paraId="2AD412E7">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mg/kg</w:t>
            </w:r>
          </w:p>
        </w:tc>
        <w:tc>
          <w:tcPr>
            <w:tcW w:w="0" w:type="auto"/>
            <w:vAlign w:val="center"/>
          </w:tcPr>
          <w:p w14:paraId="5B377E42">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92</w:t>
            </w:r>
          </w:p>
        </w:tc>
        <w:tc>
          <w:tcPr>
            <w:tcW w:w="0" w:type="auto"/>
            <w:shd w:val="clear" w:color="auto" w:fill="auto"/>
            <w:vAlign w:val="center"/>
          </w:tcPr>
          <w:p w14:paraId="670A0CBA">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0</w:t>
            </w:r>
          </w:p>
        </w:tc>
        <w:tc>
          <w:tcPr>
            <w:tcW w:w="0" w:type="auto"/>
            <w:shd w:val="clear" w:color="auto" w:fill="auto"/>
            <w:vAlign w:val="center"/>
          </w:tcPr>
          <w:p w14:paraId="54ADF382">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达标</w:t>
            </w:r>
          </w:p>
        </w:tc>
        <w:tc>
          <w:tcPr>
            <w:tcW w:w="0" w:type="auto"/>
            <w:vAlign w:val="center"/>
          </w:tcPr>
          <w:p w14:paraId="1D0FC0FD">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200</w:t>
            </w:r>
          </w:p>
        </w:tc>
      </w:tr>
      <w:tr w14:paraId="3E94A82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7" w:type="dxa"/>
            <w:bottom w:w="0" w:type="dxa"/>
            <w:right w:w="17" w:type="dxa"/>
          </w:tblCellMar>
        </w:tblPrEx>
        <w:trPr>
          <w:trHeight w:val="23" w:hRule="atLeast"/>
          <w:jc w:val="center"/>
        </w:trPr>
        <w:tc>
          <w:tcPr>
            <w:tcW w:w="288" w:type="pct"/>
            <w:vMerge w:val="continue"/>
            <w:vAlign w:val="center"/>
          </w:tcPr>
          <w:p w14:paraId="558272D6">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sz w:val="21"/>
                <w:szCs w:val="21"/>
                <w:highlight w:val="none"/>
                <w:lang w:val="en-US" w:eastAsia="zh-CN"/>
              </w:rPr>
            </w:pPr>
          </w:p>
        </w:tc>
        <w:tc>
          <w:tcPr>
            <w:tcW w:w="586" w:type="pct"/>
            <w:vMerge w:val="continue"/>
            <w:vAlign w:val="center"/>
          </w:tcPr>
          <w:p w14:paraId="40F56514">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none"/>
                <w:lang w:val="en-US" w:eastAsia="zh-CN"/>
              </w:rPr>
            </w:pPr>
          </w:p>
        </w:tc>
        <w:tc>
          <w:tcPr>
            <w:tcW w:w="0" w:type="auto"/>
            <w:shd w:val="clear" w:color="auto" w:fill="auto"/>
            <w:vAlign w:val="center"/>
          </w:tcPr>
          <w:p w14:paraId="76D78D9A">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氰化物</w:t>
            </w:r>
          </w:p>
        </w:tc>
        <w:tc>
          <w:tcPr>
            <w:tcW w:w="0" w:type="auto"/>
            <w:shd w:val="clear" w:color="auto" w:fill="auto"/>
            <w:vAlign w:val="center"/>
          </w:tcPr>
          <w:p w14:paraId="2CDB16E7">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mg/kg</w:t>
            </w:r>
          </w:p>
        </w:tc>
        <w:tc>
          <w:tcPr>
            <w:tcW w:w="0" w:type="auto"/>
            <w:vAlign w:val="center"/>
          </w:tcPr>
          <w:p w14:paraId="1D7E76AD">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ND</w:t>
            </w:r>
          </w:p>
        </w:tc>
        <w:tc>
          <w:tcPr>
            <w:tcW w:w="0" w:type="auto"/>
            <w:vAlign w:val="center"/>
          </w:tcPr>
          <w:p w14:paraId="3CF4E3FC">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w:t>
            </w:r>
          </w:p>
        </w:tc>
        <w:tc>
          <w:tcPr>
            <w:tcW w:w="0" w:type="auto"/>
            <w:vAlign w:val="center"/>
          </w:tcPr>
          <w:p w14:paraId="4755E58F">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w:t>
            </w:r>
          </w:p>
        </w:tc>
        <w:tc>
          <w:tcPr>
            <w:tcW w:w="0" w:type="auto"/>
            <w:vAlign w:val="center"/>
          </w:tcPr>
          <w:p w14:paraId="76DD5EEE">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w:t>
            </w:r>
          </w:p>
        </w:tc>
      </w:tr>
      <w:tr w14:paraId="12F13E4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7" w:type="dxa"/>
            <w:bottom w:w="0" w:type="dxa"/>
            <w:right w:w="17" w:type="dxa"/>
          </w:tblCellMar>
        </w:tblPrEx>
        <w:trPr>
          <w:trHeight w:val="23" w:hRule="atLeast"/>
          <w:jc w:val="center"/>
        </w:trPr>
        <w:tc>
          <w:tcPr>
            <w:tcW w:w="288" w:type="pct"/>
            <w:vMerge w:val="restart"/>
            <w:vAlign w:val="center"/>
          </w:tcPr>
          <w:p w14:paraId="18784115">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sz w:val="21"/>
                <w:szCs w:val="21"/>
                <w:highlight w:val="none"/>
                <w:lang w:val="en-US" w:eastAsia="zh-CN"/>
              </w:rPr>
            </w:pPr>
            <w:r>
              <w:rPr>
                <w:rFonts w:hint="eastAsia"/>
                <w:sz w:val="21"/>
                <w:szCs w:val="21"/>
                <w:highlight w:val="none"/>
                <w:lang w:val="en-US" w:eastAsia="zh-CN"/>
              </w:rPr>
              <w:t>T6</w:t>
            </w:r>
          </w:p>
        </w:tc>
        <w:tc>
          <w:tcPr>
            <w:tcW w:w="586" w:type="pct"/>
            <w:vMerge w:val="restart"/>
            <w:vAlign w:val="center"/>
          </w:tcPr>
          <w:p w14:paraId="4AF8FEB4">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sz w:val="21"/>
                <w:szCs w:val="21"/>
                <w:highlight w:val="none"/>
                <w:lang w:val="en-US" w:eastAsia="zh-CN"/>
              </w:rPr>
            </w:pPr>
            <w:r>
              <w:rPr>
                <w:rFonts w:hint="eastAsia"/>
                <w:sz w:val="21"/>
                <w:szCs w:val="21"/>
                <w:highlight w:val="none"/>
                <w:lang w:val="en-US" w:eastAsia="zh-CN"/>
              </w:rPr>
              <w:t>0~0.2m</w:t>
            </w:r>
          </w:p>
        </w:tc>
        <w:tc>
          <w:tcPr>
            <w:tcW w:w="0" w:type="auto"/>
            <w:shd w:val="clear" w:color="auto" w:fill="auto"/>
            <w:vAlign w:val="center"/>
          </w:tcPr>
          <w:p w14:paraId="4DA1843A">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pH</w:t>
            </w:r>
          </w:p>
        </w:tc>
        <w:tc>
          <w:tcPr>
            <w:tcW w:w="0" w:type="auto"/>
            <w:shd w:val="clear" w:color="auto" w:fill="auto"/>
            <w:vAlign w:val="center"/>
          </w:tcPr>
          <w:p w14:paraId="65C99BE6">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color w:val="auto"/>
                <w:sz w:val="21"/>
                <w:szCs w:val="21"/>
                <w:highlight w:val="none"/>
                <w:lang w:val="en-US" w:eastAsia="zh-CN"/>
              </w:rPr>
              <w:t>无量纲</w:t>
            </w:r>
          </w:p>
        </w:tc>
        <w:tc>
          <w:tcPr>
            <w:tcW w:w="0" w:type="auto"/>
            <w:vAlign w:val="center"/>
          </w:tcPr>
          <w:p w14:paraId="40395D24">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4.86</w:t>
            </w:r>
          </w:p>
        </w:tc>
        <w:tc>
          <w:tcPr>
            <w:tcW w:w="0" w:type="auto"/>
            <w:vAlign w:val="center"/>
          </w:tcPr>
          <w:p w14:paraId="380265CE">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w:t>
            </w:r>
          </w:p>
        </w:tc>
        <w:tc>
          <w:tcPr>
            <w:tcW w:w="0" w:type="auto"/>
            <w:vAlign w:val="center"/>
          </w:tcPr>
          <w:p w14:paraId="73561C81">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w:t>
            </w:r>
          </w:p>
        </w:tc>
        <w:tc>
          <w:tcPr>
            <w:tcW w:w="0" w:type="auto"/>
            <w:vAlign w:val="center"/>
          </w:tcPr>
          <w:p w14:paraId="6CEAD9E1">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w:t>
            </w:r>
          </w:p>
        </w:tc>
      </w:tr>
      <w:tr w14:paraId="24440B1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7" w:type="dxa"/>
            <w:bottom w:w="0" w:type="dxa"/>
            <w:right w:w="17" w:type="dxa"/>
          </w:tblCellMar>
        </w:tblPrEx>
        <w:trPr>
          <w:trHeight w:val="23" w:hRule="atLeast"/>
          <w:jc w:val="center"/>
        </w:trPr>
        <w:tc>
          <w:tcPr>
            <w:tcW w:w="288" w:type="pct"/>
            <w:vMerge w:val="continue"/>
            <w:vAlign w:val="center"/>
          </w:tcPr>
          <w:p w14:paraId="324E6689">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sz w:val="21"/>
                <w:szCs w:val="21"/>
                <w:highlight w:val="none"/>
                <w:lang w:val="en-US" w:eastAsia="zh-CN"/>
              </w:rPr>
            </w:pPr>
          </w:p>
        </w:tc>
        <w:tc>
          <w:tcPr>
            <w:tcW w:w="586" w:type="pct"/>
            <w:vMerge w:val="continue"/>
            <w:vAlign w:val="center"/>
          </w:tcPr>
          <w:p w14:paraId="4B61F79B">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none"/>
                <w:lang w:val="en-US" w:eastAsia="zh-CN"/>
              </w:rPr>
            </w:pPr>
          </w:p>
        </w:tc>
        <w:tc>
          <w:tcPr>
            <w:tcW w:w="0" w:type="auto"/>
            <w:shd w:val="clear" w:color="auto" w:fill="auto"/>
            <w:vAlign w:val="center"/>
          </w:tcPr>
          <w:p w14:paraId="60C3D842">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砷</w:t>
            </w:r>
          </w:p>
        </w:tc>
        <w:tc>
          <w:tcPr>
            <w:tcW w:w="0" w:type="auto"/>
            <w:shd w:val="clear" w:color="auto" w:fill="auto"/>
            <w:vAlign w:val="center"/>
          </w:tcPr>
          <w:p w14:paraId="70A32D6F">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mg/kg</w:t>
            </w:r>
          </w:p>
        </w:tc>
        <w:tc>
          <w:tcPr>
            <w:tcW w:w="0" w:type="auto"/>
            <w:vAlign w:val="center"/>
          </w:tcPr>
          <w:p w14:paraId="284AEA6D">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kern w:val="2"/>
                <w:sz w:val="21"/>
                <w:szCs w:val="21"/>
                <w:highlight w:val="none"/>
                <w:lang w:val="en-US" w:eastAsia="zh-CN" w:bidi="ar-SA"/>
              </w:rPr>
            </w:pPr>
            <w:r>
              <w:rPr>
                <w:rFonts w:hint="eastAsia" w:cs="Times New Roman"/>
                <w:b/>
                <w:bCs/>
                <w:kern w:val="2"/>
                <w:sz w:val="21"/>
                <w:szCs w:val="21"/>
                <w:highlight w:val="none"/>
                <w:lang w:val="en-US" w:eastAsia="zh-CN" w:bidi="ar-SA"/>
              </w:rPr>
              <w:t>347</w:t>
            </w:r>
          </w:p>
        </w:tc>
        <w:tc>
          <w:tcPr>
            <w:tcW w:w="0" w:type="auto"/>
            <w:vAlign w:val="center"/>
          </w:tcPr>
          <w:p w14:paraId="3692C199">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kern w:val="2"/>
                <w:sz w:val="21"/>
                <w:szCs w:val="21"/>
                <w:highlight w:val="none"/>
                <w:lang w:val="en-US" w:eastAsia="zh-CN" w:bidi="ar-SA"/>
              </w:rPr>
            </w:pPr>
            <w:r>
              <w:rPr>
                <w:rFonts w:hint="eastAsia" w:cs="Times New Roman"/>
                <w:b/>
                <w:bCs/>
                <w:kern w:val="2"/>
                <w:sz w:val="21"/>
                <w:szCs w:val="21"/>
                <w:highlight w:val="none"/>
                <w:lang w:val="en-US" w:eastAsia="zh-CN" w:bidi="ar-SA"/>
              </w:rPr>
              <w:t>10.57</w:t>
            </w:r>
          </w:p>
        </w:tc>
        <w:tc>
          <w:tcPr>
            <w:tcW w:w="0" w:type="auto"/>
            <w:vAlign w:val="center"/>
          </w:tcPr>
          <w:p w14:paraId="68921B13">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kern w:val="2"/>
                <w:sz w:val="21"/>
                <w:szCs w:val="21"/>
                <w:highlight w:val="none"/>
                <w:lang w:val="en-US" w:eastAsia="zh-CN" w:bidi="ar-SA"/>
              </w:rPr>
            </w:pPr>
            <w:r>
              <w:rPr>
                <w:rFonts w:hint="eastAsia" w:cs="Times New Roman"/>
                <w:b/>
                <w:bCs/>
                <w:kern w:val="2"/>
                <w:sz w:val="21"/>
                <w:szCs w:val="21"/>
                <w:highlight w:val="none"/>
                <w:lang w:val="en-US" w:eastAsia="zh-CN" w:bidi="ar-SA"/>
              </w:rPr>
              <w:t>超标</w:t>
            </w:r>
          </w:p>
        </w:tc>
        <w:tc>
          <w:tcPr>
            <w:tcW w:w="0" w:type="auto"/>
            <w:shd w:val="clear" w:color="auto" w:fill="auto"/>
            <w:vAlign w:val="center"/>
          </w:tcPr>
          <w:p w14:paraId="4E224B22">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bCs/>
                <w:kern w:val="2"/>
                <w:sz w:val="21"/>
                <w:szCs w:val="21"/>
                <w:highlight w:val="none"/>
                <w:lang w:val="en-US" w:eastAsia="zh-CN" w:bidi="ar-SA"/>
              </w:rPr>
            </w:pPr>
            <w:r>
              <w:rPr>
                <w:rFonts w:hint="eastAsia" w:cs="Times New Roman"/>
                <w:b/>
                <w:bCs/>
                <w:kern w:val="2"/>
                <w:sz w:val="21"/>
                <w:szCs w:val="21"/>
                <w:highlight w:val="none"/>
                <w:lang w:val="en-US" w:eastAsia="zh-CN" w:bidi="ar-SA"/>
              </w:rPr>
              <w:t>30</w:t>
            </w:r>
          </w:p>
        </w:tc>
      </w:tr>
      <w:tr w14:paraId="04D8643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7" w:type="dxa"/>
            <w:bottom w:w="0" w:type="dxa"/>
            <w:right w:w="17" w:type="dxa"/>
          </w:tblCellMar>
        </w:tblPrEx>
        <w:trPr>
          <w:trHeight w:val="23" w:hRule="atLeast"/>
          <w:jc w:val="center"/>
        </w:trPr>
        <w:tc>
          <w:tcPr>
            <w:tcW w:w="288" w:type="pct"/>
            <w:vMerge w:val="continue"/>
            <w:vAlign w:val="center"/>
          </w:tcPr>
          <w:p w14:paraId="5E2C2E69">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sz w:val="21"/>
                <w:szCs w:val="21"/>
                <w:highlight w:val="none"/>
                <w:lang w:val="en-US" w:eastAsia="zh-CN"/>
              </w:rPr>
            </w:pPr>
          </w:p>
        </w:tc>
        <w:tc>
          <w:tcPr>
            <w:tcW w:w="586" w:type="pct"/>
            <w:vMerge w:val="continue"/>
            <w:vAlign w:val="center"/>
          </w:tcPr>
          <w:p w14:paraId="2BDFB418">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none"/>
                <w:lang w:val="en-US" w:eastAsia="zh-CN"/>
              </w:rPr>
            </w:pPr>
          </w:p>
        </w:tc>
        <w:tc>
          <w:tcPr>
            <w:tcW w:w="0" w:type="auto"/>
            <w:shd w:val="clear" w:color="auto" w:fill="auto"/>
            <w:vAlign w:val="center"/>
          </w:tcPr>
          <w:p w14:paraId="2EBB3E1C">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镍</w:t>
            </w:r>
          </w:p>
        </w:tc>
        <w:tc>
          <w:tcPr>
            <w:tcW w:w="0" w:type="auto"/>
            <w:shd w:val="clear" w:color="auto" w:fill="auto"/>
            <w:vAlign w:val="center"/>
          </w:tcPr>
          <w:p w14:paraId="12B87BEC">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mg/kg</w:t>
            </w:r>
          </w:p>
        </w:tc>
        <w:tc>
          <w:tcPr>
            <w:tcW w:w="0" w:type="auto"/>
            <w:vAlign w:val="center"/>
          </w:tcPr>
          <w:p w14:paraId="6C0E39C5">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32</w:t>
            </w:r>
          </w:p>
        </w:tc>
        <w:tc>
          <w:tcPr>
            <w:tcW w:w="0" w:type="auto"/>
            <w:shd w:val="clear" w:color="auto" w:fill="auto"/>
            <w:vAlign w:val="center"/>
          </w:tcPr>
          <w:p w14:paraId="0BFDD79B">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0</w:t>
            </w:r>
          </w:p>
        </w:tc>
        <w:tc>
          <w:tcPr>
            <w:tcW w:w="0" w:type="auto"/>
            <w:shd w:val="clear" w:color="auto" w:fill="auto"/>
            <w:vAlign w:val="center"/>
          </w:tcPr>
          <w:p w14:paraId="303B6CCE">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达标</w:t>
            </w:r>
          </w:p>
        </w:tc>
        <w:tc>
          <w:tcPr>
            <w:tcW w:w="0" w:type="auto"/>
            <w:shd w:val="clear" w:color="auto" w:fill="auto"/>
            <w:vAlign w:val="center"/>
          </w:tcPr>
          <w:p w14:paraId="6ED2BB0B">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60</w:t>
            </w:r>
          </w:p>
        </w:tc>
      </w:tr>
      <w:tr w14:paraId="58897F8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23" w:hRule="atLeast"/>
          <w:jc w:val="center"/>
        </w:trPr>
        <w:tc>
          <w:tcPr>
            <w:tcW w:w="288" w:type="pct"/>
            <w:vMerge w:val="continue"/>
            <w:vAlign w:val="center"/>
          </w:tcPr>
          <w:p w14:paraId="45D3528B">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sz w:val="21"/>
                <w:szCs w:val="21"/>
                <w:highlight w:val="none"/>
                <w:lang w:val="en-US" w:eastAsia="zh-CN"/>
              </w:rPr>
            </w:pPr>
          </w:p>
        </w:tc>
        <w:tc>
          <w:tcPr>
            <w:tcW w:w="586" w:type="pct"/>
            <w:vMerge w:val="continue"/>
            <w:vAlign w:val="center"/>
          </w:tcPr>
          <w:p w14:paraId="0AC6F77E">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none"/>
                <w:lang w:val="en-US" w:eastAsia="zh-CN"/>
              </w:rPr>
            </w:pPr>
          </w:p>
        </w:tc>
        <w:tc>
          <w:tcPr>
            <w:tcW w:w="0" w:type="auto"/>
            <w:shd w:val="clear" w:color="auto" w:fill="auto"/>
            <w:vAlign w:val="center"/>
          </w:tcPr>
          <w:p w14:paraId="01069164">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铅</w:t>
            </w:r>
          </w:p>
        </w:tc>
        <w:tc>
          <w:tcPr>
            <w:tcW w:w="0" w:type="auto"/>
            <w:shd w:val="clear" w:color="auto" w:fill="auto"/>
            <w:vAlign w:val="center"/>
          </w:tcPr>
          <w:p w14:paraId="60BB25A8">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mg/kg</w:t>
            </w:r>
          </w:p>
        </w:tc>
        <w:tc>
          <w:tcPr>
            <w:tcW w:w="0" w:type="auto"/>
            <w:vAlign w:val="center"/>
          </w:tcPr>
          <w:p w14:paraId="67B9DEE0">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46</w:t>
            </w:r>
          </w:p>
        </w:tc>
        <w:tc>
          <w:tcPr>
            <w:tcW w:w="0" w:type="auto"/>
            <w:shd w:val="clear" w:color="auto" w:fill="auto"/>
            <w:vAlign w:val="center"/>
          </w:tcPr>
          <w:p w14:paraId="77134EBB">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0</w:t>
            </w:r>
          </w:p>
        </w:tc>
        <w:tc>
          <w:tcPr>
            <w:tcW w:w="0" w:type="auto"/>
            <w:shd w:val="clear" w:color="auto" w:fill="auto"/>
            <w:vAlign w:val="center"/>
          </w:tcPr>
          <w:p w14:paraId="5ED1D3E6">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达标</w:t>
            </w:r>
          </w:p>
        </w:tc>
        <w:tc>
          <w:tcPr>
            <w:tcW w:w="0" w:type="auto"/>
            <w:shd w:val="clear" w:color="auto" w:fill="auto"/>
            <w:vAlign w:val="center"/>
          </w:tcPr>
          <w:p w14:paraId="029A949E">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80</w:t>
            </w:r>
          </w:p>
        </w:tc>
      </w:tr>
      <w:tr w14:paraId="503180E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7" w:type="dxa"/>
            <w:bottom w:w="0" w:type="dxa"/>
            <w:right w:w="17" w:type="dxa"/>
          </w:tblCellMar>
        </w:tblPrEx>
        <w:trPr>
          <w:trHeight w:val="23" w:hRule="atLeast"/>
          <w:jc w:val="center"/>
        </w:trPr>
        <w:tc>
          <w:tcPr>
            <w:tcW w:w="288" w:type="pct"/>
            <w:vMerge w:val="continue"/>
            <w:vAlign w:val="center"/>
          </w:tcPr>
          <w:p w14:paraId="5574383A">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sz w:val="21"/>
                <w:szCs w:val="21"/>
                <w:highlight w:val="none"/>
                <w:lang w:val="en-US" w:eastAsia="zh-CN"/>
              </w:rPr>
            </w:pPr>
          </w:p>
        </w:tc>
        <w:tc>
          <w:tcPr>
            <w:tcW w:w="586" w:type="pct"/>
            <w:vMerge w:val="continue"/>
            <w:vAlign w:val="center"/>
          </w:tcPr>
          <w:p w14:paraId="47875849">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none"/>
                <w:lang w:val="en-US" w:eastAsia="zh-CN"/>
              </w:rPr>
            </w:pPr>
          </w:p>
        </w:tc>
        <w:tc>
          <w:tcPr>
            <w:tcW w:w="0" w:type="auto"/>
            <w:shd w:val="clear" w:color="auto" w:fill="auto"/>
            <w:vAlign w:val="center"/>
          </w:tcPr>
          <w:p w14:paraId="3541DF3C">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镉</w:t>
            </w:r>
          </w:p>
        </w:tc>
        <w:tc>
          <w:tcPr>
            <w:tcW w:w="0" w:type="auto"/>
            <w:shd w:val="clear" w:color="auto" w:fill="auto"/>
            <w:vAlign w:val="center"/>
          </w:tcPr>
          <w:p w14:paraId="35A7C7FF">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mg/kg</w:t>
            </w:r>
          </w:p>
        </w:tc>
        <w:tc>
          <w:tcPr>
            <w:tcW w:w="0" w:type="auto"/>
            <w:vAlign w:val="center"/>
          </w:tcPr>
          <w:p w14:paraId="06EB50BE">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0.20</w:t>
            </w:r>
          </w:p>
        </w:tc>
        <w:tc>
          <w:tcPr>
            <w:tcW w:w="0" w:type="auto"/>
            <w:shd w:val="clear" w:color="auto" w:fill="auto"/>
            <w:vAlign w:val="center"/>
          </w:tcPr>
          <w:p w14:paraId="7D9E2064">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0</w:t>
            </w:r>
          </w:p>
        </w:tc>
        <w:tc>
          <w:tcPr>
            <w:tcW w:w="0" w:type="auto"/>
            <w:shd w:val="clear" w:color="auto" w:fill="auto"/>
            <w:vAlign w:val="center"/>
          </w:tcPr>
          <w:p w14:paraId="5D3D8C6D">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达标</w:t>
            </w:r>
          </w:p>
        </w:tc>
        <w:tc>
          <w:tcPr>
            <w:tcW w:w="0" w:type="auto"/>
            <w:shd w:val="clear" w:color="auto" w:fill="auto"/>
            <w:vAlign w:val="center"/>
          </w:tcPr>
          <w:p w14:paraId="7FC97889">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0.3</w:t>
            </w:r>
          </w:p>
        </w:tc>
      </w:tr>
      <w:tr w14:paraId="5078756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7" w:type="dxa"/>
            <w:bottom w:w="0" w:type="dxa"/>
            <w:right w:w="17" w:type="dxa"/>
          </w:tblCellMar>
        </w:tblPrEx>
        <w:trPr>
          <w:trHeight w:val="23" w:hRule="atLeast"/>
          <w:jc w:val="center"/>
        </w:trPr>
        <w:tc>
          <w:tcPr>
            <w:tcW w:w="288" w:type="pct"/>
            <w:vMerge w:val="continue"/>
            <w:vAlign w:val="center"/>
          </w:tcPr>
          <w:p w14:paraId="1CBA654D">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sz w:val="21"/>
                <w:szCs w:val="21"/>
                <w:highlight w:val="none"/>
                <w:lang w:val="en-US" w:eastAsia="zh-CN"/>
              </w:rPr>
            </w:pPr>
          </w:p>
        </w:tc>
        <w:tc>
          <w:tcPr>
            <w:tcW w:w="586" w:type="pct"/>
            <w:vMerge w:val="continue"/>
            <w:vAlign w:val="center"/>
          </w:tcPr>
          <w:p w14:paraId="4E4E16B6">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none"/>
                <w:lang w:val="en-US" w:eastAsia="zh-CN"/>
              </w:rPr>
            </w:pPr>
          </w:p>
        </w:tc>
        <w:tc>
          <w:tcPr>
            <w:tcW w:w="0" w:type="auto"/>
            <w:shd w:val="clear" w:color="auto" w:fill="auto"/>
            <w:vAlign w:val="center"/>
          </w:tcPr>
          <w:p w14:paraId="6EB1843C">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总铬</w:t>
            </w:r>
          </w:p>
        </w:tc>
        <w:tc>
          <w:tcPr>
            <w:tcW w:w="0" w:type="auto"/>
            <w:shd w:val="clear" w:color="auto" w:fill="auto"/>
            <w:vAlign w:val="center"/>
          </w:tcPr>
          <w:p w14:paraId="01049462">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mg/kg</w:t>
            </w:r>
          </w:p>
        </w:tc>
        <w:tc>
          <w:tcPr>
            <w:tcW w:w="0" w:type="auto"/>
            <w:vAlign w:val="center"/>
          </w:tcPr>
          <w:p w14:paraId="71377A4E">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86</w:t>
            </w:r>
          </w:p>
        </w:tc>
        <w:tc>
          <w:tcPr>
            <w:tcW w:w="0" w:type="auto"/>
            <w:shd w:val="clear" w:color="auto" w:fill="auto"/>
            <w:vAlign w:val="center"/>
          </w:tcPr>
          <w:p w14:paraId="651F6FEE">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0</w:t>
            </w:r>
          </w:p>
        </w:tc>
        <w:tc>
          <w:tcPr>
            <w:tcW w:w="0" w:type="auto"/>
            <w:shd w:val="clear" w:color="auto" w:fill="auto"/>
            <w:vAlign w:val="center"/>
          </w:tcPr>
          <w:p w14:paraId="11F757C3">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达标</w:t>
            </w:r>
          </w:p>
        </w:tc>
        <w:tc>
          <w:tcPr>
            <w:tcW w:w="0" w:type="auto"/>
            <w:shd w:val="clear" w:color="auto" w:fill="auto"/>
            <w:vAlign w:val="center"/>
          </w:tcPr>
          <w:p w14:paraId="44DBD70F">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250</w:t>
            </w:r>
          </w:p>
        </w:tc>
      </w:tr>
      <w:tr w14:paraId="48AD047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7" w:type="dxa"/>
            <w:bottom w:w="0" w:type="dxa"/>
            <w:right w:w="17" w:type="dxa"/>
          </w:tblCellMar>
        </w:tblPrEx>
        <w:trPr>
          <w:trHeight w:val="23" w:hRule="atLeast"/>
          <w:jc w:val="center"/>
        </w:trPr>
        <w:tc>
          <w:tcPr>
            <w:tcW w:w="288" w:type="pct"/>
            <w:vMerge w:val="continue"/>
            <w:vAlign w:val="center"/>
          </w:tcPr>
          <w:p w14:paraId="30B4830D">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sz w:val="21"/>
                <w:szCs w:val="21"/>
                <w:highlight w:val="none"/>
                <w:lang w:val="en-US" w:eastAsia="zh-CN"/>
              </w:rPr>
            </w:pPr>
          </w:p>
        </w:tc>
        <w:tc>
          <w:tcPr>
            <w:tcW w:w="586" w:type="pct"/>
            <w:vMerge w:val="continue"/>
            <w:vAlign w:val="center"/>
          </w:tcPr>
          <w:p w14:paraId="030A7961">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none"/>
                <w:lang w:val="en-US" w:eastAsia="zh-CN"/>
              </w:rPr>
            </w:pPr>
          </w:p>
        </w:tc>
        <w:tc>
          <w:tcPr>
            <w:tcW w:w="0" w:type="auto"/>
            <w:shd w:val="clear" w:color="auto" w:fill="auto"/>
            <w:vAlign w:val="center"/>
          </w:tcPr>
          <w:p w14:paraId="6D5B0E05">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铬（六价）</w:t>
            </w:r>
          </w:p>
        </w:tc>
        <w:tc>
          <w:tcPr>
            <w:tcW w:w="0" w:type="auto"/>
            <w:shd w:val="clear" w:color="auto" w:fill="auto"/>
            <w:vAlign w:val="center"/>
          </w:tcPr>
          <w:p w14:paraId="126B646C">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mg/kg</w:t>
            </w:r>
          </w:p>
        </w:tc>
        <w:tc>
          <w:tcPr>
            <w:tcW w:w="0" w:type="auto"/>
            <w:vAlign w:val="center"/>
          </w:tcPr>
          <w:p w14:paraId="17F5F992">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ND</w:t>
            </w:r>
          </w:p>
        </w:tc>
        <w:tc>
          <w:tcPr>
            <w:tcW w:w="0" w:type="auto"/>
            <w:vAlign w:val="center"/>
          </w:tcPr>
          <w:p w14:paraId="3D022F42">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w:t>
            </w:r>
          </w:p>
        </w:tc>
        <w:tc>
          <w:tcPr>
            <w:tcW w:w="0" w:type="auto"/>
            <w:vAlign w:val="center"/>
          </w:tcPr>
          <w:p w14:paraId="4B89FD36">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w:t>
            </w:r>
          </w:p>
        </w:tc>
        <w:tc>
          <w:tcPr>
            <w:tcW w:w="0" w:type="auto"/>
            <w:shd w:val="clear" w:color="auto" w:fill="auto"/>
            <w:vAlign w:val="center"/>
          </w:tcPr>
          <w:p w14:paraId="35DB2A5D">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w:t>
            </w:r>
          </w:p>
        </w:tc>
      </w:tr>
      <w:tr w14:paraId="583BBD3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7" w:type="dxa"/>
            <w:bottom w:w="0" w:type="dxa"/>
            <w:right w:w="17" w:type="dxa"/>
          </w:tblCellMar>
        </w:tblPrEx>
        <w:trPr>
          <w:trHeight w:val="23" w:hRule="atLeast"/>
          <w:jc w:val="center"/>
        </w:trPr>
        <w:tc>
          <w:tcPr>
            <w:tcW w:w="288" w:type="pct"/>
            <w:vMerge w:val="continue"/>
            <w:vAlign w:val="center"/>
          </w:tcPr>
          <w:p w14:paraId="41A16F5A">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sz w:val="21"/>
                <w:szCs w:val="21"/>
                <w:highlight w:val="none"/>
                <w:lang w:val="en-US" w:eastAsia="zh-CN"/>
              </w:rPr>
            </w:pPr>
          </w:p>
        </w:tc>
        <w:tc>
          <w:tcPr>
            <w:tcW w:w="586" w:type="pct"/>
            <w:vMerge w:val="continue"/>
            <w:vAlign w:val="center"/>
          </w:tcPr>
          <w:p w14:paraId="46255F2A">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none"/>
                <w:lang w:val="en-US" w:eastAsia="zh-CN"/>
              </w:rPr>
            </w:pPr>
          </w:p>
        </w:tc>
        <w:tc>
          <w:tcPr>
            <w:tcW w:w="0" w:type="auto"/>
            <w:shd w:val="clear" w:color="auto" w:fill="auto"/>
            <w:vAlign w:val="center"/>
          </w:tcPr>
          <w:p w14:paraId="1C916C23">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汞</w:t>
            </w:r>
          </w:p>
        </w:tc>
        <w:tc>
          <w:tcPr>
            <w:tcW w:w="0" w:type="auto"/>
            <w:shd w:val="clear" w:color="auto" w:fill="auto"/>
            <w:vAlign w:val="center"/>
          </w:tcPr>
          <w:p w14:paraId="3D40B2B2">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mg/kg</w:t>
            </w:r>
          </w:p>
        </w:tc>
        <w:tc>
          <w:tcPr>
            <w:tcW w:w="0" w:type="auto"/>
            <w:vAlign w:val="center"/>
          </w:tcPr>
          <w:p w14:paraId="7F4F4581">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0.0745</w:t>
            </w:r>
          </w:p>
        </w:tc>
        <w:tc>
          <w:tcPr>
            <w:tcW w:w="529" w:type="pct"/>
            <w:shd w:val="clear" w:color="auto" w:fill="auto"/>
            <w:vAlign w:val="center"/>
          </w:tcPr>
          <w:p w14:paraId="7FDE57BE">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0</w:t>
            </w:r>
          </w:p>
        </w:tc>
        <w:tc>
          <w:tcPr>
            <w:tcW w:w="525" w:type="pct"/>
            <w:shd w:val="clear" w:color="auto" w:fill="auto"/>
            <w:vAlign w:val="center"/>
          </w:tcPr>
          <w:p w14:paraId="0D5BBB22">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达标</w:t>
            </w:r>
          </w:p>
        </w:tc>
        <w:tc>
          <w:tcPr>
            <w:tcW w:w="0" w:type="auto"/>
            <w:shd w:val="clear" w:color="auto" w:fill="auto"/>
            <w:vAlign w:val="center"/>
          </w:tcPr>
          <w:p w14:paraId="2E08E237">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0.5</w:t>
            </w:r>
          </w:p>
        </w:tc>
      </w:tr>
      <w:tr w14:paraId="7D29D2B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7" w:type="dxa"/>
            <w:bottom w:w="0" w:type="dxa"/>
            <w:right w:w="17" w:type="dxa"/>
          </w:tblCellMar>
        </w:tblPrEx>
        <w:trPr>
          <w:trHeight w:val="23" w:hRule="atLeast"/>
          <w:jc w:val="center"/>
        </w:trPr>
        <w:tc>
          <w:tcPr>
            <w:tcW w:w="288" w:type="pct"/>
            <w:vMerge w:val="continue"/>
            <w:vAlign w:val="center"/>
          </w:tcPr>
          <w:p w14:paraId="12447AC2">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sz w:val="21"/>
                <w:szCs w:val="21"/>
                <w:highlight w:val="none"/>
                <w:lang w:val="en-US" w:eastAsia="zh-CN"/>
              </w:rPr>
            </w:pPr>
          </w:p>
        </w:tc>
        <w:tc>
          <w:tcPr>
            <w:tcW w:w="586" w:type="pct"/>
            <w:vMerge w:val="continue"/>
            <w:vAlign w:val="center"/>
          </w:tcPr>
          <w:p w14:paraId="64B627B1">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none"/>
                <w:lang w:val="en-US" w:eastAsia="zh-CN"/>
              </w:rPr>
            </w:pPr>
          </w:p>
        </w:tc>
        <w:tc>
          <w:tcPr>
            <w:tcW w:w="0" w:type="auto"/>
            <w:shd w:val="clear" w:color="auto" w:fill="auto"/>
            <w:vAlign w:val="center"/>
          </w:tcPr>
          <w:p w14:paraId="46C747F0">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铜</w:t>
            </w:r>
          </w:p>
        </w:tc>
        <w:tc>
          <w:tcPr>
            <w:tcW w:w="0" w:type="auto"/>
            <w:shd w:val="clear" w:color="auto" w:fill="auto"/>
            <w:vAlign w:val="center"/>
          </w:tcPr>
          <w:p w14:paraId="57D3A002">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mg/kg</w:t>
            </w:r>
          </w:p>
        </w:tc>
        <w:tc>
          <w:tcPr>
            <w:tcW w:w="0" w:type="auto"/>
            <w:vAlign w:val="center"/>
          </w:tcPr>
          <w:p w14:paraId="5F8AE5C7">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36.3</w:t>
            </w:r>
          </w:p>
        </w:tc>
        <w:tc>
          <w:tcPr>
            <w:tcW w:w="0" w:type="auto"/>
            <w:shd w:val="clear" w:color="auto" w:fill="auto"/>
            <w:vAlign w:val="center"/>
          </w:tcPr>
          <w:p w14:paraId="242FC3A5">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0</w:t>
            </w:r>
          </w:p>
        </w:tc>
        <w:tc>
          <w:tcPr>
            <w:tcW w:w="0" w:type="auto"/>
            <w:shd w:val="clear" w:color="auto" w:fill="auto"/>
            <w:vAlign w:val="center"/>
          </w:tcPr>
          <w:p w14:paraId="76A76256">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达标</w:t>
            </w:r>
          </w:p>
        </w:tc>
        <w:tc>
          <w:tcPr>
            <w:tcW w:w="0" w:type="auto"/>
            <w:shd w:val="clear" w:color="auto" w:fill="auto"/>
            <w:vAlign w:val="center"/>
          </w:tcPr>
          <w:p w14:paraId="18ABED37">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50</w:t>
            </w:r>
          </w:p>
        </w:tc>
      </w:tr>
      <w:tr w14:paraId="4DC8BAC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7" w:type="dxa"/>
            <w:bottom w:w="0" w:type="dxa"/>
            <w:right w:w="17" w:type="dxa"/>
          </w:tblCellMar>
        </w:tblPrEx>
        <w:trPr>
          <w:trHeight w:val="23" w:hRule="atLeast"/>
          <w:jc w:val="center"/>
        </w:trPr>
        <w:tc>
          <w:tcPr>
            <w:tcW w:w="288" w:type="pct"/>
            <w:vMerge w:val="continue"/>
            <w:vAlign w:val="center"/>
          </w:tcPr>
          <w:p w14:paraId="42D6295A">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sz w:val="21"/>
                <w:szCs w:val="21"/>
                <w:highlight w:val="none"/>
                <w:lang w:val="en-US" w:eastAsia="zh-CN"/>
              </w:rPr>
            </w:pPr>
          </w:p>
        </w:tc>
        <w:tc>
          <w:tcPr>
            <w:tcW w:w="586" w:type="pct"/>
            <w:vMerge w:val="continue"/>
            <w:vAlign w:val="center"/>
          </w:tcPr>
          <w:p w14:paraId="27886E1F">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none"/>
                <w:lang w:val="en-US" w:eastAsia="zh-CN"/>
              </w:rPr>
            </w:pPr>
          </w:p>
        </w:tc>
        <w:tc>
          <w:tcPr>
            <w:tcW w:w="0" w:type="auto"/>
            <w:shd w:val="clear" w:color="auto" w:fill="auto"/>
            <w:vAlign w:val="center"/>
          </w:tcPr>
          <w:p w14:paraId="3B74BFFF">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锌</w:t>
            </w:r>
          </w:p>
        </w:tc>
        <w:tc>
          <w:tcPr>
            <w:tcW w:w="0" w:type="auto"/>
            <w:shd w:val="clear" w:color="auto" w:fill="auto"/>
            <w:vAlign w:val="center"/>
          </w:tcPr>
          <w:p w14:paraId="3BA46C8D">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mg/kg</w:t>
            </w:r>
          </w:p>
        </w:tc>
        <w:tc>
          <w:tcPr>
            <w:tcW w:w="0" w:type="auto"/>
            <w:vAlign w:val="center"/>
          </w:tcPr>
          <w:p w14:paraId="4024572A">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162</w:t>
            </w:r>
          </w:p>
        </w:tc>
        <w:tc>
          <w:tcPr>
            <w:tcW w:w="0" w:type="auto"/>
            <w:shd w:val="clear" w:color="auto" w:fill="auto"/>
            <w:vAlign w:val="center"/>
          </w:tcPr>
          <w:p w14:paraId="7892EED3">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0</w:t>
            </w:r>
          </w:p>
        </w:tc>
        <w:tc>
          <w:tcPr>
            <w:tcW w:w="0" w:type="auto"/>
            <w:shd w:val="clear" w:color="auto" w:fill="auto"/>
            <w:vAlign w:val="center"/>
          </w:tcPr>
          <w:p w14:paraId="076014E0">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达标</w:t>
            </w:r>
          </w:p>
        </w:tc>
        <w:tc>
          <w:tcPr>
            <w:tcW w:w="0" w:type="auto"/>
            <w:shd w:val="clear" w:color="auto" w:fill="auto"/>
            <w:vAlign w:val="center"/>
          </w:tcPr>
          <w:p w14:paraId="3D65E0F6">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200</w:t>
            </w:r>
          </w:p>
        </w:tc>
      </w:tr>
      <w:tr w14:paraId="56860B8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7" w:type="dxa"/>
            <w:bottom w:w="0" w:type="dxa"/>
            <w:right w:w="17" w:type="dxa"/>
          </w:tblCellMar>
        </w:tblPrEx>
        <w:trPr>
          <w:trHeight w:val="23" w:hRule="atLeast"/>
          <w:jc w:val="center"/>
        </w:trPr>
        <w:tc>
          <w:tcPr>
            <w:tcW w:w="288" w:type="pct"/>
            <w:vMerge w:val="continue"/>
            <w:vAlign w:val="center"/>
          </w:tcPr>
          <w:p w14:paraId="586AEB08">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sz w:val="21"/>
                <w:szCs w:val="21"/>
                <w:highlight w:val="none"/>
                <w:lang w:val="en-US" w:eastAsia="zh-CN"/>
              </w:rPr>
            </w:pPr>
          </w:p>
        </w:tc>
        <w:tc>
          <w:tcPr>
            <w:tcW w:w="586" w:type="pct"/>
            <w:vMerge w:val="continue"/>
            <w:vAlign w:val="center"/>
          </w:tcPr>
          <w:p w14:paraId="7366BCF8">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none"/>
                <w:lang w:val="en-US" w:eastAsia="zh-CN"/>
              </w:rPr>
            </w:pPr>
          </w:p>
        </w:tc>
        <w:tc>
          <w:tcPr>
            <w:tcW w:w="0" w:type="auto"/>
            <w:shd w:val="clear" w:color="auto" w:fill="auto"/>
            <w:vAlign w:val="center"/>
          </w:tcPr>
          <w:p w14:paraId="3E219F27">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氰化物</w:t>
            </w:r>
          </w:p>
        </w:tc>
        <w:tc>
          <w:tcPr>
            <w:tcW w:w="0" w:type="auto"/>
            <w:shd w:val="clear" w:color="auto" w:fill="auto"/>
            <w:vAlign w:val="center"/>
          </w:tcPr>
          <w:p w14:paraId="2F2F4B93">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mg/kg</w:t>
            </w:r>
          </w:p>
        </w:tc>
        <w:tc>
          <w:tcPr>
            <w:tcW w:w="0" w:type="auto"/>
            <w:vAlign w:val="center"/>
          </w:tcPr>
          <w:p w14:paraId="695676B3">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ND</w:t>
            </w:r>
          </w:p>
        </w:tc>
        <w:tc>
          <w:tcPr>
            <w:tcW w:w="0" w:type="auto"/>
            <w:vAlign w:val="center"/>
          </w:tcPr>
          <w:p w14:paraId="21532176">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w:t>
            </w:r>
          </w:p>
        </w:tc>
        <w:tc>
          <w:tcPr>
            <w:tcW w:w="0" w:type="auto"/>
            <w:vAlign w:val="center"/>
          </w:tcPr>
          <w:p w14:paraId="489F88B7">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w:t>
            </w:r>
          </w:p>
        </w:tc>
        <w:tc>
          <w:tcPr>
            <w:tcW w:w="0" w:type="auto"/>
            <w:shd w:val="clear" w:color="auto" w:fill="auto"/>
            <w:vAlign w:val="center"/>
          </w:tcPr>
          <w:p w14:paraId="005C0CAA">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w:t>
            </w:r>
          </w:p>
        </w:tc>
      </w:tr>
    </w:tbl>
    <w:p w14:paraId="4D5D2BE2">
      <w:pPr>
        <w:rPr>
          <w:rFonts w:hint="eastAsia"/>
          <w:highlight w:val="none"/>
          <w:lang w:val="en-US" w:eastAsia="zh-CN"/>
        </w:rPr>
      </w:pPr>
      <w:r>
        <w:rPr>
          <w:rFonts w:hint="eastAsia"/>
          <w:highlight w:val="none"/>
          <w:lang w:val="en-US" w:eastAsia="zh-CN"/>
        </w:rPr>
        <w:t>根据表4.2-10可知，T1~T6点位监测因子除砷土壤监测值存在不同程度的超过《土壤环境质量  建设用地土壤污染风险管控标准（试行）》（GB36600-2018）表1中第二类用地筛选值要求及《土壤环境质量标准  农用地土壤污染风险管控标准（试行）》（GB15618-2018）标准限值外，其余监测点位各监测因子监测值均满足《土壤环境质量  建设用地土壤污染风险管控标准（试行）》（GB36600-2018）表1中第二类用地筛选值要求及《土壤环境质量标准  农用地土壤污染风险管控标准（试行）》（GB15618-2018）标准限值。</w:t>
      </w:r>
    </w:p>
    <w:p w14:paraId="24604069">
      <w:pPr>
        <w:rPr>
          <w:rFonts w:hint="eastAsia"/>
          <w:highlight w:val="none"/>
          <w:lang w:val="en-US" w:eastAsia="zh-CN"/>
        </w:rPr>
      </w:pPr>
      <w:r>
        <w:rPr>
          <w:rFonts w:hint="eastAsia"/>
          <w:highlight w:val="none"/>
          <w:lang w:val="en-US" w:eastAsia="zh-CN"/>
        </w:rPr>
        <w:t>T1~T6</w:t>
      </w:r>
      <w:r>
        <w:rPr>
          <w:rFonts w:hint="eastAsia" w:cs="Times New Roman"/>
          <w:highlight w:val="none"/>
          <w:lang w:val="en-US" w:eastAsia="zh-CN"/>
        </w:rPr>
        <w:t>点位砷超标原因为</w:t>
      </w:r>
      <w:r>
        <w:rPr>
          <w:rFonts w:hint="default" w:cs="Times New Roman"/>
          <w:highlight w:val="none"/>
          <w:lang w:val="en-US" w:eastAsia="zh-CN"/>
        </w:rPr>
        <w:t>废渣堆在常年雨水冲刷下，产生的重金属浸出液</w:t>
      </w:r>
      <w:r>
        <w:rPr>
          <w:rFonts w:hint="eastAsia" w:cs="Times New Roman"/>
          <w:highlight w:val="none"/>
          <w:lang w:val="en-US" w:eastAsia="zh-CN"/>
        </w:rPr>
        <w:t>沿地表漫流及下渗</w:t>
      </w:r>
      <w:r>
        <w:rPr>
          <w:rFonts w:hint="default" w:cs="Times New Roman"/>
          <w:highlight w:val="none"/>
          <w:lang w:val="en-US" w:eastAsia="zh-CN"/>
        </w:rPr>
        <w:t>对</w:t>
      </w:r>
      <w:r>
        <w:rPr>
          <w:rFonts w:hint="eastAsia" w:cs="Times New Roman"/>
          <w:highlight w:val="none"/>
          <w:lang w:val="en-US" w:eastAsia="zh-CN"/>
        </w:rPr>
        <w:t>周边农田及林地土壤产生影响。</w:t>
      </w:r>
    </w:p>
    <w:p w14:paraId="752626CE">
      <w:pPr>
        <w:bidi w:val="0"/>
        <w:rPr>
          <w:rFonts w:hint="default"/>
          <w:b/>
          <w:bCs/>
          <w:highlight w:val="none"/>
          <w:lang w:val="en-US" w:eastAsia="zh-CN"/>
        </w:rPr>
      </w:pPr>
      <w:r>
        <w:rPr>
          <w:rFonts w:hint="eastAsia"/>
          <w:b/>
          <w:bCs/>
          <w:highlight w:val="none"/>
          <w:lang w:val="en-US" w:eastAsia="zh-CN"/>
        </w:rPr>
        <w:t>（4）土壤理化特性调查</w:t>
      </w:r>
    </w:p>
    <w:p w14:paraId="353F3ABE">
      <w:pPr>
        <w:ind w:left="0" w:leftChars="0" w:firstLine="0" w:firstLineChars="0"/>
        <w:jc w:val="center"/>
        <w:rPr>
          <w:rFonts w:hint="default"/>
          <w:b/>
          <w:bCs/>
          <w:sz w:val="21"/>
          <w:szCs w:val="21"/>
          <w:highlight w:val="none"/>
          <w:lang w:val="en-US" w:eastAsia="zh-CN"/>
        </w:rPr>
      </w:pPr>
      <w:r>
        <w:rPr>
          <w:rFonts w:hint="eastAsia"/>
          <w:b/>
          <w:bCs/>
          <w:sz w:val="21"/>
          <w:szCs w:val="21"/>
          <w:highlight w:val="none"/>
          <w:lang w:val="en-US" w:eastAsia="zh-CN"/>
        </w:rPr>
        <w:t>表4.2-11  土壤理化特性调查表</w:t>
      </w:r>
    </w:p>
    <w:tbl>
      <w:tblPr>
        <w:tblStyle w:val="36"/>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856"/>
        <w:gridCol w:w="2755"/>
        <w:gridCol w:w="961"/>
        <w:gridCol w:w="1858"/>
        <w:gridCol w:w="1858"/>
      </w:tblGrid>
      <w:tr w14:paraId="10C1E97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999" w:type="pct"/>
            <w:vAlign w:val="center"/>
          </w:tcPr>
          <w:p w14:paraId="64AF8EC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val="0"/>
                <w:bCs w:val="0"/>
                <w:sz w:val="21"/>
                <w:szCs w:val="21"/>
                <w:highlight w:val="none"/>
                <w:vertAlign w:val="baseline"/>
                <w:lang w:val="en-US" w:eastAsia="zh-CN"/>
              </w:rPr>
            </w:pPr>
            <w:r>
              <w:rPr>
                <w:rFonts w:hint="eastAsia"/>
                <w:b w:val="0"/>
                <w:bCs w:val="0"/>
                <w:sz w:val="21"/>
                <w:szCs w:val="21"/>
                <w:highlight w:val="none"/>
                <w:vertAlign w:val="baseline"/>
                <w:lang w:val="en-US" w:eastAsia="zh-CN"/>
              </w:rPr>
              <w:t>点位</w:t>
            </w:r>
          </w:p>
        </w:tc>
        <w:tc>
          <w:tcPr>
            <w:tcW w:w="2000" w:type="pct"/>
            <w:gridSpan w:val="2"/>
            <w:vAlign w:val="center"/>
          </w:tcPr>
          <w:p w14:paraId="7C2C3C3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val="0"/>
                <w:bCs w:val="0"/>
                <w:sz w:val="21"/>
                <w:szCs w:val="21"/>
                <w:highlight w:val="none"/>
                <w:vertAlign w:val="baseline"/>
                <w:lang w:val="en-US" w:eastAsia="zh-CN"/>
              </w:rPr>
            </w:pPr>
            <w:r>
              <w:rPr>
                <w:rFonts w:hint="eastAsia"/>
                <w:b w:val="0"/>
                <w:bCs w:val="0"/>
                <w:sz w:val="21"/>
                <w:szCs w:val="21"/>
                <w:highlight w:val="none"/>
                <w:vertAlign w:val="baseline"/>
                <w:lang w:val="en-US" w:eastAsia="zh-CN"/>
              </w:rPr>
              <w:t>T1</w:t>
            </w:r>
          </w:p>
        </w:tc>
        <w:tc>
          <w:tcPr>
            <w:tcW w:w="1000" w:type="pct"/>
            <w:shd w:val="clear" w:color="auto" w:fill="auto"/>
            <w:vAlign w:val="center"/>
          </w:tcPr>
          <w:p w14:paraId="18FDB49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val="0"/>
                <w:bCs w:val="0"/>
                <w:kern w:val="2"/>
                <w:sz w:val="21"/>
                <w:szCs w:val="21"/>
                <w:highlight w:val="none"/>
                <w:vertAlign w:val="baseline"/>
                <w:lang w:val="en-US" w:eastAsia="zh-CN" w:bidi="ar-SA"/>
              </w:rPr>
            </w:pPr>
            <w:r>
              <w:rPr>
                <w:rFonts w:hint="eastAsia"/>
                <w:b w:val="0"/>
                <w:bCs w:val="0"/>
                <w:sz w:val="21"/>
                <w:szCs w:val="21"/>
                <w:highlight w:val="none"/>
                <w:vertAlign w:val="baseline"/>
                <w:lang w:val="en-US" w:eastAsia="zh-CN"/>
              </w:rPr>
              <w:t>时间</w:t>
            </w:r>
          </w:p>
        </w:tc>
        <w:tc>
          <w:tcPr>
            <w:tcW w:w="1000" w:type="pct"/>
            <w:vAlign w:val="center"/>
          </w:tcPr>
          <w:p w14:paraId="539AAFA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val="0"/>
                <w:bCs w:val="0"/>
                <w:sz w:val="21"/>
                <w:szCs w:val="21"/>
                <w:highlight w:val="none"/>
                <w:vertAlign w:val="baseline"/>
                <w:lang w:val="en-US" w:eastAsia="zh-CN"/>
              </w:rPr>
            </w:pPr>
            <w:r>
              <w:rPr>
                <w:rFonts w:hint="eastAsia"/>
                <w:b w:val="0"/>
                <w:bCs w:val="0"/>
                <w:sz w:val="21"/>
                <w:szCs w:val="21"/>
                <w:highlight w:val="none"/>
                <w:vertAlign w:val="baseline"/>
                <w:lang w:val="en-US" w:eastAsia="zh-CN"/>
              </w:rPr>
              <w:t>2025.8.22</w:t>
            </w:r>
          </w:p>
        </w:tc>
      </w:tr>
      <w:tr w14:paraId="742A8FF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999" w:type="pct"/>
            <w:vAlign w:val="center"/>
          </w:tcPr>
          <w:p w14:paraId="64CDA05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bCs w:val="0"/>
                <w:sz w:val="21"/>
                <w:szCs w:val="21"/>
                <w:highlight w:val="none"/>
                <w:vertAlign w:val="baseline"/>
                <w:lang w:val="en-US" w:eastAsia="zh-CN"/>
              </w:rPr>
            </w:pPr>
            <w:r>
              <w:rPr>
                <w:rFonts w:hint="default" w:ascii="Times New Roman" w:hAnsi="Times New Roman" w:cs="Times New Roman"/>
                <w:b w:val="0"/>
                <w:bCs w:val="0"/>
                <w:sz w:val="21"/>
                <w:szCs w:val="21"/>
                <w:highlight w:val="none"/>
                <w:vertAlign w:val="baseline"/>
                <w:lang w:val="en-US" w:eastAsia="zh-CN"/>
              </w:rPr>
              <w:t>经度（°）</w:t>
            </w:r>
          </w:p>
        </w:tc>
        <w:tc>
          <w:tcPr>
            <w:tcW w:w="2000" w:type="pct"/>
            <w:gridSpan w:val="2"/>
            <w:vAlign w:val="center"/>
          </w:tcPr>
          <w:p w14:paraId="0B4FCAC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bCs w:val="0"/>
                <w:sz w:val="21"/>
                <w:szCs w:val="21"/>
                <w:highlight w:val="none"/>
                <w:vertAlign w:val="baseline"/>
                <w:lang w:val="en-US" w:eastAsia="zh-CN"/>
              </w:rPr>
            </w:pPr>
            <w:r>
              <w:rPr>
                <w:rFonts w:hint="eastAsia" w:ascii="TimesNewRomanPSMT" w:hAnsi="TimesNewRomanPSMT" w:eastAsia="TimesNewRomanPSMT"/>
                <w:sz w:val="21"/>
                <w:szCs w:val="24"/>
              </w:rPr>
              <w:t>113.552197</w:t>
            </w:r>
          </w:p>
        </w:tc>
        <w:tc>
          <w:tcPr>
            <w:tcW w:w="1000" w:type="pct"/>
            <w:shd w:val="clear" w:color="auto" w:fill="auto"/>
            <w:vAlign w:val="center"/>
          </w:tcPr>
          <w:p w14:paraId="548F1FE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kern w:val="2"/>
                <w:sz w:val="21"/>
                <w:szCs w:val="21"/>
                <w:highlight w:val="none"/>
                <w:vertAlign w:val="baseline"/>
                <w:lang w:val="en-US" w:eastAsia="zh-CN" w:bidi="ar-SA"/>
              </w:rPr>
            </w:pPr>
            <w:r>
              <w:rPr>
                <w:rFonts w:hint="default" w:ascii="Times New Roman" w:hAnsi="Times New Roman" w:cs="Times New Roman"/>
                <w:b w:val="0"/>
                <w:bCs w:val="0"/>
                <w:sz w:val="21"/>
                <w:szCs w:val="21"/>
                <w:highlight w:val="none"/>
                <w:vertAlign w:val="baseline"/>
                <w:lang w:val="en-US" w:eastAsia="zh-CN"/>
              </w:rPr>
              <w:t>纬度（°）</w:t>
            </w:r>
          </w:p>
        </w:tc>
        <w:tc>
          <w:tcPr>
            <w:tcW w:w="1000" w:type="pct"/>
            <w:vAlign w:val="center"/>
          </w:tcPr>
          <w:p w14:paraId="646FF70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val="0"/>
                <w:bCs w:val="0"/>
                <w:sz w:val="21"/>
                <w:szCs w:val="21"/>
                <w:highlight w:val="none"/>
                <w:vertAlign w:val="baseline"/>
                <w:lang w:val="en-US" w:eastAsia="zh-CN"/>
              </w:rPr>
            </w:pPr>
            <w:r>
              <w:rPr>
                <w:rFonts w:hint="eastAsia" w:ascii="TimesNewRomanPSMT" w:hAnsi="TimesNewRomanPSMT" w:eastAsia="TimesNewRomanPSMT"/>
                <w:sz w:val="21"/>
                <w:szCs w:val="24"/>
              </w:rPr>
              <w:t>28.648082</w:t>
            </w:r>
          </w:p>
        </w:tc>
      </w:tr>
      <w:tr w14:paraId="3CCA7DB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482" w:type="pct"/>
            <w:gridSpan w:val="2"/>
            <w:vAlign w:val="center"/>
          </w:tcPr>
          <w:p w14:paraId="60630E7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b w:val="0"/>
                <w:bCs w:val="0"/>
                <w:sz w:val="21"/>
                <w:szCs w:val="21"/>
                <w:highlight w:val="none"/>
                <w:vertAlign w:val="baseline"/>
                <w:lang w:val="en-US" w:eastAsia="zh-CN"/>
              </w:rPr>
            </w:pPr>
            <w:r>
              <w:rPr>
                <w:rFonts w:hint="eastAsia"/>
                <w:b w:val="0"/>
                <w:bCs w:val="0"/>
                <w:sz w:val="21"/>
                <w:szCs w:val="21"/>
                <w:highlight w:val="none"/>
                <w:vertAlign w:val="baseline"/>
                <w:lang w:val="en-US" w:eastAsia="zh-CN"/>
              </w:rPr>
              <w:t>层次</w:t>
            </w:r>
          </w:p>
        </w:tc>
        <w:tc>
          <w:tcPr>
            <w:tcW w:w="2517" w:type="pct"/>
            <w:gridSpan w:val="3"/>
            <w:vAlign w:val="center"/>
          </w:tcPr>
          <w:p w14:paraId="31467DC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val="0"/>
                <w:bCs w:val="0"/>
                <w:sz w:val="21"/>
                <w:szCs w:val="21"/>
                <w:highlight w:val="none"/>
                <w:vertAlign w:val="baseline"/>
                <w:lang w:val="en-US" w:eastAsia="zh-CN"/>
              </w:rPr>
            </w:pPr>
            <w:r>
              <w:rPr>
                <w:rFonts w:hint="eastAsia"/>
                <w:b w:val="0"/>
                <w:bCs w:val="0"/>
                <w:sz w:val="21"/>
                <w:szCs w:val="21"/>
                <w:highlight w:val="none"/>
                <w:vertAlign w:val="baseline"/>
                <w:lang w:val="en-US" w:eastAsia="zh-CN"/>
              </w:rPr>
              <w:t>表层</w:t>
            </w:r>
          </w:p>
        </w:tc>
      </w:tr>
      <w:tr w14:paraId="062BB8C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99" w:type="pct"/>
            <w:vMerge w:val="restart"/>
            <w:vAlign w:val="center"/>
          </w:tcPr>
          <w:p w14:paraId="49085A1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现场记录</w:t>
            </w:r>
          </w:p>
        </w:tc>
        <w:tc>
          <w:tcPr>
            <w:tcW w:w="1483" w:type="pct"/>
            <w:vAlign w:val="center"/>
          </w:tcPr>
          <w:p w14:paraId="0D26C2A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颜色</w:t>
            </w:r>
          </w:p>
        </w:tc>
        <w:tc>
          <w:tcPr>
            <w:tcW w:w="2517" w:type="pct"/>
            <w:gridSpan w:val="3"/>
            <w:vAlign w:val="center"/>
          </w:tcPr>
          <w:p w14:paraId="765EDD3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黄棕色</w:t>
            </w:r>
          </w:p>
        </w:tc>
      </w:tr>
      <w:tr w14:paraId="1FA2E31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999" w:type="pct"/>
            <w:vMerge w:val="continue"/>
            <w:vAlign w:val="center"/>
          </w:tcPr>
          <w:p w14:paraId="387A779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vertAlign w:val="baseline"/>
                <w:lang w:val="en-US" w:eastAsia="zh-CN"/>
              </w:rPr>
            </w:pPr>
          </w:p>
        </w:tc>
        <w:tc>
          <w:tcPr>
            <w:tcW w:w="1483" w:type="pct"/>
            <w:vAlign w:val="center"/>
          </w:tcPr>
          <w:p w14:paraId="257F2F5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结构</w:t>
            </w:r>
          </w:p>
        </w:tc>
        <w:tc>
          <w:tcPr>
            <w:tcW w:w="2517" w:type="pct"/>
            <w:gridSpan w:val="3"/>
            <w:vAlign w:val="center"/>
          </w:tcPr>
          <w:p w14:paraId="0B67CC9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块状</w:t>
            </w:r>
          </w:p>
        </w:tc>
      </w:tr>
      <w:tr w14:paraId="258C8B7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999" w:type="pct"/>
            <w:vMerge w:val="continue"/>
            <w:vAlign w:val="center"/>
          </w:tcPr>
          <w:p w14:paraId="35791A9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vertAlign w:val="baseline"/>
                <w:lang w:val="en-US" w:eastAsia="zh-CN"/>
              </w:rPr>
            </w:pPr>
          </w:p>
        </w:tc>
        <w:tc>
          <w:tcPr>
            <w:tcW w:w="1483" w:type="pct"/>
            <w:vAlign w:val="center"/>
          </w:tcPr>
          <w:p w14:paraId="3CBD7D8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质地</w:t>
            </w:r>
          </w:p>
        </w:tc>
        <w:tc>
          <w:tcPr>
            <w:tcW w:w="2517" w:type="pct"/>
            <w:gridSpan w:val="3"/>
            <w:vAlign w:val="center"/>
          </w:tcPr>
          <w:p w14:paraId="552A61C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中壤土</w:t>
            </w:r>
          </w:p>
        </w:tc>
      </w:tr>
      <w:tr w14:paraId="2A12DF8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999" w:type="pct"/>
            <w:vMerge w:val="continue"/>
            <w:vAlign w:val="center"/>
          </w:tcPr>
          <w:p w14:paraId="0BC917A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vertAlign w:val="baseline"/>
                <w:lang w:val="en-US" w:eastAsia="zh-CN"/>
              </w:rPr>
            </w:pPr>
          </w:p>
        </w:tc>
        <w:tc>
          <w:tcPr>
            <w:tcW w:w="1483" w:type="pct"/>
            <w:vAlign w:val="center"/>
          </w:tcPr>
          <w:p w14:paraId="6248B5A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砂砾含量</w:t>
            </w:r>
          </w:p>
        </w:tc>
        <w:tc>
          <w:tcPr>
            <w:tcW w:w="2517" w:type="pct"/>
            <w:gridSpan w:val="3"/>
            <w:vAlign w:val="center"/>
          </w:tcPr>
          <w:p w14:paraId="3959314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20%</w:t>
            </w:r>
          </w:p>
        </w:tc>
      </w:tr>
      <w:tr w14:paraId="25340E2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999" w:type="pct"/>
            <w:vMerge w:val="continue"/>
            <w:vAlign w:val="center"/>
          </w:tcPr>
          <w:p w14:paraId="0D2C0F5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vertAlign w:val="baseline"/>
                <w:lang w:val="en-US" w:eastAsia="zh-CN"/>
              </w:rPr>
            </w:pPr>
          </w:p>
        </w:tc>
        <w:tc>
          <w:tcPr>
            <w:tcW w:w="1483" w:type="pct"/>
            <w:vAlign w:val="center"/>
          </w:tcPr>
          <w:p w14:paraId="60C6D75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其他异物</w:t>
            </w:r>
          </w:p>
        </w:tc>
        <w:tc>
          <w:tcPr>
            <w:tcW w:w="2517" w:type="pct"/>
            <w:gridSpan w:val="3"/>
            <w:vAlign w:val="center"/>
          </w:tcPr>
          <w:p w14:paraId="0CCACDA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少</w:t>
            </w:r>
          </w:p>
        </w:tc>
      </w:tr>
      <w:tr w14:paraId="577549B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999" w:type="pct"/>
            <w:vMerge w:val="restart"/>
            <w:vAlign w:val="center"/>
          </w:tcPr>
          <w:p w14:paraId="48F0B52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实验室测定</w:t>
            </w:r>
          </w:p>
        </w:tc>
        <w:tc>
          <w:tcPr>
            <w:tcW w:w="1483" w:type="pct"/>
            <w:vAlign w:val="center"/>
          </w:tcPr>
          <w:p w14:paraId="53DCF08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pH</w:t>
            </w:r>
          </w:p>
        </w:tc>
        <w:tc>
          <w:tcPr>
            <w:tcW w:w="2517" w:type="pct"/>
            <w:gridSpan w:val="3"/>
            <w:vAlign w:val="center"/>
          </w:tcPr>
          <w:p w14:paraId="7024058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5.49</w:t>
            </w:r>
          </w:p>
        </w:tc>
      </w:tr>
      <w:tr w14:paraId="6C2C435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999" w:type="pct"/>
            <w:vMerge w:val="continue"/>
            <w:vAlign w:val="center"/>
          </w:tcPr>
          <w:p w14:paraId="60EF33D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vertAlign w:val="baseline"/>
                <w:lang w:val="en-US" w:eastAsia="zh-CN"/>
              </w:rPr>
            </w:pPr>
          </w:p>
        </w:tc>
        <w:tc>
          <w:tcPr>
            <w:tcW w:w="1483" w:type="pct"/>
            <w:vAlign w:val="center"/>
          </w:tcPr>
          <w:p w14:paraId="0C91036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阳离子交换量（cmol</w:t>
            </w:r>
            <w:r>
              <w:rPr>
                <w:rFonts w:hint="eastAsia"/>
                <w:sz w:val="21"/>
                <w:szCs w:val="21"/>
                <w:highlight w:val="none"/>
                <w:vertAlign w:val="superscript"/>
                <w:lang w:val="en-US" w:eastAsia="zh-CN"/>
              </w:rPr>
              <w:t>+</w:t>
            </w:r>
            <w:r>
              <w:rPr>
                <w:rFonts w:hint="eastAsia"/>
                <w:sz w:val="21"/>
                <w:szCs w:val="21"/>
                <w:highlight w:val="none"/>
                <w:vertAlign w:val="baseline"/>
                <w:lang w:val="en-US" w:eastAsia="zh-CN"/>
              </w:rPr>
              <w:t>/kg）</w:t>
            </w:r>
          </w:p>
        </w:tc>
        <w:tc>
          <w:tcPr>
            <w:tcW w:w="2517" w:type="pct"/>
            <w:gridSpan w:val="3"/>
            <w:vAlign w:val="center"/>
          </w:tcPr>
          <w:p w14:paraId="298D7BC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9.73</w:t>
            </w:r>
          </w:p>
        </w:tc>
      </w:tr>
      <w:tr w14:paraId="08F6C6C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999" w:type="pct"/>
            <w:vMerge w:val="continue"/>
            <w:vAlign w:val="center"/>
          </w:tcPr>
          <w:p w14:paraId="766C12B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vertAlign w:val="baseline"/>
                <w:lang w:val="en-US" w:eastAsia="zh-CN"/>
              </w:rPr>
            </w:pPr>
          </w:p>
        </w:tc>
        <w:tc>
          <w:tcPr>
            <w:tcW w:w="1483" w:type="pct"/>
            <w:vAlign w:val="center"/>
          </w:tcPr>
          <w:p w14:paraId="7A8C3B4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氧化还原电位（mV）</w:t>
            </w:r>
          </w:p>
        </w:tc>
        <w:tc>
          <w:tcPr>
            <w:tcW w:w="2517" w:type="pct"/>
            <w:gridSpan w:val="3"/>
            <w:vAlign w:val="center"/>
          </w:tcPr>
          <w:p w14:paraId="417746C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526</w:t>
            </w:r>
          </w:p>
        </w:tc>
      </w:tr>
      <w:tr w14:paraId="31D5038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999" w:type="pct"/>
            <w:vMerge w:val="continue"/>
            <w:vAlign w:val="center"/>
          </w:tcPr>
          <w:p w14:paraId="06FA438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vertAlign w:val="baseline"/>
                <w:lang w:val="en-US" w:eastAsia="zh-CN"/>
              </w:rPr>
            </w:pPr>
          </w:p>
        </w:tc>
        <w:tc>
          <w:tcPr>
            <w:tcW w:w="1483" w:type="pct"/>
            <w:vAlign w:val="center"/>
          </w:tcPr>
          <w:p w14:paraId="4649F1E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rPr>
              <w:t>饱和导水率</w:t>
            </w:r>
            <w:r>
              <w:rPr>
                <w:rFonts w:hint="eastAsia"/>
                <w:sz w:val="21"/>
                <w:szCs w:val="21"/>
                <w:highlight w:val="none"/>
                <w:lang w:val="en-US" w:eastAsia="zh-CN"/>
              </w:rPr>
              <w:t>/</w:t>
            </w:r>
            <w:r>
              <w:rPr>
                <w:rFonts w:hint="eastAsia"/>
                <w:sz w:val="21"/>
                <w:szCs w:val="21"/>
                <w:highlight w:val="none"/>
              </w:rPr>
              <w:t>（</w:t>
            </w:r>
            <w:r>
              <w:rPr>
                <w:rFonts w:hint="eastAsia"/>
                <w:sz w:val="21"/>
                <w:szCs w:val="21"/>
                <w:highlight w:val="none"/>
                <w:lang w:val="en-US" w:eastAsia="zh-CN"/>
              </w:rPr>
              <w:t>cm/s</w:t>
            </w:r>
            <w:r>
              <w:rPr>
                <w:rFonts w:hint="eastAsia"/>
                <w:sz w:val="21"/>
                <w:szCs w:val="21"/>
                <w:highlight w:val="none"/>
              </w:rPr>
              <w:t>）</w:t>
            </w:r>
          </w:p>
        </w:tc>
        <w:tc>
          <w:tcPr>
            <w:tcW w:w="2517" w:type="pct"/>
            <w:gridSpan w:val="3"/>
            <w:vAlign w:val="center"/>
          </w:tcPr>
          <w:p w14:paraId="063FC38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1.03</w:t>
            </w:r>
          </w:p>
        </w:tc>
      </w:tr>
      <w:tr w14:paraId="4D22E6A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9" w:hRule="atLeast"/>
        </w:trPr>
        <w:tc>
          <w:tcPr>
            <w:tcW w:w="999" w:type="pct"/>
            <w:vMerge w:val="continue"/>
            <w:vAlign w:val="center"/>
          </w:tcPr>
          <w:p w14:paraId="32B9AD2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vertAlign w:val="baseline"/>
                <w:lang w:val="en-US" w:eastAsia="zh-CN"/>
              </w:rPr>
            </w:pPr>
          </w:p>
        </w:tc>
        <w:tc>
          <w:tcPr>
            <w:tcW w:w="1483" w:type="pct"/>
            <w:vAlign w:val="center"/>
          </w:tcPr>
          <w:p w14:paraId="7B536E8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lang w:val="en-US" w:eastAsia="zh-CN"/>
              </w:rPr>
              <w:t>土壤容重/（kg/m</w:t>
            </w:r>
            <w:r>
              <w:rPr>
                <w:rFonts w:hint="eastAsia"/>
                <w:sz w:val="21"/>
                <w:szCs w:val="21"/>
                <w:highlight w:val="none"/>
                <w:vertAlign w:val="superscript"/>
                <w:lang w:val="en-US" w:eastAsia="zh-CN"/>
              </w:rPr>
              <w:t>3</w:t>
            </w:r>
            <w:r>
              <w:rPr>
                <w:rFonts w:hint="eastAsia"/>
                <w:sz w:val="21"/>
                <w:szCs w:val="21"/>
                <w:highlight w:val="none"/>
                <w:lang w:val="en-US" w:eastAsia="zh-CN"/>
              </w:rPr>
              <w:t>）</w:t>
            </w:r>
          </w:p>
        </w:tc>
        <w:tc>
          <w:tcPr>
            <w:tcW w:w="2517" w:type="pct"/>
            <w:gridSpan w:val="3"/>
            <w:vAlign w:val="center"/>
          </w:tcPr>
          <w:p w14:paraId="2CF302E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1.15</w:t>
            </w:r>
          </w:p>
        </w:tc>
      </w:tr>
      <w:tr w14:paraId="66A189C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999" w:type="pct"/>
            <w:vMerge w:val="continue"/>
            <w:vAlign w:val="center"/>
          </w:tcPr>
          <w:p w14:paraId="317BD98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vertAlign w:val="baseline"/>
                <w:lang w:val="en-US" w:eastAsia="zh-CN"/>
              </w:rPr>
            </w:pPr>
          </w:p>
        </w:tc>
        <w:tc>
          <w:tcPr>
            <w:tcW w:w="1483" w:type="pct"/>
            <w:vAlign w:val="center"/>
          </w:tcPr>
          <w:p w14:paraId="2EE173E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lang w:val="en-US" w:eastAsia="zh-CN"/>
              </w:rPr>
              <w:t>孔隙度</w:t>
            </w:r>
          </w:p>
        </w:tc>
        <w:tc>
          <w:tcPr>
            <w:tcW w:w="2517" w:type="pct"/>
            <w:gridSpan w:val="3"/>
            <w:vAlign w:val="center"/>
          </w:tcPr>
          <w:p w14:paraId="11785C5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30</w:t>
            </w:r>
          </w:p>
        </w:tc>
      </w:tr>
    </w:tbl>
    <w:p w14:paraId="13FC39B4">
      <w:pPr>
        <w:pStyle w:val="9"/>
        <w:numPr>
          <w:ilvl w:val="2"/>
          <w:numId w:val="1"/>
        </w:numPr>
        <w:bidi w:val="0"/>
        <w:ind w:left="709" w:leftChars="0" w:hanging="709" w:firstLineChars="0"/>
        <w:rPr>
          <w:rFonts w:hint="eastAsia"/>
          <w:highlight w:val="none"/>
          <w:lang w:val="en-US" w:eastAsia="zh-CN"/>
        </w:rPr>
      </w:pPr>
      <w:r>
        <w:rPr>
          <w:rFonts w:hint="eastAsia"/>
          <w:highlight w:val="none"/>
          <w:lang w:val="en-US" w:eastAsia="zh-CN"/>
        </w:rPr>
        <w:t>声环境质量现状调查与评价</w:t>
      </w:r>
    </w:p>
    <w:p w14:paraId="7F56826E">
      <w:pPr>
        <w:bidi w:val="0"/>
        <w:rPr>
          <w:rFonts w:hint="eastAsia"/>
          <w:highlight w:val="none"/>
          <w:lang w:val="en-US" w:eastAsia="zh-CN"/>
        </w:rPr>
      </w:pPr>
      <w:r>
        <w:rPr>
          <w:rFonts w:hint="eastAsia"/>
          <w:highlight w:val="none"/>
          <w:lang w:val="en-US" w:eastAsia="zh-CN"/>
        </w:rPr>
        <w:t>本项目委托湖南中测湘源检测有限公司于2025年8月21日~2025年8月22日对项目所在区域噪声进行监测。</w:t>
      </w:r>
    </w:p>
    <w:p w14:paraId="4C6EE42B">
      <w:pPr>
        <w:bidi w:val="0"/>
        <w:rPr>
          <w:rFonts w:hint="eastAsia"/>
          <w:b/>
          <w:bCs/>
          <w:highlight w:val="none"/>
          <w:lang w:val="en-US" w:eastAsia="zh-CN"/>
        </w:rPr>
      </w:pPr>
      <w:r>
        <w:rPr>
          <w:rFonts w:hint="eastAsia"/>
          <w:b/>
          <w:bCs/>
          <w:highlight w:val="none"/>
          <w:lang w:val="en-US" w:eastAsia="zh-CN"/>
        </w:rPr>
        <w:t>（1）监测因子</w:t>
      </w:r>
    </w:p>
    <w:p w14:paraId="13B92636">
      <w:pPr>
        <w:bidi w:val="0"/>
        <w:rPr>
          <w:rFonts w:hint="eastAsia"/>
          <w:highlight w:val="none"/>
          <w:lang w:val="en-US" w:eastAsia="zh-CN"/>
        </w:rPr>
      </w:pPr>
      <w:r>
        <w:rPr>
          <w:rFonts w:hint="eastAsia"/>
          <w:highlight w:val="none"/>
          <w:lang w:val="en-US" w:eastAsia="zh-CN"/>
        </w:rPr>
        <w:t>等效连续A声级（Leq）</w:t>
      </w:r>
    </w:p>
    <w:p w14:paraId="6EF1C95B">
      <w:pPr>
        <w:bidi w:val="0"/>
        <w:rPr>
          <w:rFonts w:hint="eastAsia"/>
          <w:b/>
          <w:bCs/>
          <w:highlight w:val="none"/>
          <w:lang w:val="en-US" w:eastAsia="zh-CN"/>
        </w:rPr>
      </w:pPr>
      <w:r>
        <w:rPr>
          <w:rFonts w:hint="eastAsia"/>
          <w:b/>
          <w:bCs/>
          <w:highlight w:val="none"/>
          <w:lang w:val="en-US" w:eastAsia="zh-CN"/>
        </w:rPr>
        <w:t>（2）监测频次</w:t>
      </w:r>
    </w:p>
    <w:p w14:paraId="2182F1DF">
      <w:pPr>
        <w:bidi w:val="0"/>
        <w:rPr>
          <w:rFonts w:hint="eastAsia"/>
          <w:highlight w:val="none"/>
          <w:lang w:val="en-US" w:eastAsia="zh-CN"/>
        </w:rPr>
      </w:pPr>
      <w:r>
        <w:rPr>
          <w:rFonts w:hint="eastAsia"/>
          <w:highlight w:val="none"/>
          <w:lang w:val="en-US" w:eastAsia="zh-CN"/>
        </w:rPr>
        <w:t>2025年8月21日~2025年8月22日连续监测2天，每天昼、夜各一次。</w:t>
      </w:r>
    </w:p>
    <w:p w14:paraId="778CA47B">
      <w:pPr>
        <w:bidi w:val="0"/>
        <w:rPr>
          <w:rFonts w:hint="eastAsia"/>
          <w:b/>
          <w:bCs/>
          <w:highlight w:val="none"/>
          <w:lang w:val="en-US" w:eastAsia="zh-CN"/>
        </w:rPr>
      </w:pPr>
      <w:r>
        <w:rPr>
          <w:rFonts w:hint="eastAsia"/>
          <w:b/>
          <w:bCs/>
          <w:highlight w:val="none"/>
          <w:lang w:val="en-US" w:eastAsia="zh-CN"/>
        </w:rPr>
        <w:t>（3）监测点位</w:t>
      </w:r>
    </w:p>
    <w:p w14:paraId="311FF818">
      <w:pPr>
        <w:bidi w:val="0"/>
        <w:rPr>
          <w:rFonts w:hint="eastAsia"/>
          <w:highlight w:val="none"/>
          <w:lang w:val="en-US" w:eastAsia="zh-CN"/>
        </w:rPr>
      </w:pPr>
      <w:r>
        <w:rPr>
          <w:rFonts w:hint="eastAsia"/>
          <w:highlight w:val="none"/>
          <w:lang w:val="en-US" w:eastAsia="zh-CN"/>
        </w:rPr>
        <w:t>在拟建项目四周共设置4个监测点。</w:t>
      </w:r>
    </w:p>
    <w:p w14:paraId="2B108CB1">
      <w:pPr>
        <w:bidi w:val="0"/>
        <w:rPr>
          <w:rFonts w:hint="eastAsia"/>
          <w:b/>
          <w:bCs/>
          <w:highlight w:val="none"/>
          <w:lang w:val="en-US" w:eastAsia="zh-CN"/>
        </w:rPr>
      </w:pPr>
      <w:r>
        <w:rPr>
          <w:rFonts w:hint="eastAsia"/>
          <w:b/>
          <w:bCs/>
          <w:highlight w:val="none"/>
          <w:lang w:val="en-US" w:eastAsia="zh-CN"/>
        </w:rPr>
        <w:t>（4）监测结果</w:t>
      </w:r>
    </w:p>
    <w:p w14:paraId="126BB684">
      <w:pPr>
        <w:bidi w:val="0"/>
        <w:rPr>
          <w:rFonts w:hint="eastAsia"/>
          <w:highlight w:val="none"/>
          <w:lang w:val="en-US" w:eastAsia="zh-CN"/>
        </w:rPr>
      </w:pPr>
      <w:r>
        <w:rPr>
          <w:rFonts w:hint="eastAsia"/>
          <w:highlight w:val="none"/>
          <w:lang w:val="en-US" w:eastAsia="zh-CN"/>
        </w:rPr>
        <w:t>声环境质量现状监测结果见表4.3-12，由表可知厂界各监测点位昼、夜噪声值均满足《声环境质量标准》（GB3096-2008）中1类标准限值要求。</w:t>
      </w:r>
    </w:p>
    <w:p w14:paraId="7EA5B25E">
      <w:pPr>
        <w:bidi w:val="0"/>
        <w:ind w:left="0" w:leftChars="0" w:firstLine="0" w:firstLineChars="0"/>
        <w:jc w:val="center"/>
        <w:rPr>
          <w:rFonts w:hint="eastAsia"/>
          <w:b/>
          <w:bCs/>
          <w:sz w:val="21"/>
          <w:szCs w:val="21"/>
          <w:highlight w:val="none"/>
          <w:lang w:val="en-US" w:eastAsia="zh-CN"/>
        </w:rPr>
      </w:pPr>
    </w:p>
    <w:p w14:paraId="7B52CA9C">
      <w:pPr>
        <w:bidi w:val="0"/>
        <w:ind w:left="0" w:leftChars="0" w:firstLine="0" w:firstLineChars="0"/>
        <w:jc w:val="center"/>
        <w:rPr>
          <w:rFonts w:hint="eastAsia"/>
          <w:b/>
          <w:bCs/>
          <w:sz w:val="21"/>
          <w:szCs w:val="21"/>
          <w:highlight w:val="none"/>
          <w:lang w:val="en-US" w:eastAsia="zh-CN"/>
        </w:rPr>
      </w:pPr>
    </w:p>
    <w:p w14:paraId="57A18DA3">
      <w:pPr>
        <w:bidi w:val="0"/>
        <w:ind w:left="0" w:leftChars="0" w:firstLine="0" w:firstLineChars="0"/>
        <w:jc w:val="center"/>
        <w:rPr>
          <w:rFonts w:hint="eastAsia"/>
          <w:b/>
          <w:bCs/>
          <w:sz w:val="21"/>
          <w:szCs w:val="21"/>
          <w:highlight w:val="none"/>
          <w:lang w:val="en-US" w:eastAsia="zh-CN"/>
        </w:rPr>
      </w:pPr>
    </w:p>
    <w:p w14:paraId="550443AE">
      <w:pPr>
        <w:bidi w:val="0"/>
        <w:ind w:left="0" w:leftChars="0" w:firstLine="0" w:firstLineChars="0"/>
        <w:jc w:val="center"/>
        <w:rPr>
          <w:rFonts w:hint="eastAsia"/>
          <w:b/>
          <w:bCs/>
          <w:sz w:val="21"/>
          <w:szCs w:val="21"/>
          <w:highlight w:val="none"/>
          <w:lang w:val="en-US" w:eastAsia="zh-CN"/>
        </w:rPr>
      </w:pPr>
    </w:p>
    <w:p w14:paraId="04271895">
      <w:pPr>
        <w:bidi w:val="0"/>
        <w:ind w:left="0" w:leftChars="0" w:firstLine="0" w:firstLineChars="0"/>
        <w:jc w:val="center"/>
        <w:rPr>
          <w:rFonts w:hint="eastAsia"/>
          <w:b/>
          <w:bCs/>
          <w:sz w:val="21"/>
          <w:szCs w:val="21"/>
          <w:highlight w:val="none"/>
          <w:lang w:val="en-US" w:eastAsia="zh-CN"/>
        </w:rPr>
      </w:pPr>
      <w:r>
        <w:rPr>
          <w:rFonts w:hint="eastAsia"/>
          <w:b/>
          <w:bCs/>
          <w:sz w:val="21"/>
          <w:szCs w:val="21"/>
          <w:highlight w:val="none"/>
          <w:lang w:val="en-US" w:eastAsia="zh-CN"/>
        </w:rPr>
        <w:t>表4.2-12  噪声监测结果表    单位：dB（A）</w:t>
      </w:r>
    </w:p>
    <w:tbl>
      <w:tblPr>
        <w:tblStyle w:val="35"/>
        <w:tblW w:w="4996"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57" w:type="dxa"/>
          <w:bottom w:w="0" w:type="dxa"/>
          <w:right w:w="57" w:type="dxa"/>
        </w:tblCellMar>
      </w:tblPr>
      <w:tblGrid>
        <w:gridCol w:w="676"/>
        <w:gridCol w:w="2548"/>
        <w:gridCol w:w="1069"/>
        <w:gridCol w:w="1021"/>
        <w:gridCol w:w="819"/>
        <w:gridCol w:w="603"/>
        <w:gridCol w:w="988"/>
        <w:gridCol w:w="823"/>
        <w:gridCol w:w="632"/>
      </w:tblGrid>
      <w:tr w14:paraId="1C333EB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23" w:hRule="atLeast"/>
          <w:tblHeader/>
        </w:trPr>
        <w:tc>
          <w:tcPr>
            <w:tcW w:w="368" w:type="pct"/>
            <w:vMerge w:val="restart"/>
            <w:noWrap w:val="0"/>
            <w:vAlign w:val="center"/>
          </w:tcPr>
          <w:p w14:paraId="259D6A7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b/>
                <w:bCs/>
                <w:sz w:val="21"/>
                <w:szCs w:val="21"/>
                <w:highlight w:val="none"/>
                <w:lang w:val="en-US" w:eastAsia="zh-CN"/>
              </w:rPr>
            </w:pPr>
            <w:r>
              <w:rPr>
                <w:rFonts w:hint="eastAsia"/>
                <w:b/>
                <w:bCs/>
                <w:sz w:val="21"/>
                <w:szCs w:val="21"/>
                <w:highlight w:val="none"/>
                <w:lang w:val="en-US" w:eastAsia="zh-CN"/>
              </w:rPr>
              <w:t>编号</w:t>
            </w:r>
          </w:p>
        </w:tc>
        <w:tc>
          <w:tcPr>
            <w:tcW w:w="1387" w:type="pct"/>
            <w:vMerge w:val="restart"/>
            <w:noWrap w:val="0"/>
            <w:vAlign w:val="center"/>
          </w:tcPr>
          <w:p w14:paraId="5F6355E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b/>
                <w:bCs/>
                <w:sz w:val="21"/>
                <w:szCs w:val="21"/>
                <w:highlight w:val="none"/>
                <w:lang w:val="en-US" w:eastAsia="zh-CN"/>
              </w:rPr>
              <w:t>测点名称</w:t>
            </w:r>
          </w:p>
        </w:tc>
        <w:tc>
          <w:tcPr>
            <w:tcW w:w="582" w:type="pct"/>
            <w:vMerge w:val="restart"/>
            <w:noWrap w:val="0"/>
            <w:vAlign w:val="center"/>
          </w:tcPr>
          <w:p w14:paraId="2224557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b/>
                <w:bCs/>
                <w:sz w:val="21"/>
                <w:szCs w:val="21"/>
                <w:highlight w:val="none"/>
                <w:lang w:val="en-US" w:eastAsia="zh-CN"/>
              </w:rPr>
            </w:pPr>
            <w:r>
              <w:rPr>
                <w:rFonts w:hint="eastAsia"/>
                <w:b/>
                <w:bCs/>
                <w:sz w:val="21"/>
                <w:szCs w:val="21"/>
                <w:highlight w:val="none"/>
                <w:lang w:val="en-US" w:eastAsia="zh-CN"/>
              </w:rPr>
              <w:t>监测时间</w:t>
            </w:r>
          </w:p>
        </w:tc>
        <w:tc>
          <w:tcPr>
            <w:tcW w:w="1330" w:type="pct"/>
            <w:gridSpan w:val="3"/>
            <w:noWrap w:val="0"/>
            <w:vAlign w:val="center"/>
          </w:tcPr>
          <w:p w14:paraId="1202491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b/>
                <w:bCs/>
                <w:sz w:val="21"/>
                <w:szCs w:val="21"/>
                <w:highlight w:val="none"/>
                <w:lang w:val="en-US" w:eastAsia="zh-CN"/>
              </w:rPr>
            </w:pPr>
            <w:r>
              <w:rPr>
                <w:rFonts w:hint="eastAsia"/>
                <w:b/>
                <w:bCs/>
                <w:sz w:val="21"/>
                <w:szCs w:val="21"/>
                <w:highlight w:val="none"/>
                <w:lang w:val="en-US" w:eastAsia="zh-CN"/>
              </w:rPr>
              <w:t>昼间</w:t>
            </w:r>
          </w:p>
        </w:tc>
        <w:tc>
          <w:tcPr>
            <w:tcW w:w="1330" w:type="pct"/>
            <w:gridSpan w:val="3"/>
            <w:noWrap w:val="0"/>
            <w:vAlign w:val="center"/>
          </w:tcPr>
          <w:p w14:paraId="3F78C74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b/>
                <w:bCs/>
                <w:sz w:val="21"/>
                <w:szCs w:val="21"/>
                <w:highlight w:val="none"/>
                <w:lang w:val="en-US" w:eastAsia="zh-CN"/>
              </w:rPr>
            </w:pPr>
            <w:r>
              <w:rPr>
                <w:rFonts w:hint="eastAsia"/>
                <w:b/>
                <w:bCs/>
                <w:sz w:val="21"/>
                <w:szCs w:val="21"/>
                <w:highlight w:val="none"/>
                <w:lang w:val="en-US" w:eastAsia="zh-CN"/>
              </w:rPr>
              <w:t>夜间</w:t>
            </w:r>
          </w:p>
        </w:tc>
      </w:tr>
      <w:tr w14:paraId="527FEFB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23" w:hRule="atLeast"/>
          <w:tblHeader/>
        </w:trPr>
        <w:tc>
          <w:tcPr>
            <w:tcW w:w="368" w:type="pct"/>
            <w:vMerge w:val="continue"/>
            <w:noWrap w:val="0"/>
            <w:vAlign w:val="center"/>
          </w:tcPr>
          <w:p w14:paraId="6E44F03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b/>
                <w:bCs/>
                <w:sz w:val="21"/>
                <w:szCs w:val="21"/>
                <w:highlight w:val="none"/>
                <w:lang w:val="en-US" w:eastAsia="zh-CN"/>
              </w:rPr>
            </w:pPr>
          </w:p>
        </w:tc>
        <w:tc>
          <w:tcPr>
            <w:tcW w:w="1387" w:type="pct"/>
            <w:vMerge w:val="continue"/>
            <w:noWrap w:val="0"/>
            <w:vAlign w:val="center"/>
          </w:tcPr>
          <w:p w14:paraId="1286A49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sz w:val="21"/>
                <w:szCs w:val="21"/>
                <w:highlight w:val="none"/>
                <w:lang w:val="en-US" w:eastAsia="zh-CN"/>
              </w:rPr>
            </w:pPr>
          </w:p>
        </w:tc>
        <w:tc>
          <w:tcPr>
            <w:tcW w:w="582" w:type="pct"/>
            <w:vMerge w:val="continue"/>
            <w:noWrap w:val="0"/>
            <w:vAlign w:val="center"/>
          </w:tcPr>
          <w:p w14:paraId="7E4EEC4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b/>
                <w:bCs/>
                <w:sz w:val="21"/>
                <w:szCs w:val="21"/>
                <w:highlight w:val="none"/>
                <w:lang w:val="en-US" w:eastAsia="zh-CN"/>
              </w:rPr>
            </w:pPr>
          </w:p>
        </w:tc>
        <w:tc>
          <w:tcPr>
            <w:tcW w:w="556" w:type="pct"/>
            <w:noWrap w:val="0"/>
            <w:vAlign w:val="center"/>
          </w:tcPr>
          <w:p w14:paraId="2D68BD7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b/>
                <w:bCs/>
                <w:sz w:val="21"/>
                <w:szCs w:val="21"/>
                <w:highlight w:val="none"/>
                <w:lang w:val="en-US" w:eastAsia="zh-CN"/>
              </w:rPr>
            </w:pPr>
            <w:r>
              <w:rPr>
                <w:rFonts w:hint="eastAsia"/>
                <w:b/>
                <w:bCs/>
                <w:sz w:val="21"/>
                <w:szCs w:val="21"/>
                <w:highlight w:val="none"/>
                <w:lang w:val="en-US" w:eastAsia="zh-CN"/>
              </w:rPr>
              <w:t>监测值</w:t>
            </w:r>
          </w:p>
        </w:tc>
        <w:tc>
          <w:tcPr>
            <w:tcW w:w="446" w:type="pct"/>
            <w:noWrap w:val="0"/>
            <w:vAlign w:val="center"/>
          </w:tcPr>
          <w:p w14:paraId="3ED06E7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b/>
                <w:bCs/>
                <w:sz w:val="21"/>
                <w:szCs w:val="21"/>
                <w:highlight w:val="none"/>
                <w:lang w:val="en-US" w:eastAsia="zh-CN"/>
              </w:rPr>
            </w:pPr>
            <w:r>
              <w:rPr>
                <w:rFonts w:hint="eastAsia"/>
                <w:b/>
                <w:bCs/>
                <w:sz w:val="21"/>
                <w:szCs w:val="21"/>
                <w:highlight w:val="none"/>
                <w:lang w:val="en-US" w:eastAsia="zh-CN"/>
              </w:rPr>
              <w:t>标准值</w:t>
            </w:r>
          </w:p>
        </w:tc>
        <w:tc>
          <w:tcPr>
            <w:tcW w:w="328" w:type="pct"/>
            <w:noWrap w:val="0"/>
            <w:vAlign w:val="center"/>
          </w:tcPr>
          <w:p w14:paraId="1D4B15D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b/>
                <w:bCs/>
                <w:sz w:val="21"/>
                <w:szCs w:val="21"/>
                <w:highlight w:val="none"/>
                <w:lang w:val="en-US" w:eastAsia="zh-CN"/>
              </w:rPr>
            </w:pPr>
            <w:r>
              <w:rPr>
                <w:rFonts w:hint="eastAsia"/>
                <w:b/>
                <w:bCs/>
                <w:sz w:val="21"/>
                <w:szCs w:val="21"/>
                <w:highlight w:val="none"/>
                <w:lang w:val="en-US" w:eastAsia="zh-CN"/>
              </w:rPr>
              <w:t>是否</w:t>
            </w:r>
          </w:p>
          <w:p w14:paraId="14B1475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b/>
                <w:bCs/>
                <w:sz w:val="21"/>
                <w:szCs w:val="21"/>
                <w:highlight w:val="none"/>
                <w:lang w:val="en-US" w:eastAsia="zh-CN"/>
              </w:rPr>
            </w:pPr>
            <w:r>
              <w:rPr>
                <w:rFonts w:hint="eastAsia"/>
                <w:b/>
                <w:bCs/>
                <w:sz w:val="21"/>
                <w:szCs w:val="21"/>
                <w:highlight w:val="none"/>
                <w:lang w:val="en-US" w:eastAsia="zh-CN"/>
              </w:rPr>
              <w:t>超标</w:t>
            </w:r>
          </w:p>
        </w:tc>
        <w:tc>
          <w:tcPr>
            <w:tcW w:w="538" w:type="pct"/>
            <w:noWrap w:val="0"/>
            <w:vAlign w:val="center"/>
          </w:tcPr>
          <w:p w14:paraId="0C31C7F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b/>
                <w:bCs/>
                <w:sz w:val="21"/>
                <w:szCs w:val="21"/>
                <w:highlight w:val="none"/>
                <w:lang w:val="en-US" w:eastAsia="zh-CN"/>
              </w:rPr>
            </w:pPr>
            <w:r>
              <w:rPr>
                <w:rFonts w:hint="eastAsia"/>
                <w:b/>
                <w:bCs/>
                <w:sz w:val="21"/>
                <w:szCs w:val="21"/>
                <w:highlight w:val="none"/>
                <w:lang w:val="en-US" w:eastAsia="zh-CN"/>
              </w:rPr>
              <w:t>监测值</w:t>
            </w:r>
          </w:p>
        </w:tc>
        <w:tc>
          <w:tcPr>
            <w:tcW w:w="448" w:type="pct"/>
            <w:noWrap w:val="0"/>
            <w:vAlign w:val="center"/>
          </w:tcPr>
          <w:p w14:paraId="2161A53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b/>
                <w:bCs/>
                <w:sz w:val="21"/>
                <w:szCs w:val="21"/>
                <w:highlight w:val="none"/>
                <w:lang w:val="en-US" w:eastAsia="zh-CN"/>
              </w:rPr>
            </w:pPr>
            <w:r>
              <w:rPr>
                <w:rFonts w:hint="eastAsia"/>
                <w:b/>
                <w:bCs/>
                <w:sz w:val="21"/>
                <w:szCs w:val="21"/>
                <w:highlight w:val="none"/>
                <w:lang w:val="en-US" w:eastAsia="zh-CN"/>
              </w:rPr>
              <w:t>标准值</w:t>
            </w:r>
          </w:p>
        </w:tc>
        <w:tc>
          <w:tcPr>
            <w:tcW w:w="344" w:type="pct"/>
            <w:noWrap w:val="0"/>
            <w:vAlign w:val="center"/>
          </w:tcPr>
          <w:p w14:paraId="65EFC1C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b/>
                <w:bCs/>
                <w:sz w:val="21"/>
                <w:szCs w:val="21"/>
                <w:highlight w:val="none"/>
                <w:lang w:val="en-US" w:eastAsia="zh-CN"/>
              </w:rPr>
            </w:pPr>
            <w:r>
              <w:rPr>
                <w:rFonts w:hint="eastAsia"/>
                <w:b/>
                <w:bCs/>
                <w:sz w:val="21"/>
                <w:szCs w:val="21"/>
                <w:highlight w:val="none"/>
                <w:lang w:val="en-US" w:eastAsia="zh-CN"/>
              </w:rPr>
              <w:t>是否</w:t>
            </w:r>
          </w:p>
          <w:p w14:paraId="7AA3ED2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b/>
                <w:bCs/>
                <w:sz w:val="21"/>
                <w:szCs w:val="21"/>
                <w:highlight w:val="none"/>
                <w:lang w:val="en-US" w:eastAsia="zh-CN"/>
              </w:rPr>
            </w:pPr>
            <w:r>
              <w:rPr>
                <w:rFonts w:hint="eastAsia"/>
                <w:b/>
                <w:bCs/>
                <w:sz w:val="21"/>
                <w:szCs w:val="21"/>
                <w:highlight w:val="none"/>
                <w:lang w:val="en-US" w:eastAsia="zh-CN"/>
              </w:rPr>
              <w:t>超标</w:t>
            </w:r>
          </w:p>
        </w:tc>
      </w:tr>
      <w:tr w14:paraId="3CB5669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90" w:hRule="atLeast"/>
        </w:trPr>
        <w:tc>
          <w:tcPr>
            <w:tcW w:w="368" w:type="pct"/>
            <w:vMerge w:val="restart"/>
            <w:noWrap w:val="0"/>
            <w:vAlign w:val="center"/>
          </w:tcPr>
          <w:p w14:paraId="02CBC83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N1</w:t>
            </w:r>
          </w:p>
        </w:tc>
        <w:tc>
          <w:tcPr>
            <w:tcW w:w="1387" w:type="pct"/>
            <w:vMerge w:val="restart"/>
            <w:noWrap w:val="0"/>
            <w:vAlign w:val="center"/>
          </w:tcPr>
          <w:p w14:paraId="72691AA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东厂界外1m</w:t>
            </w:r>
          </w:p>
        </w:tc>
        <w:tc>
          <w:tcPr>
            <w:tcW w:w="582" w:type="pct"/>
            <w:noWrap w:val="0"/>
            <w:vAlign w:val="center"/>
          </w:tcPr>
          <w:p w14:paraId="0D0669A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lang w:val="en-US" w:eastAsia="zh-CN"/>
              </w:rPr>
            </w:pPr>
            <w:r>
              <w:rPr>
                <w:rFonts w:hint="eastAsia"/>
                <w:sz w:val="21"/>
                <w:szCs w:val="21"/>
                <w:highlight w:val="none"/>
                <w:lang w:val="en-US" w:eastAsia="zh-CN"/>
              </w:rPr>
              <w:t>2025.8.21</w:t>
            </w:r>
          </w:p>
        </w:tc>
        <w:tc>
          <w:tcPr>
            <w:tcW w:w="556" w:type="pct"/>
            <w:noWrap w:val="0"/>
            <w:vAlign w:val="center"/>
          </w:tcPr>
          <w:p w14:paraId="3B212F5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lang w:val="en-US" w:eastAsia="zh-CN"/>
              </w:rPr>
            </w:pPr>
            <w:r>
              <w:rPr>
                <w:rFonts w:hint="eastAsia"/>
                <w:sz w:val="21"/>
                <w:szCs w:val="21"/>
                <w:highlight w:val="none"/>
                <w:lang w:val="en-US" w:eastAsia="zh-CN"/>
              </w:rPr>
              <w:t>52.2</w:t>
            </w:r>
          </w:p>
        </w:tc>
        <w:tc>
          <w:tcPr>
            <w:tcW w:w="446" w:type="pct"/>
            <w:noWrap w:val="0"/>
            <w:vAlign w:val="center"/>
          </w:tcPr>
          <w:p w14:paraId="06DA2F8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lang w:val="en-US" w:eastAsia="zh-CN"/>
              </w:rPr>
            </w:pPr>
            <w:r>
              <w:rPr>
                <w:rFonts w:hint="eastAsia"/>
                <w:sz w:val="21"/>
                <w:szCs w:val="21"/>
                <w:highlight w:val="none"/>
                <w:lang w:val="en-US" w:eastAsia="zh-CN"/>
              </w:rPr>
              <w:t>55</w:t>
            </w:r>
          </w:p>
        </w:tc>
        <w:tc>
          <w:tcPr>
            <w:tcW w:w="328" w:type="pct"/>
            <w:noWrap w:val="0"/>
            <w:vAlign w:val="center"/>
          </w:tcPr>
          <w:p w14:paraId="70A2715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lang w:val="en-US" w:eastAsia="zh-CN"/>
              </w:rPr>
            </w:pPr>
            <w:r>
              <w:rPr>
                <w:rFonts w:hint="eastAsia"/>
                <w:sz w:val="21"/>
                <w:szCs w:val="21"/>
                <w:highlight w:val="none"/>
                <w:lang w:val="en-US" w:eastAsia="zh-CN"/>
              </w:rPr>
              <w:t>达标</w:t>
            </w:r>
          </w:p>
        </w:tc>
        <w:tc>
          <w:tcPr>
            <w:tcW w:w="538" w:type="pct"/>
            <w:noWrap w:val="0"/>
            <w:vAlign w:val="center"/>
          </w:tcPr>
          <w:p w14:paraId="03F03E4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lang w:val="en-US" w:eastAsia="zh-CN"/>
              </w:rPr>
            </w:pPr>
            <w:r>
              <w:rPr>
                <w:rFonts w:hint="eastAsia"/>
                <w:sz w:val="21"/>
                <w:szCs w:val="21"/>
                <w:highlight w:val="none"/>
                <w:lang w:val="en-US" w:eastAsia="zh-CN"/>
              </w:rPr>
              <w:t>37.5</w:t>
            </w:r>
          </w:p>
        </w:tc>
        <w:tc>
          <w:tcPr>
            <w:tcW w:w="448" w:type="pct"/>
            <w:noWrap w:val="0"/>
            <w:vAlign w:val="center"/>
          </w:tcPr>
          <w:p w14:paraId="20DBF21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lang w:val="en-US" w:eastAsia="zh-CN"/>
              </w:rPr>
            </w:pPr>
            <w:r>
              <w:rPr>
                <w:rFonts w:hint="eastAsia"/>
                <w:sz w:val="21"/>
                <w:szCs w:val="21"/>
                <w:highlight w:val="none"/>
                <w:lang w:val="en-US" w:eastAsia="zh-CN"/>
              </w:rPr>
              <w:t>45</w:t>
            </w:r>
          </w:p>
        </w:tc>
        <w:tc>
          <w:tcPr>
            <w:tcW w:w="344" w:type="pct"/>
            <w:noWrap w:val="0"/>
            <w:vAlign w:val="center"/>
          </w:tcPr>
          <w:p w14:paraId="6A2E711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达标</w:t>
            </w:r>
          </w:p>
        </w:tc>
      </w:tr>
      <w:tr w14:paraId="7C8134F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23" w:hRule="atLeast"/>
        </w:trPr>
        <w:tc>
          <w:tcPr>
            <w:tcW w:w="368" w:type="pct"/>
            <w:vMerge w:val="continue"/>
            <w:noWrap w:val="0"/>
            <w:vAlign w:val="center"/>
          </w:tcPr>
          <w:p w14:paraId="7A2C688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lang w:val="en-US" w:eastAsia="zh-CN"/>
              </w:rPr>
            </w:pPr>
          </w:p>
        </w:tc>
        <w:tc>
          <w:tcPr>
            <w:tcW w:w="1387" w:type="pct"/>
            <w:vMerge w:val="continue"/>
            <w:noWrap w:val="0"/>
            <w:vAlign w:val="center"/>
          </w:tcPr>
          <w:p w14:paraId="67DAC19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sz w:val="21"/>
                <w:szCs w:val="21"/>
                <w:highlight w:val="none"/>
                <w:lang w:val="en-US" w:eastAsia="zh-CN"/>
              </w:rPr>
            </w:pPr>
          </w:p>
        </w:tc>
        <w:tc>
          <w:tcPr>
            <w:tcW w:w="582" w:type="pct"/>
            <w:shd w:val="clear" w:color="auto" w:fill="auto"/>
            <w:noWrap w:val="0"/>
            <w:vAlign w:val="center"/>
          </w:tcPr>
          <w:p w14:paraId="4BE303B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2025.8.22</w:t>
            </w:r>
          </w:p>
        </w:tc>
        <w:tc>
          <w:tcPr>
            <w:tcW w:w="556" w:type="pct"/>
            <w:noWrap w:val="0"/>
            <w:vAlign w:val="center"/>
          </w:tcPr>
          <w:p w14:paraId="3CE1B8D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lang w:val="en-US" w:eastAsia="zh-CN"/>
              </w:rPr>
            </w:pPr>
            <w:r>
              <w:rPr>
                <w:rFonts w:hint="eastAsia"/>
                <w:sz w:val="21"/>
                <w:szCs w:val="21"/>
                <w:highlight w:val="none"/>
                <w:lang w:val="en-US" w:eastAsia="zh-CN"/>
              </w:rPr>
              <w:t>52.5</w:t>
            </w:r>
          </w:p>
        </w:tc>
        <w:tc>
          <w:tcPr>
            <w:tcW w:w="446" w:type="pct"/>
            <w:noWrap w:val="0"/>
            <w:vAlign w:val="center"/>
          </w:tcPr>
          <w:p w14:paraId="0EAB914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lang w:val="en-US" w:eastAsia="zh-CN"/>
              </w:rPr>
            </w:pPr>
            <w:r>
              <w:rPr>
                <w:rFonts w:hint="eastAsia"/>
                <w:sz w:val="21"/>
                <w:szCs w:val="21"/>
                <w:highlight w:val="none"/>
                <w:lang w:val="en-US" w:eastAsia="zh-CN"/>
              </w:rPr>
              <w:t>55</w:t>
            </w:r>
          </w:p>
        </w:tc>
        <w:tc>
          <w:tcPr>
            <w:tcW w:w="328" w:type="pct"/>
            <w:noWrap w:val="0"/>
            <w:vAlign w:val="center"/>
          </w:tcPr>
          <w:p w14:paraId="0C1050D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达标</w:t>
            </w:r>
          </w:p>
        </w:tc>
        <w:tc>
          <w:tcPr>
            <w:tcW w:w="538" w:type="pct"/>
            <w:noWrap w:val="0"/>
            <w:vAlign w:val="center"/>
          </w:tcPr>
          <w:p w14:paraId="7A51A16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lang w:val="en-US" w:eastAsia="zh-CN"/>
              </w:rPr>
            </w:pPr>
            <w:r>
              <w:rPr>
                <w:rFonts w:hint="eastAsia"/>
                <w:sz w:val="21"/>
                <w:szCs w:val="21"/>
                <w:highlight w:val="none"/>
                <w:lang w:val="en-US" w:eastAsia="zh-CN"/>
              </w:rPr>
              <w:t>42.1</w:t>
            </w:r>
          </w:p>
        </w:tc>
        <w:tc>
          <w:tcPr>
            <w:tcW w:w="448" w:type="pct"/>
            <w:noWrap w:val="0"/>
            <w:vAlign w:val="center"/>
          </w:tcPr>
          <w:p w14:paraId="17F236F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lang w:val="en-US" w:eastAsia="zh-CN"/>
              </w:rPr>
            </w:pPr>
            <w:r>
              <w:rPr>
                <w:rFonts w:hint="eastAsia"/>
                <w:sz w:val="21"/>
                <w:szCs w:val="21"/>
                <w:highlight w:val="none"/>
                <w:lang w:val="en-US" w:eastAsia="zh-CN"/>
              </w:rPr>
              <w:t>45</w:t>
            </w:r>
          </w:p>
        </w:tc>
        <w:tc>
          <w:tcPr>
            <w:tcW w:w="344" w:type="pct"/>
            <w:noWrap w:val="0"/>
            <w:vAlign w:val="center"/>
          </w:tcPr>
          <w:p w14:paraId="1882D62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达标</w:t>
            </w:r>
          </w:p>
        </w:tc>
      </w:tr>
      <w:tr w14:paraId="1823762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23" w:hRule="atLeast"/>
        </w:trPr>
        <w:tc>
          <w:tcPr>
            <w:tcW w:w="368" w:type="pct"/>
            <w:vMerge w:val="restart"/>
            <w:noWrap w:val="0"/>
            <w:vAlign w:val="center"/>
          </w:tcPr>
          <w:p w14:paraId="490E538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N2</w:t>
            </w:r>
          </w:p>
        </w:tc>
        <w:tc>
          <w:tcPr>
            <w:tcW w:w="1387" w:type="pct"/>
            <w:vMerge w:val="restart"/>
            <w:noWrap w:val="0"/>
            <w:vAlign w:val="center"/>
          </w:tcPr>
          <w:p w14:paraId="2D87737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南厂界外1m</w:t>
            </w:r>
          </w:p>
        </w:tc>
        <w:tc>
          <w:tcPr>
            <w:tcW w:w="582" w:type="pct"/>
            <w:shd w:val="clear" w:color="auto" w:fill="auto"/>
            <w:noWrap w:val="0"/>
            <w:vAlign w:val="center"/>
          </w:tcPr>
          <w:p w14:paraId="7E56479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2025.8.21</w:t>
            </w:r>
          </w:p>
        </w:tc>
        <w:tc>
          <w:tcPr>
            <w:tcW w:w="556" w:type="pct"/>
            <w:noWrap w:val="0"/>
            <w:vAlign w:val="center"/>
          </w:tcPr>
          <w:p w14:paraId="4B77451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lang w:val="en-US" w:eastAsia="zh-CN"/>
              </w:rPr>
            </w:pPr>
            <w:r>
              <w:rPr>
                <w:rFonts w:hint="eastAsia"/>
                <w:sz w:val="21"/>
                <w:szCs w:val="21"/>
                <w:highlight w:val="none"/>
                <w:lang w:val="en-US" w:eastAsia="zh-CN"/>
              </w:rPr>
              <w:t>51.8</w:t>
            </w:r>
          </w:p>
        </w:tc>
        <w:tc>
          <w:tcPr>
            <w:tcW w:w="446" w:type="pct"/>
            <w:shd w:val="clear" w:color="auto" w:fill="auto"/>
            <w:noWrap w:val="0"/>
            <w:vAlign w:val="center"/>
          </w:tcPr>
          <w:p w14:paraId="0425B64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55</w:t>
            </w:r>
          </w:p>
        </w:tc>
        <w:tc>
          <w:tcPr>
            <w:tcW w:w="328" w:type="pct"/>
            <w:noWrap w:val="0"/>
            <w:vAlign w:val="center"/>
          </w:tcPr>
          <w:p w14:paraId="7FDA287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达标</w:t>
            </w:r>
          </w:p>
        </w:tc>
        <w:tc>
          <w:tcPr>
            <w:tcW w:w="538" w:type="pct"/>
            <w:noWrap w:val="0"/>
            <w:vAlign w:val="center"/>
          </w:tcPr>
          <w:p w14:paraId="063FAF5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lang w:val="en-US" w:eastAsia="zh-CN"/>
              </w:rPr>
            </w:pPr>
            <w:r>
              <w:rPr>
                <w:rFonts w:hint="eastAsia"/>
                <w:sz w:val="21"/>
                <w:szCs w:val="21"/>
                <w:highlight w:val="none"/>
                <w:lang w:val="en-US" w:eastAsia="zh-CN"/>
              </w:rPr>
              <w:t>40.4</w:t>
            </w:r>
          </w:p>
        </w:tc>
        <w:tc>
          <w:tcPr>
            <w:tcW w:w="448" w:type="pct"/>
            <w:noWrap w:val="0"/>
            <w:vAlign w:val="center"/>
          </w:tcPr>
          <w:p w14:paraId="55CF7F6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lang w:val="en-US" w:eastAsia="zh-CN"/>
              </w:rPr>
            </w:pPr>
            <w:r>
              <w:rPr>
                <w:rFonts w:hint="eastAsia"/>
                <w:sz w:val="21"/>
                <w:szCs w:val="21"/>
                <w:highlight w:val="none"/>
                <w:lang w:val="en-US" w:eastAsia="zh-CN"/>
              </w:rPr>
              <w:t>45</w:t>
            </w:r>
          </w:p>
        </w:tc>
        <w:tc>
          <w:tcPr>
            <w:tcW w:w="344" w:type="pct"/>
            <w:noWrap w:val="0"/>
            <w:vAlign w:val="center"/>
          </w:tcPr>
          <w:p w14:paraId="192F26F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达标</w:t>
            </w:r>
          </w:p>
        </w:tc>
      </w:tr>
      <w:tr w14:paraId="402A9E2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23" w:hRule="atLeast"/>
        </w:trPr>
        <w:tc>
          <w:tcPr>
            <w:tcW w:w="368" w:type="pct"/>
            <w:vMerge w:val="continue"/>
            <w:noWrap w:val="0"/>
            <w:vAlign w:val="center"/>
          </w:tcPr>
          <w:p w14:paraId="10E4668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lang w:val="en-US" w:eastAsia="zh-CN"/>
              </w:rPr>
            </w:pPr>
          </w:p>
        </w:tc>
        <w:tc>
          <w:tcPr>
            <w:tcW w:w="1387" w:type="pct"/>
            <w:vMerge w:val="continue"/>
            <w:noWrap w:val="0"/>
            <w:vAlign w:val="center"/>
          </w:tcPr>
          <w:p w14:paraId="1C484B1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sz w:val="21"/>
                <w:szCs w:val="21"/>
                <w:highlight w:val="none"/>
                <w:lang w:val="en-US" w:eastAsia="zh-CN"/>
              </w:rPr>
            </w:pPr>
          </w:p>
        </w:tc>
        <w:tc>
          <w:tcPr>
            <w:tcW w:w="582" w:type="pct"/>
            <w:shd w:val="clear" w:color="auto" w:fill="auto"/>
            <w:noWrap w:val="0"/>
            <w:vAlign w:val="center"/>
          </w:tcPr>
          <w:p w14:paraId="227E6D3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2025.8.22</w:t>
            </w:r>
          </w:p>
        </w:tc>
        <w:tc>
          <w:tcPr>
            <w:tcW w:w="556" w:type="pct"/>
            <w:noWrap w:val="0"/>
            <w:vAlign w:val="center"/>
          </w:tcPr>
          <w:p w14:paraId="1AB90FE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lang w:val="en-US" w:eastAsia="zh-CN"/>
              </w:rPr>
            </w:pPr>
            <w:r>
              <w:rPr>
                <w:rFonts w:hint="eastAsia"/>
                <w:sz w:val="21"/>
                <w:szCs w:val="21"/>
                <w:highlight w:val="none"/>
                <w:lang w:val="en-US" w:eastAsia="zh-CN"/>
              </w:rPr>
              <w:t>52.5</w:t>
            </w:r>
          </w:p>
        </w:tc>
        <w:tc>
          <w:tcPr>
            <w:tcW w:w="446" w:type="pct"/>
            <w:shd w:val="clear" w:color="auto" w:fill="auto"/>
            <w:noWrap w:val="0"/>
            <w:vAlign w:val="center"/>
          </w:tcPr>
          <w:p w14:paraId="5DDE81B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55</w:t>
            </w:r>
          </w:p>
        </w:tc>
        <w:tc>
          <w:tcPr>
            <w:tcW w:w="328" w:type="pct"/>
            <w:noWrap w:val="0"/>
            <w:vAlign w:val="center"/>
          </w:tcPr>
          <w:p w14:paraId="3EBDE01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达标</w:t>
            </w:r>
          </w:p>
        </w:tc>
        <w:tc>
          <w:tcPr>
            <w:tcW w:w="538" w:type="pct"/>
            <w:noWrap w:val="0"/>
            <w:vAlign w:val="center"/>
          </w:tcPr>
          <w:p w14:paraId="6C76814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lang w:val="en-US" w:eastAsia="zh-CN"/>
              </w:rPr>
            </w:pPr>
            <w:r>
              <w:rPr>
                <w:rFonts w:hint="eastAsia"/>
                <w:sz w:val="21"/>
                <w:szCs w:val="21"/>
                <w:highlight w:val="none"/>
                <w:lang w:val="en-US" w:eastAsia="zh-CN"/>
              </w:rPr>
              <w:t>42.0</w:t>
            </w:r>
          </w:p>
        </w:tc>
        <w:tc>
          <w:tcPr>
            <w:tcW w:w="448" w:type="pct"/>
            <w:noWrap w:val="0"/>
            <w:vAlign w:val="center"/>
          </w:tcPr>
          <w:p w14:paraId="79F8636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lang w:val="en-US" w:eastAsia="zh-CN"/>
              </w:rPr>
            </w:pPr>
            <w:r>
              <w:rPr>
                <w:rFonts w:hint="eastAsia"/>
                <w:sz w:val="21"/>
                <w:szCs w:val="21"/>
                <w:highlight w:val="none"/>
                <w:lang w:val="en-US" w:eastAsia="zh-CN"/>
              </w:rPr>
              <w:t>45</w:t>
            </w:r>
          </w:p>
        </w:tc>
        <w:tc>
          <w:tcPr>
            <w:tcW w:w="344" w:type="pct"/>
            <w:noWrap w:val="0"/>
            <w:vAlign w:val="center"/>
          </w:tcPr>
          <w:p w14:paraId="5E6C97E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达标</w:t>
            </w:r>
          </w:p>
        </w:tc>
      </w:tr>
      <w:tr w14:paraId="0CCC9A8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23" w:hRule="atLeast"/>
        </w:trPr>
        <w:tc>
          <w:tcPr>
            <w:tcW w:w="368" w:type="pct"/>
            <w:vMerge w:val="restart"/>
            <w:noWrap w:val="0"/>
            <w:vAlign w:val="center"/>
          </w:tcPr>
          <w:p w14:paraId="583C5FD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N3</w:t>
            </w:r>
          </w:p>
        </w:tc>
        <w:tc>
          <w:tcPr>
            <w:tcW w:w="1387" w:type="pct"/>
            <w:vMerge w:val="restart"/>
            <w:noWrap w:val="0"/>
            <w:vAlign w:val="center"/>
          </w:tcPr>
          <w:p w14:paraId="505346F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西厂界外1m</w:t>
            </w:r>
          </w:p>
        </w:tc>
        <w:tc>
          <w:tcPr>
            <w:tcW w:w="582" w:type="pct"/>
            <w:shd w:val="clear" w:color="auto" w:fill="auto"/>
            <w:noWrap w:val="0"/>
            <w:vAlign w:val="center"/>
          </w:tcPr>
          <w:p w14:paraId="5B22E94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2025.8.21</w:t>
            </w:r>
          </w:p>
        </w:tc>
        <w:tc>
          <w:tcPr>
            <w:tcW w:w="556" w:type="pct"/>
            <w:shd w:val="clear" w:color="auto" w:fill="auto"/>
            <w:noWrap w:val="0"/>
            <w:vAlign w:val="center"/>
          </w:tcPr>
          <w:p w14:paraId="752BBA0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50.2</w:t>
            </w:r>
          </w:p>
        </w:tc>
        <w:tc>
          <w:tcPr>
            <w:tcW w:w="446" w:type="pct"/>
            <w:shd w:val="clear" w:color="auto" w:fill="auto"/>
            <w:noWrap w:val="0"/>
            <w:vAlign w:val="center"/>
          </w:tcPr>
          <w:p w14:paraId="7D6973E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55</w:t>
            </w:r>
          </w:p>
        </w:tc>
        <w:tc>
          <w:tcPr>
            <w:tcW w:w="328" w:type="pct"/>
            <w:noWrap w:val="0"/>
            <w:vAlign w:val="center"/>
          </w:tcPr>
          <w:p w14:paraId="07B772E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达标</w:t>
            </w:r>
          </w:p>
        </w:tc>
        <w:tc>
          <w:tcPr>
            <w:tcW w:w="538" w:type="pct"/>
            <w:shd w:val="clear" w:color="auto" w:fill="auto"/>
            <w:noWrap w:val="0"/>
            <w:vAlign w:val="center"/>
          </w:tcPr>
          <w:p w14:paraId="11AF86E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41.1</w:t>
            </w:r>
          </w:p>
        </w:tc>
        <w:tc>
          <w:tcPr>
            <w:tcW w:w="448" w:type="pct"/>
            <w:shd w:val="clear" w:color="auto" w:fill="auto"/>
            <w:noWrap w:val="0"/>
            <w:vAlign w:val="center"/>
          </w:tcPr>
          <w:p w14:paraId="41291CC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45</w:t>
            </w:r>
          </w:p>
        </w:tc>
        <w:tc>
          <w:tcPr>
            <w:tcW w:w="344" w:type="pct"/>
            <w:noWrap w:val="0"/>
            <w:vAlign w:val="center"/>
          </w:tcPr>
          <w:p w14:paraId="399ACB2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达标</w:t>
            </w:r>
          </w:p>
        </w:tc>
      </w:tr>
      <w:tr w14:paraId="2CF57EC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23" w:hRule="atLeast"/>
        </w:trPr>
        <w:tc>
          <w:tcPr>
            <w:tcW w:w="368" w:type="pct"/>
            <w:vMerge w:val="continue"/>
            <w:noWrap w:val="0"/>
            <w:vAlign w:val="center"/>
          </w:tcPr>
          <w:p w14:paraId="5798F3E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lang w:val="en-US" w:eastAsia="zh-CN"/>
              </w:rPr>
            </w:pPr>
          </w:p>
        </w:tc>
        <w:tc>
          <w:tcPr>
            <w:tcW w:w="1387" w:type="pct"/>
            <w:vMerge w:val="continue"/>
            <w:noWrap w:val="0"/>
            <w:vAlign w:val="center"/>
          </w:tcPr>
          <w:p w14:paraId="710DD98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sz w:val="21"/>
                <w:szCs w:val="21"/>
                <w:highlight w:val="none"/>
                <w:lang w:val="en-US" w:eastAsia="zh-CN"/>
              </w:rPr>
            </w:pPr>
          </w:p>
        </w:tc>
        <w:tc>
          <w:tcPr>
            <w:tcW w:w="582" w:type="pct"/>
            <w:shd w:val="clear" w:color="auto" w:fill="auto"/>
            <w:noWrap w:val="0"/>
            <w:vAlign w:val="center"/>
          </w:tcPr>
          <w:p w14:paraId="10D715D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2025.8.22</w:t>
            </w:r>
          </w:p>
        </w:tc>
        <w:tc>
          <w:tcPr>
            <w:tcW w:w="556" w:type="pct"/>
            <w:shd w:val="clear" w:color="auto" w:fill="auto"/>
            <w:noWrap w:val="0"/>
            <w:vAlign w:val="center"/>
          </w:tcPr>
          <w:p w14:paraId="37C9231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52.4</w:t>
            </w:r>
          </w:p>
        </w:tc>
        <w:tc>
          <w:tcPr>
            <w:tcW w:w="446" w:type="pct"/>
            <w:shd w:val="clear" w:color="auto" w:fill="auto"/>
            <w:noWrap w:val="0"/>
            <w:vAlign w:val="center"/>
          </w:tcPr>
          <w:p w14:paraId="0954CC6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55</w:t>
            </w:r>
          </w:p>
        </w:tc>
        <w:tc>
          <w:tcPr>
            <w:tcW w:w="328" w:type="pct"/>
            <w:noWrap w:val="0"/>
            <w:vAlign w:val="center"/>
          </w:tcPr>
          <w:p w14:paraId="7F64E27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达标</w:t>
            </w:r>
          </w:p>
        </w:tc>
        <w:tc>
          <w:tcPr>
            <w:tcW w:w="538" w:type="pct"/>
            <w:shd w:val="clear" w:color="auto" w:fill="auto"/>
            <w:noWrap w:val="0"/>
            <w:vAlign w:val="center"/>
          </w:tcPr>
          <w:p w14:paraId="665E389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42.8</w:t>
            </w:r>
          </w:p>
        </w:tc>
        <w:tc>
          <w:tcPr>
            <w:tcW w:w="448" w:type="pct"/>
            <w:shd w:val="clear" w:color="auto" w:fill="auto"/>
            <w:noWrap w:val="0"/>
            <w:vAlign w:val="center"/>
          </w:tcPr>
          <w:p w14:paraId="4EEE921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45</w:t>
            </w:r>
          </w:p>
        </w:tc>
        <w:tc>
          <w:tcPr>
            <w:tcW w:w="344" w:type="pct"/>
            <w:noWrap w:val="0"/>
            <w:vAlign w:val="center"/>
          </w:tcPr>
          <w:p w14:paraId="6E3F2B8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达标</w:t>
            </w:r>
          </w:p>
        </w:tc>
      </w:tr>
      <w:tr w14:paraId="16C8702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23" w:hRule="atLeast"/>
        </w:trPr>
        <w:tc>
          <w:tcPr>
            <w:tcW w:w="368" w:type="pct"/>
            <w:vMerge w:val="restart"/>
            <w:noWrap w:val="0"/>
            <w:vAlign w:val="center"/>
          </w:tcPr>
          <w:p w14:paraId="5CA07F3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N4</w:t>
            </w:r>
          </w:p>
        </w:tc>
        <w:tc>
          <w:tcPr>
            <w:tcW w:w="1387" w:type="pct"/>
            <w:vMerge w:val="restart"/>
            <w:noWrap w:val="0"/>
            <w:vAlign w:val="center"/>
          </w:tcPr>
          <w:p w14:paraId="3578E81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北厂界外1m</w:t>
            </w:r>
          </w:p>
        </w:tc>
        <w:tc>
          <w:tcPr>
            <w:tcW w:w="582" w:type="pct"/>
            <w:shd w:val="clear" w:color="auto" w:fill="auto"/>
            <w:noWrap w:val="0"/>
            <w:vAlign w:val="center"/>
          </w:tcPr>
          <w:p w14:paraId="15B16B0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2025.8.21</w:t>
            </w:r>
          </w:p>
        </w:tc>
        <w:tc>
          <w:tcPr>
            <w:tcW w:w="556" w:type="pct"/>
            <w:noWrap w:val="0"/>
            <w:vAlign w:val="center"/>
          </w:tcPr>
          <w:p w14:paraId="350D771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lang w:val="en-US" w:eastAsia="zh-CN"/>
              </w:rPr>
            </w:pPr>
            <w:r>
              <w:rPr>
                <w:rFonts w:hint="eastAsia"/>
                <w:sz w:val="21"/>
                <w:szCs w:val="21"/>
                <w:highlight w:val="none"/>
                <w:lang w:val="en-US" w:eastAsia="zh-CN"/>
              </w:rPr>
              <w:t>52.9</w:t>
            </w:r>
          </w:p>
        </w:tc>
        <w:tc>
          <w:tcPr>
            <w:tcW w:w="446" w:type="pct"/>
            <w:shd w:val="clear" w:color="auto" w:fill="auto"/>
            <w:noWrap w:val="0"/>
            <w:vAlign w:val="center"/>
          </w:tcPr>
          <w:p w14:paraId="7FF1DE7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55</w:t>
            </w:r>
          </w:p>
        </w:tc>
        <w:tc>
          <w:tcPr>
            <w:tcW w:w="328" w:type="pct"/>
            <w:noWrap w:val="0"/>
            <w:vAlign w:val="center"/>
          </w:tcPr>
          <w:p w14:paraId="0F749DA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达标</w:t>
            </w:r>
          </w:p>
        </w:tc>
        <w:tc>
          <w:tcPr>
            <w:tcW w:w="538" w:type="pct"/>
            <w:noWrap w:val="0"/>
            <w:vAlign w:val="center"/>
          </w:tcPr>
          <w:p w14:paraId="443CE58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lang w:val="en-US" w:eastAsia="zh-CN"/>
              </w:rPr>
            </w:pPr>
            <w:r>
              <w:rPr>
                <w:rFonts w:hint="eastAsia"/>
                <w:sz w:val="21"/>
                <w:szCs w:val="21"/>
                <w:highlight w:val="none"/>
                <w:lang w:val="en-US" w:eastAsia="zh-CN"/>
              </w:rPr>
              <w:t>41.9</w:t>
            </w:r>
          </w:p>
        </w:tc>
        <w:tc>
          <w:tcPr>
            <w:tcW w:w="448" w:type="pct"/>
            <w:shd w:val="clear" w:color="auto" w:fill="auto"/>
            <w:noWrap w:val="0"/>
            <w:vAlign w:val="center"/>
          </w:tcPr>
          <w:p w14:paraId="7CEE6CD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45</w:t>
            </w:r>
          </w:p>
        </w:tc>
        <w:tc>
          <w:tcPr>
            <w:tcW w:w="344" w:type="pct"/>
            <w:noWrap w:val="0"/>
            <w:vAlign w:val="center"/>
          </w:tcPr>
          <w:p w14:paraId="71C3A43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达标</w:t>
            </w:r>
          </w:p>
        </w:tc>
      </w:tr>
      <w:tr w14:paraId="797364F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23" w:hRule="atLeast"/>
        </w:trPr>
        <w:tc>
          <w:tcPr>
            <w:tcW w:w="368" w:type="pct"/>
            <w:vMerge w:val="continue"/>
            <w:noWrap w:val="0"/>
            <w:vAlign w:val="center"/>
          </w:tcPr>
          <w:p w14:paraId="0CB13CF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lang w:val="en-US" w:eastAsia="zh-CN"/>
              </w:rPr>
            </w:pPr>
          </w:p>
        </w:tc>
        <w:tc>
          <w:tcPr>
            <w:tcW w:w="1387" w:type="pct"/>
            <w:vMerge w:val="continue"/>
            <w:noWrap w:val="0"/>
            <w:vAlign w:val="center"/>
          </w:tcPr>
          <w:p w14:paraId="2CC186C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sz w:val="21"/>
                <w:szCs w:val="21"/>
                <w:highlight w:val="none"/>
                <w:lang w:val="en-US" w:eastAsia="zh-CN"/>
              </w:rPr>
            </w:pPr>
          </w:p>
        </w:tc>
        <w:tc>
          <w:tcPr>
            <w:tcW w:w="582" w:type="pct"/>
            <w:shd w:val="clear" w:color="auto" w:fill="auto"/>
            <w:noWrap w:val="0"/>
            <w:vAlign w:val="center"/>
          </w:tcPr>
          <w:p w14:paraId="7E0AC8D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2025.8.22</w:t>
            </w:r>
          </w:p>
        </w:tc>
        <w:tc>
          <w:tcPr>
            <w:tcW w:w="556" w:type="pct"/>
            <w:noWrap w:val="0"/>
            <w:vAlign w:val="center"/>
          </w:tcPr>
          <w:p w14:paraId="0F42F47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lang w:val="en-US" w:eastAsia="zh-CN"/>
              </w:rPr>
            </w:pPr>
            <w:r>
              <w:rPr>
                <w:rFonts w:hint="eastAsia"/>
                <w:sz w:val="21"/>
                <w:szCs w:val="21"/>
                <w:highlight w:val="none"/>
                <w:lang w:val="en-US" w:eastAsia="zh-CN"/>
              </w:rPr>
              <w:t>51.5</w:t>
            </w:r>
          </w:p>
        </w:tc>
        <w:tc>
          <w:tcPr>
            <w:tcW w:w="446" w:type="pct"/>
            <w:shd w:val="clear" w:color="auto" w:fill="auto"/>
            <w:noWrap w:val="0"/>
            <w:vAlign w:val="center"/>
          </w:tcPr>
          <w:p w14:paraId="692E357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55</w:t>
            </w:r>
          </w:p>
        </w:tc>
        <w:tc>
          <w:tcPr>
            <w:tcW w:w="328" w:type="pct"/>
            <w:noWrap w:val="0"/>
            <w:vAlign w:val="center"/>
          </w:tcPr>
          <w:p w14:paraId="37234AB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达标</w:t>
            </w:r>
          </w:p>
        </w:tc>
        <w:tc>
          <w:tcPr>
            <w:tcW w:w="538" w:type="pct"/>
            <w:noWrap w:val="0"/>
            <w:vAlign w:val="center"/>
          </w:tcPr>
          <w:p w14:paraId="2F3EB04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lang w:val="en-US" w:eastAsia="zh-CN"/>
              </w:rPr>
            </w:pPr>
            <w:r>
              <w:rPr>
                <w:rFonts w:hint="eastAsia"/>
                <w:sz w:val="21"/>
                <w:szCs w:val="21"/>
                <w:highlight w:val="none"/>
                <w:lang w:val="en-US" w:eastAsia="zh-CN"/>
              </w:rPr>
              <w:t>43.7</w:t>
            </w:r>
          </w:p>
        </w:tc>
        <w:tc>
          <w:tcPr>
            <w:tcW w:w="448" w:type="pct"/>
            <w:shd w:val="clear" w:color="auto" w:fill="auto"/>
            <w:noWrap w:val="0"/>
            <w:vAlign w:val="center"/>
          </w:tcPr>
          <w:p w14:paraId="232895D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45</w:t>
            </w:r>
          </w:p>
        </w:tc>
        <w:tc>
          <w:tcPr>
            <w:tcW w:w="344" w:type="pct"/>
            <w:noWrap w:val="0"/>
            <w:vAlign w:val="center"/>
          </w:tcPr>
          <w:p w14:paraId="02B7576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达标</w:t>
            </w:r>
          </w:p>
        </w:tc>
      </w:tr>
    </w:tbl>
    <w:p w14:paraId="57B1A0FA">
      <w:pPr>
        <w:pStyle w:val="8"/>
        <w:numPr>
          <w:ilvl w:val="1"/>
          <w:numId w:val="1"/>
        </w:numPr>
        <w:tabs>
          <w:tab w:val="clear" w:pos="420"/>
        </w:tabs>
        <w:bidi w:val="0"/>
        <w:ind w:left="567" w:leftChars="0" w:hanging="567" w:firstLineChars="0"/>
        <w:rPr>
          <w:rFonts w:hint="eastAsia"/>
          <w:highlight w:val="none"/>
          <w:lang w:val="en-US" w:eastAsia="zh-CN"/>
        </w:rPr>
      </w:pPr>
      <w:bookmarkStart w:id="43" w:name="_Toc24913"/>
      <w:r>
        <w:rPr>
          <w:rFonts w:hint="eastAsia"/>
          <w:highlight w:val="none"/>
          <w:lang w:val="en-US" w:eastAsia="zh-CN"/>
        </w:rPr>
        <w:t>生态环境现状调查与评价</w:t>
      </w:r>
      <w:bookmarkEnd w:id="43"/>
    </w:p>
    <w:p w14:paraId="2EDE5F9C">
      <w:pPr>
        <w:bidi w:val="0"/>
        <w:rPr>
          <w:rFonts w:hint="eastAsia"/>
          <w:highlight w:val="none"/>
          <w:lang w:val="en-US" w:eastAsia="zh-CN"/>
        </w:rPr>
      </w:pPr>
      <w:r>
        <w:rPr>
          <w:rFonts w:hint="eastAsia"/>
          <w:highlight w:val="none"/>
          <w:lang w:val="en-US" w:eastAsia="zh-CN"/>
        </w:rPr>
        <w:t>根据《全国生态功能区划（修编版）》（环境保护部 中国科学院，2015），岳阳市属于全国重要生态功能区-水源涵养重要区-罗霄山脉水源涵养与生物多样性保护重要区；属于全国重要生态功能区-洪水调蓄重要区-洞庭湖洪水调蓄与生物多样性保护重要区。</w:t>
      </w:r>
    </w:p>
    <w:p w14:paraId="150E0D2E">
      <w:pPr>
        <w:bidi w:val="0"/>
        <w:rPr>
          <w:rFonts w:hint="eastAsia"/>
          <w:highlight w:val="none"/>
          <w:lang w:val="en-US" w:eastAsia="zh-CN"/>
        </w:rPr>
      </w:pPr>
      <w:r>
        <w:rPr>
          <w:rFonts w:hint="eastAsia"/>
          <w:highlight w:val="none"/>
          <w:lang w:val="en-US" w:eastAsia="zh-CN"/>
        </w:rPr>
        <w:t>根据现场对评价区植被的实地调查及相关林业调查资料，采用群落学—生态学分类原则，选用植被型组、植被型、群系等基本单位，在对现存植被进行考察的基础上，结合区域内现有植被中群系建群种与优势种的外貌，以及群系的环境生态与地理分布特征等分析，将评价区自然植被初步划分为4个植被型组。</w:t>
      </w:r>
    </w:p>
    <w:p w14:paraId="1AD604F8">
      <w:pPr>
        <w:pStyle w:val="9"/>
        <w:numPr>
          <w:ilvl w:val="2"/>
          <w:numId w:val="1"/>
        </w:numPr>
        <w:bidi w:val="0"/>
        <w:ind w:left="709" w:leftChars="0" w:hanging="709" w:firstLineChars="0"/>
        <w:rPr>
          <w:rFonts w:hint="eastAsia"/>
          <w:lang w:val="en-US" w:eastAsia="zh-CN"/>
        </w:rPr>
      </w:pPr>
      <w:r>
        <w:rPr>
          <w:rFonts w:hint="eastAsia"/>
          <w:lang w:val="en-US" w:eastAsia="zh-CN"/>
        </w:rPr>
        <w:t>土地利用现状</w:t>
      </w:r>
    </w:p>
    <w:p w14:paraId="7229DEA4">
      <w:pPr>
        <w:bidi w:val="0"/>
        <w:rPr>
          <w:rFonts w:hint="eastAsia"/>
          <w:highlight w:val="none"/>
          <w:lang w:val="en-US" w:eastAsia="zh-CN"/>
        </w:rPr>
      </w:pPr>
      <w:r>
        <w:rPr>
          <w:rFonts w:hint="eastAsia"/>
          <w:highlight w:val="none"/>
          <w:lang w:val="en-US" w:eastAsia="zh-CN"/>
        </w:rPr>
        <w:t>评价区内土地利用现状是在卫片解译的基础上，结合现有的资料，运用景观法（即以植被作为主导因素），并结合土壤、地貌等因子进行综合分析后对土地进行分类，将土地利用格局的拼块类型分为林地、灌草地、耕地、住宅、道路、水域等类型。</w:t>
      </w:r>
    </w:p>
    <w:p w14:paraId="65540C26">
      <w:pPr>
        <w:bidi w:val="0"/>
        <w:rPr>
          <w:rFonts w:hint="eastAsia"/>
          <w:highlight w:val="none"/>
          <w:lang w:val="en-US" w:eastAsia="zh-CN"/>
        </w:rPr>
      </w:pPr>
      <w:r>
        <w:rPr>
          <w:rFonts w:hint="eastAsia"/>
          <w:highlight w:val="none"/>
          <w:lang w:val="en-US" w:eastAsia="zh-CN"/>
        </w:rPr>
        <w:t>根据评价区卫片解译结果，评价区内林地面积最大，面积为152.17万m</w:t>
      </w:r>
      <w:r>
        <w:rPr>
          <w:rFonts w:hint="eastAsia"/>
          <w:highlight w:val="none"/>
          <w:vertAlign w:val="superscript"/>
          <w:lang w:val="en-US" w:eastAsia="zh-CN"/>
        </w:rPr>
        <w:t>2</w:t>
      </w:r>
      <w:r>
        <w:rPr>
          <w:rFonts w:hint="eastAsia"/>
          <w:highlight w:val="none"/>
          <w:lang w:val="en-US" w:eastAsia="zh-CN"/>
        </w:rPr>
        <w:t>，占评价区总面积的67.61%；其次为灌草丛，面积28.975万m</w:t>
      </w:r>
      <w:r>
        <w:rPr>
          <w:rFonts w:hint="eastAsia"/>
          <w:highlight w:val="none"/>
          <w:vertAlign w:val="superscript"/>
          <w:lang w:val="en-US" w:eastAsia="zh-CN"/>
        </w:rPr>
        <w:t>2</w:t>
      </w:r>
      <w:r>
        <w:rPr>
          <w:rFonts w:hint="eastAsia"/>
          <w:highlight w:val="none"/>
          <w:lang w:val="en-US" w:eastAsia="zh-CN"/>
        </w:rPr>
        <w:t>，占评价区总面积的12.87%。评价区土地利用类型现状见表4.3-1。</w:t>
      </w:r>
    </w:p>
    <w:p w14:paraId="1E8300EE">
      <w:pPr>
        <w:bidi w:val="0"/>
        <w:ind w:left="0" w:leftChars="0" w:firstLine="0" w:firstLineChars="0"/>
        <w:jc w:val="center"/>
        <w:rPr>
          <w:rFonts w:hint="default"/>
          <w:b/>
          <w:bCs/>
          <w:sz w:val="21"/>
          <w:szCs w:val="21"/>
          <w:highlight w:val="none"/>
          <w:lang w:val="en-US" w:eastAsia="zh-CN"/>
        </w:rPr>
      </w:pPr>
      <w:r>
        <w:rPr>
          <w:rFonts w:hint="eastAsia"/>
          <w:b/>
          <w:bCs/>
          <w:sz w:val="21"/>
          <w:szCs w:val="21"/>
          <w:highlight w:val="none"/>
          <w:lang w:val="en-US" w:eastAsia="zh-CN"/>
        </w:rPr>
        <w:t>表4.3-1  评价区土地利用类型现状一览表</w:t>
      </w:r>
    </w:p>
    <w:tbl>
      <w:tblPr>
        <w:tblStyle w:val="106"/>
        <w:tblW w:w="4998" w:type="pct"/>
        <w:tblInd w:w="0" w:type="dxa"/>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Layout w:type="autofit"/>
        <w:tblCellMar>
          <w:top w:w="0" w:type="dxa"/>
          <w:left w:w="0" w:type="dxa"/>
          <w:bottom w:w="0" w:type="dxa"/>
          <w:right w:w="0" w:type="dxa"/>
        </w:tblCellMar>
      </w:tblPr>
      <w:tblGrid>
        <w:gridCol w:w="753"/>
        <w:gridCol w:w="1191"/>
        <w:gridCol w:w="1761"/>
        <w:gridCol w:w="2227"/>
        <w:gridCol w:w="1032"/>
        <w:gridCol w:w="2134"/>
      </w:tblGrid>
      <w:tr w14:paraId="687DEC69">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0" w:hRule="atLeast"/>
          <w:tblHeader/>
        </w:trPr>
        <w:tc>
          <w:tcPr>
            <w:tcW w:w="414" w:type="pct"/>
            <w:tcBorders>
              <w:tl2br w:val="nil"/>
              <w:tr2bl w:val="nil"/>
            </w:tcBorders>
            <w:vAlign w:val="center"/>
          </w:tcPr>
          <w:p w14:paraId="6B76EAD2">
            <w:pPr>
              <w:bidi w:val="0"/>
              <w:spacing w:line="360" w:lineRule="auto"/>
              <w:ind w:left="0" w:leftChars="0" w:firstLine="0" w:firstLineChars="0"/>
              <w:jc w:val="center"/>
              <w:rPr>
                <w:rFonts w:hint="default" w:ascii="Times New Roman" w:hAnsi="Times New Roman" w:cs="Times New Roman"/>
                <w:b/>
                <w:bCs/>
                <w:sz w:val="21"/>
                <w:szCs w:val="21"/>
                <w:highlight w:val="none"/>
                <w:lang w:val="en-US" w:eastAsia="zh-CN"/>
              </w:rPr>
            </w:pPr>
            <w:r>
              <w:rPr>
                <w:rFonts w:hint="default" w:ascii="Times New Roman" w:hAnsi="Times New Roman" w:cs="Times New Roman"/>
                <w:b/>
                <w:bCs/>
                <w:sz w:val="21"/>
                <w:szCs w:val="21"/>
                <w:highlight w:val="none"/>
                <w:lang w:val="en-US" w:eastAsia="zh-CN"/>
              </w:rPr>
              <w:t>序号</w:t>
            </w:r>
          </w:p>
        </w:tc>
        <w:tc>
          <w:tcPr>
            <w:tcW w:w="654" w:type="pct"/>
            <w:tcBorders>
              <w:tl2br w:val="nil"/>
              <w:tr2bl w:val="nil"/>
            </w:tcBorders>
            <w:vAlign w:val="center"/>
          </w:tcPr>
          <w:p w14:paraId="3EA60530">
            <w:pPr>
              <w:bidi w:val="0"/>
              <w:spacing w:line="360" w:lineRule="auto"/>
              <w:ind w:left="0" w:leftChars="0" w:firstLine="0" w:firstLineChars="0"/>
              <w:jc w:val="center"/>
              <w:rPr>
                <w:rFonts w:hint="default" w:ascii="Times New Roman" w:hAnsi="Times New Roman" w:cs="Times New Roman"/>
                <w:b/>
                <w:bCs/>
                <w:sz w:val="21"/>
                <w:szCs w:val="21"/>
                <w:highlight w:val="none"/>
                <w:lang w:val="en-US" w:eastAsia="zh-CN"/>
              </w:rPr>
            </w:pPr>
            <w:r>
              <w:rPr>
                <w:rFonts w:hint="default" w:ascii="Times New Roman" w:hAnsi="Times New Roman" w:cs="Times New Roman"/>
                <w:b/>
                <w:bCs/>
                <w:sz w:val="21"/>
                <w:szCs w:val="21"/>
                <w:highlight w:val="none"/>
                <w:lang w:val="en-US" w:eastAsia="zh-CN"/>
              </w:rPr>
              <w:t>类型</w:t>
            </w:r>
          </w:p>
        </w:tc>
        <w:tc>
          <w:tcPr>
            <w:tcW w:w="967" w:type="pct"/>
            <w:tcBorders>
              <w:tl2br w:val="nil"/>
              <w:tr2bl w:val="nil"/>
            </w:tcBorders>
            <w:vAlign w:val="center"/>
          </w:tcPr>
          <w:p w14:paraId="14C22197">
            <w:pPr>
              <w:bidi w:val="0"/>
              <w:spacing w:line="360" w:lineRule="auto"/>
              <w:ind w:left="0" w:leftChars="0" w:firstLine="0" w:firstLineChars="0"/>
              <w:jc w:val="center"/>
              <w:rPr>
                <w:rFonts w:hint="default" w:ascii="Times New Roman" w:hAnsi="Times New Roman" w:cs="Times New Roman"/>
                <w:b/>
                <w:bCs/>
                <w:sz w:val="21"/>
                <w:szCs w:val="21"/>
                <w:highlight w:val="none"/>
                <w:lang w:val="en-US" w:eastAsia="zh-CN"/>
              </w:rPr>
            </w:pPr>
            <w:r>
              <w:rPr>
                <w:rFonts w:hint="default" w:ascii="Times New Roman" w:hAnsi="Times New Roman" w:cs="Times New Roman"/>
                <w:b/>
                <w:bCs/>
                <w:sz w:val="21"/>
                <w:szCs w:val="21"/>
                <w:highlight w:val="none"/>
                <w:lang w:val="en-US" w:eastAsia="zh-CN"/>
              </w:rPr>
              <w:t>面积（万m</w:t>
            </w:r>
            <w:r>
              <w:rPr>
                <w:rFonts w:hint="default" w:ascii="Times New Roman" w:hAnsi="Times New Roman" w:cs="Times New Roman"/>
                <w:b/>
                <w:bCs/>
                <w:sz w:val="21"/>
                <w:szCs w:val="21"/>
                <w:highlight w:val="none"/>
                <w:vertAlign w:val="superscript"/>
                <w:lang w:val="en-US" w:eastAsia="zh-CN"/>
              </w:rPr>
              <w:t>2</w:t>
            </w:r>
            <w:r>
              <w:rPr>
                <w:rFonts w:hint="default" w:ascii="Times New Roman" w:hAnsi="Times New Roman" w:cs="Times New Roman"/>
                <w:b/>
                <w:bCs/>
                <w:sz w:val="21"/>
                <w:szCs w:val="21"/>
                <w:highlight w:val="none"/>
                <w:lang w:val="en-US" w:eastAsia="zh-CN"/>
              </w:rPr>
              <w:t>）</w:t>
            </w:r>
          </w:p>
        </w:tc>
        <w:tc>
          <w:tcPr>
            <w:tcW w:w="1223" w:type="pct"/>
            <w:tcBorders>
              <w:tl2br w:val="nil"/>
              <w:tr2bl w:val="nil"/>
            </w:tcBorders>
            <w:vAlign w:val="center"/>
          </w:tcPr>
          <w:p w14:paraId="29735EC3">
            <w:pPr>
              <w:bidi w:val="0"/>
              <w:spacing w:line="360" w:lineRule="auto"/>
              <w:ind w:left="0" w:leftChars="0" w:firstLine="0" w:firstLineChars="0"/>
              <w:jc w:val="center"/>
              <w:rPr>
                <w:rFonts w:hint="default" w:ascii="Times New Roman" w:hAnsi="Times New Roman" w:cs="Times New Roman"/>
                <w:b/>
                <w:bCs/>
                <w:sz w:val="21"/>
                <w:szCs w:val="21"/>
                <w:highlight w:val="none"/>
                <w:lang w:val="en-US" w:eastAsia="zh-CN"/>
              </w:rPr>
            </w:pPr>
            <w:r>
              <w:rPr>
                <w:rFonts w:hint="default" w:ascii="Times New Roman" w:hAnsi="Times New Roman" w:cs="Times New Roman"/>
                <w:b/>
                <w:bCs/>
                <w:sz w:val="21"/>
                <w:szCs w:val="21"/>
                <w:highlight w:val="none"/>
                <w:lang w:val="en-US" w:eastAsia="zh-CN"/>
              </w:rPr>
              <w:t>占评价范围百分比（%）</w:t>
            </w:r>
          </w:p>
        </w:tc>
        <w:tc>
          <w:tcPr>
            <w:tcW w:w="567" w:type="pct"/>
            <w:tcBorders>
              <w:tl2br w:val="nil"/>
              <w:tr2bl w:val="nil"/>
            </w:tcBorders>
            <w:vAlign w:val="center"/>
          </w:tcPr>
          <w:p w14:paraId="64E114D4">
            <w:pPr>
              <w:bidi w:val="0"/>
              <w:spacing w:line="360" w:lineRule="auto"/>
              <w:ind w:left="0" w:leftChars="0" w:firstLine="0" w:firstLineChars="0"/>
              <w:jc w:val="center"/>
              <w:rPr>
                <w:rFonts w:hint="default" w:ascii="Times New Roman" w:hAnsi="Times New Roman" w:cs="Times New Roman"/>
                <w:b/>
                <w:bCs/>
                <w:sz w:val="21"/>
                <w:szCs w:val="21"/>
                <w:highlight w:val="none"/>
                <w:lang w:val="en-US" w:eastAsia="zh-CN"/>
              </w:rPr>
            </w:pPr>
            <w:r>
              <w:rPr>
                <w:rFonts w:hint="default" w:ascii="Times New Roman" w:hAnsi="Times New Roman" w:cs="Times New Roman"/>
                <w:b/>
                <w:bCs/>
                <w:sz w:val="21"/>
                <w:szCs w:val="21"/>
                <w:highlight w:val="none"/>
                <w:lang w:val="en-US" w:eastAsia="zh-CN"/>
              </w:rPr>
              <w:t>斑块数</w:t>
            </w:r>
          </w:p>
        </w:tc>
        <w:tc>
          <w:tcPr>
            <w:tcW w:w="1172" w:type="pct"/>
            <w:tcBorders>
              <w:tl2br w:val="nil"/>
              <w:tr2bl w:val="nil"/>
            </w:tcBorders>
            <w:vAlign w:val="center"/>
          </w:tcPr>
          <w:p w14:paraId="4D1C13C6">
            <w:pPr>
              <w:bidi w:val="0"/>
              <w:spacing w:line="360" w:lineRule="auto"/>
              <w:ind w:left="0" w:leftChars="0" w:firstLine="0" w:firstLineChars="0"/>
              <w:jc w:val="center"/>
              <w:rPr>
                <w:rFonts w:hint="default" w:ascii="Times New Roman" w:hAnsi="Times New Roman" w:cs="Times New Roman"/>
                <w:b/>
                <w:bCs/>
                <w:sz w:val="21"/>
                <w:szCs w:val="21"/>
                <w:highlight w:val="none"/>
                <w:lang w:val="en-US" w:eastAsia="zh-CN"/>
              </w:rPr>
            </w:pPr>
            <w:r>
              <w:rPr>
                <w:rFonts w:hint="default" w:ascii="Times New Roman" w:hAnsi="Times New Roman" w:cs="Times New Roman"/>
                <w:b/>
                <w:bCs/>
                <w:sz w:val="21"/>
                <w:szCs w:val="21"/>
                <w:highlight w:val="none"/>
                <w:lang w:val="en-US" w:eastAsia="zh-CN"/>
              </w:rPr>
              <w:t>占评价范围百分比（%）</w:t>
            </w:r>
          </w:p>
        </w:tc>
      </w:tr>
      <w:tr w14:paraId="22BEB5BA">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414" w:type="pct"/>
            <w:tcBorders>
              <w:tl2br w:val="nil"/>
              <w:tr2bl w:val="nil"/>
            </w:tcBorders>
            <w:vAlign w:val="center"/>
          </w:tcPr>
          <w:p w14:paraId="33CA0F1E">
            <w:pPr>
              <w:bidi w:val="0"/>
              <w:spacing w:line="240" w:lineRule="auto"/>
              <w:ind w:left="0" w:leftChars="0" w:firstLine="0" w:firstLineChars="0"/>
              <w:jc w:val="center"/>
              <w:rPr>
                <w:rFonts w:hint="eastAsia"/>
                <w:sz w:val="21"/>
                <w:szCs w:val="21"/>
                <w:highlight w:val="none"/>
                <w:lang w:val="en-US" w:eastAsia="zh-CN"/>
              </w:rPr>
            </w:pPr>
            <w:r>
              <w:rPr>
                <w:rFonts w:hint="eastAsia"/>
                <w:sz w:val="21"/>
                <w:szCs w:val="21"/>
                <w:highlight w:val="none"/>
                <w:lang w:val="en-US" w:eastAsia="zh-CN"/>
              </w:rPr>
              <w:t>1</w:t>
            </w:r>
          </w:p>
        </w:tc>
        <w:tc>
          <w:tcPr>
            <w:tcW w:w="654" w:type="pct"/>
            <w:tcBorders>
              <w:tl2br w:val="nil"/>
              <w:tr2bl w:val="nil"/>
            </w:tcBorders>
            <w:vAlign w:val="center"/>
          </w:tcPr>
          <w:p w14:paraId="28076B36">
            <w:pPr>
              <w:bidi w:val="0"/>
              <w:spacing w:line="240" w:lineRule="auto"/>
              <w:ind w:left="0" w:leftChars="0" w:firstLine="0" w:firstLineChars="0"/>
              <w:jc w:val="center"/>
              <w:rPr>
                <w:rFonts w:hint="eastAsia"/>
                <w:sz w:val="21"/>
                <w:szCs w:val="21"/>
                <w:highlight w:val="none"/>
                <w:lang w:val="en-US" w:eastAsia="zh-CN"/>
              </w:rPr>
            </w:pPr>
            <w:r>
              <w:rPr>
                <w:rFonts w:hint="eastAsia"/>
                <w:sz w:val="21"/>
                <w:szCs w:val="21"/>
                <w:highlight w:val="none"/>
                <w:lang w:val="en-US" w:eastAsia="zh-CN"/>
              </w:rPr>
              <w:t>林地</w:t>
            </w:r>
          </w:p>
        </w:tc>
        <w:tc>
          <w:tcPr>
            <w:tcW w:w="967" w:type="pct"/>
            <w:tcBorders>
              <w:tl2br w:val="nil"/>
              <w:tr2bl w:val="nil"/>
            </w:tcBorders>
            <w:vAlign w:val="center"/>
          </w:tcPr>
          <w:p w14:paraId="75E9846F">
            <w:pPr>
              <w:bidi w:val="0"/>
              <w:spacing w:line="240" w:lineRule="auto"/>
              <w:ind w:left="0" w:leftChars="0" w:firstLine="0" w:firstLineChars="0"/>
              <w:jc w:val="center"/>
              <w:rPr>
                <w:rFonts w:hint="eastAsia"/>
                <w:sz w:val="21"/>
                <w:szCs w:val="21"/>
                <w:highlight w:val="none"/>
                <w:lang w:val="en-US" w:eastAsia="zh-CN"/>
              </w:rPr>
            </w:pPr>
            <w:r>
              <w:rPr>
                <w:rFonts w:hint="eastAsia"/>
                <w:sz w:val="21"/>
                <w:szCs w:val="21"/>
                <w:highlight w:val="none"/>
                <w:lang w:val="en-US" w:eastAsia="zh-CN"/>
              </w:rPr>
              <w:t>152.17</w:t>
            </w:r>
          </w:p>
        </w:tc>
        <w:tc>
          <w:tcPr>
            <w:tcW w:w="1223" w:type="pct"/>
            <w:tcBorders>
              <w:tl2br w:val="nil"/>
              <w:tr2bl w:val="nil"/>
            </w:tcBorders>
            <w:vAlign w:val="center"/>
          </w:tcPr>
          <w:p w14:paraId="5154FFBF">
            <w:pPr>
              <w:bidi w:val="0"/>
              <w:spacing w:line="240" w:lineRule="auto"/>
              <w:ind w:left="0" w:leftChars="0" w:firstLine="0" w:firstLineChars="0"/>
              <w:jc w:val="center"/>
              <w:rPr>
                <w:rFonts w:hint="eastAsia"/>
                <w:sz w:val="21"/>
                <w:szCs w:val="21"/>
                <w:highlight w:val="none"/>
                <w:lang w:val="en-US" w:eastAsia="zh-CN"/>
              </w:rPr>
            </w:pPr>
            <w:r>
              <w:rPr>
                <w:rFonts w:hint="eastAsia"/>
                <w:sz w:val="21"/>
                <w:szCs w:val="21"/>
                <w:highlight w:val="none"/>
                <w:lang w:val="en-US" w:eastAsia="zh-CN"/>
              </w:rPr>
              <w:t>67.61</w:t>
            </w:r>
          </w:p>
        </w:tc>
        <w:tc>
          <w:tcPr>
            <w:tcW w:w="567" w:type="pct"/>
            <w:tcBorders>
              <w:tl2br w:val="nil"/>
              <w:tr2bl w:val="nil"/>
            </w:tcBorders>
            <w:vAlign w:val="center"/>
          </w:tcPr>
          <w:p w14:paraId="74EC6A2D">
            <w:pPr>
              <w:bidi w:val="0"/>
              <w:spacing w:line="240" w:lineRule="auto"/>
              <w:ind w:left="0" w:leftChars="0" w:firstLine="0" w:firstLineChars="0"/>
              <w:jc w:val="center"/>
              <w:rPr>
                <w:rFonts w:hint="eastAsia"/>
                <w:sz w:val="21"/>
                <w:szCs w:val="21"/>
                <w:highlight w:val="none"/>
                <w:lang w:val="en-US" w:eastAsia="zh-CN"/>
              </w:rPr>
            </w:pPr>
            <w:r>
              <w:rPr>
                <w:rFonts w:hint="eastAsia"/>
                <w:sz w:val="21"/>
                <w:szCs w:val="21"/>
                <w:highlight w:val="none"/>
                <w:lang w:val="en-US" w:eastAsia="zh-CN"/>
              </w:rPr>
              <w:t>16</w:t>
            </w:r>
          </w:p>
        </w:tc>
        <w:tc>
          <w:tcPr>
            <w:tcW w:w="1172" w:type="pct"/>
            <w:tcBorders>
              <w:tl2br w:val="nil"/>
              <w:tr2bl w:val="nil"/>
            </w:tcBorders>
            <w:vAlign w:val="center"/>
          </w:tcPr>
          <w:p w14:paraId="31B7AED8">
            <w:pPr>
              <w:bidi w:val="0"/>
              <w:spacing w:line="240" w:lineRule="auto"/>
              <w:ind w:left="0" w:leftChars="0" w:firstLine="0" w:firstLineChars="0"/>
              <w:jc w:val="center"/>
              <w:rPr>
                <w:rFonts w:hint="eastAsia"/>
                <w:sz w:val="21"/>
                <w:szCs w:val="21"/>
                <w:highlight w:val="none"/>
                <w:lang w:val="en-US" w:eastAsia="zh-CN"/>
              </w:rPr>
            </w:pPr>
            <w:r>
              <w:rPr>
                <w:rFonts w:hint="eastAsia"/>
                <w:sz w:val="21"/>
                <w:szCs w:val="21"/>
                <w:highlight w:val="none"/>
                <w:lang w:val="en-US" w:eastAsia="zh-CN"/>
              </w:rPr>
              <w:t>21.92</w:t>
            </w:r>
          </w:p>
        </w:tc>
      </w:tr>
      <w:tr w14:paraId="0769D2DC">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414" w:type="pct"/>
            <w:tcBorders>
              <w:tl2br w:val="nil"/>
              <w:tr2bl w:val="nil"/>
            </w:tcBorders>
            <w:vAlign w:val="center"/>
          </w:tcPr>
          <w:p w14:paraId="25B3760B">
            <w:pPr>
              <w:bidi w:val="0"/>
              <w:spacing w:line="240" w:lineRule="auto"/>
              <w:ind w:left="0" w:leftChars="0" w:firstLine="0" w:firstLineChars="0"/>
              <w:jc w:val="center"/>
              <w:rPr>
                <w:rFonts w:hint="eastAsia"/>
                <w:sz w:val="21"/>
                <w:szCs w:val="21"/>
                <w:highlight w:val="none"/>
                <w:lang w:val="en-US" w:eastAsia="zh-CN"/>
              </w:rPr>
            </w:pPr>
            <w:r>
              <w:rPr>
                <w:rFonts w:hint="eastAsia"/>
                <w:sz w:val="21"/>
                <w:szCs w:val="21"/>
                <w:highlight w:val="none"/>
                <w:lang w:val="en-US" w:eastAsia="zh-CN"/>
              </w:rPr>
              <w:t>2</w:t>
            </w:r>
          </w:p>
        </w:tc>
        <w:tc>
          <w:tcPr>
            <w:tcW w:w="654" w:type="pct"/>
            <w:tcBorders>
              <w:tl2br w:val="nil"/>
              <w:tr2bl w:val="nil"/>
            </w:tcBorders>
            <w:vAlign w:val="center"/>
          </w:tcPr>
          <w:p w14:paraId="689DAE3A">
            <w:pPr>
              <w:bidi w:val="0"/>
              <w:spacing w:line="240" w:lineRule="auto"/>
              <w:ind w:left="0" w:leftChars="0" w:firstLine="0" w:firstLineChars="0"/>
              <w:jc w:val="center"/>
              <w:rPr>
                <w:rFonts w:hint="eastAsia"/>
                <w:sz w:val="21"/>
                <w:szCs w:val="21"/>
                <w:highlight w:val="none"/>
                <w:lang w:val="en-US" w:eastAsia="zh-CN"/>
              </w:rPr>
            </w:pPr>
            <w:r>
              <w:rPr>
                <w:rFonts w:hint="eastAsia"/>
                <w:sz w:val="21"/>
                <w:szCs w:val="21"/>
                <w:highlight w:val="none"/>
                <w:lang w:val="en-US" w:eastAsia="zh-CN"/>
              </w:rPr>
              <w:t>灌草地</w:t>
            </w:r>
          </w:p>
        </w:tc>
        <w:tc>
          <w:tcPr>
            <w:tcW w:w="967" w:type="pct"/>
            <w:tcBorders>
              <w:tl2br w:val="nil"/>
              <w:tr2bl w:val="nil"/>
            </w:tcBorders>
            <w:vAlign w:val="center"/>
          </w:tcPr>
          <w:p w14:paraId="387E17E3">
            <w:pPr>
              <w:bidi w:val="0"/>
              <w:spacing w:line="240" w:lineRule="auto"/>
              <w:ind w:left="0" w:leftChars="0" w:firstLine="0" w:firstLineChars="0"/>
              <w:jc w:val="center"/>
              <w:rPr>
                <w:rFonts w:hint="eastAsia"/>
                <w:sz w:val="21"/>
                <w:szCs w:val="21"/>
                <w:highlight w:val="none"/>
                <w:lang w:val="en-US" w:eastAsia="zh-CN"/>
              </w:rPr>
            </w:pPr>
            <w:r>
              <w:rPr>
                <w:rFonts w:hint="eastAsia"/>
                <w:sz w:val="21"/>
                <w:szCs w:val="21"/>
                <w:highlight w:val="none"/>
                <w:lang w:val="en-US" w:eastAsia="zh-CN"/>
              </w:rPr>
              <w:t>28.975</w:t>
            </w:r>
          </w:p>
        </w:tc>
        <w:tc>
          <w:tcPr>
            <w:tcW w:w="1223" w:type="pct"/>
            <w:tcBorders>
              <w:tl2br w:val="nil"/>
              <w:tr2bl w:val="nil"/>
            </w:tcBorders>
            <w:vAlign w:val="center"/>
          </w:tcPr>
          <w:p w14:paraId="7BEBB6B2">
            <w:pPr>
              <w:bidi w:val="0"/>
              <w:spacing w:line="240" w:lineRule="auto"/>
              <w:ind w:left="0" w:leftChars="0" w:firstLine="0" w:firstLineChars="0"/>
              <w:jc w:val="center"/>
              <w:rPr>
                <w:rFonts w:hint="eastAsia"/>
                <w:sz w:val="21"/>
                <w:szCs w:val="21"/>
                <w:highlight w:val="none"/>
                <w:lang w:val="en-US" w:eastAsia="zh-CN"/>
              </w:rPr>
            </w:pPr>
            <w:r>
              <w:rPr>
                <w:rFonts w:hint="eastAsia"/>
                <w:sz w:val="21"/>
                <w:szCs w:val="21"/>
                <w:highlight w:val="none"/>
                <w:lang w:val="en-US" w:eastAsia="zh-CN"/>
              </w:rPr>
              <w:t>12.87</w:t>
            </w:r>
          </w:p>
        </w:tc>
        <w:tc>
          <w:tcPr>
            <w:tcW w:w="567" w:type="pct"/>
            <w:tcBorders>
              <w:tl2br w:val="nil"/>
              <w:tr2bl w:val="nil"/>
            </w:tcBorders>
            <w:vAlign w:val="center"/>
          </w:tcPr>
          <w:p w14:paraId="47E1B73C">
            <w:pPr>
              <w:bidi w:val="0"/>
              <w:spacing w:line="240" w:lineRule="auto"/>
              <w:ind w:left="0" w:leftChars="0" w:firstLine="0" w:firstLineChars="0"/>
              <w:jc w:val="center"/>
              <w:rPr>
                <w:rFonts w:hint="eastAsia"/>
                <w:sz w:val="21"/>
                <w:szCs w:val="21"/>
                <w:highlight w:val="none"/>
                <w:lang w:val="en-US" w:eastAsia="zh-CN"/>
              </w:rPr>
            </w:pPr>
            <w:r>
              <w:rPr>
                <w:rFonts w:hint="eastAsia"/>
                <w:sz w:val="21"/>
                <w:szCs w:val="21"/>
                <w:highlight w:val="none"/>
                <w:lang w:val="en-US" w:eastAsia="zh-CN"/>
              </w:rPr>
              <w:t>16</w:t>
            </w:r>
          </w:p>
        </w:tc>
        <w:tc>
          <w:tcPr>
            <w:tcW w:w="1172" w:type="pct"/>
            <w:tcBorders>
              <w:tl2br w:val="nil"/>
              <w:tr2bl w:val="nil"/>
            </w:tcBorders>
            <w:vAlign w:val="center"/>
          </w:tcPr>
          <w:p w14:paraId="59DB4585">
            <w:pPr>
              <w:bidi w:val="0"/>
              <w:spacing w:line="240" w:lineRule="auto"/>
              <w:ind w:left="0" w:leftChars="0" w:firstLine="0" w:firstLineChars="0"/>
              <w:jc w:val="center"/>
              <w:rPr>
                <w:rFonts w:hint="eastAsia"/>
                <w:sz w:val="21"/>
                <w:szCs w:val="21"/>
                <w:highlight w:val="none"/>
                <w:lang w:val="en-US" w:eastAsia="zh-CN"/>
              </w:rPr>
            </w:pPr>
            <w:r>
              <w:rPr>
                <w:rFonts w:hint="eastAsia"/>
                <w:sz w:val="21"/>
                <w:szCs w:val="21"/>
                <w:highlight w:val="none"/>
                <w:lang w:val="en-US" w:eastAsia="zh-CN"/>
              </w:rPr>
              <w:t>21.92</w:t>
            </w:r>
          </w:p>
        </w:tc>
      </w:tr>
      <w:tr w14:paraId="3ED52954">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414" w:type="pct"/>
            <w:tcBorders>
              <w:tl2br w:val="nil"/>
              <w:tr2bl w:val="nil"/>
            </w:tcBorders>
            <w:vAlign w:val="center"/>
          </w:tcPr>
          <w:p w14:paraId="5295F7AB">
            <w:pPr>
              <w:bidi w:val="0"/>
              <w:spacing w:line="240" w:lineRule="auto"/>
              <w:ind w:left="0" w:leftChars="0" w:firstLine="0" w:firstLineChars="0"/>
              <w:jc w:val="center"/>
              <w:rPr>
                <w:rFonts w:hint="eastAsia"/>
                <w:sz w:val="21"/>
                <w:szCs w:val="21"/>
                <w:highlight w:val="none"/>
                <w:lang w:val="en-US" w:eastAsia="zh-CN"/>
              </w:rPr>
            </w:pPr>
            <w:r>
              <w:rPr>
                <w:rFonts w:hint="eastAsia"/>
                <w:sz w:val="21"/>
                <w:szCs w:val="21"/>
                <w:highlight w:val="none"/>
                <w:lang w:val="en-US" w:eastAsia="zh-CN"/>
              </w:rPr>
              <w:t>3</w:t>
            </w:r>
          </w:p>
        </w:tc>
        <w:tc>
          <w:tcPr>
            <w:tcW w:w="654" w:type="pct"/>
            <w:tcBorders>
              <w:tl2br w:val="nil"/>
              <w:tr2bl w:val="nil"/>
            </w:tcBorders>
            <w:vAlign w:val="center"/>
          </w:tcPr>
          <w:p w14:paraId="4E10506C">
            <w:pPr>
              <w:bidi w:val="0"/>
              <w:spacing w:line="240" w:lineRule="auto"/>
              <w:ind w:left="0" w:leftChars="0" w:firstLine="0" w:firstLineChars="0"/>
              <w:jc w:val="center"/>
              <w:rPr>
                <w:rFonts w:hint="eastAsia"/>
                <w:sz w:val="21"/>
                <w:szCs w:val="21"/>
                <w:highlight w:val="none"/>
                <w:lang w:val="en-US" w:eastAsia="zh-CN"/>
              </w:rPr>
            </w:pPr>
            <w:r>
              <w:rPr>
                <w:rFonts w:hint="eastAsia"/>
                <w:sz w:val="21"/>
                <w:szCs w:val="21"/>
                <w:highlight w:val="none"/>
                <w:lang w:val="en-US" w:eastAsia="zh-CN"/>
              </w:rPr>
              <w:t>耕地</w:t>
            </w:r>
          </w:p>
        </w:tc>
        <w:tc>
          <w:tcPr>
            <w:tcW w:w="967" w:type="pct"/>
            <w:tcBorders>
              <w:tl2br w:val="nil"/>
              <w:tr2bl w:val="nil"/>
            </w:tcBorders>
            <w:vAlign w:val="center"/>
          </w:tcPr>
          <w:p w14:paraId="697B5C1E">
            <w:pPr>
              <w:bidi w:val="0"/>
              <w:spacing w:line="240" w:lineRule="auto"/>
              <w:ind w:left="0" w:leftChars="0" w:firstLine="0" w:firstLineChars="0"/>
              <w:jc w:val="center"/>
              <w:rPr>
                <w:rFonts w:hint="eastAsia"/>
                <w:sz w:val="21"/>
                <w:szCs w:val="21"/>
                <w:highlight w:val="none"/>
                <w:lang w:val="en-US" w:eastAsia="zh-CN"/>
              </w:rPr>
            </w:pPr>
            <w:r>
              <w:rPr>
                <w:rFonts w:hint="eastAsia"/>
                <w:sz w:val="21"/>
                <w:szCs w:val="21"/>
                <w:highlight w:val="none"/>
                <w:lang w:val="en-US" w:eastAsia="zh-CN"/>
              </w:rPr>
              <w:t>18.995</w:t>
            </w:r>
          </w:p>
        </w:tc>
        <w:tc>
          <w:tcPr>
            <w:tcW w:w="1223" w:type="pct"/>
            <w:tcBorders>
              <w:tl2br w:val="nil"/>
              <w:tr2bl w:val="nil"/>
            </w:tcBorders>
            <w:vAlign w:val="center"/>
          </w:tcPr>
          <w:p w14:paraId="040DCE38">
            <w:pPr>
              <w:bidi w:val="0"/>
              <w:spacing w:line="240" w:lineRule="auto"/>
              <w:ind w:left="0" w:leftChars="0" w:firstLine="0" w:firstLineChars="0"/>
              <w:jc w:val="center"/>
              <w:rPr>
                <w:rFonts w:hint="eastAsia"/>
                <w:sz w:val="21"/>
                <w:szCs w:val="21"/>
                <w:highlight w:val="none"/>
                <w:lang w:val="en-US" w:eastAsia="zh-CN"/>
              </w:rPr>
            </w:pPr>
            <w:r>
              <w:rPr>
                <w:rFonts w:hint="eastAsia"/>
                <w:sz w:val="21"/>
                <w:szCs w:val="21"/>
                <w:highlight w:val="none"/>
                <w:lang w:val="en-US" w:eastAsia="zh-CN"/>
              </w:rPr>
              <w:t>8.44</w:t>
            </w:r>
          </w:p>
        </w:tc>
        <w:tc>
          <w:tcPr>
            <w:tcW w:w="567" w:type="pct"/>
            <w:tcBorders>
              <w:tl2br w:val="nil"/>
              <w:tr2bl w:val="nil"/>
            </w:tcBorders>
            <w:vAlign w:val="center"/>
          </w:tcPr>
          <w:p w14:paraId="09796195">
            <w:pPr>
              <w:bidi w:val="0"/>
              <w:spacing w:line="240" w:lineRule="auto"/>
              <w:ind w:left="0" w:leftChars="0" w:firstLine="0" w:firstLineChars="0"/>
              <w:jc w:val="center"/>
              <w:rPr>
                <w:rFonts w:hint="eastAsia"/>
                <w:sz w:val="21"/>
                <w:szCs w:val="21"/>
                <w:highlight w:val="none"/>
                <w:lang w:val="en-US" w:eastAsia="zh-CN"/>
              </w:rPr>
            </w:pPr>
            <w:r>
              <w:rPr>
                <w:rFonts w:hint="eastAsia"/>
                <w:sz w:val="21"/>
                <w:szCs w:val="21"/>
                <w:highlight w:val="none"/>
                <w:lang w:val="en-US" w:eastAsia="zh-CN"/>
              </w:rPr>
              <w:t>11</w:t>
            </w:r>
          </w:p>
        </w:tc>
        <w:tc>
          <w:tcPr>
            <w:tcW w:w="1172" w:type="pct"/>
            <w:tcBorders>
              <w:tl2br w:val="nil"/>
              <w:tr2bl w:val="nil"/>
            </w:tcBorders>
            <w:vAlign w:val="center"/>
          </w:tcPr>
          <w:p w14:paraId="5459198A">
            <w:pPr>
              <w:bidi w:val="0"/>
              <w:spacing w:line="240" w:lineRule="auto"/>
              <w:ind w:left="0" w:leftChars="0" w:firstLine="0" w:firstLineChars="0"/>
              <w:jc w:val="center"/>
              <w:rPr>
                <w:rFonts w:hint="eastAsia"/>
                <w:sz w:val="21"/>
                <w:szCs w:val="21"/>
                <w:highlight w:val="none"/>
                <w:lang w:val="en-US" w:eastAsia="zh-CN"/>
              </w:rPr>
            </w:pPr>
            <w:r>
              <w:rPr>
                <w:rFonts w:hint="eastAsia"/>
                <w:sz w:val="21"/>
                <w:szCs w:val="21"/>
                <w:highlight w:val="none"/>
                <w:lang w:val="en-US" w:eastAsia="zh-CN"/>
              </w:rPr>
              <w:t>15.07</w:t>
            </w:r>
          </w:p>
        </w:tc>
      </w:tr>
      <w:tr w14:paraId="683794A3">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414" w:type="pct"/>
            <w:tcBorders>
              <w:tl2br w:val="nil"/>
              <w:tr2bl w:val="nil"/>
            </w:tcBorders>
            <w:vAlign w:val="center"/>
          </w:tcPr>
          <w:p w14:paraId="553C6A25">
            <w:pPr>
              <w:bidi w:val="0"/>
              <w:spacing w:line="240" w:lineRule="auto"/>
              <w:ind w:left="0" w:leftChars="0" w:firstLine="0" w:firstLineChars="0"/>
              <w:jc w:val="center"/>
              <w:rPr>
                <w:rFonts w:hint="eastAsia"/>
                <w:sz w:val="21"/>
                <w:szCs w:val="21"/>
                <w:highlight w:val="none"/>
                <w:lang w:val="en-US" w:eastAsia="zh-CN"/>
              </w:rPr>
            </w:pPr>
            <w:r>
              <w:rPr>
                <w:rFonts w:hint="eastAsia"/>
                <w:sz w:val="21"/>
                <w:szCs w:val="21"/>
                <w:highlight w:val="none"/>
                <w:lang w:val="en-US" w:eastAsia="zh-CN"/>
              </w:rPr>
              <w:t>4</w:t>
            </w:r>
          </w:p>
        </w:tc>
        <w:tc>
          <w:tcPr>
            <w:tcW w:w="654" w:type="pct"/>
            <w:tcBorders>
              <w:tl2br w:val="nil"/>
              <w:tr2bl w:val="nil"/>
            </w:tcBorders>
            <w:vAlign w:val="center"/>
          </w:tcPr>
          <w:p w14:paraId="4DAE2889">
            <w:pPr>
              <w:bidi w:val="0"/>
              <w:spacing w:line="240" w:lineRule="auto"/>
              <w:ind w:left="0" w:leftChars="0" w:firstLine="0" w:firstLineChars="0"/>
              <w:jc w:val="center"/>
              <w:rPr>
                <w:rFonts w:hint="eastAsia"/>
                <w:sz w:val="21"/>
                <w:szCs w:val="21"/>
                <w:highlight w:val="none"/>
                <w:lang w:val="en-US" w:eastAsia="zh-CN"/>
              </w:rPr>
            </w:pPr>
            <w:r>
              <w:rPr>
                <w:rFonts w:hint="eastAsia"/>
                <w:sz w:val="21"/>
                <w:szCs w:val="21"/>
                <w:highlight w:val="none"/>
                <w:lang w:val="en-US" w:eastAsia="zh-CN"/>
              </w:rPr>
              <w:t>住宅</w:t>
            </w:r>
          </w:p>
        </w:tc>
        <w:tc>
          <w:tcPr>
            <w:tcW w:w="967" w:type="pct"/>
            <w:tcBorders>
              <w:tl2br w:val="nil"/>
              <w:tr2bl w:val="nil"/>
            </w:tcBorders>
            <w:vAlign w:val="center"/>
          </w:tcPr>
          <w:p w14:paraId="75D3C58B">
            <w:pPr>
              <w:bidi w:val="0"/>
              <w:spacing w:line="240" w:lineRule="auto"/>
              <w:ind w:left="0" w:leftChars="0" w:firstLine="0" w:firstLineChars="0"/>
              <w:jc w:val="center"/>
              <w:rPr>
                <w:rFonts w:hint="eastAsia"/>
                <w:sz w:val="21"/>
                <w:szCs w:val="21"/>
                <w:highlight w:val="none"/>
                <w:lang w:val="en-US" w:eastAsia="zh-CN"/>
              </w:rPr>
            </w:pPr>
            <w:r>
              <w:rPr>
                <w:rFonts w:hint="eastAsia"/>
                <w:sz w:val="21"/>
                <w:szCs w:val="21"/>
                <w:highlight w:val="none"/>
                <w:lang w:val="en-US" w:eastAsia="zh-CN"/>
              </w:rPr>
              <w:t>16.25</w:t>
            </w:r>
          </w:p>
        </w:tc>
        <w:tc>
          <w:tcPr>
            <w:tcW w:w="1223" w:type="pct"/>
            <w:tcBorders>
              <w:tl2br w:val="nil"/>
              <w:tr2bl w:val="nil"/>
            </w:tcBorders>
            <w:vAlign w:val="center"/>
          </w:tcPr>
          <w:p w14:paraId="5A42C3A5">
            <w:pPr>
              <w:bidi w:val="0"/>
              <w:spacing w:line="240" w:lineRule="auto"/>
              <w:ind w:left="0" w:leftChars="0" w:firstLine="0" w:firstLineChars="0"/>
              <w:jc w:val="center"/>
              <w:rPr>
                <w:rFonts w:hint="eastAsia"/>
                <w:sz w:val="21"/>
                <w:szCs w:val="21"/>
                <w:highlight w:val="none"/>
                <w:lang w:val="en-US" w:eastAsia="zh-CN"/>
              </w:rPr>
            </w:pPr>
            <w:r>
              <w:rPr>
                <w:rFonts w:hint="eastAsia"/>
                <w:sz w:val="21"/>
                <w:szCs w:val="21"/>
                <w:highlight w:val="none"/>
                <w:lang w:val="en-US" w:eastAsia="zh-CN"/>
              </w:rPr>
              <w:t>7.22</w:t>
            </w:r>
          </w:p>
        </w:tc>
        <w:tc>
          <w:tcPr>
            <w:tcW w:w="567" w:type="pct"/>
            <w:tcBorders>
              <w:tl2br w:val="nil"/>
              <w:tr2bl w:val="nil"/>
            </w:tcBorders>
            <w:vAlign w:val="center"/>
          </w:tcPr>
          <w:p w14:paraId="2C5E61E7">
            <w:pPr>
              <w:bidi w:val="0"/>
              <w:spacing w:line="240" w:lineRule="auto"/>
              <w:ind w:left="0" w:leftChars="0" w:firstLine="0" w:firstLineChars="0"/>
              <w:jc w:val="center"/>
              <w:rPr>
                <w:rFonts w:hint="eastAsia"/>
                <w:sz w:val="21"/>
                <w:szCs w:val="21"/>
                <w:highlight w:val="none"/>
                <w:lang w:val="en-US" w:eastAsia="zh-CN"/>
              </w:rPr>
            </w:pPr>
            <w:r>
              <w:rPr>
                <w:rFonts w:hint="eastAsia"/>
                <w:sz w:val="21"/>
                <w:szCs w:val="21"/>
                <w:highlight w:val="none"/>
                <w:lang w:val="en-US" w:eastAsia="zh-CN"/>
              </w:rPr>
              <w:t>23</w:t>
            </w:r>
          </w:p>
        </w:tc>
        <w:tc>
          <w:tcPr>
            <w:tcW w:w="1172" w:type="pct"/>
            <w:tcBorders>
              <w:tl2br w:val="nil"/>
              <w:tr2bl w:val="nil"/>
            </w:tcBorders>
            <w:vAlign w:val="center"/>
          </w:tcPr>
          <w:p w14:paraId="5613609D">
            <w:pPr>
              <w:bidi w:val="0"/>
              <w:spacing w:line="240" w:lineRule="auto"/>
              <w:ind w:left="0" w:leftChars="0" w:firstLine="0" w:firstLineChars="0"/>
              <w:jc w:val="center"/>
              <w:rPr>
                <w:rFonts w:hint="eastAsia"/>
                <w:sz w:val="21"/>
                <w:szCs w:val="21"/>
                <w:highlight w:val="none"/>
                <w:lang w:val="en-US" w:eastAsia="zh-CN"/>
              </w:rPr>
            </w:pPr>
            <w:r>
              <w:rPr>
                <w:rFonts w:hint="eastAsia"/>
                <w:sz w:val="21"/>
                <w:szCs w:val="21"/>
                <w:highlight w:val="none"/>
                <w:lang w:val="en-US" w:eastAsia="zh-CN"/>
              </w:rPr>
              <w:t>31.51</w:t>
            </w:r>
          </w:p>
        </w:tc>
      </w:tr>
      <w:tr w14:paraId="6009F037">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414" w:type="pct"/>
            <w:tcBorders>
              <w:tl2br w:val="nil"/>
              <w:tr2bl w:val="nil"/>
            </w:tcBorders>
            <w:vAlign w:val="center"/>
          </w:tcPr>
          <w:p w14:paraId="7F0A4B89">
            <w:pPr>
              <w:bidi w:val="0"/>
              <w:spacing w:line="240" w:lineRule="auto"/>
              <w:ind w:left="0" w:leftChars="0" w:firstLine="0" w:firstLineChars="0"/>
              <w:jc w:val="center"/>
              <w:rPr>
                <w:rFonts w:hint="eastAsia"/>
                <w:sz w:val="21"/>
                <w:szCs w:val="21"/>
                <w:highlight w:val="none"/>
                <w:lang w:val="en-US" w:eastAsia="zh-CN"/>
              </w:rPr>
            </w:pPr>
            <w:r>
              <w:rPr>
                <w:rFonts w:hint="eastAsia"/>
                <w:sz w:val="21"/>
                <w:szCs w:val="21"/>
                <w:highlight w:val="none"/>
                <w:lang w:val="en-US" w:eastAsia="zh-CN"/>
              </w:rPr>
              <w:t>5</w:t>
            </w:r>
          </w:p>
        </w:tc>
        <w:tc>
          <w:tcPr>
            <w:tcW w:w="654" w:type="pct"/>
            <w:tcBorders>
              <w:tl2br w:val="nil"/>
              <w:tr2bl w:val="nil"/>
            </w:tcBorders>
            <w:vAlign w:val="center"/>
          </w:tcPr>
          <w:p w14:paraId="7F88A5A9">
            <w:pPr>
              <w:bidi w:val="0"/>
              <w:spacing w:line="240" w:lineRule="auto"/>
              <w:ind w:left="0" w:leftChars="0" w:firstLine="0" w:firstLineChars="0"/>
              <w:jc w:val="center"/>
              <w:rPr>
                <w:rFonts w:hint="eastAsia"/>
                <w:sz w:val="21"/>
                <w:szCs w:val="21"/>
                <w:highlight w:val="none"/>
                <w:lang w:val="en-US" w:eastAsia="zh-CN"/>
              </w:rPr>
            </w:pPr>
            <w:r>
              <w:rPr>
                <w:rFonts w:hint="eastAsia"/>
                <w:sz w:val="21"/>
                <w:szCs w:val="21"/>
                <w:highlight w:val="none"/>
                <w:lang w:val="en-US" w:eastAsia="zh-CN"/>
              </w:rPr>
              <w:t>道路</w:t>
            </w:r>
          </w:p>
        </w:tc>
        <w:tc>
          <w:tcPr>
            <w:tcW w:w="967" w:type="pct"/>
            <w:tcBorders>
              <w:tl2br w:val="nil"/>
              <w:tr2bl w:val="nil"/>
            </w:tcBorders>
            <w:vAlign w:val="center"/>
          </w:tcPr>
          <w:p w14:paraId="49A11737">
            <w:pPr>
              <w:bidi w:val="0"/>
              <w:spacing w:line="240" w:lineRule="auto"/>
              <w:ind w:left="0" w:leftChars="0" w:firstLine="0" w:firstLineChars="0"/>
              <w:jc w:val="center"/>
              <w:rPr>
                <w:rFonts w:hint="eastAsia"/>
                <w:sz w:val="21"/>
                <w:szCs w:val="21"/>
                <w:highlight w:val="none"/>
                <w:lang w:val="en-US" w:eastAsia="zh-CN"/>
              </w:rPr>
            </w:pPr>
            <w:r>
              <w:rPr>
                <w:rFonts w:hint="eastAsia"/>
                <w:sz w:val="21"/>
                <w:szCs w:val="21"/>
                <w:highlight w:val="none"/>
                <w:lang w:val="en-US" w:eastAsia="zh-CN"/>
              </w:rPr>
              <w:t>8.449</w:t>
            </w:r>
          </w:p>
        </w:tc>
        <w:tc>
          <w:tcPr>
            <w:tcW w:w="1223" w:type="pct"/>
            <w:tcBorders>
              <w:tl2br w:val="nil"/>
              <w:tr2bl w:val="nil"/>
            </w:tcBorders>
            <w:vAlign w:val="center"/>
          </w:tcPr>
          <w:p w14:paraId="20108752">
            <w:pPr>
              <w:bidi w:val="0"/>
              <w:spacing w:line="240" w:lineRule="auto"/>
              <w:ind w:left="0" w:leftChars="0" w:firstLine="0" w:firstLineChars="0"/>
              <w:jc w:val="center"/>
              <w:rPr>
                <w:rFonts w:hint="eastAsia"/>
                <w:sz w:val="21"/>
                <w:szCs w:val="21"/>
                <w:highlight w:val="none"/>
                <w:lang w:val="en-US" w:eastAsia="zh-CN"/>
              </w:rPr>
            </w:pPr>
            <w:r>
              <w:rPr>
                <w:rFonts w:hint="eastAsia"/>
                <w:sz w:val="21"/>
                <w:szCs w:val="21"/>
                <w:highlight w:val="none"/>
                <w:lang w:val="en-US" w:eastAsia="zh-CN"/>
              </w:rPr>
              <w:t>3.75</w:t>
            </w:r>
          </w:p>
        </w:tc>
        <w:tc>
          <w:tcPr>
            <w:tcW w:w="567" w:type="pct"/>
            <w:tcBorders>
              <w:tl2br w:val="nil"/>
              <w:tr2bl w:val="nil"/>
            </w:tcBorders>
            <w:vAlign w:val="center"/>
          </w:tcPr>
          <w:p w14:paraId="1F2C8D55">
            <w:pPr>
              <w:bidi w:val="0"/>
              <w:spacing w:line="240" w:lineRule="auto"/>
              <w:ind w:left="0" w:leftChars="0" w:firstLine="0" w:firstLineChars="0"/>
              <w:jc w:val="center"/>
              <w:rPr>
                <w:rFonts w:hint="eastAsia"/>
                <w:sz w:val="21"/>
                <w:szCs w:val="21"/>
                <w:highlight w:val="none"/>
                <w:lang w:val="en-US" w:eastAsia="zh-CN"/>
              </w:rPr>
            </w:pPr>
            <w:r>
              <w:rPr>
                <w:rFonts w:hint="eastAsia"/>
                <w:sz w:val="21"/>
                <w:szCs w:val="21"/>
                <w:highlight w:val="none"/>
                <w:lang w:val="en-US" w:eastAsia="zh-CN"/>
              </w:rPr>
              <w:t>5</w:t>
            </w:r>
          </w:p>
        </w:tc>
        <w:tc>
          <w:tcPr>
            <w:tcW w:w="1172" w:type="pct"/>
            <w:tcBorders>
              <w:tl2br w:val="nil"/>
              <w:tr2bl w:val="nil"/>
            </w:tcBorders>
            <w:vAlign w:val="center"/>
          </w:tcPr>
          <w:p w14:paraId="5FADE9E4">
            <w:pPr>
              <w:bidi w:val="0"/>
              <w:spacing w:line="240" w:lineRule="auto"/>
              <w:ind w:left="0" w:leftChars="0" w:firstLine="0" w:firstLineChars="0"/>
              <w:jc w:val="center"/>
              <w:rPr>
                <w:rFonts w:hint="eastAsia"/>
                <w:sz w:val="21"/>
                <w:szCs w:val="21"/>
                <w:highlight w:val="none"/>
                <w:lang w:val="en-US" w:eastAsia="zh-CN"/>
              </w:rPr>
            </w:pPr>
            <w:r>
              <w:rPr>
                <w:rFonts w:hint="eastAsia"/>
                <w:sz w:val="21"/>
                <w:szCs w:val="21"/>
                <w:highlight w:val="none"/>
                <w:lang w:val="en-US" w:eastAsia="zh-CN"/>
              </w:rPr>
              <w:t>6.85</w:t>
            </w:r>
          </w:p>
        </w:tc>
      </w:tr>
      <w:tr w14:paraId="0E8FE78A">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414" w:type="pct"/>
            <w:tcBorders>
              <w:tl2br w:val="nil"/>
              <w:tr2bl w:val="nil"/>
            </w:tcBorders>
            <w:vAlign w:val="center"/>
          </w:tcPr>
          <w:p w14:paraId="14826047">
            <w:pPr>
              <w:bidi w:val="0"/>
              <w:spacing w:line="240" w:lineRule="auto"/>
              <w:ind w:left="0" w:leftChars="0" w:firstLine="0" w:firstLineChars="0"/>
              <w:jc w:val="center"/>
              <w:rPr>
                <w:rFonts w:hint="eastAsia"/>
                <w:sz w:val="21"/>
                <w:szCs w:val="21"/>
                <w:highlight w:val="none"/>
                <w:lang w:val="en-US" w:eastAsia="zh-CN"/>
              </w:rPr>
            </w:pPr>
            <w:r>
              <w:rPr>
                <w:rFonts w:hint="eastAsia"/>
                <w:sz w:val="21"/>
                <w:szCs w:val="21"/>
                <w:highlight w:val="none"/>
                <w:lang w:val="en-US" w:eastAsia="zh-CN"/>
              </w:rPr>
              <w:t>6</w:t>
            </w:r>
          </w:p>
        </w:tc>
        <w:tc>
          <w:tcPr>
            <w:tcW w:w="654" w:type="pct"/>
            <w:tcBorders>
              <w:tl2br w:val="nil"/>
              <w:tr2bl w:val="nil"/>
            </w:tcBorders>
            <w:vAlign w:val="center"/>
          </w:tcPr>
          <w:p w14:paraId="7CB7E18A">
            <w:pPr>
              <w:bidi w:val="0"/>
              <w:spacing w:line="240" w:lineRule="auto"/>
              <w:ind w:left="0" w:leftChars="0" w:firstLine="0" w:firstLineChars="0"/>
              <w:jc w:val="center"/>
              <w:rPr>
                <w:rFonts w:hint="eastAsia"/>
                <w:sz w:val="21"/>
                <w:szCs w:val="21"/>
                <w:highlight w:val="none"/>
                <w:lang w:val="en-US" w:eastAsia="zh-CN"/>
              </w:rPr>
            </w:pPr>
            <w:r>
              <w:rPr>
                <w:rFonts w:hint="eastAsia"/>
                <w:sz w:val="21"/>
                <w:szCs w:val="21"/>
                <w:highlight w:val="none"/>
                <w:lang w:val="en-US" w:eastAsia="zh-CN"/>
              </w:rPr>
              <w:t>水域</w:t>
            </w:r>
          </w:p>
        </w:tc>
        <w:tc>
          <w:tcPr>
            <w:tcW w:w="967" w:type="pct"/>
            <w:tcBorders>
              <w:tl2br w:val="nil"/>
              <w:tr2bl w:val="nil"/>
            </w:tcBorders>
            <w:vAlign w:val="center"/>
          </w:tcPr>
          <w:p w14:paraId="217559BC">
            <w:pPr>
              <w:bidi w:val="0"/>
              <w:spacing w:line="240" w:lineRule="auto"/>
              <w:ind w:left="0" w:leftChars="0" w:firstLine="0" w:firstLineChars="0"/>
              <w:jc w:val="center"/>
              <w:rPr>
                <w:rFonts w:hint="eastAsia"/>
                <w:sz w:val="21"/>
                <w:szCs w:val="21"/>
                <w:highlight w:val="none"/>
                <w:lang w:val="en-US" w:eastAsia="zh-CN"/>
              </w:rPr>
            </w:pPr>
            <w:r>
              <w:rPr>
                <w:rFonts w:hint="eastAsia"/>
                <w:sz w:val="21"/>
                <w:szCs w:val="21"/>
                <w:highlight w:val="none"/>
                <w:lang w:val="en-US" w:eastAsia="zh-CN"/>
              </w:rPr>
              <w:t>0.231</w:t>
            </w:r>
          </w:p>
        </w:tc>
        <w:tc>
          <w:tcPr>
            <w:tcW w:w="1223" w:type="pct"/>
            <w:tcBorders>
              <w:tl2br w:val="nil"/>
              <w:tr2bl w:val="nil"/>
            </w:tcBorders>
            <w:vAlign w:val="center"/>
          </w:tcPr>
          <w:p w14:paraId="2C66EF4A">
            <w:pPr>
              <w:bidi w:val="0"/>
              <w:spacing w:line="240" w:lineRule="auto"/>
              <w:ind w:left="0" w:leftChars="0" w:firstLine="0" w:firstLineChars="0"/>
              <w:jc w:val="center"/>
              <w:rPr>
                <w:rFonts w:hint="eastAsia"/>
                <w:sz w:val="21"/>
                <w:szCs w:val="21"/>
                <w:highlight w:val="none"/>
                <w:lang w:val="en-US" w:eastAsia="zh-CN"/>
              </w:rPr>
            </w:pPr>
            <w:r>
              <w:rPr>
                <w:rFonts w:hint="eastAsia"/>
                <w:sz w:val="21"/>
                <w:szCs w:val="21"/>
                <w:highlight w:val="none"/>
                <w:lang w:val="en-US" w:eastAsia="zh-CN"/>
              </w:rPr>
              <w:t>0.10</w:t>
            </w:r>
          </w:p>
        </w:tc>
        <w:tc>
          <w:tcPr>
            <w:tcW w:w="567" w:type="pct"/>
            <w:tcBorders>
              <w:tl2br w:val="nil"/>
              <w:tr2bl w:val="nil"/>
            </w:tcBorders>
            <w:vAlign w:val="center"/>
          </w:tcPr>
          <w:p w14:paraId="7944DC89">
            <w:pPr>
              <w:bidi w:val="0"/>
              <w:spacing w:line="240" w:lineRule="auto"/>
              <w:ind w:left="0" w:leftChars="0" w:firstLine="0" w:firstLineChars="0"/>
              <w:jc w:val="center"/>
              <w:rPr>
                <w:rFonts w:hint="eastAsia"/>
                <w:sz w:val="21"/>
                <w:szCs w:val="21"/>
                <w:highlight w:val="none"/>
                <w:lang w:val="en-US" w:eastAsia="zh-CN"/>
              </w:rPr>
            </w:pPr>
            <w:r>
              <w:rPr>
                <w:rFonts w:hint="eastAsia"/>
                <w:sz w:val="21"/>
                <w:szCs w:val="21"/>
                <w:highlight w:val="none"/>
                <w:lang w:val="en-US" w:eastAsia="zh-CN"/>
              </w:rPr>
              <w:t>2</w:t>
            </w:r>
          </w:p>
        </w:tc>
        <w:tc>
          <w:tcPr>
            <w:tcW w:w="1172" w:type="pct"/>
            <w:tcBorders>
              <w:tl2br w:val="nil"/>
              <w:tr2bl w:val="nil"/>
            </w:tcBorders>
            <w:vAlign w:val="center"/>
          </w:tcPr>
          <w:p w14:paraId="7341B28D">
            <w:pPr>
              <w:bidi w:val="0"/>
              <w:spacing w:line="240" w:lineRule="auto"/>
              <w:ind w:left="0" w:leftChars="0" w:firstLine="0" w:firstLineChars="0"/>
              <w:jc w:val="center"/>
              <w:rPr>
                <w:rFonts w:hint="eastAsia"/>
                <w:sz w:val="21"/>
                <w:szCs w:val="21"/>
                <w:highlight w:val="none"/>
                <w:lang w:val="en-US" w:eastAsia="zh-CN"/>
              </w:rPr>
            </w:pPr>
            <w:r>
              <w:rPr>
                <w:rFonts w:hint="eastAsia"/>
                <w:sz w:val="21"/>
                <w:szCs w:val="21"/>
                <w:highlight w:val="none"/>
                <w:lang w:val="en-US" w:eastAsia="zh-CN"/>
              </w:rPr>
              <w:t>2.74</w:t>
            </w:r>
          </w:p>
        </w:tc>
      </w:tr>
      <w:tr w14:paraId="29F9BD15">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1068" w:type="pct"/>
            <w:gridSpan w:val="2"/>
            <w:tcBorders>
              <w:tl2br w:val="nil"/>
              <w:tr2bl w:val="nil"/>
            </w:tcBorders>
            <w:vAlign w:val="center"/>
          </w:tcPr>
          <w:p w14:paraId="58511B30">
            <w:pPr>
              <w:bidi w:val="0"/>
              <w:spacing w:line="360" w:lineRule="auto"/>
              <w:ind w:left="0" w:leftChars="0" w:firstLine="0" w:firstLineChars="0"/>
              <w:jc w:val="center"/>
              <w:rPr>
                <w:rFonts w:hint="eastAsia"/>
                <w:b/>
                <w:bCs/>
                <w:sz w:val="21"/>
                <w:szCs w:val="21"/>
                <w:highlight w:val="none"/>
                <w:lang w:val="en-US" w:eastAsia="zh-CN"/>
              </w:rPr>
            </w:pPr>
            <w:r>
              <w:rPr>
                <w:rFonts w:hint="eastAsia"/>
                <w:b/>
                <w:bCs/>
                <w:sz w:val="21"/>
                <w:szCs w:val="21"/>
                <w:highlight w:val="none"/>
                <w:lang w:val="en-US" w:eastAsia="zh-CN"/>
              </w:rPr>
              <w:t>合计</w:t>
            </w:r>
          </w:p>
        </w:tc>
        <w:tc>
          <w:tcPr>
            <w:tcW w:w="967" w:type="pct"/>
            <w:tcBorders>
              <w:tl2br w:val="nil"/>
              <w:tr2bl w:val="nil"/>
            </w:tcBorders>
            <w:vAlign w:val="center"/>
          </w:tcPr>
          <w:p w14:paraId="6A871977">
            <w:pPr>
              <w:bidi w:val="0"/>
              <w:spacing w:line="360" w:lineRule="auto"/>
              <w:ind w:left="0" w:leftChars="0" w:firstLine="0" w:firstLineChars="0"/>
              <w:jc w:val="center"/>
              <w:rPr>
                <w:rFonts w:hint="eastAsia"/>
                <w:b/>
                <w:bCs/>
                <w:sz w:val="21"/>
                <w:szCs w:val="21"/>
                <w:highlight w:val="none"/>
                <w:lang w:val="en-US" w:eastAsia="zh-CN"/>
              </w:rPr>
            </w:pPr>
            <w:r>
              <w:rPr>
                <w:rFonts w:hint="eastAsia"/>
                <w:b/>
                <w:bCs/>
                <w:sz w:val="21"/>
                <w:szCs w:val="21"/>
                <w:highlight w:val="none"/>
                <w:lang w:val="en-US" w:eastAsia="zh-CN"/>
              </w:rPr>
              <w:t>225.07</w:t>
            </w:r>
          </w:p>
        </w:tc>
        <w:tc>
          <w:tcPr>
            <w:tcW w:w="1223" w:type="pct"/>
            <w:tcBorders>
              <w:tl2br w:val="nil"/>
              <w:tr2bl w:val="nil"/>
            </w:tcBorders>
            <w:vAlign w:val="center"/>
          </w:tcPr>
          <w:p w14:paraId="17AD9DFD">
            <w:pPr>
              <w:bidi w:val="0"/>
              <w:spacing w:line="360" w:lineRule="auto"/>
              <w:ind w:left="0" w:leftChars="0" w:firstLine="0" w:firstLineChars="0"/>
              <w:jc w:val="center"/>
              <w:rPr>
                <w:rFonts w:hint="eastAsia"/>
                <w:b/>
                <w:bCs/>
                <w:sz w:val="21"/>
                <w:szCs w:val="21"/>
                <w:highlight w:val="none"/>
                <w:lang w:val="en-US" w:eastAsia="zh-CN"/>
              </w:rPr>
            </w:pPr>
            <w:r>
              <w:rPr>
                <w:rFonts w:hint="eastAsia"/>
                <w:b/>
                <w:bCs/>
                <w:sz w:val="21"/>
                <w:szCs w:val="21"/>
                <w:highlight w:val="none"/>
                <w:lang w:val="en-US" w:eastAsia="zh-CN"/>
              </w:rPr>
              <w:t>100</w:t>
            </w:r>
          </w:p>
        </w:tc>
        <w:tc>
          <w:tcPr>
            <w:tcW w:w="567" w:type="pct"/>
            <w:tcBorders>
              <w:tl2br w:val="nil"/>
              <w:tr2bl w:val="nil"/>
            </w:tcBorders>
            <w:vAlign w:val="center"/>
          </w:tcPr>
          <w:p w14:paraId="20A605CB">
            <w:pPr>
              <w:bidi w:val="0"/>
              <w:spacing w:line="360" w:lineRule="auto"/>
              <w:ind w:left="0" w:leftChars="0" w:firstLine="0" w:firstLineChars="0"/>
              <w:jc w:val="center"/>
              <w:rPr>
                <w:rFonts w:hint="eastAsia"/>
                <w:b/>
                <w:bCs/>
                <w:sz w:val="21"/>
                <w:szCs w:val="21"/>
                <w:highlight w:val="none"/>
                <w:lang w:val="en-US" w:eastAsia="zh-CN"/>
              </w:rPr>
            </w:pPr>
            <w:r>
              <w:rPr>
                <w:rFonts w:hint="eastAsia"/>
                <w:b/>
                <w:bCs/>
                <w:sz w:val="21"/>
                <w:szCs w:val="21"/>
                <w:highlight w:val="none"/>
                <w:lang w:val="en-US" w:eastAsia="zh-CN"/>
              </w:rPr>
              <w:t>73</w:t>
            </w:r>
          </w:p>
        </w:tc>
        <w:tc>
          <w:tcPr>
            <w:tcW w:w="1172" w:type="pct"/>
            <w:tcBorders>
              <w:tl2br w:val="nil"/>
              <w:tr2bl w:val="nil"/>
            </w:tcBorders>
            <w:vAlign w:val="center"/>
          </w:tcPr>
          <w:p w14:paraId="663FE3BB">
            <w:pPr>
              <w:bidi w:val="0"/>
              <w:spacing w:line="360" w:lineRule="auto"/>
              <w:ind w:left="0" w:leftChars="0" w:firstLine="0" w:firstLineChars="0"/>
              <w:jc w:val="center"/>
              <w:rPr>
                <w:rFonts w:hint="eastAsia"/>
                <w:b/>
                <w:bCs/>
                <w:sz w:val="21"/>
                <w:szCs w:val="21"/>
                <w:highlight w:val="none"/>
                <w:lang w:val="en-US" w:eastAsia="zh-CN"/>
              </w:rPr>
            </w:pPr>
            <w:r>
              <w:rPr>
                <w:rFonts w:hint="eastAsia"/>
                <w:b/>
                <w:bCs/>
                <w:sz w:val="21"/>
                <w:szCs w:val="21"/>
                <w:highlight w:val="none"/>
                <w:lang w:val="en-US" w:eastAsia="zh-CN"/>
              </w:rPr>
              <w:t>100</w:t>
            </w:r>
          </w:p>
        </w:tc>
      </w:tr>
    </w:tbl>
    <w:p w14:paraId="7443AE62">
      <w:pPr>
        <w:bidi w:val="0"/>
        <w:ind w:left="0" w:leftChars="0" w:firstLine="0" w:firstLineChars="0"/>
        <w:jc w:val="center"/>
      </w:pPr>
      <w:r>
        <w:drawing>
          <wp:inline distT="0" distB="0" distL="114300" distR="114300">
            <wp:extent cx="4826000" cy="2743200"/>
            <wp:effectExtent l="4445" t="4445" r="8255" b="52705"/>
            <wp:docPr id="4" name="图表 1" descr="7b0a202020202263686172745265734964223a20223230343736373530220a7d0a"/>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6AF42386">
      <w:pPr>
        <w:bidi w:val="0"/>
        <w:spacing w:line="360" w:lineRule="auto"/>
        <w:ind w:left="0" w:leftChars="0" w:firstLine="0" w:firstLineChars="0"/>
        <w:jc w:val="center"/>
        <w:rPr>
          <w:rFonts w:hint="default"/>
          <w:b/>
          <w:bCs/>
          <w:sz w:val="21"/>
          <w:szCs w:val="21"/>
        </w:rPr>
      </w:pPr>
      <w:r>
        <w:rPr>
          <w:rFonts w:hint="default"/>
          <w:b/>
          <w:bCs/>
          <w:sz w:val="21"/>
          <w:szCs w:val="21"/>
          <w:lang w:val="en-US" w:eastAsia="zh-CN"/>
        </w:rPr>
        <w:t>图</w:t>
      </w:r>
      <w:r>
        <w:rPr>
          <w:rFonts w:hint="eastAsia"/>
          <w:b/>
          <w:bCs/>
          <w:sz w:val="21"/>
          <w:szCs w:val="21"/>
          <w:lang w:val="en-US" w:eastAsia="zh-CN"/>
        </w:rPr>
        <w:t xml:space="preserve">4.3-1 </w:t>
      </w:r>
      <w:r>
        <w:rPr>
          <w:rFonts w:hint="default"/>
          <w:b/>
          <w:bCs/>
          <w:sz w:val="21"/>
          <w:szCs w:val="21"/>
          <w:lang w:val="en-US" w:eastAsia="zh-CN"/>
        </w:rPr>
        <w:t xml:space="preserve"> 项目评价范围内土地利用类型图</w:t>
      </w:r>
    </w:p>
    <w:p w14:paraId="2453B894">
      <w:pPr>
        <w:pStyle w:val="9"/>
        <w:numPr>
          <w:ilvl w:val="2"/>
          <w:numId w:val="1"/>
        </w:numPr>
        <w:bidi w:val="0"/>
        <w:ind w:left="709" w:leftChars="0" w:hanging="709" w:firstLineChars="0"/>
        <w:rPr>
          <w:rFonts w:hint="eastAsia"/>
          <w:lang w:val="en-US" w:eastAsia="zh-CN"/>
        </w:rPr>
      </w:pPr>
      <w:r>
        <w:rPr>
          <w:rFonts w:hint="eastAsia"/>
          <w:lang w:val="en-US" w:eastAsia="zh-CN"/>
        </w:rPr>
        <w:t>生态调查及评价方法</w:t>
      </w:r>
    </w:p>
    <w:p w14:paraId="6D47E230">
      <w:pPr>
        <w:pStyle w:val="10"/>
        <w:numPr>
          <w:ilvl w:val="3"/>
          <w:numId w:val="1"/>
        </w:numPr>
        <w:bidi w:val="0"/>
        <w:ind w:left="850" w:leftChars="0" w:hanging="850" w:firstLineChars="0"/>
        <w:rPr>
          <w:rFonts w:hint="eastAsia"/>
          <w:lang w:val="en-US" w:eastAsia="zh-CN"/>
        </w:rPr>
      </w:pPr>
      <w:r>
        <w:rPr>
          <w:rFonts w:hint="eastAsia"/>
          <w:lang w:val="en-US" w:eastAsia="zh-CN"/>
        </w:rPr>
        <w:t>调查方法</w:t>
      </w:r>
    </w:p>
    <w:p w14:paraId="13902BC7">
      <w:pPr>
        <w:bidi w:val="0"/>
        <w:rPr>
          <w:rFonts w:hint="eastAsia"/>
          <w:highlight w:val="none"/>
          <w:lang w:val="en-US" w:eastAsia="zh-CN"/>
        </w:rPr>
      </w:pPr>
      <w:r>
        <w:rPr>
          <w:rFonts w:hint="eastAsia"/>
          <w:highlight w:val="none"/>
          <w:lang w:val="en-US" w:eastAsia="zh-CN"/>
        </w:rPr>
        <w:t>1、调查季节及样方设置情况</w:t>
      </w:r>
    </w:p>
    <w:p w14:paraId="0565863D">
      <w:pPr>
        <w:bidi w:val="0"/>
        <w:rPr>
          <w:rFonts w:hint="eastAsia"/>
          <w:highlight w:val="none"/>
          <w:lang w:val="en-US" w:eastAsia="zh-CN"/>
        </w:rPr>
      </w:pPr>
      <w:r>
        <w:rPr>
          <w:rFonts w:hint="eastAsia"/>
          <w:highlight w:val="none"/>
          <w:lang w:val="en-US" w:eastAsia="zh-CN"/>
        </w:rPr>
        <w:t>项目组于2025年8月1日前往项目所在地进行了校核调查。项目周边为陆生生态环境，不涉及水生生态环境。调查线路以项目内容为基准点，沿项目布设，样方则结合项目周边区域适当延伸，在合适地点布设样方。</w:t>
      </w:r>
    </w:p>
    <w:p w14:paraId="5C0246F9">
      <w:pPr>
        <w:bidi w:val="0"/>
        <w:rPr>
          <w:rFonts w:hint="eastAsia"/>
          <w:highlight w:val="none"/>
          <w:lang w:val="en-US" w:eastAsia="zh-CN"/>
        </w:rPr>
      </w:pPr>
      <w:r>
        <w:rPr>
          <w:rFonts w:hint="eastAsia"/>
          <w:highlight w:val="none"/>
          <w:lang w:val="en-US" w:eastAsia="zh-CN"/>
        </w:rPr>
        <w:t>样方布点原则：</w:t>
      </w:r>
    </w:p>
    <w:p w14:paraId="62BEA5D5">
      <w:pPr>
        <w:bidi w:val="0"/>
        <w:rPr>
          <w:rFonts w:hint="eastAsia"/>
          <w:highlight w:val="none"/>
          <w:lang w:val="en-US" w:eastAsia="zh-CN"/>
        </w:rPr>
      </w:pPr>
      <w:r>
        <w:rPr>
          <w:rFonts w:hint="eastAsia"/>
          <w:highlight w:val="none"/>
          <w:lang w:val="en-US" w:eastAsia="zh-CN"/>
        </w:rPr>
        <w:t>①在重点施工区域（取土场、临时道路、填埋场等）以及植被良好的区域设置样点，并考虑评价区布点的均匀性，避免有针对性地设置样方。</w:t>
      </w:r>
    </w:p>
    <w:p w14:paraId="221AE5AA">
      <w:pPr>
        <w:bidi w:val="0"/>
        <w:rPr>
          <w:rFonts w:hint="eastAsia"/>
          <w:highlight w:val="none"/>
          <w:lang w:val="en-US" w:eastAsia="zh-CN"/>
        </w:rPr>
      </w:pPr>
      <w:r>
        <w:rPr>
          <w:rFonts w:hint="eastAsia"/>
          <w:highlight w:val="none"/>
          <w:lang w:val="en-US" w:eastAsia="zh-CN"/>
        </w:rPr>
        <w:t>②所选取的样点植被为评价区分布比较普遍的类型。</w:t>
      </w:r>
    </w:p>
    <w:p w14:paraId="1970B9AF">
      <w:pPr>
        <w:bidi w:val="0"/>
        <w:rPr>
          <w:rFonts w:hint="eastAsia"/>
          <w:highlight w:val="none"/>
          <w:lang w:val="en-US" w:eastAsia="zh-CN"/>
        </w:rPr>
      </w:pPr>
      <w:r>
        <w:rPr>
          <w:rFonts w:hint="eastAsia"/>
          <w:highlight w:val="none"/>
          <w:lang w:val="en-US" w:eastAsia="zh-CN"/>
        </w:rPr>
        <w:t>③样点的设置避免对同一种植被进行重复设点，对特别重要的植被内植物变化较大的情况，可进行增加设点。</w:t>
      </w:r>
    </w:p>
    <w:p w14:paraId="0C23BC62">
      <w:pPr>
        <w:bidi w:val="0"/>
        <w:rPr>
          <w:rFonts w:hint="eastAsia"/>
          <w:highlight w:val="none"/>
          <w:lang w:val="en-US" w:eastAsia="zh-CN"/>
        </w:rPr>
      </w:pPr>
      <w:r>
        <w:rPr>
          <w:rFonts w:hint="eastAsia"/>
          <w:highlight w:val="none"/>
          <w:lang w:val="en-US" w:eastAsia="zh-CN"/>
        </w:rPr>
        <w:t>④尽量避免非取样误差：避免选择路边易到之处；两人以上进行观察记录，消除主观因素。</w:t>
      </w:r>
    </w:p>
    <w:p w14:paraId="718D6ED3">
      <w:pPr>
        <w:bidi w:val="0"/>
        <w:rPr>
          <w:rFonts w:hint="eastAsia"/>
          <w:highlight w:val="none"/>
          <w:lang w:val="en-US" w:eastAsia="zh-CN"/>
        </w:rPr>
      </w:pPr>
      <w:r>
        <w:rPr>
          <w:rFonts w:hint="eastAsia"/>
          <w:highlight w:val="none"/>
          <w:lang w:val="en-US" w:eastAsia="zh-CN"/>
        </w:rPr>
        <w:t>以上原则保证了样点的布置具有代表性，调查结果中的植被应包括评价区分布最普遍、最主要的植被类型。</w:t>
      </w:r>
    </w:p>
    <w:p w14:paraId="34561FAC">
      <w:pPr>
        <w:bidi w:val="0"/>
        <w:rPr>
          <w:rFonts w:hint="eastAsia"/>
          <w:highlight w:val="none"/>
          <w:lang w:val="en-US" w:eastAsia="zh-CN"/>
        </w:rPr>
      </w:pPr>
      <w:r>
        <w:rPr>
          <w:rFonts w:hint="eastAsia"/>
          <w:highlight w:val="none"/>
          <w:lang w:val="en-US" w:eastAsia="zh-CN"/>
        </w:rPr>
        <w:t>样方及样线数量设置：根据《环境影响评价技术导则  生态影响》（HJ19-2022），二级评价陆生生态样方数量不少于3个，动物样线数量不少于3条，本项目植物样方实际布设样方数量为5个，动物样线调查实际布设3条。</w:t>
      </w:r>
    </w:p>
    <w:p w14:paraId="7A70E340">
      <w:pPr>
        <w:bidi w:val="0"/>
        <w:ind w:left="0" w:leftChars="0" w:firstLine="0" w:firstLineChars="0"/>
        <w:jc w:val="center"/>
        <w:rPr>
          <w:rFonts w:hint="eastAsia"/>
          <w:b/>
          <w:bCs/>
          <w:sz w:val="21"/>
          <w:szCs w:val="21"/>
          <w:highlight w:val="none"/>
          <w:lang w:val="en-US" w:eastAsia="zh-CN"/>
        </w:rPr>
      </w:pPr>
      <w:r>
        <w:rPr>
          <w:rFonts w:hint="eastAsia"/>
          <w:b/>
          <w:bCs/>
          <w:sz w:val="21"/>
          <w:szCs w:val="21"/>
          <w:highlight w:val="none"/>
          <w:lang w:val="en-US" w:eastAsia="zh-CN"/>
        </w:rPr>
        <w:t>表4.3-2  评价区植物样方设置情况</w:t>
      </w:r>
    </w:p>
    <w:tbl>
      <w:tblPr>
        <w:tblStyle w:val="35"/>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177"/>
        <w:gridCol w:w="1886"/>
        <w:gridCol w:w="2124"/>
        <w:gridCol w:w="4101"/>
      </w:tblGrid>
      <w:tr w14:paraId="7D15703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34" w:type="pct"/>
            <w:vMerge w:val="restart"/>
            <w:tcBorders>
              <w:tl2br w:val="nil"/>
              <w:tr2bl w:val="nil"/>
            </w:tcBorders>
            <w:noWrap w:val="0"/>
            <w:vAlign w:val="center"/>
          </w:tcPr>
          <w:p w14:paraId="2557704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b/>
                <w:bCs/>
                <w:sz w:val="21"/>
                <w:szCs w:val="21"/>
                <w:highlight w:val="none"/>
                <w:lang w:val="en-US" w:eastAsia="zh-CN"/>
              </w:rPr>
            </w:pPr>
            <w:r>
              <w:rPr>
                <w:rFonts w:hint="eastAsia"/>
                <w:b/>
                <w:bCs/>
                <w:sz w:val="21"/>
                <w:szCs w:val="21"/>
                <w:highlight w:val="none"/>
                <w:lang w:val="en-US" w:eastAsia="zh-CN"/>
              </w:rPr>
              <w:t>类别</w:t>
            </w:r>
          </w:p>
        </w:tc>
        <w:tc>
          <w:tcPr>
            <w:tcW w:w="4365" w:type="pct"/>
            <w:gridSpan w:val="3"/>
            <w:tcBorders>
              <w:tl2br w:val="nil"/>
              <w:tr2bl w:val="nil"/>
            </w:tcBorders>
            <w:noWrap w:val="0"/>
            <w:vAlign w:val="center"/>
          </w:tcPr>
          <w:p w14:paraId="17E6F22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b/>
                <w:bCs/>
                <w:sz w:val="21"/>
                <w:szCs w:val="21"/>
                <w:highlight w:val="none"/>
                <w:lang w:val="en-US" w:eastAsia="zh-CN"/>
              </w:rPr>
            </w:pPr>
            <w:r>
              <w:rPr>
                <w:rFonts w:hint="eastAsia"/>
                <w:b/>
                <w:bCs/>
                <w:sz w:val="21"/>
                <w:szCs w:val="21"/>
                <w:highlight w:val="none"/>
                <w:lang w:val="en-US" w:eastAsia="zh-CN"/>
              </w:rPr>
              <w:t>样方设置情况</w:t>
            </w:r>
          </w:p>
        </w:tc>
      </w:tr>
      <w:tr w14:paraId="64A710A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34" w:type="pct"/>
            <w:vMerge w:val="continue"/>
            <w:tcBorders>
              <w:tl2br w:val="nil"/>
              <w:tr2bl w:val="nil"/>
            </w:tcBorders>
            <w:noWrap w:val="0"/>
            <w:vAlign w:val="center"/>
          </w:tcPr>
          <w:p w14:paraId="7BAFA3F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b/>
                <w:bCs/>
                <w:sz w:val="21"/>
                <w:szCs w:val="21"/>
                <w:highlight w:val="none"/>
                <w:lang w:val="en-US" w:eastAsia="zh-CN"/>
              </w:rPr>
            </w:pPr>
          </w:p>
        </w:tc>
        <w:tc>
          <w:tcPr>
            <w:tcW w:w="1015" w:type="pct"/>
            <w:tcBorders>
              <w:tl2br w:val="nil"/>
              <w:tr2bl w:val="nil"/>
            </w:tcBorders>
            <w:noWrap w:val="0"/>
            <w:vAlign w:val="center"/>
          </w:tcPr>
          <w:p w14:paraId="54B6183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b/>
                <w:bCs/>
                <w:sz w:val="21"/>
                <w:szCs w:val="21"/>
                <w:highlight w:val="none"/>
                <w:lang w:val="en-US" w:eastAsia="zh-CN"/>
              </w:rPr>
            </w:pPr>
            <w:r>
              <w:rPr>
                <w:rFonts w:hint="eastAsia"/>
                <w:b/>
                <w:bCs/>
                <w:sz w:val="21"/>
                <w:szCs w:val="21"/>
                <w:highlight w:val="none"/>
                <w:lang w:val="en-US" w:eastAsia="zh-CN"/>
              </w:rPr>
              <w:t>群落类型</w:t>
            </w:r>
          </w:p>
        </w:tc>
        <w:tc>
          <w:tcPr>
            <w:tcW w:w="1143" w:type="pct"/>
            <w:tcBorders>
              <w:tl2br w:val="nil"/>
              <w:tr2bl w:val="nil"/>
            </w:tcBorders>
            <w:noWrap w:val="0"/>
            <w:vAlign w:val="center"/>
          </w:tcPr>
          <w:p w14:paraId="16EC57D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b/>
                <w:bCs/>
                <w:sz w:val="21"/>
                <w:szCs w:val="21"/>
                <w:highlight w:val="none"/>
                <w:lang w:val="en-US" w:eastAsia="zh-CN"/>
              </w:rPr>
            </w:pPr>
            <w:r>
              <w:rPr>
                <w:rFonts w:hint="eastAsia"/>
                <w:b/>
                <w:bCs/>
                <w:sz w:val="21"/>
                <w:szCs w:val="21"/>
                <w:highlight w:val="none"/>
                <w:lang w:val="en-US" w:eastAsia="zh-CN"/>
              </w:rPr>
              <w:t>样方数量</w:t>
            </w:r>
          </w:p>
        </w:tc>
        <w:tc>
          <w:tcPr>
            <w:tcW w:w="2206" w:type="pct"/>
            <w:tcBorders>
              <w:tl2br w:val="nil"/>
              <w:tr2bl w:val="nil"/>
            </w:tcBorders>
            <w:noWrap w:val="0"/>
            <w:vAlign w:val="center"/>
          </w:tcPr>
          <w:p w14:paraId="1CD0769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b/>
                <w:bCs/>
                <w:sz w:val="21"/>
                <w:szCs w:val="21"/>
                <w:highlight w:val="none"/>
                <w:lang w:val="en-US" w:eastAsia="zh-CN"/>
              </w:rPr>
            </w:pPr>
            <w:r>
              <w:rPr>
                <w:rFonts w:hint="eastAsia"/>
                <w:b/>
                <w:bCs/>
                <w:sz w:val="21"/>
                <w:szCs w:val="21"/>
                <w:highlight w:val="none"/>
                <w:lang w:val="en-US" w:eastAsia="zh-CN"/>
              </w:rPr>
              <w:t>生境类型</w:t>
            </w:r>
          </w:p>
        </w:tc>
      </w:tr>
      <w:tr w14:paraId="575224C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34" w:type="pct"/>
            <w:vMerge w:val="restart"/>
            <w:tcBorders>
              <w:tl2br w:val="nil"/>
              <w:tr2bl w:val="nil"/>
            </w:tcBorders>
            <w:noWrap w:val="0"/>
            <w:vAlign w:val="center"/>
          </w:tcPr>
          <w:p w14:paraId="06A9AF1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陆生</w:t>
            </w:r>
          </w:p>
        </w:tc>
        <w:tc>
          <w:tcPr>
            <w:tcW w:w="1015" w:type="pct"/>
            <w:tcBorders>
              <w:tl2br w:val="nil"/>
              <w:tr2bl w:val="nil"/>
            </w:tcBorders>
            <w:noWrap w:val="0"/>
            <w:vAlign w:val="center"/>
          </w:tcPr>
          <w:p w14:paraId="37D69F1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森林</w:t>
            </w:r>
          </w:p>
        </w:tc>
        <w:tc>
          <w:tcPr>
            <w:tcW w:w="1143" w:type="pct"/>
            <w:tcBorders>
              <w:tl2br w:val="nil"/>
              <w:tr2bl w:val="nil"/>
            </w:tcBorders>
            <w:noWrap w:val="0"/>
            <w:vAlign w:val="center"/>
          </w:tcPr>
          <w:p w14:paraId="5305ADA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2个</w:t>
            </w:r>
          </w:p>
        </w:tc>
        <w:tc>
          <w:tcPr>
            <w:tcW w:w="2206" w:type="pct"/>
            <w:vMerge w:val="restart"/>
            <w:tcBorders>
              <w:tl2br w:val="nil"/>
              <w:tr2bl w:val="nil"/>
            </w:tcBorders>
            <w:noWrap w:val="0"/>
            <w:vAlign w:val="center"/>
          </w:tcPr>
          <w:p w14:paraId="5801C15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林地</w:t>
            </w:r>
          </w:p>
        </w:tc>
      </w:tr>
      <w:tr w14:paraId="621F430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34" w:type="pct"/>
            <w:vMerge w:val="continue"/>
            <w:tcBorders>
              <w:tl2br w:val="nil"/>
              <w:tr2bl w:val="nil"/>
            </w:tcBorders>
            <w:noWrap w:val="0"/>
            <w:vAlign w:val="center"/>
          </w:tcPr>
          <w:p w14:paraId="042BC22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lang w:val="en-US" w:eastAsia="zh-CN"/>
              </w:rPr>
            </w:pPr>
          </w:p>
        </w:tc>
        <w:tc>
          <w:tcPr>
            <w:tcW w:w="1015" w:type="pct"/>
            <w:tcBorders>
              <w:tl2br w:val="nil"/>
              <w:tr2bl w:val="nil"/>
            </w:tcBorders>
            <w:noWrap w:val="0"/>
            <w:vAlign w:val="center"/>
          </w:tcPr>
          <w:p w14:paraId="455F8C4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灌丛</w:t>
            </w:r>
          </w:p>
        </w:tc>
        <w:tc>
          <w:tcPr>
            <w:tcW w:w="1143" w:type="pct"/>
            <w:tcBorders>
              <w:tl2br w:val="nil"/>
              <w:tr2bl w:val="nil"/>
            </w:tcBorders>
            <w:noWrap w:val="0"/>
            <w:vAlign w:val="center"/>
          </w:tcPr>
          <w:p w14:paraId="5FE69DE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1个</w:t>
            </w:r>
          </w:p>
        </w:tc>
        <w:tc>
          <w:tcPr>
            <w:tcW w:w="2206" w:type="pct"/>
            <w:vMerge w:val="continue"/>
            <w:tcBorders>
              <w:tl2br w:val="nil"/>
              <w:tr2bl w:val="nil"/>
            </w:tcBorders>
            <w:noWrap w:val="0"/>
            <w:vAlign w:val="center"/>
          </w:tcPr>
          <w:p w14:paraId="48BA954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lang w:val="en-US" w:eastAsia="zh-CN"/>
              </w:rPr>
            </w:pPr>
          </w:p>
        </w:tc>
      </w:tr>
      <w:tr w14:paraId="36C59A0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34" w:type="pct"/>
            <w:vMerge w:val="continue"/>
            <w:tcBorders>
              <w:tl2br w:val="nil"/>
              <w:tr2bl w:val="nil"/>
            </w:tcBorders>
            <w:noWrap w:val="0"/>
            <w:vAlign w:val="center"/>
          </w:tcPr>
          <w:p w14:paraId="38612AF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lang w:val="en-US" w:eastAsia="zh-CN"/>
              </w:rPr>
            </w:pPr>
          </w:p>
        </w:tc>
        <w:tc>
          <w:tcPr>
            <w:tcW w:w="1015" w:type="pct"/>
            <w:tcBorders>
              <w:tl2br w:val="nil"/>
              <w:tr2bl w:val="nil"/>
            </w:tcBorders>
            <w:noWrap w:val="0"/>
            <w:vAlign w:val="center"/>
          </w:tcPr>
          <w:p w14:paraId="7C59B17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灌草丛</w:t>
            </w:r>
          </w:p>
        </w:tc>
        <w:tc>
          <w:tcPr>
            <w:tcW w:w="1143" w:type="pct"/>
            <w:tcBorders>
              <w:tl2br w:val="nil"/>
              <w:tr2bl w:val="nil"/>
            </w:tcBorders>
            <w:noWrap w:val="0"/>
            <w:vAlign w:val="center"/>
          </w:tcPr>
          <w:p w14:paraId="78D3198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2个</w:t>
            </w:r>
          </w:p>
        </w:tc>
        <w:tc>
          <w:tcPr>
            <w:tcW w:w="2206" w:type="pct"/>
            <w:vMerge w:val="continue"/>
            <w:tcBorders>
              <w:tl2br w:val="nil"/>
              <w:tr2bl w:val="nil"/>
            </w:tcBorders>
            <w:noWrap w:val="0"/>
            <w:vAlign w:val="center"/>
          </w:tcPr>
          <w:p w14:paraId="325D9B9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lang w:val="en-US" w:eastAsia="zh-CN"/>
              </w:rPr>
            </w:pPr>
          </w:p>
        </w:tc>
      </w:tr>
    </w:tbl>
    <w:p w14:paraId="5BB484AC">
      <w:pPr>
        <w:bidi w:val="0"/>
        <w:rPr>
          <w:rFonts w:hint="eastAsia"/>
          <w:highlight w:val="none"/>
          <w:lang w:val="en-US" w:eastAsia="zh-CN"/>
        </w:rPr>
      </w:pPr>
      <w:r>
        <w:rPr>
          <w:rFonts w:hint="eastAsia"/>
          <w:highlight w:val="none"/>
          <w:lang w:val="en-US" w:eastAsia="zh-CN"/>
        </w:rPr>
        <w:t>其中，森林群落样方大小为20m</w:t>
      </w:r>
      <w:r>
        <w:rPr>
          <w:rFonts w:hint="default" w:ascii="Times New Roman" w:hAnsi="Times New Roman" w:cs="Times New Roman"/>
          <w:highlight w:val="none"/>
          <w:lang w:val="en-US" w:eastAsia="zh-CN"/>
        </w:rPr>
        <w:t>×</w:t>
      </w:r>
      <w:r>
        <w:rPr>
          <w:rFonts w:hint="eastAsia"/>
          <w:highlight w:val="none"/>
          <w:lang w:val="en-US" w:eastAsia="zh-CN"/>
        </w:rPr>
        <w:t>20m，灌丛群落样方大小</w:t>
      </w:r>
      <w:r>
        <w:rPr>
          <w:rFonts w:hint="default" w:ascii="Times New Roman" w:hAnsi="Times New Roman" w:cs="Times New Roman"/>
          <w:highlight w:val="none"/>
          <w:lang w:val="en-US" w:eastAsia="zh-CN"/>
        </w:rPr>
        <w:t>为5m×5m，灌草丛群落样方大小为</w:t>
      </w:r>
      <w:bookmarkStart w:id="44" w:name="_Hlk117840409"/>
      <w:r>
        <w:rPr>
          <w:rFonts w:hint="default" w:ascii="Times New Roman" w:hAnsi="Times New Roman" w:cs="Times New Roman"/>
          <w:highlight w:val="none"/>
          <w:lang w:val="en-US" w:eastAsia="zh-CN"/>
        </w:rPr>
        <w:t>1m×1m</w:t>
      </w:r>
      <w:bookmarkEnd w:id="44"/>
      <w:r>
        <w:rPr>
          <w:rFonts w:hint="default" w:ascii="Times New Roman" w:hAnsi="Times New Roman" w:cs="Times New Roman"/>
          <w:highlight w:val="none"/>
          <w:lang w:val="en-US" w:eastAsia="zh-CN"/>
        </w:rPr>
        <w:t>。</w:t>
      </w:r>
    </w:p>
    <w:p w14:paraId="2EFA697D">
      <w:pPr>
        <w:bidi w:val="0"/>
        <w:ind w:left="0" w:leftChars="0" w:firstLine="0" w:firstLineChars="0"/>
        <w:jc w:val="center"/>
        <w:rPr>
          <w:rFonts w:hint="eastAsia"/>
          <w:b/>
          <w:bCs/>
          <w:sz w:val="21"/>
          <w:szCs w:val="21"/>
          <w:highlight w:val="none"/>
          <w:lang w:val="en-US" w:eastAsia="zh-CN"/>
        </w:rPr>
      </w:pPr>
      <w:bookmarkStart w:id="45" w:name="_Hlk117840212"/>
      <w:r>
        <w:rPr>
          <w:rFonts w:hint="eastAsia"/>
          <w:b/>
          <w:bCs/>
          <w:sz w:val="21"/>
          <w:szCs w:val="21"/>
          <w:highlight w:val="none"/>
          <w:lang w:val="en-US" w:eastAsia="zh-CN"/>
        </w:rPr>
        <w:t>表4.3-3  植物样方设置点位表</w:t>
      </w:r>
    </w:p>
    <w:bookmarkEnd w:id="45"/>
    <w:tbl>
      <w:tblPr>
        <w:tblStyle w:val="35"/>
        <w:tblW w:w="4999"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934"/>
        <w:gridCol w:w="4896"/>
        <w:gridCol w:w="3456"/>
      </w:tblGrid>
      <w:tr w14:paraId="34BA429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03" w:type="pct"/>
            <w:tcBorders>
              <w:tl2br w:val="nil"/>
              <w:tr2bl w:val="nil"/>
            </w:tcBorders>
            <w:noWrap w:val="0"/>
            <w:vAlign w:val="center"/>
          </w:tcPr>
          <w:p w14:paraId="3857F2A8">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cs="Times New Roman"/>
                <w:b/>
                <w:bCs/>
                <w:sz w:val="21"/>
                <w:szCs w:val="21"/>
                <w:highlight w:val="none"/>
                <w:lang w:val="en-US" w:eastAsia="zh-CN"/>
              </w:rPr>
            </w:pPr>
            <w:r>
              <w:rPr>
                <w:rFonts w:hint="default" w:ascii="Times New Roman" w:hAnsi="Times New Roman" w:cs="Times New Roman"/>
                <w:b/>
                <w:bCs/>
                <w:sz w:val="21"/>
                <w:szCs w:val="21"/>
                <w:highlight w:val="none"/>
                <w:lang w:val="en-US" w:eastAsia="zh-CN"/>
              </w:rPr>
              <w:t>编号</w:t>
            </w:r>
          </w:p>
        </w:tc>
        <w:tc>
          <w:tcPr>
            <w:tcW w:w="2635" w:type="pct"/>
            <w:tcBorders>
              <w:tl2br w:val="nil"/>
              <w:tr2bl w:val="nil"/>
            </w:tcBorders>
            <w:noWrap w:val="0"/>
            <w:vAlign w:val="center"/>
          </w:tcPr>
          <w:p w14:paraId="0ACB18DB">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cs="Times New Roman"/>
                <w:b/>
                <w:bCs/>
                <w:sz w:val="21"/>
                <w:szCs w:val="21"/>
                <w:highlight w:val="none"/>
                <w:lang w:val="en-US" w:eastAsia="zh-CN"/>
              </w:rPr>
            </w:pPr>
            <w:r>
              <w:rPr>
                <w:rFonts w:hint="default" w:ascii="Times New Roman" w:hAnsi="Times New Roman" w:cs="Times New Roman"/>
                <w:b/>
                <w:bCs/>
                <w:sz w:val="21"/>
                <w:szCs w:val="21"/>
                <w:highlight w:val="none"/>
                <w:lang w:val="en-US" w:eastAsia="zh-CN"/>
              </w:rPr>
              <w:t>经纬度坐标</w:t>
            </w:r>
          </w:p>
        </w:tc>
        <w:tc>
          <w:tcPr>
            <w:tcW w:w="1860" w:type="pct"/>
            <w:tcBorders>
              <w:tl2br w:val="nil"/>
              <w:tr2bl w:val="nil"/>
            </w:tcBorders>
            <w:noWrap w:val="0"/>
            <w:vAlign w:val="center"/>
          </w:tcPr>
          <w:p w14:paraId="064AA28C">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cs="Times New Roman"/>
                <w:b/>
                <w:bCs/>
                <w:sz w:val="21"/>
                <w:szCs w:val="21"/>
                <w:highlight w:val="none"/>
                <w:lang w:val="en-US" w:eastAsia="zh-CN"/>
              </w:rPr>
            </w:pPr>
            <w:r>
              <w:rPr>
                <w:rFonts w:hint="default" w:ascii="Times New Roman" w:hAnsi="Times New Roman" w:cs="Times New Roman"/>
                <w:b/>
                <w:bCs/>
                <w:sz w:val="21"/>
                <w:szCs w:val="21"/>
                <w:highlight w:val="none"/>
                <w:lang w:val="en-US" w:eastAsia="zh-CN"/>
              </w:rPr>
              <w:t>位置</w:t>
            </w:r>
          </w:p>
        </w:tc>
      </w:tr>
      <w:tr w14:paraId="658290D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03" w:type="pct"/>
            <w:tcBorders>
              <w:tl2br w:val="nil"/>
              <w:tr2bl w:val="nil"/>
            </w:tcBorders>
            <w:noWrap w:val="0"/>
            <w:vAlign w:val="center"/>
          </w:tcPr>
          <w:p w14:paraId="2A0B740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1</w:t>
            </w:r>
          </w:p>
        </w:tc>
        <w:tc>
          <w:tcPr>
            <w:tcW w:w="2635" w:type="pct"/>
            <w:tcBorders>
              <w:tl2br w:val="nil"/>
              <w:tr2bl w:val="nil"/>
            </w:tcBorders>
            <w:noWrap w:val="0"/>
            <w:vAlign w:val="center"/>
          </w:tcPr>
          <w:p w14:paraId="4414D84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E113°34′26.752″，N28°39′52.232″</w:t>
            </w:r>
          </w:p>
        </w:tc>
        <w:tc>
          <w:tcPr>
            <w:tcW w:w="1860" w:type="pct"/>
            <w:tcBorders>
              <w:tl2br w:val="nil"/>
              <w:tr2bl w:val="nil"/>
            </w:tcBorders>
            <w:noWrap w:val="0"/>
            <w:vAlign w:val="center"/>
          </w:tcPr>
          <w:p w14:paraId="65E6A1B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取土场</w:t>
            </w:r>
          </w:p>
        </w:tc>
      </w:tr>
      <w:tr w14:paraId="52B9864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03" w:type="pct"/>
            <w:tcBorders>
              <w:tl2br w:val="nil"/>
              <w:tr2bl w:val="nil"/>
            </w:tcBorders>
            <w:noWrap w:val="0"/>
            <w:vAlign w:val="center"/>
          </w:tcPr>
          <w:p w14:paraId="632FDD7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2</w:t>
            </w:r>
          </w:p>
        </w:tc>
        <w:tc>
          <w:tcPr>
            <w:tcW w:w="2635" w:type="pct"/>
            <w:tcBorders>
              <w:tl2br w:val="nil"/>
              <w:tr2bl w:val="nil"/>
            </w:tcBorders>
            <w:noWrap w:val="0"/>
            <w:vAlign w:val="center"/>
          </w:tcPr>
          <w:p w14:paraId="76CB08E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E113°33′4.018″，N28°39′0.844″</w:t>
            </w:r>
          </w:p>
        </w:tc>
        <w:tc>
          <w:tcPr>
            <w:tcW w:w="1860" w:type="pct"/>
            <w:tcBorders>
              <w:tl2br w:val="nil"/>
              <w:tr2bl w:val="nil"/>
            </w:tcBorders>
            <w:noWrap w:val="0"/>
            <w:vAlign w:val="center"/>
          </w:tcPr>
          <w:p w14:paraId="60F3570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临时道路</w:t>
            </w:r>
          </w:p>
        </w:tc>
      </w:tr>
      <w:tr w14:paraId="3B69D62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03" w:type="pct"/>
            <w:tcBorders>
              <w:tl2br w:val="nil"/>
              <w:tr2bl w:val="nil"/>
            </w:tcBorders>
            <w:noWrap w:val="0"/>
            <w:vAlign w:val="center"/>
          </w:tcPr>
          <w:p w14:paraId="12DCF8E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3</w:t>
            </w:r>
          </w:p>
        </w:tc>
        <w:tc>
          <w:tcPr>
            <w:tcW w:w="2635" w:type="pct"/>
            <w:tcBorders>
              <w:tl2br w:val="nil"/>
              <w:tr2bl w:val="nil"/>
            </w:tcBorders>
            <w:noWrap w:val="0"/>
            <w:vAlign w:val="center"/>
          </w:tcPr>
          <w:p w14:paraId="13C1A37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E113°33′2.744″，N28°38′57.851″</w:t>
            </w:r>
          </w:p>
        </w:tc>
        <w:tc>
          <w:tcPr>
            <w:tcW w:w="1860" w:type="pct"/>
            <w:tcBorders>
              <w:tl2br w:val="nil"/>
              <w:tr2bl w:val="nil"/>
            </w:tcBorders>
            <w:noWrap w:val="0"/>
            <w:vAlign w:val="center"/>
          </w:tcPr>
          <w:p w14:paraId="6041A4B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临时道路</w:t>
            </w:r>
            <w:r>
              <w:rPr>
                <w:rFonts w:hint="default" w:ascii="Times New Roman" w:hAnsi="Times New Roman" w:cs="Times New Roman"/>
                <w:sz w:val="21"/>
                <w:szCs w:val="21"/>
                <w:highlight w:val="none"/>
                <w:lang w:val="en-US" w:eastAsia="zh-CN"/>
              </w:rPr>
              <w:t>及填埋场周边</w:t>
            </w:r>
          </w:p>
        </w:tc>
      </w:tr>
      <w:tr w14:paraId="761C61E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03" w:type="pct"/>
            <w:tcBorders>
              <w:tl2br w:val="nil"/>
              <w:tr2bl w:val="nil"/>
            </w:tcBorders>
            <w:noWrap w:val="0"/>
            <w:vAlign w:val="center"/>
          </w:tcPr>
          <w:p w14:paraId="558F83D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4</w:t>
            </w:r>
          </w:p>
        </w:tc>
        <w:tc>
          <w:tcPr>
            <w:tcW w:w="2635" w:type="pct"/>
            <w:tcBorders>
              <w:tl2br w:val="nil"/>
              <w:tr2bl w:val="nil"/>
            </w:tcBorders>
            <w:noWrap w:val="0"/>
            <w:vAlign w:val="center"/>
          </w:tcPr>
          <w:p w14:paraId="78FDE31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E113°32′47.641″，N28°38′59.089″</w:t>
            </w:r>
          </w:p>
        </w:tc>
        <w:tc>
          <w:tcPr>
            <w:tcW w:w="1860" w:type="pct"/>
            <w:tcBorders>
              <w:tl2br w:val="nil"/>
              <w:tr2bl w:val="nil"/>
            </w:tcBorders>
            <w:noWrap w:val="0"/>
            <w:vAlign w:val="center"/>
          </w:tcPr>
          <w:p w14:paraId="1F454F2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临时道路</w:t>
            </w:r>
          </w:p>
        </w:tc>
      </w:tr>
      <w:tr w14:paraId="28F8DFB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03" w:type="pct"/>
            <w:tcBorders>
              <w:tl2br w:val="nil"/>
              <w:tr2bl w:val="nil"/>
            </w:tcBorders>
            <w:noWrap w:val="0"/>
            <w:vAlign w:val="center"/>
          </w:tcPr>
          <w:p w14:paraId="0CBD703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5</w:t>
            </w:r>
          </w:p>
        </w:tc>
        <w:tc>
          <w:tcPr>
            <w:tcW w:w="2635" w:type="pct"/>
            <w:tcBorders>
              <w:tl2br w:val="nil"/>
              <w:tr2bl w:val="nil"/>
            </w:tcBorders>
            <w:noWrap w:val="0"/>
            <w:vAlign w:val="center"/>
          </w:tcPr>
          <w:p w14:paraId="4C7B385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E113°32′48.801″，N28°38′55.611″</w:t>
            </w:r>
          </w:p>
        </w:tc>
        <w:tc>
          <w:tcPr>
            <w:tcW w:w="1860" w:type="pct"/>
            <w:tcBorders>
              <w:tl2br w:val="nil"/>
              <w:tr2bl w:val="nil"/>
            </w:tcBorders>
            <w:noWrap w:val="0"/>
            <w:vAlign w:val="center"/>
          </w:tcPr>
          <w:p w14:paraId="76DB3D9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临时道路</w:t>
            </w:r>
          </w:p>
        </w:tc>
      </w:tr>
    </w:tbl>
    <w:p w14:paraId="1C20F305">
      <w:pPr>
        <w:bidi w:val="0"/>
        <w:ind w:left="0" w:leftChars="0" w:firstLine="0" w:firstLineChars="0"/>
        <w:jc w:val="center"/>
        <w:rPr>
          <w:rFonts w:hint="eastAsia"/>
          <w:b/>
          <w:bCs/>
          <w:sz w:val="21"/>
          <w:szCs w:val="21"/>
          <w:highlight w:val="none"/>
          <w:lang w:val="en-US" w:eastAsia="zh-CN"/>
        </w:rPr>
      </w:pPr>
      <w:r>
        <w:rPr>
          <w:rFonts w:hint="eastAsia"/>
          <w:b/>
          <w:bCs/>
          <w:sz w:val="21"/>
          <w:szCs w:val="21"/>
          <w:highlight w:val="none"/>
          <w:lang w:val="en-US" w:eastAsia="zh-CN"/>
        </w:rPr>
        <w:t>表4.3-4  评价区动物样线设置情况</w:t>
      </w:r>
    </w:p>
    <w:tbl>
      <w:tblPr>
        <w:tblStyle w:val="35"/>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176"/>
        <w:gridCol w:w="2798"/>
        <w:gridCol w:w="2014"/>
        <w:gridCol w:w="3300"/>
      </w:tblGrid>
      <w:tr w14:paraId="34E701F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33" w:type="pct"/>
            <w:vMerge w:val="restart"/>
            <w:tcBorders>
              <w:tl2br w:val="nil"/>
              <w:tr2bl w:val="nil"/>
            </w:tcBorders>
            <w:noWrap w:val="0"/>
            <w:vAlign w:val="center"/>
          </w:tcPr>
          <w:p w14:paraId="5E879D0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b/>
                <w:bCs/>
                <w:sz w:val="21"/>
                <w:szCs w:val="21"/>
                <w:highlight w:val="none"/>
                <w:lang w:val="en-US" w:eastAsia="zh-CN"/>
              </w:rPr>
            </w:pPr>
            <w:r>
              <w:rPr>
                <w:rFonts w:hint="eastAsia"/>
                <w:b/>
                <w:bCs/>
                <w:sz w:val="21"/>
                <w:szCs w:val="21"/>
                <w:highlight w:val="none"/>
                <w:lang w:val="en-US" w:eastAsia="zh-CN"/>
              </w:rPr>
              <w:t>类别</w:t>
            </w:r>
          </w:p>
        </w:tc>
        <w:tc>
          <w:tcPr>
            <w:tcW w:w="4366" w:type="pct"/>
            <w:gridSpan w:val="3"/>
            <w:tcBorders>
              <w:tl2br w:val="nil"/>
              <w:tr2bl w:val="nil"/>
            </w:tcBorders>
            <w:noWrap w:val="0"/>
            <w:vAlign w:val="center"/>
          </w:tcPr>
          <w:p w14:paraId="7252140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b/>
                <w:bCs/>
                <w:sz w:val="21"/>
                <w:szCs w:val="21"/>
                <w:highlight w:val="none"/>
                <w:lang w:val="en-US" w:eastAsia="zh-CN"/>
              </w:rPr>
            </w:pPr>
            <w:r>
              <w:rPr>
                <w:rFonts w:hint="eastAsia"/>
                <w:b/>
                <w:bCs/>
                <w:sz w:val="21"/>
                <w:szCs w:val="21"/>
                <w:highlight w:val="none"/>
                <w:lang w:val="en-US" w:eastAsia="zh-CN"/>
              </w:rPr>
              <w:t>样方设置情况</w:t>
            </w:r>
          </w:p>
        </w:tc>
      </w:tr>
      <w:tr w14:paraId="201C85B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33" w:type="pct"/>
            <w:vMerge w:val="continue"/>
            <w:tcBorders>
              <w:tl2br w:val="nil"/>
              <w:tr2bl w:val="nil"/>
            </w:tcBorders>
            <w:noWrap w:val="0"/>
            <w:vAlign w:val="center"/>
          </w:tcPr>
          <w:p w14:paraId="6709098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b/>
                <w:bCs/>
                <w:sz w:val="21"/>
                <w:szCs w:val="21"/>
                <w:highlight w:val="none"/>
                <w:lang w:val="en-US" w:eastAsia="zh-CN"/>
              </w:rPr>
            </w:pPr>
          </w:p>
        </w:tc>
        <w:tc>
          <w:tcPr>
            <w:tcW w:w="1506" w:type="pct"/>
            <w:tcBorders>
              <w:tl2br w:val="nil"/>
              <w:tr2bl w:val="nil"/>
            </w:tcBorders>
            <w:noWrap w:val="0"/>
            <w:vAlign w:val="center"/>
          </w:tcPr>
          <w:p w14:paraId="130EDF1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b/>
                <w:bCs/>
                <w:sz w:val="21"/>
                <w:szCs w:val="21"/>
                <w:highlight w:val="none"/>
                <w:lang w:val="en-US" w:eastAsia="zh-CN"/>
              </w:rPr>
            </w:pPr>
            <w:r>
              <w:rPr>
                <w:rFonts w:hint="eastAsia"/>
                <w:b/>
                <w:bCs/>
                <w:sz w:val="21"/>
                <w:szCs w:val="21"/>
                <w:highlight w:val="none"/>
                <w:lang w:val="en-US" w:eastAsia="zh-CN"/>
              </w:rPr>
              <w:t>样线位置</w:t>
            </w:r>
          </w:p>
        </w:tc>
        <w:tc>
          <w:tcPr>
            <w:tcW w:w="1084" w:type="pct"/>
            <w:tcBorders>
              <w:tl2br w:val="nil"/>
              <w:tr2bl w:val="nil"/>
            </w:tcBorders>
            <w:noWrap w:val="0"/>
            <w:vAlign w:val="center"/>
          </w:tcPr>
          <w:p w14:paraId="0823D4B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b/>
                <w:bCs/>
                <w:sz w:val="21"/>
                <w:szCs w:val="21"/>
                <w:highlight w:val="none"/>
                <w:lang w:val="en-US" w:eastAsia="zh-CN"/>
              </w:rPr>
            </w:pPr>
            <w:r>
              <w:rPr>
                <w:rFonts w:hint="eastAsia"/>
                <w:b/>
                <w:bCs/>
                <w:sz w:val="21"/>
                <w:szCs w:val="21"/>
                <w:highlight w:val="none"/>
                <w:lang w:val="en-US" w:eastAsia="zh-CN"/>
              </w:rPr>
              <w:t>样线数量</w:t>
            </w:r>
          </w:p>
        </w:tc>
        <w:tc>
          <w:tcPr>
            <w:tcW w:w="1776" w:type="pct"/>
            <w:tcBorders>
              <w:tl2br w:val="nil"/>
              <w:tr2bl w:val="nil"/>
            </w:tcBorders>
            <w:noWrap w:val="0"/>
            <w:vAlign w:val="center"/>
          </w:tcPr>
          <w:p w14:paraId="6CC8B2D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b/>
                <w:bCs/>
                <w:sz w:val="21"/>
                <w:szCs w:val="21"/>
                <w:highlight w:val="none"/>
                <w:lang w:val="en-US" w:eastAsia="zh-CN"/>
              </w:rPr>
            </w:pPr>
            <w:r>
              <w:rPr>
                <w:rFonts w:hint="eastAsia"/>
                <w:b/>
                <w:bCs/>
                <w:sz w:val="21"/>
                <w:szCs w:val="21"/>
                <w:highlight w:val="none"/>
                <w:lang w:val="en-US" w:eastAsia="zh-CN"/>
              </w:rPr>
              <w:t>长度</w:t>
            </w:r>
          </w:p>
        </w:tc>
      </w:tr>
      <w:tr w14:paraId="7BDC37C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33" w:type="pct"/>
            <w:vMerge w:val="restart"/>
            <w:tcBorders>
              <w:tl2br w:val="nil"/>
              <w:tr2bl w:val="nil"/>
            </w:tcBorders>
            <w:noWrap w:val="0"/>
            <w:vAlign w:val="center"/>
          </w:tcPr>
          <w:p w14:paraId="77728EE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陆生</w:t>
            </w:r>
          </w:p>
        </w:tc>
        <w:tc>
          <w:tcPr>
            <w:tcW w:w="1506" w:type="pct"/>
            <w:tcBorders>
              <w:tl2br w:val="nil"/>
              <w:tr2bl w:val="nil"/>
            </w:tcBorders>
            <w:noWrap w:val="0"/>
            <w:vAlign w:val="center"/>
          </w:tcPr>
          <w:p w14:paraId="2C62F57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取土场</w:t>
            </w:r>
          </w:p>
        </w:tc>
        <w:tc>
          <w:tcPr>
            <w:tcW w:w="1084" w:type="pct"/>
            <w:tcBorders>
              <w:tl2br w:val="nil"/>
              <w:tr2bl w:val="nil"/>
            </w:tcBorders>
            <w:noWrap w:val="0"/>
            <w:vAlign w:val="center"/>
          </w:tcPr>
          <w:p w14:paraId="593873E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1个</w:t>
            </w:r>
          </w:p>
        </w:tc>
        <w:tc>
          <w:tcPr>
            <w:tcW w:w="1776" w:type="pct"/>
            <w:tcBorders>
              <w:tl2br w:val="nil"/>
              <w:tr2bl w:val="nil"/>
            </w:tcBorders>
            <w:noWrap w:val="0"/>
            <w:vAlign w:val="center"/>
          </w:tcPr>
          <w:p w14:paraId="1CF7509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186m</w:t>
            </w:r>
          </w:p>
        </w:tc>
      </w:tr>
      <w:tr w14:paraId="405AF67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33" w:type="pct"/>
            <w:vMerge w:val="continue"/>
            <w:tcBorders>
              <w:tl2br w:val="nil"/>
              <w:tr2bl w:val="nil"/>
            </w:tcBorders>
            <w:noWrap w:val="0"/>
            <w:vAlign w:val="center"/>
          </w:tcPr>
          <w:p w14:paraId="64723B6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lang w:val="en-US" w:eastAsia="zh-CN"/>
              </w:rPr>
            </w:pPr>
          </w:p>
        </w:tc>
        <w:tc>
          <w:tcPr>
            <w:tcW w:w="1506" w:type="pct"/>
            <w:tcBorders>
              <w:tl2br w:val="nil"/>
              <w:tr2bl w:val="nil"/>
            </w:tcBorders>
            <w:noWrap w:val="0"/>
            <w:vAlign w:val="center"/>
          </w:tcPr>
          <w:p w14:paraId="4D3879A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临时道路</w:t>
            </w:r>
          </w:p>
        </w:tc>
        <w:tc>
          <w:tcPr>
            <w:tcW w:w="1084" w:type="pct"/>
            <w:tcBorders>
              <w:tl2br w:val="nil"/>
              <w:tr2bl w:val="nil"/>
            </w:tcBorders>
            <w:noWrap w:val="0"/>
            <w:vAlign w:val="center"/>
          </w:tcPr>
          <w:p w14:paraId="266C2BC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1个</w:t>
            </w:r>
          </w:p>
        </w:tc>
        <w:tc>
          <w:tcPr>
            <w:tcW w:w="1776" w:type="pct"/>
            <w:tcBorders>
              <w:tl2br w:val="nil"/>
              <w:tr2bl w:val="nil"/>
            </w:tcBorders>
            <w:noWrap w:val="0"/>
            <w:vAlign w:val="center"/>
          </w:tcPr>
          <w:p w14:paraId="2A1F229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179m</w:t>
            </w:r>
          </w:p>
        </w:tc>
      </w:tr>
      <w:tr w14:paraId="3D8150A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33" w:type="pct"/>
            <w:vMerge w:val="continue"/>
            <w:tcBorders>
              <w:tl2br w:val="nil"/>
              <w:tr2bl w:val="nil"/>
            </w:tcBorders>
            <w:noWrap w:val="0"/>
            <w:vAlign w:val="center"/>
          </w:tcPr>
          <w:p w14:paraId="36E68BA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lang w:val="en-US" w:eastAsia="zh-CN"/>
              </w:rPr>
            </w:pPr>
          </w:p>
        </w:tc>
        <w:tc>
          <w:tcPr>
            <w:tcW w:w="1506" w:type="pct"/>
            <w:tcBorders>
              <w:tl2br w:val="nil"/>
              <w:tr2bl w:val="nil"/>
            </w:tcBorders>
            <w:noWrap w:val="0"/>
            <w:vAlign w:val="center"/>
          </w:tcPr>
          <w:p w14:paraId="4415A79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临时道路及填埋场周边</w:t>
            </w:r>
          </w:p>
        </w:tc>
        <w:tc>
          <w:tcPr>
            <w:tcW w:w="1084" w:type="pct"/>
            <w:tcBorders>
              <w:tl2br w:val="nil"/>
              <w:tr2bl w:val="nil"/>
            </w:tcBorders>
            <w:noWrap w:val="0"/>
            <w:vAlign w:val="center"/>
          </w:tcPr>
          <w:p w14:paraId="2C00277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1个</w:t>
            </w:r>
          </w:p>
        </w:tc>
        <w:tc>
          <w:tcPr>
            <w:tcW w:w="1776" w:type="pct"/>
            <w:tcBorders>
              <w:tl2br w:val="nil"/>
              <w:tr2bl w:val="nil"/>
            </w:tcBorders>
            <w:noWrap w:val="0"/>
            <w:vAlign w:val="center"/>
          </w:tcPr>
          <w:p w14:paraId="685F5CA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267m</w:t>
            </w:r>
          </w:p>
        </w:tc>
      </w:tr>
    </w:tbl>
    <w:p w14:paraId="10237E11">
      <w:pPr>
        <w:bidi w:val="0"/>
        <w:rPr>
          <w:rFonts w:hint="eastAsia"/>
          <w:highlight w:val="none"/>
          <w:lang w:val="en-US" w:eastAsia="zh-CN"/>
        </w:rPr>
      </w:pPr>
      <w:r>
        <w:rPr>
          <w:rFonts w:hint="eastAsia"/>
          <w:highlight w:val="none"/>
          <w:lang w:val="en-US" w:eastAsia="zh-CN"/>
        </w:rPr>
        <w:t>2、野外调查方法和技术</w:t>
      </w:r>
    </w:p>
    <w:p w14:paraId="4C9B4D3C">
      <w:pPr>
        <w:bidi w:val="0"/>
        <w:rPr>
          <w:rFonts w:hint="eastAsia"/>
          <w:highlight w:val="none"/>
          <w:lang w:val="en-US" w:eastAsia="zh-CN"/>
        </w:rPr>
      </w:pPr>
      <w:r>
        <w:rPr>
          <w:rFonts w:hint="eastAsia"/>
          <w:highlight w:val="none"/>
          <w:lang w:val="en-US" w:eastAsia="zh-CN"/>
        </w:rPr>
        <w:t>（1）植物群落调查方法</w:t>
      </w:r>
    </w:p>
    <w:p w14:paraId="2E970378">
      <w:pPr>
        <w:bidi w:val="0"/>
        <w:rPr>
          <w:rFonts w:hint="eastAsia"/>
          <w:highlight w:val="none"/>
          <w:lang w:val="en-US" w:eastAsia="zh-CN"/>
        </w:rPr>
      </w:pPr>
      <w:r>
        <w:rPr>
          <w:rFonts w:hint="eastAsia"/>
          <w:highlight w:val="none"/>
          <w:lang w:val="en-US" w:eastAsia="zh-CN"/>
        </w:rPr>
        <w:t>本次采用路线调查法。路线调查法是沿一定路线进行，记录群落的优势种和常见种及其高度、盖度，群落的季相等简要情况。调查项目周边生境因子的基本状况，包括地理位置、经纬度、坡度、坡向、海拔、一般的地形特征、小地形、岩石状况、土壤情况、枯枝落叶层厚度、干扰情况等进行调查，在此基础上记录群落外貌、群落内所有的维管植物种类，记录物种名、数量（多度）、胸径、高度（平均高度），并调查林分盖度。调查路线为取土场→临时道路及填埋场周边→临时道路。</w:t>
      </w:r>
    </w:p>
    <w:p w14:paraId="44FAE01B">
      <w:pPr>
        <w:bidi w:val="0"/>
        <w:rPr>
          <w:rFonts w:hint="eastAsia"/>
          <w:highlight w:val="none"/>
          <w:lang w:val="en-US" w:eastAsia="zh-CN"/>
        </w:rPr>
      </w:pPr>
      <w:r>
        <w:rPr>
          <w:rFonts w:hint="eastAsia"/>
          <w:highlight w:val="none"/>
          <w:lang w:val="en-US" w:eastAsia="zh-CN"/>
        </w:rPr>
        <w:t>（2）植物种类调查方法</w:t>
      </w:r>
    </w:p>
    <w:p w14:paraId="2751D3A6">
      <w:pPr>
        <w:bidi w:val="0"/>
        <w:rPr>
          <w:rFonts w:hint="eastAsia"/>
          <w:highlight w:val="none"/>
          <w:lang w:val="en-US" w:eastAsia="zh-CN"/>
        </w:rPr>
      </w:pPr>
      <w:r>
        <w:rPr>
          <w:rFonts w:hint="eastAsia"/>
          <w:highlight w:val="none"/>
          <w:lang w:val="en-US" w:eastAsia="zh-CN"/>
        </w:rPr>
        <w:t>在调查过程中，确定评价区内的植物种类、国家重点保护植物的种类及生存状况等。实地调查采取路线调查与重点调查相结合的方法，对于没有原生植被的区域路线调查，在重点工程区域以及植被状况良好的区域实行重点调查；对国家重点保护植物和古树名木的调查采取野外调查和民间访问相结合的方法进行。对有疑问植物采集凭证标本并拍摄照片。</w:t>
      </w:r>
    </w:p>
    <w:p w14:paraId="08B85C93">
      <w:pPr>
        <w:bidi w:val="0"/>
        <w:rPr>
          <w:rFonts w:hint="eastAsia"/>
          <w:highlight w:val="none"/>
          <w:lang w:val="en-US" w:eastAsia="zh-CN"/>
        </w:rPr>
      </w:pPr>
      <w:r>
        <w:rPr>
          <w:rFonts w:hint="eastAsia"/>
          <w:highlight w:val="none"/>
          <w:lang w:val="en-US" w:eastAsia="zh-CN"/>
        </w:rPr>
        <w:t>（3）动物种类调查方法</w:t>
      </w:r>
    </w:p>
    <w:p w14:paraId="7EBD7EC3">
      <w:pPr>
        <w:bidi w:val="0"/>
        <w:rPr>
          <w:rFonts w:hint="eastAsia"/>
          <w:highlight w:val="none"/>
          <w:lang w:val="en-US" w:eastAsia="zh-CN"/>
        </w:rPr>
      </w:pPr>
      <w:r>
        <w:rPr>
          <w:rFonts w:hint="eastAsia"/>
          <w:highlight w:val="none"/>
          <w:lang w:val="en-US" w:eastAsia="zh-CN"/>
        </w:rPr>
        <w:t>动物调查方法主要采用访问法和资料查询法。调查内容包括两栖类、爬行类、鸟类和兽类。从上述调查得到的动物种类之中，对相关重点保护物种进行进一步调查与核实，确定其种类及数量。</w:t>
      </w:r>
    </w:p>
    <w:p w14:paraId="4DBA222F">
      <w:pPr>
        <w:bidi w:val="0"/>
        <w:rPr>
          <w:rFonts w:hint="eastAsia"/>
          <w:highlight w:val="none"/>
          <w:lang w:val="en-US" w:eastAsia="zh-CN"/>
        </w:rPr>
      </w:pPr>
      <w:r>
        <w:rPr>
          <w:rFonts w:hint="eastAsia"/>
          <w:highlight w:val="none"/>
          <w:lang w:val="en-US" w:eastAsia="zh-CN"/>
        </w:rPr>
        <w:t>3、数据处理方法</w:t>
      </w:r>
    </w:p>
    <w:p w14:paraId="3F319C35">
      <w:pPr>
        <w:bidi w:val="0"/>
        <w:rPr>
          <w:rFonts w:hint="eastAsia"/>
          <w:highlight w:val="none"/>
          <w:lang w:val="en-US" w:eastAsia="zh-CN"/>
        </w:rPr>
      </w:pPr>
      <w:r>
        <w:rPr>
          <w:rFonts w:hint="eastAsia"/>
          <w:highlight w:val="none"/>
          <w:lang w:val="en-US" w:eastAsia="zh-CN"/>
        </w:rPr>
        <w:t>项目组基于地理信息系统（GIS），结合GPS技术进行实地采样，对评价区的遥感影像（RS）进行了土地利用以及植被覆盖的遥感解译，完成了数字化的植被类型图和土地利用类型图。</w:t>
      </w:r>
    </w:p>
    <w:p w14:paraId="26434875">
      <w:pPr>
        <w:bidi w:val="0"/>
        <w:rPr>
          <w:rFonts w:hint="eastAsia"/>
          <w:highlight w:val="none"/>
          <w:lang w:val="en-US" w:eastAsia="zh-CN"/>
        </w:rPr>
      </w:pPr>
      <w:r>
        <w:rPr>
          <w:rFonts w:hint="eastAsia"/>
          <w:highlight w:val="none"/>
          <w:lang w:val="en-US" w:eastAsia="zh-CN"/>
        </w:rPr>
        <w:t>项目组从遥感信息获取地面覆盖类型，在地面实地调查和历史植被基础上进行综合判读和精读评价，采用监督分类的方法最终赋予其生态学的含义。其中植被影像主要反映为绿色，植被类型不同，色彩和色调发生相应变化，据此可区分出植被亚型以上的植被类型以及农田、裸地等地面类型。</w:t>
      </w:r>
    </w:p>
    <w:p w14:paraId="19293118">
      <w:pPr>
        <w:bidi w:val="0"/>
        <w:rPr>
          <w:rFonts w:hint="eastAsia"/>
          <w:highlight w:val="none"/>
          <w:lang w:val="en-US" w:eastAsia="zh-CN"/>
        </w:rPr>
      </w:pPr>
      <w:r>
        <w:rPr>
          <w:rFonts w:hint="eastAsia"/>
          <w:highlight w:val="none"/>
          <w:lang w:val="en-US" w:eastAsia="zh-CN"/>
        </w:rPr>
        <w:t>此外，植被类型的确定需结合不同植被类型分布的生态学规律，不单纯依靠色彩进行划分，对监督分类产生的植被初图，结合地面的GPS样点和等高线、坡度、坡向等信息，对植被图进行目视解译校正，得到符合精度要求的植被图。在植被图的基础上，进一步结合现有调查资料对相关地类进行合并，得到土地利用类型图。数据制作及处理的软件平台为ArcGIS10.2，遥感处理分析的软件采用ENVI5.3。</w:t>
      </w:r>
    </w:p>
    <w:p w14:paraId="2DB41331">
      <w:pPr>
        <w:pStyle w:val="10"/>
        <w:numPr>
          <w:ilvl w:val="3"/>
          <w:numId w:val="1"/>
        </w:numPr>
        <w:bidi w:val="0"/>
        <w:ind w:left="850" w:leftChars="0" w:hanging="850" w:firstLineChars="0"/>
        <w:rPr>
          <w:rFonts w:hint="eastAsia"/>
          <w:lang w:val="en-US" w:eastAsia="zh-CN"/>
        </w:rPr>
      </w:pPr>
      <w:bookmarkStart w:id="46" w:name="_Toc22247"/>
      <w:bookmarkStart w:id="47" w:name="_Toc109036755"/>
      <w:bookmarkStart w:id="48" w:name="_Toc458936379"/>
      <w:bookmarkStart w:id="49" w:name="_Toc6247"/>
      <w:bookmarkStart w:id="50" w:name="_Toc464734838"/>
      <w:bookmarkStart w:id="51" w:name="_Toc461957279"/>
      <w:r>
        <w:rPr>
          <w:rFonts w:hint="eastAsia"/>
          <w:lang w:val="en-US" w:eastAsia="zh-CN"/>
        </w:rPr>
        <w:t>评价方法</w:t>
      </w:r>
      <w:bookmarkEnd w:id="46"/>
      <w:bookmarkEnd w:id="47"/>
      <w:bookmarkEnd w:id="48"/>
      <w:bookmarkEnd w:id="49"/>
      <w:bookmarkEnd w:id="50"/>
      <w:bookmarkEnd w:id="51"/>
    </w:p>
    <w:p w14:paraId="6EB22328">
      <w:pPr>
        <w:bidi w:val="0"/>
        <w:rPr>
          <w:rFonts w:hint="eastAsia"/>
          <w:highlight w:val="none"/>
          <w:lang w:val="en-US" w:eastAsia="zh-CN"/>
        </w:rPr>
      </w:pPr>
      <w:r>
        <w:rPr>
          <w:rFonts w:hint="eastAsia"/>
          <w:highlight w:val="none"/>
          <w:lang w:val="en-US" w:eastAsia="zh-CN"/>
        </w:rPr>
        <w:t>项目组在完成野外调查、数据整理和相关资料分析后，结合专业知识和经验判断，根据《环境影响评价技术导则  生态影响》（HJ19-2022）中确定的方法进行评价。</w:t>
      </w:r>
    </w:p>
    <w:p w14:paraId="052FA15F">
      <w:pPr>
        <w:pStyle w:val="10"/>
        <w:numPr>
          <w:ilvl w:val="3"/>
          <w:numId w:val="1"/>
        </w:numPr>
        <w:bidi w:val="0"/>
        <w:ind w:left="850" w:leftChars="0" w:hanging="850" w:firstLineChars="0"/>
        <w:rPr>
          <w:rFonts w:hint="eastAsia"/>
          <w:lang w:val="en-US" w:eastAsia="zh-CN"/>
        </w:rPr>
      </w:pPr>
      <w:r>
        <w:rPr>
          <w:rFonts w:hint="eastAsia"/>
          <w:lang w:val="en-US" w:eastAsia="zh-CN"/>
        </w:rPr>
        <w:t>生态系统现状</w:t>
      </w:r>
    </w:p>
    <w:p w14:paraId="569CF29D">
      <w:pPr>
        <w:pStyle w:val="11"/>
        <w:numPr>
          <w:ilvl w:val="4"/>
          <w:numId w:val="1"/>
        </w:numPr>
        <w:tabs>
          <w:tab w:val="clear" w:pos="828"/>
        </w:tabs>
        <w:bidi w:val="0"/>
        <w:ind w:left="991" w:leftChars="0" w:hanging="991" w:firstLineChars="0"/>
        <w:rPr>
          <w:rFonts w:hint="eastAsia"/>
          <w:lang w:val="en-US" w:eastAsia="zh-CN"/>
        </w:rPr>
      </w:pPr>
      <w:r>
        <w:rPr>
          <w:rFonts w:hint="eastAsia"/>
          <w:lang w:val="en-US" w:eastAsia="zh-CN"/>
        </w:rPr>
        <w:t>物种</w:t>
      </w:r>
    </w:p>
    <w:p w14:paraId="704DFC6F">
      <w:pPr>
        <w:bidi w:val="0"/>
        <w:rPr>
          <w:rFonts w:hint="eastAsia"/>
          <w:highlight w:val="none"/>
          <w:lang w:val="en-US" w:eastAsia="zh-CN"/>
        </w:rPr>
      </w:pPr>
      <w:r>
        <w:rPr>
          <w:rFonts w:hint="eastAsia"/>
          <w:highlight w:val="none"/>
          <w:lang w:val="en-US" w:eastAsia="zh-CN"/>
        </w:rPr>
        <w:t>1、植物物种多样性</w:t>
      </w:r>
    </w:p>
    <w:p w14:paraId="1688F649">
      <w:pPr>
        <w:bidi w:val="0"/>
        <w:rPr>
          <w:rFonts w:hint="eastAsia"/>
          <w:highlight w:val="none"/>
          <w:lang w:val="en-US" w:eastAsia="zh-CN"/>
        </w:rPr>
      </w:pPr>
      <w:r>
        <w:rPr>
          <w:rFonts w:hint="eastAsia"/>
          <w:highlight w:val="none"/>
          <w:lang w:val="en-US" w:eastAsia="zh-CN"/>
        </w:rPr>
        <w:t>（1）种类组成</w:t>
      </w:r>
    </w:p>
    <w:p w14:paraId="15B11D09">
      <w:pPr>
        <w:bidi w:val="0"/>
        <w:rPr>
          <w:rFonts w:hint="eastAsia"/>
          <w:highlight w:val="yellow"/>
          <w:lang w:val="en-US" w:eastAsia="zh-CN"/>
        </w:rPr>
      </w:pPr>
      <w:r>
        <w:rPr>
          <w:rFonts w:hint="eastAsia"/>
          <w:highlight w:val="none"/>
          <w:lang w:val="en-US" w:eastAsia="zh-CN"/>
        </w:rPr>
        <w:t>根据现场调查，本工程评价范围内乔木主要以马尾松（</w:t>
      </w:r>
      <w:r>
        <w:rPr>
          <w:rFonts w:hint="eastAsia"/>
          <w:i/>
          <w:iCs/>
          <w:highlight w:val="none"/>
          <w:lang w:val="en-US" w:eastAsia="zh-CN"/>
        </w:rPr>
        <w:t>Form</w:t>
      </w:r>
      <w:r>
        <w:rPr>
          <w:rFonts w:hint="eastAsia"/>
          <w:highlight w:val="none"/>
          <w:lang w:val="en-US" w:eastAsia="zh-CN"/>
        </w:rPr>
        <w:t>.</w:t>
      </w:r>
      <w:r>
        <w:rPr>
          <w:rFonts w:hint="eastAsia"/>
          <w:i/>
          <w:iCs/>
          <w:highlight w:val="none"/>
          <w:lang w:val="en-US" w:eastAsia="zh-CN"/>
        </w:rPr>
        <w:t>Pinusmassoniana</w:t>
      </w:r>
      <w:r>
        <w:rPr>
          <w:rFonts w:hint="eastAsia"/>
          <w:highlight w:val="none"/>
          <w:lang w:val="en-US" w:eastAsia="zh-CN"/>
        </w:rPr>
        <w:t>）、毛竹（</w:t>
      </w:r>
      <w:r>
        <w:rPr>
          <w:rFonts w:hint="eastAsia"/>
          <w:i/>
          <w:iCs/>
          <w:highlight w:val="none"/>
          <w:lang w:val="en-US" w:eastAsia="zh-CN"/>
        </w:rPr>
        <w:t>Form</w:t>
      </w:r>
      <w:r>
        <w:rPr>
          <w:rFonts w:hint="eastAsia"/>
          <w:highlight w:val="none"/>
          <w:lang w:val="en-US" w:eastAsia="zh-CN"/>
        </w:rPr>
        <w:t>.</w:t>
      </w:r>
      <w:r>
        <w:rPr>
          <w:rFonts w:hint="eastAsia"/>
          <w:i/>
          <w:iCs/>
          <w:highlight w:val="none"/>
          <w:lang w:val="en-US" w:eastAsia="zh-CN"/>
        </w:rPr>
        <w:t>Phyllostachysedulis</w:t>
      </w:r>
      <w:r>
        <w:rPr>
          <w:rFonts w:hint="eastAsia"/>
          <w:highlight w:val="none"/>
          <w:lang w:val="en-US" w:eastAsia="zh-CN"/>
        </w:rPr>
        <w:t>）、棕榈（</w:t>
      </w:r>
      <w:r>
        <w:rPr>
          <w:rFonts w:hint="eastAsia"/>
          <w:i/>
          <w:iCs/>
          <w:highlight w:val="none"/>
          <w:lang w:val="en-US" w:eastAsia="zh-CN"/>
        </w:rPr>
        <w:t>Trachycarpus fortunei (Hook.) H</w:t>
      </w:r>
      <w:r>
        <w:rPr>
          <w:rFonts w:hint="eastAsia"/>
          <w:highlight w:val="none"/>
          <w:lang w:val="en-US" w:eastAsia="zh-CN"/>
        </w:rPr>
        <w:t>.</w:t>
      </w:r>
      <w:r>
        <w:rPr>
          <w:rFonts w:hint="eastAsia"/>
          <w:i/>
          <w:iCs/>
          <w:highlight w:val="none"/>
          <w:lang w:val="en-US" w:eastAsia="zh-CN"/>
        </w:rPr>
        <w:t>Wendl</w:t>
      </w:r>
      <w:r>
        <w:rPr>
          <w:rFonts w:hint="eastAsia"/>
          <w:highlight w:val="none"/>
          <w:lang w:val="en-US" w:eastAsia="zh-CN"/>
        </w:rPr>
        <w:t>.）等为主；灌木主要以苎麻（</w:t>
      </w:r>
      <w:r>
        <w:rPr>
          <w:rFonts w:hint="eastAsia"/>
          <w:i/>
          <w:iCs/>
          <w:highlight w:val="none"/>
          <w:lang w:val="en-US" w:eastAsia="zh-CN"/>
        </w:rPr>
        <w:t>Boehmerianivea (L.)Gaudich.</w:t>
      </w:r>
      <w:r>
        <w:rPr>
          <w:rFonts w:hint="eastAsia"/>
          <w:highlight w:val="none"/>
          <w:lang w:val="en-US" w:eastAsia="zh-CN"/>
        </w:rPr>
        <w:t>）、糯米条（</w:t>
      </w:r>
      <w:r>
        <w:rPr>
          <w:rFonts w:hint="eastAsia"/>
          <w:i/>
          <w:iCs/>
          <w:highlight w:val="none"/>
          <w:lang w:val="en-US" w:eastAsia="zh-CN"/>
        </w:rPr>
        <w:t>Abeliachinensis R.Br.</w:t>
      </w:r>
      <w:r>
        <w:rPr>
          <w:rFonts w:hint="eastAsia"/>
          <w:highlight w:val="none"/>
          <w:lang w:val="en-US" w:eastAsia="zh-CN"/>
        </w:rPr>
        <w:t>）、玉竹（</w:t>
      </w:r>
      <w:r>
        <w:rPr>
          <w:rFonts w:hint="eastAsia"/>
          <w:i/>
          <w:iCs/>
          <w:highlight w:val="none"/>
          <w:lang w:val="en-US" w:eastAsia="zh-CN"/>
        </w:rPr>
        <w:t>Polygonatumodoratum (Mill.)Druce</w:t>
      </w:r>
      <w:r>
        <w:rPr>
          <w:rFonts w:hint="eastAsia"/>
          <w:highlight w:val="none"/>
          <w:lang w:val="en-US" w:eastAsia="zh-CN"/>
        </w:rPr>
        <w:t>）、李氏禾（</w:t>
      </w:r>
      <w:r>
        <w:rPr>
          <w:rFonts w:hint="eastAsia"/>
          <w:i/>
          <w:iCs/>
          <w:highlight w:val="none"/>
          <w:lang w:val="en-US" w:eastAsia="zh-CN"/>
        </w:rPr>
        <w:t>Leersiahexandra Sw</w:t>
      </w:r>
      <w:r>
        <w:rPr>
          <w:rFonts w:hint="eastAsia"/>
          <w:highlight w:val="none"/>
          <w:lang w:val="en-US" w:eastAsia="zh-CN"/>
        </w:rPr>
        <w:t>.）、人面竹（</w:t>
      </w:r>
      <w:r>
        <w:rPr>
          <w:rFonts w:hint="eastAsia"/>
          <w:i/>
          <w:iCs/>
          <w:highlight w:val="none"/>
          <w:lang w:val="en-US" w:eastAsia="zh-CN"/>
        </w:rPr>
        <w:t>Phyllostachysaurea Riviere&amp;C.Rivière</w:t>
      </w:r>
      <w:r>
        <w:rPr>
          <w:rFonts w:hint="eastAsia"/>
          <w:highlight w:val="none"/>
          <w:lang w:val="en-US" w:eastAsia="zh-CN"/>
        </w:rPr>
        <w:t>）、檵木（</w:t>
      </w:r>
      <w:r>
        <w:rPr>
          <w:rFonts w:hint="eastAsia"/>
          <w:i/>
          <w:iCs/>
          <w:highlight w:val="none"/>
          <w:lang w:val="en-US" w:eastAsia="zh-CN"/>
        </w:rPr>
        <w:t>Form</w:t>
      </w:r>
      <w:r>
        <w:rPr>
          <w:rFonts w:hint="eastAsia"/>
          <w:highlight w:val="none"/>
          <w:lang w:val="en-US" w:eastAsia="zh-CN"/>
        </w:rPr>
        <w:t>.</w:t>
      </w:r>
      <w:r>
        <w:rPr>
          <w:rFonts w:hint="eastAsia"/>
          <w:i/>
          <w:iCs/>
          <w:highlight w:val="none"/>
          <w:lang w:val="en-US" w:eastAsia="zh-CN"/>
        </w:rPr>
        <w:t>Loropetalumchinensis</w:t>
      </w:r>
      <w:r>
        <w:rPr>
          <w:rFonts w:hint="eastAsia"/>
          <w:highlight w:val="none"/>
          <w:lang w:val="en-US" w:eastAsia="zh-CN"/>
        </w:rPr>
        <w:t>）、盐肤木灌丛（</w:t>
      </w:r>
      <w:r>
        <w:rPr>
          <w:rFonts w:hint="eastAsia"/>
          <w:i/>
          <w:iCs/>
          <w:highlight w:val="none"/>
          <w:lang w:val="en-US" w:eastAsia="zh-CN"/>
        </w:rPr>
        <w:t>Form</w:t>
      </w:r>
      <w:r>
        <w:rPr>
          <w:rFonts w:hint="eastAsia"/>
          <w:highlight w:val="none"/>
          <w:lang w:val="en-US" w:eastAsia="zh-CN"/>
        </w:rPr>
        <w:t>.</w:t>
      </w:r>
      <w:r>
        <w:rPr>
          <w:rFonts w:hint="eastAsia"/>
          <w:i/>
          <w:iCs/>
          <w:highlight w:val="none"/>
          <w:lang w:val="en-US" w:eastAsia="zh-CN"/>
        </w:rPr>
        <w:t>Rhuschinensis</w:t>
      </w:r>
      <w:r>
        <w:rPr>
          <w:rFonts w:hint="eastAsia"/>
          <w:highlight w:val="none"/>
          <w:lang w:val="en-US" w:eastAsia="zh-CN"/>
        </w:rPr>
        <w:t>）、牡荆（</w:t>
      </w:r>
      <w:r>
        <w:rPr>
          <w:rFonts w:hint="eastAsia"/>
          <w:i/>
          <w:iCs/>
          <w:highlight w:val="none"/>
          <w:lang w:val="en-US" w:eastAsia="zh-CN"/>
        </w:rPr>
        <w:t>Vitex negundo var</w:t>
      </w:r>
      <w:r>
        <w:rPr>
          <w:rFonts w:hint="eastAsia"/>
          <w:highlight w:val="none"/>
          <w:lang w:val="en-US" w:eastAsia="zh-CN"/>
        </w:rPr>
        <w:t>. </w:t>
      </w:r>
      <w:r>
        <w:rPr>
          <w:rFonts w:hint="eastAsia"/>
          <w:i/>
          <w:iCs/>
          <w:highlight w:val="none"/>
          <w:lang w:val="en-US" w:eastAsia="zh-CN"/>
        </w:rPr>
        <w:t>cannabifolia (Sieb.et Zucc.)</w:t>
      </w:r>
      <w:r>
        <w:rPr>
          <w:rFonts w:hint="eastAsia"/>
          <w:highlight w:val="none"/>
          <w:lang w:val="en-US" w:eastAsia="zh-CN"/>
        </w:rPr>
        <w:t xml:space="preserve"> </w:t>
      </w:r>
      <w:r>
        <w:rPr>
          <w:rFonts w:hint="eastAsia"/>
          <w:i/>
          <w:iCs/>
          <w:highlight w:val="none"/>
          <w:lang w:val="en-US" w:eastAsia="zh-CN"/>
        </w:rPr>
        <w:t>Hand.-Mazz.</w:t>
      </w:r>
      <w:r>
        <w:rPr>
          <w:rFonts w:hint="eastAsia"/>
          <w:highlight w:val="none"/>
          <w:lang w:val="en-US" w:eastAsia="zh-CN"/>
        </w:rPr>
        <w:t>）等为主；草本植物主要以鸡眼草（</w:t>
      </w:r>
      <w:r>
        <w:rPr>
          <w:rFonts w:hint="eastAsia"/>
          <w:i/>
          <w:iCs/>
          <w:highlight w:val="none"/>
          <w:lang w:val="en-US" w:eastAsia="zh-CN"/>
        </w:rPr>
        <w:t>Kummerowiastriata (Thunb.)Schindl.</w:t>
      </w:r>
      <w:r>
        <w:rPr>
          <w:rFonts w:hint="eastAsia"/>
          <w:highlight w:val="none"/>
          <w:lang w:val="en-US" w:eastAsia="zh-CN"/>
        </w:rPr>
        <w:t>）、狗尾巴草（</w:t>
      </w:r>
      <w:r>
        <w:rPr>
          <w:rFonts w:hint="eastAsia"/>
          <w:i/>
          <w:iCs/>
          <w:highlight w:val="none"/>
          <w:lang w:val="en-US" w:eastAsia="zh-CN"/>
        </w:rPr>
        <w:t>Setariaviridis(L.)Beauv.</w:t>
      </w:r>
      <w:r>
        <w:rPr>
          <w:rFonts w:hint="eastAsia"/>
          <w:highlight w:val="none"/>
          <w:lang w:val="en-US" w:eastAsia="zh-CN"/>
        </w:rPr>
        <w:t>）、爵床（</w:t>
      </w:r>
      <w:r>
        <w:rPr>
          <w:rFonts w:hint="eastAsia"/>
          <w:i/>
          <w:iCs/>
          <w:highlight w:val="none"/>
          <w:lang w:val="en-US" w:eastAsia="zh-CN"/>
        </w:rPr>
        <w:t>Justiciaprocumbens L.</w:t>
      </w:r>
      <w:r>
        <w:rPr>
          <w:rFonts w:hint="eastAsia"/>
          <w:highlight w:val="none"/>
          <w:lang w:val="en-US" w:eastAsia="zh-CN"/>
        </w:rPr>
        <w:t>）、五节芒（</w:t>
      </w:r>
      <w:r>
        <w:rPr>
          <w:rFonts w:hint="eastAsia"/>
          <w:i/>
          <w:iCs/>
          <w:highlight w:val="none"/>
          <w:lang w:val="en-US" w:eastAsia="zh-CN"/>
        </w:rPr>
        <w:t>Form</w:t>
      </w:r>
      <w:r>
        <w:rPr>
          <w:rFonts w:hint="eastAsia"/>
          <w:highlight w:val="none"/>
          <w:lang w:val="en-US" w:eastAsia="zh-CN"/>
        </w:rPr>
        <w:t>.</w:t>
      </w:r>
      <w:r>
        <w:rPr>
          <w:rFonts w:hint="eastAsia"/>
          <w:i/>
          <w:iCs/>
          <w:highlight w:val="none"/>
          <w:lang w:val="en-US" w:eastAsia="zh-CN"/>
        </w:rPr>
        <w:t>Miscanthusfloridulus</w:t>
      </w:r>
      <w:r>
        <w:rPr>
          <w:rFonts w:hint="eastAsia"/>
          <w:highlight w:val="none"/>
          <w:lang w:val="en-US" w:eastAsia="zh-CN"/>
        </w:rPr>
        <w:t>）等为主。</w:t>
      </w:r>
    </w:p>
    <w:p w14:paraId="42F4C753">
      <w:pPr>
        <w:bidi w:val="0"/>
        <w:rPr>
          <w:rFonts w:hint="eastAsia"/>
          <w:highlight w:val="none"/>
          <w:lang w:val="en-US" w:eastAsia="zh-CN"/>
        </w:rPr>
      </w:pPr>
      <w:r>
        <w:rPr>
          <w:rFonts w:hint="eastAsia"/>
          <w:highlight w:val="none"/>
          <w:lang w:val="en-US" w:eastAsia="zh-CN"/>
        </w:rPr>
        <w:t>（2）重点保护植物和古树名木</w:t>
      </w:r>
    </w:p>
    <w:p w14:paraId="0EA91845">
      <w:pPr>
        <w:bidi w:val="0"/>
        <w:rPr>
          <w:rFonts w:hint="eastAsia"/>
          <w:highlight w:val="none"/>
          <w:lang w:val="en-US" w:eastAsia="zh-CN"/>
        </w:rPr>
      </w:pPr>
      <w:r>
        <w:rPr>
          <w:rFonts w:hint="eastAsia"/>
          <w:highlight w:val="none"/>
          <w:lang w:val="en-US" w:eastAsia="zh-CN"/>
        </w:rPr>
        <w:t>根据调查，本项目生态评价范围内不涉及重点保护植物和古树名木。</w:t>
      </w:r>
    </w:p>
    <w:p w14:paraId="725542E7">
      <w:pPr>
        <w:bidi w:val="0"/>
        <w:rPr>
          <w:rFonts w:hint="eastAsia"/>
          <w:highlight w:val="none"/>
          <w:lang w:val="en-US" w:eastAsia="zh-CN"/>
        </w:rPr>
      </w:pPr>
      <w:r>
        <w:rPr>
          <w:rFonts w:hint="eastAsia"/>
          <w:highlight w:val="none"/>
          <w:lang w:val="en-US" w:eastAsia="zh-CN"/>
        </w:rPr>
        <w:t>2、陆生动物多样性</w:t>
      </w:r>
    </w:p>
    <w:p w14:paraId="0589273E">
      <w:pPr>
        <w:bidi w:val="0"/>
        <w:rPr>
          <w:rFonts w:hint="eastAsia"/>
          <w:highlight w:val="none"/>
          <w:lang w:val="en-US" w:eastAsia="zh-CN"/>
        </w:rPr>
      </w:pPr>
      <w:r>
        <w:rPr>
          <w:rFonts w:hint="eastAsia"/>
          <w:highlight w:val="none"/>
          <w:lang w:val="en-US" w:eastAsia="zh-CN"/>
        </w:rPr>
        <w:t>（1）两栖类</w:t>
      </w:r>
    </w:p>
    <w:p w14:paraId="782A9D7C">
      <w:pPr>
        <w:bidi w:val="0"/>
        <w:rPr>
          <w:rFonts w:hint="eastAsia"/>
          <w:highlight w:val="none"/>
          <w:lang w:val="en-US" w:eastAsia="zh-CN"/>
        </w:rPr>
      </w:pPr>
      <w:r>
        <w:rPr>
          <w:rFonts w:hint="eastAsia"/>
          <w:highlight w:val="none"/>
          <w:lang w:val="en-US" w:eastAsia="zh-CN"/>
        </w:rPr>
        <w:t>①种类组成</w:t>
      </w:r>
    </w:p>
    <w:p w14:paraId="66997DDF">
      <w:pPr>
        <w:bidi w:val="0"/>
        <w:rPr>
          <w:rFonts w:hint="eastAsia"/>
          <w:highlight w:val="none"/>
          <w:lang w:val="en-US" w:eastAsia="zh-CN"/>
        </w:rPr>
      </w:pPr>
      <w:r>
        <w:rPr>
          <w:rFonts w:hint="eastAsia"/>
          <w:highlight w:val="none"/>
          <w:lang w:val="en-US" w:eastAsia="zh-CN"/>
        </w:rPr>
        <w:t>根据现场调查，本工程评价范围内两栖类主要以沼水蛙（</w:t>
      </w:r>
      <w:r>
        <w:rPr>
          <w:rFonts w:hint="eastAsia"/>
          <w:i/>
          <w:iCs/>
          <w:highlight w:val="none"/>
          <w:lang w:val="en-US" w:eastAsia="zh-CN"/>
        </w:rPr>
        <w:t>Hylaranaguentheri</w:t>
      </w:r>
      <w:r>
        <w:rPr>
          <w:rFonts w:hint="eastAsia"/>
          <w:highlight w:val="none"/>
          <w:lang w:val="en-US" w:eastAsia="zh-CN"/>
        </w:rPr>
        <w:t>）、中国林蛙（</w:t>
      </w:r>
      <w:r>
        <w:rPr>
          <w:rFonts w:hint="eastAsia"/>
          <w:i/>
          <w:iCs/>
          <w:highlight w:val="none"/>
          <w:lang w:val="en-US" w:eastAsia="zh-CN"/>
        </w:rPr>
        <w:t>Ranachensinensis</w:t>
      </w:r>
      <w:r>
        <w:rPr>
          <w:rFonts w:hint="eastAsia"/>
          <w:highlight w:val="none"/>
          <w:lang w:val="en-US" w:eastAsia="zh-CN"/>
        </w:rPr>
        <w:t>）、小弧斑姬蛙（</w:t>
      </w:r>
      <w:r>
        <w:rPr>
          <w:rFonts w:hint="eastAsia"/>
          <w:i/>
          <w:iCs/>
          <w:highlight w:val="none"/>
          <w:lang w:val="en-US" w:eastAsia="zh-CN"/>
        </w:rPr>
        <w:t>Microhylaheymonsi</w:t>
      </w:r>
      <w:r>
        <w:rPr>
          <w:rFonts w:hint="eastAsia"/>
          <w:highlight w:val="none"/>
          <w:lang w:val="en-US" w:eastAsia="zh-CN"/>
        </w:rPr>
        <w:t>）、泽陆蛙（</w:t>
      </w:r>
      <w:r>
        <w:rPr>
          <w:rFonts w:hint="eastAsia"/>
          <w:i/>
          <w:iCs/>
          <w:highlight w:val="none"/>
          <w:lang w:val="en-US" w:eastAsia="zh-CN"/>
        </w:rPr>
        <w:t>Ranalimnocharis</w:t>
      </w:r>
      <w:r>
        <w:rPr>
          <w:rFonts w:hint="eastAsia"/>
          <w:highlight w:val="none"/>
          <w:lang w:val="en-US" w:eastAsia="zh-CN"/>
        </w:rPr>
        <w:t>）、三港雨蛙（</w:t>
      </w:r>
      <w:r>
        <w:rPr>
          <w:rFonts w:hint="eastAsia"/>
          <w:i/>
          <w:iCs/>
          <w:highlight w:val="none"/>
          <w:lang w:val="en-US" w:eastAsia="zh-CN"/>
        </w:rPr>
        <w:t>Hylasanchiangensis</w:t>
      </w:r>
      <w:r>
        <w:rPr>
          <w:rFonts w:hint="eastAsia"/>
          <w:highlight w:val="none"/>
          <w:lang w:val="en-US" w:eastAsia="zh-CN"/>
        </w:rPr>
        <w:t>）、中国雨蛙（</w:t>
      </w:r>
      <w:r>
        <w:rPr>
          <w:rFonts w:hint="eastAsia"/>
          <w:i/>
          <w:iCs/>
          <w:highlight w:val="none"/>
          <w:lang w:val="en-US" w:eastAsia="zh-CN"/>
        </w:rPr>
        <w:t>Hylachinensis</w:t>
      </w:r>
      <w:r>
        <w:rPr>
          <w:rFonts w:hint="eastAsia"/>
          <w:highlight w:val="none"/>
          <w:lang w:val="en-US" w:eastAsia="zh-CN"/>
        </w:rPr>
        <w:t>）为主，数量较少。经查阅资料，两栖类繁殖期主要集中在5月至7月，越冬期主要在11月左右，迁徙期主要为4月，主要活动范围主要集中于稻田、池塘等周边区域。</w:t>
      </w:r>
    </w:p>
    <w:p w14:paraId="18640C96">
      <w:pPr>
        <w:bidi w:val="0"/>
        <w:rPr>
          <w:rFonts w:hint="eastAsia"/>
          <w:highlight w:val="none"/>
          <w:lang w:val="en-US" w:eastAsia="zh-CN"/>
        </w:rPr>
      </w:pPr>
      <w:r>
        <w:rPr>
          <w:rFonts w:hint="eastAsia"/>
          <w:highlight w:val="none"/>
          <w:lang w:val="en-US" w:eastAsia="zh-CN"/>
        </w:rPr>
        <w:t>②国家重点保护种</w:t>
      </w:r>
    </w:p>
    <w:p w14:paraId="23A436D9">
      <w:pPr>
        <w:bidi w:val="0"/>
        <w:rPr>
          <w:rFonts w:hint="eastAsia"/>
          <w:highlight w:val="none"/>
          <w:lang w:val="en-US" w:eastAsia="zh-CN"/>
        </w:rPr>
      </w:pPr>
      <w:r>
        <w:rPr>
          <w:rFonts w:hint="eastAsia"/>
          <w:highlight w:val="none"/>
          <w:lang w:val="en-US" w:eastAsia="zh-CN"/>
        </w:rPr>
        <w:t>两栖动物中无国家重点保护野生种。</w:t>
      </w:r>
    </w:p>
    <w:p w14:paraId="47506010">
      <w:pPr>
        <w:bidi w:val="0"/>
        <w:rPr>
          <w:rFonts w:hint="eastAsia"/>
          <w:highlight w:val="none"/>
          <w:lang w:val="en-US" w:eastAsia="zh-CN"/>
        </w:rPr>
      </w:pPr>
      <w:r>
        <w:rPr>
          <w:rFonts w:hint="eastAsia"/>
          <w:highlight w:val="none"/>
          <w:lang w:val="en-US" w:eastAsia="zh-CN"/>
        </w:rPr>
        <w:t>（2）爬行类</w:t>
      </w:r>
    </w:p>
    <w:p w14:paraId="370914A1">
      <w:pPr>
        <w:bidi w:val="0"/>
        <w:rPr>
          <w:rFonts w:hint="eastAsia"/>
          <w:highlight w:val="none"/>
          <w:lang w:val="en-US" w:eastAsia="zh-CN"/>
        </w:rPr>
      </w:pPr>
      <w:r>
        <w:rPr>
          <w:rFonts w:hint="eastAsia"/>
          <w:highlight w:val="none"/>
          <w:lang w:val="en-US" w:eastAsia="zh-CN"/>
        </w:rPr>
        <w:t>①种类组成</w:t>
      </w:r>
    </w:p>
    <w:p w14:paraId="59734FCF">
      <w:pPr>
        <w:bidi w:val="0"/>
        <w:rPr>
          <w:rFonts w:hint="eastAsia"/>
          <w:highlight w:val="none"/>
          <w:lang w:val="en-US" w:eastAsia="zh-CN"/>
        </w:rPr>
      </w:pPr>
      <w:r>
        <w:rPr>
          <w:rFonts w:hint="eastAsia"/>
          <w:highlight w:val="none"/>
          <w:lang w:val="en-US" w:eastAsia="zh-CN"/>
        </w:rPr>
        <w:t>根据现场调查，本工程评价范围内爬行类主要以有鳞目壁虎科、蜥蜴科为主，均为广布种。经查阅资料，爬行类繁殖期主要集中在5月至7月，越冬期主要在11月至翌年4月左右，迁徙期主要为4月。</w:t>
      </w:r>
    </w:p>
    <w:p w14:paraId="2005FE49">
      <w:pPr>
        <w:bidi w:val="0"/>
        <w:rPr>
          <w:rFonts w:hint="eastAsia"/>
          <w:highlight w:val="none"/>
          <w:lang w:val="en-US" w:eastAsia="zh-CN"/>
        </w:rPr>
      </w:pPr>
      <w:r>
        <w:rPr>
          <w:rFonts w:hint="eastAsia"/>
          <w:highlight w:val="none"/>
          <w:lang w:val="en-US" w:eastAsia="zh-CN"/>
        </w:rPr>
        <w:t>②国家重点保护种</w:t>
      </w:r>
    </w:p>
    <w:p w14:paraId="44DE43CD">
      <w:pPr>
        <w:bidi w:val="0"/>
        <w:rPr>
          <w:rFonts w:hint="eastAsia"/>
          <w:highlight w:val="none"/>
          <w:lang w:val="en-US" w:eastAsia="zh-CN"/>
        </w:rPr>
      </w:pPr>
      <w:r>
        <w:rPr>
          <w:rFonts w:hint="eastAsia"/>
          <w:highlight w:val="none"/>
          <w:lang w:val="en-US" w:eastAsia="zh-CN"/>
        </w:rPr>
        <w:t>爬行动物中无国家重点保护种。</w:t>
      </w:r>
    </w:p>
    <w:p w14:paraId="2A00783D">
      <w:pPr>
        <w:bidi w:val="0"/>
        <w:rPr>
          <w:rFonts w:hint="eastAsia"/>
          <w:highlight w:val="none"/>
          <w:lang w:val="en-US" w:eastAsia="zh-CN"/>
        </w:rPr>
      </w:pPr>
      <w:r>
        <w:rPr>
          <w:rFonts w:hint="eastAsia"/>
          <w:highlight w:val="none"/>
          <w:lang w:val="en-US" w:eastAsia="zh-CN"/>
        </w:rPr>
        <w:t>（3）鸟类</w:t>
      </w:r>
    </w:p>
    <w:p w14:paraId="19514E62">
      <w:pPr>
        <w:bidi w:val="0"/>
        <w:rPr>
          <w:rFonts w:hint="eastAsia"/>
          <w:highlight w:val="none"/>
          <w:lang w:val="en-US" w:eastAsia="zh-CN"/>
        </w:rPr>
      </w:pPr>
      <w:r>
        <w:rPr>
          <w:rFonts w:hint="eastAsia"/>
          <w:highlight w:val="none"/>
          <w:lang w:val="en-US" w:eastAsia="zh-CN"/>
        </w:rPr>
        <w:t>①种类组成</w:t>
      </w:r>
    </w:p>
    <w:p w14:paraId="34310966">
      <w:pPr>
        <w:bidi w:val="0"/>
        <w:rPr>
          <w:rFonts w:hint="eastAsia"/>
          <w:highlight w:val="none"/>
          <w:lang w:val="en-US" w:eastAsia="zh-CN"/>
        </w:rPr>
      </w:pPr>
      <w:r>
        <w:rPr>
          <w:rFonts w:hint="eastAsia"/>
          <w:highlight w:val="none"/>
          <w:lang w:val="en-US" w:eastAsia="zh-CN"/>
        </w:rPr>
        <w:t>根据现场调查，本工程评价范围内鸟类主要以家燕（</w:t>
      </w:r>
      <w:r>
        <w:rPr>
          <w:rFonts w:hint="eastAsia"/>
          <w:i/>
          <w:iCs/>
          <w:highlight w:val="none"/>
          <w:lang w:val="en-US" w:eastAsia="zh-CN"/>
        </w:rPr>
        <w:t>Hirundo rustica</w:t>
      </w:r>
      <w:r>
        <w:rPr>
          <w:rFonts w:hint="eastAsia"/>
          <w:highlight w:val="none"/>
          <w:lang w:val="en-US" w:eastAsia="zh-CN"/>
        </w:rPr>
        <w:t>）、麻雀（</w:t>
      </w:r>
      <w:r>
        <w:rPr>
          <w:rFonts w:hint="eastAsia"/>
          <w:i/>
          <w:iCs/>
          <w:highlight w:val="none"/>
          <w:lang w:val="en-US" w:eastAsia="zh-CN"/>
        </w:rPr>
        <w:t>‌Passer montanus</w:t>
      </w:r>
      <w:r>
        <w:rPr>
          <w:rFonts w:hint="eastAsia"/>
          <w:highlight w:val="none"/>
          <w:lang w:val="en-US" w:eastAsia="zh-CN"/>
        </w:rPr>
        <w:t>‌）等为主。根据样线调查，调查范围内未发现家燕等集中分布区及栖息地。经查阅资料，家燕的繁殖期主要集中在‌4月至7月‌，多数一年繁殖两窝，第一窝通常在4~6月，第二窝多在6~7月；繁殖活动包括求偶、筑巢、孵化和育雏，雌雄亲鸟共同参与；家燕在越冬地停留时间主要在‌12月至次年2月；迁徙期主要为‌2~3月。麻雀的繁殖期主要集中在3~4月；麻雀多为留鸟，冬季（‌12~2月‌）仍活动于本地，通过杂食性适应寒冷环境，较少长距离迁徙；无长距离迁徙。</w:t>
      </w:r>
    </w:p>
    <w:p w14:paraId="26EAFC74">
      <w:pPr>
        <w:bidi w:val="0"/>
        <w:rPr>
          <w:rFonts w:hint="eastAsia"/>
          <w:highlight w:val="none"/>
          <w:lang w:val="en-US" w:eastAsia="zh-CN"/>
        </w:rPr>
      </w:pPr>
      <w:r>
        <w:rPr>
          <w:rFonts w:hint="eastAsia"/>
          <w:highlight w:val="none"/>
          <w:lang w:val="en-US" w:eastAsia="zh-CN"/>
        </w:rPr>
        <w:t>②鸟类迁徙通道</w:t>
      </w:r>
    </w:p>
    <w:p w14:paraId="350FDE74">
      <w:pPr>
        <w:bidi w:val="0"/>
        <w:rPr>
          <w:rFonts w:hint="eastAsia"/>
          <w:highlight w:val="none"/>
          <w:lang w:val="en-US" w:eastAsia="zh-CN"/>
        </w:rPr>
      </w:pPr>
      <w:r>
        <w:rPr>
          <w:rFonts w:hint="eastAsia"/>
          <w:highlight w:val="none"/>
          <w:lang w:val="en-US" w:eastAsia="zh-CN"/>
        </w:rPr>
        <w:t>根据中国和湖南省鸟类迁徙研究的相关报道，显示湖南处于位于西伯利亚-澳大利西亚鸟类迁徙通道上（张孚允&amp;杨若莉，1997；邓学建等，2013）。湖南省的地势如同一个开口朝向北方的漏斗，呈一个巨大的“U”形，北面开口是洞庭湖平原、西面是武陵山脉和雪峰山脉、东面是罗霄山脉、南面是南岭。湖南省境内通常有3条候鸟迁徙通道：即洞庭湖-湘中南湘江谷底丘陵平原区（宽面迁徙通道）；武陵山脉-雪峰山脉（窄面迁徙通道）；幕阜山脉—罗霄山脉（窄面迁徙通道）（邓学建，2016），本项目不涉及湖南省鸟类迁徙通道。</w:t>
      </w:r>
    </w:p>
    <w:p w14:paraId="4DDADAC8">
      <w:pPr>
        <w:bidi w:val="0"/>
        <w:rPr>
          <w:rFonts w:hint="eastAsia"/>
          <w:highlight w:val="none"/>
          <w:lang w:val="en-US" w:eastAsia="zh-CN"/>
        </w:rPr>
      </w:pPr>
      <w:r>
        <w:rPr>
          <w:rFonts w:hint="eastAsia"/>
          <w:highlight w:val="none"/>
          <w:lang w:val="en-US" w:eastAsia="zh-CN"/>
        </w:rPr>
        <w:t>③国家重点保护种</w:t>
      </w:r>
    </w:p>
    <w:p w14:paraId="4D4E63C5">
      <w:pPr>
        <w:bidi w:val="0"/>
        <w:rPr>
          <w:rFonts w:hint="eastAsia"/>
          <w:highlight w:val="yellow"/>
          <w:lang w:val="en-US" w:eastAsia="zh-CN"/>
        </w:rPr>
      </w:pPr>
      <w:r>
        <w:rPr>
          <w:rFonts w:hint="eastAsia"/>
          <w:highlight w:val="none"/>
          <w:lang w:val="en-US" w:eastAsia="zh-CN"/>
        </w:rPr>
        <w:t>鸟类中无国家保护野生种。</w:t>
      </w:r>
    </w:p>
    <w:p w14:paraId="0B55391E">
      <w:pPr>
        <w:bidi w:val="0"/>
        <w:rPr>
          <w:rFonts w:hint="eastAsia"/>
          <w:highlight w:val="none"/>
          <w:lang w:val="en-US" w:eastAsia="zh-CN"/>
        </w:rPr>
      </w:pPr>
      <w:r>
        <w:rPr>
          <w:rFonts w:hint="eastAsia"/>
          <w:highlight w:val="none"/>
          <w:lang w:val="en-US" w:eastAsia="zh-CN"/>
        </w:rPr>
        <w:t>（4）兽类</w:t>
      </w:r>
    </w:p>
    <w:p w14:paraId="795CA957">
      <w:pPr>
        <w:bidi w:val="0"/>
        <w:rPr>
          <w:rFonts w:hint="eastAsia"/>
          <w:highlight w:val="none"/>
          <w:lang w:val="en-US" w:eastAsia="zh-CN"/>
        </w:rPr>
      </w:pPr>
      <w:r>
        <w:rPr>
          <w:rFonts w:hint="eastAsia"/>
          <w:highlight w:val="none"/>
          <w:lang w:val="en-US" w:eastAsia="zh-CN"/>
        </w:rPr>
        <w:t>①种类组成</w:t>
      </w:r>
    </w:p>
    <w:p w14:paraId="40266424">
      <w:pPr>
        <w:bidi w:val="0"/>
        <w:rPr>
          <w:rFonts w:hint="eastAsia"/>
          <w:highlight w:val="none"/>
          <w:lang w:val="en-US" w:eastAsia="zh-CN"/>
        </w:rPr>
      </w:pPr>
      <w:r>
        <w:rPr>
          <w:rFonts w:hint="eastAsia"/>
          <w:highlight w:val="none"/>
          <w:lang w:val="en-US" w:eastAsia="zh-CN"/>
        </w:rPr>
        <w:t>根据现场调查，本工程评价范围内兽类主要以黄胸鼠（</w:t>
      </w:r>
      <w:r>
        <w:rPr>
          <w:rFonts w:hint="eastAsia"/>
          <w:i/>
          <w:iCs/>
          <w:highlight w:val="none"/>
          <w:lang w:val="en-US" w:eastAsia="zh-CN"/>
        </w:rPr>
        <w:t>Rattustanezumi</w:t>
      </w:r>
      <w:r>
        <w:rPr>
          <w:rFonts w:hint="eastAsia"/>
          <w:highlight w:val="none"/>
          <w:lang w:val="en-US" w:eastAsia="zh-CN"/>
        </w:rPr>
        <w:t>）、褐家鼠黄鼬（</w:t>
      </w:r>
      <w:r>
        <w:rPr>
          <w:rFonts w:hint="eastAsia"/>
          <w:i/>
          <w:iCs/>
          <w:highlight w:val="none"/>
          <w:lang w:val="en-US" w:eastAsia="zh-CN"/>
        </w:rPr>
        <w:t>Mustelasibirica</w:t>
      </w:r>
      <w:r>
        <w:rPr>
          <w:rFonts w:hint="eastAsia"/>
          <w:highlight w:val="none"/>
          <w:lang w:val="en-US" w:eastAsia="zh-CN"/>
        </w:rPr>
        <w:t>）、小家鼠（</w:t>
      </w:r>
      <w:r>
        <w:rPr>
          <w:rFonts w:hint="eastAsia"/>
          <w:i/>
          <w:iCs/>
          <w:highlight w:val="none"/>
          <w:lang w:val="en-US" w:eastAsia="zh-CN"/>
        </w:rPr>
        <w:t>Musmusculus</w:t>
      </w:r>
      <w:r>
        <w:rPr>
          <w:rFonts w:hint="eastAsia"/>
          <w:highlight w:val="none"/>
          <w:lang w:val="en-US" w:eastAsia="zh-CN"/>
        </w:rPr>
        <w:t>）、白腹鼠（</w:t>
      </w:r>
      <w:r>
        <w:rPr>
          <w:rFonts w:hint="eastAsia"/>
          <w:i/>
          <w:iCs/>
          <w:highlight w:val="none"/>
          <w:lang w:val="en-US" w:eastAsia="zh-CN"/>
        </w:rPr>
        <w:t>Leopoldamys edwardsi</w:t>
      </w:r>
      <w:r>
        <w:rPr>
          <w:rFonts w:hint="eastAsia"/>
          <w:highlight w:val="none"/>
          <w:lang w:val="en-US" w:eastAsia="zh-CN"/>
        </w:rPr>
        <w:t>）等为主。经查阅资料，评价范围内常见的兽类繁殖期为全年（如黄胸鼠、小家鼠）；无明显越冬停滞期，冬季活动减少；无长距离迁徙。</w:t>
      </w:r>
    </w:p>
    <w:p w14:paraId="5CC21D39">
      <w:pPr>
        <w:bidi w:val="0"/>
        <w:rPr>
          <w:rFonts w:hint="eastAsia"/>
          <w:highlight w:val="none"/>
          <w:lang w:val="en-US" w:eastAsia="zh-CN"/>
        </w:rPr>
      </w:pPr>
      <w:r>
        <w:rPr>
          <w:rFonts w:hint="eastAsia"/>
          <w:highlight w:val="none"/>
          <w:lang w:val="en-US" w:eastAsia="zh-CN"/>
        </w:rPr>
        <w:t>②国家重点保护种</w:t>
      </w:r>
    </w:p>
    <w:p w14:paraId="17A20D21">
      <w:pPr>
        <w:bidi w:val="0"/>
        <w:rPr>
          <w:rFonts w:hint="eastAsia"/>
          <w:highlight w:val="yellow"/>
          <w:lang w:val="en-US" w:eastAsia="zh-CN"/>
        </w:rPr>
      </w:pPr>
      <w:r>
        <w:rPr>
          <w:rFonts w:hint="eastAsia"/>
          <w:highlight w:val="none"/>
          <w:lang w:val="en-US" w:eastAsia="zh-CN"/>
        </w:rPr>
        <w:t>兽类中无国家重点保护种。</w:t>
      </w:r>
    </w:p>
    <w:p w14:paraId="0A2B08CD">
      <w:pPr>
        <w:pStyle w:val="11"/>
        <w:numPr>
          <w:ilvl w:val="4"/>
          <w:numId w:val="1"/>
        </w:numPr>
        <w:tabs>
          <w:tab w:val="clear" w:pos="828"/>
        </w:tabs>
        <w:bidi w:val="0"/>
        <w:ind w:left="991" w:leftChars="0" w:hanging="991" w:firstLineChars="0"/>
        <w:rPr>
          <w:rFonts w:hint="default"/>
          <w:lang w:val="en-US" w:eastAsia="zh-CN"/>
        </w:rPr>
      </w:pPr>
      <w:r>
        <w:rPr>
          <w:rFonts w:hint="eastAsia"/>
          <w:lang w:val="en-US" w:eastAsia="zh-CN"/>
        </w:rPr>
        <w:t>植被</w:t>
      </w:r>
    </w:p>
    <w:p w14:paraId="34FB0502">
      <w:pPr>
        <w:bidi w:val="0"/>
        <w:rPr>
          <w:rFonts w:hint="eastAsia"/>
          <w:highlight w:val="none"/>
          <w:lang w:val="en-US" w:eastAsia="zh-CN"/>
        </w:rPr>
      </w:pPr>
      <w:r>
        <w:rPr>
          <w:rFonts w:hint="eastAsia"/>
          <w:highlight w:val="none"/>
          <w:lang w:val="en-US" w:eastAsia="zh-CN"/>
        </w:rPr>
        <w:t>本工程生态评价范围选用项目用地红线边界往外延伸500m的范围，评价面积约225.07万m</w:t>
      </w:r>
      <w:r>
        <w:rPr>
          <w:rFonts w:hint="eastAsia"/>
          <w:highlight w:val="none"/>
          <w:vertAlign w:val="superscript"/>
          <w:lang w:val="en-US" w:eastAsia="zh-CN"/>
        </w:rPr>
        <w:t>2</w:t>
      </w:r>
      <w:r>
        <w:rPr>
          <w:rFonts w:hint="eastAsia"/>
          <w:highlight w:val="none"/>
          <w:lang w:val="en-US" w:eastAsia="zh-CN"/>
        </w:rPr>
        <w:t>。评价区内植被包括自然植被和人工植被，其中自然植被包括针叶林、针阔混交林、阔叶林和灌丛，总面积为181.145万m</w:t>
      </w:r>
      <w:r>
        <w:rPr>
          <w:rFonts w:hint="eastAsia"/>
          <w:highlight w:val="none"/>
          <w:vertAlign w:val="superscript"/>
          <w:lang w:val="en-US" w:eastAsia="zh-CN"/>
        </w:rPr>
        <w:t>2</w:t>
      </w:r>
      <w:r>
        <w:rPr>
          <w:rFonts w:hint="eastAsia"/>
          <w:highlight w:val="none"/>
          <w:lang w:val="en-US" w:eastAsia="zh-CN"/>
        </w:rPr>
        <w:t>，占评价区总面积的80.48%。工程占地类型见表4.3-5，评价区植被类型详见表4.3-6。</w:t>
      </w:r>
    </w:p>
    <w:p w14:paraId="26AB2134">
      <w:pPr>
        <w:bidi w:val="0"/>
        <w:ind w:left="0" w:leftChars="0" w:firstLine="0" w:firstLineChars="0"/>
        <w:jc w:val="center"/>
        <w:rPr>
          <w:rFonts w:hint="eastAsia"/>
          <w:b/>
          <w:bCs/>
          <w:sz w:val="21"/>
          <w:szCs w:val="21"/>
          <w:highlight w:val="none"/>
          <w:lang w:val="en-US" w:eastAsia="zh-CN"/>
        </w:rPr>
      </w:pPr>
      <w:r>
        <w:rPr>
          <w:rFonts w:hint="eastAsia"/>
          <w:b/>
          <w:bCs/>
          <w:sz w:val="21"/>
          <w:szCs w:val="21"/>
          <w:highlight w:val="none"/>
          <w:lang w:val="en-US" w:eastAsia="zh-CN"/>
        </w:rPr>
        <w:t>表4.3-5  工程占地类型面积一览表</w:t>
      </w:r>
    </w:p>
    <w:tbl>
      <w:tblPr>
        <w:tblStyle w:val="36"/>
        <w:tblW w:w="4996"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827"/>
        <w:gridCol w:w="1324"/>
        <w:gridCol w:w="1944"/>
        <w:gridCol w:w="1762"/>
        <w:gridCol w:w="1467"/>
        <w:gridCol w:w="1957"/>
      </w:tblGrid>
      <w:tr w14:paraId="42C934B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446" w:type="pct"/>
            <w:tcBorders>
              <w:tl2br w:val="nil"/>
              <w:tr2bl w:val="nil"/>
            </w:tcBorders>
            <w:noWrap w:val="0"/>
            <w:vAlign w:val="center"/>
          </w:tcPr>
          <w:p w14:paraId="6B553CE2">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b/>
                <w:bCs/>
                <w:sz w:val="21"/>
                <w:szCs w:val="21"/>
                <w:highlight w:val="none"/>
                <w:lang w:val="en-US" w:eastAsia="zh-CN"/>
              </w:rPr>
            </w:pPr>
            <w:r>
              <w:rPr>
                <w:rFonts w:hint="eastAsia"/>
                <w:b/>
                <w:bCs/>
                <w:sz w:val="21"/>
                <w:szCs w:val="21"/>
                <w:highlight w:val="none"/>
                <w:lang w:val="en-US" w:eastAsia="zh-CN"/>
              </w:rPr>
              <w:t>序号</w:t>
            </w:r>
          </w:p>
        </w:tc>
        <w:tc>
          <w:tcPr>
            <w:tcW w:w="713" w:type="pct"/>
            <w:tcBorders>
              <w:tl2br w:val="nil"/>
              <w:tr2bl w:val="nil"/>
            </w:tcBorders>
            <w:noWrap w:val="0"/>
            <w:vAlign w:val="center"/>
          </w:tcPr>
          <w:p w14:paraId="1696DCB0">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b/>
                <w:bCs/>
                <w:sz w:val="21"/>
                <w:szCs w:val="21"/>
                <w:highlight w:val="none"/>
                <w:lang w:val="en-US" w:eastAsia="zh-CN"/>
              </w:rPr>
            </w:pPr>
            <w:r>
              <w:rPr>
                <w:rFonts w:hint="eastAsia"/>
                <w:b/>
                <w:bCs/>
                <w:sz w:val="21"/>
                <w:szCs w:val="21"/>
                <w:highlight w:val="none"/>
                <w:lang w:val="en-US" w:eastAsia="zh-CN"/>
              </w:rPr>
              <w:t>占地性质</w:t>
            </w:r>
          </w:p>
        </w:tc>
        <w:tc>
          <w:tcPr>
            <w:tcW w:w="1047" w:type="pct"/>
            <w:tcBorders>
              <w:tl2br w:val="nil"/>
              <w:tr2bl w:val="nil"/>
            </w:tcBorders>
            <w:noWrap w:val="0"/>
            <w:vAlign w:val="center"/>
          </w:tcPr>
          <w:p w14:paraId="2870116E">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b/>
                <w:bCs/>
                <w:sz w:val="21"/>
                <w:szCs w:val="21"/>
                <w:highlight w:val="none"/>
                <w:lang w:val="en-US" w:eastAsia="zh-CN"/>
              </w:rPr>
            </w:pPr>
            <w:r>
              <w:rPr>
                <w:rFonts w:hint="eastAsia"/>
                <w:b/>
                <w:bCs/>
                <w:sz w:val="21"/>
                <w:szCs w:val="21"/>
                <w:highlight w:val="none"/>
                <w:lang w:val="en-US" w:eastAsia="zh-CN"/>
              </w:rPr>
              <w:t>项目组成</w:t>
            </w:r>
          </w:p>
        </w:tc>
        <w:tc>
          <w:tcPr>
            <w:tcW w:w="948" w:type="pct"/>
            <w:tcBorders>
              <w:tl2br w:val="nil"/>
              <w:tr2bl w:val="nil"/>
            </w:tcBorders>
            <w:noWrap w:val="0"/>
            <w:vAlign w:val="center"/>
          </w:tcPr>
          <w:p w14:paraId="02ACBDFE">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b/>
                <w:bCs/>
                <w:sz w:val="21"/>
                <w:szCs w:val="21"/>
                <w:highlight w:val="none"/>
                <w:lang w:val="en-US" w:eastAsia="zh-CN"/>
              </w:rPr>
            </w:pPr>
            <w:r>
              <w:rPr>
                <w:rFonts w:hint="eastAsia"/>
                <w:b/>
                <w:bCs/>
                <w:sz w:val="21"/>
                <w:szCs w:val="21"/>
                <w:highlight w:val="none"/>
                <w:lang w:val="en-US" w:eastAsia="zh-CN"/>
              </w:rPr>
              <w:t>占地类型</w:t>
            </w:r>
          </w:p>
        </w:tc>
        <w:tc>
          <w:tcPr>
            <w:tcW w:w="790" w:type="pct"/>
            <w:tcBorders>
              <w:tl2br w:val="nil"/>
              <w:tr2bl w:val="nil"/>
            </w:tcBorders>
            <w:noWrap w:val="0"/>
            <w:vAlign w:val="center"/>
          </w:tcPr>
          <w:p w14:paraId="072AEE59">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b/>
                <w:bCs/>
                <w:sz w:val="21"/>
                <w:szCs w:val="21"/>
                <w:highlight w:val="none"/>
                <w:lang w:val="en-US" w:eastAsia="zh-CN"/>
              </w:rPr>
            </w:pPr>
            <w:r>
              <w:rPr>
                <w:rFonts w:hint="eastAsia"/>
                <w:b/>
                <w:bCs/>
                <w:sz w:val="21"/>
                <w:szCs w:val="21"/>
                <w:highlight w:val="none"/>
                <w:lang w:val="en-US" w:eastAsia="zh-CN"/>
              </w:rPr>
              <w:t>面积（m</w:t>
            </w:r>
            <w:r>
              <w:rPr>
                <w:rFonts w:hint="eastAsia"/>
                <w:b/>
                <w:bCs/>
                <w:sz w:val="21"/>
                <w:szCs w:val="21"/>
                <w:highlight w:val="none"/>
                <w:vertAlign w:val="superscript"/>
                <w:lang w:val="en-US" w:eastAsia="zh-CN"/>
              </w:rPr>
              <w:t>2</w:t>
            </w:r>
            <w:r>
              <w:rPr>
                <w:rFonts w:hint="eastAsia"/>
                <w:b/>
                <w:bCs/>
                <w:sz w:val="21"/>
                <w:szCs w:val="21"/>
                <w:highlight w:val="none"/>
                <w:lang w:val="en-US" w:eastAsia="zh-CN"/>
              </w:rPr>
              <w:t>）</w:t>
            </w:r>
          </w:p>
        </w:tc>
        <w:tc>
          <w:tcPr>
            <w:tcW w:w="1054" w:type="pct"/>
            <w:tcBorders>
              <w:tl2br w:val="nil"/>
              <w:tr2bl w:val="nil"/>
            </w:tcBorders>
            <w:noWrap w:val="0"/>
            <w:vAlign w:val="center"/>
          </w:tcPr>
          <w:p w14:paraId="5539AB8C">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b/>
                <w:bCs/>
                <w:sz w:val="21"/>
                <w:szCs w:val="21"/>
                <w:highlight w:val="none"/>
                <w:lang w:val="en-US" w:eastAsia="zh-CN"/>
              </w:rPr>
            </w:pPr>
            <w:r>
              <w:rPr>
                <w:rFonts w:hint="eastAsia"/>
                <w:b/>
                <w:bCs/>
                <w:sz w:val="21"/>
                <w:szCs w:val="21"/>
                <w:highlight w:val="none"/>
                <w:lang w:val="en-US" w:eastAsia="zh-CN"/>
              </w:rPr>
              <w:t>占评价区比例（%）</w:t>
            </w:r>
          </w:p>
        </w:tc>
      </w:tr>
      <w:tr w14:paraId="7900C57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46" w:type="pct"/>
            <w:tcBorders>
              <w:tl2br w:val="nil"/>
              <w:tr2bl w:val="nil"/>
            </w:tcBorders>
            <w:noWrap w:val="0"/>
            <w:vAlign w:val="center"/>
          </w:tcPr>
          <w:p w14:paraId="4341902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1</w:t>
            </w:r>
          </w:p>
        </w:tc>
        <w:tc>
          <w:tcPr>
            <w:tcW w:w="713" w:type="pct"/>
            <w:vMerge w:val="restart"/>
            <w:tcBorders>
              <w:tl2br w:val="nil"/>
              <w:tr2bl w:val="nil"/>
            </w:tcBorders>
            <w:noWrap w:val="0"/>
            <w:vAlign w:val="center"/>
          </w:tcPr>
          <w:p w14:paraId="3695BC6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lang w:val="en-US" w:eastAsia="zh-CN"/>
              </w:rPr>
            </w:pPr>
            <w:r>
              <w:rPr>
                <w:rFonts w:hint="eastAsia"/>
                <w:sz w:val="21"/>
                <w:szCs w:val="21"/>
                <w:highlight w:val="none"/>
                <w:lang w:val="en-US" w:eastAsia="zh-CN"/>
              </w:rPr>
              <w:t>永久占地</w:t>
            </w:r>
          </w:p>
        </w:tc>
        <w:tc>
          <w:tcPr>
            <w:tcW w:w="1047" w:type="pct"/>
            <w:vMerge w:val="restart"/>
            <w:tcBorders>
              <w:tl2br w:val="nil"/>
              <w:tr2bl w:val="nil"/>
            </w:tcBorders>
            <w:noWrap w:val="0"/>
            <w:vAlign w:val="center"/>
          </w:tcPr>
          <w:p w14:paraId="3AED507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lang w:val="en-US" w:eastAsia="zh-CN"/>
              </w:rPr>
            </w:pPr>
            <w:r>
              <w:rPr>
                <w:rFonts w:hint="eastAsia"/>
                <w:sz w:val="21"/>
                <w:szCs w:val="21"/>
                <w:highlight w:val="none"/>
                <w:lang w:val="en-US" w:eastAsia="zh-CN"/>
              </w:rPr>
              <w:t>填埋区</w:t>
            </w:r>
          </w:p>
        </w:tc>
        <w:tc>
          <w:tcPr>
            <w:tcW w:w="948" w:type="pct"/>
            <w:tcBorders>
              <w:tl2br w:val="nil"/>
              <w:tr2bl w:val="nil"/>
            </w:tcBorders>
            <w:noWrap w:val="0"/>
            <w:vAlign w:val="center"/>
          </w:tcPr>
          <w:p w14:paraId="7E20C7F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lang w:val="en-US" w:eastAsia="zh-CN"/>
              </w:rPr>
            </w:pPr>
            <w:r>
              <w:rPr>
                <w:rFonts w:hint="eastAsia"/>
                <w:sz w:val="21"/>
                <w:szCs w:val="21"/>
                <w:highlight w:val="none"/>
                <w:lang w:val="en-US" w:eastAsia="zh-CN"/>
              </w:rPr>
              <w:t>农业植被（耕地）</w:t>
            </w:r>
          </w:p>
        </w:tc>
        <w:tc>
          <w:tcPr>
            <w:tcW w:w="790" w:type="pct"/>
            <w:tcBorders>
              <w:tl2br w:val="nil"/>
              <w:tr2bl w:val="nil"/>
            </w:tcBorders>
            <w:noWrap w:val="0"/>
            <w:vAlign w:val="center"/>
          </w:tcPr>
          <w:p w14:paraId="2B8DD50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lang w:val="en-US" w:eastAsia="zh-CN"/>
              </w:rPr>
            </w:pPr>
            <w:r>
              <w:rPr>
                <w:rFonts w:hint="eastAsia"/>
                <w:sz w:val="21"/>
                <w:szCs w:val="21"/>
                <w:highlight w:val="none"/>
                <w:lang w:val="en-US" w:eastAsia="zh-CN"/>
              </w:rPr>
              <w:t>3043</w:t>
            </w:r>
          </w:p>
        </w:tc>
        <w:tc>
          <w:tcPr>
            <w:tcW w:w="1054" w:type="pct"/>
            <w:tcBorders>
              <w:tl2br w:val="nil"/>
              <w:tr2bl w:val="nil"/>
            </w:tcBorders>
            <w:noWrap w:val="0"/>
            <w:vAlign w:val="center"/>
          </w:tcPr>
          <w:p w14:paraId="76A555B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11.79</w:t>
            </w:r>
          </w:p>
        </w:tc>
      </w:tr>
      <w:tr w14:paraId="413BB69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46" w:type="pct"/>
            <w:tcBorders>
              <w:tl2br w:val="nil"/>
              <w:tr2bl w:val="nil"/>
            </w:tcBorders>
            <w:noWrap w:val="0"/>
            <w:vAlign w:val="center"/>
          </w:tcPr>
          <w:p w14:paraId="58E0C2C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2</w:t>
            </w:r>
          </w:p>
        </w:tc>
        <w:tc>
          <w:tcPr>
            <w:tcW w:w="713" w:type="pct"/>
            <w:vMerge w:val="continue"/>
            <w:tcBorders>
              <w:tl2br w:val="nil"/>
              <w:tr2bl w:val="nil"/>
            </w:tcBorders>
            <w:noWrap w:val="0"/>
            <w:vAlign w:val="center"/>
          </w:tcPr>
          <w:p w14:paraId="1E93FC9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lang w:val="en-US" w:eastAsia="zh-CN"/>
              </w:rPr>
            </w:pPr>
          </w:p>
        </w:tc>
        <w:tc>
          <w:tcPr>
            <w:tcW w:w="1047" w:type="pct"/>
            <w:vMerge w:val="continue"/>
            <w:tcBorders>
              <w:tl2br w:val="nil"/>
              <w:tr2bl w:val="nil"/>
            </w:tcBorders>
            <w:noWrap w:val="0"/>
            <w:vAlign w:val="center"/>
          </w:tcPr>
          <w:p w14:paraId="697E806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lang w:val="en-US" w:eastAsia="zh-CN"/>
              </w:rPr>
            </w:pPr>
          </w:p>
        </w:tc>
        <w:tc>
          <w:tcPr>
            <w:tcW w:w="948" w:type="pct"/>
            <w:tcBorders>
              <w:tl2br w:val="nil"/>
              <w:tr2bl w:val="nil"/>
            </w:tcBorders>
            <w:noWrap w:val="0"/>
            <w:vAlign w:val="center"/>
          </w:tcPr>
          <w:p w14:paraId="0B7BBEF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lang w:val="en-US" w:eastAsia="zh-CN"/>
              </w:rPr>
            </w:pPr>
            <w:r>
              <w:rPr>
                <w:rFonts w:hint="eastAsia"/>
                <w:sz w:val="21"/>
                <w:szCs w:val="21"/>
                <w:highlight w:val="none"/>
                <w:lang w:val="en-US" w:eastAsia="zh-CN"/>
              </w:rPr>
              <w:t>乔木林（林地）</w:t>
            </w:r>
          </w:p>
        </w:tc>
        <w:tc>
          <w:tcPr>
            <w:tcW w:w="790" w:type="pct"/>
            <w:tcBorders>
              <w:tl2br w:val="nil"/>
              <w:tr2bl w:val="nil"/>
            </w:tcBorders>
            <w:noWrap w:val="0"/>
            <w:vAlign w:val="center"/>
          </w:tcPr>
          <w:p w14:paraId="082BAFD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lang w:val="en-US" w:eastAsia="zh-CN"/>
              </w:rPr>
            </w:pPr>
            <w:r>
              <w:rPr>
                <w:rFonts w:hint="eastAsia"/>
                <w:sz w:val="21"/>
                <w:szCs w:val="21"/>
                <w:highlight w:val="none"/>
                <w:lang w:val="en-US" w:eastAsia="zh-CN"/>
              </w:rPr>
              <w:t>4762</w:t>
            </w:r>
          </w:p>
        </w:tc>
        <w:tc>
          <w:tcPr>
            <w:tcW w:w="1054" w:type="pct"/>
            <w:tcBorders>
              <w:tl2br w:val="nil"/>
              <w:tr2bl w:val="nil"/>
            </w:tcBorders>
            <w:noWrap w:val="0"/>
            <w:vAlign w:val="center"/>
          </w:tcPr>
          <w:p w14:paraId="5E008A3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18.45</w:t>
            </w:r>
          </w:p>
        </w:tc>
      </w:tr>
      <w:tr w14:paraId="0C25457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46" w:type="pct"/>
            <w:tcBorders>
              <w:tl2br w:val="nil"/>
              <w:tr2bl w:val="nil"/>
            </w:tcBorders>
            <w:noWrap w:val="0"/>
            <w:vAlign w:val="center"/>
          </w:tcPr>
          <w:p w14:paraId="59E9107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3</w:t>
            </w:r>
          </w:p>
        </w:tc>
        <w:tc>
          <w:tcPr>
            <w:tcW w:w="713" w:type="pct"/>
            <w:vMerge w:val="restart"/>
            <w:tcBorders>
              <w:tl2br w:val="nil"/>
              <w:tr2bl w:val="nil"/>
            </w:tcBorders>
            <w:noWrap w:val="0"/>
            <w:vAlign w:val="center"/>
          </w:tcPr>
          <w:p w14:paraId="727FFFD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lang w:val="en-US" w:eastAsia="zh-CN"/>
              </w:rPr>
            </w:pPr>
            <w:r>
              <w:rPr>
                <w:rFonts w:hint="eastAsia"/>
                <w:sz w:val="21"/>
                <w:szCs w:val="21"/>
                <w:highlight w:val="none"/>
                <w:lang w:val="en-US" w:eastAsia="zh-CN"/>
              </w:rPr>
              <w:t>临时占地</w:t>
            </w:r>
          </w:p>
        </w:tc>
        <w:tc>
          <w:tcPr>
            <w:tcW w:w="1047" w:type="pct"/>
            <w:tcBorders>
              <w:tl2br w:val="nil"/>
              <w:tr2bl w:val="nil"/>
            </w:tcBorders>
            <w:noWrap w:val="0"/>
            <w:vAlign w:val="center"/>
          </w:tcPr>
          <w:p w14:paraId="42E3793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lang w:val="en-US" w:eastAsia="zh-CN"/>
              </w:rPr>
            </w:pPr>
            <w:r>
              <w:rPr>
                <w:rFonts w:hint="eastAsia"/>
                <w:sz w:val="21"/>
                <w:szCs w:val="21"/>
                <w:highlight w:val="none"/>
                <w:lang w:val="en-US" w:eastAsia="zh-CN"/>
              </w:rPr>
              <w:t>废渣区</w:t>
            </w:r>
          </w:p>
        </w:tc>
        <w:tc>
          <w:tcPr>
            <w:tcW w:w="948" w:type="pct"/>
            <w:tcBorders>
              <w:tl2br w:val="nil"/>
              <w:tr2bl w:val="nil"/>
            </w:tcBorders>
            <w:noWrap w:val="0"/>
            <w:vAlign w:val="center"/>
          </w:tcPr>
          <w:p w14:paraId="1679F1D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乔木林（林地）</w:t>
            </w:r>
          </w:p>
        </w:tc>
        <w:tc>
          <w:tcPr>
            <w:tcW w:w="790" w:type="pct"/>
            <w:tcBorders>
              <w:tl2br w:val="nil"/>
              <w:tr2bl w:val="nil"/>
            </w:tcBorders>
            <w:noWrap w:val="0"/>
            <w:vAlign w:val="center"/>
          </w:tcPr>
          <w:p w14:paraId="34CFF7B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lang w:val="en-US" w:eastAsia="zh-CN"/>
              </w:rPr>
            </w:pPr>
            <w:r>
              <w:rPr>
                <w:rFonts w:hint="eastAsia"/>
                <w:sz w:val="21"/>
                <w:szCs w:val="21"/>
                <w:highlight w:val="none"/>
                <w:lang w:val="en-US" w:eastAsia="zh-CN"/>
              </w:rPr>
              <w:t>9010</w:t>
            </w:r>
          </w:p>
        </w:tc>
        <w:tc>
          <w:tcPr>
            <w:tcW w:w="1054" w:type="pct"/>
            <w:tcBorders>
              <w:tl2br w:val="nil"/>
              <w:tr2bl w:val="nil"/>
            </w:tcBorders>
            <w:noWrap w:val="0"/>
            <w:vAlign w:val="center"/>
          </w:tcPr>
          <w:p w14:paraId="0D56117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34.90</w:t>
            </w:r>
          </w:p>
        </w:tc>
      </w:tr>
      <w:tr w14:paraId="74DE890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46" w:type="pct"/>
            <w:tcBorders>
              <w:tl2br w:val="nil"/>
              <w:tr2bl w:val="nil"/>
            </w:tcBorders>
            <w:noWrap w:val="0"/>
            <w:vAlign w:val="center"/>
          </w:tcPr>
          <w:p w14:paraId="5CCA45D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4</w:t>
            </w:r>
          </w:p>
        </w:tc>
        <w:tc>
          <w:tcPr>
            <w:tcW w:w="713" w:type="pct"/>
            <w:vMerge w:val="continue"/>
            <w:tcBorders>
              <w:tl2br w:val="nil"/>
              <w:tr2bl w:val="nil"/>
            </w:tcBorders>
            <w:noWrap w:val="0"/>
            <w:vAlign w:val="center"/>
          </w:tcPr>
          <w:p w14:paraId="19BD2A2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lang w:val="en-US" w:eastAsia="zh-CN"/>
              </w:rPr>
            </w:pPr>
          </w:p>
        </w:tc>
        <w:tc>
          <w:tcPr>
            <w:tcW w:w="1047" w:type="pct"/>
            <w:vMerge w:val="restart"/>
            <w:tcBorders>
              <w:tl2br w:val="nil"/>
              <w:tr2bl w:val="nil"/>
            </w:tcBorders>
            <w:noWrap w:val="0"/>
            <w:vAlign w:val="center"/>
          </w:tcPr>
          <w:p w14:paraId="0EB1EC8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lang w:val="en-US" w:eastAsia="zh-CN"/>
              </w:rPr>
            </w:pPr>
            <w:r>
              <w:rPr>
                <w:rFonts w:hint="eastAsia"/>
                <w:sz w:val="21"/>
                <w:szCs w:val="21"/>
                <w:highlight w:val="none"/>
                <w:lang w:val="en-US" w:eastAsia="zh-CN"/>
              </w:rPr>
              <w:t>取土场</w:t>
            </w:r>
          </w:p>
        </w:tc>
        <w:tc>
          <w:tcPr>
            <w:tcW w:w="948" w:type="pct"/>
            <w:tcBorders>
              <w:tl2br w:val="nil"/>
              <w:tr2bl w:val="nil"/>
            </w:tcBorders>
            <w:noWrap w:val="0"/>
            <w:vAlign w:val="center"/>
          </w:tcPr>
          <w:p w14:paraId="3D27E91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乔木林（林地）</w:t>
            </w:r>
          </w:p>
        </w:tc>
        <w:tc>
          <w:tcPr>
            <w:tcW w:w="790" w:type="pct"/>
            <w:tcBorders>
              <w:tl2br w:val="nil"/>
              <w:tr2bl w:val="nil"/>
            </w:tcBorders>
            <w:noWrap w:val="0"/>
            <w:vAlign w:val="center"/>
          </w:tcPr>
          <w:p w14:paraId="206A9AF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lang w:val="en-US" w:eastAsia="zh-CN"/>
              </w:rPr>
            </w:pPr>
            <w:r>
              <w:rPr>
                <w:rFonts w:hint="eastAsia"/>
                <w:sz w:val="21"/>
                <w:szCs w:val="21"/>
                <w:highlight w:val="none"/>
                <w:lang w:val="en-US" w:eastAsia="zh-CN"/>
              </w:rPr>
              <w:t>2536</w:t>
            </w:r>
          </w:p>
        </w:tc>
        <w:tc>
          <w:tcPr>
            <w:tcW w:w="1054" w:type="pct"/>
            <w:tcBorders>
              <w:tl2br w:val="nil"/>
              <w:tr2bl w:val="nil"/>
            </w:tcBorders>
            <w:noWrap w:val="0"/>
            <w:vAlign w:val="center"/>
          </w:tcPr>
          <w:p w14:paraId="7219B7E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9.82</w:t>
            </w:r>
          </w:p>
        </w:tc>
      </w:tr>
      <w:tr w14:paraId="50F1D18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46" w:type="pct"/>
            <w:tcBorders>
              <w:tl2br w:val="nil"/>
              <w:tr2bl w:val="nil"/>
            </w:tcBorders>
            <w:noWrap w:val="0"/>
            <w:vAlign w:val="center"/>
          </w:tcPr>
          <w:p w14:paraId="2713AD9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lang w:val="en-US" w:eastAsia="zh-CN"/>
              </w:rPr>
            </w:pPr>
            <w:r>
              <w:rPr>
                <w:rFonts w:hint="eastAsia"/>
                <w:sz w:val="21"/>
                <w:szCs w:val="21"/>
                <w:highlight w:val="none"/>
                <w:lang w:val="en-US" w:eastAsia="zh-CN"/>
              </w:rPr>
              <w:t>5</w:t>
            </w:r>
          </w:p>
        </w:tc>
        <w:tc>
          <w:tcPr>
            <w:tcW w:w="713" w:type="pct"/>
            <w:vMerge w:val="continue"/>
            <w:tcBorders>
              <w:tl2br w:val="nil"/>
              <w:tr2bl w:val="nil"/>
            </w:tcBorders>
            <w:noWrap w:val="0"/>
            <w:vAlign w:val="center"/>
          </w:tcPr>
          <w:p w14:paraId="1CE1859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lang w:val="en-US" w:eastAsia="zh-CN"/>
              </w:rPr>
            </w:pPr>
          </w:p>
        </w:tc>
        <w:tc>
          <w:tcPr>
            <w:tcW w:w="1047" w:type="pct"/>
            <w:vMerge w:val="continue"/>
            <w:tcBorders>
              <w:tl2br w:val="nil"/>
              <w:tr2bl w:val="nil"/>
            </w:tcBorders>
            <w:noWrap w:val="0"/>
            <w:vAlign w:val="center"/>
          </w:tcPr>
          <w:p w14:paraId="4003277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lang w:val="en-US" w:eastAsia="zh-CN"/>
              </w:rPr>
            </w:pPr>
          </w:p>
        </w:tc>
        <w:tc>
          <w:tcPr>
            <w:tcW w:w="948" w:type="pct"/>
            <w:tcBorders>
              <w:tl2br w:val="nil"/>
              <w:tr2bl w:val="nil"/>
            </w:tcBorders>
            <w:noWrap w:val="0"/>
            <w:vAlign w:val="center"/>
          </w:tcPr>
          <w:p w14:paraId="005076F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lang w:val="en-US" w:eastAsia="zh-CN"/>
              </w:rPr>
            </w:pPr>
            <w:r>
              <w:rPr>
                <w:rFonts w:hint="eastAsia"/>
                <w:sz w:val="21"/>
                <w:szCs w:val="21"/>
                <w:highlight w:val="none"/>
                <w:lang w:val="en-US" w:eastAsia="zh-CN"/>
              </w:rPr>
              <w:t>其他</w:t>
            </w:r>
          </w:p>
        </w:tc>
        <w:tc>
          <w:tcPr>
            <w:tcW w:w="790" w:type="pct"/>
            <w:tcBorders>
              <w:tl2br w:val="nil"/>
              <w:tr2bl w:val="nil"/>
            </w:tcBorders>
            <w:noWrap w:val="0"/>
            <w:vAlign w:val="center"/>
          </w:tcPr>
          <w:p w14:paraId="776971E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lang w:val="en-US" w:eastAsia="zh-CN"/>
              </w:rPr>
            </w:pPr>
            <w:r>
              <w:rPr>
                <w:rFonts w:hint="eastAsia"/>
                <w:sz w:val="21"/>
                <w:szCs w:val="21"/>
                <w:highlight w:val="none"/>
                <w:lang w:val="en-US" w:eastAsia="zh-CN"/>
              </w:rPr>
              <w:t>1132</w:t>
            </w:r>
          </w:p>
        </w:tc>
        <w:tc>
          <w:tcPr>
            <w:tcW w:w="1054" w:type="pct"/>
            <w:tcBorders>
              <w:tl2br w:val="nil"/>
              <w:tr2bl w:val="nil"/>
            </w:tcBorders>
            <w:noWrap w:val="0"/>
            <w:vAlign w:val="center"/>
          </w:tcPr>
          <w:p w14:paraId="43B634A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4.39</w:t>
            </w:r>
          </w:p>
        </w:tc>
      </w:tr>
      <w:tr w14:paraId="56C198E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46" w:type="pct"/>
            <w:tcBorders>
              <w:tl2br w:val="nil"/>
              <w:tr2bl w:val="nil"/>
            </w:tcBorders>
            <w:noWrap w:val="0"/>
            <w:vAlign w:val="center"/>
          </w:tcPr>
          <w:p w14:paraId="68AE4DD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lang w:val="en-US" w:eastAsia="zh-CN"/>
              </w:rPr>
            </w:pPr>
            <w:r>
              <w:rPr>
                <w:rFonts w:hint="eastAsia"/>
                <w:sz w:val="21"/>
                <w:szCs w:val="21"/>
                <w:highlight w:val="none"/>
                <w:lang w:val="en-US" w:eastAsia="zh-CN"/>
              </w:rPr>
              <w:t>6</w:t>
            </w:r>
          </w:p>
        </w:tc>
        <w:tc>
          <w:tcPr>
            <w:tcW w:w="713" w:type="pct"/>
            <w:vMerge w:val="continue"/>
            <w:tcBorders>
              <w:tl2br w:val="nil"/>
              <w:tr2bl w:val="nil"/>
            </w:tcBorders>
            <w:noWrap w:val="0"/>
            <w:vAlign w:val="center"/>
          </w:tcPr>
          <w:p w14:paraId="6A35714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lang w:val="en-US" w:eastAsia="zh-CN"/>
              </w:rPr>
            </w:pPr>
          </w:p>
        </w:tc>
        <w:tc>
          <w:tcPr>
            <w:tcW w:w="1047" w:type="pct"/>
            <w:vMerge w:val="restart"/>
            <w:tcBorders>
              <w:tl2br w:val="nil"/>
              <w:tr2bl w:val="nil"/>
            </w:tcBorders>
            <w:noWrap w:val="0"/>
            <w:vAlign w:val="center"/>
          </w:tcPr>
          <w:p w14:paraId="6C327F2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lang w:val="en-US" w:eastAsia="zh-CN"/>
              </w:rPr>
            </w:pPr>
            <w:r>
              <w:rPr>
                <w:rFonts w:hint="eastAsia"/>
                <w:sz w:val="21"/>
                <w:szCs w:val="21"/>
                <w:highlight w:val="none"/>
                <w:lang w:val="en-US" w:eastAsia="zh-CN"/>
              </w:rPr>
              <w:t>临时道路</w:t>
            </w:r>
          </w:p>
        </w:tc>
        <w:tc>
          <w:tcPr>
            <w:tcW w:w="948" w:type="pct"/>
            <w:tcBorders>
              <w:tl2br w:val="nil"/>
              <w:tr2bl w:val="nil"/>
            </w:tcBorders>
            <w:noWrap w:val="0"/>
            <w:vAlign w:val="center"/>
          </w:tcPr>
          <w:p w14:paraId="378D8E5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农业植被（耕地）</w:t>
            </w:r>
          </w:p>
        </w:tc>
        <w:tc>
          <w:tcPr>
            <w:tcW w:w="790" w:type="pct"/>
            <w:tcBorders>
              <w:tl2br w:val="nil"/>
              <w:tr2bl w:val="nil"/>
            </w:tcBorders>
            <w:noWrap w:val="0"/>
            <w:vAlign w:val="center"/>
          </w:tcPr>
          <w:p w14:paraId="67E9201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lang w:val="en-US" w:eastAsia="zh-CN"/>
              </w:rPr>
            </w:pPr>
            <w:r>
              <w:rPr>
                <w:rFonts w:hint="eastAsia"/>
                <w:sz w:val="21"/>
                <w:szCs w:val="21"/>
                <w:highlight w:val="none"/>
                <w:lang w:val="en-US" w:eastAsia="zh-CN"/>
              </w:rPr>
              <w:t>29</w:t>
            </w:r>
          </w:p>
        </w:tc>
        <w:tc>
          <w:tcPr>
            <w:tcW w:w="1054" w:type="pct"/>
            <w:tcBorders>
              <w:tl2br w:val="nil"/>
              <w:tr2bl w:val="nil"/>
            </w:tcBorders>
            <w:noWrap w:val="0"/>
            <w:vAlign w:val="center"/>
          </w:tcPr>
          <w:p w14:paraId="171BB46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0.11</w:t>
            </w:r>
          </w:p>
        </w:tc>
      </w:tr>
      <w:tr w14:paraId="6180F15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46" w:type="pct"/>
            <w:tcBorders>
              <w:tl2br w:val="nil"/>
              <w:tr2bl w:val="nil"/>
            </w:tcBorders>
            <w:noWrap w:val="0"/>
            <w:vAlign w:val="center"/>
          </w:tcPr>
          <w:p w14:paraId="710E690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lang w:val="en-US" w:eastAsia="zh-CN"/>
              </w:rPr>
            </w:pPr>
            <w:r>
              <w:rPr>
                <w:rFonts w:hint="eastAsia"/>
                <w:sz w:val="21"/>
                <w:szCs w:val="21"/>
                <w:highlight w:val="none"/>
                <w:lang w:val="en-US" w:eastAsia="zh-CN"/>
              </w:rPr>
              <w:t>7</w:t>
            </w:r>
          </w:p>
        </w:tc>
        <w:tc>
          <w:tcPr>
            <w:tcW w:w="713" w:type="pct"/>
            <w:vMerge w:val="continue"/>
            <w:tcBorders>
              <w:tl2br w:val="nil"/>
              <w:tr2bl w:val="nil"/>
            </w:tcBorders>
            <w:noWrap w:val="0"/>
            <w:vAlign w:val="center"/>
          </w:tcPr>
          <w:p w14:paraId="6AE0F6D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lang w:val="en-US" w:eastAsia="zh-CN"/>
              </w:rPr>
            </w:pPr>
          </w:p>
        </w:tc>
        <w:tc>
          <w:tcPr>
            <w:tcW w:w="1047" w:type="pct"/>
            <w:vMerge w:val="continue"/>
            <w:tcBorders>
              <w:tl2br w:val="nil"/>
              <w:tr2bl w:val="nil"/>
            </w:tcBorders>
            <w:noWrap w:val="0"/>
            <w:vAlign w:val="center"/>
          </w:tcPr>
          <w:p w14:paraId="6014550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lang w:val="en-US" w:eastAsia="zh-CN"/>
              </w:rPr>
            </w:pPr>
          </w:p>
        </w:tc>
        <w:tc>
          <w:tcPr>
            <w:tcW w:w="948" w:type="pct"/>
            <w:tcBorders>
              <w:tl2br w:val="nil"/>
              <w:tr2bl w:val="nil"/>
            </w:tcBorders>
            <w:noWrap w:val="0"/>
            <w:vAlign w:val="center"/>
          </w:tcPr>
          <w:p w14:paraId="4758725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乔木林（林地）</w:t>
            </w:r>
          </w:p>
        </w:tc>
        <w:tc>
          <w:tcPr>
            <w:tcW w:w="790" w:type="pct"/>
            <w:tcBorders>
              <w:tl2br w:val="nil"/>
              <w:tr2bl w:val="nil"/>
            </w:tcBorders>
            <w:noWrap w:val="0"/>
            <w:vAlign w:val="center"/>
          </w:tcPr>
          <w:p w14:paraId="5F0B0D7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lang w:val="en-US" w:eastAsia="zh-CN"/>
              </w:rPr>
            </w:pPr>
            <w:r>
              <w:rPr>
                <w:rFonts w:hint="eastAsia"/>
                <w:sz w:val="21"/>
                <w:szCs w:val="21"/>
                <w:highlight w:val="none"/>
                <w:lang w:val="en-US" w:eastAsia="zh-CN"/>
              </w:rPr>
              <w:t>5070</w:t>
            </w:r>
          </w:p>
        </w:tc>
        <w:tc>
          <w:tcPr>
            <w:tcW w:w="1054" w:type="pct"/>
            <w:tcBorders>
              <w:tl2br w:val="nil"/>
              <w:tr2bl w:val="nil"/>
            </w:tcBorders>
            <w:noWrap w:val="0"/>
            <w:vAlign w:val="center"/>
          </w:tcPr>
          <w:p w14:paraId="1D92EE7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19.64</w:t>
            </w:r>
          </w:p>
        </w:tc>
      </w:tr>
      <w:tr w14:paraId="4ABB9C4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46" w:type="pct"/>
            <w:tcBorders>
              <w:tl2br w:val="nil"/>
              <w:tr2bl w:val="nil"/>
            </w:tcBorders>
            <w:noWrap w:val="0"/>
            <w:vAlign w:val="center"/>
          </w:tcPr>
          <w:p w14:paraId="352D167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lang w:val="en-US" w:eastAsia="zh-CN"/>
              </w:rPr>
            </w:pPr>
            <w:r>
              <w:rPr>
                <w:rFonts w:hint="eastAsia"/>
                <w:sz w:val="21"/>
                <w:szCs w:val="21"/>
                <w:highlight w:val="none"/>
                <w:lang w:val="en-US" w:eastAsia="zh-CN"/>
              </w:rPr>
              <w:t>8</w:t>
            </w:r>
          </w:p>
        </w:tc>
        <w:tc>
          <w:tcPr>
            <w:tcW w:w="713" w:type="pct"/>
            <w:vMerge w:val="continue"/>
            <w:tcBorders>
              <w:tl2br w:val="nil"/>
              <w:tr2bl w:val="nil"/>
            </w:tcBorders>
            <w:noWrap w:val="0"/>
            <w:vAlign w:val="center"/>
          </w:tcPr>
          <w:p w14:paraId="6CD2B89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lang w:val="en-US" w:eastAsia="zh-CN"/>
              </w:rPr>
            </w:pPr>
          </w:p>
        </w:tc>
        <w:tc>
          <w:tcPr>
            <w:tcW w:w="1047" w:type="pct"/>
            <w:vMerge w:val="continue"/>
            <w:tcBorders>
              <w:tl2br w:val="nil"/>
              <w:tr2bl w:val="nil"/>
            </w:tcBorders>
            <w:noWrap w:val="0"/>
            <w:vAlign w:val="center"/>
          </w:tcPr>
          <w:p w14:paraId="30E6D95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lang w:val="en-US" w:eastAsia="zh-CN"/>
              </w:rPr>
            </w:pPr>
          </w:p>
        </w:tc>
        <w:tc>
          <w:tcPr>
            <w:tcW w:w="948" w:type="pct"/>
            <w:tcBorders>
              <w:tl2br w:val="nil"/>
              <w:tr2bl w:val="nil"/>
            </w:tcBorders>
            <w:noWrap w:val="0"/>
            <w:vAlign w:val="center"/>
          </w:tcPr>
          <w:p w14:paraId="367F29D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水域</w:t>
            </w:r>
          </w:p>
        </w:tc>
        <w:tc>
          <w:tcPr>
            <w:tcW w:w="790" w:type="pct"/>
            <w:tcBorders>
              <w:tl2br w:val="nil"/>
              <w:tr2bl w:val="nil"/>
            </w:tcBorders>
            <w:noWrap w:val="0"/>
            <w:vAlign w:val="center"/>
          </w:tcPr>
          <w:p w14:paraId="794CD38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lang w:val="en-US" w:eastAsia="zh-CN"/>
              </w:rPr>
            </w:pPr>
            <w:r>
              <w:rPr>
                <w:rFonts w:hint="eastAsia"/>
                <w:sz w:val="21"/>
                <w:szCs w:val="21"/>
                <w:highlight w:val="none"/>
                <w:lang w:val="en-US" w:eastAsia="zh-CN"/>
              </w:rPr>
              <w:t>185</w:t>
            </w:r>
          </w:p>
        </w:tc>
        <w:tc>
          <w:tcPr>
            <w:tcW w:w="1054" w:type="pct"/>
            <w:tcBorders>
              <w:tl2br w:val="nil"/>
              <w:tr2bl w:val="nil"/>
            </w:tcBorders>
            <w:noWrap w:val="0"/>
            <w:vAlign w:val="center"/>
          </w:tcPr>
          <w:p w14:paraId="2E91B74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0.72</w:t>
            </w:r>
          </w:p>
        </w:tc>
      </w:tr>
      <w:tr w14:paraId="7207C30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46" w:type="pct"/>
            <w:tcBorders>
              <w:tl2br w:val="nil"/>
              <w:tr2bl w:val="nil"/>
            </w:tcBorders>
            <w:noWrap w:val="0"/>
            <w:vAlign w:val="center"/>
          </w:tcPr>
          <w:p w14:paraId="65D55A5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lang w:val="en-US" w:eastAsia="zh-CN"/>
              </w:rPr>
            </w:pPr>
            <w:r>
              <w:rPr>
                <w:rFonts w:hint="eastAsia"/>
                <w:sz w:val="21"/>
                <w:szCs w:val="21"/>
                <w:highlight w:val="none"/>
                <w:lang w:val="en-US" w:eastAsia="zh-CN"/>
              </w:rPr>
              <w:t>9</w:t>
            </w:r>
          </w:p>
        </w:tc>
        <w:tc>
          <w:tcPr>
            <w:tcW w:w="713" w:type="pct"/>
            <w:vMerge w:val="continue"/>
            <w:tcBorders>
              <w:tl2br w:val="nil"/>
              <w:tr2bl w:val="nil"/>
            </w:tcBorders>
            <w:noWrap w:val="0"/>
            <w:vAlign w:val="center"/>
          </w:tcPr>
          <w:p w14:paraId="74E4CF4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lang w:val="en-US" w:eastAsia="zh-CN"/>
              </w:rPr>
            </w:pPr>
          </w:p>
        </w:tc>
        <w:tc>
          <w:tcPr>
            <w:tcW w:w="1047" w:type="pct"/>
            <w:vMerge w:val="continue"/>
            <w:tcBorders>
              <w:tl2br w:val="nil"/>
              <w:tr2bl w:val="nil"/>
            </w:tcBorders>
            <w:noWrap w:val="0"/>
            <w:vAlign w:val="center"/>
          </w:tcPr>
          <w:p w14:paraId="130793D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lang w:val="en-US" w:eastAsia="zh-CN"/>
              </w:rPr>
            </w:pPr>
          </w:p>
        </w:tc>
        <w:tc>
          <w:tcPr>
            <w:tcW w:w="948" w:type="pct"/>
            <w:tcBorders>
              <w:tl2br w:val="nil"/>
              <w:tr2bl w:val="nil"/>
            </w:tcBorders>
            <w:noWrap w:val="0"/>
            <w:vAlign w:val="center"/>
          </w:tcPr>
          <w:p w14:paraId="3D712D8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道路</w:t>
            </w:r>
          </w:p>
        </w:tc>
        <w:tc>
          <w:tcPr>
            <w:tcW w:w="790" w:type="pct"/>
            <w:tcBorders>
              <w:tl2br w:val="nil"/>
              <w:tr2bl w:val="nil"/>
            </w:tcBorders>
            <w:noWrap w:val="0"/>
            <w:vAlign w:val="center"/>
          </w:tcPr>
          <w:p w14:paraId="3982695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lang w:val="en-US" w:eastAsia="zh-CN"/>
              </w:rPr>
            </w:pPr>
            <w:r>
              <w:rPr>
                <w:rFonts w:hint="eastAsia"/>
                <w:sz w:val="21"/>
                <w:szCs w:val="21"/>
                <w:highlight w:val="none"/>
                <w:lang w:val="en-US" w:eastAsia="zh-CN"/>
              </w:rPr>
              <w:t>44</w:t>
            </w:r>
          </w:p>
        </w:tc>
        <w:tc>
          <w:tcPr>
            <w:tcW w:w="1054" w:type="pct"/>
            <w:tcBorders>
              <w:tl2br w:val="nil"/>
              <w:tr2bl w:val="nil"/>
            </w:tcBorders>
            <w:noWrap w:val="0"/>
            <w:vAlign w:val="center"/>
          </w:tcPr>
          <w:p w14:paraId="66C554C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0.17</w:t>
            </w:r>
          </w:p>
        </w:tc>
      </w:tr>
      <w:tr w14:paraId="3B9921F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46" w:type="pct"/>
            <w:tcBorders>
              <w:tl2br w:val="nil"/>
              <w:tr2bl w:val="nil"/>
            </w:tcBorders>
            <w:noWrap w:val="0"/>
            <w:vAlign w:val="center"/>
          </w:tcPr>
          <w:p w14:paraId="7C0F96A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lang w:val="en-US" w:eastAsia="zh-CN"/>
              </w:rPr>
            </w:pPr>
            <w:r>
              <w:rPr>
                <w:rFonts w:hint="eastAsia"/>
                <w:sz w:val="21"/>
                <w:szCs w:val="21"/>
                <w:highlight w:val="none"/>
                <w:lang w:val="en-US" w:eastAsia="zh-CN"/>
              </w:rPr>
              <w:t>10</w:t>
            </w:r>
          </w:p>
        </w:tc>
        <w:tc>
          <w:tcPr>
            <w:tcW w:w="713" w:type="pct"/>
            <w:vMerge w:val="continue"/>
            <w:tcBorders>
              <w:tl2br w:val="nil"/>
              <w:tr2bl w:val="nil"/>
            </w:tcBorders>
            <w:noWrap w:val="0"/>
            <w:vAlign w:val="center"/>
          </w:tcPr>
          <w:p w14:paraId="564F946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lang w:val="en-US" w:eastAsia="zh-CN"/>
              </w:rPr>
            </w:pPr>
          </w:p>
        </w:tc>
        <w:tc>
          <w:tcPr>
            <w:tcW w:w="1047" w:type="pct"/>
            <w:vMerge w:val="continue"/>
            <w:tcBorders>
              <w:tl2br w:val="nil"/>
              <w:tr2bl w:val="nil"/>
            </w:tcBorders>
            <w:noWrap w:val="0"/>
            <w:vAlign w:val="center"/>
          </w:tcPr>
          <w:p w14:paraId="2A4E4B5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lang w:val="en-US" w:eastAsia="zh-CN"/>
              </w:rPr>
            </w:pPr>
          </w:p>
        </w:tc>
        <w:tc>
          <w:tcPr>
            <w:tcW w:w="948" w:type="pct"/>
            <w:tcBorders>
              <w:tl2br w:val="nil"/>
              <w:tr2bl w:val="nil"/>
            </w:tcBorders>
            <w:noWrap w:val="0"/>
            <w:vAlign w:val="center"/>
          </w:tcPr>
          <w:p w14:paraId="1650FF4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lang w:val="en-US" w:eastAsia="zh-CN"/>
              </w:rPr>
            </w:pPr>
            <w:r>
              <w:rPr>
                <w:rFonts w:hint="eastAsia"/>
                <w:sz w:val="21"/>
                <w:szCs w:val="21"/>
                <w:highlight w:val="none"/>
                <w:lang w:val="en-US" w:eastAsia="zh-CN"/>
              </w:rPr>
              <w:t>其他</w:t>
            </w:r>
          </w:p>
        </w:tc>
        <w:tc>
          <w:tcPr>
            <w:tcW w:w="790" w:type="pct"/>
            <w:tcBorders>
              <w:tl2br w:val="nil"/>
              <w:tr2bl w:val="nil"/>
            </w:tcBorders>
            <w:noWrap w:val="0"/>
            <w:vAlign w:val="center"/>
          </w:tcPr>
          <w:p w14:paraId="1093AF5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lang w:val="en-US" w:eastAsia="zh-CN"/>
              </w:rPr>
            </w:pPr>
            <w:r>
              <w:rPr>
                <w:rFonts w:hint="eastAsia"/>
                <w:sz w:val="21"/>
                <w:szCs w:val="21"/>
                <w:highlight w:val="none"/>
                <w:lang w:val="en-US" w:eastAsia="zh-CN"/>
              </w:rPr>
              <w:t>3</w:t>
            </w:r>
          </w:p>
        </w:tc>
        <w:tc>
          <w:tcPr>
            <w:tcW w:w="1054" w:type="pct"/>
            <w:tcBorders>
              <w:tl2br w:val="nil"/>
              <w:tr2bl w:val="nil"/>
            </w:tcBorders>
            <w:noWrap w:val="0"/>
            <w:vAlign w:val="center"/>
          </w:tcPr>
          <w:p w14:paraId="6F445B5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0.01</w:t>
            </w:r>
          </w:p>
        </w:tc>
      </w:tr>
      <w:tr w14:paraId="0CA5C22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155" w:type="pct"/>
            <w:gridSpan w:val="4"/>
            <w:tcBorders>
              <w:tl2br w:val="nil"/>
              <w:tr2bl w:val="nil"/>
            </w:tcBorders>
            <w:noWrap w:val="0"/>
            <w:vAlign w:val="center"/>
          </w:tcPr>
          <w:p w14:paraId="60EDBA31">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b/>
                <w:bCs/>
                <w:sz w:val="21"/>
                <w:szCs w:val="21"/>
                <w:highlight w:val="none"/>
                <w:lang w:val="en-US" w:eastAsia="zh-CN"/>
              </w:rPr>
            </w:pPr>
            <w:r>
              <w:rPr>
                <w:rFonts w:hint="eastAsia"/>
                <w:b/>
                <w:bCs/>
                <w:sz w:val="21"/>
                <w:szCs w:val="21"/>
                <w:highlight w:val="none"/>
                <w:lang w:val="en-US" w:eastAsia="zh-CN"/>
              </w:rPr>
              <w:t>合计</w:t>
            </w:r>
          </w:p>
        </w:tc>
        <w:tc>
          <w:tcPr>
            <w:tcW w:w="790" w:type="pct"/>
            <w:tcBorders>
              <w:tl2br w:val="nil"/>
              <w:tr2bl w:val="nil"/>
            </w:tcBorders>
            <w:noWrap w:val="0"/>
            <w:vAlign w:val="center"/>
          </w:tcPr>
          <w:p w14:paraId="48FA6175">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b/>
                <w:bCs/>
                <w:sz w:val="21"/>
                <w:szCs w:val="21"/>
                <w:highlight w:val="none"/>
                <w:lang w:val="en-US" w:eastAsia="zh-CN"/>
              </w:rPr>
            </w:pPr>
            <w:r>
              <w:rPr>
                <w:rFonts w:hint="eastAsia"/>
                <w:b/>
                <w:bCs/>
                <w:sz w:val="21"/>
                <w:szCs w:val="21"/>
                <w:highlight w:val="none"/>
                <w:lang w:val="en-US" w:eastAsia="zh-CN"/>
              </w:rPr>
              <w:t>25814</w:t>
            </w:r>
          </w:p>
        </w:tc>
        <w:tc>
          <w:tcPr>
            <w:tcW w:w="1054" w:type="pct"/>
            <w:tcBorders>
              <w:tl2br w:val="nil"/>
              <w:tr2bl w:val="nil"/>
            </w:tcBorders>
            <w:noWrap w:val="0"/>
            <w:vAlign w:val="center"/>
          </w:tcPr>
          <w:p w14:paraId="153E7A9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b/>
                <w:bCs/>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100</w:t>
            </w:r>
          </w:p>
        </w:tc>
      </w:tr>
    </w:tbl>
    <w:p w14:paraId="687DD30B">
      <w:pPr>
        <w:bidi w:val="0"/>
        <w:ind w:left="0" w:leftChars="0" w:firstLine="0" w:firstLineChars="0"/>
        <w:jc w:val="center"/>
        <w:rPr>
          <w:rFonts w:hint="eastAsia"/>
          <w:b/>
          <w:bCs/>
          <w:sz w:val="21"/>
          <w:szCs w:val="21"/>
          <w:highlight w:val="none"/>
          <w:lang w:val="en-US" w:eastAsia="zh-CN"/>
        </w:rPr>
      </w:pPr>
      <w:r>
        <w:rPr>
          <w:rFonts w:hint="eastAsia"/>
          <w:b/>
          <w:bCs/>
          <w:sz w:val="21"/>
          <w:szCs w:val="21"/>
          <w:highlight w:val="none"/>
          <w:lang w:val="en-US" w:eastAsia="zh-CN"/>
        </w:rPr>
        <w:t>表4.3-6  评价区植被类型面积一览表</w:t>
      </w:r>
    </w:p>
    <w:tbl>
      <w:tblPr>
        <w:tblStyle w:val="36"/>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992"/>
        <w:gridCol w:w="2798"/>
        <w:gridCol w:w="2651"/>
        <w:gridCol w:w="2847"/>
      </w:tblGrid>
      <w:tr w14:paraId="0F005D5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blHeader/>
          <w:jc w:val="center"/>
        </w:trPr>
        <w:tc>
          <w:tcPr>
            <w:tcW w:w="534" w:type="pct"/>
            <w:tcBorders>
              <w:tl2br w:val="nil"/>
              <w:tr2bl w:val="nil"/>
            </w:tcBorders>
            <w:noWrap w:val="0"/>
            <w:vAlign w:val="center"/>
          </w:tcPr>
          <w:p w14:paraId="0E907F14">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b/>
                <w:bCs/>
                <w:sz w:val="21"/>
                <w:szCs w:val="21"/>
                <w:highlight w:val="none"/>
                <w:lang w:val="en-US" w:eastAsia="zh-CN"/>
              </w:rPr>
            </w:pPr>
            <w:r>
              <w:rPr>
                <w:rFonts w:hint="eastAsia"/>
                <w:b/>
                <w:bCs/>
                <w:sz w:val="21"/>
                <w:szCs w:val="21"/>
                <w:highlight w:val="none"/>
                <w:lang w:val="en-US" w:eastAsia="zh-CN"/>
              </w:rPr>
              <w:t>序号</w:t>
            </w:r>
          </w:p>
        </w:tc>
        <w:tc>
          <w:tcPr>
            <w:tcW w:w="1506" w:type="pct"/>
            <w:tcBorders>
              <w:tl2br w:val="nil"/>
              <w:tr2bl w:val="nil"/>
            </w:tcBorders>
            <w:noWrap w:val="0"/>
            <w:vAlign w:val="center"/>
          </w:tcPr>
          <w:p w14:paraId="4E53C3AA">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b/>
                <w:bCs/>
                <w:sz w:val="21"/>
                <w:szCs w:val="21"/>
                <w:highlight w:val="none"/>
                <w:lang w:val="en-US" w:eastAsia="zh-CN"/>
              </w:rPr>
            </w:pPr>
            <w:r>
              <w:rPr>
                <w:rFonts w:hint="eastAsia"/>
                <w:b/>
                <w:bCs/>
                <w:sz w:val="21"/>
                <w:szCs w:val="21"/>
                <w:highlight w:val="none"/>
                <w:lang w:val="en-US" w:eastAsia="zh-CN"/>
              </w:rPr>
              <w:t>植被类型</w:t>
            </w:r>
          </w:p>
        </w:tc>
        <w:tc>
          <w:tcPr>
            <w:tcW w:w="1427" w:type="pct"/>
            <w:tcBorders>
              <w:tl2br w:val="nil"/>
              <w:tr2bl w:val="nil"/>
            </w:tcBorders>
            <w:noWrap w:val="0"/>
            <w:vAlign w:val="center"/>
          </w:tcPr>
          <w:p w14:paraId="26F252EA">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b/>
                <w:bCs/>
                <w:sz w:val="21"/>
                <w:szCs w:val="21"/>
                <w:highlight w:val="none"/>
                <w:lang w:val="en-US" w:eastAsia="zh-CN"/>
              </w:rPr>
            </w:pPr>
            <w:r>
              <w:rPr>
                <w:rFonts w:hint="eastAsia"/>
                <w:b/>
                <w:bCs/>
                <w:sz w:val="21"/>
                <w:szCs w:val="21"/>
                <w:highlight w:val="none"/>
                <w:lang w:val="en-US" w:eastAsia="zh-CN"/>
              </w:rPr>
              <w:t>面积（万m</w:t>
            </w:r>
            <w:r>
              <w:rPr>
                <w:rFonts w:hint="eastAsia"/>
                <w:b/>
                <w:bCs/>
                <w:sz w:val="21"/>
                <w:szCs w:val="21"/>
                <w:highlight w:val="none"/>
                <w:vertAlign w:val="superscript"/>
                <w:lang w:val="en-US" w:eastAsia="zh-CN"/>
              </w:rPr>
              <w:t>2</w:t>
            </w:r>
            <w:r>
              <w:rPr>
                <w:rFonts w:hint="eastAsia"/>
                <w:b/>
                <w:bCs/>
                <w:sz w:val="21"/>
                <w:szCs w:val="21"/>
                <w:highlight w:val="none"/>
                <w:lang w:val="en-US" w:eastAsia="zh-CN"/>
              </w:rPr>
              <w:t>）</w:t>
            </w:r>
          </w:p>
        </w:tc>
        <w:tc>
          <w:tcPr>
            <w:tcW w:w="1532" w:type="pct"/>
            <w:tcBorders>
              <w:tl2br w:val="nil"/>
              <w:tr2bl w:val="nil"/>
            </w:tcBorders>
            <w:noWrap w:val="0"/>
            <w:vAlign w:val="center"/>
          </w:tcPr>
          <w:p w14:paraId="5C0B91F2">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b/>
                <w:bCs/>
                <w:sz w:val="21"/>
                <w:szCs w:val="21"/>
                <w:highlight w:val="none"/>
                <w:lang w:val="en-US" w:eastAsia="zh-CN"/>
              </w:rPr>
            </w:pPr>
            <w:r>
              <w:rPr>
                <w:rFonts w:hint="eastAsia"/>
                <w:b/>
                <w:bCs/>
                <w:sz w:val="21"/>
                <w:szCs w:val="21"/>
                <w:highlight w:val="none"/>
                <w:lang w:val="en-US" w:eastAsia="zh-CN"/>
              </w:rPr>
              <w:t>占评价区比例（%）</w:t>
            </w:r>
          </w:p>
        </w:tc>
      </w:tr>
      <w:tr w14:paraId="0AFDE87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34" w:type="pct"/>
            <w:tcBorders>
              <w:tl2br w:val="nil"/>
              <w:tr2bl w:val="nil"/>
            </w:tcBorders>
            <w:noWrap w:val="0"/>
            <w:vAlign w:val="center"/>
          </w:tcPr>
          <w:p w14:paraId="7B804A1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1</w:t>
            </w:r>
          </w:p>
        </w:tc>
        <w:tc>
          <w:tcPr>
            <w:tcW w:w="1506" w:type="pct"/>
            <w:tcBorders>
              <w:tl2br w:val="nil"/>
              <w:tr2bl w:val="nil"/>
            </w:tcBorders>
            <w:noWrap w:val="0"/>
            <w:vAlign w:val="center"/>
          </w:tcPr>
          <w:p w14:paraId="6ACAADE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针叶林</w:t>
            </w:r>
          </w:p>
        </w:tc>
        <w:tc>
          <w:tcPr>
            <w:tcW w:w="1427" w:type="pct"/>
            <w:tcBorders>
              <w:tl2br w:val="nil"/>
              <w:tr2bl w:val="nil"/>
            </w:tcBorders>
            <w:noWrap w:val="0"/>
            <w:vAlign w:val="center"/>
          </w:tcPr>
          <w:p w14:paraId="7A9DF20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55.13</w:t>
            </w:r>
          </w:p>
        </w:tc>
        <w:tc>
          <w:tcPr>
            <w:tcW w:w="1532" w:type="pct"/>
            <w:tcBorders>
              <w:tl2br w:val="nil"/>
              <w:tr2bl w:val="nil"/>
            </w:tcBorders>
            <w:noWrap w:val="0"/>
            <w:vAlign w:val="center"/>
          </w:tcPr>
          <w:p w14:paraId="67FD3DE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24.49</w:t>
            </w:r>
          </w:p>
        </w:tc>
      </w:tr>
      <w:tr w14:paraId="0AE4BAF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34" w:type="pct"/>
            <w:tcBorders>
              <w:tl2br w:val="nil"/>
              <w:tr2bl w:val="nil"/>
            </w:tcBorders>
            <w:noWrap w:val="0"/>
            <w:vAlign w:val="center"/>
          </w:tcPr>
          <w:p w14:paraId="6C2CFB9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2</w:t>
            </w:r>
          </w:p>
        </w:tc>
        <w:tc>
          <w:tcPr>
            <w:tcW w:w="1506" w:type="pct"/>
            <w:tcBorders>
              <w:tl2br w:val="nil"/>
              <w:tr2bl w:val="nil"/>
            </w:tcBorders>
            <w:noWrap w:val="0"/>
            <w:vAlign w:val="center"/>
          </w:tcPr>
          <w:p w14:paraId="46F29CB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针阔混交林</w:t>
            </w:r>
          </w:p>
        </w:tc>
        <w:tc>
          <w:tcPr>
            <w:tcW w:w="1427" w:type="pct"/>
            <w:tcBorders>
              <w:tl2br w:val="nil"/>
              <w:tr2bl w:val="nil"/>
            </w:tcBorders>
            <w:noWrap w:val="0"/>
            <w:vAlign w:val="center"/>
          </w:tcPr>
          <w:p w14:paraId="7A25666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49.81</w:t>
            </w:r>
          </w:p>
        </w:tc>
        <w:tc>
          <w:tcPr>
            <w:tcW w:w="1532" w:type="pct"/>
            <w:tcBorders>
              <w:tl2br w:val="nil"/>
              <w:tr2bl w:val="nil"/>
            </w:tcBorders>
            <w:noWrap w:val="0"/>
            <w:vAlign w:val="center"/>
          </w:tcPr>
          <w:p w14:paraId="290FFD9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22.13</w:t>
            </w:r>
          </w:p>
        </w:tc>
      </w:tr>
      <w:tr w14:paraId="443A7A9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34" w:type="pct"/>
            <w:tcBorders>
              <w:tl2br w:val="nil"/>
              <w:tr2bl w:val="nil"/>
            </w:tcBorders>
            <w:noWrap w:val="0"/>
            <w:vAlign w:val="center"/>
          </w:tcPr>
          <w:p w14:paraId="2BB16EC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3</w:t>
            </w:r>
          </w:p>
        </w:tc>
        <w:tc>
          <w:tcPr>
            <w:tcW w:w="1506" w:type="pct"/>
            <w:tcBorders>
              <w:tl2br w:val="nil"/>
              <w:tr2bl w:val="nil"/>
            </w:tcBorders>
            <w:noWrap w:val="0"/>
            <w:vAlign w:val="center"/>
          </w:tcPr>
          <w:p w14:paraId="5A9A890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阔叶林</w:t>
            </w:r>
          </w:p>
        </w:tc>
        <w:tc>
          <w:tcPr>
            <w:tcW w:w="1427" w:type="pct"/>
            <w:tcBorders>
              <w:tl2br w:val="nil"/>
              <w:tr2bl w:val="nil"/>
            </w:tcBorders>
            <w:noWrap w:val="0"/>
            <w:vAlign w:val="center"/>
          </w:tcPr>
          <w:p w14:paraId="4D4DE2F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47.23</w:t>
            </w:r>
          </w:p>
        </w:tc>
        <w:tc>
          <w:tcPr>
            <w:tcW w:w="1532" w:type="pct"/>
            <w:tcBorders>
              <w:tl2br w:val="nil"/>
              <w:tr2bl w:val="nil"/>
            </w:tcBorders>
            <w:noWrap w:val="0"/>
            <w:vAlign w:val="center"/>
          </w:tcPr>
          <w:p w14:paraId="7877D56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20.98</w:t>
            </w:r>
          </w:p>
        </w:tc>
      </w:tr>
      <w:tr w14:paraId="3AEF3E2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34" w:type="pct"/>
            <w:tcBorders>
              <w:tl2br w:val="nil"/>
              <w:tr2bl w:val="nil"/>
            </w:tcBorders>
            <w:noWrap w:val="0"/>
            <w:vAlign w:val="center"/>
          </w:tcPr>
          <w:p w14:paraId="5909CC2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4</w:t>
            </w:r>
          </w:p>
        </w:tc>
        <w:tc>
          <w:tcPr>
            <w:tcW w:w="1506" w:type="pct"/>
            <w:tcBorders>
              <w:tl2br w:val="nil"/>
              <w:tr2bl w:val="nil"/>
            </w:tcBorders>
            <w:noWrap w:val="0"/>
            <w:vAlign w:val="center"/>
          </w:tcPr>
          <w:p w14:paraId="58A0826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灌丛</w:t>
            </w:r>
          </w:p>
        </w:tc>
        <w:tc>
          <w:tcPr>
            <w:tcW w:w="1427" w:type="pct"/>
            <w:tcBorders>
              <w:tl2br w:val="nil"/>
              <w:tr2bl w:val="nil"/>
            </w:tcBorders>
            <w:noWrap w:val="0"/>
            <w:vAlign w:val="center"/>
          </w:tcPr>
          <w:p w14:paraId="099C952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28.975</w:t>
            </w:r>
          </w:p>
        </w:tc>
        <w:tc>
          <w:tcPr>
            <w:tcW w:w="1532" w:type="pct"/>
            <w:tcBorders>
              <w:tl2br w:val="nil"/>
              <w:tr2bl w:val="nil"/>
            </w:tcBorders>
            <w:noWrap w:val="0"/>
            <w:vAlign w:val="center"/>
          </w:tcPr>
          <w:p w14:paraId="30150DF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12.87</w:t>
            </w:r>
          </w:p>
        </w:tc>
      </w:tr>
      <w:tr w14:paraId="30F00C0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34" w:type="pct"/>
            <w:tcBorders>
              <w:tl2br w:val="nil"/>
              <w:tr2bl w:val="nil"/>
            </w:tcBorders>
            <w:noWrap w:val="0"/>
            <w:vAlign w:val="center"/>
          </w:tcPr>
          <w:p w14:paraId="2C00495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5</w:t>
            </w:r>
          </w:p>
        </w:tc>
        <w:tc>
          <w:tcPr>
            <w:tcW w:w="1506" w:type="pct"/>
            <w:tcBorders>
              <w:tl2br w:val="nil"/>
              <w:tr2bl w:val="nil"/>
            </w:tcBorders>
            <w:noWrap w:val="0"/>
            <w:vAlign w:val="center"/>
          </w:tcPr>
          <w:p w14:paraId="57AA289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农业植被</w:t>
            </w:r>
          </w:p>
        </w:tc>
        <w:tc>
          <w:tcPr>
            <w:tcW w:w="1427" w:type="pct"/>
            <w:tcBorders>
              <w:tl2br w:val="nil"/>
              <w:tr2bl w:val="nil"/>
            </w:tcBorders>
            <w:noWrap w:val="0"/>
            <w:vAlign w:val="center"/>
          </w:tcPr>
          <w:p w14:paraId="2E33B6F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18.995</w:t>
            </w:r>
          </w:p>
        </w:tc>
        <w:tc>
          <w:tcPr>
            <w:tcW w:w="1532" w:type="pct"/>
            <w:tcBorders>
              <w:tl2br w:val="nil"/>
              <w:tr2bl w:val="nil"/>
            </w:tcBorders>
            <w:noWrap w:val="0"/>
            <w:vAlign w:val="center"/>
          </w:tcPr>
          <w:p w14:paraId="1745972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8.44</w:t>
            </w:r>
          </w:p>
        </w:tc>
      </w:tr>
      <w:tr w14:paraId="345830B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34" w:type="pct"/>
            <w:tcBorders>
              <w:tl2br w:val="nil"/>
              <w:tr2bl w:val="nil"/>
            </w:tcBorders>
            <w:noWrap w:val="0"/>
            <w:vAlign w:val="center"/>
          </w:tcPr>
          <w:p w14:paraId="711C5D3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6</w:t>
            </w:r>
          </w:p>
        </w:tc>
        <w:tc>
          <w:tcPr>
            <w:tcW w:w="1506" w:type="pct"/>
            <w:tcBorders>
              <w:tl2br w:val="nil"/>
              <w:tr2bl w:val="nil"/>
            </w:tcBorders>
            <w:noWrap w:val="0"/>
            <w:vAlign w:val="center"/>
          </w:tcPr>
          <w:p w14:paraId="33E97A5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住宅</w:t>
            </w:r>
          </w:p>
        </w:tc>
        <w:tc>
          <w:tcPr>
            <w:tcW w:w="1427" w:type="pct"/>
            <w:tcBorders>
              <w:tl2br w:val="nil"/>
              <w:tr2bl w:val="nil"/>
            </w:tcBorders>
            <w:noWrap w:val="0"/>
            <w:vAlign w:val="center"/>
          </w:tcPr>
          <w:p w14:paraId="71C7719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16.25</w:t>
            </w:r>
          </w:p>
        </w:tc>
        <w:tc>
          <w:tcPr>
            <w:tcW w:w="1532" w:type="pct"/>
            <w:tcBorders>
              <w:tl2br w:val="nil"/>
              <w:tr2bl w:val="nil"/>
            </w:tcBorders>
            <w:noWrap w:val="0"/>
            <w:vAlign w:val="center"/>
          </w:tcPr>
          <w:p w14:paraId="67A7D40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7.22</w:t>
            </w:r>
          </w:p>
        </w:tc>
      </w:tr>
      <w:tr w14:paraId="2C949A7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34" w:type="pct"/>
            <w:tcBorders>
              <w:tl2br w:val="nil"/>
              <w:tr2bl w:val="nil"/>
            </w:tcBorders>
            <w:noWrap w:val="0"/>
            <w:vAlign w:val="center"/>
          </w:tcPr>
          <w:p w14:paraId="38B1B16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7</w:t>
            </w:r>
          </w:p>
        </w:tc>
        <w:tc>
          <w:tcPr>
            <w:tcW w:w="1506" w:type="pct"/>
            <w:tcBorders>
              <w:tl2br w:val="nil"/>
              <w:tr2bl w:val="nil"/>
            </w:tcBorders>
            <w:noWrap w:val="0"/>
            <w:vAlign w:val="center"/>
          </w:tcPr>
          <w:p w14:paraId="646B500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水域</w:t>
            </w:r>
          </w:p>
        </w:tc>
        <w:tc>
          <w:tcPr>
            <w:tcW w:w="1427" w:type="pct"/>
            <w:tcBorders>
              <w:tl2br w:val="nil"/>
              <w:tr2bl w:val="nil"/>
            </w:tcBorders>
            <w:noWrap w:val="0"/>
            <w:vAlign w:val="center"/>
          </w:tcPr>
          <w:p w14:paraId="785A7AE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0.231</w:t>
            </w:r>
          </w:p>
        </w:tc>
        <w:tc>
          <w:tcPr>
            <w:tcW w:w="1532" w:type="pct"/>
            <w:tcBorders>
              <w:tl2br w:val="nil"/>
              <w:tr2bl w:val="nil"/>
            </w:tcBorders>
            <w:noWrap w:val="0"/>
            <w:vAlign w:val="center"/>
          </w:tcPr>
          <w:p w14:paraId="043DC89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0.10</w:t>
            </w:r>
          </w:p>
        </w:tc>
      </w:tr>
      <w:tr w14:paraId="044CCAC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34" w:type="pct"/>
            <w:tcBorders>
              <w:tl2br w:val="nil"/>
              <w:tr2bl w:val="nil"/>
            </w:tcBorders>
            <w:noWrap w:val="0"/>
            <w:vAlign w:val="center"/>
          </w:tcPr>
          <w:p w14:paraId="514CC54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8</w:t>
            </w:r>
          </w:p>
        </w:tc>
        <w:tc>
          <w:tcPr>
            <w:tcW w:w="1506" w:type="pct"/>
            <w:tcBorders>
              <w:tl2br w:val="nil"/>
              <w:tr2bl w:val="nil"/>
            </w:tcBorders>
            <w:noWrap w:val="0"/>
            <w:vAlign w:val="center"/>
          </w:tcPr>
          <w:p w14:paraId="26CBD1B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道路</w:t>
            </w:r>
          </w:p>
        </w:tc>
        <w:tc>
          <w:tcPr>
            <w:tcW w:w="1427" w:type="pct"/>
            <w:tcBorders>
              <w:tl2br w:val="nil"/>
              <w:tr2bl w:val="nil"/>
            </w:tcBorders>
            <w:noWrap w:val="0"/>
            <w:vAlign w:val="center"/>
          </w:tcPr>
          <w:p w14:paraId="78CC682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8.449</w:t>
            </w:r>
          </w:p>
        </w:tc>
        <w:tc>
          <w:tcPr>
            <w:tcW w:w="1532" w:type="pct"/>
            <w:tcBorders>
              <w:tl2br w:val="nil"/>
              <w:tr2bl w:val="nil"/>
            </w:tcBorders>
            <w:noWrap w:val="0"/>
            <w:vAlign w:val="center"/>
          </w:tcPr>
          <w:p w14:paraId="6CA589A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3.75</w:t>
            </w:r>
          </w:p>
        </w:tc>
      </w:tr>
      <w:tr w14:paraId="31504DF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040" w:type="pct"/>
            <w:gridSpan w:val="2"/>
            <w:tcBorders>
              <w:tl2br w:val="nil"/>
              <w:tr2bl w:val="nil"/>
            </w:tcBorders>
            <w:noWrap w:val="0"/>
            <w:vAlign w:val="center"/>
          </w:tcPr>
          <w:p w14:paraId="3984C0B1">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b/>
                <w:bCs/>
                <w:sz w:val="21"/>
                <w:szCs w:val="21"/>
                <w:highlight w:val="none"/>
                <w:lang w:val="en-US" w:eastAsia="zh-CN"/>
              </w:rPr>
            </w:pPr>
            <w:r>
              <w:rPr>
                <w:rFonts w:hint="eastAsia"/>
                <w:b/>
                <w:bCs/>
                <w:sz w:val="21"/>
                <w:szCs w:val="21"/>
                <w:highlight w:val="none"/>
                <w:lang w:val="en-US" w:eastAsia="zh-CN"/>
              </w:rPr>
              <w:t>合计</w:t>
            </w:r>
          </w:p>
        </w:tc>
        <w:tc>
          <w:tcPr>
            <w:tcW w:w="1427" w:type="pct"/>
            <w:tcBorders>
              <w:tl2br w:val="nil"/>
              <w:tr2bl w:val="nil"/>
            </w:tcBorders>
            <w:noWrap w:val="0"/>
            <w:vAlign w:val="center"/>
          </w:tcPr>
          <w:p w14:paraId="035280C2">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b/>
                <w:bCs/>
                <w:sz w:val="21"/>
                <w:szCs w:val="21"/>
                <w:highlight w:val="none"/>
                <w:lang w:val="en-US" w:eastAsia="zh-CN"/>
              </w:rPr>
            </w:pPr>
            <w:r>
              <w:rPr>
                <w:rFonts w:hint="eastAsia"/>
                <w:b/>
                <w:bCs/>
                <w:sz w:val="21"/>
                <w:szCs w:val="21"/>
                <w:highlight w:val="none"/>
                <w:lang w:val="en-US" w:eastAsia="zh-CN"/>
              </w:rPr>
              <w:t>225.07</w:t>
            </w:r>
          </w:p>
        </w:tc>
        <w:tc>
          <w:tcPr>
            <w:tcW w:w="1532" w:type="pct"/>
            <w:tcBorders>
              <w:tl2br w:val="nil"/>
              <w:tr2bl w:val="nil"/>
            </w:tcBorders>
            <w:noWrap w:val="0"/>
            <w:vAlign w:val="center"/>
          </w:tcPr>
          <w:p w14:paraId="4DC93172">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b/>
                <w:bCs/>
                <w:sz w:val="21"/>
                <w:szCs w:val="21"/>
                <w:highlight w:val="none"/>
                <w:lang w:val="en-US" w:eastAsia="zh-CN"/>
              </w:rPr>
            </w:pPr>
            <w:r>
              <w:rPr>
                <w:rFonts w:hint="eastAsia"/>
                <w:b/>
                <w:bCs/>
                <w:sz w:val="21"/>
                <w:szCs w:val="21"/>
                <w:highlight w:val="none"/>
                <w:lang w:val="en-US" w:eastAsia="zh-CN"/>
              </w:rPr>
              <w:t>100</w:t>
            </w:r>
          </w:p>
        </w:tc>
      </w:tr>
    </w:tbl>
    <w:p w14:paraId="4363E2B3">
      <w:pPr>
        <w:bidi w:val="0"/>
        <w:rPr>
          <w:rFonts w:hint="eastAsia"/>
          <w:highlight w:val="none"/>
          <w:lang w:val="en-US" w:eastAsia="zh-CN"/>
        </w:rPr>
      </w:pPr>
      <w:r>
        <w:rPr>
          <w:rFonts w:hint="eastAsia"/>
          <w:highlight w:val="none"/>
          <w:lang w:val="en-US" w:eastAsia="zh-CN"/>
        </w:rPr>
        <w:t>根据《中国植被》确定的植物群落学—生态学分类原则，我们采用植被型组、植被型、群系等基本单位，将评价区常见自然植被划为4个植被型组、6个植被型、13个群系。自然植被以阔叶林为主，针阔混交林和灌丛也较多。</w:t>
      </w:r>
    </w:p>
    <w:p w14:paraId="412C1CDE">
      <w:pPr>
        <w:bidi w:val="0"/>
        <w:rPr>
          <w:rFonts w:hint="eastAsia"/>
          <w:highlight w:val="none"/>
          <w:lang w:val="en-US" w:eastAsia="zh-CN"/>
        </w:rPr>
      </w:pPr>
      <w:r>
        <w:rPr>
          <w:rFonts w:hint="eastAsia"/>
          <w:highlight w:val="none"/>
          <w:lang w:val="en-US" w:eastAsia="zh-CN"/>
        </w:rPr>
        <w:t>评价区的植被分类系统如下：</w:t>
      </w:r>
    </w:p>
    <w:p w14:paraId="0077EBE2">
      <w:pPr>
        <w:bidi w:val="0"/>
        <w:rPr>
          <w:rFonts w:hint="eastAsia"/>
          <w:highlight w:val="none"/>
          <w:lang w:val="en-US" w:eastAsia="zh-CN"/>
        </w:rPr>
      </w:pPr>
      <w:r>
        <w:rPr>
          <w:rFonts w:hint="eastAsia"/>
          <w:highlight w:val="none"/>
          <w:lang w:val="en-US" w:eastAsia="zh-CN"/>
        </w:rPr>
        <w:t>（1）针叶林</w:t>
      </w:r>
    </w:p>
    <w:p w14:paraId="54FF615A">
      <w:pPr>
        <w:bidi w:val="0"/>
        <w:rPr>
          <w:rFonts w:hint="eastAsia"/>
          <w:highlight w:val="none"/>
          <w:lang w:val="en-US" w:eastAsia="zh-CN"/>
        </w:rPr>
      </w:pPr>
      <w:r>
        <w:rPr>
          <w:rFonts w:hint="eastAsia"/>
          <w:highlight w:val="none"/>
          <w:lang w:val="en-US" w:eastAsia="zh-CN"/>
        </w:rPr>
        <w:t>暖性针叶林</w:t>
      </w:r>
    </w:p>
    <w:p w14:paraId="6EA1F009">
      <w:pPr>
        <w:bidi w:val="0"/>
        <w:rPr>
          <w:rFonts w:hint="eastAsia"/>
          <w:highlight w:val="none"/>
          <w:lang w:val="en-US" w:eastAsia="zh-CN"/>
        </w:rPr>
      </w:pPr>
      <w:r>
        <w:rPr>
          <w:rFonts w:hint="eastAsia"/>
          <w:highlight w:val="none"/>
          <w:lang w:val="en-US" w:eastAsia="zh-CN"/>
        </w:rPr>
        <w:t>马尾松林（</w:t>
      </w:r>
      <w:r>
        <w:rPr>
          <w:rFonts w:hint="eastAsia"/>
          <w:i/>
          <w:iCs/>
          <w:highlight w:val="none"/>
          <w:lang w:val="en-US" w:eastAsia="zh-CN"/>
        </w:rPr>
        <w:t>Form</w:t>
      </w:r>
      <w:r>
        <w:rPr>
          <w:rFonts w:hint="eastAsia"/>
          <w:highlight w:val="none"/>
          <w:lang w:val="en-US" w:eastAsia="zh-CN"/>
        </w:rPr>
        <w:t>.</w:t>
      </w:r>
      <w:r>
        <w:rPr>
          <w:rFonts w:hint="eastAsia"/>
          <w:i/>
          <w:iCs/>
          <w:highlight w:val="none"/>
          <w:lang w:val="en-US" w:eastAsia="zh-CN"/>
        </w:rPr>
        <w:t>Pinusmassoniana</w:t>
      </w:r>
      <w:r>
        <w:rPr>
          <w:rFonts w:hint="eastAsia"/>
          <w:highlight w:val="none"/>
          <w:lang w:val="en-US" w:eastAsia="zh-CN"/>
        </w:rPr>
        <w:t>）；</w:t>
      </w:r>
    </w:p>
    <w:p w14:paraId="0053A4CA">
      <w:pPr>
        <w:bidi w:val="0"/>
        <w:rPr>
          <w:rFonts w:hint="eastAsia"/>
          <w:highlight w:val="none"/>
          <w:lang w:val="en-US" w:eastAsia="zh-CN"/>
        </w:rPr>
      </w:pPr>
      <w:r>
        <w:rPr>
          <w:rFonts w:hint="eastAsia"/>
          <w:highlight w:val="none"/>
          <w:lang w:val="en-US" w:eastAsia="zh-CN"/>
        </w:rPr>
        <w:t>棕榈（</w:t>
      </w:r>
      <w:r>
        <w:rPr>
          <w:rFonts w:hint="eastAsia"/>
          <w:i/>
          <w:iCs/>
          <w:highlight w:val="none"/>
          <w:lang w:val="en-US" w:eastAsia="zh-CN"/>
        </w:rPr>
        <w:t>Trachycarpus fortunei (Hook.)H.Wendl.</w:t>
      </w:r>
      <w:r>
        <w:rPr>
          <w:rFonts w:hint="eastAsia"/>
          <w:highlight w:val="none"/>
          <w:lang w:val="en-US" w:eastAsia="zh-CN"/>
        </w:rPr>
        <w:t>）；</w:t>
      </w:r>
    </w:p>
    <w:p w14:paraId="7EC1AF68">
      <w:pPr>
        <w:bidi w:val="0"/>
        <w:rPr>
          <w:rFonts w:hint="eastAsia"/>
          <w:highlight w:val="none"/>
          <w:lang w:val="en-US" w:eastAsia="zh-CN"/>
        </w:rPr>
      </w:pPr>
      <w:r>
        <w:rPr>
          <w:rFonts w:hint="eastAsia"/>
          <w:highlight w:val="none"/>
          <w:lang w:val="en-US" w:eastAsia="zh-CN"/>
        </w:rPr>
        <w:t>樟（</w:t>
      </w:r>
      <w:r>
        <w:rPr>
          <w:rFonts w:hint="eastAsia"/>
          <w:i/>
          <w:iCs/>
          <w:highlight w:val="none"/>
          <w:lang w:val="en-US" w:eastAsia="zh-CN"/>
        </w:rPr>
        <w:t>Camphora officinarum Neesex Wall</w:t>
      </w:r>
      <w:r>
        <w:rPr>
          <w:rFonts w:hint="eastAsia"/>
          <w:highlight w:val="none"/>
          <w:lang w:val="en-US" w:eastAsia="zh-CN"/>
        </w:rPr>
        <w:t>）等。</w:t>
      </w:r>
    </w:p>
    <w:p w14:paraId="72ACB38F">
      <w:pPr>
        <w:bidi w:val="0"/>
        <w:rPr>
          <w:rFonts w:hint="eastAsia"/>
          <w:highlight w:val="none"/>
          <w:lang w:val="en-US" w:eastAsia="zh-CN"/>
        </w:rPr>
      </w:pPr>
      <w:r>
        <w:rPr>
          <w:rFonts w:hint="eastAsia"/>
          <w:highlight w:val="none"/>
          <w:lang w:val="en-US" w:eastAsia="zh-CN"/>
        </w:rPr>
        <w:t>（2）针阔混交林</w:t>
      </w:r>
    </w:p>
    <w:p w14:paraId="477F91B2">
      <w:pPr>
        <w:bidi w:val="0"/>
        <w:rPr>
          <w:rFonts w:hint="eastAsia"/>
          <w:highlight w:val="none"/>
          <w:lang w:val="en-US" w:eastAsia="zh-CN"/>
        </w:rPr>
      </w:pPr>
      <w:r>
        <w:rPr>
          <w:rFonts w:hint="eastAsia"/>
          <w:highlight w:val="none"/>
          <w:lang w:val="en-US" w:eastAsia="zh-CN"/>
        </w:rPr>
        <w:t>针阔混交林</w:t>
      </w:r>
    </w:p>
    <w:p w14:paraId="05B8A764">
      <w:pPr>
        <w:bidi w:val="0"/>
        <w:rPr>
          <w:rFonts w:hint="eastAsia"/>
          <w:highlight w:val="none"/>
          <w:lang w:val="en-US" w:eastAsia="zh-CN"/>
        </w:rPr>
      </w:pPr>
      <w:r>
        <w:rPr>
          <w:rFonts w:hint="eastAsia"/>
          <w:highlight w:val="none"/>
          <w:lang w:val="en-US" w:eastAsia="zh-CN"/>
        </w:rPr>
        <w:t>马尾松+四照花林（</w:t>
      </w:r>
      <w:r>
        <w:rPr>
          <w:rFonts w:hint="eastAsia"/>
          <w:i/>
          <w:iCs/>
          <w:highlight w:val="none"/>
          <w:lang w:val="en-US" w:eastAsia="zh-CN"/>
        </w:rPr>
        <w:t>Form</w:t>
      </w:r>
      <w:r>
        <w:rPr>
          <w:rFonts w:hint="eastAsia"/>
          <w:highlight w:val="none"/>
          <w:lang w:val="en-US" w:eastAsia="zh-CN"/>
        </w:rPr>
        <w:t>.</w:t>
      </w:r>
      <w:r>
        <w:rPr>
          <w:rFonts w:hint="eastAsia"/>
          <w:i/>
          <w:iCs/>
          <w:highlight w:val="none"/>
          <w:lang w:val="en-US" w:eastAsia="zh-CN"/>
        </w:rPr>
        <w:t>Pinusmassoniana</w:t>
      </w:r>
      <w:r>
        <w:rPr>
          <w:rFonts w:hint="eastAsia"/>
          <w:highlight w:val="none"/>
          <w:lang w:val="en-US" w:eastAsia="zh-CN"/>
        </w:rPr>
        <w:t>+</w:t>
      </w:r>
      <w:r>
        <w:rPr>
          <w:rFonts w:hint="eastAsia"/>
          <w:i/>
          <w:iCs/>
          <w:highlight w:val="none"/>
          <w:lang w:val="en-US" w:eastAsia="zh-CN"/>
        </w:rPr>
        <w:t>Dendrobenthamiajaponica var.chinensis</w:t>
      </w:r>
      <w:r>
        <w:rPr>
          <w:rFonts w:hint="eastAsia"/>
          <w:highlight w:val="none"/>
          <w:lang w:val="en-US" w:eastAsia="zh-CN"/>
        </w:rPr>
        <w:t>）等。</w:t>
      </w:r>
    </w:p>
    <w:p w14:paraId="73FB59FB">
      <w:pPr>
        <w:bidi w:val="0"/>
        <w:rPr>
          <w:rFonts w:hint="eastAsia"/>
          <w:highlight w:val="none"/>
          <w:lang w:val="en-US" w:eastAsia="zh-CN"/>
        </w:rPr>
      </w:pPr>
      <w:r>
        <w:rPr>
          <w:rFonts w:hint="eastAsia"/>
          <w:highlight w:val="none"/>
          <w:lang w:val="en-US" w:eastAsia="zh-CN"/>
        </w:rPr>
        <w:t>（3）阔叶林</w:t>
      </w:r>
    </w:p>
    <w:p w14:paraId="2ACC0523">
      <w:pPr>
        <w:bidi w:val="0"/>
        <w:rPr>
          <w:rFonts w:hint="eastAsia"/>
          <w:highlight w:val="yellow"/>
          <w:lang w:val="en-US" w:eastAsia="zh-CN"/>
        </w:rPr>
      </w:pPr>
      <w:r>
        <w:rPr>
          <w:rFonts w:hint="eastAsia"/>
          <w:highlight w:val="none"/>
          <w:lang w:val="en-US" w:eastAsia="zh-CN"/>
        </w:rPr>
        <w:t>常绿落叶阔叶混交林</w:t>
      </w:r>
    </w:p>
    <w:p w14:paraId="6F09FA53">
      <w:pPr>
        <w:bidi w:val="0"/>
        <w:rPr>
          <w:rFonts w:hint="eastAsia"/>
          <w:highlight w:val="none"/>
          <w:lang w:val="en-US" w:eastAsia="zh-CN"/>
        </w:rPr>
      </w:pPr>
      <w:r>
        <w:rPr>
          <w:rFonts w:hint="eastAsia"/>
          <w:highlight w:val="none"/>
          <w:lang w:val="en-US" w:eastAsia="zh-CN"/>
        </w:rPr>
        <w:t>毛竹林（</w:t>
      </w:r>
      <w:r>
        <w:rPr>
          <w:rFonts w:hint="eastAsia"/>
          <w:i/>
          <w:iCs/>
          <w:highlight w:val="none"/>
          <w:lang w:val="en-US" w:eastAsia="zh-CN"/>
        </w:rPr>
        <w:t>Form</w:t>
      </w:r>
      <w:r>
        <w:rPr>
          <w:rFonts w:hint="eastAsia"/>
          <w:highlight w:val="none"/>
          <w:lang w:val="en-US" w:eastAsia="zh-CN"/>
        </w:rPr>
        <w:t>.</w:t>
      </w:r>
      <w:r>
        <w:rPr>
          <w:rFonts w:hint="eastAsia"/>
          <w:i/>
          <w:iCs/>
          <w:highlight w:val="none"/>
          <w:lang w:val="en-US" w:eastAsia="zh-CN"/>
        </w:rPr>
        <w:t>Phyllostachysedulis</w:t>
      </w:r>
      <w:r>
        <w:rPr>
          <w:rFonts w:hint="eastAsia"/>
          <w:highlight w:val="none"/>
          <w:lang w:val="en-US" w:eastAsia="zh-CN"/>
        </w:rPr>
        <w:t>）等。</w:t>
      </w:r>
    </w:p>
    <w:p w14:paraId="5843EF6D">
      <w:pPr>
        <w:bidi w:val="0"/>
        <w:rPr>
          <w:rFonts w:hint="eastAsia"/>
          <w:highlight w:val="none"/>
          <w:lang w:val="en-US" w:eastAsia="zh-CN"/>
        </w:rPr>
      </w:pPr>
      <w:r>
        <w:rPr>
          <w:rFonts w:hint="eastAsia"/>
          <w:highlight w:val="none"/>
          <w:lang w:val="en-US" w:eastAsia="zh-CN"/>
        </w:rPr>
        <w:t>（4）灌丛和灌草丛</w:t>
      </w:r>
    </w:p>
    <w:p w14:paraId="3F226739">
      <w:pPr>
        <w:bidi w:val="0"/>
        <w:rPr>
          <w:rFonts w:hint="eastAsia"/>
          <w:highlight w:val="none"/>
          <w:lang w:val="en-US" w:eastAsia="zh-CN"/>
        </w:rPr>
      </w:pPr>
      <w:r>
        <w:rPr>
          <w:rFonts w:hint="eastAsia"/>
          <w:highlight w:val="none"/>
          <w:lang w:val="en-US" w:eastAsia="zh-CN"/>
        </w:rPr>
        <w:t>落叶阔叶灌丛</w:t>
      </w:r>
    </w:p>
    <w:p w14:paraId="6A9497ED">
      <w:pPr>
        <w:bidi w:val="0"/>
        <w:rPr>
          <w:rFonts w:hint="eastAsia"/>
          <w:highlight w:val="none"/>
          <w:lang w:val="en-US" w:eastAsia="zh-CN"/>
        </w:rPr>
      </w:pPr>
      <w:r>
        <w:rPr>
          <w:rFonts w:hint="eastAsia"/>
          <w:highlight w:val="none"/>
          <w:lang w:val="en-US" w:eastAsia="zh-CN"/>
        </w:rPr>
        <w:t>苎麻（</w:t>
      </w:r>
      <w:r>
        <w:rPr>
          <w:rFonts w:hint="eastAsia"/>
          <w:i/>
          <w:iCs/>
          <w:highlight w:val="none"/>
          <w:lang w:val="en-US" w:eastAsia="zh-CN"/>
        </w:rPr>
        <w:t>Boehmerianivea (L.)Gaudich.</w:t>
      </w:r>
      <w:r>
        <w:rPr>
          <w:rFonts w:hint="eastAsia"/>
          <w:highlight w:val="none"/>
          <w:lang w:val="en-US" w:eastAsia="zh-CN"/>
        </w:rPr>
        <w:t>）；</w:t>
      </w:r>
    </w:p>
    <w:p w14:paraId="3E173AAD">
      <w:pPr>
        <w:bidi w:val="0"/>
        <w:rPr>
          <w:rFonts w:hint="eastAsia"/>
          <w:highlight w:val="none"/>
          <w:lang w:val="en-US" w:eastAsia="zh-CN"/>
        </w:rPr>
      </w:pPr>
      <w:r>
        <w:rPr>
          <w:rFonts w:hint="eastAsia"/>
          <w:highlight w:val="none"/>
          <w:lang w:val="en-US" w:eastAsia="zh-CN"/>
        </w:rPr>
        <w:t>糯米条（</w:t>
      </w:r>
      <w:r>
        <w:rPr>
          <w:rFonts w:hint="eastAsia"/>
          <w:i/>
          <w:iCs/>
          <w:highlight w:val="none"/>
          <w:lang w:val="en-US" w:eastAsia="zh-CN"/>
        </w:rPr>
        <w:t>Abeliachinensis R.Br.</w:t>
      </w:r>
      <w:r>
        <w:rPr>
          <w:rFonts w:hint="eastAsia"/>
          <w:highlight w:val="none"/>
          <w:lang w:val="en-US" w:eastAsia="zh-CN"/>
        </w:rPr>
        <w:t>）；</w:t>
      </w:r>
    </w:p>
    <w:p w14:paraId="280B0AD6">
      <w:pPr>
        <w:bidi w:val="0"/>
        <w:rPr>
          <w:rFonts w:hint="eastAsia"/>
          <w:highlight w:val="none"/>
          <w:lang w:val="en-US" w:eastAsia="zh-CN"/>
        </w:rPr>
      </w:pPr>
      <w:r>
        <w:rPr>
          <w:rFonts w:hint="eastAsia"/>
          <w:highlight w:val="none"/>
          <w:lang w:val="en-US" w:eastAsia="zh-CN"/>
        </w:rPr>
        <w:t>芒萁（</w:t>
      </w:r>
      <w:r>
        <w:rPr>
          <w:rFonts w:hint="eastAsia"/>
          <w:i/>
          <w:iCs/>
          <w:highlight w:val="none"/>
          <w:lang w:val="en-US" w:eastAsia="zh-CN"/>
        </w:rPr>
        <w:t>Dicranopterispedata(Houtt.)Nakaike</w:t>
      </w:r>
      <w:r>
        <w:rPr>
          <w:rFonts w:hint="eastAsia"/>
          <w:highlight w:val="none"/>
          <w:lang w:val="en-US" w:eastAsia="zh-CN"/>
        </w:rPr>
        <w:t>）等。</w:t>
      </w:r>
    </w:p>
    <w:p w14:paraId="698640F1">
      <w:pPr>
        <w:bidi w:val="0"/>
        <w:rPr>
          <w:rFonts w:hint="eastAsia"/>
          <w:highlight w:val="none"/>
          <w:lang w:val="en-US" w:eastAsia="zh-CN"/>
        </w:rPr>
      </w:pPr>
      <w:r>
        <w:rPr>
          <w:rFonts w:hint="eastAsia"/>
          <w:highlight w:val="none"/>
          <w:lang w:val="en-US" w:eastAsia="zh-CN"/>
        </w:rPr>
        <w:t>常绿阔叶灌丛</w:t>
      </w:r>
    </w:p>
    <w:p w14:paraId="70688E5B">
      <w:pPr>
        <w:bidi w:val="0"/>
        <w:rPr>
          <w:rFonts w:hint="eastAsia"/>
          <w:highlight w:val="none"/>
          <w:lang w:val="en-US" w:eastAsia="zh-CN"/>
        </w:rPr>
      </w:pPr>
      <w:r>
        <w:rPr>
          <w:rFonts w:hint="eastAsia"/>
          <w:highlight w:val="none"/>
          <w:lang w:val="en-US" w:eastAsia="zh-CN"/>
        </w:rPr>
        <w:t>檵木灌丛（</w:t>
      </w:r>
      <w:r>
        <w:rPr>
          <w:rFonts w:hint="eastAsia"/>
          <w:i/>
          <w:iCs/>
          <w:highlight w:val="none"/>
          <w:lang w:val="en-US" w:eastAsia="zh-CN"/>
        </w:rPr>
        <w:t>Form</w:t>
      </w:r>
      <w:r>
        <w:rPr>
          <w:rFonts w:hint="eastAsia"/>
          <w:highlight w:val="none"/>
          <w:lang w:val="en-US" w:eastAsia="zh-CN"/>
        </w:rPr>
        <w:t>.</w:t>
      </w:r>
      <w:r>
        <w:rPr>
          <w:rFonts w:hint="eastAsia"/>
          <w:i/>
          <w:iCs/>
          <w:highlight w:val="none"/>
          <w:lang w:val="en-US" w:eastAsia="zh-CN"/>
        </w:rPr>
        <w:t>Loropetalumchinensis</w:t>
      </w:r>
      <w:r>
        <w:rPr>
          <w:rFonts w:hint="eastAsia"/>
          <w:highlight w:val="none"/>
          <w:lang w:val="en-US" w:eastAsia="zh-CN"/>
        </w:rPr>
        <w:t>）等。</w:t>
      </w:r>
    </w:p>
    <w:p w14:paraId="1B9F06B1">
      <w:pPr>
        <w:bidi w:val="0"/>
        <w:rPr>
          <w:rFonts w:hint="eastAsia"/>
          <w:highlight w:val="none"/>
          <w:lang w:val="en-US" w:eastAsia="zh-CN"/>
        </w:rPr>
      </w:pPr>
      <w:r>
        <w:rPr>
          <w:rFonts w:hint="eastAsia"/>
          <w:highlight w:val="none"/>
          <w:lang w:val="en-US" w:eastAsia="zh-CN"/>
        </w:rPr>
        <w:t>灌草丛</w:t>
      </w:r>
    </w:p>
    <w:p w14:paraId="1C648F3D">
      <w:pPr>
        <w:bidi w:val="0"/>
        <w:rPr>
          <w:rFonts w:hint="eastAsia"/>
          <w:highlight w:val="none"/>
          <w:lang w:val="en-US" w:eastAsia="zh-CN"/>
        </w:rPr>
      </w:pPr>
      <w:r>
        <w:rPr>
          <w:rFonts w:hint="eastAsia"/>
          <w:highlight w:val="none"/>
          <w:lang w:val="en-US" w:eastAsia="zh-CN"/>
        </w:rPr>
        <w:t>鸡眼草（</w:t>
      </w:r>
      <w:r>
        <w:rPr>
          <w:rFonts w:hint="eastAsia"/>
          <w:i/>
          <w:iCs/>
          <w:highlight w:val="none"/>
          <w:lang w:val="en-US" w:eastAsia="zh-CN"/>
        </w:rPr>
        <w:t>Kummerowiastriata (Thunb.)Schindl.</w:t>
      </w:r>
      <w:r>
        <w:rPr>
          <w:rFonts w:hint="eastAsia"/>
          <w:highlight w:val="none"/>
          <w:lang w:val="en-US" w:eastAsia="zh-CN"/>
        </w:rPr>
        <w:t>）；</w:t>
      </w:r>
    </w:p>
    <w:p w14:paraId="75949C40">
      <w:pPr>
        <w:bidi w:val="0"/>
        <w:rPr>
          <w:rFonts w:hint="eastAsia"/>
          <w:highlight w:val="none"/>
          <w:lang w:val="en-US" w:eastAsia="zh-CN"/>
        </w:rPr>
      </w:pPr>
      <w:r>
        <w:rPr>
          <w:rFonts w:hint="eastAsia"/>
          <w:highlight w:val="none"/>
          <w:lang w:val="en-US" w:eastAsia="zh-CN"/>
        </w:rPr>
        <w:t>五节芒灌草丛（</w:t>
      </w:r>
      <w:r>
        <w:rPr>
          <w:rFonts w:hint="eastAsia"/>
          <w:i/>
          <w:iCs/>
          <w:highlight w:val="none"/>
          <w:lang w:val="en-US" w:eastAsia="zh-CN"/>
        </w:rPr>
        <w:t>Form.Miscanthusfloridulus</w:t>
      </w:r>
      <w:r>
        <w:rPr>
          <w:rFonts w:hint="eastAsia"/>
          <w:highlight w:val="none"/>
          <w:lang w:val="en-US" w:eastAsia="zh-CN"/>
        </w:rPr>
        <w:t>）；</w:t>
      </w:r>
    </w:p>
    <w:p w14:paraId="1BA3A945">
      <w:pPr>
        <w:bidi w:val="0"/>
        <w:rPr>
          <w:rFonts w:hint="eastAsia"/>
          <w:highlight w:val="none"/>
          <w:lang w:val="en-US" w:eastAsia="zh-CN"/>
        </w:rPr>
      </w:pPr>
      <w:r>
        <w:rPr>
          <w:rFonts w:hint="eastAsia"/>
          <w:highlight w:val="none"/>
          <w:lang w:val="en-US" w:eastAsia="zh-CN"/>
        </w:rPr>
        <w:t>爵床（</w:t>
      </w:r>
      <w:r>
        <w:rPr>
          <w:rFonts w:hint="eastAsia"/>
          <w:i/>
          <w:iCs/>
          <w:highlight w:val="none"/>
          <w:lang w:val="en-US" w:eastAsia="zh-CN"/>
        </w:rPr>
        <w:t>Justiciaprocumbens L.</w:t>
      </w:r>
      <w:r>
        <w:rPr>
          <w:rFonts w:hint="eastAsia"/>
          <w:highlight w:val="none"/>
          <w:lang w:val="en-US" w:eastAsia="zh-CN"/>
        </w:rPr>
        <w:t>）；</w:t>
      </w:r>
    </w:p>
    <w:p w14:paraId="3227C1E5">
      <w:pPr>
        <w:bidi w:val="0"/>
        <w:rPr>
          <w:rFonts w:hint="eastAsia"/>
          <w:highlight w:val="none"/>
          <w:lang w:val="en-US" w:eastAsia="zh-CN"/>
        </w:rPr>
      </w:pPr>
      <w:r>
        <w:rPr>
          <w:rFonts w:hint="eastAsia"/>
          <w:highlight w:val="none"/>
          <w:lang w:val="en-US" w:eastAsia="zh-CN"/>
        </w:rPr>
        <w:t>狗尾巴草灌草丛（</w:t>
      </w:r>
      <w:r>
        <w:rPr>
          <w:rFonts w:hint="eastAsia"/>
          <w:i/>
          <w:iCs/>
          <w:highlight w:val="none"/>
          <w:lang w:val="en-US" w:eastAsia="zh-CN"/>
        </w:rPr>
        <w:t>Form.Setariaviridis</w:t>
      </w:r>
      <w:r>
        <w:rPr>
          <w:rFonts w:hint="eastAsia"/>
          <w:highlight w:val="none"/>
          <w:lang w:val="en-US" w:eastAsia="zh-CN"/>
        </w:rPr>
        <w:t>）等。</w:t>
      </w:r>
    </w:p>
    <w:p w14:paraId="3B9AE59B">
      <w:pPr>
        <w:bidi w:val="0"/>
        <w:rPr>
          <w:rFonts w:hint="eastAsia"/>
          <w:highlight w:val="none"/>
          <w:lang w:val="en-US" w:eastAsia="zh-CN"/>
        </w:rPr>
      </w:pPr>
      <w:bookmarkStart w:id="52" w:name="_Toc11657"/>
      <w:r>
        <w:rPr>
          <w:rFonts w:hint="eastAsia"/>
          <w:highlight w:val="none"/>
          <w:lang w:val="en-US" w:eastAsia="zh-CN"/>
        </w:rPr>
        <w:t>（5）生态公益林</w:t>
      </w:r>
    </w:p>
    <w:p w14:paraId="0BCD28D9">
      <w:pPr>
        <w:bidi w:val="0"/>
        <w:rPr>
          <w:rFonts w:hint="eastAsia"/>
          <w:highlight w:val="none"/>
          <w:lang w:val="en-US" w:eastAsia="zh-CN"/>
        </w:rPr>
      </w:pPr>
      <w:r>
        <w:rPr>
          <w:rFonts w:hint="eastAsia"/>
          <w:highlight w:val="none"/>
          <w:lang w:val="en-US" w:eastAsia="zh-CN"/>
        </w:rPr>
        <w:t>生态公益林是指生态区位极为重要，或生态状况极为脆弱，对国土生态安全、生物多样性保护和经济社会可持续发展具有重要作用，以提供森林生态和社会服务产品为主要经营目的的重点的防护林和特种用途林。包括水源涵养林、水土保持林、防风固沙林和护岸林等。自然保护区的森林和国防林等。根据《湖南省生态公益林管理办法》第二章保护管理第十一条及第三章经营管理第十六条、第十八条：禁止在国家级公益林地开垦、采石、采沙、取土，严格控制勘查、开采矿藏和工程建设占用、征收公益林地。除国务院有关部门和省级人民政府批准的基础设施建设项目外，不得占用、征收一级国家级公益林地。一级国家级公益林原则上不得进行生产经营活动，人工林、母树林、种子园经营，应当组织专家评审后，报省级林业主管部门备案同意。在不破坏森林生态系统功能的前提下，可以合理利用二级、三级国家级公益林和省级公益林的林地资源适度开展林下种植养殖和森林游憩等非木质资源开发和利用，科学发展林下经济。公益林实施禁止、限制采伐保护措施。</w:t>
      </w:r>
    </w:p>
    <w:p w14:paraId="032D601A">
      <w:pPr>
        <w:bidi w:val="0"/>
        <w:rPr>
          <w:rFonts w:hint="eastAsia"/>
          <w:highlight w:val="yellow"/>
          <w:lang w:val="en-US" w:eastAsia="zh-CN"/>
        </w:rPr>
      </w:pPr>
      <w:r>
        <w:rPr>
          <w:rFonts w:hint="eastAsia"/>
          <w:highlight w:val="none"/>
          <w:lang w:val="en-US" w:eastAsia="zh-CN"/>
        </w:rPr>
        <w:t>评价区位于平江县三阳乡，根据项目与区域内生态公益林叠图可知，本工程不涉及生态公益林。征用公益林地需办理征占用公益林林地相关手续。</w:t>
      </w:r>
    </w:p>
    <w:p w14:paraId="02A55DA8">
      <w:pPr>
        <w:bidi w:val="0"/>
        <w:rPr>
          <w:rFonts w:hint="eastAsia"/>
          <w:highlight w:val="none"/>
          <w:lang w:val="en-US" w:eastAsia="zh-CN"/>
        </w:rPr>
      </w:pPr>
      <w:r>
        <w:rPr>
          <w:rFonts w:hint="eastAsia"/>
          <w:highlight w:val="none"/>
          <w:lang w:val="en-US" w:eastAsia="zh-CN"/>
        </w:rPr>
        <w:t>（6）典型工程植被现状</w:t>
      </w:r>
    </w:p>
    <w:p w14:paraId="6A08321D">
      <w:pPr>
        <w:bidi w:val="0"/>
        <w:rPr>
          <w:rFonts w:hint="eastAsia"/>
          <w:highlight w:val="none"/>
          <w:lang w:val="en-US" w:eastAsia="zh-CN"/>
        </w:rPr>
      </w:pPr>
      <w:r>
        <w:rPr>
          <w:rFonts w:hint="eastAsia"/>
          <w:highlight w:val="none"/>
          <w:lang w:val="en-US" w:eastAsia="zh-CN"/>
        </w:rPr>
        <w:t>典型工程包括取土场、临时道路、填埋场。这些区域植被现状与周边其他区域基本一致，乔木主要以杉木、毛竹、棕榈等为主，灌木和草本以盐肤木、檵木、五节芒、狗尾草、鸡眼草等为主，详见表4.3-7。</w:t>
      </w:r>
    </w:p>
    <w:p w14:paraId="56DC774F">
      <w:pPr>
        <w:bidi w:val="0"/>
        <w:ind w:left="0" w:leftChars="0" w:firstLine="0" w:firstLineChars="0"/>
        <w:jc w:val="center"/>
        <w:rPr>
          <w:rFonts w:hint="eastAsia"/>
          <w:b/>
          <w:bCs/>
          <w:sz w:val="21"/>
          <w:szCs w:val="21"/>
          <w:highlight w:val="none"/>
          <w:lang w:val="en-US" w:eastAsia="zh-CN"/>
        </w:rPr>
      </w:pPr>
      <w:r>
        <w:rPr>
          <w:rFonts w:hint="eastAsia"/>
          <w:b/>
          <w:bCs/>
          <w:sz w:val="21"/>
          <w:szCs w:val="21"/>
          <w:highlight w:val="none"/>
          <w:lang w:val="en-US" w:eastAsia="zh-CN"/>
        </w:rPr>
        <w:t>表4.3-7  典型工程植被现状情况一览表</w:t>
      </w:r>
    </w:p>
    <w:tbl>
      <w:tblPr>
        <w:tblStyle w:val="36"/>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418"/>
        <w:gridCol w:w="7870"/>
      </w:tblGrid>
      <w:tr w14:paraId="20FA0D4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blHeader/>
          <w:jc w:val="center"/>
        </w:trPr>
        <w:tc>
          <w:tcPr>
            <w:tcW w:w="763" w:type="pct"/>
            <w:tcBorders>
              <w:tl2br w:val="nil"/>
              <w:tr2bl w:val="nil"/>
            </w:tcBorders>
            <w:noWrap w:val="0"/>
            <w:vAlign w:val="center"/>
          </w:tcPr>
          <w:p w14:paraId="17A86082">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b/>
                <w:bCs/>
                <w:sz w:val="21"/>
                <w:szCs w:val="21"/>
                <w:highlight w:val="none"/>
                <w:lang w:val="en-US" w:eastAsia="zh-CN"/>
              </w:rPr>
            </w:pPr>
            <w:r>
              <w:rPr>
                <w:rFonts w:hint="eastAsia"/>
                <w:b/>
                <w:bCs/>
                <w:sz w:val="21"/>
                <w:szCs w:val="21"/>
                <w:highlight w:val="none"/>
                <w:lang w:val="en-US" w:eastAsia="zh-CN"/>
              </w:rPr>
              <w:t>典型工程</w:t>
            </w:r>
          </w:p>
        </w:tc>
        <w:tc>
          <w:tcPr>
            <w:tcW w:w="4236" w:type="pct"/>
            <w:tcBorders>
              <w:tl2br w:val="nil"/>
              <w:tr2bl w:val="nil"/>
            </w:tcBorders>
            <w:noWrap w:val="0"/>
            <w:vAlign w:val="center"/>
          </w:tcPr>
          <w:p w14:paraId="1ABF47DE">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b/>
                <w:bCs/>
                <w:sz w:val="21"/>
                <w:szCs w:val="21"/>
                <w:highlight w:val="none"/>
                <w:lang w:val="en-US" w:eastAsia="zh-CN"/>
              </w:rPr>
            </w:pPr>
            <w:r>
              <w:rPr>
                <w:rFonts w:hint="eastAsia"/>
                <w:b/>
                <w:bCs/>
                <w:sz w:val="21"/>
                <w:szCs w:val="21"/>
                <w:highlight w:val="none"/>
                <w:lang w:val="en-US" w:eastAsia="zh-CN"/>
              </w:rPr>
              <w:t>植被现状描述</w:t>
            </w:r>
          </w:p>
        </w:tc>
      </w:tr>
      <w:tr w14:paraId="3639566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63" w:type="pct"/>
            <w:tcBorders>
              <w:tl2br w:val="nil"/>
              <w:tr2bl w:val="nil"/>
            </w:tcBorders>
            <w:noWrap w:val="0"/>
            <w:vAlign w:val="center"/>
          </w:tcPr>
          <w:p w14:paraId="53B438E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取土场</w:t>
            </w:r>
          </w:p>
        </w:tc>
        <w:tc>
          <w:tcPr>
            <w:tcW w:w="4236" w:type="pct"/>
            <w:tcBorders>
              <w:tl2br w:val="nil"/>
              <w:tr2bl w:val="nil"/>
            </w:tcBorders>
            <w:noWrap w:val="0"/>
            <w:vAlign w:val="center"/>
          </w:tcPr>
          <w:p w14:paraId="21CF047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取土场所在区域植被主要有玉竹灌丛、五节芒灌草丛等，主要植物种类有玉竹、五节芒、鸡眼草、爵床等</w:t>
            </w:r>
          </w:p>
        </w:tc>
      </w:tr>
      <w:tr w14:paraId="5434899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63" w:type="pct"/>
            <w:tcBorders>
              <w:tl2br w:val="nil"/>
              <w:tr2bl w:val="nil"/>
            </w:tcBorders>
            <w:noWrap w:val="0"/>
            <w:vAlign w:val="center"/>
          </w:tcPr>
          <w:p w14:paraId="4B5F5E0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临时道路</w:t>
            </w:r>
          </w:p>
        </w:tc>
        <w:tc>
          <w:tcPr>
            <w:tcW w:w="4236" w:type="pct"/>
            <w:tcBorders>
              <w:tl2br w:val="nil"/>
              <w:tr2bl w:val="nil"/>
            </w:tcBorders>
            <w:noWrap w:val="0"/>
            <w:vAlign w:val="center"/>
          </w:tcPr>
          <w:p w14:paraId="5B094AB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临时道路线性分布，沿线分布的植被主要有毛竹林、樟木林、狗牙根灌草丛等，主要植物种类有毛竹、棕榈、石楠、雾水葛、狗牙根、爵床、狗尾巴草、鸡眼草等</w:t>
            </w:r>
          </w:p>
        </w:tc>
      </w:tr>
      <w:tr w14:paraId="69801EE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63" w:type="pct"/>
            <w:tcBorders>
              <w:tl2br w:val="nil"/>
              <w:tr2bl w:val="nil"/>
            </w:tcBorders>
            <w:noWrap w:val="0"/>
            <w:vAlign w:val="center"/>
          </w:tcPr>
          <w:p w14:paraId="76701F7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填埋场</w:t>
            </w:r>
          </w:p>
        </w:tc>
        <w:tc>
          <w:tcPr>
            <w:tcW w:w="4236" w:type="pct"/>
            <w:tcBorders>
              <w:tl2br w:val="nil"/>
              <w:tr2bl w:val="nil"/>
            </w:tcBorders>
            <w:noWrap w:val="0"/>
            <w:vAlign w:val="center"/>
          </w:tcPr>
          <w:p w14:paraId="606B890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填埋场所在区域植被主要有毛竹林、樟木林、狗牙根灌草丛等，主要植物种类有毛竹、棕榈、石楠、雾水葛、狗牙根、爵床、狗尾巴草、鸡眼草等</w:t>
            </w:r>
          </w:p>
        </w:tc>
      </w:tr>
    </w:tbl>
    <w:p w14:paraId="41E2D95B">
      <w:pPr>
        <w:bidi w:val="0"/>
        <w:ind w:left="0" w:leftChars="0" w:firstLine="0" w:firstLineChars="0"/>
        <w:jc w:val="center"/>
        <w:rPr>
          <w:rFonts w:hint="eastAsia"/>
          <w:b/>
          <w:bCs/>
          <w:sz w:val="21"/>
          <w:szCs w:val="21"/>
          <w:highlight w:val="none"/>
          <w:lang w:val="en-US" w:eastAsia="zh-CN"/>
        </w:rPr>
      </w:pPr>
      <w:r>
        <w:rPr>
          <w:rFonts w:hint="eastAsia"/>
          <w:b/>
          <w:bCs/>
          <w:sz w:val="21"/>
          <w:szCs w:val="21"/>
          <w:highlight w:val="none"/>
          <w:lang w:val="en-US" w:eastAsia="zh-CN"/>
        </w:rPr>
        <w:t>表4.3-8  主要生态环境指标详细情况</w:t>
      </w:r>
    </w:p>
    <w:tbl>
      <w:tblPr>
        <w:tblStyle w:val="35"/>
        <w:tblW w:w="514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56"/>
        <w:gridCol w:w="1003"/>
        <w:gridCol w:w="959"/>
        <w:gridCol w:w="963"/>
        <w:gridCol w:w="534"/>
        <w:gridCol w:w="794"/>
        <w:gridCol w:w="3164"/>
        <w:gridCol w:w="1258"/>
      </w:tblGrid>
      <w:tr w14:paraId="0BE3271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blHeader/>
          <w:jc w:val="center"/>
        </w:trPr>
        <w:tc>
          <w:tcPr>
            <w:tcW w:w="400" w:type="pct"/>
            <w:tcBorders>
              <w:tl2br w:val="nil"/>
              <w:tr2bl w:val="nil"/>
            </w:tcBorders>
            <w:noWrap w:val="0"/>
            <w:tcMar>
              <w:top w:w="0" w:type="dxa"/>
              <w:left w:w="51" w:type="dxa"/>
              <w:bottom w:w="0" w:type="dxa"/>
              <w:right w:w="51" w:type="dxa"/>
            </w:tcMar>
            <w:vAlign w:val="center"/>
          </w:tcPr>
          <w:p w14:paraId="76732E1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bCs/>
                <w:sz w:val="21"/>
                <w:szCs w:val="21"/>
                <w:highlight w:val="none"/>
                <w:lang w:val="en-US" w:eastAsia="zh-CN"/>
              </w:rPr>
            </w:pPr>
            <w:r>
              <w:rPr>
                <w:rFonts w:hint="default" w:ascii="Times New Roman" w:hAnsi="Times New Roman" w:cs="Times New Roman"/>
                <w:b/>
                <w:bCs/>
                <w:sz w:val="21"/>
                <w:szCs w:val="21"/>
                <w:highlight w:val="none"/>
                <w:lang w:val="en-US" w:eastAsia="zh-CN"/>
              </w:rPr>
              <w:t>名称</w:t>
            </w:r>
          </w:p>
        </w:tc>
        <w:tc>
          <w:tcPr>
            <w:tcW w:w="531" w:type="pct"/>
            <w:tcBorders>
              <w:tl2br w:val="nil"/>
              <w:tr2bl w:val="nil"/>
            </w:tcBorders>
            <w:noWrap w:val="0"/>
            <w:tcMar>
              <w:top w:w="0" w:type="dxa"/>
              <w:left w:w="51" w:type="dxa"/>
              <w:bottom w:w="0" w:type="dxa"/>
              <w:right w:w="51" w:type="dxa"/>
            </w:tcMar>
            <w:vAlign w:val="center"/>
          </w:tcPr>
          <w:p w14:paraId="0B0B064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bCs/>
                <w:sz w:val="21"/>
                <w:szCs w:val="21"/>
                <w:highlight w:val="none"/>
                <w:lang w:val="en-US" w:eastAsia="zh-CN"/>
              </w:rPr>
            </w:pPr>
            <w:r>
              <w:rPr>
                <w:rFonts w:hint="default" w:ascii="Times New Roman" w:hAnsi="Times New Roman" w:cs="Times New Roman"/>
                <w:b/>
                <w:bCs/>
                <w:sz w:val="21"/>
                <w:szCs w:val="21"/>
                <w:highlight w:val="none"/>
                <w:lang w:val="en-US" w:eastAsia="zh-CN"/>
              </w:rPr>
              <w:t>海拔高程（m）</w:t>
            </w:r>
          </w:p>
        </w:tc>
        <w:tc>
          <w:tcPr>
            <w:tcW w:w="508" w:type="pct"/>
            <w:tcBorders>
              <w:tl2br w:val="nil"/>
              <w:tr2bl w:val="nil"/>
            </w:tcBorders>
            <w:noWrap w:val="0"/>
            <w:tcMar>
              <w:top w:w="0" w:type="dxa"/>
              <w:left w:w="51" w:type="dxa"/>
              <w:bottom w:w="0" w:type="dxa"/>
              <w:right w:w="51" w:type="dxa"/>
            </w:tcMar>
            <w:vAlign w:val="center"/>
          </w:tcPr>
          <w:p w14:paraId="40D91CC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bCs/>
                <w:sz w:val="21"/>
                <w:szCs w:val="21"/>
                <w:highlight w:val="none"/>
                <w:lang w:val="en-US" w:eastAsia="zh-CN"/>
              </w:rPr>
            </w:pPr>
            <w:r>
              <w:rPr>
                <w:rFonts w:hint="default" w:ascii="Times New Roman" w:hAnsi="Times New Roman" w:cs="Times New Roman"/>
                <w:b/>
                <w:bCs/>
                <w:sz w:val="21"/>
                <w:szCs w:val="21"/>
                <w:highlight w:val="none"/>
                <w:lang w:val="en-US" w:eastAsia="zh-CN"/>
              </w:rPr>
              <w:t>地形坡度（°）</w:t>
            </w:r>
          </w:p>
        </w:tc>
        <w:tc>
          <w:tcPr>
            <w:tcW w:w="510" w:type="pct"/>
            <w:tcBorders>
              <w:tl2br w:val="nil"/>
              <w:tr2bl w:val="nil"/>
            </w:tcBorders>
            <w:noWrap w:val="0"/>
            <w:tcMar>
              <w:top w:w="0" w:type="dxa"/>
              <w:left w:w="51" w:type="dxa"/>
              <w:bottom w:w="0" w:type="dxa"/>
              <w:right w:w="51" w:type="dxa"/>
            </w:tcMar>
            <w:vAlign w:val="center"/>
          </w:tcPr>
          <w:p w14:paraId="5521CFB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bCs/>
                <w:sz w:val="21"/>
                <w:szCs w:val="21"/>
                <w:highlight w:val="none"/>
                <w:lang w:val="en-US" w:eastAsia="zh-CN"/>
              </w:rPr>
            </w:pPr>
            <w:r>
              <w:rPr>
                <w:rFonts w:hint="default" w:ascii="Times New Roman" w:hAnsi="Times New Roman" w:cs="Times New Roman"/>
                <w:b/>
                <w:bCs/>
                <w:sz w:val="21"/>
                <w:szCs w:val="21"/>
                <w:highlight w:val="none"/>
                <w:lang w:val="en-US" w:eastAsia="zh-CN"/>
              </w:rPr>
              <w:t>地质岩性</w:t>
            </w:r>
          </w:p>
        </w:tc>
        <w:tc>
          <w:tcPr>
            <w:tcW w:w="283" w:type="pct"/>
            <w:tcBorders>
              <w:tl2br w:val="nil"/>
              <w:tr2bl w:val="nil"/>
            </w:tcBorders>
            <w:noWrap w:val="0"/>
            <w:tcMar>
              <w:top w:w="0" w:type="dxa"/>
              <w:left w:w="51" w:type="dxa"/>
              <w:bottom w:w="0" w:type="dxa"/>
              <w:right w:w="51" w:type="dxa"/>
            </w:tcMar>
            <w:vAlign w:val="center"/>
          </w:tcPr>
          <w:p w14:paraId="111C81F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bCs/>
                <w:sz w:val="21"/>
                <w:szCs w:val="21"/>
                <w:highlight w:val="none"/>
                <w:lang w:val="en-US" w:eastAsia="zh-CN"/>
              </w:rPr>
            </w:pPr>
            <w:r>
              <w:rPr>
                <w:rFonts w:hint="default" w:ascii="Times New Roman" w:hAnsi="Times New Roman" w:cs="Times New Roman"/>
                <w:b/>
                <w:bCs/>
                <w:sz w:val="21"/>
                <w:szCs w:val="21"/>
                <w:highlight w:val="none"/>
                <w:lang w:val="en-US" w:eastAsia="zh-CN"/>
              </w:rPr>
              <w:t>风化程度</w:t>
            </w:r>
          </w:p>
        </w:tc>
        <w:tc>
          <w:tcPr>
            <w:tcW w:w="420" w:type="pct"/>
            <w:tcBorders>
              <w:tl2br w:val="nil"/>
              <w:tr2bl w:val="nil"/>
            </w:tcBorders>
            <w:noWrap w:val="0"/>
            <w:tcMar>
              <w:top w:w="0" w:type="dxa"/>
              <w:left w:w="51" w:type="dxa"/>
              <w:bottom w:w="0" w:type="dxa"/>
              <w:right w:w="51" w:type="dxa"/>
            </w:tcMar>
            <w:vAlign w:val="center"/>
          </w:tcPr>
          <w:p w14:paraId="7C306E0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bCs/>
                <w:sz w:val="21"/>
                <w:szCs w:val="21"/>
                <w:highlight w:val="none"/>
                <w:lang w:val="en-US" w:eastAsia="zh-CN"/>
              </w:rPr>
            </w:pPr>
            <w:r>
              <w:rPr>
                <w:rFonts w:hint="default" w:ascii="Times New Roman" w:hAnsi="Times New Roman" w:cs="Times New Roman"/>
                <w:b/>
                <w:bCs/>
                <w:sz w:val="21"/>
                <w:szCs w:val="21"/>
                <w:highlight w:val="none"/>
                <w:lang w:val="en-US" w:eastAsia="zh-CN"/>
              </w:rPr>
              <w:t>生态脆弱性</w:t>
            </w:r>
          </w:p>
        </w:tc>
        <w:tc>
          <w:tcPr>
            <w:tcW w:w="1677" w:type="pct"/>
            <w:tcBorders>
              <w:tl2br w:val="nil"/>
              <w:tr2bl w:val="nil"/>
            </w:tcBorders>
            <w:noWrap w:val="0"/>
            <w:tcMar>
              <w:top w:w="0" w:type="dxa"/>
              <w:left w:w="51" w:type="dxa"/>
              <w:bottom w:w="0" w:type="dxa"/>
              <w:right w:w="51" w:type="dxa"/>
            </w:tcMar>
            <w:vAlign w:val="center"/>
          </w:tcPr>
          <w:p w14:paraId="474BEDC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bCs/>
                <w:sz w:val="21"/>
                <w:szCs w:val="21"/>
                <w:highlight w:val="none"/>
                <w:lang w:val="en-US" w:eastAsia="zh-CN"/>
              </w:rPr>
            </w:pPr>
            <w:r>
              <w:rPr>
                <w:rFonts w:hint="default" w:ascii="Times New Roman" w:hAnsi="Times New Roman" w:cs="Times New Roman"/>
                <w:b/>
                <w:bCs/>
                <w:sz w:val="21"/>
                <w:szCs w:val="21"/>
                <w:highlight w:val="none"/>
                <w:lang w:val="en-US" w:eastAsia="zh-CN"/>
              </w:rPr>
              <w:t>植被现状</w:t>
            </w:r>
          </w:p>
        </w:tc>
        <w:tc>
          <w:tcPr>
            <w:tcW w:w="666" w:type="pct"/>
            <w:tcBorders>
              <w:tl2br w:val="nil"/>
              <w:tr2bl w:val="nil"/>
            </w:tcBorders>
            <w:noWrap w:val="0"/>
            <w:tcMar>
              <w:top w:w="0" w:type="dxa"/>
              <w:left w:w="51" w:type="dxa"/>
              <w:bottom w:w="0" w:type="dxa"/>
              <w:right w:w="51" w:type="dxa"/>
            </w:tcMar>
            <w:vAlign w:val="center"/>
          </w:tcPr>
          <w:p w14:paraId="4C1E1B1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bCs/>
                <w:sz w:val="21"/>
                <w:szCs w:val="21"/>
                <w:highlight w:val="none"/>
                <w:lang w:val="en-US" w:eastAsia="zh-CN"/>
              </w:rPr>
            </w:pPr>
            <w:r>
              <w:rPr>
                <w:rFonts w:hint="default" w:ascii="Times New Roman" w:hAnsi="Times New Roman" w:cs="Times New Roman"/>
                <w:b/>
                <w:bCs/>
                <w:sz w:val="21"/>
                <w:szCs w:val="21"/>
                <w:highlight w:val="none"/>
                <w:lang w:val="en-US" w:eastAsia="zh-CN"/>
              </w:rPr>
              <w:t>林木蓄积量（m</w:t>
            </w:r>
            <w:r>
              <w:rPr>
                <w:rFonts w:hint="default" w:ascii="Times New Roman" w:hAnsi="Times New Roman" w:cs="Times New Roman"/>
                <w:b/>
                <w:bCs/>
                <w:sz w:val="21"/>
                <w:szCs w:val="21"/>
                <w:highlight w:val="none"/>
                <w:vertAlign w:val="superscript"/>
                <w:lang w:val="en-US" w:eastAsia="zh-CN"/>
              </w:rPr>
              <w:t>3</w:t>
            </w:r>
            <w:r>
              <w:rPr>
                <w:rFonts w:hint="default" w:ascii="Times New Roman" w:hAnsi="Times New Roman" w:cs="Times New Roman"/>
                <w:b/>
                <w:bCs/>
                <w:sz w:val="21"/>
                <w:szCs w:val="21"/>
                <w:highlight w:val="none"/>
                <w:lang w:val="en-US" w:eastAsia="zh-CN"/>
              </w:rPr>
              <w:t>/hm</w:t>
            </w:r>
            <w:r>
              <w:rPr>
                <w:rFonts w:hint="default" w:ascii="Times New Roman" w:hAnsi="Times New Roman" w:cs="Times New Roman"/>
                <w:b/>
                <w:bCs/>
                <w:sz w:val="21"/>
                <w:szCs w:val="21"/>
                <w:highlight w:val="none"/>
                <w:vertAlign w:val="superscript"/>
                <w:lang w:val="en-US" w:eastAsia="zh-CN"/>
              </w:rPr>
              <w:t>2</w:t>
            </w:r>
            <w:r>
              <w:rPr>
                <w:rFonts w:hint="default" w:ascii="Times New Roman" w:hAnsi="Times New Roman" w:cs="Times New Roman"/>
                <w:b/>
                <w:bCs/>
                <w:sz w:val="21"/>
                <w:szCs w:val="21"/>
                <w:highlight w:val="none"/>
                <w:lang w:val="en-US" w:eastAsia="zh-CN"/>
              </w:rPr>
              <w:t>）</w:t>
            </w:r>
          </w:p>
        </w:tc>
      </w:tr>
      <w:tr w14:paraId="664367A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00" w:type="pct"/>
            <w:tcBorders>
              <w:tl2br w:val="nil"/>
              <w:tr2bl w:val="nil"/>
            </w:tcBorders>
            <w:noWrap w:val="0"/>
            <w:tcMar>
              <w:top w:w="0" w:type="dxa"/>
              <w:left w:w="51" w:type="dxa"/>
              <w:bottom w:w="0" w:type="dxa"/>
              <w:right w:w="51" w:type="dxa"/>
            </w:tcMar>
            <w:vAlign w:val="center"/>
          </w:tcPr>
          <w:p w14:paraId="32D652E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取土场</w:t>
            </w:r>
          </w:p>
        </w:tc>
        <w:tc>
          <w:tcPr>
            <w:tcW w:w="531" w:type="pct"/>
            <w:tcBorders>
              <w:tl2br w:val="nil"/>
              <w:tr2bl w:val="nil"/>
            </w:tcBorders>
            <w:noWrap w:val="0"/>
            <w:tcMar>
              <w:top w:w="0" w:type="dxa"/>
              <w:left w:w="51" w:type="dxa"/>
              <w:bottom w:w="0" w:type="dxa"/>
              <w:right w:w="51" w:type="dxa"/>
            </w:tcMar>
            <w:vAlign w:val="center"/>
          </w:tcPr>
          <w:p w14:paraId="70E9F16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110</w:t>
            </w:r>
          </w:p>
        </w:tc>
        <w:tc>
          <w:tcPr>
            <w:tcW w:w="508" w:type="pct"/>
            <w:tcBorders>
              <w:tl2br w:val="nil"/>
              <w:tr2bl w:val="nil"/>
            </w:tcBorders>
            <w:noWrap w:val="0"/>
            <w:tcMar>
              <w:top w:w="0" w:type="dxa"/>
              <w:left w:w="51" w:type="dxa"/>
              <w:bottom w:w="0" w:type="dxa"/>
              <w:right w:w="51" w:type="dxa"/>
            </w:tcMar>
            <w:vAlign w:val="center"/>
          </w:tcPr>
          <w:p w14:paraId="33D2F0E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9</w:t>
            </w:r>
          </w:p>
        </w:tc>
        <w:tc>
          <w:tcPr>
            <w:tcW w:w="510" w:type="pct"/>
            <w:tcBorders>
              <w:tl2br w:val="nil"/>
              <w:tr2bl w:val="nil"/>
            </w:tcBorders>
            <w:noWrap w:val="0"/>
            <w:tcMar>
              <w:top w:w="0" w:type="dxa"/>
              <w:left w:w="51" w:type="dxa"/>
              <w:bottom w:w="0" w:type="dxa"/>
              <w:right w:w="51" w:type="dxa"/>
            </w:tcMar>
            <w:vAlign w:val="center"/>
          </w:tcPr>
          <w:p w14:paraId="413C8AE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出露地层主要为石炭系粉砂岩、灰岩</w:t>
            </w:r>
          </w:p>
        </w:tc>
        <w:tc>
          <w:tcPr>
            <w:tcW w:w="283" w:type="pct"/>
            <w:tcBorders>
              <w:tl2br w:val="nil"/>
              <w:tr2bl w:val="nil"/>
            </w:tcBorders>
            <w:noWrap w:val="0"/>
            <w:tcMar>
              <w:top w:w="0" w:type="dxa"/>
              <w:left w:w="51" w:type="dxa"/>
              <w:bottom w:w="0" w:type="dxa"/>
              <w:right w:w="51" w:type="dxa"/>
            </w:tcMar>
            <w:vAlign w:val="center"/>
          </w:tcPr>
          <w:p w14:paraId="1AE5186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中等风化</w:t>
            </w:r>
          </w:p>
        </w:tc>
        <w:tc>
          <w:tcPr>
            <w:tcW w:w="420" w:type="pct"/>
            <w:tcBorders>
              <w:tl2br w:val="nil"/>
              <w:tr2bl w:val="nil"/>
            </w:tcBorders>
            <w:noWrap w:val="0"/>
            <w:tcMar>
              <w:top w:w="0" w:type="dxa"/>
              <w:left w:w="51" w:type="dxa"/>
              <w:bottom w:w="0" w:type="dxa"/>
              <w:right w:w="51" w:type="dxa"/>
            </w:tcMar>
            <w:vAlign w:val="center"/>
          </w:tcPr>
          <w:p w14:paraId="2253856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微度</w:t>
            </w:r>
          </w:p>
          <w:p w14:paraId="26CEF1A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脆弱</w:t>
            </w:r>
          </w:p>
        </w:tc>
        <w:tc>
          <w:tcPr>
            <w:tcW w:w="1677" w:type="pct"/>
            <w:tcBorders>
              <w:tl2br w:val="nil"/>
              <w:tr2bl w:val="nil"/>
            </w:tcBorders>
            <w:noWrap w:val="0"/>
            <w:tcMar>
              <w:top w:w="0" w:type="dxa"/>
              <w:left w:w="51" w:type="dxa"/>
              <w:bottom w:w="0" w:type="dxa"/>
              <w:right w:w="51" w:type="dxa"/>
            </w:tcMar>
            <w:vAlign w:val="center"/>
          </w:tcPr>
          <w:p w14:paraId="287B067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平台区域植被以毛蕨灌草丛等，主要植物种类有毛蕨、五节芒、鸡眼草、爵床等。</w:t>
            </w:r>
          </w:p>
        </w:tc>
        <w:tc>
          <w:tcPr>
            <w:tcW w:w="666" w:type="pct"/>
            <w:tcBorders>
              <w:tl2br w:val="nil"/>
              <w:tr2bl w:val="nil"/>
            </w:tcBorders>
            <w:noWrap w:val="0"/>
            <w:tcMar>
              <w:top w:w="0" w:type="dxa"/>
              <w:left w:w="51" w:type="dxa"/>
              <w:bottom w:w="0" w:type="dxa"/>
              <w:right w:w="51" w:type="dxa"/>
            </w:tcMar>
            <w:vAlign w:val="center"/>
          </w:tcPr>
          <w:p w14:paraId="70B3F6C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w:t>
            </w:r>
          </w:p>
        </w:tc>
      </w:tr>
      <w:tr w14:paraId="75828C3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00" w:type="pct"/>
            <w:tcBorders>
              <w:tl2br w:val="nil"/>
              <w:tr2bl w:val="nil"/>
            </w:tcBorders>
            <w:noWrap w:val="0"/>
            <w:tcMar>
              <w:top w:w="0" w:type="dxa"/>
              <w:left w:w="51" w:type="dxa"/>
              <w:bottom w:w="0" w:type="dxa"/>
              <w:right w:w="51" w:type="dxa"/>
            </w:tcMar>
            <w:vAlign w:val="center"/>
          </w:tcPr>
          <w:p w14:paraId="4115FE0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临时</w:t>
            </w:r>
          </w:p>
          <w:p w14:paraId="40CD041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道路</w:t>
            </w:r>
          </w:p>
        </w:tc>
        <w:tc>
          <w:tcPr>
            <w:tcW w:w="531" w:type="pct"/>
            <w:tcBorders>
              <w:tl2br w:val="nil"/>
              <w:tr2bl w:val="nil"/>
            </w:tcBorders>
            <w:noWrap w:val="0"/>
            <w:tcMar>
              <w:top w:w="0" w:type="dxa"/>
              <w:left w:w="51" w:type="dxa"/>
              <w:bottom w:w="0" w:type="dxa"/>
              <w:right w:w="51" w:type="dxa"/>
            </w:tcMar>
            <w:vAlign w:val="center"/>
          </w:tcPr>
          <w:p w14:paraId="3F7C0D4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200</w:t>
            </w:r>
          </w:p>
        </w:tc>
        <w:tc>
          <w:tcPr>
            <w:tcW w:w="508" w:type="pct"/>
            <w:tcBorders>
              <w:tl2br w:val="nil"/>
              <w:tr2bl w:val="nil"/>
            </w:tcBorders>
            <w:noWrap w:val="0"/>
            <w:tcMar>
              <w:top w:w="0" w:type="dxa"/>
              <w:left w:w="51" w:type="dxa"/>
              <w:bottom w:w="0" w:type="dxa"/>
              <w:right w:w="51" w:type="dxa"/>
            </w:tcMar>
            <w:vAlign w:val="center"/>
          </w:tcPr>
          <w:p w14:paraId="2FB0DB7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7</w:t>
            </w:r>
          </w:p>
        </w:tc>
        <w:tc>
          <w:tcPr>
            <w:tcW w:w="510" w:type="pct"/>
            <w:tcBorders>
              <w:tl2br w:val="nil"/>
              <w:tr2bl w:val="nil"/>
            </w:tcBorders>
            <w:noWrap w:val="0"/>
            <w:tcMar>
              <w:top w:w="0" w:type="dxa"/>
              <w:left w:w="51" w:type="dxa"/>
              <w:bottom w:w="0" w:type="dxa"/>
              <w:right w:w="51" w:type="dxa"/>
            </w:tcMar>
            <w:vAlign w:val="center"/>
          </w:tcPr>
          <w:p w14:paraId="4C3F88C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出露地层主要为石炭系粉砂岩、灰岩</w:t>
            </w:r>
          </w:p>
        </w:tc>
        <w:tc>
          <w:tcPr>
            <w:tcW w:w="283" w:type="pct"/>
            <w:tcBorders>
              <w:tl2br w:val="nil"/>
              <w:tr2bl w:val="nil"/>
            </w:tcBorders>
            <w:noWrap w:val="0"/>
            <w:tcMar>
              <w:top w:w="0" w:type="dxa"/>
              <w:left w:w="51" w:type="dxa"/>
              <w:bottom w:w="0" w:type="dxa"/>
              <w:right w:w="51" w:type="dxa"/>
            </w:tcMar>
            <w:vAlign w:val="center"/>
          </w:tcPr>
          <w:p w14:paraId="76649B6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中等风化</w:t>
            </w:r>
          </w:p>
        </w:tc>
        <w:tc>
          <w:tcPr>
            <w:tcW w:w="420" w:type="pct"/>
            <w:tcBorders>
              <w:tl2br w:val="nil"/>
              <w:tr2bl w:val="nil"/>
            </w:tcBorders>
            <w:noWrap w:val="0"/>
            <w:tcMar>
              <w:top w:w="0" w:type="dxa"/>
              <w:left w:w="51" w:type="dxa"/>
              <w:bottom w:w="0" w:type="dxa"/>
              <w:right w:w="51" w:type="dxa"/>
            </w:tcMar>
            <w:vAlign w:val="center"/>
          </w:tcPr>
          <w:p w14:paraId="02E5FB6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微度</w:t>
            </w:r>
          </w:p>
          <w:p w14:paraId="202B93C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脆弱</w:t>
            </w:r>
          </w:p>
        </w:tc>
        <w:tc>
          <w:tcPr>
            <w:tcW w:w="1677" w:type="pct"/>
            <w:tcBorders>
              <w:tl2br w:val="nil"/>
              <w:tr2bl w:val="nil"/>
            </w:tcBorders>
            <w:noWrap w:val="0"/>
            <w:tcMar>
              <w:top w:w="0" w:type="dxa"/>
              <w:left w:w="51" w:type="dxa"/>
              <w:bottom w:w="0" w:type="dxa"/>
              <w:right w:w="51" w:type="dxa"/>
            </w:tcMar>
            <w:vAlign w:val="center"/>
          </w:tcPr>
          <w:p w14:paraId="05D021D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平台区域植被以毛竹林、杉木林、鸡屎藤灌丛、狗牙根灌草丛等，主要植物种类有毛竹、杉木、马尾松、鸡屎藤、山胡椒、盐肤木、狗牙根、爵床、狗尾巴草等</w:t>
            </w:r>
          </w:p>
        </w:tc>
        <w:tc>
          <w:tcPr>
            <w:tcW w:w="666" w:type="pct"/>
            <w:tcBorders>
              <w:tl2br w:val="nil"/>
              <w:tr2bl w:val="nil"/>
            </w:tcBorders>
            <w:noWrap w:val="0"/>
            <w:tcMar>
              <w:top w:w="0" w:type="dxa"/>
              <w:left w:w="51" w:type="dxa"/>
              <w:bottom w:w="0" w:type="dxa"/>
              <w:right w:w="51" w:type="dxa"/>
            </w:tcMar>
            <w:vAlign w:val="center"/>
          </w:tcPr>
          <w:p w14:paraId="089F729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14.52</w:t>
            </w:r>
          </w:p>
        </w:tc>
      </w:tr>
      <w:tr w14:paraId="7AB1B26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00" w:type="pct"/>
            <w:tcBorders>
              <w:tl2br w:val="nil"/>
              <w:tr2bl w:val="nil"/>
            </w:tcBorders>
            <w:noWrap w:val="0"/>
            <w:tcMar>
              <w:top w:w="0" w:type="dxa"/>
              <w:left w:w="51" w:type="dxa"/>
              <w:bottom w:w="0" w:type="dxa"/>
              <w:right w:w="51" w:type="dxa"/>
            </w:tcMar>
            <w:vAlign w:val="center"/>
          </w:tcPr>
          <w:p w14:paraId="27FFD40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填埋场</w:t>
            </w:r>
          </w:p>
        </w:tc>
        <w:tc>
          <w:tcPr>
            <w:tcW w:w="531" w:type="pct"/>
            <w:tcBorders>
              <w:tl2br w:val="nil"/>
              <w:tr2bl w:val="nil"/>
            </w:tcBorders>
            <w:noWrap w:val="0"/>
            <w:tcMar>
              <w:top w:w="0" w:type="dxa"/>
              <w:left w:w="51" w:type="dxa"/>
              <w:bottom w:w="0" w:type="dxa"/>
              <w:right w:w="51" w:type="dxa"/>
            </w:tcMar>
            <w:vAlign w:val="center"/>
          </w:tcPr>
          <w:p w14:paraId="6A64600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193</w:t>
            </w:r>
          </w:p>
        </w:tc>
        <w:tc>
          <w:tcPr>
            <w:tcW w:w="508" w:type="pct"/>
            <w:tcBorders>
              <w:tl2br w:val="nil"/>
              <w:tr2bl w:val="nil"/>
            </w:tcBorders>
            <w:noWrap w:val="0"/>
            <w:tcMar>
              <w:top w:w="0" w:type="dxa"/>
              <w:left w:w="51" w:type="dxa"/>
              <w:bottom w:w="0" w:type="dxa"/>
              <w:right w:w="51" w:type="dxa"/>
            </w:tcMar>
            <w:vAlign w:val="center"/>
          </w:tcPr>
          <w:p w14:paraId="1567553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6</w:t>
            </w:r>
          </w:p>
        </w:tc>
        <w:tc>
          <w:tcPr>
            <w:tcW w:w="510" w:type="pct"/>
            <w:tcBorders>
              <w:tl2br w:val="nil"/>
              <w:tr2bl w:val="nil"/>
            </w:tcBorders>
            <w:noWrap w:val="0"/>
            <w:tcMar>
              <w:top w:w="0" w:type="dxa"/>
              <w:left w:w="51" w:type="dxa"/>
              <w:bottom w:w="0" w:type="dxa"/>
              <w:right w:w="51" w:type="dxa"/>
            </w:tcMar>
            <w:vAlign w:val="center"/>
          </w:tcPr>
          <w:p w14:paraId="01C7A44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出露地层主要为石炭系粉砂岩、灰岩</w:t>
            </w:r>
          </w:p>
        </w:tc>
        <w:tc>
          <w:tcPr>
            <w:tcW w:w="283" w:type="pct"/>
            <w:tcBorders>
              <w:tl2br w:val="nil"/>
              <w:tr2bl w:val="nil"/>
            </w:tcBorders>
            <w:noWrap w:val="0"/>
            <w:tcMar>
              <w:top w:w="0" w:type="dxa"/>
              <w:left w:w="51" w:type="dxa"/>
              <w:bottom w:w="0" w:type="dxa"/>
              <w:right w:w="51" w:type="dxa"/>
            </w:tcMar>
            <w:vAlign w:val="center"/>
          </w:tcPr>
          <w:p w14:paraId="49E3E73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中等风化</w:t>
            </w:r>
          </w:p>
        </w:tc>
        <w:tc>
          <w:tcPr>
            <w:tcW w:w="420" w:type="pct"/>
            <w:tcBorders>
              <w:tl2br w:val="nil"/>
              <w:tr2bl w:val="nil"/>
            </w:tcBorders>
            <w:noWrap w:val="0"/>
            <w:tcMar>
              <w:top w:w="0" w:type="dxa"/>
              <w:left w:w="51" w:type="dxa"/>
              <w:bottom w:w="0" w:type="dxa"/>
              <w:right w:w="51" w:type="dxa"/>
            </w:tcMar>
            <w:vAlign w:val="center"/>
          </w:tcPr>
          <w:p w14:paraId="3987618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微度</w:t>
            </w:r>
          </w:p>
          <w:p w14:paraId="6693E42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脆弱</w:t>
            </w:r>
          </w:p>
        </w:tc>
        <w:tc>
          <w:tcPr>
            <w:tcW w:w="1677" w:type="pct"/>
            <w:tcBorders>
              <w:tl2br w:val="nil"/>
              <w:tr2bl w:val="nil"/>
            </w:tcBorders>
            <w:noWrap w:val="0"/>
            <w:tcMar>
              <w:top w:w="0" w:type="dxa"/>
              <w:left w:w="51" w:type="dxa"/>
              <w:bottom w:w="0" w:type="dxa"/>
              <w:right w:w="51" w:type="dxa"/>
            </w:tcMar>
            <w:vAlign w:val="center"/>
          </w:tcPr>
          <w:p w14:paraId="441A435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平台区域植被以杉木林、毛竹林、鸡屎藤灌丛、狗牙根灌草丛等，主要植物种类有毛竹、杉木、马尾松、鸡屎藤、山胡椒、盐肤木、狗牙根、爵床、狗尾巴草等。</w:t>
            </w:r>
          </w:p>
        </w:tc>
        <w:tc>
          <w:tcPr>
            <w:tcW w:w="666" w:type="pct"/>
            <w:tcBorders>
              <w:tl2br w:val="nil"/>
              <w:tr2bl w:val="nil"/>
            </w:tcBorders>
            <w:noWrap w:val="0"/>
            <w:tcMar>
              <w:top w:w="0" w:type="dxa"/>
              <w:left w:w="51" w:type="dxa"/>
              <w:bottom w:w="0" w:type="dxa"/>
              <w:right w:w="51" w:type="dxa"/>
            </w:tcMar>
            <w:vAlign w:val="center"/>
          </w:tcPr>
          <w:p w14:paraId="7F205A9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15.17</w:t>
            </w:r>
          </w:p>
        </w:tc>
      </w:tr>
    </w:tbl>
    <w:p w14:paraId="37CD0F3F">
      <w:pPr>
        <w:bidi w:val="0"/>
        <w:rPr>
          <w:rFonts w:hint="eastAsia"/>
          <w:highlight w:val="none"/>
          <w:lang w:val="en-US" w:eastAsia="zh-CN"/>
        </w:rPr>
      </w:pPr>
      <w:r>
        <w:rPr>
          <w:rFonts w:hint="eastAsia"/>
          <w:highlight w:val="none"/>
          <w:lang w:val="en-US" w:eastAsia="zh-CN"/>
        </w:rPr>
        <w:t>（7）自然体系生物量现状</w:t>
      </w:r>
    </w:p>
    <w:p w14:paraId="59C1C8DB">
      <w:pPr>
        <w:bidi w:val="0"/>
        <w:ind w:left="0" w:leftChars="0" w:firstLine="0" w:firstLineChars="0"/>
        <w:jc w:val="center"/>
        <w:rPr>
          <w:rFonts w:hint="eastAsia"/>
          <w:b/>
          <w:bCs/>
          <w:sz w:val="21"/>
          <w:szCs w:val="21"/>
          <w:highlight w:val="none"/>
          <w:lang w:val="en-US" w:eastAsia="zh-CN"/>
        </w:rPr>
      </w:pPr>
      <w:r>
        <w:rPr>
          <w:rFonts w:hint="eastAsia"/>
          <w:b/>
          <w:bCs/>
          <w:sz w:val="21"/>
          <w:szCs w:val="21"/>
          <w:highlight w:val="none"/>
          <w:lang w:val="en-US" w:eastAsia="zh-CN"/>
        </w:rPr>
        <w:t>表4.3-9  评价范围内各生态类型的生物量</w:t>
      </w:r>
    </w:p>
    <w:tbl>
      <w:tblPr>
        <w:tblStyle w:val="106"/>
        <w:tblW w:w="5192" w:type="pct"/>
        <w:jc w:val="center"/>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Layout w:type="autofit"/>
        <w:tblCellMar>
          <w:top w:w="0" w:type="dxa"/>
          <w:left w:w="0" w:type="dxa"/>
          <w:bottom w:w="0" w:type="dxa"/>
          <w:right w:w="0" w:type="dxa"/>
        </w:tblCellMar>
      </w:tblPr>
      <w:tblGrid>
        <w:gridCol w:w="1231"/>
        <w:gridCol w:w="1972"/>
        <w:gridCol w:w="1176"/>
        <w:gridCol w:w="1189"/>
        <w:gridCol w:w="1346"/>
        <w:gridCol w:w="1219"/>
        <w:gridCol w:w="1319"/>
      </w:tblGrid>
      <w:tr w14:paraId="478CAB7E">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0" w:hRule="atLeast"/>
          <w:tblHeader/>
          <w:jc w:val="center"/>
        </w:trPr>
        <w:tc>
          <w:tcPr>
            <w:tcW w:w="651" w:type="pct"/>
            <w:tcBorders>
              <w:tl2br w:val="nil"/>
              <w:tr2bl w:val="nil"/>
            </w:tcBorders>
            <w:vAlign w:val="center"/>
          </w:tcPr>
          <w:p w14:paraId="071785D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b/>
                <w:bCs/>
                <w:sz w:val="21"/>
                <w:szCs w:val="21"/>
                <w:highlight w:val="none"/>
                <w:lang w:val="en-US" w:eastAsia="zh-CN"/>
              </w:rPr>
            </w:pPr>
            <w:r>
              <w:rPr>
                <w:rFonts w:hint="eastAsia"/>
                <w:b/>
                <w:bCs/>
                <w:sz w:val="21"/>
                <w:szCs w:val="21"/>
                <w:highlight w:val="none"/>
                <w:lang w:val="en-US" w:eastAsia="zh-CN"/>
              </w:rPr>
              <w:t>生态类型</w:t>
            </w:r>
          </w:p>
        </w:tc>
        <w:tc>
          <w:tcPr>
            <w:tcW w:w="1043" w:type="pct"/>
            <w:tcBorders>
              <w:tl2br w:val="nil"/>
              <w:tr2bl w:val="nil"/>
            </w:tcBorders>
            <w:vAlign w:val="center"/>
          </w:tcPr>
          <w:p w14:paraId="587FC32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b/>
                <w:bCs/>
                <w:sz w:val="21"/>
                <w:szCs w:val="21"/>
                <w:highlight w:val="none"/>
                <w:lang w:val="en-US" w:eastAsia="zh-CN"/>
              </w:rPr>
            </w:pPr>
            <w:r>
              <w:rPr>
                <w:rFonts w:hint="eastAsia"/>
                <w:b/>
                <w:bCs/>
                <w:sz w:val="21"/>
                <w:szCs w:val="21"/>
                <w:highlight w:val="none"/>
                <w:lang w:val="en-US" w:eastAsia="zh-CN"/>
              </w:rPr>
              <w:t>代表植物</w:t>
            </w:r>
          </w:p>
        </w:tc>
        <w:tc>
          <w:tcPr>
            <w:tcW w:w="622" w:type="pct"/>
            <w:tcBorders>
              <w:tl2br w:val="nil"/>
              <w:tr2bl w:val="nil"/>
            </w:tcBorders>
            <w:vAlign w:val="center"/>
          </w:tcPr>
          <w:p w14:paraId="2164186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b/>
                <w:bCs/>
                <w:sz w:val="21"/>
                <w:szCs w:val="21"/>
                <w:highlight w:val="none"/>
                <w:lang w:val="en-US" w:eastAsia="zh-CN"/>
              </w:rPr>
            </w:pPr>
            <w:r>
              <w:rPr>
                <w:rFonts w:hint="eastAsia"/>
                <w:b/>
                <w:bCs/>
                <w:sz w:val="21"/>
                <w:szCs w:val="21"/>
                <w:highlight w:val="none"/>
                <w:lang w:val="en-US" w:eastAsia="zh-CN"/>
              </w:rPr>
              <w:t>面积（hm</w:t>
            </w:r>
            <w:r>
              <w:rPr>
                <w:rFonts w:hint="eastAsia"/>
                <w:b/>
                <w:bCs/>
                <w:sz w:val="21"/>
                <w:szCs w:val="21"/>
                <w:highlight w:val="none"/>
                <w:vertAlign w:val="superscript"/>
                <w:lang w:val="en-US" w:eastAsia="zh-CN"/>
              </w:rPr>
              <w:t>2</w:t>
            </w:r>
            <w:r>
              <w:rPr>
                <w:rFonts w:hint="eastAsia"/>
                <w:b/>
                <w:bCs/>
                <w:sz w:val="21"/>
                <w:szCs w:val="21"/>
                <w:highlight w:val="none"/>
                <w:lang w:val="en-US" w:eastAsia="zh-CN"/>
              </w:rPr>
              <w:t>）</w:t>
            </w:r>
          </w:p>
        </w:tc>
        <w:tc>
          <w:tcPr>
            <w:tcW w:w="629" w:type="pct"/>
            <w:tcBorders>
              <w:tl2br w:val="nil"/>
              <w:tr2bl w:val="nil"/>
            </w:tcBorders>
            <w:vAlign w:val="center"/>
          </w:tcPr>
          <w:p w14:paraId="6A8AFBD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b/>
                <w:bCs/>
                <w:sz w:val="21"/>
                <w:szCs w:val="21"/>
                <w:highlight w:val="none"/>
                <w:lang w:val="en-US" w:eastAsia="zh-CN"/>
              </w:rPr>
            </w:pPr>
            <w:r>
              <w:rPr>
                <w:rFonts w:hint="eastAsia"/>
                <w:b/>
                <w:bCs/>
                <w:sz w:val="21"/>
                <w:szCs w:val="21"/>
                <w:highlight w:val="none"/>
                <w:lang w:val="en-US" w:eastAsia="zh-CN"/>
              </w:rPr>
              <w:t>占评价区总面积</w:t>
            </w:r>
          </w:p>
        </w:tc>
        <w:tc>
          <w:tcPr>
            <w:tcW w:w="712" w:type="pct"/>
            <w:tcBorders>
              <w:tl2br w:val="nil"/>
              <w:tr2bl w:val="nil"/>
            </w:tcBorders>
            <w:vAlign w:val="center"/>
          </w:tcPr>
          <w:p w14:paraId="0E77C29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b/>
                <w:bCs/>
                <w:sz w:val="21"/>
                <w:szCs w:val="21"/>
                <w:highlight w:val="none"/>
                <w:lang w:val="en-US" w:eastAsia="zh-CN"/>
              </w:rPr>
            </w:pPr>
            <w:r>
              <w:rPr>
                <w:rFonts w:hint="eastAsia"/>
                <w:b/>
                <w:bCs/>
                <w:sz w:val="21"/>
                <w:szCs w:val="21"/>
                <w:highlight w:val="none"/>
                <w:lang w:val="en-US" w:eastAsia="zh-CN"/>
              </w:rPr>
              <w:t>平均生物量（t/hm</w:t>
            </w:r>
            <w:r>
              <w:rPr>
                <w:rFonts w:hint="eastAsia"/>
                <w:b/>
                <w:bCs/>
                <w:sz w:val="21"/>
                <w:szCs w:val="21"/>
                <w:highlight w:val="none"/>
                <w:vertAlign w:val="superscript"/>
                <w:lang w:val="en-US" w:eastAsia="zh-CN"/>
              </w:rPr>
              <w:t>2</w:t>
            </w:r>
            <w:r>
              <w:rPr>
                <w:rFonts w:hint="eastAsia"/>
                <w:b/>
                <w:bCs/>
                <w:sz w:val="21"/>
                <w:szCs w:val="21"/>
                <w:highlight w:val="none"/>
                <w:lang w:val="en-US" w:eastAsia="zh-CN"/>
              </w:rPr>
              <w:t>）</w:t>
            </w:r>
          </w:p>
        </w:tc>
        <w:tc>
          <w:tcPr>
            <w:tcW w:w="645" w:type="pct"/>
            <w:tcBorders>
              <w:tl2br w:val="nil"/>
              <w:tr2bl w:val="nil"/>
            </w:tcBorders>
            <w:vAlign w:val="center"/>
          </w:tcPr>
          <w:p w14:paraId="1ACF283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b/>
                <w:bCs/>
                <w:sz w:val="21"/>
                <w:szCs w:val="21"/>
                <w:highlight w:val="none"/>
                <w:lang w:val="en-US" w:eastAsia="zh-CN"/>
              </w:rPr>
            </w:pPr>
            <w:r>
              <w:rPr>
                <w:rFonts w:hint="eastAsia"/>
                <w:b/>
                <w:bCs/>
                <w:sz w:val="21"/>
                <w:szCs w:val="21"/>
                <w:highlight w:val="none"/>
                <w:lang w:val="en-US" w:eastAsia="zh-CN"/>
              </w:rPr>
              <w:t>总生物量</w:t>
            </w:r>
          </w:p>
          <w:p w14:paraId="1340BC0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b/>
                <w:bCs/>
                <w:sz w:val="21"/>
                <w:szCs w:val="21"/>
                <w:highlight w:val="none"/>
                <w:lang w:val="en-US" w:eastAsia="zh-CN"/>
              </w:rPr>
            </w:pPr>
            <w:r>
              <w:rPr>
                <w:rFonts w:hint="eastAsia"/>
                <w:b/>
                <w:bCs/>
                <w:sz w:val="21"/>
                <w:szCs w:val="21"/>
                <w:highlight w:val="none"/>
                <w:lang w:val="en-US" w:eastAsia="zh-CN"/>
              </w:rPr>
              <w:t>（t）</w:t>
            </w:r>
          </w:p>
        </w:tc>
        <w:tc>
          <w:tcPr>
            <w:tcW w:w="695" w:type="pct"/>
            <w:tcBorders>
              <w:tl2br w:val="nil"/>
              <w:tr2bl w:val="nil"/>
            </w:tcBorders>
            <w:vAlign w:val="center"/>
          </w:tcPr>
          <w:p w14:paraId="5A8662D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b/>
                <w:bCs/>
                <w:sz w:val="21"/>
                <w:szCs w:val="21"/>
                <w:highlight w:val="none"/>
                <w:lang w:val="en-US" w:eastAsia="zh-CN"/>
              </w:rPr>
            </w:pPr>
            <w:r>
              <w:rPr>
                <w:rFonts w:hint="eastAsia"/>
                <w:b/>
                <w:bCs/>
                <w:sz w:val="21"/>
                <w:szCs w:val="21"/>
                <w:highlight w:val="none"/>
                <w:lang w:val="en-US" w:eastAsia="zh-CN"/>
              </w:rPr>
              <w:t>占评价区总生物量</w:t>
            </w:r>
          </w:p>
        </w:tc>
      </w:tr>
      <w:tr w14:paraId="31FBDD61">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651" w:type="pct"/>
            <w:tcBorders>
              <w:tl2br w:val="nil"/>
              <w:tr2bl w:val="nil"/>
            </w:tcBorders>
            <w:vAlign w:val="center"/>
          </w:tcPr>
          <w:p w14:paraId="1392365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针叶林</w:t>
            </w:r>
          </w:p>
        </w:tc>
        <w:tc>
          <w:tcPr>
            <w:tcW w:w="1043" w:type="pct"/>
            <w:tcBorders>
              <w:tl2br w:val="nil"/>
              <w:tr2bl w:val="nil"/>
            </w:tcBorders>
            <w:vAlign w:val="center"/>
          </w:tcPr>
          <w:p w14:paraId="5D7635F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马尾松、樟、棕榈</w:t>
            </w:r>
          </w:p>
        </w:tc>
        <w:tc>
          <w:tcPr>
            <w:tcW w:w="622" w:type="pct"/>
            <w:tcBorders>
              <w:tl2br w:val="nil"/>
              <w:tr2bl w:val="nil"/>
            </w:tcBorders>
            <w:vAlign w:val="center"/>
          </w:tcPr>
          <w:p w14:paraId="26AAE19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104.94</w:t>
            </w:r>
          </w:p>
        </w:tc>
        <w:tc>
          <w:tcPr>
            <w:tcW w:w="629" w:type="pct"/>
            <w:tcBorders>
              <w:tl2br w:val="nil"/>
              <w:tr2bl w:val="nil"/>
            </w:tcBorders>
            <w:vAlign w:val="center"/>
          </w:tcPr>
          <w:p w14:paraId="5B1FF66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52.43%</w:t>
            </w:r>
          </w:p>
        </w:tc>
        <w:tc>
          <w:tcPr>
            <w:tcW w:w="712" w:type="pct"/>
            <w:tcBorders>
              <w:tl2br w:val="nil"/>
              <w:tr2bl w:val="nil"/>
            </w:tcBorders>
            <w:vAlign w:val="center"/>
          </w:tcPr>
          <w:p w14:paraId="3C2D47C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28.62</w:t>
            </w:r>
          </w:p>
        </w:tc>
        <w:tc>
          <w:tcPr>
            <w:tcW w:w="645" w:type="pct"/>
            <w:tcBorders>
              <w:tl2br w:val="nil"/>
              <w:tr2bl w:val="nil"/>
            </w:tcBorders>
            <w:vAlign w:val="center"/>
          </w:tcPr>
          <w:p w14:paraId="6E9D6F5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3003.3828</w:t>
            </w:r>
          </w:p>
        </w:tc>
        <w:tc>
          <w:tcPr>
            <w:tcW w:w="695" w:type="pct"/>
            <w:tcBorders>
              <w:tl2br w:val="nil"/>
              <w:tr2bl w:val="nil"/>
            </w:tcBorders>
            <w:vAlign w:val="center"/>
          </w:tcPr>
          <w:p w14:paraId="173CDEB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64.59%</w:t>
            </w:r>
          </w:p>
        </w:tc>
      </w:tr>
      <w:tr w14:paraId="62ED6E33">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651" w:type="pct"/>
            <w:tcBorders>
              <w:tl2br w:val="nil"/>
              <w:tr2bl w:val="nil"/>
            </w:tcBorders>
            <w:vAlign w:val="center"/>
          </w:tcPr>
          <w:p w14:paraId="63065AF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阔叶林</w:t>
            </w:r>
          </w:p>
        </w:tc>
        <w:tc>
          <w:tcPr>
            <w:tcW w:w="1043" w:type="pct"/>
            <w:tcBorders>
              <w:tl2br w:val="nil"/>
              <w:tr2bl w:val="nil"/>
            </w:tcBorders>
            <w:vAlign w:val="center"/>
          </w:tcPr>
          <w:p w14:paraId="0F47010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毛竹林</w:t>
            </w:r>
          </w:p>
        </w:tc>
        <w:tc>
          <w:tcPr>
            <w:tcW w:w="622" w:type="pct"/>
            <w:tcBorders>
              <w:tl2br w:val="nil"/>
              <w:tr2bl w:val="nil"/>
            </w:tcBorders>
            <w:vAlign w:val="center"/>
          </w:tcPr>
          <w:p w14:paraId="495F97D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47.23</w:t>
            </w:r>
          </w:p>
        </w:tc>
        <w:tc>
          <w:tcPr>
            <w:tcW w:w="629" w:type="pct"/>
            <w:tcBorders>
              <w:tl2br w:val="nil"/>
              <w:tr2bl w:val="nil"/>
            </w:tcBorders>
            <w:vAlign w:val="center"/>
          </w:tcPr>
          <w:p w14:paraId="5B80A02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23.60%</w:t>
            </w:r>
          </w:p>
        </w:tc>
        <w:tc>
          <w:tcPr>
            <w:tcW w:w="712" w:type="pct"/>
            <w:tcBorders>
              <w:tl2br w:val="nil"/>
              <w:tr2bl w:val="nil"/>
            </w:tcBorders>
            <w:vAlign w:val="center"/>
          </w:tcPr>
          <w:p w14:paraId="7373AA9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24.6</w:t>
            </w:r>
          </w:p>
        </w:tc>
        <w:tc>
          <w:tcPr>
            <w:tcW w:w="645" w:type="pct"/>
            <w:tcBorders>
              <w:tl2br w:val="nil"/>
              <w:tr2bl w:val="nil"/>
            </w:tcBorders>
            <w:vAlign w:val="center"/>
          </w:tcPr>
          <w:p w14:paraId="3C6A4CC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1161.858</w:t>
            </w:r>
          </w:p>
        </w:tc>
        <w:tc>
          <w:tcPr>
            <w:tcW w:w="695" w:type="pct"/>
            <w:tcBorders>
              <w:tl2br w:val="nil"/>
              <w:tr2bl w:val="nil"/>
            </w:tcBorders>
            <w:vAlign w:val="center"/>
          </w:tcPr>
          <w:p w14:paraId="01B4665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24.99%</w:t>
            </w:r>
          </w:p>
        </w:tc>
      </w:tr>
      <w:tr w14:paraId="16C37810">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651" w:type="pct"/>
            <w:tcBorders>
              <w:tl2br w:val="nil"/>
              <w:tr2bl w:val="nil"/>
            </w:tcBorders>
            <w:vAlign w:val="center"/>
          </w:tcPr>
          <w:p w14:paraId="2CF3D9E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灌丛/灌草丛</w:t>
            </w:r>
          </w:p>
        </w:tc>
        <w:tc>
          <w:tcPr>
            <w:tcW w:w="1043" w:type="pct"/>
            <w:tcBorders>
              <w:tl2br w:val="nil"/>
              <w:tr2bl w:val="nil"/>
            </w:tcBorders>
            <w:vAlign w:val="center"/>
          </w:tcPr>
          <w:p w14:paraId="5899F37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檵木、芒</w:t>
            </w:r>
          </w:p>
        </w:tc>
        <w:tc>
          <w:tcPr>
            <w:tcW w:w="622" w:type="pct"/>
            <w:tcBorders>
              <w:tl2br w:val="nil"/>
              <w:tr2bl w:val="nil"/>
            </w:tcBorders>
            <w:vAlign w:val="center"/>
          </w:tcPr>
          <w:p w14:paraId="3318EFF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28.975</w:t>
            </w:r>
          </w:p>
        </w:tc>
        <w:tc>
          <w:tcPr>
            <w:tcW w:w="629" w:type="pct"/>
            <w:tcBorders>
              <w:tl2br w:val="nil"/>
              <w:tr2bl w:val="nil"/>
            </w:tcBorders>
            <w:vAlign w:val="center"/>
          </w:tcPr>
          <w:p w14:paraId="0AAB535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14.48%</w:t>
            </w:r>
          </w:p>
        </w:tc>
        <w:tc>
          <w:tcPr>
            <w:tcW w:w="712" w:type="pct"/>
            <w:tcBorders>
              <w:tl2br w:val="nil"/>
              <w:tr2bl w:val="nil"/>
            </w:tcBorders>
            <w:vAlign w:val="center"/>
          </w:tcPr>
          <w:p w14:paraId="5054524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12.8</w:t>
            </w:r>
          </w:p>
        </w:tc>
        <w:tc>
          <w:tcPr>
            <w:tcW w:w="645" w:type="pct"/>
            <w:tcBorders>
              <w:tl2br w:val="nil"/>
              <w:tr2bl w:val="nil"/>
            </w:tcBorders>
            <w:vAlign w:val="center"/>
          </w:tcPr>
          <w:p w14:paraId="3497621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370.88</w:t>
            </w:r>
          </w:p>
        </w:tc>
        <w:tc>
          <w:tcPr>
            <w:tcW w:w="695" w:type="pct"/>
            <w:tcBorders>
              <w:tl2br w:val="nil"/>
              <w:tr2bl w:val="nil"/>
            </w:tcBorders>
            <w:vAlign w:val="center"/>
          </w:tcPr>
          <w:p w14:paraId="0656630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7.98%</w:t>
            </w:r>
          </w:p>
        </w:tc>
      </w:tr>
      <w:tr w14:paraId="290DF6B4">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651" w:type="pct"/>
            <w:tcBorders>
              <w:tl2br w:val="nil"/>
              <w:tr2bl w:val="nil"/>
            </w:tcBorders>
            <w:vAlign w:val="center"/>
          </w:tcPr>
          <w:p w14:paraId="79AEE64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耕地</w:t>
            </w:r>
          </w:p>
        </w:tc>
        <w:tc>
          <w:tcPr>
            <w:tcW w:w="1043" w:type="pct"/>
            <w:tcBorders>
              <w:tl2br w:val="nil"/>
              <w:tr2bl w:val="nil"/>
            </w:tcBorders>
            <w:vAlign w:val="center"/>
          </w:tcPr>
          <w:p w14:paraId="7AC23CF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水稻、玉米</w:t>
            </w:r>
          </w:p>
        </w:tc>
        <w:tc>
          <w:tcPr>
            <w:tcW w:w="622" w:type="pct"/>
            <w:tcBorders>
              <w:tl2br w:val="nil"/>
              <w:tr2bl w:val="nil"/>
            </w:tcBorders>
            <w:vAlign w:val="center"/>
          </w:tcPr>
          <w:p w14:paraId="505EC75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18.995</w:t>
            </w:r>
          </w:p>
        </w:tc>
        <w:tc>
          <w:tcPr>
            <w:tcW w:w="629" w:type="pct"/>
            <w:tcBorders>
              <w:tl2br w:val="nil"/>
              <w:tr2bl w:val="nil"/>
            </w:tcBorders>
            <w:vAlign w:val="center"/>
          </w:tcPr>
          <w:p w14:paraId="71A27DB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9.49%</w:t>
            </w:r>
          </w:p>
        </w:tc>
        <w:tc>
          <w:tcPr>
            <w:tcW w:w="712" w:type="pct"/>
            <w:tcBorders>
              <w:tl2br w:val="nil"/>
              <w:tr2bl w:val="nil"/>
            </w:tcBorders>
            <w:vAlign w:val="center"/>
          </w:tcPr>
          <w:p w14:paraId="357FF35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6</w:t>
            </w:r>
          </w:p>
        </w:tc>
        <w:tc>
          <w:tcPr>
            <w:tcW w:w="645" w:type="pct"/>
            <w:tcBorders>
              <w:tl2br w:val="nil"/>
              <w:tr2bl w:val="nil"/>
            </w:tcBorders>
            <w:vAlign w:val="center"/>
          </w:tcPr>
          <w:p w14:paraId="3AC6A64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113.97</w:t>
            </w:r>
          </w:p>
        </w:tc>
        <w:tc>
          <w:tcPr>
            <w:tcW w:w="695" w:type="pct"/>
            <w:tcBorders>
              <w:tl2br w:val="nil"/>
              <w:tr2bl w:val="nil"/>
            </w:tcBorders>
            <w:vAlign w:val="center"/>
          </w:tcPr>
          <w:p w14:paraId="628C62F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2.45%</w:t>
            </w:r>
          </w:p>
        </w:tc>
      </w:tr>
      <w:tr w14:paraId="053AF1F2">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651" w:type="pct"/>
            <w:tcBorders>
              <w:tl2br w:val="nil"/>
              <w:tr2bl w:val="nil"/>
            </w:tcBorders>
            <w:vAlign w:val="center"/>
          </w:tcPr>
          <w:p w14:paraId="40D6353F">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b/>
                <w:bCs/>
                <w:sz w:val="21"/>
                <w:szCs w:val="21"/>
                <w:highlight w:val="none"/>
                <w:lang w:val="en-US" w:eastAsia="zh-CN"/>
              </w:rPr>
            </w:pPr>
            <w:r>
              <w:rPr>
                <w:rFonts w:hint="eastAsia"/>
                <w:b/>
                <w:bCs/>
                <w:sz w:val="21"/>
                <w:szCs w:val="21"/>
                <w:highlight w:val="none"/>
                <w:lang w:val="en-US" w:eastAsia="zh-CN"/>
              </w:rPr>
              <w:t>总计</w:t>
            </w:r>
          </w:p>
        </w:tc>
        <w:tc>
          <w:tcPr>
            <w:tcW w:w="1043" w:type="pct"/>
            <w:tcBorders>
              <w:tl2br w:val="nil"/>
              <w:tr2bl w:val="nil"/>
            </w:tcBorders>
            <w:vAlign w:val="center"/>
          </w:tcPr>
          <w:p w14:paraId="117AEECA">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b/>
                <w:bCs/>
                <w:sz w:val="21"/>
                <w:szCs w:val="21"/>
                <w:highlight w:val="none"/>
                <w:lang w:val="en-US" w:eastAsia="zh-CN"/>
              </w:rPr>
            </w:pPr>
            <w:r>
              <w:rPr>
                <w:rFonts w:hint="eastAsia"/>
                <w:b/>
                <w:bCs/>
                <w:sz w:val="21"/>
                <w:szCs w:val="21"/>
                <w:highlight w:val="none"/>
                <w:lang w:val="en-US" w:eastAsia="zh-CN"/>
              </w:rPr>
              <w:t>/</w:t>
            </w:r>
          </w:p>
        </w:tc>
        <w:tc>
          <w:tcPr>
            <w:tcW w:w="622" w:type="pct"/>
            <w:tcBorders>
              <w:tl2br w:val="nil"/>
              <w:tr2bl w:val="nil"/>
            </w:tcBorders>
            <w:vAlign w:val="center"/>
          </w:tcPr>
          <w:p w14:paraId="1E9F70A5">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b/>
                <w:bCs/>
                <w:sz w:val="21"/>
                <w:szCs w:val="21"/>
                <w:highlight w:val="none"/>
                <w:lang w:val="en-US" w:eastAsia="zh-CN"/>
              </w:rPr>
            </w:pPr>
            <w:r>
              <w:rPr>
                <w:rFonts w:hint="eastAsia"/>
                <w:b/>
                <w:bCs/>
                <w:sz w:val="21"/>
                <w:szCs w:val="21"/>
                <w:highlight w:val="none"/>
                <w:lang w:val="en-US" w:eastAsia="zh-CN"/>
              </w:rPr>
              <w:t>200.14</w:t>
            </w:r>
          </w:p>
        </w:tc>
        <w:tc>
          <w:tcPr>
            <w:tcW w:w="629" w:type="pct"/>
            <w:tcBorders>
              <w:tl2br w:val="nil"/>
              <w:tr2bl w:val="nil"/>
            </w:tcBorders>
            <w:vAlign w:val="center"/>
          </w:tcPr>
          <w:p w14:paraId="1F4ADB54">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b/>
                <w:bCs/>
                <w:sz w:val="21"/>
                <w:szCs w:val="21"/>
                <w:highlight w:val="none"/>
                <w:lang w:val="en-US" w:eastAsia="zh-CN"/>
              </w:rPr>
            </w:pPr>
            <w:r>
              <w:rPr>
                <w:rFonts w:hint="eastAsia"/>
                <w:b/>
                <w:bCs/>
                <w:sz w:val="21"/>
                <w:szCs w:val="21"/>
                <w:highlight w:val="none"/>
                <w:lang w:val="en-US" w:eastAsia="zh-CN"/>
              </w:rPr>
              <w:t>100.00%</w:t>
            </w:r>
          </w:p>
        </w:tc>
        <w:tc>
          <w:tcPr>
            <w:tcW w:w="712" w:type="pct"/>
            <w:tcBorders>
              <w:tl2br w:val="nil"/>
              <w:tr2bl w:val="nil"/>
            </w:tcBorders>
            <w:vAlign w:val="center"/>
          </w:tcPr>
          <w:p w14:paraId="4BEC4E12">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b/>
                <w:bCs/>
                <w:sz w:val="21"/>
                <w:szCs w:val="21"/>
                <w:highlight w:val="none"/>
                <w:lang w:val="en-US" w:eastAsia="zh-CN"/>
              </w:rPr>
            </w:pPr>
            <w:r>
              <w:rPr>
                <w:rFonts w:hint="eastAsia"/>
                <w:b/>
                <w:bCs/>
                <w:sz w:val="21"/>
                <w:szCs w:val="21"/>
                <w:highlight w:val="none"/>
                <w:lang w:val="en-US" w:eastAsia="zh-CN"/>
              </w:rPr>
              <w:t>17.88</w:t>
            </w:r>
          </w:p>
        </w:tc>
        <w:tc>
          <w:tcPr>
            <w:tcW w:w="645" w:type="pct"/>
            <w:tcBorders>
              <w:tl2br w:val="nil"/>
              <w:tr2bl w:val="nil"/>
            </w:tcBorders>
            <w:vAlign w:val="center"/>
          </w:tcPr>
          <w:p w14:paraId="292AEA60">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b/>
                <w:bCs/>
                <w:sz w:val="21"/>
                <w:szCs w:val="21"/>
                <w:highlight w:val="none"/>
                <w:lang w:val="en-US" w:eastAsia="zh-CN"/>
              </w:rPr>
            </w:pPr>
            <w:r>
              <w:rPr>
                <w:rFonts w:hint="eastAsia"/>
                <w:b/>
                <w:bCs/>
                <w:sz w:val="21"/>
                <w:szCs w:val="21"/>
                <w:highlight w:val="none"/>
                <w:lang w:val="en-US" w:eastAsia="zh-CN"/>
              </w:rPr>
              <w:t>4650.0908</w:t>
            </w:r>
          </w:p>
        </w:tc>
        <w:tc>
          <w:tcPr>
            <w:tcW w:w="695" w:type="pct"/>
            <w:tcBorders>
              <w:tl2br w:val="nil"/>
              <w:tr2bl w:val="nil"/>
            </w:tcBorders>
            <w:vAlign w:val="center"/>
          </w:tcPr>
          <w:p w14:paraId="23E67774">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b/>
                <w:bCs/>
                <w:sz w:val="21"/>
                <w:szCs w:val="21"/>
                <w:highlight w:val="none"/>
                <w:lang w:val="en-US" w:eastAsia="zh-CN"/>
              </w:rPr>
            </w:pPr>
            <w:r>
              <w:rPr>
                <w:rFonts w:hint="eastAsia"/>
                <w:b/>
                <w:bCs/>
                <w:sz w:val="21"/>
                <w:szCs w:val="21"/>
                <w:highlight w:val="none"/>
                <w:lang w:val="en-US" w:eastAsia="zh-CN"/>
              </w:rPr>
              <w:t>100.00%</w:t>
            </w:r>
          </w:p>
        </w:tc>
      </w:tr>
      <w:tr w14:paraId="4FF11D7A">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5000" w:type="pct"/>
            <w:gridSpan w:val="7"/>
            <w:tcBorders>
              <w:tl2br w:val="nil"/>
              <w:tr2bl w:val="nil"/>
            </w:tcBorders>
            <w:vAlign w:val="center"/>
          </w:tcPr>
          <w:p w14:paraId="726571C2">
            <w:pPr>
              <w:bidi w:val="0"/>
              <w:spacing w:line="240" w:lineRule="auto"/>
              <w:ind w:left="0" w:leftChars="0" w:firstLine="0" w:firstLineChars="0"/>
              <w:rPr>
                <w:rFonts w:hint="eastAsia"/>
                <w:b/>
                <w:bCs/>
                <w:sz w:val="21"/>
                <w:szCs w:val="21"/>
                <w:highlight w:val="none"/>
                <w:lang w:val="en-US" w:eastAsia="zh-CN"/>
              </w:rPr>
            </w:pPr>
            <w:r>
              <w:rPr>
                <w:rFonts w:hint="eastAsia"/>
                <w:b/>
                <w:bCs/>
                <w:sz w:val="21"/>
                <w:szCs w:val="21"/>
                <w:highlight w:val="none"/>
                <w:lang w:val="en-US" w:eastAsia="zh-CN"/>
              </w:rPr>
              <w:t>注：1)各植被类型平均生物量数据来源于：方精云，刘国华，徐蒿龄。我国森林植被的生物量和净生产量[J]。生态学报，1996，16(5)：97~508。</w:t>
            </w:r>
          </w:p>
        </w:tc>
      </w:tr>
    </w:tbl>
    <w:p w14:paraId="3997AB3E">
      <w:pPr>
        <w:bidi w:val="0"/>
        <w:ind w:left="0" w:leftChars="0" w:firstLine="0" w:firstLineChars="0"/>
        <w:jc w:val="center"/>
        <w:rPr>
          <w:rFonts w:hint="eastAsia"/>
          <w:highlight w:val="none"/>
          <w:lang w:val="en-US" w:eastAsia="zh-CN"/>
        </w:rPr>
      </w:pPr>
      <w:r>
        <w:rPr>
          <w:rFonts w:hint="eastAsia"/>
          <w:highlight w:val="none"/>
          <w:lang w:val="en-US" w:eastAsia="zh-CN"/>
        </w:rPr>
        <w:drawing>
          <wp:inline distT="0" distB="0" distL="114300" distR="114300">
            <wp:extent cx="4826000" cy="2743200"/>
            <wp:effectExtent l="4445" t="4445" r="8255" b="52705"/>
            <wp:docPr id="79" name="图表 5" descr="7b0a202020202263686172745265734964223a20223230343736373530220a7d0a"/>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50F4E09D">
      <w:pPr>
        <w:bidi w:val="0"/>
        <w:ind w:left="0" w:leftChars="0" w:firstLine="0" w:firstLineChars="0"/>
        <w:jc w:val="center"/>
        <w:rPr>
          <w:rFonts w:hint="eastAsia"/>
          <w:b/>
          <w:bCs/>
          <w:sz w:val="21"/>
          <w:szCs w:val="21"/>
          <w:highlight w:val="none"/>
          <w:lang w:val="en-US" w:eastAsia="zh-CN"/>
        </w:rPr>
      </w:pPr>
      <w:r>
        <w:rPr>
          <w:rFonts w:hint="eastAsia"/>
          <w:b/>
          <w:bCs/>
          <w:sz w:val="21"/>
          <w:szCs w:val="21"/>
          <w:highlight w:val="none"/>
          <w:lang w:val="en-US" w:eastAsia="zh-CN"/>
        </w:rPr>
        <w:t>图4.3-2  评价区各生态类型净生物量所占比重</w:t>
      </w:r>
    </w:p>
    <w:p w14:paraId="7D589DE9">
      <w:pPr>
        <w:bidi w:val="0"/>
        <w:rPr>
          <w:rFonts w:hint="eastAsia"/>
          <w:highlight w:val="none"/>
          <w:lang w:val="en-US" w:eastAsia="zh-CN"/>
        </w:rPr>
      </w:pPr>
      <w:r>
        <w:rPr>
          <w:rFonts w:hint="eastAsia"/>
          <w:highlight w:val="none"/>
          <w:lang w:val="en-US" w:eastAsia="zh-CN"/>
        </w:rPr>
        <w:t>评价区总生物量4650.0908t，每公顷的生物量为17.88。评价区生态类型以灌草地和林地主，灌草地面积为28.975hm</w:t>
      </w:r>
      <w:r>
        <w:rPr>
          <w:rFonts w:hint="eastAsia"/>
          <w:highlight w:val="none"/>
          <w:vertAlign w:val="superscript"/>
          <w:lang w:val="en-US" w:eastAsia="zh-CN"/>
        </w:rPr>
        <w:t>2</w:t>
      </w:r>
      <w:r>
        <w:rPr>
          <w:rFonts w:hint="eastAsia"/>
          <w:highlight w:val="none"/>
          <w:lang w:val="en-US" w:eastAsia="zh-CN"/>
        </w:rPr>
        <w:t>，占总面积的14.48%，灌草地总生物量为370.88t，占总生物量的7.98%；林地面积为152.17hm</w:t>
      </w:r>
      <w:r>
        <w:rPr>
          <w:rFonts w:hint="eastAsia"/>
          <w:highlight w:val="none"/>
          <w:vertAlign w:val="superscript"/>
          <w:lang w:val="en-US" w:eastAsia="zh-CN"/>
        </w:rPr>
        <w:t>2</w:t>
      </w:r>
      <w:r>
        <w:rPr>
          <w:rFonts w:hint="eastAsia"/>
          <w:highlight w:val="none"/>
          <w:lang w:val="en-US" w:eastAsia="zh-CN"/>
        </w:rPr>
        <w:t>，占总面积的89.58%，林地总生物量为4165.2408t，占总生物量的89.58%；农作物生物量最小，面积为18.995hm</w:t>
      </w:r>
      <w:r>
        <w:rPr>
          <w:rFonts w:hint="eastAsia"/>
          <w:highlight w:val="none"/>
          <w:vertAlign w:val="superscript"/>
          <w:lang w:val="en-US" w:eastAsia="zh-CN"/>
        </w:rPr>
        <w:t>2</w:t>
      </w:r>
      <w:r>
        <w:rPr>
          <w:rFonts w:hint="eastAsia"/>
          <w:highlight w:val="none"/>
          <w:lang w:val="en-US" w:eastAsia="zh-CN"/>
        </w:rPr>
        <w:t>，占总面积的9.49%，总生物量113.97t，占总生物量的2.45%。</w:t>
      </w:r>
    </w:p>
    <w:p w14:paraId="5D72A520">
      <w:pPr>
        <w:bidi w:val="0"/>
        <w:rPr>
          <w:rFonts w:hint="eastAsia"/>
          <w:highlight w:val="none"/>
          <w:lang w:val="en-US" w:eastAsia="zh-CN"/>
        </w:rPr>
      </w:pPr>
      <w:r>
        <w:rPr>
          <w:rFonts w:hint="eastAsia"/>
          <w:highlight w:val="none"/>
          <w:lang w:val="en-US" w:eastAsia="zh-CN"/>
        </w:rPr>
        <w:t>（8）生物多样性评价</w:t>
      </w:r>
    </w:p>
    <w:p w14:paraId="3DB3F270">
      <w:pPr>
        <w:bidi w:val="0"/>
        <w:rPr>
          <w:rFonts w:hint="eastAsia"/>
          <w:highlight w:val="none"/>
          <w:lang w:val="en-US" w:eastAsia="zh-CN"/>
        </w:rPr>
      </w:pPr>
      <w:r>
        <w:rPr>
          <w:rFonts w:hint="eastAsia"/>
          <w:highlight w:val="none"/>
          <w:lang w:val="en-US" w:eastAsia="zh-CN"/>
        </w:rPr>
        <w:t>根据《环境影响评价技术导则  生态影响》（HJ19-2022），生物多样性是生物（动物、植物、微生物）与环境形成的生态复合体以及与此相关的各种生态过程的总和，包括生态系统、物种和基因三个层次。</w:t>
      </w:r>
    </w:p>
    <w:p w14:paraId="24AC5338">
      <w:pPr>
        <w:bidi w:val="0"/>
        <w:rPr>
          <w:rFonts w:hint="eastAsia"/>
          <w:highlight w:val="none"/>
          <w:lang w:val="en-US" w:eastAsia="zh-CN"/>
        </w:rPr>
      </w:pPr>
      <w:r>
        <w:rPr>
          <w:rFonts w:hint="eastAsia"/>
          <w:highlight w:val="none"/>
          <w:lang w:val="en-US" w:eastAsia="zh-CN"/>
        </w:rPr>
        <w:t>生态系统多样性指生态系统的多样化程度，包括生态系统的类型、结构、组成、功能和生态过程的多样性等。物种多样性指物种水平的多样化程度，包括物种丰富度和物种多度。基因多样性（或遗传多样性）指一个物种的基因组成中遗传特征的多样性，包括种内不同种群之间或同一种群内不同个体的遗传变异性。</w:t>
      </w:r>
    </w:p>
    <w:p w14:paraId="2B0FC764">
      <w:pPr>
        <w:bidi w:val="0"/>
        <w:rPr>
          <w:rFonts w:hint="eastAsia"/>
          <w:highlight w:val="none"/>
          <w:lang w:val="en-US" w:eastAsia="zh-CN"/>
        </w:rPr>
      </w:pPr>
      <w:r>
        <w:rPr>
          <w:rFonts w:hint="eastAsia"/>
          <w:highlight w:val="none"/>
          <w:lang w:val="en-US" w:eastAsia="zh-CN"/>
        </w:rPr>
        <w:t>本次评价采用Simpson优势度指数与均匀度指数相对应，计算公式为：</w:t>
      </w:r>
    </w:p>
    <w:p w14:paraId="5F33A3BA">
      <w:pPr>
        <w:bidi w:val="0"/>
        <w:ind w:left="0" w:leftChars="0" w:firstLine="0" w:firstLineChars="0"/>
        <w:jc w:val="center"/>
        <w:rPr>
          <w:rFonts w:hint="eastAsia"/>
          <w:highlight w:val="none"/>
          <w:lang w:val="en-US" w:eastAsia="zh-CN"/>
        </w:rPr>
      </w:pPr>
      <w:r>
        <w:rPr>
          <w:rFonts w:hint="eastAsia"/>
          <w:highlight w:val="none"/>
          <w:lang w:val="en-US" w:eastAsia="zh-CN"/>
        </w:rPr>
        <w:drawing>
          <wp:inline distT="0" distB="0" distL="114300" distR="114300">
            <wp:extent cx="1038860" cy="497840"/>
            <wp:effectExtent l="0" t="0" r="8890" b="16510"/>
            <wp:docPr id="10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3"/>
                    <pic:cNvPicPr>
                      <a:picLocks noChangeAspect="1"/>
                    </pic:cNvPicPr>
                  </pic:nvPicPr>
                  <pic:blipFill>
                    <a:blip r:embed="rId52"/>
                    <a:stretch>
                      <a:fillRect/>
                    </a:stretch>
                  </pic:blipFill>
                  <pic:spPr>
                    <a:xfrm>
                      <a:off x="0" y="0"/>
                      <a:ext cx="1038860" cy="497840"/>
                    </a:xfrm>
                    <a:prstGeom prst="rect">
                      <a:avLst/>
                    </a:prstGeom>
                    <a:noFill/>
                    <a:ln>
                      <a:noFill/>
                    </a:ln>
                  </pic:spPr>
                </pic:pic>
              </a:graphicData>
            </a:graphic>
          </wp:inline>
        </w:drawing>
      </w:r>
    </w:p>
    <w:p w14:paraId="12058117">
      <w:pPr>
        <w:bidi w:val="0"/>
        <w:rPr>
          <w:rFonts w:hint="eastAsia"/>
          <w:highlight w:val="none"/>
          <w:lang w:val="en-US" w:eastAsia="zh-CN"/>
        </w:rPr>
      </w:pPr>
      <w:r>
        <w:rPr>
          <w:rFonts w:hint="eastAsia"/>
          <w:highlight w:val="none"/>
          <w:lang w:val="en-US" w:eastAsia="zh-CN"/>
        </w:rPr>
        <w:t>式中：D——Simpson优势度指数；</w:t>
      </w:r>
    </w:p>
    <w:p w14:paraId="0959718F">
      <w:pPr>
        <w:bidi w:val="0"/>
        <w:ind w:firstLine="1200" w:firstLineChars="500"/>
        <w:rPr>
          <w:rFonts w:hint="eastAsia"/>
          <w:highlight w:val="none"/>
          <w:lang w:val="en-US" w:eastAsia="zh-CN"/>
        </w:rPr>
      </w:pPr>
      <w:r>
        <w:rPr>
          <w:rFonts w:hint="eastAsia"/>
          <w:highlight w:val="none"/>
          <w:lang w:val="en-US" w:eastAsia="zh-CN"/>
        </w:rPr>
        <w:t>S——调查区域内物种种类总数；</w:t>
      </w:r>
    </w:p>
    <w:p w14:paraId="45187DF4">
      <w:pPr>
        <w:bidi w:val="0"/>
        <w:ind w:firstLine="1200" w:firstLineChars="500"/>
        <w:rPr>
          <w:rFonts w:hint="eastAsia"/>
          <w:highlight w:val="none"/>
          <w:lang w:val="en-US" w:eastAsia="zh-CN"/>
        </w:rPr>
      </w:pPr>
      <w:r>
        <w:rPr>
          <w:rFonts w:hint="eastAsia"/>
          <w:highlight w:val="none"/>
          <w:lang w:val="en-US" w:eastAsia="zh-CN"/>
        </w:rPr>
        <w:t>P</w:t>
      </w:r>
      <w:r>
        <w:rPr>
          <w:rFonts w:hint="eastAsia"/>
          <w:highlight w:val="none"/>
          <w:vertAlign w:val="subscript"/>
          <w:lang w:val="en-US" w:eastAsia="zh-CN"/>
        </w:rPr>
        <w:t>i</w:t>
      </w:r>
      <w:r>
        <w:rPr>
          <w:rFonts w:hint="eastAsia"/>
          <w:highlight w:val="none"/>
          <w:lang w:val="en-US" w:eastAsia="zh-CN"/>
        </w:rPr>
        <w:t>——调查区域内属于第i种的个体比例。</w:t>
      </w:r>
    </w:p>
    <w:p w14:paraId="5B286CD6">
      <w:pPr>
        <w:bidi w:val="0"/>
        <w:ind w:left="0" w:leftChars="0" w:firstLine="0" w:firstLineChars="0"/>
        <w:jc w:val="center"/>
        <w:rPr>
          <w:rFonts w:hint="eastAsia"/>
          <w:b/>
          <w:bCs/>
          <w:sz w:val="21"/>
          <w:szCs w:val="21"/>
          <w:highlight w:val="none"/>
          <w:lang w:val="en-US" w:eastAsia="zh-CN"/>
        </w:rPr>
      </w:pPr>
      <w:r>
        <w:rPr>
          <w:rFonts w:hint="eastAsia"/>
          <w:b/>
          <w:bCs/>
          <w:sz w:val="21"/>
          <w:szCs w:val="21"/>
          <w:highlight w:val="none"/>
          <w:lang w:val="en-US" w:eastAsia="zh-CN"/>
        </w:rPr>
        <w:t>表4.3-10  本项目评价范围内森林系统中植物生物多样性评价一览表</w:t>
      </w:r>
    </w:p>
    <w:tbl>
      <w:tblPr>
        <w:tblStyle w:val="35"/>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887"/>
        <w:gridCol w:w="2820"/>
        <w:gridCol w:w="1802"/>
        <w:gridCol w:w="2775"/>
      </w:tblGrid>
      <w:tr w14:paraId="7CDE313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blHeader/>
          <w:jc w:val="center"/>
        </w:trPr>
        <w:tc>
          <w:tcPr>
            <w:tcW w:w="1016" w:type="pct"/>
            <w:tcBorders>
              <w:tl2br w:val="nil"/>
              <w:tr2bl w:val="nil"/>
            </w:tcBorders>
            <w:noWrap w:val="0"/>
            <w:vAlign w:val="center"/>
          </w:tcPr>
          <w:p w14:paraId="548B8618">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b/>
                <w:bCs/>
                <w:sz w:val="21"/>
                <w:szCs w:val="21"/>
                <w:highlight w:val="none"/>
                <w:lang w:val="en-US" w:eastAsia="zh-CN"/>
              </w:rPr>
            </w:pPr>
            <w:r>
              <w:rPr>
                <w:rFonts w:hint="eastAsia"/>
                <w:b/>
                <w:bCs/>
                <w:sz w:val="21"/>
                <w:szCs w:val="21"/>
                <w:highlight w:val="none"/>
                <w:lang w:val="en-US" w:eastAsia="zh-CN"/>
              </w:rPr>
              <w:t>群系名</w:t>
            </w:r>
          </w:p>
        </w:tc>
        <w:tc>
          <w:tcPr>
            <w:tcW w:w="1518" w:type="pct"/>
            <w:tcBorders>
              <w:tl2br w:val="nil"/>
              <w:tr2bl w:val="nil"/>
            </w:tcBorders>
            <w:noWrap w:val="0"/>
            <w:vAlign w:val="center"/>
          </w:tcPr>
          <w:p w14:paraId="541764A9">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b/>
                <w:bCs/>
                <w:sz w:val="21"/>
                <w:szCs w:val="21"/>
                <w:highlight w:val="none"/>
                <w:lang w:val="en-US" w:eastAsia="zh-CN"/>
              </w:rPr>
            </w:pPr>
            <w:r>
              <w:rPr>
                <w:rFonts w:hint="eastAsia"/>
                <w:b/>
                <w:bCs/>
                <w:sz w:val="21"/>
                <w:szCs w:val="21"/>
                <w:highlight w:val="none"/>
                <w:lang w:val="en-US" w:eastAsia="zh-CN"/>
              </w:rPr>
              <w:t>主要物种</w:t>
            </w:r>
          </w:p>
        </w:tc>
        <w:tc>
          <w:tcPr>
            <w:tcW w:w="970" w:type="pct"/>
            <w:tcBorders>
              <w:tl2br w:val="nil"/>
              <w:tr2bl w:val="nil"/>
            </w:tcBorders>
            <w:noWrap w:val="0"/>
            <w:vAlign w:val="center"/>
          </w:tcPr>
          <w:p w14:paraId="37988BD8">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b/>
                <w:bCs/>
                <w:sz w:val="21"/>
                <w:szCs w:val="21"/>
                <w:highlight w:val="none"/>
                <w:lang w:val="en-US" w:eastAsia="zh-CN"/>
              </w:rPr>
            </w:pPr>
            <w:r>
              <w:rPr>
                <w:rFonts w:hint="eastAsia"/>
                <w:b/>
                <w:bCs/>
                <w:sz w:val="21"/>
                <w:szCs w:val="21"/>
                <w:highlight w:val="none"/>
                <w:lang w:val="en-US" w:eastAsia="zh-CN"/>
              </w:rPr>
              <w:t>数量（株）</w:t>
            </w:r>
          </w:p>
        </w:tc>
        <w:tc>
          <w:tcPr>
            <w:tcW w:w="1494" w:type="pct"/>
            <w:tcBorders>
              <w:tl2br w:val="nil"/>
              <w:tr2bl w:val="nil"/>
            </w:tcBorders>
            <w:noWrap w:val="0"/>
            <w:vAlign w:val="center"/>
          </w:tcPr>
          <w:p w14:paraId="34F09A28">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b/>
                <w:bCs/>
                <w:sz w:val="21"/>
                <w:szCs w:val="21"/>
                <w:highlight w:val="none"/>
                <w:lang w:val="en-US" w:eastAsia="zh-CN"/>
              </w:rPr>
            </w:pPr>
            <w:r>
              <w:rPr>
                <w:rFonts w:hint="eastAsia"/>
                <w:b/>
                <w:bCs/>
                <w:sz w:val="21"/>
                <w:szCs w:val="21"/>
                <w:highlight w:val="none"/>
                <w:lang w:val="en-US" w:eastAsia="zh-CN"/>
              </w:rPr>
              <w:t>P</w:t>
            </w:r>
            <w:r>
              <w:rPr>
                <w:rFonts w:hint="eastAsia"/>
                <w:b/>
                <w:bCs/>
                <w:sz w:val="21"/>
                <w:szCs w:val="21"/>
                <w:highlight w:val="none"/>
                <w:vertAlign w:val="subscript"/>
                <w:lang w:val="en-US" w:eastAsia="zh-CN"/>
              </w:rPr>
              <w:t>i</w:t>
            </w:r>
            <w:r>
              <w:rPr>
                <w:rFonts w:hint="eastAsia"/>
                <w:b/>
                <w:bCs/>
                <w:sz w:val="21"/>
                <w:szCs w:val="21"/>
                <w:highlight w:val="none"/>
                <w:vertAlign w:val="superscript"/>
                <w:lang w:val="en-US" w:eastAsia="zh-CN"/>
              </w:rPr>
              <w:t>2</w:t>
            </w:r>
          </w:p>
        </w:tc>
      </w:tr>
      <w:tr w14:paraId="3830E4D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16" w:type="pct"/>
            <w:vMerge w:val="restart"/>
            <w:tcBorders>
              <w:tl2br w:val="nil"/>
              <w:tr2bl w:val="nil"/>
            </w:tcBorders>
            <w:noWrap w:val="0"/>
            <w:vAlign w:val="center"/>
          </w:tcPr>
          <w:p w14:paraId="098DB2F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樟木林</w:t>
            </w:r>
          </w:p>
        </w:tc>
        <w:tc>
          <w:tcPr>
            <w:tcW w:w="1518" w:type="pct"/>
            <w:tcBorders>
              <w:tl2br w:val="nil"/>
              <w:tr2bl w:val="nil"/>
            </w:tcBorders>
            <w:noWrap w:val="0"/>
            <w:vAlign w:val="center"/>
          </w:tcPr>
          <w:p w14:paraId="2B3BCA1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樟木</w:t>
            </w:r>
          </w:p>
        </w:tc>
        <w:tc>
          <w:tcPr>
            <w:tcW w:w="970" w:type="pct"/>
            <w:tcBorders>
              <w:tl2br w:val="nil"/>
              <w:tr2bl w:val="nil"/>
            </w:tcBorders>
            <w:noWrap w:val="0"/>
            <w:vAlign w:val="center"/>
          </w:tcPr>
          <w:p w14:paraId="488CE82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124</w:t>
            </w:r>
          </w:p>
        </w:tc>
        <w:tc>
          <w:tcPr>
            <w:tcW w:w="1494" w:type="pct"/>
            <w:tcBorders>
              <w:tl2br w:val="nil"/>
              <w:tr2bl w:val="nil"/>
            </w:tcBorders>
            <w:noWrap w:val="0"/>
            <w:vAlign w:val="center"/>
          </w:tcPr>
          <w:p w14:paraId="66A35A4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0.09467</w:t>
            </w:r>
          </w:p>
        </w:tc>
      </w:tr>
      <w:tr w14:paraId="7627962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16" w:type="pct"/>
            <w:vMerge w:val="continue"/>
            <w:tcBorders>
              <w:tl2br w:val="nil"/>
              <w:tr2bl w:val="nil"/>
            </w:tcBorders>
            <w:noWrap w:val="0"/>
            <w:vAlign w:val="center"/>
          </w:tcPr>
          <w:p w14:paraId="088B91B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lang w:val="en-US" w:eastAsia="zh-CN"/>
              </w:rPr>
            </w:pPr>
          </w:p>
        </w:tc>
        <w:tc>
          <w:tcPr>
            <w:tcW w:w="1518" w:type="pct"/>
            <w:tcBorders>
              <w:tl2br w:val="nil"/>
              <w:tr2bl w:val="nil"/>
            </w:tcBorders>
            <w:noWrap w:val="0"/>
            <w:vAlign w:val="center"/>
          </w:tcPr>
          <w:p w14:paraId="652BFB7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木樨</w:t>
            </w:r>
          </w:p>
        </w:tc>
        <w:tc>
          <w:tcPr>
            <w:tcW w:w="970" w:type="pct"/>
            <w:tcBorders>
              <w:tl2br w:val="nil"/>
              <w:tr2bl w:val="nil"/>
            </w:tcBorders>
            <w:noWrap w:val="0"/>
            <w:vAlign w:val="center"/>
          </w:tcPr>
          <w:p w14:paraId="5D9A1DA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15</w:t>
            </w:r>
          </w:p>
        </w:tc>
        <w:tc>
          <w:tcPr>
            <w:tcW w:w="1494" w:type="pct"/>
            <w:tcBorders>
              <w:tl2br w:val="nil"/>
              <w:tr2bl w:val="nil"/>
            </w:tcBorders>
            <w:noWrap w:val="0"/>
            <w:vAlign w:val="center"/>
          </w:tcPr>
          <w:p w14:paraId="0B13B16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0.00139</w:t>
            </w:r>
          </w:p>
        </w:tc>
      </w:tr>
      <w:tr w14:paraId="72248B4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16" w:type="pct"/>
            <w:vMerge w:val="continue"/>
            <w:tcBorders>
              <w:tl2br w:val="nil"/>
              <w:tr2bl w:val="nil"/>
            </w:tcBorders>
            <w:noWrap w:val="0"/>
            <w:vAlign w:val="center"/>
          </w:tcPr>
          <w:p w14:paraId="6EFB774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lang w:val="en-US" w:eastAsia="zh-CN"/>
              </w:rPr>
            </w:pPr>
          </w:p>
        </w:tc>
        <w:tc>
          <w:tcPr>
            <w:tcW w:w="1518" w:type="pct"/>
            <w:tcBorders>
              <w:tl2br w:val="nil"/>
              <w:tr2bl w:val="nil"/>
            </w:tcBorders>
            <w:noWrap w:val="0"/>
            <w:vAlign w:val="center"/>
          </w:tcPr>
          <w:p w14:paraId="3FFD176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马尾松</w:t>
            </w:r>
          </w:p>
        </w:tc>
        <w:tc>
          <w:tcPr>
            <w:tcW w:w="970" w:type="pct"/>
            <w:tcBorders>
              <w:tl2br w:val="nil"/>
              <w:tr2bl w:val="nil"/>
            </w:tcBorders>
            <w:noWrap w:val="0"/>
            <w:vAlign w:val="center"/>
          </w:tcPr>
          <w:p w14:paraId="1019D59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9</w:t>
            </w:r>
          </w:p>
        </w:tc>
        <w:tc>
          <w:tcPr>
            <w:tcW w:w="1494" w:type="pct"/>
            <w:tcBorders>
              <w:tl2br w:val="nil"/>
              <w:tr2bl w:val="nil"/>
            </w:tcBorders>
            <w:noWrap w:val="0"/>
            <w:vAlign w:val="center"/>
          </w:tcPr>
          <w:p w14:paraId="13F48F3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0.00050</w:t>
            </w:r>
          </w:p>
        </w:tc>
      </w:tr>
      <w:tr w14:paraId="7B05A88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16" w:type="pct"/>
            <w:vMerge w:val="continue"/>
            <w:tcBorders>
              <w:tl2br w:val="nil"/>
              <w:tr2bl w:val="nil"/>
            </w:tcBorders>
            <w:noWrap w:val="0"/>
            <w:vAlign w:val="center"/>
          </w:tcPr>
          <w:p w14:paraId="687D06C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lang w:val="en-US" w:eastAsia="zh-CN"/>
              </w:rPr>
            </w:pPr>
          </w:p>
        </w:tc>
        <w:tc>
          <w:tcPr>
            <w:tcW w:w="1518" w:type="pct"/>
            <w:tcBorders>
              <w:tl2br w:val="nil"/>
              <w:tr2bl w:val="nil"/>
            </w:tcBorders>
            <w:noWrap w:val="0"/>
            <w:vAlign w:val="center"/>
          </w:tcPr>
          <w:p w14:paraId="17FFFB0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毛竹</w:t>
            </w:r>
          </w:p>
        </w:tc>
        <w:tc>
          <w:tcPr>
            <w:tcW w:w="970" w:type="pct"/>
            <w:tcBorders>
              <w:tl2br w:val="nil"/>
              <w:tr2bl w:val="nil"/>
            </w:tcBorders>
            <w:noWrap w:val="0"/>
            <w:vAlign w:val="center"/>
          </w:tcPr>
          <w:p w14:paraId="6D6A641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6</w:t>
            </w:r>
          </w:p>
        </w:tc>
        <w:tc>
          <w:tcPr>
            <w:tcW w:w="1494" w:type="pct"/>
            <w:tcBorders>
              <w:tl2br w:val="nil"/>
              <w:tr2bl w:val="nil"/>
            </w:tcBorders>
            <w:noWrap w:val="0"/>
            <w:vAlign w:val="center"/>
          </w:tcPr>
          <w:p w14:paraId="53A7568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0.00022</w:t>
            </w:r>
          </w:p>
        </w:tc>
      </w:tr>
      <w:tr w14:paraId="21BD1F2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16" w:type="pct"/>
            <w:vMerge w:val="continue"/>
            <w:tcBorders>
              <w:tl2br w:val="nil"/>
              <w:tr2bl w:val="nil"/>
            </w:tcBorders>
            <w:noWrap w:val="0"/>
            <w:vAlign w:val="center"/>
          </w:tcPr>
          <w:p w14:paraId="47729CC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lang w:val="en-US" w:eastAsia="zh-CN"/>
              </w:rPr>
            </w:pPr>
          </w:p>
        </w:tc>
        <w:tc>
          <w:tcPr>
            <w:tcW w:w="1518" w:type="pct"/>
            <w:tcBorders>
              <w:tl2br w:val="nil"/>
              <w:tr2bl w:val="nil"/>
            </w:tcBorders>
            <w:noWrap w:val="0"/>
            <w:vAlign w:val="center"/>
          </w:tcPr>
          <w:p w14:paraId="3BD2C74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水蛇麻</w:t>
            </w:r>
          </w:p>
        </w:tc>
        <w:tc>
          <w:tcPr>
            <w:tcW w:w="970" w:type="pct"/>
            <w:tcBorders>
              <w:tl2br w:val="nil"/>
              <w:tr2bl w:val="nil"/>
            </w:tcBorders>
            <w:noWrap w:val="0"/>
            <w:vAlign w:val="center"/>
          </w:tcPr>
          <w:p w14:paraId="2CF8CFB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38</w:t>
            </w:r>
          </w:p>
        </w:tc>
        <w:tc>
          <w:tcPr>
            <w:tcW w:w="1494" w:type="pct"/>
            <w:tcBorders>
              <w:tl2br w:val="nil"/>
              <w:tr2bl w:val="nil"/>
            </w:tcBorders>
            <w:noWrap w:val="0"/>
            <w:vAlign w:val="center"/>
          </w:tcPr>
          <w:p w14:paraId="279327A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0.00889</w:t>
            </w:r>
          </w:p>
        </w:tc>
      </w:tr>
      <w:tr w14:paraId="0E75A3E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16" w:type="pct"/>
            <w:vMerge w:val="continue"/>
            <w:tcBorders>
              <w:tl2br w:val="nil"/>
              <w:tr2bl w:val="nil"/>
            </w:tcBorders>
            <w:noWrap w:val="0"/>
            <w:vAlign w:val="center"/>
          </w:tcPr>
          <w:p w14:paraId="5E56EA1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lang w:val="en-US" w:eastAsia="zh-CN"/>
              </w:rPr>
            </w:pPr>
          </w:p>
        </w:tc>
        <w:tc>
          <w:tcPr>
            <w:tcW w:w="1518" w:type="pct"/>
            <w:tcBorders>
              <w:tl2br w:val="nil"/>
              <w:tr2bl w:val="nil"/>
            </w:tcBorders>
            <w:noWrap w:val="0"/>
            <w:vAlign w:val="center"/>
          </w:tcPr>
          <w:p w14:paraId="71771AD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柠檬草</w:t>
            </w:r>
          </w:p>
        </w:tc>
        <w:tc>
          <w:tcPr>
            <w:tcW w:w="970" w:type="pct"/>
            <w:tcBorders>
              <w:tl2br w:val="nil"/>
              <w:tr2bl w:val="nil"/>
            </w:tcBorders>
            <w:noWrap w:val="0"/>
            <w:vAlign w:val="center"/>
          </w:tcPr>
          <w:p w14:paraId="78210C7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62</w:t>
            </w:r>
          </w:p>
        </w:tc>
        <w:tc>
          <w:tcPr>
            <w:tcW w:w="1494" w:type="pct"/>
            <w:tcBorders>
              <w:tl2br w:val="nil"/>
              <w:tr2bl w:val="nil"/>
            </w:tcBorders>
            <w:noWrap w:val="0"/>
            <w:vAlign w:val="center"/>
          </w:tcPr>
          <w:p w14:paraId="6CE28DC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0.02367</w:t>
            </w:r>
          </w:p>
        </w:tc>
      </w:tr>
      <w:tr w14:paraId="0E77F0A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16" w:type="pct"/>
            <w:vMerge w:val="continue"/>
            <w:tcBorders>
              <w:tl2br w:val="nil"/>
              <w:tr2bl w:val="nil"/>
            </w:tcBorders>
            <w:noWrap w:val="0"/>
            <w:vAlign w:val="center"/>
          </w:tcPr>
          <w:p w14:paraId="780F138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lang w:val="en-US" w:eastAsia="zh-CN"/>
              </w:rPr>
            </w:pPr>
          </w:p>
        </w:tc>
        <w:tc>
          <w:tcPr>
            <w:tcW w:w="1518" w:type="pct"/>
            <w:tcBorders>
              <w:tl2br w:val="nil"/>
              <w:tr2bl w:val="nil"/>
            </w:tcBorders>
            <w:noWrap w:val="0"/>
            <w:vAlign w:val="center"/>
          </w:tcPr>
          <w:p w14:paraId="76E74BE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苎麻</w:t>
            </w:r>
          </w:p>
        </w:tc>
        <w:tc>
          <w:tcPr>
            <w:tcW w:w="970" w:type="pct"/>
            <w:tcBorders>
              <w:tl2br w:val="nil"/>
              <w:tr2bl w:val="nil"/>
            </w:tcBorders>
            <w:noWrap w:val="0"/>
            <w:vAlign w:val="center"/>
          </w:tcPr>
          <w:p w14:paraId="573CA80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23</w:t>
            </w:r>
          </w:p>
        </w:tc>
        <w:tc>
          <w:tcPr>
            <w:tcW w:w="1494" w:type="pct"/>
            <w:tcBorders>
              <w:tl2br w:val="nil"/>
              <w:tr2bl w:val="nil"/>
            </w:tcBorders>
            <w:noWrap w:val="0"/>
            <w:vAlign w:val="center"/>
          </w:tcPr>
          <w:p w14:paraId="5B63D93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0.00326</w:t>
            </w:r>
          </w:p>
        </w:tc>
      </w:tr>
      <w:tr w14:paraId="4B358F8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16" w:type="pct"/>
            <w:vMerge w:val="continue"/>
            <w:tcBorders>
              <w:tl2br w:val="nil"/>
              <w:tr2bl w:val="nil"/>
            </w:tcBorders>
            <w:noWrap w:val="0"/>
            <w:vAlign w:val="center"/>
          </w:tcPr>
          <w:p w14:paraId="2790D4A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lang w:val="en-US" w:eastAsia="zh-CN"/>
              </w:rPr>
            </w:pPr>
          </w:p>
        </w:tc>
        <w:tc>
          <w:tcPr>
            <w:tcW w:w="1518" w:type="pct"/>
            <w:tcBorders>
              <w:tl2br w:val="nil"/>
              <w:tr2bl w:val="nil"/>
            </w:tcBorders>
            <w:noWrap w:val="0"/>
            <w:vAlign w:val="center"/>
          </w:tcPr>
          <w:p w14:paraId="01C8F96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芒</w:t>
            </w:r>
          </w:p>
        </w:tc>
        <w:tc>
          <w:tcPr>
            <w:tcW w:w="970" w:type="pct"/>
            <w:tcBorders>
              <w:tl2br w:val="nil"/>
              <w:tr2bl w:val="nil"/>
            </w:tcBorders>
            <w:noWrap w:val="0"/>
            <w:vAlign w:val="center"/>
          </w:tcPr>
          <w:p w14:paraId="39B288E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5</w:t>
            </w:r>
          </w:p>
        </w:tc>
        <w:tc>
          <w:tcPr>
            <w:tcW w:w="1494" w:type="pct"/>
            <w:tcBorders>
              <w:tl2br w:val="nil"/>
              <w:tr2bl w:val="nil"/>
            </w:tcBorders>
            <w:noWrap w:val="0"/>
            <w:vAlign w:val="center"/>
          </w:tcPr>
          <w:p w14:paraId="511B6F2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0.00015</w:t>
            </w:r>
          </w:p>
        </w:tc>
      </w:tr>
      <w:tr w14:paraId="51E07D8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16" w:type="pct"/>
            <w:vMerge w:val="continue"/>
            <w:tcBorders>
              <w:tl2br w:val="nil"/>
              <w:tr2bl w:val="nil"/>
            </w:tcBorders>
            <w:noWrap w:val="0"/>
            <w:vAlign w:val="center"/>
          </w:tcPr>
          <w:p w14:paraId="6EA611E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lang w:val="en-US" w:eastAsia="zh-CN"/>
              </w:rPr>
            </w:pPr>
          </w:p>
        </w:tc>
        <w:tc>
          <w:tcPr>
            <w:tcW w:w="1518" w:type="pct"/>
            <w:tcBorders>
              <w:tl2br w:val="nil"/>
              <w:tr2bl w:val="nil"/>
            </w:tcBorders>
            <w:noWrap w:val="0"/>
            <w:vAlign w:val="center"/>
          </w:tcPr>
          <w:p w14:paraId="12279B7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爵床</w:t>
            </w:r>
          </w:p>
        </w:tc>
        <w:tc>
          <w:tcPr>
            <w:tcW w:w="970" w:type="pct"/>
            <w:tcBorders>
              <w:tl2br w:val="nil"/>
              <w:tr2bl w:val="nil"/>
            </w:tcBorders>
            <w:noWrap w:val="0"/>
            <w:vAlign w:val="center"/>
          </w:tcPr>
          <w:p w14:paraId="2B18B1F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54</w:t>
            </w:r>
          </w:p>
        </w:tc>
        <w:tc>
          <w:tcPr>
            <w:tcW w:w="1494" w:type="pct"/>
            <w:tcBorders>
              <w:tl2br w:val="nil"/>
              <w:tr2bl w:val="nil"/>
            </w:tcBorders>
            <w:noWrap w:val="0"/>
            <w:vAlign w:val="center"/>
          </w:tcPr>
          <w:p w14:paraId="2CAC13A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0.01795</w:t>
            </w:r>
          </w:p>
        </w:tc>
      </w:tr>
      <w:tr w14:paraId="1C0B000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16" w:type="pct"/>
            <w:vMerge w:val="continue"/>
            <w:tcBorders>
              <w:tl2br w:val="nil"/>
              <w:tr2bl w:val="nil"/>
            </w:tcBorders>
            <w:noWrap w:val="0"/>
            <w:vAlign w:val="center"/>
          </w:tcPr>
          <w:p w14:paraId="51A22F6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lang w:val="en-US" w:eastAsia="zh-CN"/>
              </w:rPr>
            </w:pPr>
          </w:p>
        </w:tc>
        <w:tc>
          <w:tcPr>
            <w:tcW w:w="1518" w:type="pct"/>
            <w:tcBorders>
              <w:tl2br w:val="nil"/>
              <w:tr2bl w:val="nil"/>
            </w:tcBorders>
            <w:noWrap w:val="0"/>
            <w:vAlign w:val="center"/>
          </w:tcPr>
          <w:p w14:paraId="3DAF6DE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鸡眼草</w:t>
            </w:r>
          </w:p>
        </w:tc>
        <w:tc>
          <w:tcPr>
            <w:tcW w:w="970" w:type="pct"/>
            <w:tcBorders>
              <w:tl2br w:val="nil"/>
              <w:tr2bl w:val="nil"/>
            </w:tcBorders>
            <w:noWrap w:val="0"/>
            <w:vAlign w:val="center"/>
          </w:tcPr>
          <w:p w14:paraId="0DDDC46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67</w:t>
            </w:r>
          </w:p>
        </w:tc>
        <w:tc>
          <w:tcPr>
            <w:tcW w:w="1494" w:type="pct"/>
            <w:tcBorders>
              <w:tl2br w:val="nil"/>
              <w:tr2bl w:val="nil"/>
            </w:tcBorders>
            <w:noWrap w:val="0"/>
            <w:vAlign w:val="center"/>
          </w:tcPr>
          <w:p w14:paraId="1A7EAA5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0.02764</w:t>
            </w:r>
          </w:p>
        </w:tc>
      </w:tr>
      <w:tr w14:paraId="47AA85F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16" w:type="pct"/>
            <w:vMerge w:val="continue"/>
            <w:tcBorders>
              <w:tl2br w:val="nil"/>
              <w:tr2bl w:val="nil"/>
            </w:tcBorders>
            <w:noWrap w:val="0"/>
            <w:vAlign w:val="center"/>
          </w:tcPr>
          <w:p w14:paraId="007BADA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lang w:val="en-US" w:eastAsia="zh-CN"/>
              </w:rPr>
            </w:pPr>
          </w:p>
        </w:tc>
        <w:tc>
          <w:tcPr>
            <w:tcW w:w="1518" w:type="pct"/>
            <w:tcBorders>
              <w:tl2br w:val="nil"/>
              <w:tr2bl w:val="nil"/>
            </w:tcBorders>
            <w:noWrap w:val="0"/>
            <w:vAlign w:val="center"/>
          </w:tcPr>
          <w:p w14:paraId="19A2E06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合计</w:t>
            </w:r>
          </w:p>
        </w:tc>
        <w:tc>
          <w:tcPr>
            <w:tcW w:w="970" w:type="pct"/>
            <w:tcBorders>
              <w:tl2br w:val="nil"/>
              <w:tr2bl w:val="nil"/>
            </w:tcBorders>
            <w:noWrap w:val="0"/>
            <w:vAlign w:val="center"/>
          </w:tcPr>
          <w:p w14:paraId="364383B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403</w:t>
            </w:r>
          </w:p>
        </w:tc>
        <w:tc>
          <w:tcPr>
            <w:tcW w:w="1494" w:type="pct"/>
            <w:tcBorders>
              <w:tl2br w:val="nil"/>
              <w:tr2bl w:val="nil"/>
            </w:tcBorders>
            <w:noWrap w:val="0"/>
            <w:vAlign w:val="center"/>
          </w:tcPr>
          <w:p w14:paraId="0582107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w:t>
            </w:r>
          </w:p>
        </w:tc>
      </w:tr>
      <w:tr w14:paraId="3005E39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16" w:type="pct"/>
            <w:vMerge w:val="restart"/>
            <w:tcBorders>
              <w:tl2br w:val="nil"/>
              <w:tr2bl w:val="nil"/>
            </w:tcBorders>
            <w:noWrap w:val="0"/>
            <w:vAlign w:val="center"/>
          </w:tcPr>
          <w:p w14:paraId="08AD695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毛竹林</w:t>
            </w:r>
          </w:p>
        </w:tc>
        <w:tc>
          <w:tcPr>
            <w:tcW w:w="1518" w:type="pct"/>
            <w:tcBorders>
              <w:tl2br w:val="nil"/>
              <w:tr2bl w:val="nil"/>
            </w:tcBorders>
            <w:noWrap w:val="0"/>
            <w:vAlign w:val="center"/>
          </w:tcPr>
          <w:p w14:paraId="2D37981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毛竹</w:t>
            </w:r>
          </w:p>
        </w:tc>
        <w:tc>
          <w:tcPr>
            <w:tcW w:w="970" w:type="pct"/>
            <w:tcBorders>
              <w:tl2br w:val="nil"/>
              <w:tr2bl w:val="nil"/>
            </w:tcBorders>
            <w:noWrap w:val="0"/>
            <w:vAlign w:val="center"/>
          </w:tcPr>
          <w:p w14:paraId="6291875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132</w:t>
            </w:r>
          </w:p>
        </w:tc>
        <w:tc>
          <w:tcPr>
            <w:tcW w:w="1494" w:type="pct"/>
            <w:tcBorders>
              <w:tl2br w:val="nil"/>
              <w:tr2bl w:val="nil"/>
            </w:tcBorders>
            <w:noWrap w:val="0"/>
            <w:vAlign w:val="center"/>
          </w:tcPr>
          <w:p w14:paraId="43096A5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0.1406</w:t>
            </w:r>
          </w:p>
        </w:tc>
      </w:tr>
      <w:tr w14:paraId="7B2B850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16" w:type="pct"/>
            <w:vMerge w:val="continue"/>
            <w:tcBorders>
              <w:tl2br w:val="nil"/>
              <w:tr2bl w:val="nil"/>
            </w:tcBorders>
            <w:noWrap w:val="0"/>
            <w:vAlign w:val="center"/>
          </w:tcPr>
          <w:p w14:paraId="6769B31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lang w:val="en-US" w:eastAsia="zh-CN"/>
              </w:rPr>
            </w:pPr>
          </w:p>
        </w:tc>
        <w:tc>
          <w:tcPr>
            <w:tcW w:w="1518" w:type="pct"/>
            <w:tcBorders>
              <w:tl2br w:val="nil"/>
              <w:tr2bl w:val="nil"/>
            </w:tcBorders>
            <w:noWrap w:val="0"/>
            <w:vAlign w:val="center"/>
          </w:tcPr>
          <w:p w14:paraId="500A2D4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棕榈</w:t>
            </w:r>
          </w:p>
        </w:tc>
        <w:tc>
          <w:tcPr>
            <w:tcW w:w="970" w:type="pct"/>
            <w:tcBorders>
              <w:tl2br w:val="nil"/>
              <w:tr2bl w:val="nil"/>
            </w:tcBorders>
            <w:noWrap w:val="0"/>
            <w:vAlign w:val="center"/>
          </w:tcPr>
          <w:p w14:paraId="64864F7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6</w:t>
            </w:r>
          </w:p>
        </w:tc>
        <w:tc>
          <w:tcPr>
            <w:tcW w:w="1494" w:type="pct"/>
            <w:tcBorders>
              <w:tl2br w:val="nil"/>
              <w:tr2bl w:val="nil"/>
            </w:tcBorders>
            <w:noWrap w:val="0"/>
            <w:vAlign w:val="center"/>
          </w:tcPr>
          <w:p w14:paraId="4BC9573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0.0003</w:t>
            </w:r>
          </w:p>
        </w:tc>
      </w:tr>
      <w:tr w14:paraId="68214B9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16" w:type="pct"/>
            <w:vMerge w:val="continue"/>
            <w:tcBorders>
              <w:tl2br w:val="nil"/>
              <w:tr2bl w:val="nil"/>
            </w:tcBorders>
            <w:noWrap w:val="0"/>
            <w:vAlign w:val="center"/>
          </w:tcPr>
          <w:p w14:paraId="53600E2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lang w:val="en-US" w:eastAsia="zh-CN"/>
              </w:rPr>
            </w:pPr>
          </w:p>
        </w:tc>
        <w:tc>
          <w:tcPr>
            <w:tcW w:w="1518" w:type="pct"/>
            <w:tcBorders>
              <w:tl2br w:val="nil"/>
              <w:tr2bl w:val="nil"/>
            </w:tcBorders>
            <w:noWrap w:val="0"/>
            <w:vAlign w:val="center"/>
          </w:tcPr>
          <w:p w14:paraId="51409F3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马尾松</w:t>
            </w:r>
          </w:p>
        </w:tc>
        <w:tc>
          <w:tcPr>
            <w:tcW w:w="970" w:type="pct"/>
            <w:tcBorders>
              <w:tl2br w:val="nil"/>
              <w:tr2bl w:val="nil"/>
            </w:tcBorders>
            <w:noWrap w:val="0"/>
            <w:vAlign w:val="center"/>
          </w:tcPr>
          <w:p w14:paraId="2991024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5</w:t>
            </w:r>
          </w:p>
        </w:tc>
        <w:tc>
          <w:tcPr>
            <w:tcW w:w="1494" w:type="pct"/>
            <w:tcBorders>
              <w:tl2br w:val="nil"/>
              <w:tr2bl w:val="nil"/>
            </w:tcBorders>
            <w:noWrap w:val="0"/>
            <w:vAlign w:val="center"/>
          </w:tcPr>
          <w:p w14:paraId="228ED20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0.0002</w:t>
            </w:r>
          </w:p>
        </w:tc>
      </w:tr>
      <w:tr w14:paraId="5E40CFE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16" w:type="pct"/>
            <w:vMerge w:val="continue"/>
            <w:tcBorders>
              <w:tl2br w:val="nil"/>
              <w:tr2bl w:val="nil"/>
            </w:tcBorders>
            <w:noWrap w:val="0"/>
            <w:vAlign w:val="center"/>
          </w:tcPr>
          <w:p w14:paraId="5B11C9D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lang w:val="en-US" w:eastAsia="zh-CN"/>
              </w:rPr>
            </w:pPr>
          </w:p>
        </w:tc>
        <w:tc>
          <w:tcPr>
            <w:tcW w:w="1518" w:type="pct"/>
            <w:tcBorders>
              <w:tl2br w:val="nil"/>
              <w:tr2bl w:val="nil"/>
            </w:tcBorders>
            <w:noWrap w:val="0"/>
            <w:vAlign w:val="center"/>
          </w:tcPr>
          <w:p w14:paraId="6493341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石楠</w:t>
            </w:r>
          </w:p>
        </w:tc>
        <w:tc>
          <w:tcPr>
            <w:tcW w:w="970" w:type="pct"/>
            <w:tcBorders>
              <w:tl2br w:val="nil"/>
              <w:tr2bl w:val="nil"/>
            </w:tcBorders>
            <w:noWrap w:val="0"/>
            <w:vAlign w:val="center"/>
          </w:tcPr>
          <w:p w14:paraId="7E5030F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29</w:t>
            </w:r>
          </w:p>
        </w:tc>
        <w:tc>
          <w:tcPr>
            <w:tcW w:w="1494" w:type="pct"/>
            <w:tcBorders>
              <w:tl2br w:val="nil"/>
              <w:tr2bl w:val="nil"/>
            </w:tcBorders>
            <w:noWrap w:val="0"/>
            <w:vAlign w:val="center"/>
          </w:tcPr>
          <w:p w14:paraId="2E46DFF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0.0068</w:t>
            </w:r>
          </w:p>
        </w:tc>
      </w:tr>
      <w:tr w14:paraId="111FAE8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16" w:type="pct"/>
            <w:vMerge w:val="continue"/>
            <w:tcBorders>
              <w:tl2br w:val="nil"/>
              <w:tr2bl w:val="nil"/>
            </w:tcBorders>
            <w:noWrap w:val="0"/>
            <w:vAlign w:val="center"/>
          </w:tcPr>
          <w:p w14:paraId="7FBEDF8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lang w:val="en-US" w:eastAsia="zh-CN"/>
              </w:rPr>
            </w:pPr>
          </w:p>
        </w:tc>
        <w:tc>
          <w:tcPr>
            <w:tcW w:w="1518" w:type="pct"/>
            <w:tcBorders>
              <w:tl2br w:val="nil"/>
              <w:tr2bl w:val="nil"/>
            </w:tcBorders>
            <w:noWrap w:val="0"/>
            <w:vAlign w:val="center"/>
          </w:tcPr>
          <w:p w14:paraId="620F7BB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雾水葛</w:t>
            </w:r>
          </w:p>
        </w:tc>
        <w:tc>
          <w:tcPr>
            <w:tcW w:w="970" w:type="pct"/>
            <w:tcBorders>
              <w:tl2br w:val="nil"/>
              <w:tr2bl w:val="nil"/>
            </w:tcBorders>
            <w:noWrap w:val="0"/>
            <w:vAlign w:val="center"/>
          </w:tcPr>
          <w:p w14:paraId="2C4456E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38</w:t>
            </w:r>
          </w:p>
        </w:tc>
        <w:tc>
          <w:tcPr>
            <w:tcW w:w="1494" w:type="pct"/>
            <w:tcBorders>
              <w:tl2br w:val="nil"/>
              <w:tr2bl w:val="nil"/>
            </w:tcBorders>
            <w:noWrap w:val="0"/>
            <w:vAlign w:val="center"/>
          </w:tcPr>
          <w:p w14:paraId="4EF7896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0.0117</w:t>
            </w:r>
          </w:p>
        </w:tc>
      </w:tr>
      <w:tr w14:paraId="7CDEE30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16" w:type="pct"/>
            <w:vMerge w:val="continue"/>
            <w:tcBorders>
              <w:tl2br w:val="nil"/>
              <w:tr2bl w:val="nil"/>
            </w:tcBorders>
            <w:noWrap w:val="0"/>
            <w:vAlign w:val="center"/>
          </w:tcPr>
          <w:p w14:paraId="7E278D5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lang w:val="en-US" w:eastAsia="zh-CN"/>
              </w:rPr>
            </w:pPr>
          </w:p>
        </w:tc>
        <w:tc>
          <w:tcPr>
            <w:tcW w:w="1518" w:type="pct"/>
            <w:tcBorders>
              <w:tl2br w:val="nil"/>
              <w:tr2bl w:val="nil"/>
            </w:tcBorders>
            <w:noWrap w:val="0"/>
            <w:vAlign w:val="center"/>
          </w:tcPr>
          <w:p w14:paraId="21AD630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苎麻</w:t>
            </w:r>
          </w:p>
        </w:tc>
        <w:tc>
          <w:tcPr>
            <w:tcW w:w="970" w:type="pct"/>
            <w:tcBorders>
              <w:tl2br w:val="nil"/>
              <w:tr2bl w:val="nil"/>
            </w:tcBorders>
            <w:noWrap w:val="0"/>
            <w:vAlign w:val="center"/>
          </w:tcPr>
          <w:p w14:paraId="1A0E502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32</w:t>
            </w:r>
          </w:p>
        </w:tc>
        <w:tc>
          <w:tcPr>
            <w:tcW w:w="1494" w:type="pct"/>
            <w:tcBorders>
              <w:tl2br w:val="nil"/>
              <w:tr2bl w:val="nil"/>
            </w:tcBorders>
            <w:noWrap w:val="0"/>
            <w:vAlign w:val="center"/>
          </w:tcPr>
          <w:p w14:paraId="5EBF797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0.0083</w:t>
            </w:r>
          </w:p>
        </w:tc>
      </w:tr>
      <w:tr w14:paraId="2D26569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16" w:type="pct"/>
            <w:vMerge w:val="continue"/>
            <w:tcBorders>
              <w:tl2br w:val="nil"/>
              <w:tr2bl w:val="nil"/>
            </w:tcBorders>
            <w:noWrap w:val="0"/>
            <w:vAlign w:val="center"/>
          </w:tcPr>
          <w:p w14:paraId="3D46F79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lang w:val="en-US" w:eastAsia="zh-CN"/>
              </w:rPr>
            </w:pPr>
          </w:p>
        </w:tc>
        <w:tc>
          <w:tcPr>
            <w:tcW w:w="1518" w:type="pct"/>
            <w:tcBorders>
              <w:tl2br w:val="nil"/>
              <w:tr2bl w:val="nil"/>
            </w:tcBorders>
            <w:noWrap w:val="0"/>
            <w:vAlign w:val="center"/>
          </w:tcPr>
          <w:p w14:paraId="7FDD58E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芒</w:t>
            </w:r>
          </w:p>
        </w:tc>
        <w:tc>
          <w:tcPr>
            <w:tcW w:w="970" w:type="pct"/>
            <w:tcBorders>
              <w:tl2br w:val="nil"/>
              <w:tr2bl w:val="nil"/>
            </w:tcBorders>
            <w:noWrap w:val="0"/>
            <w:vAlign w:val="center"/>
          </w:tcPr>
          <w:p w14:paraId="15A5CE7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12</w:t>
            </w:r>
          </w:p>
        </w:tc>
        <w:tc>
          <w:tcPr>
            <w:tcW w:w="1494" w:type="pct"/>
            <w:tcBorders>
              <w:tl2br w:val="nil"/>
              <w:tr2bl w:val="nil"/>
            </w:tcBorders>
            <w:noWrap w:val="0"/>
            <w:vAlign w:val="center"/>
          </w:tcPr>
          <w:p w14:paraId="59CFC75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0.0012</w:t>
            </w:r>
          </w:p>
        </w:tc>
      </w:tr>
      <w:tr w14:paraId="28B2558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16" w:type="pct"/>
            <w:vMerge w:val="continue"/>
            <w:tcBorders>
              <w:tl2br w:val="nil"/>
              <w:tr2bl w:val="nil"/>
            </w:tcBorders>
            <w:noWrap w:val="0"/>
            <w:vAlign w:val="center"/>
          </w:tcPr>
          <w:p w14:paraId="5767AAF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lang w:val="en-US" w:eastAsia="zh-CN"/>
              </w:rPr>
            </w:pPr>
          </w:p>
        </w:tc>
        <w:tc>
          <w:tcPr>
            <w:tcW w:w="1518" w:type="pct"/>
            <w:tcBorders>
              <w:tl2br w:val="nil"/>
              <w:tr2bl w:val="nil"/>
            </w:tcBorders>
            <w:noWrap w:val="0"/>
            <w:vAlign w:val="center"/>
          </w:tcPr>
          <w:p w14:paraId="0801AD5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蕨</w:t>
            </w:r>
          </w:p>
        </w:tc>
        <w:tc>
          <w:tcPr>
            <w:tcW w:w="970" w:type="pct"/>
            <w:tcBorders>
              <w:tl2br w:val="nil"/>
              <w:tr2bl w:val="nil"/>
            </w:tcBorders>
            <w:noWrap w:val="0"/>
            <w:vAlign w:val="center"/>
          </w:tcPr>
          <w:p w14:paraId="6A3D9E3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28</w:t>
            </w:r>
          </w:p>
        </w:tc>
        <w:tc>
          <w:tcPr>
            <w:tcW w:w="1494" w:type="pct"/>
            <w:tcBorders>
              <w:tl2br w:val="nil"/>
              <w:tr2bl w:val="nil"/>
            </w:tcBorders>
            <w:noWrap w:val="0"/>
            <w:vAlign w:val="center"/>
          </w:tcPr>
          <w:p w14:paraId="6D1758A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0.0063</w:t>
            </w:r>
          </w:p>
        </w:tc>
      </w:tr>
      <w:tr w14:paraId="4E9EAD2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16" w:type="pct"/>
            <w:vMerge w:val="continue"/>
            <w:tcBorders>
              <w:tl2br w:val="nil"/>
              <w:tr2bl w:val="nil"/>
            </w:tcBorders>
            <w:noWrap w:val="0"/>
            <w:vAlign w:val="center"/>
          </w:tcPr>
          <w:p w14:paraId="7180F2C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lang w:val="en-US" w:eastAsia="zh-CN"/>
              </w:rPr>
            </w:pPr>
          </w:p>
        </w:tc>
        <w:tc>
          <w:tcPr>
            <w:tcW w:w="1518" w:type="pct"/>
            <w:tcBorders>
              <w:tl2br w:val="nil"/>
              <w:tr2bl w:val="nil"/>
            </w:tcBorders>
            <w:noWrap w:val="0"/>
            <w:vAlign w:val="center"/>
          </w:tcPr>
          <w:p w14:paraId="3200C24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鸡眼草</w:t>
            </w:r>
          </w:p>
        </w:tc>
        <w:tc>
          <w:tcPr>
            <w:tcW w:w="970" w:type="pct"/>
            <w:tcBorders>
              <w:tl2br w:val="nil"/>
              <w:tr2bl w:val="nil"/>
            </w:tcBorders>
            <w:noWrap w:val="0"/>
            <w:vAlign w:val="center"/>
          </w:tcPr>
          <w:p w14:paraId="7185E88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41</w:t>
            </w:r>
          </w:p>
        </w:tc>
        <w:tc>
          <w:tcPr>
            <w:tcW w:w="1494" w:type="pct"/>
            <w:tcBorders>
              <w:tl2br w:val="nil"/>
              <w:tr2bl w:val="nil"/>
            </w:tcBorders>
            <w:noWrap w:val="0"/>
            <w:vAlign w:val="center"/>
          </w:tcPr>
          <w:p w14:paraId="46DF3F7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0.0136</w:t>
            </w:r>
          </w:p>
        </w:tc>
      </w:tr>
      <w:tr w14:paraId="3D5207C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16" w:type="pct"/>
            <w:vMerge w:val="continue"/>
            <w:tcBorders>
              <w:tl2br w:val="nil"/>
              <w:tr2bl w:val="nil"/>
            </w:tcBorders>
            <w:noWrap w:val="0"/>
            <w:vAlign w:val="center"/>
          </w:tcPr>
          <w:p w14:paraId="52B024B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lang w:val="en-US" w:eastAsia="zh-CN"/>
              </w:rPr>
            </w:pPr>
          </w:p>
        </w:tc>
        <w:tc>
          <w:tcPr>
            <w:tcW w:w="1518" w:type="pct"/>
            <w:tcBorders>
              <w:tl2br w:val="nil"/>
              <w:tr2bl w:val="nil"/>
            </w:tcBorders>
            <w:noWrap w:val="0"/>
            <w:vAlign w:val="center"/>
          </w:tcPr>
          <w:p w14:paraId="7563794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爵床</w:t>
            </w:r>
          </w:p>
        </w:tc>
        <w:tc>
          <w:tcPr>
            <w:tcW w:w="970" w:type="pct"/>
            <w:tcBorders>
              <w:tl2br w:val="nil"/>
              <w:tr2bl w:val="nil"/>
            </w:tcBorders>
            <w:noWrap w:val="0"/>
            <w:vAlign w:val="center"/>
          </w:tcPr>
          <w:p w14:paraId="4E2B295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29</w:t>
            </w:r>
          </w:p>
        </w:tc>
        <w:tc>
          <w:tcPr>
            <w:tcW w:w="1494" w:type="pct"/>
            <w:tcBorders>
              <w:tl2br w:val="nil"/>
              <w:tr2bl w:val="nil"/>
            </w:tcBorders>
            <w:noWrap w:val="0"/>
            <w:vAlign w:val="center"/>
          </w:tcPr>
          <w:p w14:paraId="285B092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0.0068</w:t>
            </w:r>
          </w:p>
        </w:tc>
      </w:tr>
      <w:tr w14:paraId="3F9996B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16" w:type="pct"/>
            <w:vMerge w:val="continue"/>
            <w:tcBorders>
              <w:tl2br w:val="nil"/>
              <w:tr2bl w:val="nil"/>
            </w:tcBorders>
            <w:noWrap w:val="0"/>
            <w:vAlign w:val="center"/>
          </w:tcPr>
          <w:p w14:paraId="3A41BDD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lang w:val="en-US" w:eastAsia="zh-CN"/>
              </w:rPr>
            </w:pPr>
          </w:p>
        </w:tc>
        <w:tc>
          <w:tcPr>
            <w:tcW w:w="1518" w:type="pct"/>
            <w:tcBorders>
              <w:tl2br w:val="nil"/>
              <w:tr2bl w:val="nil"/>
            </w:tcBorders>
            <w:noWrap w:val="0"/>
            <w:vAlign w:val="center"/>
          </w:tcPr>
          <w:p w14:paraId="09EFE85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合计</w:t>
            </w:r>
          </w:p>
        </w:tc>
        <w:tc>
          <w:tcPr>
            <w:tcW w:w="970" w:type="pct"/>
            <w:tcBorders>
              <w:tl2br w:val="nil"/>
              <w:tr2bl w:val="nil"/>
            </w:tcBorders>
            <w:noWrap w:val="0"/>
            <w:vAlign w:val="center"/>
          </w:tcPr>
          <w:p w14:paraId="702383B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352</w:t>
            </w:r>
          </w:p>
        </w:tc>
        <w:tc>
          <w:tcPr>
            <w:tcW w:w="1494" w:type="pct"/>
            <w:tcBorders>
              <w:tl2br w:val="nil"/>
              <w:tr2bl w:val="nil"/>
            </w:tcBorders>
            <w:noWrap w:val="0"/>
            <w:vAlign w:val="center"/>
          </w:tcPr>
          <w:p w14:paraId="673434D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w:t>
            </w:r>
          </w:p>
        </w:tc>
      </w:tr>
    </w:tbl>
    <w:p w14:paraId="79700AED">
      <w:pPr>
        <w:bidi w:val="0"/>
        <w:rPr>
          <w:rFonts w:hint="eastAsia"/>
          <w:highlight w:val="none"/>
          <w:lang w:val="en-US" w:eastAsia="zh-CN"/>
        </w:rPr>
      </w:pPr>
      <w:r>
        <w:rPr>
          <w:rFonts w:hint="eastAsia"/>
          <w:highlight w:val="none"/>
          <w:lang w:val="en-US" w:eastAsia="zh-CN"/>
        </w:rPr>
        <w:t>经核算，本项目评价范围内樟木林群落生物多样性Simpson优势度指数D为：0.82；毛竹林林群落生物多样性Simpson优势度指数D为：0.80。综上可知，本项目生态评价范围内无明显优势度物种，物种分布较均匀。</w:t>
      </w:r>
    </w:p>
    <w:p w14:paraId="6C2B5179">
      <w:pPr>
        <w:pStyle w:val="11"/>
        <w:numPr>
          <w:ilvl w:val="4"/>
          <w:numId w:val="1"/>
        </w:numPr>
        <w:tabs>
          <w:tab w:val="clear" w:pos="828"/>
        </w:tabs>
        <w:bidi w:val="0"/>
        <w:ind w:left="991" w:leftChars="0" w:hanging="991" w:firstLineChars="0"/>
        <w:rPr>
          <w:rFonts w:hint="eastAsia"/>
          <w:lang w:val="en-US" w:eastAsia="zh-CN"/>
        </w:rPr>
      </w:pPr>
      <w:r>
        <w:rPr>
          <w:rFonts w:hint="eastAsia"/>
          <w:lang w:val="en-US" w:eastAsia="zh-CN"/>
        </w:rPr>
        <w:t>生物群落</w:t>
      </w:r>
      <w:bookmarkEnd w:id="52"/>
    </w:p>
    <w:p w14:paraId="2AFC3B0B">
      <w:pPr>
        <w:bidi w:val="0"/>
        <w:rPr>
          <w:rFonts w:hint="eastAsia"/>
          <w:highlight w:val="none"/>
          <w:lang w:val="en-US" w:eastAsia="zh-CN"/>
        </w:rPr>
      </w:pPr>
      <w:r>
        <w:rPr>
          <w:rFonts w:hint="eastAsia"/>
          <w:highlight w:val="none"/>
          <w:lang w:val="en-US" w:eastAsia="zh-CN"/>
        </w:rPr>
        <w:t>生物群落是在特定空间或特定生境下，具有一定的生物种类组成及其与环境之间彼此影响、相互作用，具有一定的外貌结构，包括形态结构与营养结构，并具有特定功能的生物集合体。也可以说，一个生态系统中具有生命的部分即生物群落。一个群落中的植物个体，分别处于不同高度和密度，从而决定了群落的外部形态，通常植物生长类型决定群落的分类单位的特征。</w:t>
      </w:r>
    </w:p>
    <w:p w14:paraId="028FAD28">
      <w:pPr>
        <w:bidi w:val="0"/>
        <w:rPr>
          <w:rFonts w:hint="eastAsia"/>
          <w:highlight w:val="none"/>
          <w:lang w:val="en-US" w:eastAsia="zh-CN"/>
        </w:rPr>
      </w:pPr>
      <w:r>
        <w:rPr>
          <w:rFonts w:hint="eastAsia"/>
          <w:highlight w:val="none"/>
          <w:lang w:val="en-US" w:eastAsia="zh-CN"/>
        </w:rPr>
        <w:t>1、自然生物群落</w:t>
      </w:r>
    </w:p>
    <w:p w14:paraId="232681FA">
      <w:pPr>
        <w:bidi w:val="0"/>
        <w:rPr>
          <w:rFonts w:hint="eastAsia"/>
          <w:highlight w:val="none"/>
          <w:lang w:val="en-US" w:eastAsia="zh-CN"/>
        </w:rPr>
      </w:pPr>
      <w:r>
        <w:rPr>
          <w:rFonts w:hint="eastAsia"/>
          <w:highlight w:val="none"/>
          <w:lang w:val="en-US" w:eastAsia="zh-CN"/>
        </w:rPr>
        <w:t>评价区内的自然生物群落包括森林生物群落、灌丛/灌草丛生物群落。</w:t>
      </w:r>
    </w:p>
    <w:p w14:paraId="72520D5A">
      <w:pPr>
        <w:bidi w:val="0"/>
        <w:rPr>
          <w:rFonts w:hint="eastAsia"/>
          <w:highlight w:val="none"/>
          <w:lang w:val="en-US" w:eastAsia="zh-CN"/>
        </w:rPr>
      </w:pPr>
      <w:bookmarkStart w:id="53" w:name="_Toc461957331"/>
      <w:bookmarkStart w:id="54" w:name="_Toc464734893"/>
      <w:bookmarkStart w:id="55" w:name="_Toc17698"/>
      <w:bookmarkStart w:id="56" w:name="_Toc458936433"/>
      <w:bookmarkStart w:id="57" w:name="_Toc85103247"/>
      <w:r>
        <w:rPr>
          <w:rFonts w:hint="eastAsia"/>
          <w:highlight w:val="none"/>
          <w:lang w:val="en-US" w:eastAsia="zh-CN"/>
        </w:rPr>
        <w:t>（1）森林生物群落</w:t>
      </w:r>
      <w:bookmarkEnd w:id="53"/>
      <w:bookmarkEnd w:id="54"/>
      <w:bookmarkEnd w:id="55"/>
      <w:bookmarkEnd w:id="56"/>
      <w:bookmarkEnd w:id="57"/>
    </w:p>
    <w:p w14:paraId="0DC32748">
      <w:pPr>
        <w:bidi w:val="0"/>
        <w:rPr>
          <w:rFonts w:hint="eastAsia"/>
          <w:highlight w:val="none"/>
          <w:lang w:val="en-US" w:eastAsia="zh-CN"/>
        </w:rPr>
      </w:pPr>
      <w:r>
        <w:rPr>
          <w:rFonts w:hint="eastAsia"/>
          <w:highlight w:val="none"/>
          <w:lang w:val="en-US" w:eastAsia="zh-CN"/>
        </w:rPr>
        <w:t>①群落类型组成</w:t>
      </w:r>
    </w:p>
    <w:p w14:paraId="1B8E6E16">
      <w:pPr>
        <w:bidi w:val="0"/>
        <w:rPr>
          <w:rFonts w:hint="eastAsia"/>
          <w:highlight w:val="none"/>
          <w:lang w:val="en-US" w:eastAsia="zh-CN"/>
        </w:rPr>
      </w:pPr>
      <w:r>
        <w:rPr>
          <w:rFonts w:hint="eastAsia"/>
          <w:highlight w:val="none"/>
          <w:lang w:val="en-US" w:eastAsia="zh-CN"/>
        </w:rPr>
        <w:t>根据现场考察评价区森林生物群落主要为杉木林、马尾松林和毛竹林等。各群落中主要植物组成见表4.3-11。</w:t>
      </w:r>
    </w:p>
    <w:p w14:paraId="6ABDD526">
      <w:pPr>
        <w:bidi w:val="0"/>
        <w:rPr>
          <w:rFonts w:hint="eastAsia"/>
          <w:highlight w:val="none"/>
          <w:lang w:val="en-US" w:eastAsia="zh-CN"/>
        </w:rPr>
      </w:pPr>
      <w:r>
        <w:rPr>
          <w:rFonts w:hint="eastAsia"/>
          <w:highlight w:val="none"/>
          <w:lang w:val="en-US" w:eastAsia="zh-CN"/>
        </w:rPr>
        <w:t>森林群落受到的人为干扰较小，生活于森林群落中的动物主要为安全距离较近的动物。其中鸟类居多，如家燕（</w:t>
      </w:r>
      <w:r>
        <w:rPr>
          <w:rFonts w:hint="eastAsia"/>
          <w:i/>
          <w:iCs/>
          <w:highlight w:val="none"/>
          <w:lang w:val="en-US" w:eastAsia="zh-CN"/>
        </w:rPr>
        <w:t>Hirundo rustica</w:t>
      </w:r>
      <w:r>
        <w:rPr>
          <w:rFonts w:hint="eastAsia"/>
          <w:highlight w:val="none"/>
          <w:lang w:val="en-US" w:eastAsia="zh-CN"/>
        </w:rPr>
        <w:t>）、麻雀（</w:t>
      </w:r>
      <w:r>
        <w:rPr>
          <w:rFonts w:hint="eastAsia"/>
          <w:i/>
          <w:iCs/>
          <w:highlight w:val="none"/>
          <w:lang w:val="en-US" w:eastAsia="zh-CN"/>
        </w:rPr>
        <w:t>‌Passer montanus</w:t>
      </w:r>
      <w:r>
        <w:rPr>
          <w:rFonts w:hint="eastAsia"/>
          <w:highlight w:val="none"/>
          <w:lang w:val="en-US" w:eastAsia="zh-CN"/>
        </w:rPr>
        <w:t>‌）等种群数量较多。根据样线调查，调查范围内未发现家燕等集中分布区及栖息地。</w:t>
      </w:r>
    </w:p>
    <w:p w14:paraId="530396D0">
      <w:pPr>
        <w:bidi w:val="0"/>
        <w:spacing w:line="360" w:lineRule="auto"/>
        <w:ind w:left="0" w:leftChars="0" w:firstLine="0" w:firstLineChars="0"/>
        <w:jc w:val="center"/>
        <w:rPr>
          <w:rFonts w:hint="eastAsia"/>
          <w:b/>
          <w:bCs/>
          <w:sz w:val="21"/>
          <w:szCs w:val="21"/>
          <w:highlight w:val="none"/>
          <w:lang w:val="en-US" w:eastAsia="zh-CN"/>
        </w:rPr>
      </w:pPr>
      <w:r>
        <w:rPr>
          <w:rFonts w:hint="eastAsia"/>
          <w:b/>
          <w:bCs/>
          <w:sz w:val="21"/>
          <w:szCs w:val="21"/>
          <w:highlight w:val="none"/>
          <w:lang w:val="en-US" w:eastAsia="zh-CN"/>
        </w:rPr>
        <w:t>表4.3-11  森林生物群落中主要植物组成</w:t>
      </w:r>
    </w:p>
    <w:tbl>
      <w:tblPr>
        <w:tblStyle w:val="35"/>
        <w:tblW w:w="4999"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2405"/>
        <w:gridCol w:w="6881"/>
      </w:tblGrid>
      <w:tr w14:paraId="6D6ED9D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blHeader/>
          <w:jc w:val="center"/>
        </w:trPr>
        <w:tc>
          <w:tcPr>
            <w:tcW w:w="1295" w:type="pct"/>
            <w:tcBorders>
              <w:tl2br w:val="nil"/>
              <w:tr2bl w:val="nil"/>
            </w:tcBorders>
            <w:noWrap w:val="0"/>
            <w:vAlign w:val="center"/>
          </w:tcPr>
          <w:p w14:paraId="236E102B">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b/>
                <w:bCs/>
                <w:sz w:val="21"/>
                <w:szCs w:val="21"/>
                <w:highlight w:val="none"/>
                <w:lang w:val="en-US" w:eastAsia="zh-CN"/>
              </w:rPr>
            </w:pPr>
            <w:r>
              <w:rPr>
                <w:rFonts w:hint="eastAsia"/>
                <w:b/>
                <w:bCs/>
                <w:sz w:val="21"/>
                <w:szCs w:val="21"/>
                <w:highlight w:val="none"/>
                <w:lang w:val="en-US" w:eastAsia="zh-CN"/>
              </w:rPr>
              <w:t>群系名</w:t>
            </w:r>
          </w:p>
        </w:tc>
        <w:tc>
          <w:tcPr>
            <w:tcW w:w="3704" w:type="pct"/>
            <w:tcBorders>
              <w:tl2br w:val="nil"/>
              <w:tr2bl w:val="nil"/>
            </w:tcBorders>
            <w:noWrap w:val="0"/>
            <w:vAlign w:val="center"/>
          </w:tcPr>
          <w:p w14:paraId="2A08F354">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b/>
                <w:bCs/>
                <w:sz w:val="21"/>
                <w:szCs w:val="21"/>
                <w:highlight w:val="none"/>
                <w:lang w:val="en-US" w:eastAsia="zh-CN"/>
              </w:rPr>
            </w:pPr>
            <w:r>
              <w:rPr>
                <w:rFonts w:hint="eastAsia"/>
                <w:b/>
                <w:bCs/>
                <w:sz w:val="21"/>
                <w:szCs w:val="21"/>
                <w:highlight w:val="none"/>
                <w:lang w:val="en-US" w:eastAsia="zh-CN"/>
              </w:rPr>
              <w:t>乔木层常见种</w:t>
            </w:r>
          </w:p>
        </w:tc>
      </w:tr>
      <w:tr w14:paraId="65E3105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95" w:type="pct"/>
            <w:tcBorders>
              <w:tl2br w:val="nil"/>
              <w:tr2bl w:val="nil"/>
            </w:tcBorders>
            <w:noWrap w:val="0"/>
            <w:vAlign w:val="center"/>
          </w:tcPr>
          <w:p w14:paraId="5536994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樟木林</w:t>
            </w:r>
          </w:p>
        </w:tc>
        <w:tc>
          <w:tcPr>
            <w:tcW w:w="3704" w:type="pct"/>
            <w:tcBorders>
              <w:tl2br w:val="nil"/>
              <w:tr2bl w:val="nil"/>
            </w:tcBorders>
            <w:noWrap w:val="0"/>
            <w:vAlign w:val="center"/>
          </w:tcPr>
          <w:p w14:paraId="0A1E6FA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樟木（</w:t>
            </w:r>
            <w:r>
              <w:rPr>
                <w:rFonts w:hint="eastAsia"/>
                <w:i/>
                <w:iCs/>
                <w:sz w:val="21"/>
                <w:szCs w:val="21"/>
                <w:highlight w:val="none"/>
                <w:lang w:val="en-US" w:eastAsia="zh-CN"/>
              </w:rPr>
              <w:t>Camphora officinarum Neesex Wall</w:t>
            </w:r>
            <w:r>
              <w:rPr>
                <w:rFonts w:hint="eastAsia"/>
                <w:sz w:val="21"/>
                <w:szCs w:val="21"/>
                <w:highlight w:val="none"/>
                <w:lang w:val="en-US" w:eastAsia="zh-CN"/>
              </w:rPr>
              <w:t>）</w:t>
            </w:r>
          </w:p>
        </w:tc>
      </w:tr>
      <w:tr w14:paraId="753C93E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95" w:type="pct"/>
            <w:tcBorders>
              <w:tl2br w:val="nil"/>
              <w:tr2bl w:val="nil"/>
            </w:tcBorders>
            <w:noWrap w:val="0"/>
            <w:vAlign w:val="center"/>
          </w:tcPr>
          <w:p w14:paraId="5C4087F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马尾松林</w:t>
            </w:r>
          </w:p>
        </w:tc>
        <w:tc>
          <w:tcPr>
            <w:tcW w:w="3704" w:type="pct"/>
            <w:tcBorders>
              <w:tl2br w:val="nil"/>
              <w:tr2bl w:val="nil"/>
            </w:tcBorders>
            <w:noWrap w:val="0"/>
            <w:vAlign w:val="center"/>
          </w:tcPr>
          <w:p w14:paraId="2A1CB2E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马尾松（</w:t>
            </w:r>
            <w:r>
              <w:rPr>
                <w:rFonts w:hint="eastAsia"/>
                <w:i/>
                <w:iCs/>
                <w:sz w:val="21"/>
                <w:szCs w:val="21"/>
                <w:highlight w:val="none"/>
                <w:lang w:val="en-US" w:eastAsia="zh-CN"/>
              </w:rPr>
              <w:t>Pinusmassoniana</w:t>
            </w:r>
            <w:r>
              <w:rPr>
                <w:rFonts w:hint="eastAsia"/>
                <w:sz w:val="21"/>
                <w:szCs w:val="21"/>
                <w:highlight w:val="none"/>
                <w:lang w:val="en-US" w:eastAsia="zh-CN"/>
              </w:rPr>
              <w:t>）</w:t>
            </w:r>
          </w:p>
        </w:tc>
      </w:tr>
      <w:tr w14:paraId="62EB39D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95" w:type="pct"/>
            <w:tcBorders>
              <w:tl2br w:val="nil"/>
              <w:tr2bl w:val="nil"/>
            </w:tcBorders>
            <w:noWrap w:val="0"/>
            <w:vAlign w:val="center"/>
          </w:tcPr>
          <w:p w14:paraId="51ABD21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毛竹林</w:t>
            </w:r>
          </w:p>
        </w:tc>
        <w:tc>
          <w:tcPr>
            <w:tcW w:w="3704" w:type="pct"/>
            <w:tcBorders>
              <w:tl2br w:val="nil"/>
              <w:tr2bl w:val="nil"/>
            </w:tcBorders>
            <w:noWrap w:val="0"/>
            <w:vAlign w:val="center"/>
          </w:tcPr>
          <w:p w14:paraId="528CCF1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毛竹（</w:t>
            </w:r>
            <w:r>
              <w:rPr>
                <w:rFonts w:hint="eastAsia"/>
                <w:i/>
                <w:iCs/>
                <w:sz w:val="21"/>
                <w:szCs w:val="21"/>
                <w:highlight w:val="none"/>
                <w:lang w:val="en-US" w:eastAsia="zh-CN"/>
              </w:rPr>
              <w:t>Phyllostachysedulis</w:t>
            </w:r>
            <w:r>
              <w:rPr>
                <w:rFonts w:hint="eastAsia"/>
                <w:sz w:val="21"/>
                <w:szCs w:val="21"/>
                <w:highlight w:val="none"/>
                <w:lang w:val="en-US" w:eastAsia="zh-CN"/>
              </w:rPr>
              <w:t>）</w:t>
            </w:r>
          </w:p>
        </w:tc>
      </w:tr>
    </w:tbl>
    <w:p w14:paraId="510EF9A9">
      <w:pPr>
        <w:bidi w:val="0"/>
        <w:rPr>
          <w:rFonts w:hint="eastAsia"/>
          <w:highlight w:val="none"/>
          <w:lang w:val="en-US" w:eastAsia="zh-CN"/>
        </w:rPr>
      </w:pPr>
      <w:r>
        <w:rPr>
          <w:rFonts w:hint="eastAsia"/>
          <w:highlight w:val="none"/>
          <w:lang w:val="en-US" w:eastAsia="zh-CN"/>
        </w:rPr>
        <w:t>②群落结构组成</w:t>
      </w:r>
    </w:p>
    <w:p w14:paraId="17A4057B">
      <w:pPr>
        <w:bidi w:val="0"/>
        <w:rPr>
          <w:rFonts w:hint="eastAsia"/>
          <w:highlight w:val="none"/>
          <w:lang w:val="en-US" w:eastAsia="zh-CN"/>
        </w:rPr>
      </w:pPr>
      <w:r>
        <w:rPr>
          <w:rFonts w:hint="eastAsia"/>
          <w:highlight w:val="none"/>
          <w:lang w:val="en-US" w:eastAsia="zh-CN"/>
        </w:rPr>
        <w:t>群落结构主要表现为分层现象，与光的利用有关，森林群落的林冠层吸收了大部分光辐射。随着光照强度渐减，依次发展为林冠层、下木层、灌木层、草本层和地被层等层次。</w:t>
      </w:r>
    </w:p>
    <w:p w14:paraId="2E9104A5">
      <w:pPr>
        <w:bidi w:val="0"/>
        <w:rPr>
          <w:rFonts w:hint="eastAsia"/>
          <w:highlight w:val="none"/>
          <w:lang w:val="en-US" w:eastAsia="zh-CN"/>
        </w:rPr>
      </w:pPr>
      <w:bookmarkStart w:id="58" w:name="_Toc16651"/>
      <w:bookmarkStart w:id="59" w:name="_Toc464734894"/>
      <w:bookmarkStart w:id="60" w:name="_Toc85103248"/>
      <w:r>
        <w:rPr>
          <w:rFonts w:hint="eastAsia"/>
          <w:highlight w:val="none"/>
          <w:lang w:val="en-US" w:eastAsia="zh-CN"/>
        </w:rPr>
        <w:t>（2）灌丛/灌草丛生物群落</w:t>
      </w:r>
      <w:bookmarkEnd w:id="58"/>
      <w:bookmarkEnd w:id="59"/>
      <w:bookmarkEnd w:id="60"/>
    </w:p>
    <w:p w14:paraId="1C970D38">
      <w:pPr>
        <w:bidi w:val="0"/>
        <w:rPr>
          <w:rFonts w:hint="eastAsia"/>
          <w:highlight w:val="none"/>
          <w:lang w:val="en-US" w:eastAsia="zh-CN"/>
        </w:rPr>
      </w:pPr>
      <w:r>
        <w:rPr>
          <w:rFonts w:hint="eastAsia"/>
          <w:highlight w:val="none"/>
          <w:lang w:val="en-US" w:eastAsia="zh-CN"/>
        </w:rPr>
        <w:t>①群落类型组成</w:t>
      </w:r>
    </w:p>
    <w:p w14:paraId="274F0131">
      <w:pPr>
        <w:bidi w:val="0"/>
        <w:rPr>
          <w:rFonts w:hint="eastAsia"/>
          <w:highlight w:val="none"/>
          <w:lang w:val="en-US" w:eastAsia="zh-CN"/>
        </w:rPr>
      </w:pPr>
      <w:r>
        <w:rPr>
          <w:rFonts w:hint="eastAsia"/>
          <w:highlight w:val="none"/>
          <w:lang w:val="en-US" w:eastAsia="zh-CN"/>
        </w:rPr>
        <w:t>根据现场考察，评价区内灌丛/灌草丛生物群落主要包括灌丛和灌草丛，群落类型主要有牡荆灌丛、檵木灌丛等。各群落中主要植物组成见表4.3-11。</w:t>
      </w:r>
    </w:p>
    <w:p w14:paraId="2100A864">
      <w:pPr>
        <w:bidi w:val="0"/>
        <w:rPr>
          <w:rFonts w:hint="eastAsia"/>
          <w:highlight w:val="yellow"/>
          <w:lang w:val="en-US" w:eastAsia="zh-CN"/>
        </w:rPr>
      </w:pPr>
      <w:r>
        <w:rPr>
          <w:rFonts w:hint="eastAsia"/>
          <w:highlight w:val="none"/>
          <w:lang w:val="en-US" w:eastAsia="zh-CN"/>
        </w:rPr>
        <w:t>此生境内生活的动物群落仍以鸟类为主，大多属于中下层次鸟类。如麻雀（</w:t>
      </w:r>
      <w:r>
        <w:rPr>
          <w:rFonts w:hint="eastAsia"/>
          <w:i/>
          <w:iCs/>
          <w:highlight w:val="none"/>
          <w:lang w:val="en-US" w:eastAsia="zh-CN"/>
        </w:rPr>
        <w:t>‌Passer montanus</w:t>
      </w:r>
      <w:r>
        <w:rPr>
          <w:rFonts w:hint="eastAsia"/>
          <w:highlight w:val="none"/>
          <w:lang w:val="en-US" w:eastAsia="zh-CN"/>
        </w:rPr>
        <w:t>‌）等种群数量较多。另外草丛中分布有少量两栖类和爬行类。</w:t>
      </w:r>
    </w:p>
    <w:p w14:paraId="067D1A4D">
      <w:pPr>
        <w:bidi w:val="0"/>
        <w:ind w:left="0" w:leftChars="0" w:firstLine="0" w:firstLineChars="0"/>
        <w:jc w:val="center"/>
        <w:rPr>
          <w:rFonts w:hint="eastAsia"/>
          <w:b/>
          <w:bCs/>
          <w:sz w:val="21"/>
          <w:szCs w:val="21"/>
          <w:highlight w:val="none"/>
          <w:lang w:val="en-US" w:eastAsia="zh-CN"/>
        </w:rPr>
      </w:pPr>
      <w:r>
        <w:rPr>
          <w:rFonts w:hint="eastAsia"/>
          <w:b/>
          <w:bCs/>
          <w:sz w:val="21"/>
          <w:szCs w:val="21"/>
          <w:highlight w:val="none"/>
          <w:lang w:val="en-US" w:eastAsia="zh-CN"/>
        </w:rPr>
        <w:t>表4.3-12  灌丛和灌草丛生物群落中主要植物组成</w:t>
      </w:r>
    </w:p>
    <w:tbl>
      <w:tblPr>
        <w:tblStyle w:val="35"/>
        <w:tblW w:w="4999"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586"/>
        <w:gridCol w:w="7700"/>
      </w:tblGrid>
      <w:tr w14:paraId="617DAB7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0" w:hRule="atLeast"/>
          <w:tblHeader/>
          <w:jc w:val="center"/>
        </w:trPr>
        <w:tc>
          <w:tcPr>
            <w:tcW w:w="854" w:type="pct"/>
            <w:tcBorders>
              <w:tl2br w:val="nil"/>
              <w:tr2bl w:val="nil"/>
            </w:tcBorders>
            <w:noWrap w:val="0"/>
            <w:vAlign w:val="center"/>
          </w:tcPr>
          <w:p w14:paraId="6C1C9EB7">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b/>
                <w:bCs/>
                <w:sz w:val="21"/>
                <w:szCs w:val="21"/>
                <w:highlight w:val="none"/>
                <w:lang w:val="en-US" w:eastAsia="zh-CN"/>
              </w:rPr>
            </w:pPr>
            <w:r>
              <w:rPr>
                <w:rFonts w:hint="eastAsia"/>
                <w:b/>
                <w:bCs/>
                <w:sz w:val="21"/>
                <w:szCs w:val="21"/>
                <w:highlight w:val="none"/>
                <w:lang w:val="en-US" w:eastAsia="zh-CN"/>
              </w:rPr>
              <w:t>群系名</w:t>
            </w:r>
          </w:p>
        </w:tc>
        <w:tc>
          <w:tcPr>
            <w:tcW w:w="4145" w:type="pct"/>
            <w:tcBorders>
              <w:tl2br w:val="nil"/>
              <w:tr2bl w:val="nil"/>
            </w:tcBorders>
            <w:noWrap w:val="0"/>
            <w:vAlign w:val="center"/>
          </w:tcPr>
          <w:p w14:paraId="38690113">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b/>
                <w:bCs/>
                <w:sz w:val="21"/>
                <w:szCs w:val="21"/>
                <w:highlight w:val="none"/>
                <w:lang w:val="en-US" w:eastAsia="zh-CN"/>
              </w:rPr>
            </w:pPr>
            <w:r>
              <w:rPr>
                <w:rFonts w:hint="eastAsia"/>
                <w:b/>
                <w:bCs/>
                <w:sz w:val="21"/>
                <w:szCs w:val="21"/>
                <w:highlight w:val="none"/>
                <w:lang w:val="en-US" w:eastAsia="zh-CN"/>
              </w:rPr>
              <w:t>灌、草层常见种</w:t>
            </w:r>
          </w:p>
        </w:tc>
      </w:tr>
      <w:tr w14:paraId="7323971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54" w:type="pct"/>
            <w:tcBorders>
              <w:tl2br w:val="nil"/>
              <w:tr2bl w:val="nil"/>
            </w:tcBorders>
            <w:noWrap w:val="0"/>
            <w:vAlign w:val="center"/>
          </w:tcPr>
          <w:p w14:paraId="6D9DE4D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牡荆灌草丛</w:t>
            </w:r>
          </w:p>
        </w:tc>
        <w:tc>
          <w:tcPr>
            <w:tcW w:w="4145" w:type="pct"/>
            <w:tcBorders>
              <w:tl2br w:val="nil"/>
              <w:tr2bl w:val="nil"/>
            </w:tcBorders>
            <w:noWrap w:val="0"/>
            <w:vAlign w:val="center"/>
          </w:tcPr>
          <w:p w14:paraId="52A8A72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牡荆灌草丛（</w:t>
            </w:r>
            <w:r>
              <w:rPr>
                <w:rFonts w:hint="eastAsia"/>
                <w:i/>
                <w:iCs/>
                <w:sz w:val="21"/>
                <w:szCs w:val="21"/>
                <w:highlight w:val="none"/>
                <w:lang w:val="en-US" w:eastAsia="zh-CN"/>
              </w:rPr>
              <w:t>Vitex negundo var. cannabifolia (Sieb.et Zucc.) Hand.-Mazz.</w:t>
            </w:r>
            <w:r>
              <w:rPr>
                <w:rFonts w:hint="eastAsia"/>
                <w:sz w:val="21"/>
                <w:szCs w:val="21"/>
                <w:highlight w:val="none"/>
                <w:lang w:val="en-US" w:eastAsia="zh-CN"/>
              </w:rPr>
              <w:t>）、金荞麦（</w:t>
            </w:r>
            <w:r>
              <w:rPr>
                <w:rFonts w:hint="eastAsia"/>
                <w:i/>
                <w:iCs/>
                <w:sz w:val="21"/>
                <w:szCs w:val="21"/>
                <w:highlight w:val="none"/>
                <w:lang w:val="en-US" w:eastAsia="zh-CN"/>
              </w:rPr>
              <w:t>Fagopyrum dibotrys (D.Don) Hara</w:t>
            </w:r>
            <w:r>
              <w:rPr>
                <w:rFonts w:hint="eastAsia"/>
                <w:sz w:val="21"/>
                <w:szCs w:val="21"/>
                <w:highlight w:val="none"/>
                <w:lang w:val="en-US" w:eastAsia="zh-CN"/>
              </w:rPr>
              <w:t>）、檵木（</w:t>
            </w:r>
            <w:r>
              <w:rPr>
                <w:rFonts w:hint="eastAsia"/>
                <w:i/>
                <w:iCs/>
                <w:sz w:val="21"/>
                <w:szCs w:val="21"/>
                <w:highlight w:val="none"/>
                <w:lang w:val="en-US" w:eastAsia="zh-CN"/>
              </w:rPr>
              <w:t>Form.Loropetalumchinensis</w:t>
            </w:r>
            <w:r>
              <w:rPr>
                <w:rFonts w:hint="eastAsia"/>
                <w:sz w:val="21"/>
                <w:szCs w:val="21"/>
                <w:highlight w:val="none"/>
                <w:lang w:val="en-US" w:eastAsia="zh-CN"/>
              </w:rPr>
              <w:t>）、爵床（</w:t>
            </w:r>
            <w:r>
              <w:rPr>
                <w:rFonts w:hint="eastAsia"/>
                <w:i/>
                <w:iCs/>
                <w:sz w:val="21"/>
                <w:szCs w:val="21"/>
                <w:highlight w:val="none"/>
                <w:lang w:val="en-US" w:eastAsia="zh-CN"/>
              </w:rPr>
              <w:t>Justiciaprocumbens L.</w:t>
            </w:r>
            <w:r>
              <w:rPr>
                <w:rFonts w:hint="eastAsia"/>
                <w:sz w:val="21"/>
                <w:szCs w:val="21"/>
                <w:highlight w:val="none"/>
                <w:lang w:val="en-US" w:eastAsia="zh-CN"/>
              </w:rPr>
              <w:t>）、狗尾巴草（</w:t>
            </w:r>
            <w:r>
              <w:rPr>
                <w:rFonts w:hint="eastAsia"/>
                <w:i/>
                <w:iCs/>
                <w:sz w:val="21"/>
                <w:szCs w:val="21"/>
                <w:highlight w:val="none"/>
                <w:lang w:val="en-US" w:eastAsia="zh-CN"/>
              </w:rPr>
              <w:t>Setariaviridis(L.)Beauv.</w:t>
            </w:r>
            <w:r>
              <w:rPr>
                <w:rFonts w:hint="eastAsia"/>
                <w:sz w:val="21"/>
                <w:szCs w:val="21"/>
                <w:highlight w:val="none"/>
                <w:lang w:val="en-US" w:eastAsia="zh-CN"/>
              </w:rPr>
              <w:t>）、五节芒（</w:t>
            </w:r>
            <w:r>
              <w:rPr>
                <w:rFonts w:hint="eastAsia"/>
                <w:i/>
                <w:iCs/>
                <w:sz w:val="21"/>
                <w:szCs w:val="21"/>
                <w:highlight w:val="none"/>
                <w:lang w:val="en-US" w:eastAsia="zh-CN"/>
              </w:rPr>
              <w:t>Form.Miscanthusfloridulus</w:t>
            </w:r>
            <w:r>
              <w:rPr>
                <w:rFonts w:hint="eastAsia"/>
                <w:sz w:val="21"/>
                <w:szCs w:val="21"/>
                <w:highlight w:val="none"/>
                <w:lang w:val="en-US" w:eastAsia="zh-CN"/>
              </w:rPr>
              <w:t>）等</w:t>
            </w:r>
          </w:p>
        </w:tc>
      </w:tr>
      <w:tr w14:paraId="2C0BD24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54" w:type="pct"/>
            <w:tcBorders>
              <w:tl2br w:val="nil"/>
              <w:tr2bl w:val="nil"/>
            </w:tcBorders>
            <w:noWrap w:val="0"/>
            <w:vAlign w:val="center"/>
          </w:tcPr>
          <w:p w14:paraId="4D26A71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檵木灌丛</w:t>
            </w:r>
          </w:p>
        </w:tc>
        <w:tc>
          <w:tcPr>
            <w:tcW w:w="4145" w:type="pct"/>
            <w:tcBorders>
              <w:tl2br w:val="nil"/>
              <w:tr2bl w:val="nil"/>
            </w:tcBorders>
            <w:noWrap w:val="0"/>
            <w:vAlign w:val="center"/>
          </w:tcPr>
          <w:p w14:paraId="712A3DE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檵木、雾水葛（</w:t>
            </w:r>
            <w:r>
              <w:rPr>
                <w:rFonts w:hint="eastAsia"/>
                <w:i/>
                <w:iCs/>
                <w:sz w:val="21"/>
                <w:szCs w:val="21"/>
                <w:highlight w:val="none"/>
                <w:lang w:val="en-US" w:eastAsia="zh-CN"/>
              </w:rPr>
              <w:t>Pouzolzia zeylanica(L.) Benn.</w:t>
            </w:r>
            <w:r>
              <w:rPr>
                <w:rFonts w:hint="eastAsia"/>
                <w:sz w:val="21"/>
                <w:szCs w:val="21"/>
                <w:highlight w:val="none"/>
                <w:lang w:val="en-US" w:eastAsia="zh-CN"/>
              </w:rPr>
              <w:t>）、苎麻（</w:t>
            </w:r>
            <w:r>
              <w:rPr>
                <w:rFonts w:hint="eastAsia"/>
                <w:i/>
                <w:iCs/>
                <w:sz w:val="21"/>
                <w:szCs w:val="21"/>
                <w:highlight w:val="none"/>
                <w:lang w:val="en-US" w:eastAsia="zh-CN"/>
              </w:rPr>
              <w:t>Boehmerianivea (L.)Gaudich.</w:t>
            </w:r>
            <w:r>
              <w:rPr>
                <w:rFonts w:hint="eastAsia"/>
                <w:sz w:val="21"/>
                <w:szCs w:val="21"/>
                <w:highlight w:val="none"/>
                <w:lang w:val="en-US" w:eastAsia="zh-CN"/>
              </w:rPr>
              <w:t>）、芒（</w:t>
            </w:r>
            <w:r>
              <w:rPr>
                <w:rFonts w:hint="eastAsia"/>
                <w:i/>
                <w:iCs/>
                <w:sz w:val="21"/>
                <w:szCs w:val="21"/>
                <w:highlight w:val="none"/>
                <w:lang w:val="en-US" w:eastAsia="zh-CN"/>
              </w:rPr>
              <w:t>Miscanthussinensis</w:t>
            </w:r>
            <w:r>
              <w:rPr>
                <w:rFonts w:hint="eastAsia"/>
                <w:sz w:val="21"/>
                <w:szCs w:val="21"/>
                <w:highlight w:val="none"/>
                <w:lang w:val="en-US" w:eastAsia="zh-CN"/>
              </w:rPr>
              <w:t>）、蕨（</w:t>
            </w:r>
            <w:r>
              <w:rPr>
                <w:rFonts w:hint="eastAsia"/>
                <w:i/>
                <w:iCs/>
                <w:sz w:val="21"/>
                <w:szCs w:val="21"/>
                <w:highlight w:val="none"/>
                <w:lang w:val="en-US" w:eastAsia="zh-CN"/>
              </w:rPr>
              <w:t>Pteridiumaquilinumvar.latiusculum</w:t>
            </w:r>
            <w:r>
              <w:rPr>
                <w:rFonts w:hint="eastAsia"/>
                <w:sz w:val="21"/>
                <w:szCs w:val="21"/>
                <w:highlight w:val="none"/>
                <w:lang w:val="en-US" w:eastAsia="zh-CN"/>
              </w:rPr>
              <w:t>）、爵床（</w:t>
            </w:r>
            <w:r>
              <w:rPr>
                <w:rFonts w:hint="eastAsia"/>
                <w:i/>
                <w:iCs/>
                <w:sz w:val="21"/>
                <w:szCs w:val="21"/>
                <w:highlight w:val="none"/>
                <w:lang w:val="en-US" w:eastAsia="zh-CN"/>
              </w:rPr>
              <w:t>Justicia procumbens L</w:t>
            </w:r>
            <w:r>
              <w:rPr>
                <w:rFonts w:hint="eastAsia"/>
                <w:sz w:val="21"/>
                <w:szCs w:val="21"/>
                <w:highlight w:val="none"/>
                <w:lang w:val="en-US" w:eastAsia="zh-CN"/>
              </w:rPr>
              <w:t>.）、鸡眼草（</w:t>
            </w:r>
            <w:r>
              <w:rPr>
                <w:rFonts w:hint="eastAsia"/>
                <w:i/>
                <w:iCs/>
                <w:sz w:val="21"/>
                <w:szCs w:val="21"/>
                <w:highlight w:val="none"/>
                <w:lang w:val="en-US" w:eastAsia="zh-CN"/>
              </w:rPr>
              <w:t>Kummerowia striata (Thunb.) Schindl</w:t>
            </w:r>
            <w:r>
              <w:rPr>
                <w:rFonts w:hint="eastAsia"/>
                <w:sz w:val="21"/>
                <w:szCs w:val="21"/>
                <w:highlight w:val="none"/>
                <w:lang w:val="en-US" w:eastAsia="zh-CN"/>
              </w:rPr>
              <w:t>）等</w:t>
            </w:r>
          </w:p>
        </w:tc>
      </w:tr>
    </w:tbl>
    <w:p w14:paraId="074917E8">
      <w:pPr>
        <w:bidi w:val="0"/>
        <w:rPr>
          <w:rFonts w:hint="eastAsia"/>
          <w:highlight w:val="none"/>
          <w:lang w:val="en-US" w:eastAsia="zh-CN"/>
        </w:rPr>
      </w:pPr>
      <w:r>
        <w:rPr>
          <w:rFonts w:hint="eastAsia"/>
          <w:highlight w:val="none"/>
          <w:lang w:val="en-US" w:eastAsia="zh-CN"/>
        </w:rPr>
        <w:t>②群落结构组成</w:t>
      </w:r>
    </w:p>
    <w:p w14:paraId="50A79C5F">
      <w:pPr>
        <w:bidi w:val="0"/>
        <w:rPr>
          <w:rFonts w:hint="eastAsia"/>
          <w:highlight w:val="none"/>
          <w:lang w:val="en-US" w:eastAsia="zh-CN"/>
        </w:rPr>
      </w:pPr>
      <w:r>
        <w:rPr>
          <w:rFonts w:hint="eastAsia"/>
          <w:highlight w:val="none"/>
          <w:lang w:val="en-US" w:eastAsia="zh-CN"/>
        </w:rPr>
        <w:t>灌丛/灌草丛生物群落的垂直结构表现出分层现象，包括灌木层和草本层以及地被层，其中灌丛分层包括灌木层和草本层以及地被层，灌草丛分层包括草本层和地被层。群落的水平结构上表现出镶嵌性。</w:t>
      </w:r>
    </w:p>
    <w:p w14:paraId="630F2820">
      <w:pPr>
        <w:bidi w:val="0"/>
        <w:rPr>
          <w:rFonts w:hint="eastAsia"/>
          <w:highlight w:val="none"/>
          <w:lang w:val="en-US" w:eastAsia="zh-CN"/>
        </w:rPr>
      </w:pPr>
      <w:r>
        <w:rPr>
          <w:rFonts w:hint="eastAsia"/>
          <w:highlight w:val="none"/>
          <w:lang w:val="en-US" w:eastAsia="zh-CN"/>
        </w:rPr>
        <w:t>2、人工生物群落</w:t>
      </w:r>
    </w:p>
    <w:p w14:paraId="1ACD5B0A">
      <w:pPr>
        <w:bidi w:val="0"/>
        <w:rPr>
          <w:rFonts w:hint="eastAsia"/>
          <w:highlight w:val="none"/>
          <w:lang w:val="en-US" w:eastAsia="zh-CN"/>
        </w:rPr>
      </w:pPr>
      <w:r>
        <w:rPr>
          <w:rFonts w:hint="eastAsia"/>
          <w:highlight w:val="none"/>
          <w:lang w:val="en-US" w:eastAsia="zh-CN"/>
        </w:rPr>
        <w:t>评价区内的人工生物群落主要为农田生物群落。</w:t>
      </w:r>
    </w:p>
    <w:p w14:paraId="09D2E703">
      <w:pPr>
        <w:bidi w:val="0"/>
        <w:rPr>
          <w:rFonts w:hint="eastAsia"/>
          <w:highlight w:val="none"/>
          <w:lang w:val="en-US" w:eastAsia="zh-CN"/>
        </w:rPr>
      </w:pPr>
      <w:r>
        <w:rPr>
          <w:rFonts w:hint="eastAsia"/>
          <w:highlight w:val="none"/>
          <w:lang w:val="en-US" w:eastAsia="zh-CN"/>
        </w:rPr>
        <w:t>（1）群落类型组成</w:t>
      </w:r>
    </w:p>
    <w:p w14:paraId="2516B4F7">
      <w:pPr>
        <w:bidi w:val="0"/>
        <w:rPr>
          <w:rFonts w:hint="eastAsia"/>
          <w:highlight w:val="none"/>
          <w:lang w:val="en-US" w:eastAsia="zh-CN"/>
        </w:rPr>
      </w:pPr>
      <w:r>
        <w:rPr>
          <w:rFonts w:hint="eastAsia"/>
          <w:highlight w:val="none"/>
          <w:lang w:val="en-US" w:eastAsia="zh-CN"/>
        </w:rPr>
        <w:t>根据现场调查显示，农田生物群落植物组成主要为人工栽培的植被组成，主要为水稻等农作物及马铃薯、番薯、各种蔬菜瓜果等。从植物种类组成上，植物种类较为单一，另外还有一些常见杂草类。</w:t>
      </w:r>
    </w:p>
    <w:p w14:paraId="4D35E7B1">
      <w:pPr>
        <w:bidi w:val="0"/>
        <w:rPr>
          <w:rFonts w:hint="eastAsia"/>
          <w:highlight w:val="none"/>
          <w:lang w:val="en-US" w:eastAsia="zh-CN"/>
        </w:rPr>
      </w:pPr>
      <w:r>
        <w:rPr>
          <w:rFonts w:hint="eastAsia"/>
          <w:highlight w:val="none"/>
          <w:lang w:val="en-US" w:eastAsia="zh-CN"/>
        </w:rPr>
        <w:t>动物群落组成相对较为单一，优势种为八哥、麻雀、喜鹊、山麻雀等。其他动物除两栖爬行类外，还有啮齿类等小型兽类如褐家鼠、巢鼠等分布。</w:t>
      </w:r>
    </w:p>
    <w:p w14:paraId="033AB7DF">
      <w:pPr>
        <w:bidi w:val="0"/>
        <w:rPr>
          <w:rFonts w:hint="eastAsia"/>
          <w:highlight w:val="none"/>
          <w:lang w:val="en-US" w:eastAsia="zh-CN"/>
        </w:rPr>
      </w:pPr>
      <w:r>
        <w:rPr>
          <w:rFonts w:hint="eastAsia"/>
          <w:highlight w:val="none"/>
          <w:lang w:val="en-US" w:eastAsia="zh-CN"/>
        </w:rPr>
        <w:t>（2）群落结构组成</w:t>
      </w:r>
    </w:p>
    <w:p w14:paraId="0FEBA4CB">
      <w:pPr>
        <w:bidi w:val="0"/>
        <w:rPr>
          <w:rFonts w:hint="eastAsia"/>
          <w:highlight w:val="none"/>
          <w:lang w:val="en-US" w:eastAsia="zh-CN"/>
        </w:rPr>
      </w:pPr>
      <w:r>
        <w:rPr>
          <w:rFonts w:hint="eastAsia"/>
          <w:highlight w:val="none"/>
          <w:lang w:val="en-US" w:eastAsia="zh-CN"/>
        </w:rPr>
        <w:t>由于农田植被为人工栽培植被，受人为干扰较大，种类组成单一，相应的群落结构也较为简单。从群落结构上来看，形成以栽培植物为绝对优势的层片，因其占绝对优势，同时受人为干扰的影响，其他植物种类生长受较大影响，因此群落结构简单。</w:t>
      </w:r>
    </w:p>
    <w:p w14:paraId="30F3D003">
      <w:pPr>
        <w:bidi w:val="0"/>
        <w:rPr>
          <w:rFonts w:hint="eastAsia"/>
          <w:highlight w:val="none"/>
          <w:lang w:val="en-US" w:eastAsia="zh-CN"/>
        </w:rPr>
      </w:pPr>
      <w:r>
        <w:rPr>
          <w:rFonts w:hint="eastAsia"/>
          <w:highlight w:val="none"/>
          <w:lang w:val="en-US" w:eastAsia="zh-CN"/>
        </w:rPr>
        <w:t>农田植被中动物群落结构也较稳定。两栖类主要分布有陆栖型的沼水蛙（</w:t>
      </w:r>
      <w:r>
        <w:rPr>
          <w:rFonts w:hint="eastAsia"/>
          <w:i/>
          <w:iCs/>
          <w:highlight w:val="none"/>
          <w:lang w:val="en-US" w:eastAsia="zh-CN"/>
        </w:rPr>
        <w:t>Hylaranaguentheri</w:t>
      </w:r>
      <w:r>
        <w:rPr>
          <w:rFonts w:hint="eastAsia"/>
          <w:highlight w:val="none"/>
          <w:lang w:val="en-US" w:eastAsia="zh-CN"/>
        </w:rPr>
        <w:t>）、小弧斑姬蛙（</w:t>
      </w:r>
      <w:r>
        <w:rPr>
          <w:rFonts w:hint="eastAsia"/>
          <w:i/>
          <w:iCs/>
          <w:highlight w:val="none"/>
          <w:lang w:val="en-US" w:eastAsia="zh-CN"/>
        </w:rPr>
        <w:t>Microhylaheymonsi</w:t>
      </w:r>
      <w:r>
        <w:rPr>
          <w:rFonts w:hint="eastAsia"/>
          <w:highlight w:val="none"/>
          <w:lang w:val="en-US" w:eastAsia="zh-CN"/>
        </w:rPr>
        <w:t>）、泽陆蛙（</w:t>
      </w:r>
      <w:r>
        <w:rPr>
          <w:rFonts w:hint="eastAsia"/>
          <w:i/>
          <w:iCs/>
          <w:highlight w:val="none"/>
          <w:lang w:val="en-US" w:eastAsia="zh-CN"/>
        </w:rPr>
        <w:t>Ranalimnocharis</w:t>
      </w:r>
      <w:r>
        <w:rPr>
          <w:rFonts w:hint="eastAsia"/>
          <w:highlight w:val="none"/>
          <w:lang w:val="en-US" w:eastAsia="zh-CN"/>
        </w:rPr>
        <w:t>）、中国雨蛙（</w:t>
      </w:r>
      <w:r>
        <w:rPr>
          <w:rFonts w:hint="eastAsia"/>
          <w:i/>
          <w:iCs/>
          <w:highlight w:val="none"/>
          <w:lang w:val="en-US" w:eastAsia="zh-CN"/>
        </w:rPr>
        <w:t>Hylachinensis</w:t>
      </w:r>
      <w:r>
        <w:rPr>
          <w:rFonts w:hint="eastAsia"/>
          <w:highlight w:val="none"/>
          <w:lang w:val="en-US" w:eastAsia="zh-CN"/>
        </w:rPr>
        <w:t>）等为主；爬行类主要分布有鳞目壁虎科、蜥蜴科为主，均为广布种；鸟类主要是一些鸣禽以及秋冬季节部分处于中上层的林鸟将觅食范围扩大到农田中；兽类主要是小型啮齿动物，如白腹鼠（</w:t>
      </w:r>
      <w:r>
        <w:rPr>
          <w:rFonts w:hint="eastAsia"/>
          <w:i/>
          <w:iCs/>
          <w:highlight w:val="none"/>
          <w:lang w:val="en-US" w:eastAsia="zh-CN"/>
        </w:rPr>
        <w:t>Leopoldamys edwardsi</w:t>
      </w:r>
      <w:r>
        <w:rPr>
          <w:rFonts w:hint="eastAsia"/>
          <w:highlight w:val="none"/>
          <w:lang w:val="en-US" w:eastAsia="zh-CN"/>
        </w:rPr>
        <w:t>）。</w:t>
      </w:r>
    </w:p>
    <w:p w14:paraId="578B9A75">
      <w:pPr>
        <w:bidi w:val="0"/>
        <w:rPr>
          <w:rFonts w:hint="eastAsia"/>
          <w:highlight w:val="none"/>
          <w:lang w:val="en-US" w:eastAsia="zh-CN"/>
        </w:rPr>
      </w:pPr>
      <w:r>
        <w:rPr>
          <w:rFonts w:hint="eastAsia"/>
          <w:highlight w:val="none"/>
          <w:lang w:val="en-US" w:eastAsia="zh-CN"/>
        </w:rPr>
        <w:t>3、生态系统</w:t>
      </w:r>
    </w:p>
    <w:p w14:paraId="365F60CE">
      <w:pPr>
        <w:bidi w:val="0"/>
        <w:rPr>
          <w:rFonts w:hint="eastAsia"/>
          <w:highlight w:val="none"/>
          <w:lang w:val="en-US" w:eastAsia="zh-CN"/>
        </w:rPr>
      </w:pPr>
      <w:r>
        <w:rPr>
          <w:rFonts w:hint="eastAsia"/>
          <w:highlight w:val="none"/>
          <w:lang w:val="en-US" w:eastAsia="zh-CN"/>
        </w:rPr>
        <w:t>工程占地范围生态系统类型划分可分为农业生态系统、森林生态系统等，工程占地范围内生态系统类型现状见表4.3-13；评价区生态系统类型划可分为自然生态系统和人工生态系统2大类、3个种类，分别为：森林生态系统、灌丛生态系统（包括灌草丛生态系统）、农业生态系统。工程评价区内生态系统类型现在见表4.3-14。</w:t>
      </w:r>
    </w:p>
    <w:p w14:paraId="0305F9E7">
      <w:pPr>
        <w:bidi w:val="0"/>
        <w:ind w:left="0" w:leftChars="0" w:firstLine="0" w:firstLineChars="0"/>
        <w:jc w:val="center"/>
        <w:rPr>
          <w:rFonts w:hint="eastAsia"/>
          <w:b/>
          <w:bCs/>
          <w:color w:val="000000" w:themeColor="text1"/>
          <w:sz w:val="21"/>
          <w:szCs w:val="21"/>
          <w:highlight w:val="none"/>
          <w:lang w:val="en-US" w:eastAsia="zh-CN"/>
          <w14:textFill>
            <w14:solidFill>
              <w14:schemeClr w14:val="tx1"/>
            </w14:solidFill>
          </w14:textFill>
        </w:rPr>
      </w:pPr>
      <w:r>
        <w:rPr>
          <w:rFonts w:hint="eastAsia"/>
          <w:b/>
          <w:bCs/>
          <w:color w:val="000000" w:themeColor="text1"/>
          <w:sz w:val="21"/>
          <w:szCs w:val="21"/>
          <w:highlight w:val="none"/>
          <w:lang w:val="en-US" w:eastAsia="zh-CN"/>
          <w14:textFill>
            <w14:solidFill>
              <w14:schemeClr w14:val="tx1"/>
            </w14:solidFill>
          </w14:textFill>
        </w:rPr>
        <w:t>表4.3-13  工程占地范围生态系统类型现状一览表</w:t>
      </w:r>
    </w:p>
    <w:tbl>
      <w:tblPr>
        <w:tblStyle w:val="35"/>
        <w:tblW w:w="5000" w:type="pct"/>
        <w:jc w:val="center"/>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Layout w:type="autofit"/>
        <w:tblCellMar>
          <w:top w:w="0" w:type="dxa"/>
          <w:left w:w="108" w:type="dxa"/>
          <w:bottom w:w="0" w:type="dxa"/>
          <w:right w:w="108" w:type="dxa"/>
        </w:tblCellMar>
      </w:tblPr>
      <w:tblGrid>
        <w:gridCol w:w="1293"/>
        <w:gridCol w:w="3679"/>
        <w:gridCol w:w="2131"/>
        <w:gridCol w:w="2185"/>
      </w:tblGrid>
      <w:tr w14:paraId="1DA3EBAD">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0" w:hRule="atLeast"/>
          <w:tblHeader/>
          <w:jc w:val="center"/>
        </w:trPr>
        <w:tc>
          <w:tcPr>
            <w:tcW w:w="696" w:type="pct"/>
            <w:tcBorders>
              <w:tl2br w:val="nil"/>
              <w:tr2bl w:val="nil"/>
            </w:tcBorders>
            <w:noWrap w:val="0"/>
            <w:vAlign w:val="center"/>
          </w:tcPr>
          <w:p w14:paraId="09077DDB">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b/>
                <w:bCs/>
                <w:color w:val="000000" w:themeColor="text1"/>
                <w:sz w:val="21"/>
                <w:szCs w:val="21"/>
                <w:highlight w:val="none"/>
                <w:lang w:val="en-US" w:eastAsia="zh-CN"/>
                <w14:textFill>
                  <w14:solidFill>
                    <w14:schemeClr w14:val="tx1"/>
                  </w14:solidFill>
                </w14:textFill>
              </w:rPr>
            </w:pPr>
            <w:r>
              <w:rPr>
                <w:rFonts w:hint="eastAsia"/>
                <w:b/>
                <w:bCs/>
                <w:color w:val="000000" w:themeColor="text1"/>
                <w:sz w:val="21"/>
                <w:szCs w:val="21"/>
                <w:highlight w:val="none"/>
                <w:lang w:val="en-US" w:eastAsia="zh-CN"/>
                <w14:textFill>
                  <w14:solidFill>
                    <w14:schemeClr w14:val="tx1"/>
                  </w14:solidFill>
                </w14:textFill>
              </w:rPr>
              <w:t>序号</w:t>
            </w:r>
          </w:p>
        </w:tc>
        <w:tc>
          <w:tcPr>
            <w:tcW w:w="1980" w:type="pct"/>
            <w:tcBorders>
              <w:tl2br w:val="nil"/>
              <w:tr2bl w:val="nil"/>
            </w:tcBorders>
            <w:noWrap w:val="0"/>
            <w:vAlign w:val="center"/>
          </w:tcPr>
          <w:p w14:paraId="189E0F12">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b/>
                <w:bCs/>
                <w:color w:val="000000" w:themeColor="text1"/>
                <w:sz w:val="21"/>
                <w:szCs w:val="21"/>
                <w:highlight w:val="none"/>
                <w:lang w:val="en-US" w:eastAsia="zh-CN"/>
                <w14:textFill>
                  <w14:solidFill>
                    <w14:schemeClr w14:val="tx1"/>
                  </w14:solidFill>
                </w14:textFill>
              </w:rPr>
            </w:pPr>
            <w:r>
              <w:rPr>
                <w:rFonts w:hint="eastAsia"/>
                <w:b/>
                <w:bCs/>
                <w:color w:val="000000" w:themeColor="text1"/>
                <w:sz w:val="21"/>
                <w:szCs w:val="21"/>
                <w:highlight w:val="none"/>
                <w:lang w:val="en-US" w:eastAsia="zh-CN"/>
                <w14:textFill>
                  <w14:solidFill>
                    <w14:schemeClr w14:val="tx1"/>
                  </w14:solidFill>
                </w14:textFill>
              </w:rPr>
              <w:t>生态系统类型</w:t>
            </w:r>
          </w:p>
        </w:tc>
        <w:tc>
          <w:tcPr>
            <w:tcW w:w="1147" w:type="pct"/>
            <w:tcBorders>
              <w:tl2br w:val="nil"/>
              <w:tr2bl w:val="nil"/>
            </w:tcBorders>
            <w:noWrap w:val="0"/>
            <w:vAlign w:val="center"/>
          </w:tcPr>
          <w:p w14:paraId="5C32A458">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b/>
                <w:bCs/>
                <w:color w:val="000000" w:themeColor="text1"/>
                <w:sz w:val="21"/>
                <w:szCs w:val="21"/>
                <w:highlight w:val="none"/>
                <w:lang w:val="en-US" w:eastAsia="zh-CN"/>
                <w14:textFill>
                  <w14:solidFill>
                    <w14:schemeClr w14:val="tx1"/>
                  </w14:solidFill>
                </w14:textFill>
              </w:rPr>
            </w:pPr>
            <w:r>
              <w:rPr>
                <w:rFonts w:hint="eastAsia"/>
                <w:b/>
                <w:bCs/>
                <w:color w:val="000000" w:themeColor="text1"/>
                <w:sz w:val="21"/>
                <w:szCs w:val="21"/>
                <w:highlight w:val="none"/>
                <w:lang w:val="en-US" w:eastAsia="zh-CN"/>
                <w14:textFill>
                  <w14:solidFill>
                    <w14:schemeClr w14:val="tx1"/>
                  </w14:solidFill>
                </w14:textFill>
              </w:rPr>
              <w:t>面积（m</w:t>
            </w:r>
            <w:r>
              <w:rPr>
                <w:rFonts w:hint="eastAsia"/>
                <w:b/>
                <w:bCs/>
                <w:color w:val="000000" w:themeColor="text1"/>
                <w:sz w:val="21"/>
                <w:szCs w:val="21"/>
                <w:highlight w:val="none"/>
                <w:vertAlign w:val="superscript"/>
                <w:lang w:val="en-US" w:eastAsia="zh-CN"/>
                <w14:textFill>
                  <w14:solidFill>
                    <w14:schemeClr w14:val="tx1"/>
                  </w14:solidFill>
                </w14:textFill>
              </w:rPr>
              <w:t>2</w:t>
            </w:r>
            <w:r>
              <w:rPr>
                <w:rFonts w:hint="eastAsia"/>
                <w:b/>
                <w:bCs/>
                <w:color w:val="000000" w:themeColor="text1"/>
                <w:sz w:val="21"/>
                <w:szCs w:val="21"/>
                <w:highlight w:val="none"/>
                <w:lang w:val="en-US" w:eastAsia="zh-CN"/>
                <w14:textFill>
                  <w14:solidFill>
                    <w14:schemeClr w14:val="tx1"/>
                  </w14:solidFill>
                </w14:textFill>
              </w:rPr>
              <w:t>）</w:t>
            </w:r>
          </w:p>
        </w:tc>
        <w:tc>
          <w:tcPr>
            <w:tcW w:w="1176" w:type="pct"/>
            <w:tcBorders>
              <w:tl2br w:val="nil"/>
              <w:tr2bl w:val="nil"/>
            </w:tcBorders>
            <w:noWrap w:val="0"/>
            <w:vAlign w:val="center"/>
          </w:tcPr>
          <w:p w14:paraId="79BEB716">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b/>
                <w:bCs/>
                <w:color w:val="000000" w:themeColor="text1"/>
                <w:sz w:val="21"/>
                <w:szCs w:val="21"/>
                <w:highlight w:val="none"/>
                <w:lang w:val="en-US" w:eastAsia="zh-CN"/>
                <w14:textFill>
                  <w14:solidFill>
                    <w14:schemeClr w14:val="tx1"/>
                  </w14:solidFill>
                </w14:textFill>
              </w:rPr>
            </w:pPr>
            <w:r>
              <w:rPr>
                <w:rFonts w:hint="eastAsia"/>
                <w:b/>
                <w:bCs/>
                <w:color w:val="000000" w:themeColor="text1"/>
                <w:sz w:val="21"/>
                <w:szCs w:val="21"/>
                <w:highlight w:val="none"/>
                <w:lang w:val="en-US" w:eastAsia="zh-CN"/>
                <w14:textFill>
                  <w14:solidFill>
                    <w14:schemeClr w14:val="tx1"/>
                  </w14:solidFill>
                </w14:textFill>
              </w:rPr>
              <w:t>百分比/%</w:t>
            </w:r>
          </w:p>
        </w:tc>
      </w:tr>
      <w:tr w14:paraId="5F0337EB">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696" w:type="pct"/>
            <w:tcBorders>
              <w:tl2br w:val="nil"/>
              <w:tr2bl w:val="nil"/>
            </w:tcBorders>
            <w:noWrap w:val="0"/>
            <w:vAlign w:val="center"/>
          </w:tcPr>
          <w:p w14:paraId="2E982D7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1</w:t>
            </w:r>
          </w:p>
        </w:tc>
        <w:tc>
          <w:tcPr>
            <w:tcW w:w="1980" w:type="pct"/>
            <w:tcBorders>
              <w:tl2br w:val="nil"/>
              <w:tr2bl w:val="nil"/>
            </w:tcBorders>
            <w:noWrap w:val="0"/>
            <w:vAlign w:val="center"/>
          </w:tcPr>
          <w:p w14:paraId="69237D2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森林生态系统</w:t>
            </w:r>
          </w:p>
        </w:tc>
        <w:tc>
          <w:tcPr>
            <w:tcW w:w="1147" w:type="pct"/>
            <w:tcBorders>
              <w:tl2br w:val="nil"/>
              <w:tr2bl w:val="nil"/>
            </w:tcBorders>
            <w:noWrap w:val="0"/>
            <w:vAlign w:val="center"/>
          </w:tcPr>
          <w:p w14:paraId="584D154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21378</w:t>
            </w:r>
          </w:p>
        </w:tc>
        <w:tc>
          <w:tcPr>
            <w:tcW w:w="2185" w:type="dxa"/>
            <w:tcBorders>
              <w:tl2br w:val="nil"/>
              <w:tr2bl w:val="nil"/>
            </w:tcBorders>
            <w:noWrap w:val="0"/>
            <w:vAlign w:val="center"/>
          </w:tcPr>
          <w:p w14:paraId="24FBB28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82.82</w:t>
            </w:r>
          </w:p>
        </w:tc>
      </w:tr>
      <w:tr w14:paraId="661E1BAA">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696" w:type="pct"/>
            <w:tcBorders>
              <w:tl2br w:val="nil"/>
              <w:tr2bl w:val="nil"/>
            </w:tcBorders>
            <w:noWrap w:val="0"/>
            <w:vAlign w:val="center"/>
          </w:tcPr>
          <w:p w14:paraId="68A5D93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2</w:t>
            </w:r>
          </w:p>
        </w:tc>
        <w:tc>
          <w:tcPr>
            <w:tcW w:w="1980" w:type="pct"/>
            <w:tcBorders>
              <w:tl2br w:val="nil"/>
              <w:tr2bl w:val="nil"/>
            </w:tcBorders>
            <w:noWrap w:val="0"/>
            <w:vAlign w:val="center"/>
          </w:tcPr>
          <w:p w14:paraId="025CD0D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农业生态系统</w:t>
            </w:r>
          </w:p>
        </w:tc>
        <w:tc>
          <w:tcPr>
            <w:tcW w:w="1147" w:type="pct"/>
            <w:tcBorders>
              <w:tl2br w:val="nil"/>
              <w:tr2bl w:val="nil"/>
            </w:tcBorders>
            <w:noWrap w:val="0"/>
            <w:vAlign w:val="center"/>
          </w:tcPr>
          <w:p w14:paraId="35417A1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3072</w:t>
            </w:r>
          </w:p>
        </w:tc>
        <w:tc>
          <w:tcPr>
            <w:tcW w:w="2185" w:type="dxa"/>
            <w:tcBorders>
              <w:tl2br w:val="nil"/>
              <w:tr2bl w:val="nil"/>
            </w:tcBorders>
            <w:noWrap w:val="0"/>
            <w:vAlign w:val="center"/>
          </w:tcPr>
          <w:p w14:paraId="576F2AC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11.90</w:t>
            </w:r>
          </w:p>
        </w:tc>
      </w:tr>
      <w:tr w14:paraId="5AB7082F">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696" w:type="pct"/>
            <w:tcBorders>
              <w:tl2br w:val="nil"/>
              <w:tr2bl w:val="nil"/>
            </w:tcBorders>
            <w:noWrap w:val="0"/>
            <w:vAlign w:val="center"/>
          </w:tcPr>
          <w:p w14:paraId="364299F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3</w:t>
            </w:r>
          </w:p>
        </w:tc>
        <w:tc>
          <w:tcPr>
            <w:tcW w:w="1980" w:type="pct"/>
            <w:tcBorders>
              <w:tl2br w:val="nil"/>
              <w:tr2bl w:val="nil"/>
            </w:tcBorders>
            <w:shd w:val="clear" w:color="auto" w:fill="auto"/>
            <w:noWrap w:val="0"/>
            <w:vAlign w:val="center"/>
          </w:tcPr>
          <w:p w14:paraId="60D092E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道路</w:t>
            </w:r>
          </w:p>
        </w:tc>
        <w:tc>
          <w:tcPr>
            <w:tcW w:w="1147" w:type="pct"/>
            <w:tcBorders>
              <w:tl2br w:val="nil"/>
              <w:tr2bl w:val="nil"/>
            </w:tcBorders>
            <w:noWrap w:val="0"/>
            <w:vAlign w:val="center"/>
          </w:tcPr>
          <w:p w14:paraId="487891D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44</w:t>
            </w:r>
          </w:p>
        </w:tc>
        <w:tc>
          <w:tcPr>
            <w:tcW w:w="2185" w:type="dxa"/>
            <w:tcBorders>
              <w:tl2br w:val="nil"/>
              <w:tr2bl w:val="nil"/>
            </w:tcBorders>
            <w:noWrap w:val="0"/>
            <w:vAlign w:val="center"/>
          </w:tcPr>
          <w:p w14:paraId="71449CB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0.17</w:t>
            </w:r>
          </w:p>
        </w:tc>
      </w:tr>
      <w:tr w14:paraId="3BEAE8E9">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696" w:type="pct"/>
            <w:tcBorders>
              <w:tl2br w:val="nil"/>
              <w:tr2bl w:val="nil"/>
            </w:tcBorders>
            <w:noWrap w:val="0"/>
            <w:vAlign w:val="center"/>
          </w:tcPr>
          <w:p w14:paraId="737B47A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4</w:t>
            </w:r>
          </w:p>
        </w:tc>
        <w:tc>
          <w:tcPr>
            <w:tcW w:w="1980" w:type="pct"/>
            <w:tcBorders>
              <w:tl2br w:val="nil"/>
              <w:tr2bl w:val="nil"/>
            </w:tcBorders>
            <w:shd w:val="clear" w:color="auto" w:fill="auto"/>
            <w:noWrap w:val="0"/>
            <w:vAlign w:val="center"/>
          </w:tcPr>
          <w:p w14:paraId="3782FB4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水域</w:t>
            </w:r>
          </w:p>
        </w:tc>
        <w:tc>
          <w:tcPr>
            <w:tcW w:w="1147" w:type="pct"/>
            <w:tcBorders>
              <w:tl2br w:val="nil"/>
              <w:tr2bl w:val="nil"/>
            </w:tcBorders>
            <w:noWrap w:val="0"/>
            <w:vAlign w:val="center"/>
          </w:tcPr>
          <w:p w14:paraId="7D2B2C6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185</w:t>
            </w:r>
          </w:p>
        </w:tc>
        <w:tc>
          <w:tcPr>
            <w:tcW w:w="2185" w:type="dxa"/>
            <w:tcBorders>
              <w:tl2br w:val="nil"/>
              <w:tr2bl w:val="nil"/>
            </w:tcBorders>
            <w:noWrap w:val="0"/>
            <w:vAlign w:val="center"/>
          </w:tcPr>
          <w:p w14:paraId="4DE711D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0.72</w:t>
            </w:r>
          </w:p>
        </w:tc>
      </w:tr>
      <w:tr w14:paraId="6B4338D0">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696" w:type="pct"/>
            <w:tcBorders>
              <w:tl2br w:val="nil"/>
              <w:tr2bl w:val="nil"/>
            </w:tcBorders>
            <w:noWrap w:val="0"/>
            <w:vAlign w:val="center"/>
          </w:tcPr>
          <w:p w14:paraId="7CEF7D8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5</w:t>
            </w:r>
          </w:p>
        </w:tc>
        <w:tc>
          <w:tcPr>
            <w:tcW w:w="1980" w:type="pct"/>
            <w:tcBorders>
              <w:tl2br w:val="nil"/>
              <w:tr2bl w:val="nil"/>
            </w:tcBorders>
            <w:noWrap w:val="0"/>
            <w:vAlign w:val="center"/>
          </w:tcPr>
          <w:p w14:paraId="7D2CCF0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其他</w:t>
            </w:r>
          </w:p>
        </w:tc>
        <w:tc>
          <w:tcPr>
            <w:tcW w:w="1147" w:type="pct"/>
            <w:tcBorders>
              <w:tl2br w:val="nil"/>
              <w:tr2bl w:val="nil"/>
            </w:tcBorders>
            <w:noWrap w:val="0"/>
            <w:vAlign w:val="center"/>
          </w:tcPr>
          <w:p w14:paraId="59C9FEF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1135</w:t>
            </w:r>
          </w:p>
        </w:tc>
        <w:tc>
          <w:tcPr>
            <w:tcW w:w="2185" w:type="dxa"/>
            <w:tcBorders>
              <w:tl2br w:val="nil"/>
              <w:tr2bl w:val="nil"/>
            </w:tcBorders>
            <w:noWrap w:val="0"/>
            <w:vAlign w:val="center"/>
          </w:tcPr>
          <w:p w14:paraId="292C944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4.40</w:t>
            </w:r>
          </w:p>
        </w:tc>
      </w:tr>
      <w:tr w14:paraId="37464595">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2676" w:type="pct"/>
            <w:gridSpan w:val="2"/>
            <w:tcBorders>
              <w:tl2br w:val="nil"/>
              <w:tr2bl w:val="nil"/>
            </w:tcBorders>
            <w:noWrap w:val="0"/>
            <w:vAlign w:val="center"/>
          </w:tcPr>
          <w:p w14:paraId="51F084EF">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b/>
                <w:bCs/>
                <w:color w:val="000000" w:themeColor="text1"/>
                <w:sz w:val="21"/>
                <w:szCs w:val="21"/>
                <w:highlight w:val="none"/>
                <w:lang w:val="en-US" w:eastAsia="zh-CN"/>
                <w14:textFill>
                  <w14:solidFill>
                    <w14:schemeClr w14:val="tx1"/>
                  </w14:solidFill>
                </w14:textFill>
              </w:rPr>
            </w:pPr>
            <w:r>
              <w:rPr>
                <w:rFonts w:hint="eastAsia"/>
                <w:b/>
                <w:bCs/>
                <w:color w:val="000000" w:themeColor="text1"/>
                <w:sz w:val="21"/>
                <w:szCs w:val="21"/>
                <w:highlight w:val="none"/>
                <w:lang w:val="en-US" w:eastAsia="zh-CN"/>
                <w14:textFill>
                  <w14:solidFill>
                    <w14:schemeClr w14:val="tx1"/>
                  </w14:solidFill>
                </w14:textFill>
              </w:rPr>
              <w:t>合计</w:t>
            </w:r>
          </w:p>
        </w:tc>
        <w:tc>
          <w:tcPr>
            <w:tcW w:w="1147" w:type="pct"/>
            <w:tcBorders>
              <w:tl2br w:val="nil"/>
              <w:tr2bl w:val="nil"/>
            </w:tcBorders>
            <w:noWrap w:val="0"/>
            <w:vAlign w:val="center"/>
          </w:tcPr>
          <w:p w14:paraId="2862BEF0">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b/>
                <w:bCs/>
                <w:color w:val="000000" w:themeColor="text1"/>
                <w:sz w:val="21"/>
                <w:szCs w:val="21"/>
                <w:highlight w:val="none"/>
                <w:lang w:val="en-US" w:eastAsia="zh-CN"/>
                <w14:textFill>
                  <w14:solidFill>
                    <w14:schemeClr w14:val="tx1"/>
                  </w14:solidFill>
                </w14:textFill>
              </w:rPr>
            </w:pPr>
            <w:r>
              <w:rPr>
                <w:rFonts w:hint="eastAsia"/>
                <w:b/>
                <w:bCs/>
                <w:color w:val="000000" w:themeColor="text1"/>
                <w:sz w:val="21"/>
                <w:szCs w:val="21"/>
                <w:highlight w:val="none"/>
                <w:lang w:val="en-US" w:eastAsia="zh-CN"/>
                <w14:textFill>
                  <w14:solidFill>
                    <w14:schemeClr w14:val="tx1"/>
                  </w14:solidFill>
                </w14:textFill>
              </w:rPr>
              <w:t>25814</w:t>
            </w:r>
          </w:p>
        </w:tc>
        <w:tc>
          <w:tcPr>
            <w:tcW w:w="2185" w:type="dxa"/>
            <w:tcBorders>
              <w:tl2br w:val="nil"/>
              <w:tr2bl w:val="nil"/>
            </w:tcBorders>
            <w:noWrap w:val="0"/>
            <w:vAlign w:val="center"/>
          </w:tcPr>
          <w:p w14:paraId="5224FE3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b/>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100</w:t>
            </w:r>
          </w:p>
        </w:tc>
      </w:tr>
    </w:tbl>
    <w:p w14:paraId="3E1C7031">
      <w:pPr>
        <w:bidi w:val="0"/>
        <w:ind w:left="0" w:leftChars="0" w:firstLine="0" w:firstLineChars="0"/>
        <w:jc w:val="center"/>
        <w:rPr>
          <w:rFonts w:hint="eastAsia"/>
          <w:b/>
          <w:bCs/>
          <w:sz w:val="21"/>
          <w:szCs w:val="21"/>
          <w:highlight w:val="none"/>
          <w:lang w:val="en-US" w:eastAsia="zh-CN"/>
        </w:rPr>
      </w:pPr>
      <w:r>
        <w:rPr>
          <w:rFonts w:hint="eastAsia"/>
          <w:b/>
          <w:bCs/>
          <w:sz w:val="21"/>
          <w:szCs w:val="21"/>
          <w:highlight w:val="none"/>
          <w:lang w:val="en-US" w:eastAsia="zh-CN"/>
        </w:rPr>
        <w:t>表4.3-14  评价区生态系统类型现状一览表</w:t>
      </w:r>
    </w:p>
    <w:tbl>
      <w:tblPr>
        <w:tblStyle w:val="35"/>
        <w:tblW w:w="5000" w:type="pct"/>
        <w:jc w:val="center"/>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Layout w:type="autofit"/>
        <w:tblCellMar>
          <w:top w:w="0" w:type="dxa"/>
          <w:left w:w="108" w:type="dxa"/>
          <w:bottom w:w="0" w:type="dxa"/>
          <w:right w:w="108" w:type="dxa"/>
        </w:tblCellMar>
      </w:tblPr>
      <w:tblGrid>
        <w:gridCol w:w="1293"/>
        <w:gridCol w:w="3679"/>
        <w:gridCol w:w="2131"/>
        <w:gridCol w:w="2185"/>
      </w:tblGrid>
      <w:tr w14:paraId="2404C032">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0" w:hRule="atLeast"/>
          <w:tblHeader/>
          <w:jc w:val="center"/>
        </w:trPr>
        <w:tc>
          <w:tcPr>
            <w:tcW w:w="696" w:type="pct"/>
            <w:tcBorders>
              <w:tl2br w:val="nil"/>
              <w:tr2bl w:val="nil"/>
            </w:tcBorders>
            <w:noWrap w:val="0"/>
            <w:vAlign w:val="center"/>
          </w:tcPr>
          <w:p w14:paraId="2FD76E3A">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b/>
                <w:bCs/>
                <w:sz w:val="21"/>
                <w:szCs w:val="21"/>
                <w:highlight w:val="none"/>
                <w:lang w:val="en-US" w:eastAsia="zh-CN"/>
              </w:rPr>
            </w:pPr>
            <w:r>
              <w:rPr>
                <w:rFonts w:hint="eastAsia"/>
                <w:b/>
                <w:bCs/>
                <w:sz w:val="21"/>
                <w:szCs w:val="21"/>
                <w:highlight w:val="none"/>
                <w:lang w:val="en-US" w:eastAsia="zh-CN"/>
              </w:rPr>
              <w:t>序号</w:t>
            </w:r>
          </w:p>
        </w:tc>
        <w:tc>
          <w:tcPr>
            <w:tcW w:w="1979" w:type="pct"/>
            <w:tcBorders>
              <w:tl2br w:val="nil"/>
              <w:tr2bl w:val="nil"/>
            </w:tcBorders>
            <w:noWrap w:val="0"/>
            <w:vAlign w:val="center"/>
          </w:tcPr>
          <w:p w14:paraId="6D2D72FC">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b/>
                <w:bCs/>
                <w:sz w:val="21"/>
                <w:szCs w:val="21"/>
                <w:highlight w:val="none"/>
                <w:lang w:val="en-US" w:eastAsia="zh-CN"/>
              </w:rPr>
            </w:pPr>
            <w:r>
              <w:rPr>
                <w:rFonts w:hint="eastAsia"/>
                <w:b/>
                <w:bCs/>
                <w:sz w:val="21"/>
                <w:szCs w:val="21"/>
                <w:highlight w:val="none"/>
                <w:lang w:val="en-US" w:eastAsia="zh-CN"/>
              </w:rPr>
              <w:t>生态系统类型</w:t>
            </w:r>
          </w:p>
        </w:tc>
        <w:tc>
          <w:tcPr>
            <w:tcW w:w="1147" w:type="pct"/>
            <w:tcBorders>
              <w:tl2br w:val="nil"/>
              <w:tr2bl w:val="nil"/>
            </w:tcBorders>
            <w:noWrap w:val="0"/>
            <w:vAlign w:val="center"/>
          </w:tcPr>
          <w:p w14:paraId="6E6E3DF5">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b/>
                <w:bCs/>
                <w:sz w:val="21"/>
                <w:szCs w:val="21"/>
                <w:highlight w:val="none"/>
                <w:lang w:val="en-US" w:eastAsia="zh-CN"/>
              </w:rPr>
            </w:pPr>
            <w:r>
              <w:rPr>
                <w:rFonts w:hint="eastAsia"/>
                <w:b/>
                <w:bCs/>
                <w:sz w:val="21"/>
                <w:szCs w:val="21"/>
                <w:highlight w:val="none"/>
                <w:lang w:val="en-US" w:eastAsia="zh-CN"/>
              </w:rPr>
              <w:t>面积（万m</w:t>
            </w:r>
            <w:r>
              <w:rPr>
                <w:rFonts w:hint="eastAsia"/>
                <w:b/>
                <w:bCs/>
                <w:sz w:val="21"/>
                <w:szCs w:val="21"/>
                <w:highlight w:val="none"/>
                <w:vertAlign w:val="superscript"/>
                <w:lang w:val="en-US" w:eastAsia="zh-CN"/>
              </w:rPr>
              <w:t>2</w:t>
            </w:r>
            <w:r>
              <w:rPr>
                <w:rFonts w:hint="eastAsia"/>
                <w:b/>
                <w:bCs/>
                <w:sz w:val="21"/>
                <w:szCs w:val="21"/>
                <w:highlight w:val="none"/>
                <w:lang w:val="en-US" w:eastAsia="zh-CN"/>
              </w:rPr>
              <w:t>）</w:t>
            </w:r>
          </w:p>
        </w:tc>
        <w:tc>
          <w:tcPr>
            <w:tcW w:w="1176" w:type="pct"/>
            <w:tcBorders>
              <w:tl2br w:val="nil"/>
              <w:tr2bl w:val="nil"/>
            </w:tcBorders>
            <w:noWrap w:val="0"/>
            <w:vAlign w:val="center"/>
          </w:tcPr>
          <w:p w14:paraId="6589E052">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b/>
                <w:bCs/>
                <w:sz w:val="21"/>
                <w:szCs w:val="21"/>
                <w:highlight w:val="none"/>
                <w:lang w:val="en-US" w:eastAsia="zh-CN"/>
              </w:rPr>
            </w:pPr>
            <w:r>
              <w:rPr>
                <w:rFonts w:hint="eastAsia"/>
                <w:b/>
                <w:bCs/>
                <w:sz w:val="21"/>
                <w:szCs w:val="21"/>
                <w:highlight w:val="none"/>
                <w:lang w:val="en-US" w:eastAsia="zh-CN"/>
              </w:rPr>
              <w:t>百分比/%</w:t>
            </w:r>
          </w:p>
        </w:tc>
      </w:tr>
      <w:tr w14:paraId="2104F029">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696" w:type="pct"/>
            <w:tcBorders>
              <w:tl2br w:val="nil"/>
              <w:tr2bl w:val="nil"/>
            </w:tcBorders>
            <w:noWrap w:val="0"/>
            <w:vAlign w:val="center"/>
          </w:tcPr>
          <w:p w14:paraId="1C5AAD5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1</w:t>
            </w:r>
          </w:p>
        </w:tc>
        <w:tc>
          <w:tcPr>
            <w:tcW w:w="1979" w:type="pct"/>
            <w:tcBorders>
              <w:tl2br w:val="nil"/>
              <w:tr2bl w:val="nil"/>
            </w:tcBorders>
            <w:noWrap w:val="0"/>
            <w:vAlign w:val="center"/>
          </w:tcPr>
          <w:p w14:paraId="4F44B64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森林生态系统</w:t>
            </w:r>
          </w:p>
        </w:tc>
        <w:tc>
          <w:tcPr>
            <w:tcW w:w="1147" w:type="pct"/>
            <w:tcBorders>
              <w:tl2br w:val="nil"/>
              <w:tr2bl w:val="nil"/>
            </w:tcBorders>
            <w:noWrap w:val="0"/>
            <w:vAlign w:val="center"/>
          </w:tcPr>
          <w:p w14:paraId="4D7E448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152.17</w:t>
            </w:r>
          </w:p>
        </w:tc>
        <w:tc>
          <w:tcPr>
            <w:tcW w:w="1176" w:type="pct"/>
            <w:tcBorders>
              <w:tl2br w:val="nil"/>
              <w:tr2bl w:val="nil"/>
            </w:tcBorders>
            <w:noWrap w:val="0"/>
            <w:vAlign w:val="center"/>
          </w:tcPr>
          <w:p w14:paraId="35ED62B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67.61</w:t>
            </w:r>
          </w:p>
        </w:tc>
      </w:tr>
      <w:tr w14:paraId="5FE74CD8">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696" w:type="pct"/>
            <w:tcBorders>
              <w:tl2br w:val="nil"/>
              <w:tr2bl w:val="nil"/>
            </w:tcBorders>
            <w:noWrap w:val="0"/>
            <w:vAlign w:val="center"/>
          </w:tcPr>
          <w:p w14:paraId="765E2E3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2</w:t>
            </w:r>
          </w:p>
        </w:tc>
        <w:tc>
          <w:tcPr>
            <w:tcW w:w="1979" w:type="pct"/>
            <w:tcBorders>
              <w:tl2br w:val="nil"/>
              <w:tr2bl w:val="nil"/>
            </w:tcBorders>
            <w:noWrap w:val="0"/>
            <w:vAlign w:val="center"/>
          </w:tcPr>
          <w:p w14:paraId="2910789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灌丛生态系统</w:t>
            </w:r>
          </w:p>
        </w:tc>
        <w:tc>
          <w:tcPr>
            <w:tcW w:w="1147" w:type="pct"/>
            <w:tcBorders>
              <w:tl2br w:val="nil"/>
              <w:tr2bl w:val="nil"/>
            </w:tcBorders>
            <w:noWrap w:val="0"/>
            <w:vAlign w:val="center"/>
          </w:tcPr>
          <w:p w14:paraId="7126695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28.975</w:t>
            </w:r>
          </w:p>
        </w:tc>
        <w:tc>
          <w:tcPr>
            <w:tcW w:w="1176" w:type="pct"/>
            <w:tcBorders>
              <w:tl2br w:val="nil"/>
              <w:tr2bl w:val="nil"/>
            </w:tcBorders>
            <w:noWrap w:val="0"/>
            <w:vAlign w:val="center"/>
          </w:tcPr>
          <w:p w14:paraId="67CD45F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12.87</w:t>
            </w:r>
          </w:p>
        </w:tc>
      </w:tr>
      <w:tr w14:paraId="683559B8">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696" w:type="pct"/>
            <w:tcBorders>
              <w:tl2br w:val="nil"/>
              <w:tr2bl w:val="nil"/>
            </w:tcBorders>
            <w:noWrap w:val="0"/>
            <w:vAlign w:val="center"/>
          </w:tcPr>
          <w:p w14:paraId="2AB2EC0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3</w:t>
            </w:r>
          </w:p>
        </w:tc>
        <w:tc>
          <w:tcPr>
            <w:tcW w:w="1979" w:type="pct"/>
            <w:tcBorders>
              <w:tl2br w:val="nil"/>
              <w:tr2bl w:val="nil"/>
            </w:tcBorders>
            <w:noWrap w:val="0"/>
            <w:vAlign w:val="center"/>
          </w:tcPr>
          <w:p w14:paraId="2527D69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农业生态系统</w:t>
            </w:r>
          </w:p>
        </w:tc>
        <w:tc>
          <w:tcPr>
            <w:tcW w:w="1147" w:type="pct"/>
            <w:tcBorders>
              <w:tl2br w:val="nil"/>
              <w:tr2bl w:val="nil"/>
            </w:tcBorders>
            <w:noWrap w:val="0"/>
            <w:vAlign w:val="center"/>
          </w:tcPr>
          <w:p w14:paraId="386D55E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18.995</w:t>
            </w:r>
          </w:p>
        </w:tc>
        <w:tc>
          <w:tcPr>
            <w:tcW w:w="1176" w:type="pct"/>
            <w:tcBorders>
              <w:tl2br w:val="nil"/>
              <w:tr2bl w:val="nil"/>
            </w:tcBorders>
            <w:noWrap w:val="0"/>
            <w:vAlign w:val="center"/>
          </w:tcPr>
          <w:p w14:paraId="0D642B7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8.44</w:t>
            </w:r>
          </w:p>
        </w:tc>
      </w:tr>
      <w:tr w14:paraId="3A9B2069">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696" w:type="pct"/>
            <w:tcBorders>
              <w:tl2br w:val="nil"/>
              <w:tr2bl w:val="nil"/>
            </w:tcBorders>
            <w:noWrap w:val="0"/>
            <w:vAlign w:val="center"/>
          </w:tcPr>
          <w:p w14:paraId="1895FCA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4</w:t>
            </w:r>
          </w:p>
        </w:tc>
        <w:tc>
          <w:tcPr>
            <w:tcW w:w="1979" w:type="pct"/>
            <w:tcBorders>
              <w:tl2br w:val="nil"/>
              <w:tr2bl w:val="nil"/>
            </w:tcBorders>
            <w:noWrap w:val="0"/>
            <w:vAlign w:val="center"/>
          </w:tcPr>
          <w:p w14:paraId="1FABD00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住宅</w:t>
            </w:r>
          </w:p>
        </w:tc>
        <w:tc>
          <w:tcPr>
            <w:tcW w:w="1147" w:type="pct"/>
            <w:tcBorders>
              <w:tl2br w:val="nil"/>
              <w:tr2bl w:val="nil"/>
            </w:tcBorders>
            <w:noWrap w:val="0"/>
            <w:vAlign w:val="center"/>
          </w:tcPr>
          <w:p w14:paraId="20EF11F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16.25</w:t>
            </w:r>
          </w:p>
        </w:tc>
        <w:tc>
          <w:tcPr>
            <w:tcW w:w="1176" w:type="pct"/>
            <w:tcBorders>
              <w:tl2br w:val="nil"/>
              <w:tr2bl w:val="nil"/>
            </w:tcBorders>
            <w:noWrap w:val="0"/>
            <w:vAlign w:val="center"/>
          </w:tcPr>
          <w:p w14:paraId="30E4683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7.22</w:t>
            </w:r>
          </w:p>
        </w:tc>
      </w:tr>
      <w:tr w14:paraId="109130A8">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696" w:type="pct"/>
            <w:tcBorders>
              <w:tl2br w:val="nil"/>
              <w:tr2bl w:val="nil"/>
            </w:tcBorders>
            <w:noWrap w:val="0"/>
            <w:vAlign w:val="center"/>
          </w:tcPr>
          <w:p w14:paraId="3661013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5</w:t>
            </w:r>
          </w:p>
        </w:tc>
        <w:tc>
          <w:tcPr>
            <w:tcW w:w="1979" w:type="pct"/>
            <w:tcBorders>
              <w:tl2br w:val="nil"/>
              <w:tr2bl w:val="nil"/>
            </w:tcBorders>
            <w:noWrap w:val="0"/>
            <w:vAlign w:val="center"/>
          </w:tcPr>
          <w:p w14:paraId="28E86A3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道路</w:t>
            </w:r>
          </w:p>
        </w:tc>
        <w:tc>
          <w:tcPr>
            <w:tcW w:w="1147" w:type="pct"/>
            <w:tcBorders>
              <w:tl2br w:val="nil"/>
              <w:tr2bl w:val="nil"/>
            </w:tcBorders>
            <w:noWrap w:val="0"/>
            <w:vAlign w:val="center"/>
          </w:tcPr>
          <w:p w14:paraId="329F75F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8.449</w:t>
            </w:r>
          </w:p>
        </w:tc>
        <w:tc>
          <w:tcPr>
            <w:tcW w:w="1176" w:type="pct"/>
            <w:tcBorders>
              <w:tl2br w:val="nil"/>
              <w:tr2bl w:val="nil"/>
            </w:tcBorders>
            <w:noWrap w:val="0"/>
            <w:vAlign w:val="center"/>
          </w:tcPr>
          <w:p w14:paraId="47135F5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3.75</w:t>
            </w:r>
          </w:p>
        </w:tc>
      </w:tr>
      <w:tr w14:paraId="24D68B1C">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696" w:type="pct"/>
            <w:tcBorders>
              <w:tl2br w:val="nil"/>
              <w:tr2bl w:val="nil"/>
            </w:tcBorders>
            <w:noWrap w:val="0"/>
            <w:vAlign w:val="center"/>
          </w:tcPr>
          <w:p w14:paraId="3AE4D90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6</w:t>
            </w:r>
          </w:p>
        </w:tc>
        <w:tc>
          <w:tcPr>
            <w:tcW w:w="1979" w:type="pct"/>
            <w:tcBorders>
              <w:tl2br w:val="nil"/>
              <w:tr2bl w:val="nil"/>
            </w:tcBorders>
            <w:noWrap w:val="0"/>
            <w:vAlign w:val="center"/>
          </w:tcPr>
          <w:p w14:paraId="5E7C24F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水域</w:t>
            </w:r>
          </w:p>
        </w:tc>
        <w:tc>
          <w:tcPr>
            <w:tcW w:w="1147" w:type="pct"/>
            <w:tcBorders>
              <w:tl2br w:val="nil"/>
              <w:tr2bl w:val="nil"/>
            </w:tcBorders>
            <w:noWrap w:val="0"/>
            <w:vAlign w:val="center"/>
          </w:tcPr>
          <w:p w14:paraId="1279874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0.231</w:t>
            </w:r>
          </w:p>
        </w:tc>
        <w:tc>
          <w:tcPr>
            <w:tcW w:w="1176" w:type="pct"/>
            <w:tcBorders>
              <w:tl2br w:val="nil"/>
              <w:tr2bl w:val="nil"/>
            </w:tcBorders>
            <w:noWrap w:val="0"/>
            <w:vAlign w:val="center"/>
          </w:tcPr>
          <w:p w14:paraId="5FAB723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0.10</w:t>
            </w:r>
          </w:p>
        </w:tc>
      </w:tr>
      <w:tr w14:paraId="4C6EAF66">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2676" w:type="pct"/>
            <w:gridSpan w:val="2"/>
            <w:tcBorders>
              <w:tl2br w:val="nil"/>
              <w:tr2bl w:val="nil"/>
            </w:tcBorders>
            <w:noWrap w:val="0"/>
            <w:vAlign w:val="center"/>
          </w:tcPr>
          <w:p w14:paraId="571BAB8E">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b/>
                <w:bCs/>
                <w:sz w:val="21"/>
                <w:szCs w:val="21"/>
                <w:highlight w:val="none"/>
                <w:lang w:val="en-US" w:eastAsia="zh-CN"/>
              </w:rPr>
            </w:pPr>
            <w:r>
              <w:rPr>
                <w:rFonts w:hint="eastAsia"/>
                <w:b/>
                <w:bCs/>
                <w:sz w:val="21"/>
                <w:szCs w:val="21"/>
                <w:highlight w:val="none"/>
                <w:lang w:val="en-US" w:eastAsia="zh-CN"/>
              </w:rPr>
              <w:t>合计</w:t>
            </w:r>
          </w:p>
        </w:tc>
        <w:tc>
          <w:tcPr>
            <w:tcW w:w="1147" w:type="pct"/>
            <w:tcBorders>
              <w:tl2br w:val="nil"/>
              <w:tr2bl w:val="nil"/>
            </w:tcBorders>
            <w:noWrap w:val="0"/>
            <w:vAlign w:val="center"/>
          </w:tcPr>
          <w:p w14:paraId="1E0CB889">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b/>
                <w:bCs/>
                <w:sz w:val="21"/>
                <w:szCs w:val="21"/>
                <w:highlight w:val="none"/>
                <w:lang w:val="en-US" w:eastAsia="zh-CN"/>
              </w:rPr>
            </w:pPr>
            <w:r>
              <w:rPr>
                <w:rFonts w:hint="eastAsia"/>
                <w:b/>
                <w:bCs/>
                <w:sz w:val="21"/>
                <w:szCs w:val="21"/>
                <w:highlight w:val="none"/>
                <w:lang w:val="en-US" w:eastAsia="zh-CN"/>
              </w:rPr>
              <w:t>225.07</w:t>
            </w:r>
          </w:p>
        </w:tc>
        <w:tc>
          <w:tcPr>
            <w:tcW w:w="1176" w:type="pct"/>
            <w:tcBorders>
              <w:tl2br w:val="nil"/>
              <w:tr2bl w:val="nil"/>
            </w:tcBorders>
            <w:noWrap w:val="0"/>
            <w:vAlign w:val="center"/>
          </w:tcPr>
          <w:p w14:paraId="7E8EBEBB">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b/>
                <w:bCs/>
                <w:sz w:val="21"/>
                <w:szCs w:val="21"/>
                <w:highlight w:val="none"/>
                <w:lang w:val="en-US" w:eastAsia="zh-CN"/>
              </w:rPr>
            </w:pPr>
            <w:r>
              <w:rPr>
                <w:rFonts w:hint="eastAsia"/>
                <w:b/>
                <w:bCs/>
                <w:sz w:val="21"/>
                <w:szCs w:val="21"/>
                <w:highlight w:val="none"/>
                <w:lang w:val="en-US" w:eastAsia="zh-CN"/>
              </w:rPr>
              <w:t>100</w:t>
            </w:r>
          </w:p>
        </w:tc>
      </w:tr>
    </w:tbl>
    <w:p w14:paraId="6E8E5C69">
      <w:pPr>
        <w:bidi w:val="0"/>
        <w:rPr>
          <w:rFonts w:hint="eastAsia"/>
          <w:highlight w:val="none"/>
          <w:lang w:val="en-US" w:eastAsia="zh-CN"/>
        </w:rPr>
      </w:pPr>
      <w:bookmarkStart w:id="61" w:name="_Toc10568252"/>
      <w:bookmarkStart w:id="62" w:name="_Toc12438125"/>
      <w:bookmarkStart w:id="63" w:name="_Toc13239201"/>
      <w:r>
        <w:rPr>
          <w:rFonts w:hint="eastAsia"/>
          <w:highlight w:val="none"/>
          <w:lang w:val="en-US" w:eastAsia="zh-CN"/>
        </w:rPr>
        <w:t>（1）森林生态系统</w:t>
      </w:r>
      <w:bookmarkEnd w:id="61"/>
      <w:bookmarkEnd w:id="62"/>
      <w:bookmarkEnd w:id="63"/>
    </w:p>
    <w:p w14:paraId="7F62E3CE">
      <w:pPr>
        <w:bidi w:val="0"/>
        <w:rPr>
          <w:rFonts w:hint="eastAsia"/>
          <w:highlight w:val="none"/>
          <w:lang w:val="en-US" w:eastAsia="zh-CN"/>
        </w:rPr>
      </w:pPr>
      <w:r>
        <w:rPr>
          <w:rFonts w:hint="eastAsia"/>
          <w:highlight w:val="none"/>
          <w:lang w:val="en-US" w:eastAsia="zh-CN"/>
        </w:rPr>
        <w:t>森林生态系统是森林群落与其环境在功能流的作用下形成一定结构、功能和自我调控的自然综合体，是陆地生态系统中面积最多、最重要的自然生态系统。</w:t>
      </w:r>
    </w:p>
    <w:p w14:paraId="317F5C36">
      <w:pPr>
        <w:bidi w:val="0"/>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工程占地范围以森林生态系统为主，面积为21387m</w:t>
      </w:r>
      <w:r>
        <w:rPr>
          <w:rFonts w:hint="eastAsia"/>
          <w:color w:val="000000" w:themeColor="text1"/>
          <w:highlight w:val="none"/>
          <w:vertAlign w:val="superscript"/>
          <w:lang w:val="en-US" w:eastAsia="zh-CN"/>
          <w14:textFill>
            <w14:solidFill>
              <w14:schemeClr w14:val="tx1"/>
            </w14:solidFill>
          </w14:textFill>
        </w:rPr>
        <w:t>2</w:t>
      </w:r>
      <w:r>
        <w:rPr>
          <w:rFonts w:hint="eastAsia"/>
          <w:color w:val="000000" w:themeColor="text1"/>
          <w:highlight w:val="none"/>
          <w:lang w:val="en-US" w:eastAsia="zh-CN"/>
          <w14:textFill>
            <w14:solidFill>
              <w14:schemeClr w14:val="tx1"/>
            </w14:solidFill>
          </w14:textFill>
        </w:rPr>
        <w:t>，占工程用地面积的82.82%；评价区以森林生态系统为主，面积为152.17万m</w:t>
      </w:r>
      <w:r>
        <w:rPr>
          <w:rFonts w:hint="eastAsia"/>
          <w:color w:val="000000" w:themeColor="text1"/>
          <w:highlight w:val="none"/>
          <w:vertAlign w:val="superscript"/>
          <w:lang w:val="en-US" w:eastAsia="zh-CN"/>
          <w14:textFill>
            <w14:solidFill>
              <w14:schemeClr w14:val="tx1"/>
            </w14:solidFill>
          </w14:textFill>
        </w:rPr>
        <w:t>2</w:t>
      </w:r>
      <w:r>
        <w:rPr>
          <w:rFonts w:hint="eastAsia"/>
          <w:color w:val="000000" w:themeColor="text1"/>
          <w:highlight w:val="none"/>
          <w:lang w:val="en-US" w:eastAsia="zh-CN"/>
          <w14:textFill>
            <w14:solidFill>
              <w14:schemeClr w14:val="tx1"/>
            </w14:solidFill>
          </w14:textFill>
        </w:rPr>
        <w:t>，占评价区总面积的67.61%。森林生态系统是动物良好的觅食地和避难所，也是评价区内野生动物的主要活动场所，如鸟类中的麻雀（</w:t>
      </w:r>
      <w:r>
        <w:rPr>
          <w:rFonts w:hint="eastAsia"/>
          <w:i/>
          <w:iCs/>
          <w:color w:val="000000" w:themeColor="text1"/>
          <w:highlight w:val="none"/>
          <w:lang w:val="en-US" w:eastAsia="zh-CN"/>
          <w14:textFill>
            <w14:solidFill>
              <w14:schemeClr w14:val="tx1"/>
            </w14:solidFill>
          </w14:textFill>
        </w:rPr>
        <w:t>‌Passer montanus</w:t>
      </w:r>
      <w:r>
        <w:rPr>
          <w:rFonts w:hint="eastAsia"/>
          <w:color w:val="000000" w:themeColor="text1"/>
          <w:highlight w:val="none"/>
          <w:lang w:val="en-US" w:eastAsia="zh-CN"/>
          <w14:textFill>
            <w14:solidFill>
              <w14:schemeClr w14:val="tx1"/>
            </w14:solidFill>
          </w14:textFill>
        </w:rPr>
        <w:t>‌）及大多数鸣禽等；兽类中的半地下生活型种类，如白腹鼠（</w:t>
      </w:r>
      <w:r>
        <w:rPr>
          <w:rFonts w:hint="eastAsia"/>
          <w:i/>
          <w:iCs/>
          <w:color w:val="000000" w:themeColor="text1"/>
          <w:highlight w:val="none"/>
          <w:lang w:val="en-US" w:eastAsia="zh-CN"/>
          <w14:textFill>
            <w14:solidFill>
              <w14:schemeClr w14:val="tx1"/>
            </w14:solidFill>
          </w14:textFill>
        </w:rPr>
        <w:t>Leopoldamys edwardsi</w:t>
      </w:r>
      <w:r>
        <w:rPr>
          <w:rFonts w:hint="eastAsia"/>
          <w:color w:val="000000" w:themeColor="text1"/>
          <w:highlight w:val="none"/>
          <w:lang w:val="en-US" w:eastAsia="zh-CN"/>
          <w14:textFill>
            <w14:solidFill>
              <w14:schemeClr w14:val="tx1"/>
            </w14:solidFill>
          </w14:textFill>
        </w:rPr>
        <w:t>）等。</w:t>
      </w:r>
    </w:p>
    <w:p w14:paraId="65997162">
      <w:pPr>
        <w:bidi w:val="0"/>
        <w:rPr>
          <w:rFonts w:hint="eastAsia"/>
          <w:highlight w:val="none"/>
          <w:lang w:val="en-US" w:eastAsia="zh-CN"/>
        </w:rPr>
      </w:pPr>
      <w:bookmarkStart w:id="64" w:name="_Toc12438126"/>
      <w:bookmarkStart w:id="65" w:name="_Toc10568253"/>
      <w:bookmarkStart w:id="66" w:name="_Toc13239202"/>
      <w:r>
        <w:rPr>
          <w:rFonts w:hint="eastAsia"/>
          <w:highlight w:val="none"/>
          <w:lang w:val="en-US" w:eastAsia="zh-CN"/>
        </w:rPr>
        <w:t>（2）灌丛及灌草丛生态系统</w:t>
      </w:r>
      <w:bookmarkEnd w:id="64"/>
      <w:bookmarkEnd w:id="65"/>
      <w:bookmarkEnd w:id="66"/>
    </w:p>
    <w:p w14:paraId="171100B2">
      <w:pPr>
        <w:bidi w:val="0"/>
        <w:rPr>
          <w:rFonts w:hint="eastAsia"/>
          <w:highlight w:val="none"/>
          <w:lang w:val="en-US" w:eastAsia="zh-CN"/>
        </w:rPr>
      </w:pPr>
      <w:r>
        <w:rPr>
          <w:rFonts w:hint="eastAsia"/>
          <w:highlight w:val="none"/>
          <w:lang w:val="en-US" w:eastAsia="zh-CN"/>
        </w:rPr>
        <w:t>灌丛是指以灌木为主的植被或植物群落；</w:t>
      </w:r>
      <w:r>
        <w:rPr>
          <w:rFonts w:hint="eastAsia"/>
          <w:highlight w:val="none"/>
          <w:lang w:val="en-US" w:eastAsia="zh-CN"/>
        </w:rPr>
        <w:fldChar w:fldCharType="begin"/>
      </w:r>
      <w:r>
        <w:rPr>
          <w:rFonts w:hint="eastAsia"/>
          <w:highlight w:val="none"/>
          <w:lang w:val="en-US" w:eastAsia="zh-CN"/>
        </w:rPr>
        <w:instrText xml:space="preserve"> HYPERLINK "http://baike.so.com/doc/879444-929618.html" \t "_blank" </w:instrText>
      </w:r>
      <w:r>
        <w:rPr>
          <w:rFonts w:hint="eastAsia"/>
          <w:highlight w:val="none"/>
          <w:lang w:val="en-US" w:eastAsia="zh-CN"/>
        </w:rPr>
        <w:fldChar w:fldCharType="separate"/>
      </w:r>
      <w:r>
        <w:rPr>
          <w:rFonts w:hint="eastAsia"/>
          <w:highlight w:val="none"/>
          <w:lang w:val="en-US" w:eastAsia="zh-CN"/>
        </w:rPr>
        <w:t>灌草丛</w:t>
      </w:r>
      <w:r>
        <w:rPr>
          <w:rFonts w:hint="eastAsia"/>
          <w:highlight w:val="none"/>
          <w:lang w:val="en-US" w:eastAsia="zh-CN"/>
        </w:rPr>
        <w:fldChar w:fldCharType="end"/>
      </w:r>
      <w:r>
        <w:rPr>
          <w:rFonts w:hint="eastAsia"/>
          <w:highlight w:val="none"/>
          <w:lang w:val="en-US" w:eastAsia="zh-CN"/>
        </w:rPr>
        <w:t>是指以草本植物为主要建群种，但其中散生灌木的植物群落。灌丛/灌草丛生态系统是指以灌木/草本为主的生物与其环境构成的统一整体，广泛分布于中国温带、亚热带及热带地区。除特殊生境下（如海滨）为原生类型外，大部分是森林、灌丛被砍伐，导致水土流失，土壤日趋瘠薄，生境趋于干旱化所形成的次生类型。</w:t>
      </w:r>
    </w:p>
    <w:p w14:paraId="7C7CCB32">
      <w:pPr>
        <w:bidi w:val="0"/>
        <w:rPr>
          <w:rFonts w:hint="eastAsia"/>
          <w:highlight w:val="none"/>
          <w:lang w:val="en-US" w:eastAsia="zh-CN"/>
        </w:rPr>
      </w:pPr>
      <w:r>
        <w:rPr>
          <w:rFonts w:hint="eastAsia"/>
          <w:highlight w:val="none"/>
          <w:lang w:val="en-US" w:eastAsia="zh-CN"/>
        </w:rPr>
        <w:t>评价区内灌丛生态系统面积为28.975万m</w:t>
      </w:r>
      <w:r>
        <w:rPr>
          <w:rFonts w:hint="eastAsia"/>
          <w:highlight w:val="none"/>
          <w:vertAlign w:val="superscript"/>
          <w:lang w:val="en-US" w:eastAsia="zh-CN"/>
        </w:rPr>
        <w:t>2</w:t>
      </w:r>
      <w:r>
        <w:rPr>
          <w:rFonts w:hint="eastAsia"/>
          <w:highlight w:val="none"/>
          <w:lang w:val="en-US" w:eastAsia="zh-CN"/>
        </w:rPr>
        <w:t>，占评价区总面积的12.87%。灌丛生物群落是许多生物的觅食地，如灌丛石隙型爬行类等，鸟类中的陆禽如山斑鸠等；兽类中的半地下生活型种类如白腹鼠（</w:t>
      </w:r>
      <w:r>
        <w:rPr>
          <w:rFonts w:hint="eastAsia"/>
          <w:i/>
          <w:iCs/>
          <w:highlight w:val="none"/>
          <w:lang w:val="en-US" w:eastAsia="zh-CN"/>
        </w:rPr>
        <w:t>Leopoldamys edwardsi</w:t>
      </w:r>
      <w:r>
        <w:rPr>
          <w:rFonts w:hint="eastAsia"/>
          <w:highlight w:val="none"/>
          <w:lang w:val="en-US" w:eastAsia="zh-CN"/>
        </w:rPr>
        <w:t>）等。</w:t>
      </w:r>
    </w:p>
    <w:p w14:paraId="22A472CB">
      <w:pPr>
        <w:bidi w:val="0"/>
        <w:rPr>
          <w:rFonts w:hint="eastAsia"/>
          <w:highlight w:val="none"/>
          <w:lang w:val="en-US" w:eastAsia="zh-CN"/>
        </w:rPr>
      </w:pPr>
      <w:bookmarkStart w:id="67" w:name="_Toc12438127"/>
      <w:bookmarkStart w:id="68" w:name="_Toc13239203"/>
      <w:bookmarkStart w:id="69" w:name="_Toc10568254"/>
      <w:r>
        <w:rPr>
          <w:rFonts w:hint="eastAsia"/>
          <w:highlight w:val="none"/>
          <w:lang w:val="en-US" w:eastAsia="zh-CN"/>
        </w:rPr>
        <w:t>（3）农业生态系统</w:t>
      </w:r>
      <w:bookmarkEnd w:id="67"/>
      <w:bookmarkEnd w:id="68"/>
      <w:bookmarkEnd w:id="69"/>
    </w:p>
    <w:p w14:paraId="35ABA6F1">
      <w:pPr>
        <w:bidi w:val="0"/>
        <w:rPr>
          <w:rFonts w:hint="eastAsia"/>
          <w:highlight w:val="none"/>
          <w:lang w:val="en-US" w:eastAsia="zh-CN"/>
        </w:rPr>
      </w:pPr>
      <w:r>
        <w:rPr>
          <w:rFonts w:hint="eastAsia"/>
          <w:highlight w:val="none"/>
          <w:lang w:val="en-US" w:eastAsia="zh-CN"/>
        </w:rPr>
        <w:t>农业生态系统是指由一定农业地域内相互作用的生物因素和非生物因素构成的功能整体，人类生产活动干预下形成的人工生态系统。建立合理的农业生态系统，对于农业资源的有效利用、农业生产的持续发展以及维护良好的人类生存环境都有重要作用。</w:t>
      </w:r>
    </w:p>
    <w:p w14:paraId="24DA00C7">
      <w:pPr>
        <w:bidi w:val="0"/>
        <w:rPr>
          <w:rFonts w:hint="eastAsia"/>
          <w:highlight w:val="none"/>
          <w:lang w:val="en-US" w:eastAsia="zh-CN"/>
        </w:rPr>
      </w:pPr>
      <w:r>
        <w:rPr>
          <w:rFonts w:hint="eastAsia"/>
          <w:highlight w:val="none"/>
          <w:lang w:val="en-US" w:eastAsia="zh-CN"/>
        </w:rPr>
        <w:t>农业生态系统的主要生态功能体现在农产品及副产品生产，包括为人们提供农产品以及提供生物能源等。此外，农业生态系统也具有养分循环、水分调节、传粉播种、病虫害控制、生物多样性及基因资源等功能。</w:t>
      </w:r>
    </w:p>
    <w:p w14:paraId="4810C174">
      <w:pPr>
        <w:bidi w:val="0"/>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工程占地范围农业生态系统面积为3072m</w:t>
      </w:r>
      <w:r>
        <w:rPr>
          <w:rFonts w:hint="eastAsia"/>
          <w:color w:val="000000" w:themeColor="text1"/>
          <w:highlight w:val="none"/>
          <w:vertAlign w:val="superscript"/>
          <w:lang w:val="en-US" w:eastAsia="zh-CN"/>
          <w14:textFill>
            <w14:solidFill>
              <w14:schemeClr w14:val="tx1"/>
            </w14:solidFill>
          </w14:textFill>
        </w:rPr>
        <w:t>2</w:t>
      </w:r>
      <w:r>
        <w:rPr>
          <w:rFonts w:hint="eastAsia"/>
          <w:color w:val="000000" w:themeColor="text1"/>
          <w:highlight w:val="none"/>
          <w:lang w:val="en-US" w:eastAsia="zh-CN"/>
          <w14:textFill>
            <w14:solidFill>
              <w14:schemeClr w14:val="tx1"/>
            </w14:solidFill>
          </w14:textFill>
        </w:rPr>
        <w:t>，占工程用地面积的11.90%；评价区农业生态系统面积18.995万m</w:t>
      </w:r>
      <w:r>
        <w:rPr>
          <w:rFonts w:hint="eastAsia"/>
          <w:color w:val="000000" w:themeColor="text1"/>
          <w:highlight w:val="none"/>
          <w:vertAlign w:val="superscript"/>
          <w:lang w:val="en-US" w:eastAsia="zh-CN"/>
          <w14:textFill>
            <w14:solidFill>
              <w14:schemeClr w14:val="tx1"/>
            </w14:solidFill>
          </w14:textFill>
        </w:rPr>
        <w:t>2</w:t>
      </w:r>
      <w:r>
        <w:rPr>
          <w:rFonts w:hint="eastAsia"/>
          <w:color w:val="000000" w:themeColor="text1"/>
          <w:highlight w:val="none"/>
          <w:lang w:val="en-US" w:eastAsia="zh-CN"/>
          <w14:textFill>
            <w14:solidFill>
              <w14:schemeClr w14:val="tx1"/>
            </w14:solidFill>
          </w14:textFill>
        </w:rPr>
        <w:t>，占评价区总面积的8.44%，其植被分为粮食作物和经济作物，粮食作物主要是水稻等农作物及马铃薯、番薯、各种蔬菜瓜果等。</w:t>
      </w:r>
    </w:p>
    <w:p w14:paraId="060ACA51">
      <w:pPr>
        <w:bidi w:val="0"/>
        <w:rPr>
          <w:rFonts w:hint="eastAsia"/>
          <w:highlight w:val="none"/>
          <w:lang w:val="en-US" w:eastAsia="zh-CN"/>
        </w:rPr>
      </w:pPr>
      <w:r>
        <w:rPr>
          <w:rFonts w:hint="eastAsia"/>
          <w:highlight w:val="none"/>
          <w:lang w:val="en-US" w:eastAsia="zh-CN"/>
        </w:rPr>
        <w:t>农业生态系统属人工控制的生态系统，与人类伴居的动物多活动于此，如鸟类中的常见鸣禽八哥、喜鹊等，以及兽类中的部分半地下生活型种类，主要为小型啮齿动物，如小家鼠（</w:t>
      </w:r>
      <w:r>
        <w:rPr>
          <w:rFonts w:hint="eastAsia"/>
          <w:i/>
          <w:iCs/>
          <w:highlight w:val="none"/>
          <w:lang w:val="en-US" w:eastAsia="zh-CN"/>
        </w:rPr>
        <w:t>Mus musculus</w:t>
      </w:r>
      <w:r>
        <w:rPr>
          <w:rFonts w:hint="eastAsia"/>
          <w:highlight w:val="none"/>
          <w:lang w:val="en-US" w:eastAsia="zh-CN"/>
        </w:rPr>
        <w:t>）、白腹鼠（</w:t>
      </w:r>
      <w:r>
        <w:rPr>
          <w:rFonts w:hint="eastAsia"/>
          <w:i/>
          <w:iCs/>
          <w:highlight w:val="none"/>
          <w:lang w:val="en-US" w:eastAsia="zh-CN"/>
        </w:rPr>
        <w:t>Leopoldamys edwardsi</w:t>
      </w:r>
      <w:r>
        <w:rPr>
          <w:rFonts w:hint="eastAsia"/>
          <w:highlight w:val="none"/>
          <w:lang w:val="en-US" w:eastAsia="zh-CN"/>
        </w:rPr>
        <w:t>）等。</w:t>
      </w:r>
    </w:p>
    <w:p w14:paraId="135561FA">
      <w:pPr>
        <w:bidi w:val="0"/>
        <w:rPr>
          <w:rFonts w:hint="eastAsia"/>
          <w:highlight w:val="none"/>
          <w:lang w:val="en-US" w:eastAsia="zh-CN"/>
        </w:rPr>
      </w:pPr>
      <w:r>
        <w:rPr>
          <w:rFonts w:hint="eastAsia"/>
          <w:highlight w:val="none"/>
          <w:lang w:val="en-US" w:eastAsia="zh-CN"/>
        </w:rPr>
        <w:t>（4）湿地生态系统</w:t>
      </w:r>
    </w:p>
    <w:p w14:paraId="1C8B769F">
      <w:pPr>
        <w:bidi w:val="0"/>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工程占地范围湿地生态系统面积分布较少，面积约185m</w:t>
      </w:r>
      <w:r>
        <w:rPr>
          <w:rFonts w:hint="eastAsia"/>
          <w:color w:val="000000" w:themeColor="text1"/>
          <w:highlight w:val="none"/>
          <w:vertAlign w:val="superscript"/>
          <w:lang w:val="en-US" w:eastAsia="zh-CN"/>
          <w14:textFill>
            <w14:solidFill>
              <w14:schemeClr w14:val="tx1"/>
            </w14:solidFill>
          </w14:textFill>
        </w:rPr>
        <w:t>2</w:t>
      </w:r>
      <w:r>
        <w:rPr>
          <w:rFonts w:hint="eastAsia"/>
          <w:color w:val="000000" w:themeColor="text1"/>
          <w:highlight w:val="none"/>
          <w:lang w:val="en-US" w:eastAsia="zh-CN"/>
          <w14:textFill>
            <w14:solidFill>
              <w14:schemeClr w14:val="tx1"/>
            </w14:solidFill>
          </w14:textFill>
        </w:rPr>
        <w:t>，占工程用地面积的0.72%；评级区湿地生态系统分布较少，面积约0.231万m</w:t>
      </w:r>
      <w:r>
        <w:rPr>
          <w:rFonts w:hint="eastAsia"/>
          <w:color w:val="000000" w:themeColor="text1"/>
          <w:highlight w:val="none"/>
          <w:vertAlign w:val="superscript"/>
          <w:lang w:val="en-US" w:eastAsia="zh-CN"/>
          <w14:textFill>
            <w14:solidFill>
              <w14:schemeClr w14:val="tx1"/>
            </w14:solidFill>
          </w14:textFill>
        </w:rPr>
        <w:t>2</w:t>
      </w:r>
      <w:r>
        <w:rPr>
          <w:rFonts w:hint="eastAsia"/>
          <w:color w:val="000000" w:themeColor="text1"/>
          <w:highlight w:val="none"/>
          <w:lang w:val="en-US" w:eastAsia="zh-CN"/>
          <w14:textFill>
            <w14:solidFill>
              <w14:schemeClr w14:val="tx1"/>
            </w14:solidFill>
          </w14:textFill>
        </w:rPr>
        <w:t>，占影响评价区总面积的0.10%，主要为河流和坑塘。湿地生态系统的植被类型以沼泽植被和浅水植被为主，沼泽植被主要为草丛沼泽型，如香附子群系（</w:t>
      </w:r>
      <w:r>
        <w:rPr>
          <w:rFonts w:hint="eastAsia"/>
          <w:i/>
          <w:iCs/>
          <w:color w:val="000000" w:themeColor="text1"/>
          <w:highlight w:val="none"/>
          <w:lang w:val="en-US" w:eastAsia="zh-CN"/>
          <w14:textFill>
            <w14:solidFill>
              <w14:schemeClr w14:val="tx1"/>
            </w14:solidFill>
          </w14:textFill>
        </w:rPr>
        <w:t>Form.Cyperusrotundus</w:t>
      </w:r>
      <w:r>
        <w:rPr>
          <w:rFonts w:hint="eastAsia"/>
          <w:color w:val="000000" w:themeColor="text1"/>
          <w:highlight w:val="none"/>
          <w:lang w:val="en-US" w:eastAsia="zh-CN"/>
          <w14:textFill>
            <w14:solidFill>
              <w14:schemeClr w14:val="tx1"/>
            </w14:solidFill>
          </w14:textFill>
        </w:rPr>
        <w:t>）、喜旱莲子草群系（</w:t>
      </w:r>
      <w:r>
        <w:rPr>
          <w:rFonts w:hint="eastAsia"/>
          <w:i/>
          <w:iCs/>
          <w:color w:val="000000" w:themeColor="text1"/>
          <w:highlight w:val="none"/>
          <w:lang w:val="en-US" w:eastAsia="zh-CN"/>
          <w14:textFill>
            <w14:solidFill>
              <w14:schemeClr w14:val="tx1"/>
            </w14:solidFill>
          </w14:textFill>
        </w:rPr>
        <w:t>Form.Alternanthera philoxeroides</w:t>
      </w:r>
      <w:r>
        <w:rPr>
          <w:rFonts w:hint="eastAsia"/>
          <w:color w:val="000000" w:themeColor="text1"/>
          <w:highlight w:val="none"/>
          <w:lang w:val="en-US" w:eastAsia="zh-CN"/>
          <w14:textFill>
            <w14:solidFill>
              <w14:schemeClr w14:val="tx1"/>
            </w14:solidFill>
          </w14:textFill>
        </w:rPr>
        <w:t>）、水蓼群系（</w:t>
      </w:r>
      <w:r>
        <w:rPr>
          <w:rFonts w:hint="eastAsia"/>
          <w:i/>
          <w:iCs/>
          <w:color w:val="000000" w:themeColor="text1"/>
          <w:highlight w:val="none"/>
          <w:lang w:val="en-US" w:eastAsia="zh-CN"/>
          <w14:textFill>
            <w14:solidFill>
              <w14:schemeClr w14:val="tx1"/>
            </w14:solidFill>
          </w14:textFill>
        </w:rPr>
        <w:t>Form.Polygonum hydropiper</w:t>
      </w:r>
      <w:r>
        <w:rPr>
          <w:rFonts w:hint="eastAsia"/>
          <w:color w:val="000000" w:themeColor="text1"/>
          <w:highlight w:val="none"/>
          <w:lang w:val="en-US" w:eastAsia="zh-CN"/>
          <w14:textFill>
            <w14:solidFill>
              <w14:schemeClr w14:val="tx1"/>
            </w14:solidFill>
          </w14:textFill>
        </w:rPr>
        <w:t>）等。</w:t>
      </w:r>
    </w:p>
    <w:p w14:paraId="217E3B34">
      <w:pPr>
        <w:bidi w:val="0"/>
        <w:rPr>
          <w:rFonts w:hint="eastAsia"/>
          <w:highlight w:val="none"/>
          <w:lang w:val="en-US" w:eastAsia="zh-CN"/>
        </w:rPr>
      </w:pPr>
      <w:r>
        <w:rPr>
          <w:rFonts w:hint="eastAsia"/>
          <w:highlight w:val="none"/>
          <w:lang w:val="en-US" w:eastAsia="zh-CN"/>
        </w:rPr>
        <w:t>湿地生态系统也是多种动物的觅食地，如两栖类中的静水型种类，如中国林蛙（</w:t>
      </w:r>
      <w:r>
        <w:rPr>
          <w:rFonts w:hint="eastAsia"/>
          <w:i/>
          <w:iCs/>
          <w:highlight w:val="none"/>
          <w:lang w:val="en-US" w:eastAsia="zh-CN"/>
        </w:rPr>
        <w:t>Ranachensinensis</w:t>
      </w:r>
      <w:r>
        <w:rPr>
          <w:rFonts w:hint="eastAsia"/>
          <w:highlight w:val="none"/>
          <w:lang w:val="en-US" w:eastAsia="zh-CN"/>
        </w:rPr>
        <w:t>）、沼水蛙（</w:t>
      </w:r>
      <w:r>
        <w:rPr>
          <w:rFonts w:hint="eastAsia"/>
          <w:i/>
          <w:iCs/>
          <w:highlight w:val="none"/>
          <w:lang w:val="en-US" w:eastAsia="zh-CN"/>
        </w:rPr>
        <w:t>Hylarana guentheri</w:t>
      </w:r>
      <w:r>
        <w:rPr>
          <w:rFonts w:hint="eastAsia"/>
          <w:highlight w:val="none"/>
          <w:lang w:val="en-US" w:eastAsia="zh-CN"/>
        </w:rPr>
        <w:t>）等。评价区湿地生态系统的主要生态功能为农田灌溉。</w:t>
      </w:r>
    </w:p>
    <w:p w14:paraId="7ABA026A">
      <w:pPr>
        <w:bidi w:val="0"/>
        <w:rPr>
          <w:rFonts w:hint="eastAsia"/>
          <w:highlight w:val="none"/>
          <w:lang w:val="en-US" w:eastAsia="zh-CN"/>
        </w:rPr>
      </w:pPr>
      <w:r>
        <w:rPr>
          <w:rFonts w:hint="eastAsia"/>
          <w:highlight w:val="none"/>
          <w:lang w:val="en-US" w:eastAsia="zh-CN"/>
        </w:rPr>
        <w:t>（5）城镇/村落生态系统</w:t>
      </w:r>
    </w:p>
    <w:p w14:paraId="4EC1BC85">
      <w:pPr>
        <w:bidi w:val="0"/>
        <w:rPr>
          <w:rFonts w:hint="eastAsia"/>
          <w:lang w:val="en-US" w:eastAsia="zh-CN"/>
        </w:rPr>
      </w:pPr>
      <w:r>
        <w:rPr>
          <w:rFonts w:hint="eastAsia"/>
          <w:highlight w:val="none"/>
          <w:lang w:val="en-US" w:eastAsia="zh-CN"/>
        </w:rPr>
        <w:t>是人类对自然环境的适应、加工、改造而建设起来的特殊的人工生态系统。它不仅有生物组成要素（植物、动物和细菌、真菌、病毒）和非生物组成要素（光、热、水、大气等），还包括人类和社会经济要素，这些要素通过能量流动、生物地球化学循环以及物资供应与废物处理系统，形成一个具有内在联系的统一整体。评价区城镇生态系统主要以居住地生态系统为主，面积为16.25万m</w:t>
      </w:r>
      <w:r>
        <w:rPr>
          <w:rFonts w:hint="eastAsia"/>
          <w:highlight w:val="none"/>
          <w:vertAlign w:val="superscript"/>
          <w:lang w:val="en-US" w:eastAsia="zh-CN"/>
        </w:rPr>
        <w:t>2</w:t>
      </w:r>
      <w:r>
        <w:rPr>
          <w:rFonts w:hint="eastAsia"/>
          <w:highlight w:val="none"/>
          <w:lang w:val="en-US" w:eastAsia="zh-CN"/>
        </w:rPr>
        <w:t>，占评价区面积的7.22%。根据现场调查并结合评价区土地利用类型图，该生态系统主要集中在取土场以及已有道路两侧。</w:t>
      </w:r>
      <w:r>
        <w:rPr>
          <w:rFonts w:hint="eastAsia"/>
          <w:lang w:val="en-US" w:eastAsia="zh-CN"/>
        </w:rPr>
        <w:br w:type="page"/>
      </w:r>
    </w:p>
    <w:p w14:paraId="14114882">
      <w:pPr>
        <w:pStyle w:val="7"/>
        <w:bidi w:val="0"/>
        <w:jc w:val="center"/>
        <w:rPr>
          <w:rFonts w:hint="default"/>
          <w:highlight w:val="none"/>
          <w:lang w:val="en-US" w:eastAsia="zh-CN"/>
        </w:rPr>
      </w:pPr>
      <w:bookmarkStart w:id="70" w:name="_Toc28721"/>
      <w:r>
        <w:rPr>
          <w:rFonts w:hint="eastAsia"/>
          <w:highlight w:val="none"/>
          <w:lang w:val="en-US" w:eastAsia="zh-CN"/>
        </w:rPr>
        <w:t>环境影响预测与评价</w:t>
      </w:r>
      <w:bookmarkEnd w:id="70"/>
    </w:p>
    <w:p w14:paraId="3F04E31F">
      <w:pPr>
        <w:pStyle w:val="8"/>
        <w:numPr>
          <w:ilvl w:val="1"/>
          <w:numId w:val="1"/>
        </w:numPr>
        <w:tabs>
          <w:tab w:val="clear" w:pos="420"/>
        </w:tabs>
        <w:bidi w:val="0"/>
        <w:ind w:left="567" w:leftChars="0" w:hanging="567" w:firstLineChars="0"/>
        <w:rPr>
          <w:rFonts w:hint="default"/>
          <w:highlight w:val="none"/>
          <w:lang w:val="en-US" w:eastAsia="zh-CN"/>
        </w:rPr>
      </w:pPr>
      <w:bookmarkStart w:id="71" w:name="_Toc25337"/>
      <w:r>
        <w:rPr>
          <w:rFonts w:hint="eastAsia"/>
          <w:highlight w:val="none"/>
          <w:lang w:val="en-US" w:eastAsia="zh-CN"/>
        </w:rPr>
        <w:t>施工期环境影响分析</w:t>
      </w:r>
      <w:bookmarkEnd w:id="71"/>
    </w:p>
    <w:p w14:paraId="666A1A9F">
      <w:pPr>
        <w:pStyle w:val="9"/>
        <w:numPr>
          <w:ilvl w:val="2"/>
          <w:numId w:val="1"/>
        </w:numPr>
        <w:bidi w:val="0"/>
        <w:ind w:left="709" w:leftChars="0" w:hanging="709" w:firstLineChars="0"/>
        <w:rPr>
          <w:rFonts w:hint="eastAsia"/>
          <w:highlight w:val="none"/>
          <w:lang w:val="en-US" w:eastAsia="zh-CN"/>
        </w:rPr>
      </w:pPr>
      <w:r>
        <w:rPr>
          <w:rFonts w:hint="eastAsia"/>
          <w:highlight w:val="none"/>
          <w:lang w:val="en-US" w:eastAsia="zh-CN"/>
        </w:rPr>
        <w:t>大气环境影响分析</w:t>
      </w:r>
    </w:p>
    <w:p w14:paraId="1E3B1DA8">
      <w:pPr>
        <w:rPr>
          <w:rFonts w:hint="eastAsia"/>
          <w:highlight w:val="none"/>
          <w:lang w:val="en-US" w:eastAsia="zh-CN"/>
        </w:rPr>
      </w:pPr>
      <w:r>
        <w:rPr>
          <w:rFonts w:hint="eastAsia"/>
          <w:highlight w:val="none"/>
          <w:lang w:val="en-US" w:eastAsia="zh-CN"/>
        </w:rPr>
        <w:t>施工期产生的大气环境污染物主要来源：废渣清挖和填埋扬尘、装卸料扬尘、车辆运输扬尘、车辆和机械燃油尾气等。</w:t>
      </w:r>
    </w:p>
    <w:p w14:paraId="4FF5F08D">
      <w:pPr>
        <w:rPr>
          <w:rFonts w:hint="eastAsia"/>
          <w:b/>
          <w:bCs/>
          <w:highlight w:val="none"/>
          <w:lang w:val="en-US" w:eastAsia="zh-CN"/>
        </w:rPr>
      </w:pPr>
      <w:r>
        <w:rPr>
          <w:rFonts w:hint="eastAsia"/>
          <w:b/>
          <w:bCs/>
          <w:highlight w:val="none"/>
          <w:lang w:val="en-US" w:eastAsia="zh-CN"/>
        </w:rPr>
        <w:t>（1）扬尘</w:t>
      </w:r>
    </w:p>
    <w:p w14:paraId="73E57369">
      <w:pPr>
        <w:rPr>
          <w:rFonts w:hint="eastAsia"/>
          <w:highlight w:val="none"/>
          <w:lang w:val="en-US" w:eastAsia="zh-CN"/>
        </w:rPr>
      </w:pPr>
      <w:r>
        <w:rPr>
          <w:rFonts w:hint="eastAsia"/>
          <w:highlight w:val="none"/>
          <w:lang w:val="en-US" w:eastAsia="zh-CN"/>
        </w:rPr>
        <w:t>施工场地内扬尘量的大小与诸多因素有关，它对环境的影响是一个复杂且较难定量的问题。而且施工作业面会发生变化，而非固定污染源。因此，本评价采用类比法，利用己有的施工场地实测资料对环境空气的影响进行分析。</w:t>
      </w:r>
    </w:p>
    <w:p w14:paraId="28033AE2">
      <w:pPr>
        <w:rPr>
          <w:rFonts w:hint="eastAsia"/>
          <w:highlight w:val="none"/>
          <w:lang w:val="en-US" w:eastAsia="zh-CN"/>
        </w:rPr>
      </w:pPr>
      <w:r>
        <w:rPr>
          <w:rFonts w:hint="eastAsia"/>
          <w:highlight w:val="none"/>
          <w:lang w:val="en-US" w:eastAsia="zh-CN"/>
        </w:rPr>
        <w:t>据北京市环境保护科学研究院在北京地区对多个建筑工程施工工地的扬尘情况进行的测定：当风速为2.4m/s时，工地内TSP浓度为上风向对照点的1.5~2.3倍，平均1.88倍；扬尘的影响区域为其下风向100m之内，TSP浓度为上风向对照点的1.4~2.5倍，平均1.5倍。为了用定量的方法说明本项目施工场地扬尘对周围环境的影响程度，应用上述资料推算出施工场地内和下风向100m区域内的TSP浓度，结果见表5.1-1。应当指出：表5.1-1中的预测值并非是施工扬尘对环境空气的实际贡献值，而只用以说明其对周围环境的污染影响程度。从表5.1-1可知，施工场地扬尘对场地内的污染比下风向更严重，但扬尘影响的范围较小，在风速2.4m/s时，这一污染影响春秋季大于冬夏季。</w:t>
      </w:r>
    </w:p>
    <w:p w14:paraId="5FDD0F83">
      <w:pPr>
        <w:ind w:left="0" w:leftChars="0" w:firstLine="0" w:firstLineChars="0"/>
        <w:jc w:val="center"/>
        <w:rPr>
          <w:rFonts w:hint="eastAsia"/>
          <w:b/>
          <w:bCs/>
          <w:sz w:val="21"/>
          <w:szCs w:val="21"/>
          <w:highlight w:val="none"/>
          <w:lang w:val="en-US" w:eastAsia="zh-CN"/>
        </w:rPr>
      </w:pPr>
      <w:r>
        <w:rPr>
          <w:rFonts w:hint="eastAsia"/>
          <w:b/>
          <w:bCs/>
          <w:sz w:val="21"/>
          <w:szCs w:val="21"/>
          <w:highlight w:val="none"/>
          <w:lang w:val="en-US" w:eastAsia="zh-CN"/>
        </w:rPr>
        <w:t>表5.1-1  施工扬尘TSP影响情况一览表    单位：mg/m</w:t>
      </w:r>
      <w:r>
        <w:rPr>
          <w:rFonts w:hint="eastAsia"/>
          <w:b/>
          <w:bCs/>
          <w:sz w:val="21"/>
          <w:szCs w:val="21"/>
          <w:highlight w:val="none"/>
          <w:vertAlign w:val="superscript"/>
          <w:lang w:val="en-US" w:eastAsia="zh-CN"/>
        </w:rPr>
        <w:t>3</w:t>
      </w:r>
    </w:p>
    <w:tbl>
      <w:tblPr>
        <w:tblStyle w:val="35"/>
        <w:tblW w:w="501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 w:type="dxa"/>
          <w:bottom w:w="0" w:type="dxa"/>
          <w:right w:w="10" w:type="dxa"/>
        </w:tblCellMar>
      </w:tblPr>
      <w:tblGrid>
        <w:gridCol w:w="607"/>
        <w:gridCol w:w="1061"/>
        <w:gridCol w:w="1061"/>
        <w:gridCol w:w="1061"/>
        <w:gridCol w:w="1067"/>
        <w:gridCol w:w="1063"/>
        <w:gridCol w:w="1061"/>
        <w:gridCol w:w="1062"/>
        <w:gridCol w:w="1092"/>
      </w:tblGrid>
      <w:tr w14:paraId="39D6A1F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trHeight w:val="0" w:hRule="atLeast"/>
          <w:tblHeader/>
          <w:jc w:val="center"/>
        </w:trPr>
        <w:tc>
          <w:tcPr>
            <w:tcW w:w="332" w:type="pct"/>
            <w:vMerge w:val="restart"/>
            <w:noWrap w:val="0"/>
            <w:vAlign w:val="center"/>
          </w:tcPr>
          <w:p w14:paraId="16292EB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b/>
                <w:bCs/>
                <w:sz w:val="21"/>
                <w:szCs w:val="21"/>
                <w:highlight w:val="none"/>
                <w:lang w:val="en-US" w:eastAsia="zh-CN"/>
              </w:rPr>
            </w:pPr>
            <w:r>
              <w:rPr>
                <w:rFonts w:hint="eastAsia"/>
                <w:b/>
                <w:bCs/>
                <w:sz w:val="21"/>
                <w:szCs w:val="21"/>
                <w:highlight w:val="none"/>
                <w:lang w:val="en-US" w:eastAsia="zh-CN"/>
              </w:rPr>
              <w:t>时间</w:t>
            </w:r>
          </w:p>
        </w:tc>
        <w:tc>
          <w:tcPr>
            <w:tcW w:w="2327" w:type="pct"/>
            <w:gridSpan w:val="4"/>
            <w:noWrap w:val="0"/>
            <w:vAlign w:val="center"/>
          </w:tcPr>
          <w:p w14:paraId="55C4136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b/>
                <w:bCs/>
                <w:sz w:val="21"/>
                <w:szCs w:val="21"/>
                <w:highlight w:val="none"/>
                <w:lang w:val="en-US" w:eastAsia="zh-CN"/>
              </w:rPr>
            </w:pPr>
            <w:r>
              <w:rPr>
                <w:rFonts w:hint="eastAsia"/>
                <w:b/>
                <w:bCs/>
                <w:sz w:val="21"/>
                <w:szCs w:val="21"/>
                <w:highlight w:val="none"/>
                <w:lang w:val="en-US" w:eastAsia="zh-CN"/>
              </w:rPr>
              <w:t>施工现场</w:t>
            </w:r>
          </w:p>
        </w:tc>
        <w:tc>
          <w:tcPr>
            <w:tcW w:w="2340" w:type="pct"/>
            <w:gridSpan w:val="4"/>
            <w:noWrap w:val="0"/>
            <w:vAlign w:val="center"/>
          </w:tcPr>
          <w:p w14:paraId="62F888B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b/>
                <w:bCs/>
                <w:sz w:val="21"/>
                <w:szCs w:val="21"/>
                <w:highlight w:val="none"/>
                <w:lang w:val="en-US" w:eastAsia="zh-CN"/>
              </w:rPr>
            </w:pPr>
            <w:r>
              <w:rPr>
                <w:rFonts w:hint="eastAsia"/>
                <w:b/>
                <w:bCs/>
                <w:sz w:val="21"/>
                <w:szCs w:val="21"/>
                <w:highlight w:val="none"/>
                <w:lang w:val="en-US" w:eastAsia="zh-CN"/>
              </w:rPr>
              <w:t>影响区域（下风向100m）</w:t>
            </w:r>
          </w:p>
        </w:tc>
      </w:tr>
      <w:tr w14:paraId="44839DB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trHeight w:val="0" w:hRule="atLeast"/>
          <w:tblHeader/>
          <w:jc w:val="center"/>
        </w:trPr>
        <w:tc>
          <w:tcPr>
            <w:tcW w:w="332" w:type="pct"/>
            <w:vMerge w:val="continue"/>
            <w:noWrap w:val="0"/>
            <w:vAlign w:val="center"/>
          </w:tcPr>
          <w:p w14:paraId="1F25C3F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b/>
                <w:bCs/>
                <w:sz w:val="21"/>
                <w:szCs w:val="21"/>
                <w:highlight w:val="none"/>
                <w:lang w:val="en-US" w:eastAsia="zh-CN"/>
              </w:rPr>
            </w:pPr>
          </w:p>
        </w:tc>
        <w:tc>
          <w:tcPr>
            <w:tcW w:w="581" w:type="pct"/>
            <w:noWrap w:val="0"/>
            <w:vAlign w:val="center"/>
          </w:tcPr>
          <w:p w14:paraId="56209B4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b/>
                <w:bCs/>
                <w:sz w:val="21"/>
                <w:szCs w:val="21"/>
                <w:highlight w:val="none"/>
                <w:lang w:val="en-US" w:eastAsia="zh-CN"/>
              </w:rPr>
            </w:pPr>
            <w:r>
              <w:rPr>
                <w:rFonts w:hint="eastAsia"/>
                <w:b/>
                <w:bCs/>
                <w:sz w:val="21"/>
                <w:szCs w:val="21"/>
                <w:highlight w:val="none"/>
                <w:lang w:val="en-US" w:eastAsia="zh-CN"/>
              </w:rPr>
              <w:t>对照点最大值</w:t>
            </w:r>
          </w:p>
        </w:tc>
        <w:tc>
          <w:tcPr>
            <w:tcW w:w="581" w:type="pct"/>
            <w:noWrap w:val="0"/>
            <w:vAlign w:val="center"/>
          </w:tcPr>
          <w:p w14:paraId="4DCB70B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b/>
                <w:bCs/>
                <w:sz w:val="21"/>
                <w:szCs w:val="21"/>
                <w:highlight w:val="none"/>
                <w:lang w:val="en-US" w:eastAsia="zh-CN"/>
              </w:rPr>
            </w:pPr>
            <w:r>
              <w:rPr>
                <w:rFonts w:hint="eastAsia"/>
                <w:b/>
                <w:bCs/>
                <w:sz w:val="21"/>
                <w:szCs w:val="21"/>
                <w:highlight w:val="none"/>
                <w:lang w:val="en-US" w:eastAsia="zh-CN"/>
              </w:rPr>
              <w:t>最大超标倍数</w:t>
            </w:r>
          </w:p>
        </w:tc>
        <w:tc>
          <w:tcPr>
            <w:tcW w:w="581" w:type="pct"/>
            <w:noWrap w:val="0"/>
            <w:vAlign w:val="center"/>
          </w:tcPr>
          <w:p w14:paraId="49B58F0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b/>
                <w:bCs/>
                <w:sz w:val="21"/>
                <w:szCs w:val="21"/>
                <w:highlight w:val="none"/>
                <w:lang w:val="en-US" w:eastAsia="zh-CN"/>
              </w:rPr>
            </w:pPr>
            <w:r>
              <w:rPr>
                <w:rFonts w:hint="eastAsia"/>
                <w:b/>
                <w:bCs/>
                <w:sz w:val="21"/>
                <w:szCs w:val="21"/>
                <w:highlight w:val="none"/>
                <w:lang w:val="en-US" w:eastAsia="zh-CN"/>
              </w:rPr>
              <w:t>最大预测值</w:t>
            </w:r>
          </w:p>
        </w:tc>
        <w:tc>
          <w:tcPr>
            <w:tcW w:w="581" w:type="pct"/>
            <w:noWrap w:val="0"/>
            <w:vAlign w:val="center"/>
          </w:tcPr>
          <w:p w14:paraId="01CB497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b/>
                <w:bCs/>
                <w:sz w:val="21"/>
                <w:szCs w:val="21"/>
                <w:highlight w:val="none"/>
                <w:lang w:val="en-US" w:eastAsia="zh-CN"/>
              </w:rPr>
            </w:pPr>
            <w:r>
              <w:rPr>
                <w:rFonts w:hint="eastAsia"/>
                <w:b/>
                <w:bCs/>
                <w:sz w:val="21"/>
                <w:szCs w:val="21"/>
                <w:highlight w:val="none"/>
                <w:lang w:val="en-US" w:eastAsia="zh-CN"/>
              </w:rPr>
              <w:t>最大超标倍数</w:t>
            </w:r>
          </w:p>
        </w:tc>
        <w:tc>
          <w:tcPr>
            <w:tcW w:w="582" w:type="pct"/>
            <w:noWrap w:val="0"/>
            <w:vAlign w:val="center"/>
          </w:tcPr>
          <w:p w14:paraId="189CC64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b/>
                <w:bCs/>
                <w:sz w:val="21"/>
                <w:szCs w:val="21"/>
                <w:highlight w:val="none"/>
                <w:lang w:val="en-US" w:eastAsia="zh-CN"/>
              </w:rPr>
            </w:pPr>
            <w:r>
              <w:rPr>
                <w:rFonts w:hint="eastAsia"/>
                <w:b/>
                <w:bCs/>
                <w:sz w:val="21"/>
                <w:szCs w:val="21"/>
                <w:highlight w:val="none"/>
                <w:lang w:val="en-US" w:eastAsia="zh-CN"/>
              </w:rPr>
              <w:t>对照点最大值</w:t>
            </w:r>
          </w:p>
        </w:tc>
        <w:tc>
          <w:tcPr>
            <w:tcW w:w="581" w:type="pct"/>
            <w:noWrap w:val="0"/>
            <w:vAlign w:val="center"/>
          </w:tcPr>
          <w:p w14:paraId="70F6599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b/>
                <w:bCs/>
                <w:sz w:val="21"/>
                <w:szCs w:val="21"/>
                <w:highlight w:val="none"/>
                <w:lang w:val="en-US" w:eastAsia="zh-CN"/>
              </w:rPr>
            </w:pPr>
            <w:r>
              <w:rPr>
                <w:rFonts w:hint="eastAsia"/>
                <w:b/>
                <w:bCs/>
                <w:sz w:val="21"/>
                <w:szCs w:val="21"/>
                <w:highlight w:val="none"/>
                <w:lang w:val="en-US" w:eastAsia="zh-CN"/>
              </w:rPr>
              <w:t>最大超标倍数</w:t>
            </w:r>
          </w:p>
        </w:tc>
        <w:tc>
          <w:tcPr>
            <w:tcW w:w="581" w:type="pct"/>
            <w:noWrap w:val="0"/>
            <w:vAlign w:val="center"/>
          </w:tcPr>
          <w:p w14:paraId="34B1316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b/>
                <w:bCs/>
                <w:sz w:val="21"/>
                <w:szCs w:val="21"/>
                <w:highlight w:val="none"/>
                <w:lang w:val="en-US" w:eastAsia="zh-CN"/>
              </w:rPr>
            </w:pPr>
            <w:r>
              <w:rPr>
                <w:rFonts w:hint="eastAsia"/>
                <w:b/>
                <w:bCs/>
                <w:sz w:val="21"/>
                <w:szCs w:val="21"/>
                <w:highlight w:val="none"/>
                <w:lang w:val="en-US" w:eastAsia="zh-CN"/>
              </w:rPr>
              <w:t>最大预测值</w:t>
            </w:r>
          </w:p>
        </w:tc>
        <w:tc>
          <w:tcPr>
            <w:tcW w:w="594" w:type="pct"/>
            <w:noWrap w:val="0"/>
            <w:vAlign w:val="center"/>
          </w:tcPr>
          <w:p w14:paraId="5D2B4E0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b/>
                <w:bCs/>
                <w:sz w:val="21"/>
                <w:szCs w:val="21"/>
                <w:highlight w:val="none"/>
                <w:lang w:val="en-US" w:eastAsia="zh-CN"/>
              </w:rPr>
            </w:pPr>
            <w:r>
              <w:rPr>
                <w:rFonts w:hint="eastAsia"/>
                <w:b/>
                <w:bCs/>
                <w:sz w:val="21"/>
                <w:szCs w:val="21"/>
                <w:highlight w:val="none"/>
                <w:lang w:val="en-US" w:eastAsia="zh-CN"/>
              </w:rPr>
              <w:t>最大超标倍数</w:t>
            </w:r>
          </w:p>
        </w:tc>
      </w:tr>
      <w:tr w14:paraId="091D9AD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trHeight w:val="0" w:hRule="atLeast"/>
          <w:jc w:val="center"/>
        </w:trPr>
        <w:tc>
          <w:tcPr>
            <w:tcW w:w="332" w:type="pct"/>
            <w:noWrap w:val="0"/>
            <w:vAlign w:val="center"/>
          </w:tcPr>
          <w:p w14:paraId="15DA857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春</w:t>
            </w:r>
          </w:p>
        </w:tc>
        <w:tc>
          <w:tcPr>
            <w:tcW w:w="581" w:type="pct"/>
            <w:noWrap w:val="0"/>
            <w:vAlign w:val="center"/>
          </w:tcPr>
          <w:p w14:paraId="1049F58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0.59</w:t>
            </w:r>
          </w:p>
        </w:tc>
        <w:tc>
          <w:tcPr>
            <w:tcW w:w="581" w:type="pct"/>
            <w:noWrap w:val="0"/>
            <w:vAlign w:val="center"/>
          </w:tcPr>
          <w:p w14:paraId="0D33B8C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0.97</w:t>
            </w:r>
          </w:p>
        </w:tc>
        <w:tc>
          <w:tcPr>
            <w:tcW w:w="581" w:type="pct"/>
            <w:noWrap w:val="0"/>
            <w:vAlign w:val="center"/>
          </w:tcPr>
          <w:p w14:paraId="6F522D0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1.11</w:t>
            </w:r>
          </w:p>
        </w:tc>
        <w:tc>
          <w:tcPr>
            <w:tcW w:w="581" w:type="pct"/>
            <w:noWrap w:val="0"/>
            <w:vAlign w:val="center"/>
          </w:tcPr>
          <w:p w14:paraId="36D2550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2.70</w:t>
            </w:r>
          </w:p>
        </w:tc>
        <w:tc>
          <w:tcPr>
            <w:tcW w:w="582" w:type="pct"/>
            <w:noWrap w:val="0"/>
            <w:vAlign w:val="center"/>
          </w:tcPr>
          <w:p w14:paraId="395216D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0.59</w:t>
            </w:r>
          </w:p>
        </w:tc>
        <w:tc>
          <w:tcPr>
            <w:tcW w:w="581" w:type="pct"/>
            <w:noWrap w:val="0"/>
            <w:vAlign w:val="center"/>
          </w:tcPr>
          <w:p w14:paraId="420F3D9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0.97</w:t>
            </w:r>
          </w:p>
        </w:tc>
        <w:tc>
          <w:tcPr>
            <w:tcW w:w="581" w:type="pct"/>
            <w:noWrap w:val="0"/>
            <w:vAlign w:val="center"/>
          </w:tcPr>
          <w:p w14:paraId="7E650D3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0.89</w:t>
            </w:r>
          </w:p>
        </w:tc>
        <w:tc>
          <w:tcPr>
            <w:tcW w:w="594" w:type="pct"/>
            <w:noWrap w:val="0"/>
            <w:vAlign w:val="center"/>
          </w:tcPr>
          <w:p w14:paraId="5138D87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1.96</w:t>
            </w:r>
          </w:p>
        </w:tc>
      </w:tr>
      <w:tr w14:paraId="75E96C9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trHeight w:val="0" w:hRule="atLeast"/>
          <w:jc w:val="center"/>
        </w:trPr>
        <w:tc>
          <w:tcPr>
            <w:tcW w:w="332" w:type="pct"/>
            <w:noWrap w:val="0"/>
            <w:vAlign w:val="center"/>
          </w:tcPr>
          <w:p w14:paraId="016B0AC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夏</w:t>
            </w:r>
          </w:p>
        </w:tc>
        <w:tc>
          <w:tcPr>
            <w:tcW w:w="581" w:type="pct"/>
            <w:noWrap w:val="0"/>
            <w:vAlign w:val="center"/>
          </w:tcPr>
          <w:p w14:paraId="1910170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0.40</w:t>
            </w:r>
          </w:p>
        </w:tc>
        <w:tc>
          <w:tcPr>
            <w:tcW w:w="581" w:type="pct"/>
            <w:noWrap w:val="0"/>
            <w:vAlign w:val="center"/>
          </w:tcPr>
          <w:p w14:paraId="63B84A4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0.33</w:t>
            </w:r>
          </w:p>
        </w:tc>
        <w:tc>
          <w:tcPr>
            <w:tcW w:w="581" w:type="pct"/>
            <w:noWrap w:val="0"/>
            <w:vAlign w:val="center"/>
          </w:tcPr>
          <w:p w14:paraId="06E0B5E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0.75</w:t>
            </w:r>
          </w:p>
        </w:tc>
        <w:tc>
          <w:tcPr>
            <w:tcW w:w="581" w:type="pct"/>
            <w:noWrap w:val="0"/>
            <w:vAlign w:val="center"/>
          </w:tcPr>
          <w:p w14:paraId="025F2AD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1.50</w:t>
            </w:r>
          </w:p>
        </w:tc>
        <w:tc>
          <w:tcPr>
            <w:tcW w:w="582" w:type="pct"/>
            <w:noWrap w:val="0"/>
            <w:vAlign w:val="center"/>
          </w:tcPr>
          <w:p w14:paraId="0AB497F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0.40</w:t>
            </w:r>
          </w:p>
        </w:tc>
        <w:tc>
          <w:tcPr>
            <w:tcW w:w="581" w:type="pct"/>
            <w:noWrap w:val="0"/>
            <w:vAlign w:val="center"/>
          </w:tcPr>
          <w:p w14:paraId="45129BB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0.33</w:t>
            </w:r>
          </w:p>
        </w:tc>
        <w:tc>
          <w:tcPr>
            <w:tcW w:w="581" w:type="pct"/>
            <w:noWrap w:val="0"/>
            <w:vAlign w:val="center"/>
          </w:tcPr>
          <w:p w14:paraId="25955F0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0.60</w:t>
            </w:r>
          </w:p>
        </w:tc>
        <w:tc>
          <w:tcPr>
            <w:tcW w:w="594" w:type="pct"/>
            <w:noWrap w:val="0"/>
            <w:vAlign w:val="center"/>
          </w:tcPr>
          <w:p w14:paraId="6D83577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1.00</w:t>
            </w:r>
          </w:p>
        </w:tc>
      </w:tr>
      <w:tr w14:paraId="6C278A1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trHeight w:val="0" w:hRule="atLeast"/>
          <w:jc w:val="center"/>
        </w:trPr>
        <w:tc>
          <w:tcPr>
            <w:tcW w:w="332" w:type="pct"/>
            <w:noWrap w:val="0"/>
            <w:vAlign w:val="center"/>
          </w:tcPr>
          <w:p w14:paraId="2F474E1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秋</w:t>
            </w:r>
          </w:p>
        </w:tc>
        <w:tc>
          <w:tcPr>
            <w:tcW w:w="581" w:type="pct"/>
            <w:noWrap w:val="0"/>
            <w:vAlign w:val="center"/>
          </w:tcPr>
          <w:p w14:paraId="3E148CA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0.88</w:t>
            </w:r>
          </w:p>
        </w:tc>
        <w:tc>
          <w:tcPr>
            <w:tcW w:w="581" w:type="pct"/>
            <w:noWrap w:val="0"/>
            <w:vAlign w:val="center"/>
          </w:tcPr>
          <w:p w14:paraId="58A9082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1.93</w:t>
            </w:r>
          </w:p>
        </w:tc>
        <w:tc>
          <w:tcPr>
            <w:tcW w:w="581" w:type="pct"/>
            <w:noWrap w:val="0"/>
            <w:vAlign w:val="center"/>
          </w:tcPr>
          <w:p w14:paraId="132847E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1.65</w:t>
            </w:r>
          </w:p>
        </w:tc>
        <w:tc>
          <w:tcPr>
            <w:tcW w:w="581" w:type="pct"/>
            <w:noWrap w:val="0"/>
            <w:vAlign w:val="center"/>
          </w:tcPr>
          <w:p w14:paraId="2E7372F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4.5</w:t>
            </w:r>
          </w:p>
        </w:tc>
        <w:tc>
          <w:tcPr>
            <w:tcW w:w="582" w:type="pct"/>
            <w:noWrap w:val="0"/>
            <w:vAlign w:val="center"/>
          </w:tcPr>
          <w:p w14:paraId="49E5FF4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0.88</w:t>
            </w:r>
          </w:p>
        </w:tc>
        <w:tc>
          <w:tcPr>
            <w:tcW w:w="581" w:type="pct"/>
            <w:noWrap w:val="0"/>
            <w:vAlign w:val="center"/>
          </w:tcPr>
          <w:p w14:paraId="12FDF71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1.93</w:t>
            </w:r>
          </w:p>
        </w:tc>
        <w:tc>
          <w:tcPr>
            <w:tcW w:w="581" w:type="pct"/>
            <w:noWrap w:val="0"/>
            <w:vAlign w:val="center"/>
          </w:tcPr>
          <w:p w14:paraId="4F690F6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1.32</w:t>
            </w:r>
          </w:p>
        </w:tc>
        <w:tc>
          <w:tcPr>
            <w:tcW w:w="594" w:type="pct"/>
            <w:noWrap w:val="0"/>
            <w:vAlign w:val="center"/>
          </w:tcPr>
          <w:p w14:paraId="4393D3A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3.40</w:t>
            </w:r>
          </w:p>
        </w:tc>
      </w:tr>
      <w:tr w14:paraId="24D08E7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trHeight w:val="0" w:hRule="atLeast"/>
          <w:jc w:val="center"/>
        </w:trPr>
        <w:tc>
          <w:tcPr>
            <w:tcW w:w="332" w:type="pct"/>
            <w:noWrap w:val="0"/>
            <w:vAlign w:val="center"/>
          </w:tcPr>
          <w:p w14:paraId="2583A91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冬</w:t>
            </w:r>
          </w:p>
        </w:tc>
        <w:tc>
          <w:tcPr>
            <w:tcW w:w="581" w:type="pct"/>
            <w:noWrap w:val="0"/>
            <w:vAlign w:val="center"/>
          </w:tcPr>
          <w:p w14:paraId="3626FDA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0.49</w:t>
            </w:r>
          </w:p>
        </w:tc>
        <w:tc>
          <w:tcPr>
            <w:tcW w:w="581" w:type="pct"/>
            <w:noWrap w:val="0"/>
            <w:vAlign w:val="center"/>
          </w:tcPr>
          <w:p w14:paraId="69EE3D6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0.63</w:t>
            </w:r>
          </w:p>
        </w:tc>
        <w:tc>
          <w:tcPr>
            <w:tcW w:w="581" w:type="pct"/>
            <w:noWrap w:val="0"/>
            <w:vAlign w:val="center"/>
          </w:tcPr>
          <w:p w14:paraId="6330C25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0.92</w:t>
            </w:r>
          </w:p>
        </w:tc>
        <w:tc>
          <w:tcPr>
            <w:tcW w:w="581" w:type="pct"/>
            <w:noWrap w:val="0"/>
            <w:vAlign w:val="center"/>
          </w:tcPr>
          <w:p w14:paraId="154D80A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2.07</w:t>
            </w:r>
          </w:p>
        </w:tc>
        <w:tc>
          <w:tcPr>
            <w:tcW w:w="582" w:type="pct"/>
            <w:noWrap w:val="0"/>
            <w:vAlign w:val="center"/>
          </w:tcPr>
          <w:p w14:paraId="352D2B2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0.49</w:t>
            </w:r>
          </w:p>
        </w:tc>
        <w:tc>
          <w:tcPr>
            <w:tcW w:w="581" w:type="pct"/>
            <w:noWrap w:val="0"/>
            <w:vAlign w:val="center"/>
          </w:tcPr>
          <w:p w14:paraId="690ABEE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0.63</w:t>
            </w:r>
          </w:p>
        </w:tc>
        <w:tc>
          <w:tcPr>
            <w:tcW w:w="581" w:type="pct"/>
            <w:noWrap w:val="0"/>
            <w:vAlign w:val="center"/>
          </w:tcPr>
          <w:p w14:paraId="538A548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0.74</w:t>
            </w:r>
          </w:p>
        </w:tc>
        <w:tc>
          <w:tcPr>
            <w:tcW w:w="594" w:type="pct"/>
            <w:noWrap w:val="0"/>
            <w:vAlign w:val="center"/>
          </w:tcPr>
          <w:p w14:paraId="7DF3B11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1.46</w:t>
            </w:r>
          </w:p>
        </w:tc>
      </w:tr>
      <w:tr w14:paraId="0B687CB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trHeight w:val="0" w:hRule="atLeast"/>
          <w:jc w:val="center"/>
        </w:trPr>
        <w:tc>
          <w:tcPr>
            <w:tcW w:w="5000" w:type="pct"/>
            <w:gridSpan w:val="9"/>
            <w:noWrap w:val="0"/>
            <w:vAlign w:val="center"/>
          </w:tcPr>
          <w:p w14:paraId="005B9E96">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sz w:val="21"/>
                <w:szCs w:val="21"/>
                <w:highlight w:val="none"/>
                <w:lang w:val="en-US" w:eastAsia="zh-CN"/>
              </w:rPr>
            </w:pPr>
            <w:r>
              <w:rPr>
                <w:rFonts w:hint="eastAsia"/>
                <w:sz w:val="21"/>
                <w:szCs w:val="21"/>
                <w:highlight w:val="none"/>
                <w:lang w:val="en-US" w:eastAsia="zh-CN"/>
              </w:rPr>
              <w:t>*预测值：关系倍数与对照点浓度值相乘所得。</w:t>
            </w:r>
          </w:p>
        </w:tc>
      </w:tr>
    </w:tbl>
    <w:p w14:paraId="13C4D3DE">
      <w:pPr>
        <w:rPr>
          <w:rFonts w:hint="eastAsia"/>
          <w:highlight w:val="none"/>
          <w:lang w:val="en-US" w:eastAsia="zh-CN"/>
        </w:rPr>
      </w:pPr>
      <w:r>
        <w:rPr>
          <w:rFonts w:hint="eastAsia"/>
          <w:highlight w:val="none"/>
          <w:lang w:val="en-US" w:eastAsia="zh-CN"/>
        </w:rPr>
        <w:t>扬尘的产生量与施工队的文明作业程度和管理水平密切相关，扬尘量也受当时的风速、湿度、温度等气象要素影响。一般情况下，施工工地、施工道路在自然风作用下产生的扬尘所影响的范围在100m以内。在治理期间对车辆行驶的路面实施洒水抑尘，每天洒水4~5次，可使扬尘减少70%左右，表5.1-2为施工场地洒水抑尘的试验结果。</w:t>
      </w:r>
    </w:p>
    <w:p w14:paraId="0C14A342">
      <w:pPr>
        <w:ind w:left="0" w:leftChars="0" w:firstLine="0" w:firstLineChars="0"/>
        <w:jc w:val="center"/>
        <w:rPr>
          <w:rFonts w:hint="eastAsia"/>
          <w:b/>
          <w:bCs/>
          <w:sz w:val="21"/>
          <w:szCs w:val="21"/>
          <w:highlight w:val="none"/>
          <w:lang w:val="en-US" w:eastAsia="zh-CN"/>
        </w:rPr>
      </w:pPr>
    </w:p>
    <w:p w14:paraId="15AD90F2">
      <w:pPr>
        <w:ind w:left="0" w:leftChars="0" w:firstLine="0" w:firstLineChars="0"/>
        <w:jc w:val="center"/>
        <w:rPr>
          <w:rFonts w:hint="eastAsia"/>
          <w:b/>
          <w:bCs/>
          <w:sz w:val="21"/>
          <w:szCs w:val="21"/>
          <w:highlight w:val="none"/>
          <w:lang w:val="en-US" w:eastAsia="zh-CN"/>
        </w:rPr>
      </w:pPr>
      <w:r>
        <w:rPr>
          <w:rFonts w:hint="eastAsia"/>
          <w:b/>
          <w:bCs/>
          <w:sz w:val="21"/>
          <w:szCs w:val="21"/>
          <w:highlight w:val="none"/>
          <w:lang w:val="en-US" w:eastAsia="zh-CN"/>
        </w:rPr>
        <w:t>表5.1-2  施工场地洒水抑尘试验结果</w:t>
      </w:r>
    </w:p>
    <w:tbl>
      <w:tblPr>
        <w:tblStyle w:val="35"/>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2883"/>
        <w:gridCol w:w="1674"/>
        <w:gridCol w:w="1275"/>
        <w:gridCol w:w="1150"/>
        <w:gridCol w:w="1150"/>
        <w:gridCol w:w="1152"/>
      </w:tblGrid>
      <w:tr w14:paraId="2420752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453" w:type="pct"/>
            <w:gridSpan w:val="2"/>
            <w:tcBorders>
              <w:bottom w:val="single" w:color="auto" w:sz="4" w:space="0"/>
              <w:right w:val="single" w:color="auto" w:sz="4" w:space="0"/>
            </w:tcBorders>
            <w:noWrap w:val="0"/>
            <w:vAlign w:val="center"/>
          </w:tcPr>
          <w:p w14:paraId="383BF53F">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b/>
                <w:bCs/>
                <w:sz w:val="21"/>
                <w:szCs w:val="21"/>
                <w:highlight w:val="none"/>
                <w:lang w:val="en-US" w:eastAsia="zh-CN"/>
              </w:rPr>
            </w:pPr>
            <w:r>
              <w:rPr>
                <w:rFonts w:hint="eastAsia"/>
                <w:b/>
                <w:bCs/>
                <w:sz w:val="21"/>
                <w:szCs w:val="21"/>
                <w:highlight w:val="none"/>
                <w:lang w:val="en-US" w:eastAsia="zh-CN"/>
              </w:rPr>
              <w:t>距离（m）</w:t>
            </w:r>
          </w:p>
        </w:tc>
        <w:tc>
          <w:tcPr>
            <w:tcW w:w="686" w:type="pct"/>
            <w:tcBorders>
              <w:left w:val="single" w:color="auto" w:sz="4" w:space="0"/>
              <w:bottom w:val="single" w:color="auto" w:sz="4" w:space="0"/>
              <w:right w:val="single" w:color="auto" w:sz="4" w:space="0"/>
            </w:tcBorders>
            <w:noWrap w:val="0"/>
            <w:vAlign w:val="center"/>
          </w:tcPr>
          <w:p w14:paraId="47740930">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b/>
                <w:bCs/>
                <w:sz w:val="21"/>
                <w:szCs w:val="21"/>
                <w:highlight w:val="none"/>
                <w:lang w:val="en-US" w:eastAsia="zh-CN"/>
              </w:rPr>
            </w:pPr>
            <w:r>
              <w:rPr>
                <w:rFonts w:hint="eastAsia"/>
                <w:b/>
                <w:bCs/>
                <w:sz w:val="21"/>
                <w:szCs w:val="21"/>
                <w:highlight w:val="none"/>
                <w:lang w:val="en-US" w:eastAsia="zh-CN"/>
              </w:rPr>
              <w:t>5</w:t>
            </w:r>
          </w:p>
        </w:tc>
        <w:tc>
          <w:tcPr>
            <w:tcW w:w="619" w:type="pct"/>
            <w:tcBorders>
              <w:left w:val="single" w:color="auto" w:sz="4" w:space="0"/>
              <w:bottom w:val="single" w:color="auto" w:sz="4" w:space="0"/>
              <w:right w:val="single" w:color="auto" w:sz="4" w:space="0"/>
            </w:tcBorders>
            <w:noWrap w:val="0"/>
            <w:vAlign w:val="center"/>
          </w:tcPr>
          <w:p w14:paraId="6CF540AE">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b/>
                <w:bCs/>
                <w:sz w:val="21"/>
                <w:szCs w:val="21"/>
                <w:highlight w:val="none"/>
                <w:lang w:val="en-US" w:eastAsia="zh-CN"/>
              </w:rPr>
            </w:pPr>
            <w:r>
              <w:rPr>
                <w:rFonts w:hint="eastAsia"/>
                <w:b/>
                <w:bCs/>
                <w:sz w:val="21"/>
                <w:szCs w:val="21"/>
                <w:highlight w:val="none"/>
                <w:lang w:val="en-US" w:eastAsia="zh-CN"/>
              </w:rPr>
              <w:t>20</w:t>
            </w:r>
          </w:p>
        </w:tc>
        <w:tc>
          <w:tcPr>
            <w:tcW w:w="619" w:type="pct"/>
            <w:tcBorders>
              <w:left w:val="single" w:color="auto" w:sz="4" w:space="0"/>
              <w:bottom w:val="single" w:color="auto" w:sz="4" w:space="0"/>
              <w:right w:val="single" w:color="auto" w:sz="4" w:space="0"/>
            </w:tcBorders>
            <w:noWrap w:val="0"/>
            <w:vAlign w:val="center"/>
          </w:tcPr>
          <w:p w14:paraId="0CE02561">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b/>
                <w:bCs/>
                <w:sz w:val="21"/>
                <w:szCs w:val="21"/>
                <w:highlight w:val="none"/>
                <w:lang w:val="en-US" w:eastAsia="zh-CN"/>
              </w:rPr>
            </w:pPr>
            <w:r>
              <w:rPr>
                <w:rFonts w:hint="eastAsia"/>
                <w:b/>
                <w:bCs/>
                <w:sz w:val="21"/>
                <w:szCs w:val="21"/>
                <w:highlight w:val="none"/>
                <w:lang w:val="en-US" w:eastAsia="zh-CN"/>
              </w:rPr>
              <w:t>50</w:t>
            </w:r>
          </w:p>
        </w:tc>
        <w:tc>
          <w:tcPr>
            <w:tcW w:w="620" w:type="pct"/>
            <w:tcBorders>
              <w:left w:val="single" w:color="auto" w:sz="4" w:space="0"/>
              <w:bottom w:val="single" w:color="auto" w:sz="4" w:space="0"/>
            </w:tcBorders>
            <w:noWrap w:val="0"/>
            <w:vAlign w:val="center"/>
          </w:tcPr>
          <w:p w14:paraId="5176E32E">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b/>
                <w:bCs/>
                <w:sz w:val="21"/>
                <w:szCs w:val="21"/>
                <w:highlight w:val="none"/>
                <w:lang w:val="en-US" w:eastAsia="zh-CN"/>
              </w:rPr>
            </w:pPr>
            <w:r>
              <w:rPr>
                <w:rFonts w:hint="eastAsia"/>
                <w:b/>
                <w:bCs/>
                <w:sz w:val="21"/>
                <w:szCs w:val="21"/>
                <w:highlight w:val="none"/>
                <w:lang w:val="en-US" w:eastAsia="zh-CN"/>
              </w:rPr>
              <w:t>100</w:t>
            </w:r>
          </w:p>
        </w:tc>
      </w:tr>
      <w:tr w14:paraId="3969D34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552" w:type="pct"/>
            <w:vMerge w:val="restart"/>
            <w:tcBorders>
              <w:top w:val="single" w:color="auto" w:sz="4" w:space="0"/>
              <w:bottom w:val="single" w:color="auto" w:sz="4" w:space="0"/>
              <w:right w:val="single" w:color="auto" w:sz="4" w:space="0"/>
            </w:tcBorders>
            <w:noWrap w:val="0"/>
            <w:vAlign w:val="center"/>
          </w:tcPr>
          <w:p w14:paraId="2C353FC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TSP小时平均浓度（mg/m</w:t>
            </w:r>
            <w:r>
              <w:rPr>
                <w:rFonts w:hint="eastAsia"/>
                <w:sz w:val="21"/>
                <w:szCs w:val="21"/>
                <w:highlight w:val="none"/>
                <w:vertAlign w:val="superscript"/>
                <w:lang w:val="en-US" w:eastAsia="zh-CN"/>
              </w:rPr>
              <w:t>3</w:t>
            </w:r>
            <w:r>
              <w:rPr>
                <w:rFonts w:hint="eastAsia"/>
                <w:sz w:val="21"/>
                <w:szCs w:val="21"/>
                <w:highlight w:val="none"/>
                <w:lang w:val="en-US" w:eastAsia="zh-CN"/>
              </w:rPr>
              <w:t>）</w:t>
            </w:r>
          </w:p>
        </w:tc>
        <w:tc>
          <w:tcPr>
            <w:tcW w:w="900" w:type="pct"/>
            <w:tcBorders>
              <w:top w:val="single" w:color="auto" w:sz="4" w:space="0"/>
              <w:left w:val="single" w:color="auto" w:sz="4" w:space="0"/>
              <w:bottom w:val="single" w:color="auto" w:sz="4" w:space="0"/>
              <w:right w:val="single" w:color="auto" w:sz="4" w:space="0"/>
            </w:tcBorders>
            <w:noWrap w:val="0"/>
            <w:vAlign w:val="center"/>
          </w:tcPr>
          <w:p w14:paraId="2A20F91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不洒水</w:t>
            </w:r>
          </w:p>
        </w:tc>
        <w:tc>
          <w:tcPr>
            <w:tcW w:w="686" w:type="pct"/>
            <w:tcBorders>
              <w:top w:val="single" w:color="auto" w:sz="4" w:space="0"/>
              <w:left w:val="single" w:color="auto" w:sz="4" w:space="0"/>
              <w:bottom w:val="single" w:color="auto" w:sz="4" w:space="0"/>
              <w:right w:val="single" w:color="auto" w:sz="4" w:space="0"/>
            </w:tcBorders>
            <w:noWrap w:val="0"/>
            <w:vAlign w:val="center"/>
          </w:tcPr>
          <w:p w14:paraId="79B4E9B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10.14</w:t>
            </w:r>
          </w:p>
        </w:tc>
        <w:tc>
          <w:tcPr>
            <w:tcW w:w="619" w:type="pct"/>
            <w:tcBorders>
              <w:top w:val="single" w:color="auto" w:sz="4" w:space="0"/>
              <w:left w:val="single" w:color="auto" w:sz="4" w:space="0"/>
              <w:bottom w:val="single" w:color="auto" w:sz="4" w:space="0"/>
              <w:right w:val="single" w:color="auto" w:sz="4" w:space="0"/>
            </w:tcBorders>
            <w:noWrap w:val="0"/>
            <w:vAlign w:val="center"/>
          </w:tcPr>
          <w:p w14:paraId="2E91A26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2.89</w:t>
            </w:r>
          </w:p>
        </w:tc>
        <w:tc>
          <w:tcPr>
            <w:tcW w:w="619" w:type="pct"/>
            <w:tcBorders>
              <w:top w:val="single" w:color="auto" w:sz="4" w:space="0"/>
              <w:left w:val="single" w:color="auto" w:sz="4" w:space="0"/>
              <w:bottom w:val="single" w:color="auto" w:sz="4" w:space="0"/>
              <w:right w:val="single" w:color="auto" w:sz="4" w:space="0"/>
            </w:tcBorders>
            <w:noWrap w:val="0"/>
            <w:vAlign w:val="center"/>
          </w:tcPr>
          <w:p w14:paraId="6A93F48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1.15</w:t>
            </w:r>
          </w:p>
        </w:tc>
        <w:tc>
          <w:tcPr>
            <w:tcW w:w="620" w:type="pct"/>
            <w:tcBorders>
              <w:top w:val="single" w:color="auto" w:sz="4" w:space="0"/>
              <w:left w:val="single" w:color="auto" w:sz="4" w:space="0"/>
              <w:bottom w:val="single" w:color="auto" w:sz="4" w:space="0"/>
            </w:tcBorders>
            <w:noWrap w:val="0"/>
            <w:vAlign w:val="center"/>
          </w:tcPr>
          <w:p w14:paraId="5E8DDA4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0.86</w:t>
            </w:r>
          </w:p>
        </w:tc>
      </w:tr>
      <w:tr w14:paraId="0440123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552" w:type="pct"/>
            <w:vMerge w:val="continue"/>
            <w:tcBorders>
              <w:top w:val="single" w:color="auto" w:sz="4" w:space="0"/>
              <w:right w:val="single" w:color="auto" w:sz="4" w:space="0"/>
            </w:tcBorders>
            <w:noWrap w:val="0"/>
            <w:vAlign w:val="center"/>
          </w:tcPr>
          <w:p w14:paraId="5CC692D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lang w:val="en-US" w:eastAsia="zh-CN"/>
              </w:rPr>
            </w:pPr>
          </w:p>
        </w:tc>
        <w:tc>
          <w:tcPr>
            <w:tcW w:w="900" w:type="pct"/>
            <w:tcBorders>
              <w:top w:val="single" w:color="auto" w:sz="4" w:space="0"/>
              <w:left w:val="single" w:color="auto" w:sz="4" w:space="0"/>
              <w:right w:val="single" w:color="auto" w:sz="4" w:space="0"/>
            </w:tcBorders>
            <w:noWrap w:val="0"/>
            <w:vAlign w:val="center"/>
          </w:tcPr>
          <w:p w14:paraId="3B8009C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洒水</w:t>
            </w:r>
          </w:p>
        </w:tc>
        <w:tc>
          <w:tcPr>
            <w:tcW w:w="686" w:type="pct"/>
            <w:tcBorders>
              <w:top w:val="single" w:color="auto" w:sz="4" w:space="0"/>
              <w:left w:val="single" w:color="auto" w:sz="4" w:space="0"/>
              <w:right w:val="single" w:color="auto" w:sz="4" w:space="0"/>
            </w:tcBorders>
            <w:noWrap w:val="0"/>
            <w:vAlign w:val="center"/>
          </w:tcPr>
          <w:p w14:paraId="041DA91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2.01</w:t>
            </w:r>
          </w:p>
        </w:tc>
        <w:tc>
          <w:tcPr>
            <w:tcW w:w="619" w:type="pct"/>
            <w:tcBorders>
              <w:top w:val="single" w:color="auto" w:sz="4" w:space="0"/>
              <w:left w:val="single" w:color="auto" w:sz="4" w:space="0"/>
              <w:right w:val="single" w:color="auto" w:sz="4" w:space="0"/>
            </w:tcBorders>
            <w:noWrap w:val="0"/>
            <w:vAlign w:val="center"/>
          </w:tcPr>
          <w:p w14:paraId="0AFF8D9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1.4</w:t>
            </w:r>
          </w:p>
        </w:tc>
        <w:tc>
          <w:tcPr>
            <w:tcW w:w="619" w:type="pct"/>
            <w:tcBorders>
              <w:top w:val="single" w:color="auto" w:sz="4" w:space="0"/>
              <w:left w:val="single" w:color="auto" w:sz="4" w:space="0"/>
              <w:right w:val="single" w:color="auto" w:sz="4" w:space="0"/>
            </w:tcBorders>
            <w:noWrap w:val="0"/>
            <w:vAlign w:val="center"/>
          </w:tcPr>
          <w:p w14:paraId="19A6478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0.67</w:t>
            </w:r>
          </w:p>
        </w:tc>
        <w:tc>
          <w:tcPr>
            <w:tcW w:w="620" w:type="pct"/>
            <w:tcBorders>
              <w:top w:val="single" w:color="auto" w:sz="4" w:space="0"/>
              <w:left w:val="single" w:color="auto" w:sz="4" w:space="0"/>
            </w:tcBorders>
            <w:noWrap w:val="0"/>
            <w:vAlign w:val="center"/>
          </w:tcPr>
          <w:p w14:paraId="29CE603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0.60</w:t>
            </w:r>
          </w:p>
        </w:tc>
      </w:tr>
    </w:tbl>
    <w:p w14:paraId="120115CA">
      <w:pPr>
        <w:rPr>
          <w:rFonts w:hint="eastAsia"/>
          <w:highlight w:val="none"/>
          <w:lang w:val="en-US" w:eastAsia="zh-CN"/>
        </w:rPr>
      </w:pPr>
      <w:r>
        <w:rPr>
          <w:rFonts w:hint="eastAsia"/>
          <w:highlight w:val="none"/>
          <w:lang w:val="en-US" w:eastAsia="zh-CN"/>
        </w:rPr>
        <w:t>可见每天对施工场地及道路洒水4~5次进行抑尘，可有效地控制施工扬尘，并且可将TSP的污染距离缩小到20~50m范围，最大限度地降低对施工场地周围居民的影响。另项目施工期间需设置不低于1.8m 高的围挡，以减轻施工期扬尘对周边影响。</w:t>
      </w:r>
    </w:p>
    <w:p w14:paraId="446C7857">
      <w:pPr>
        <w:rPr>
          <w:rFonts w:hint="eastAsia"/>
          <w:highlight w:val="none"/>
          <w:lang w:val="en-US" w:eastAsia="zh-CN"/>
        </w:rPr>
      </w:pPr>
      <w:r>
        <w:rPr>
          <w:rFonts w:hint="eastAsia"/>
          <w:highlight w:val="none"/>
          <w:lang w:val="en-US" w:eastAsia="zh-CN"/>
        </w:rPr>
        <w:t>项目治理期间，项目施工建筑材料运输、施工土石方运输过程均会产生车辆运输扬尘。运输车辆在道路上过程带起尘土形成粉尘废气等对施工场地周围及运输线路两侧居民等敏感点造成不良影响，应采取措施降低影响。</w:t>
      </w:r>
    </w:p>
    <w:p w14:paraId="3A163A2C">
      <w:pPr>
        <w:rPr>
          <w:rFonts w:hint="eastAsia"/>
          <w:highlight w:val="none"/>
          <w:lang w:val="en-US" w:eastAsia="zh-CN"/>
        </w:rPr>
      </w:pPr>
      <w:r>
        <w:rPr>
          <w:rFonts w:hint="eastAsia"/>
          <w:highlight w:val="none"/>
          <w:lang w:val="en-US" w:eastAsia="zh-CN"/>
        </w:rPr>
        <w:t>建设单位、施工单位在施工过程中采取对出场车辆清理干净，对道路进行清理，并洒水增湿以及运输车辆运输砂石等不要装载过满，并采取遮盖、封闭措施后，车辆运行动力起尘影响大大降低。</w:t>
      </w:r>
    </w:p>
    <w:p w14:paraId="486E88CD">
      <w:pPr>
        <w:rPr>
          <w:rFonts w:hint="eastAsia"/>
          <w:b/>
          <w:bCs/>
          <w:highlight w:val="none"/>
          <w:lang w:val="en-US" w:eastAsia="zh-CN"/>
        </w:rPr>
      </w:pPr>
      <w:r>
        <w:rPr>
          <w:rFonts w:hint="eastAsia"/>
          <w:b/>
          <w:bCs/>
          <w:highlight w:val="none"/>
          <w:lang w:val="en-US" w:eastAsia="zh-CN"/>
        </w:rPr>
        <w:t>（2）施工机械柴油燃烧废气与运输车辆尾气</w:t>
      </w:r>
    </w:p>
    <w:p w14:paraId="01E57BAC">
      <w:pPr>
        <w:rPr>
          <w:rFonts w:hint="eastAsia"/>
          <w:highlight w:val="none"/>
          <w:lang w:val="en-US" w:eastAsia="zh-CN"/>
        </w:rPr>
      </w:pPr>
      <w:r>
        <w:rPr>
          <w:rFonts w:hint="eastAsia"/>
          <w:highlight w:val="none"/>
          <w:lang w:val="en-US" w:eastAsia="zh-CN"/>
        </w:rPr>
        <w:t>施工机械设备和运输及施工车辆的尾气排放属无组织排放，污染物排放量的大小与交通量成比例，与车辆的类型以及运行的工况有关。项目在建设过程中，随着各类机动车辆和施工机械进入施工地区，必然造成车辆尾气排放量的相应增加，释放出一定量的 NO</w:t>
      </w:r>
      <w:r>
        <w:rPr>
          <w:rFonts w:hint="eastAsia"/>
          <w:highlight w:val="none"/>
          <w:vertAlign w:val="subscript"/>
          <w:lang w:val="en-US" w:eastAsia="zh-CN"/>
        </w:rPr>
        <w:t>2</w:t>
      </w:r>
      <w:r>
        <w:rPr>
          <w:rFonts w:hint="eastAsia"/>
          <w:highlight w:val="none"/>
          <w:lang w:val="en-US" w:eastAsia="zh-CN"/>
        </w:rPr>
        <w:t>、CO、C</w:t>
      </w:r>
      <w:r>
        <w:rPr>
          <w:rFonts w:hint="eastAsia"/>
          <w:highlight w:val="none"/>
          <w:vertAlign w:val="subscript"/>
          <w:lang w:val="en-US" w:eastAsia="zh-CN"/>
        </w:rPr>
        <w:t>m</w:t>
      </w:r>
      <w:r>
        <w:rPr>
          <w:rFonts w:hint="eastAsia"/>
          <w:highlight w:val="none"/>
          <w:lang w:val="en-US" w:eastAsia="zh-CN"/>
        </w:rPr>
        <w:t>H</w:t>
      </w:r>
      <w:r>
        <w:rPr>
          <w:rFonts w:hint="eastAsia"/>
          <w:highlight w:val="none"/>
          <w:vertAlign w:val="subscript"/>
          <w:lang w:val="en-US" w:eastAsia="zh-CN"/>
        </w:rPr>
        <w:t>n</w:t>
      </w:r>
      <w:r>
        <w:rPr>
          <w:rFonts w:hint="eastAsia"/>
          <w:highlight w:val="none"/>
          <w:lang w:val="en-US" w:eastAsia="zh-CN"/>
        </w:rPr>
        <w:t>等大气污染物，且随着车辆行驶形成流动污染源，对区域环境空气造成污染。</w:t>
      </w:r>
    </w:p>
    <w:p w14:paraId="7297E8A2">
      <w:pPr>
        <w:rPr>
          <w:rFonts w:hint="eastAsia"/>
          <w:highlight w:val="none"/>
          <w:lang w:val="en-US" w:eastAsia="zh-CN"/>
        </w:rPr>
      </w:pPr>
      <w:r>
        <w:rPr>
          <w:rFonts w:hint="eastAsia"/>
          <w:highlight w:val="none"/>
          <w:lang w:val="en-US" w:eastAsia="zh-CN"/>
        </w:rPr>
        <w:t>施工过程中应加强施工机械和车辆的维护保养，严禁使用报废车辆，对施工过程中非道路移动机械用柴油机废气排放执行并满足《非道路移动机械用柴油机排气污染物排放限值及测量方法》（GB20891-2007）要求。由于施工机械和运输车辆等排放的废气产生量较小，项目拟建地较开阔，空气流动性好，废气扩散快，对当地的空气环境影响较小。本项目施工机械废气对大气环境的影响可接受。</w:t>
      </w:r>
    </w:p>
    <w:p w14:paraId="6C33B753">
      <w:pPr>
        <w:pStyle w:val="9"/>
        <w:numPr>
          <w:ilvl w:val="2"/>
          <w:numId w:val="1"/>
        </w:numPr>
        <w:bidi w:val="0"/>
        <w:ind w:left="709" w:leftChars="0" w:hanging="709" w:firstLineChars="0"/>
        <w:rPr>
          <w:rFonts w:hint="eastAsia"/>
          <w:highlight w:val="none"/>
          <w:lang w:val="en-US" w:eastAsia="zh-CN"/>
        </w:rPr>
      </w:pPr>
      <w:r>
        <w:rPr>
          <w:rFonts w:hint="eastAsia"/>
          <w:highlight w:val="none"/>
          <w:lang w:val="en-US" w:eastAsia="zh-CN"/>
        </w:rPr>
        <w:t>水环境影响分析</w:t>
      </w:r>
    </w:p>
    <w:p w14:paraId="6641CE33">
      <w:pPr>
        <w:rPr>
          <w:rFonts w:hint="default"/>
          <w:b/>
          <w:bCs/>
          <w:highlight w:val="none"/>
          <w:lang w:val="en-US" w:eastAsia="zh-CN"/>
        </w:rPr>
      </w:pPr>
      <w:r>
        <w:rPr>
          <w:rFonts w:hint="eastAsia"/>
          <w:b/>
          <w:bCs/>
          <w:highlight w:val="none"/>
          <w:lang w:val="en-US" w:eastAsia="zh-CN"/>
        </w:rPr>
        <w:t>（1）施工废水对地表水环境影响分析</w:t>
      </w:r>
    </w:p>
    <w:p w14:paraId="2739DB0C">
      <w:pPr>
        <w:rPr>
          <w:rFonts w:hint="eastAsia"/>
          <w:highlight w:val="none"/>
          <w:lang w:val="en-US" w:eastAsia="zh-CN"/>
        </w:rPr>
      </w:pPr>
      <w:r>
        <w:rPr>
          <w:rFonts w:hint="eastAsia"/>
          <w:highlight w:val="none"/>
          <w:lang w:val="en-US" w:eastAsia="zh-CN"/>
        </w:rPr>
        <w:t>本工程施工过程中产生的废水主要来自于施工期间产生的施工废水和施工人员的生活污水。</w:t>
      </w:r>
    </w:p>
    <w:p w14:paraId="77607B4E">
      <w:pPr>
        <w:rPr>
          <w:rFonts w:hint="eastAsia"/>
          <w:highlight w:val="none"/>
          <w:lang w:val="en-US" w:eastAsia="zh-CN"/>
        </w:rPr>
      </w:pPr>
      <w:r>
        <w:rPr>
          <w:rFonts w:hint="eastAsia"/>
          <w:highlight w:val="none"/>
          <w:lang w:val="en-US" w:eastAsia="zh-CN"/>
        </w:rPr>
        <w:t>本工程施工人员利用工程区附近居民区民房作为生活办公，生活污水通过化粪池处理后用于周边农田做农家肥，不外排。</w:t>
      </w:r>
    </w:p>
    <w:p w14:paraId="0DB8C944">
      <w:pPr>
        <w:rPr>
          <w:rFonts w:hint="eastAsia"/>
          <w:highlight w:val="none"/>
          <w:lang w:val="en-US" w:eastAsia="zh-CN"/>
        </w:rPr>
      </w:pPr>
      <w:r>
        <w:rPr>
          <w:rFonts w:hint="eastAsia"/>
          <w:highlight w:val="none"/>
          <w:lang w:val="en-US" w:eastAsia="zh-CN"/>
        </w:rPr>
        <w:t>施工废水主要来自</w:t>
      </w:r>
      <w:r>
        <w:rPr>
          <w:rFonts w:hint="eastAsia"/>
        </w:rPr>
        <w:t>雨季清挖过程中产生的淋溶水</w:t>
      </w:r>
      <w:r>
        <w:rPr>
          <w:rFonts w:hint="eastAsia"/>
          <w:highlight w:val="none"/>
          <w:lang w:val="en-US" w:eastAsia="zh-CN"/>
        </w:rPr>
        <w:t>；施工设备、车辆的清洗用水；初期雨水等，这类废水均含有一定的泥沙和油污，还有少量的重金属离子等。</w:t>
      </w:r>
    </w:p>
    <w:p w14:paraId="33DA7749">
      <w:pPr>
        <w:rPr>
          <w:rFonts w:hint="eastAsia"/>
          <w:highlight w:val="none"/>
          <w:lang w:val="en-US" w:eastAsia="zh-CN"/>
        </w:rPr>
      </w:pPr>
      <w:r>
        <w:rPr>
          <w:rFonts w:hint="eastAsia"/>
          <w:highlight w:val="none"/>
          <w:lang w:val="en-US" w:eastAsia="zh-CN"/>
        </w:rPr>
        <w:t>项目产生的车辆清洗废水、淋溶水等均经项目一体化污水处理设施处理，处理后回用于车辆清洗或洒水抑尘，不外排。</w:t>
      </w:r>
    </w:p>
    <w:p w14:paraId="14324EDC">
      <w:pPr>
        <w:rPr>
          <w:rFonts w:hint="eastAsia"/>
          <w:highlight w:val="none"/>
          <w:lang w:val="en-US" w:eastAsia="zh-CN"/>
        </w:rPr>
      </w:pPr>
      <w:r>
        <w:rPr>
          <w:rFonts w:hint="eastAsia"/>
          <w:highlight w:val="none"/>
          <w:lang w:val="en-US" w:eastAsia="zh-CN"/>
        </w:rPr>
        <w:t>项目不进行涉水施工，施工过程需加强管理，物料堆存需远离居民区及农田，且及时修建截排水沟，以防止受污染的废水流入周边农田，对周围环境造成一定影响。</w:t>
      </w:r>
    </w:p>
    <w:p w14:paraId="266FC8DD">
      <w:pPr>
        <w:rPr>
          <w:rFonts w:hint="eastAsia"/>
          <w:highlight w:val="none"/>
          <w:lang w:val="en-US" w:eastAsia="zh-CN"/>
        </w:rPr>
      </w:pPr>
      <w:r>
        <w:rPr>
          <w:rFonts w:hint="eastAsia"/>
          <w:highlight w:val="none"/>
          <w:lang w:val="en-US" w:eastAsia="zh-CN"/>
        </w:rPr>
        <w:t>另建设方在施工期应及时做好水土保持设施，对开挖的地块及时夯实、铺膜覆土、快速绿化，防止暴雨时造成较大的水土流失，污染附近水体；项目污染物施工区域修筑临时排水沟，防止施工期雨水直接流入外环境，造成周边环境污染。</w:t>
      </w:r>
    </w:p>
    <w:p w14:paraId="228FD0B4">
      <w:pPr>
        <w:rPr>
          <w:rFonts w:hint="eastAsia"/>
          <w:highlight w:val="none"/>
          <w:lang w:val="en-US" w:eastAsia="zh-CN"/>
        </w:rPr>
      </w:pPr>
      <w:r>
        <w:rPr>
          <w:rFonts w:hint="eastAsia"/>
          <w:highlight w:val="none"/>
          <w:lang w:val="en-US" w:eastAsia="zh-CN"/>
        </w:rPr>
        <w:t>按照上述措施正确施工对周边地表水环境影响可控。</w:t>
      </w:r>
    </w:p>
    <w:p w14:paraId="3E92ABB9">
      <w:pPr>
        <w:rPr>
          <w:rFonts w:hint="default"/>
          <w:b/>
          <w:bCs/>
          <w:highlight w:val="none"/>
          <w:lang w:val="en-US" w:eastAsia="zh-CN"/>
        </w:rPr>
      </w:pPr>
      <w:r>
        <w:rPr>
          <w:rFonts w:hint="eastAsia"/>
          <w:b/>
          <w:bCs/>
          <w:highlight w:val="none"/>
          <w:lang w:val="en-US" w:eastAsia="zh-CN"/>
        </w:rPr>
        <w:t>（2）施工废水对地下水环境影响分析</w:t>
      </w:r>
    </w:p>
    <w:p w14:paraId="5B3D7B0A">
      <w:pPr>
        <w:rPr>
          <w:rFonts w:hint="eastAsia"/>
          <w:highlight w:val="none"/>
          <w:lang w:val="en-US" w:eastAsia="zh-CN"/>
        </w:rPr>
      </w:pPr>
      <w:r>
        <w:rPr>
          <w:rFonts w:hint="eastAsia"/>
          <w:highlight w:val="none"/>
          <w:lang w:val="en-US" w:eastAsia="zh-CN"/>
        </w:rPr>
        <w:t>①地下水受污染途径</w:t>
      </w:r>
    </w:p>
    <w:p w14:paraId="46DDCFC8">
      <w:pPr>
        <w:rPr>
          <w:rFonts w:hint="eastAsia"/>
          <w:highlight w:val="none"/>
          <w:lang w:val="en-US" w:eastAsia="zh-CN"/>
        </w:rPr>
      </w:pPr>
      <w:r>
        <w:rPr>
          <w:rFonts w:hint="eastAsia"/>
          <w:highlight w:val="none"/>
          <w:lang w:val="en-US" w:eastAsia="zh-CN"/>
        </w:rPr>
        <w:t>地下水可能的受污染途径是：若未做好雨水收集及防渗措施的情况下，雨水冲刷施工区地面，淋溶水将无法得到完全收集处理而从地表下渗；固体废物的堆放如不合理，可能因为受到地表径流或雨水冲刷而导致污染物下渗；污水处理收集设施若达不到防渗要求，污染物有可能逐渐下渗；各类废水因发生泄漏、污染地下水。</w:t>
      </w:r>
    </w:p>
    <w:p w14:paraId="0DBD3E8C">
      <w:pPr>
        <w:rPr>
          <w:rFonts w:hint="eastAsia"/>
          <w:highlight w:val="none"/>
          <w:lang w:val="en-US" w:eastAsia="zh-CN"/>
        </w:rPr>
      </w:pPr>
      <w:r>
        <w:rPr>
          <w:rFonts w:hint="eastAsia"/>
          <w:highlight w:val="none"/>
          <w:lang w:val="en-US" w:eastAsia="zh-CN"/>
        </w:rPr>
        <w:t>②施工废水</w:t>
      </w:r>
    </w:p>
    <w:p w14:paraId="48480B31">
      <w:pPr>
        <w:rPr>
          <w:rFonts w:hint="eastAsia"/>
          <w:highlight w:val="none"/>
          <w:lang w:val="en-US" w:eastAsia="zh-CN"/>
        </w:rPr>
      </w:pPr>
      <w:r>
        <w:rPr>
          <w:rFonts w:hint="eastAsia"/>
          <w:highlight w:val="none"/>
          <w:lang w:val="en-US" w:eastAsia="zh-CN"/>
        </w:rPr>
        <w:t>施工废水主要来自施工场地产生的淋溶水、车辆清洗废水及渗滤液等。</w:t>
      </w:r>
    </w:p>
    <w:p w14:paraId="6DF84DB3">
      <w:pPr>
        <w:rPr>
          <w:rFonts w:hint="eastAsia"/>
          <w:highlight w:val="none"/>
          <w:lang w:val="en-US" w:eastAsia="zh-CN"/>
        </w:rPr>
      </w:pPr>
      <w:r>
        <w:rPr>
          <w:rFonts w:hint="eastAsia"/>
          <w:highlight w:val="none"/>
          <w:lang w:val="en-US" w:eastAsia="zh-CN"/>
        </w:rPr>
        <w:t>根据项目地质勘探报告，在钻探过程中未发现孔内积水，根据工程经验场地内地下水类型主要为赋存于人工填土中的上层滞水。上层滞水主要受大气降水补给，向地表蒸发和向地势低洼处排泄，不具承压性。由于场地地势相对较高，有通畅的排泄条件，所以人工填土中未发现地下水。</w:t>
      </w:r>
    </w:p>
    <w:p w14:paraId="65B18743">
      <w:pPr>
        <w:rPr>
          <w:rFonts w:hint="eastAsia"/>
          <w:highlight w:val="none"/>
          <w:lang w:val="en-US" w:eastAsia="zh-CN"/>
        </w:rPr>
      </w:pPr>
      <w:r>
        <w:rPr>
          <w:rFonts w:hint="eastAsia"/>
          <w:highlight w:val="none"/>
          <w:lang w:val="en-US" w:eastAsia="zh-CN"/>
        </w:rPr>
        <w:t>项目只对历史遗留重金属废渣及受污染土壤进行清运，挖掘深度有限，不会对地下水含水层造成影响，因此项目施工废水对地下水影响不大。</w:t>
      </w:r>
    </w:p>
    <w:p w14:paraId="44A8EAC9">
      <w:pPr>
        <w:pStyle w:val="9"/>
        <w:numPr>
          <w:ilvl w:val="2"/>
          <w:numId w:val="1"/>
        </w:numPr>
        <w:bidi w:val="0"/>
        <w:ind w:left="709" w:leftChars="0" w:hanging="709" w:firstLineChars="0"/>
        <w:rPr>
          <w:rFonts w:hint="eastAsia"/>
          <w:highlight w:val="none"/>
          <w:lang w:val="en-US" w:eastAsia="zh-CN"/>
        </w:rPr>
      </w:pPr>
      <w:r>
        <w:rPr>
          <w:rFonts w:hint="eastAsia"/>
          <w:highlight w:val="none"/>
          <w:lang w:val="en-US" w:eastAsia="zh-CN"/>
        </w:rPr>
        <w:t>声环境影响分析</w:t>
      </w:r>
    </w:p>
    <w:p w14:paraId="117DA3DA">
      <w:pPr>
        <w:bidi w:val="0"/>
        <w:rPr>
          <w:rFonts w:hint="eastAsia"/>
          <w:b/>
          <w:bCs/>
          <w:highlight w:val="none"/>
          <w:lang w:val="en-US" w:eastAsia="zh-CN"/>
        </w:rPr>
      </w:pPr>
      <w:r>
        <w:rPr>
          <w:rFonts w:hint="eastAsia"/>
          <w:b/>
          <w:bCs/>
          <w:highlight w:val="none"/>
          <w:lang w:val="en-US" w:eastAsia="zh-CN"/>
        </w:rPr>
        <w:t>（1）噪声源强</w:t>
      </w:r>
    </w:p>
    <w:p w14:paraId="1ACC9FD9">
      <w:pPr>
        <w:bidi w:val="0"/>
        <w:rPr>
          <w:rFonts w:hint="eastAsia"/>
          <w:highlight w:val="none"/>
          <w:lang w:val="en-US" w:eastAsia="zh-CN"/>
        </w:rPr>
      </w:pPr>
      <w:r>
        <w:rPr>
          <w:rFonts w:hint="eastAsia"/>
          <w:highlight w:val="none"/>
          <w:lang w:val="en-US" w:eastAsia="zh-CN"/>
        </w:rPr>
        <w:t>本项目在施工期间施工机械会产生噪声，对区域的附近居民区产生影响。施工机械主要有挖掘机、推土机、装载机、压实机、水泵等，运输车辆包括自卸汽车。经类比调查，其噪声源的源强为78~90dB（A）。</w:t>
      </w:r>
    </w:p>
    <w:p w14:paraId="618A96D5">
      <w:pPr>
        <w:bidi w:val="0"/>
        <w:rPr>
          <w:rFonts w:hint="default"/>
          <w:b/>
          <w:bCs/>
          <w:highlight w:val="none"/>
          <w:lang w:val="en-US" w:eastAsia="zh-CN"/>
        </w:rPr>
      </w:pPr>
      <w:r>
        <w:rPr>
          <w:rFonts w:hint="eastAsia"/>
          <w:b/>
          <w:bCs/>
          <w:highlight w:val="none"/>
          <w:lang w:val="en-US" w:eastAsia="zh-CN"/>
        </w:rPr>
        <w:t>（2）噪声预测模式</w:t>
      </w:r>
    </w:p>
    <w:p w14:paraId="087E967D">
      <w:pPr>
        <w:bidi w:val="0"/>
        <w:rPr>
          <w:rFonts w:hint="eastAsia"/>
          <w:highlight w:val="none"/>
          <w:lang w:val="en-US" w:eastAsia="zh-CN"/>
        </w:rPr>
      </w:pPr>
      <w:r>
        <w:rPr>
          <w:rFonts w:hint="eastAsia"/>
          <w:highlight w:val="none"/>
          <w:lang w:val="en-US" w:eastAsia="zh-CN"/>
        </w:rPr>
        <w:t>户外声传播衰减包括几何发散（A</w:t>
      </w:r>
      <w:r>
        <w:rPr>
          <w:rFonts w:hint="eastAsia"/>
          <w:highlight w:val="none"/>
          <w:vertAlign w:val="subscript"/>
          <w:lang w:val="en-US" w:eastAsia="zh-CN"/>
        </w:rPr>
        <w:t>div</w:t>
      </w:r>
      <w:r>
        <w:rPr>
          <w:rFonts w:hint="eastAsia"/>
          <w:highlight w:val="none"/>
          <w:lang w:val="en-US" w:eastAsia="zh-CN"/>
        </w:rPr>
        <w:t>）、大气吸收（A</w:t>
      </w:r>
      <w:r>
        <w:rPr>
          <w:rFonts w:hint="eastAsia"/>
          <w:highlight w:val="none"/>
          <w:vertAlign w:val="subscript"/>
          <w:lang w:val="en-US" w:eastAsia="zh-CN"/>
        </w:rPr>
        <w:t>atm</w:t>
      </w:r>
      <w:r>
        <w:rPr>
          <w:rFonts w:hint="eastAsia"/>
          <w:highlight w:val="none"/>
          <w:lang w:val="en-US" w:eastAsia="zh-CN"/>
        </w:rPr>
        <w:t>）、地面效应（A</w:t>
      </w:r>
      <w:r>
        <w:rPr>
          <w:rFonts w:hint="eastAsia"/>
          <w:highlight w:val="none"/>
          <w:vertAlign w:val="subscript"/>
          <w:lang w:val="en-US" w:eastAsia="zh-CN"/>
        </w:rPr>
        <w:t>gr</w:t>
      </w:r>
      <w:r>
        <w:rPr>
          <w:rFonts w:hint="eastAsia"/>
          <w:highlight w:val="none"/>
          <w:lang w:val="en-US" w:eastAsia="zh-CN"/>
        </w:rPr>
        <w:t>）、障碍物屏蔽（A</w:t>
      </w:r>
      <w:r>
        <w:rPr>
          <w:rFonts w:hint="eastAsia"/>
          <w:highlight w:val="none"/>
          <w:vertAlign w:val="subscript"/>
          <w:lang w:val="en-US" w:eastAsia="zh-CN"/>
        </w:rPr>
        <w:t>bar</w:t>
      </w:r>
      <w:r>
        <w:rPr>
          <w:rFonts w:hint="eastAsia"/>
          <w:highlight w:val="none"/>
          <w:lang w:val="en-US" w:eastAsia="zh-CN"/>
        </w:rPr>
        <w:t>）、其他多方面效应（A</w:t>
      </w:r>
      <w:r>
        <w:rPr>
          <w:rFonts w:hint="eastAsia"/>
          <w:highlight w:val="none"/>
          <w:vertAlign w:val="subscript"/>
          <w:lang w:val="en-US" w:eastAsia="zh-CN"/>
        </w:rPr>
        <w:t>misc</w:t>
      </w:r>
      <w:r>
        <w:rPr>
          <w:rFonts w:hint="eastAsia"/>
          <w:highlight w:val="none"/>
          <w:lang w:val="en-US" w:eastAsia="zh-CN"/>
        </w:rPr>
        <w:t>）引起的衰减。</w:t>
      </w:r>
    </w:p>
    <w:p w14:paraId="6E1ABFC1">
      <w:pPr>
        <w:bidi w:val="0"/>
        <w:rPr>
          <w:rFonts w:hint="default"/>
          <w:highlight w:val="none"/>
          <w:lang w:val="en-US" w:eastAsia="zh-CN"/>
        </w:rPr>
      </w:pPr>
      <w:r>
        <w:rPr>
          <w:rFonts w:hint="eastAsia"/>
          <w:highlight w:val="none"/>
          <w:lang w:val="en-US" w:eastAsia="zh-CN"/>
        </w:rPr>
        <w:t>①基本公式</w:t>
      </w:r>
    </w:p>
    <w:p w14:paraId="07341230">
      <w:pPr>
        <w:bidi w:val="0"/>
        <w:rPr>
          <w:rFonts w:hint="eastAsia"/>
          <w:highlight w:val="none"/>
          <w:lang w:val="en-US" w:eastAsia="zh-CN"/>
        </w:rPr>
      </w:pPr>
      <w:r>
        <w:rPr>
          <w:rFonts w:hint="eastAsia"/>
          <w:highlight w:val="none"/>
          <w:lang w:val="en-US" w:eastAsia="zh-CN"/>
        </w:rPr>
        <w:t>a）在环境影响评价中，应根据声源声功率级或参考位置处的声压级、户外声传播衰减，计算预测点的声级，分别按下列公式计算。</w:t>
      </w:r>
    </w:p>
    <w:p w14:paraId="37DFFF3D">
      <w:pPr>
        <w:bidi w:val="0"/>
        <w:ind w:left="0" w:leftChars="0" w:firstLine="0" w:firstLineChars="0"/>
        <w:jc w:val="center"/>
        <w:rPr>
          <w:rFonts w:hint="eastAsia"/>
          <w:highlight w:val="none"/>
          <w:lang w:val="en-US" w:eastAsia="zh-CN"/>
        </w:rPr>
      </w:pPr>
      <w:r>
        <w:rPr>
          <w:rFonts w:hint="eastAsia"/>
          <w:position w:val="-14"/>
          <w:highlight w:val="none"/>
          <w:lang w:val="en-US" w:eastAsia="zh-CN"/>
        </w:rPr>
        <w:object>
          <v:shape id="_x0000_i1033" o:spt="75" type="#_x0000_t75" style="height:19pt;width:249pt;" o:ole="t" filled="f" o:preferrelative="t" stroked="f" coordsize="21600,21600">
            <v:path/>
            <v:fill on="f" focussize="0,0"/>
            <v:stroke on="f"/>
            <v:imagedata r:id="rId54" o:title=""/>
            <o:lock v:ext="edit" aspectratio="t"/>
            <w10:wrap type="none"/>
            <w10:anchorlock/>
          </v:shape>
          <o:OLEObject Type="Embed" ProgID="Equation.KSEE3" ShapeID="_x0000_i1033" DrawAspect="Content" ObjectID="_1468075729" r:id="rId53">
            <o:LockedField>false</o:LockedField>
          </o:OLEObject>
        </w:object>
      </w:r>
    </w:p>
    <w:p w14:paraId="6E5B8DC8">
      <w:pPr>
        <w:bidi w:val="0"/>
        <w:ind w:left="0" w:leftChars="0" w:firstLine="720" w:firstLineChars="300"/>
        <w:rPr>
          <w:rFonts w:hint="eastAsia"/>
          <w:highlight w:val="none"/>
          <w:lang w:val="en-US" w:eastAsia="zh-CN"/>
        </w:rPr>
      </w:pPr>
      <w:r>
        <w:rPr>
          <w:rFonts w:hint="eastAsia"/>
          <w:highlight w:val="none"/>
          <w:lang w:val="en-US" w:eastAsia="zh-CN"/>
        </w:rPr>
        <w:t>式中：L</w:t>
      </w:r>
      <w:r>
        <w:rPr>
          <w:rFonts w:hint="eastAsia"/>
          <w:highlight w:val="none"/>
          <w:vertAlign w:val="subscript"/>
          <w:lang w:val="en-US" w:eastAsia="zh-CN"/>
        </w:rPr>
        <w:t>p</w:t>
      </w:r>
      <w:r>
        <w:rPr>
          <w:rFonts w:hint="eastAsia"/>
          <w:highlight w:val="none"/>
          <w:lang w:val="en-US" w:eastAsia="zh-CN"/>
        </w:rPr>
        <w:t>（r）——预测点处声压级，dB；</w:t>
      </w:r>
    </w:p>
    <w:p w14:paraId="4883431E">
      <w:pPr>
        <w:bidi w:val="0"/>
        <w:ind w:firstLine="1440" w:firstLineChars="600"/>
        <w:rPr>
          <w:rFonts w:hint="eastAsia"/>
          <w:highlight w:val="none"/>
          <w:lang w:val="en-US" w:eastAsia="zh-CN"/>
        </w:rPr>
      </w:pPr>
      <w:r>
        <w:rPr>
          <w:rFonts w:hint="eastAsia"/>
          <w:highlight w:val="none"/>
          <w:lang w:val="en-US" w:eastAsia="zh-CN"/>
        </w:rPr>
        <w:t>L</w:t>
      </w:r>
      <w:r>
        <w:rPr>
          <w:rFonts w:hint="eastAsia"/>
          <w:highlight w:val="none"/>
          <w:vertAlign w:val="subscript"/>
          <w:lang w:val="en-US" w:eastAsia="zh-CN"/>
        </w:rPr>
        <w:t>w</w:t>
      </w:r>
      <w:r>
        <w:rPr>
          <w:rFonts w:hint="eastAsia"/>
          <w:highlight w:val="none"/>
          <w:lang w:val="en-US" w:eastAsia="zh-CN"/>
        </w:rPr>
        <w:t>——由点声源产生的声功率级（A计权或倍频带），dB；</w:t>
      </w:r>
    </w:p>
    <w:p w14:paraId="0E7B2D57">
      <w:pPr>
        <w:bidi w:val="0"/>
        <w:ind w:firstLine="1440" w:firstLineChars="600"/>
        <w:rPr>
          <w:rFonts w:hint="eastAsia"/>
          <w:highlight w:val="none"/>
          <w:lang w:val="en-US" w:eastAsia="zh-CN"/>
        </w:rPr>
      </w:pPr>
      <w:r>
        <w:rPr>
          <w:rFonts w:hint="eastAsia"/>
          <w:highlight w:val="none"/>
          <w:lang w:val="en-US" w:eastAsia="zh-CN"/>
        </w:rPr>
        <w:t>D</w:t>
      </w:r>
      <w:r>
        <w:rPr>
          <w:rFonts w:hint="eastAsia"/>
          <w:highlight w:val="none"/>
          <w:vertAlign w:val="subscript"/>
          <w:lang w:val="en-US" w:eastAsia="zh-CN"/>
        </w:rPr>
        <w:t>C</w:t>
      </w:r>
      <w:r>
        <w:rPr>
          <w:rFonts w:hint="eastAsia"/>
          <w:highlight w:val="none"/>
          <w:lang w:val="en-US" w:eastAsia="zh-CN"/>
        </w:rPr>
        <w:t>——指向性校正，它描述点声源的等效连续声压级与产生声功率级L</w:t>
      </w:r>
      <w:r>
        <w:rPr>
          <w:rFonts w:hint="eastAsia"/>
          <w:highlight w:val="none"/>
          <w:vertAlign w:val="subscript"/>
          <w:lang w:val="en-US" w:eastAsia="zh-CN"/>
        </w:rPr>
        <w:t>w</w:t>
      </w:r>
      <w:r>
        <w:rPr>
          <w:rFonts w:hint="eastAsia"/>
          <w:highlight w:val="none"/>
          <w:lang w:val="en-US" w:eastAsia="zh-CN"/>
        </w:rPr>
        <w:t>的全向点声源在规定方向的声级的偏差程度，dB；</w:t>
      </w:r>
    </w:p>
    <w:p w14:paraId="532FD2C6">
      <w:pPr>
        <w:bidi w:val="0"/>
        <w:ind w:firstLine="1440" w:firstLineChars="600"/>
        <w:rPr>
          <w:rFonts w:hint="eastAsia"/>
          <w:highlight w:val="none"/>
          <w:lang w:val="en-US" w:eastAsia="zh-CN"/>
        </w:rPr>
      </w:pPr>
      <w:r>
        <w:rPr>
          <w:rFonts w:hint="eastAsia"/>
          <w:highlight w:val="none"/>
          <w:lang w:val="en-US" w:eastAsia="zh-CN"/>
        </w:rPr>
        <w:t>A</w:t>
      </w:r>
      <w:r>
        <w:rPr>
          <w:rFonts w:hint="eastAsia"/>
          <w:highlight w:val="none"/>
          <w:vertAlign w:val="subscript"/>
          <w:lang w:val="en-US" w:eastAsia="zh-CN"/>
        </w:rPr>
        <w:t>div</w:t>
      </w:r>
      <w:r>
        <w:rPr>
          <w:rFonts w:hint="eastAsia"/>
          <w:highlight w:val="none"/>
          <w:lang w:val="en-US" w:eastAsia="zh-CN"/>
        </w:rPr>
        <w:t>——几何发散引起的衰减，dB；</w:t>
      </w:r>
    </w:p>
    <w:p w14:paraId="55E60093">
      <w:pPr>
        <w:bidi w:val="0"/>
        <w:ind w:firstLine="1440" w:firstLineChars="600"/>
        <w:rPr>
          <w:rFonts w:hint="eastAsia"/>
          <w:highlight w:val="none"/>
          <w:lang w:val="en-US" w:eastAsia="zh-CN"/>
        </w:rPr>
      </w:pPr>
      <w:r>
        <w:rPr>
          <w:rFonts w:hint="eastAsia"/>
          <w:highlight w:val="none"/>
          <w:lang w:val="en-US" w:eastAsia="zh-CN"/>
        </w:rPr>
        <w:t>A</w:t>
      </w:r>
      <w:r>
        <w:rPr>
          <w:rFonts w:hint="eastAsia"/>
          <w:highlight w:val="none"/>
          <w:vertAlign w:val="subscript"/>
          <w:lang w:val="en-US" w:eastAsia="zh-CN"/>
        </w:rPr>
        <w:t>atm</w:t>
      </w:r>
      <w:r>
        <w:rPr>
          <w:rFonts w:hint="eastAsia"/>
          <w:highlight w:val="none"/>
          <w:lang w:val="en-US" w:eastAsia="zh-CN"/>
        </w:rPr>
        <w:t>——大气吸收引起的衰减，dB；</w:t>
      </w:r>
    </w:p>
    <w:p w14:paraId="75FED012">
      <w:pPr>
        <w:bidi w:val="0"/>
        <w:ind w:firstLine="1440" w:firstLineChars="600"/>
        <w:rPr>
          <w:rFonts w:hint="eastAsia"/>
          <w:highlight w:val="none"/>
          <w:lang w:val="en-US" w:eastAsia="zh-CN"/>
        </w:rPr>
      </w:pPr>
      <w:r>
        <w:rPr>
          <w:rFonts w:hint="eastAsia"/>
          <w:highlight w:val="none"/>
          <w:lang w:val="en-US" w:eastAsia="zh-CN"/>
        </w:rPr>
        <w:t>A</w:t>
      </w:r>
      <w:r>
        <w:rPr>
          <w:rFonts w:hint="eastAsia"/>
          <w:highlight w:val="none"/>
          <w:vertAlign w:val="subscript"/>
          <w:lang w:val="en-US" w:eastAsia="zh-CN"/>
        </w:rPr>
        <w:t>gr</w:t>
      </w:r>
      <w:r>
        <w:rPr>
          <w:rFonts w:hint="eastAsia"/>
          <w:highlight w:val="none"/>
          <w:lang w:val="en-US" w:eastAsia="zh-CN"/>
        </w:rPr>
        <w:t>——地面效应引起的衰减，dB；</w:t>
      </w:r>
    </w:p>
    <w:p w14:paraId="2BE05612">
      <w:pPr>
        <w:bidi w:val="0"/>
        <w:ind w:firstLine="1440" w:firstLineChars="600"/>
        <w:rPr>
          <w:rFonts w:hint="eastAsia"/>
          <w:highlight w:val="none"/>
          <w:lang w:val="en-US" w:eastAsia="zh-CN"/>
        </w:rPr>
      </w:pPr>
      <w:r>
        <w:rPr>
          <w:rFonts w:hint="eastAsia"/>
          <w:highlight w:val="none"/>
          <w:lang w:val="en-US" w:eastAsia="zh-CN"/>
        </w:rPr>
        <w:t>A</w:t>
      </w:r>
      <w:r>
        <w:rPr>
          <w:rFonts w:hint="eastAsia"/>
          <w:highlight w:val="none"/>
          <w:vertAlign w:val="subscript"/>
          <w:lang w:val="en-US" w:eastAsia="zh-CN"/>
        </w:rPr>
        <w:t>bar</w:t>
      </w:r>
      <w:r>
        <w:rPr>
          <w:rFonts w:hint="eastAsia"/>
          <w:highlight w:val="none"/>
          <w:lang w:val="en-US" w:eastAsia="zh-CN"/>
        </w:rPr>
        <w:t xml:space="preserve"> ——障碍物屏蔽引起的衰减，dB；</w:t>
      </w:r>
    </w:p>
    <w:p w14:paraId="017C1D9C">
      <w:pPr>
        <w:bidi w:val="0"/>
        <w:ind w:firstLine="1440" w:firstLineChars="600"/>
        <w:rPr>
          <w:rFonts w:hint="eastAsia"/>
          <w:highlight w:val="none"/>
          <w:lang w:val="en-US" w:eastAsia="zh-CN"/>
        </w:rPr>
      </w:pPr>
      <w:r>
        <w:rPr>
          <w:rFonts w:hint="eastAsia"/>
          <w:highlight w:val="none"/>
          <w:lang w:val="en-US" w:eastAsia="zh-CN"/>
        </w:rPr>
        <w:t>A</w:t>
      </w:r>
      <w:r>
        <w:rPr>
          <w:rFonts w:hint="eastAsia"/>
          <w:highlight w:val="none"/>
          <w:vertAlign w:val="subscript"/>
          <w:lang w:val="en-US" w:eastAsia="zh-CN"/>
        </w:rPr>
        <w:t>misc</w:t>
      </w:r>
      <w:r>
        <w:rPr>
          <w:rFonts w:hint="eastAsia"/>
          <w:highlight w:val="none"/>
          <w:lang w:val="en-US" w:eastAsia="zh-CN"/>
        </w:rPr>
        <w:t>——其他多方面效应引起的衰减，dB。</w:t>
      </w:r>
    </w:p>
    <w:p w14:paraId="6E175CA6">
      <w:pPr>
        <w:bidi w:val="0"/>
        <w:ind w:left="0" w:leftChars="0" w:firstLine="0" w:firstLineChars="0"/>
        <w:jc w:val="center"/>
        <w:rPr>
          <w:rFonts w:hint="eastAsia"/>
          <w:highlight w:val="none"/>
          <w:lang w:val="en-US" w:eastAsia="zh-CN"/>
        </w:rPr>
      </w:pPr>
      <w:r>
        <w:rPr>
          <w:rFonts w:hint="eastAsia"/>
          <w:position w:val="-14"/>
          <w:highlight w:val="none"/>
          <w:lang w:val="en-US" w:eastAsia="zh-CN"/>
        </w:rPr>
        <w:object>
          <v:shape id="_x0000_i1034" o:spt="75" type="#_x0000_t75" style="height:19pt;width:262pt;" o:ole="t" filled="f" o:preferrelative="t" stroked="f" coordsize="21600,21600">
            <v:path/>
            <v:fill on="f" focussize="0,0"/>
            <v:stroke on="f"/>
            <v:imagedata r:id="rId56" o:title=""/>
            <o:lock v:ext="edit" aspectratio="t"/>
            <w10:wrap type="none"/>
            <w10:anchorlock/>
          </v:shape>
          <o:OLEObject Type="Embed" ProgID="Equation.KSEE3" ShapeID="_x0000_i1034" DrawAspect="Content" ObjectID="_1468075730" r:id="rId55">
            <o:LockedField>false</o:LockedField>
          </o:OLEObject>
        </w:object>
      </w:r>
    </w:p>
    <w:p w14:paraId="129199B3">
      <w:pPr>
        <w:bidi w:val="0"/>
        <w:ind w:left="0" w:leftChars="0" w:firstLine="720" w:firstLineChars="300"/>
        <w:rPr>
          <w:rFonts w:hint="eastAsia"/>
          <w:highlight w:val="none"/>
          <w:lang w:val="en-US" w:eastAsia="zh-CN"/>
        </w:rPr>
      </w:pPr>
      <w:r>
        <w:rPr>
          <w:rFonts w:hint="eastAsia"/>
          <w:highlight w:val="none"/>
          <w:lang w:val="en-US" w:eastAsia="zh-CN"/>
        </w:rPr>
        <w:t>式中：L</w:t>
      </w:r>
      <w:r>
        <w:rPr>
          <w:rFonts w:hint="eastAsia"/>
          <w:highlight w:val="none"/>
          <w:vertAlign w:val="subscript"/>
          <w:lang w:val="en-US" w:eastAsia="zh-CN"/>
        </w:rPr>
        <w:t>p</w:t>
      </w:r>
      <w:r>
        <w:rPr>
          <w:rFonts w:hint="eastAsia"/>
          <w:highlight w:val="none"/>
          <w:vertAlign w:val="baseline"/>
          <w:lang w:val="en-US" w:eastAsia="zh-CN"/>
        </w:rPr>
        <w:t>（r）</w:t>
      </w:r>
      <w:r>
        <w:rPr>
          <w:rFonts w:hint="eastAsia"/>
          <w:highlight w:val="none"/>
          <w:lang w:val="en-US" w:eastAsia="zh-CN"/>
        </w:rPr>
        <w:t>——预测点处声压级，dB；</w:t>
      </w:r>
    </w:p>
    <w:p w14:paraId="1FA80C84">
      <w:pPr>
        <w:bidi w:val="0"/>
        <w:ind w:left="0" w:leftChars="0" w:firstLine="1440" w:firstLineChars="600"/>
        <w:rPr>
          <w:rFonts w:hint="eastAsia"/>
          <w:highlight w:val="none"/>
          <w:lang w:val="en-US" w:eastAsia="zh-CN"/>
        </w:rPr>
      </w:pPr>
      <w:r>
        <w:rPr>
          <w:rFonts w:hint="eastAsia"/>
          <w:highlight w:val="none"/>
          <w:lang w:val="en-US" w:eastAsia="zh-CN"/>
        </w:rPr>
        <w:t>L</w:t>
      </w:r>
      <w:r>
        <w:rPr>
          <w:rFonts w:hint="eastAsia"/>
          <w:highlight w:val="none"/>
          <w:vertAlign w:val="subscript"/>
          <w:lang w:val="en-US" w:eastAsia="zh-CN"/>
        </w:rPr>
        <w:t>p</w:t>
      </w:r>
      <w:r>
        <w:rPr>
          <w:rFonts w:hint="eastAsia"/>
          <w:highlight w:val="none"/>
          <w:vertAlign w:val="baseline"/>
          <w:lang w:val="en-US" w:eastAsia="zh-CN"/>
        </w:rPr>
        <w:t>（r</w:t>
      </w:r>
      <w:r>
        <w:rPr>
          <w:rFonts w:hint="eastAsia"/>
          <w:highlight w:val="none"/>
          <w:vertAlign w:val="subscript"/>
          <w:lang w:val="en-US" w:eastAsia="zh-CN"/>
        </w:rPr>
        <w:t>0</w:t>
      </w:r>
      <w:r>
        <w:rPr>
          <w:rFonts w:hint="eastAsia"/>
          <w:highlight w:val="none"/>
          <w:vertAlign w:val="baseline"/>
          <w:lang w:val="en-US" w:eastAsia="zh-CN"/>
        </w:rPr>
        <w:t>）</w:t>
      </w:r>
      <w:r>
        <w:rPr>
          <w:rFonts w:hint="eastAsia"/>
          <w:highlight w:val="none"/>
          <w:lang w:val="en-US" w:eastAsia="zh-CN"/>
        </w:rPr>
        <w:t>——参考位置r0 处的声压级，dB；</w:t>
      </w:r>
    </w:p>
    <w:p w14:paraId="639D3847">
      <w:pPr>
        <w:bidi w:val="0"/>
        <w:ind w:left="0" w:leftChars="0" w:firstLine="1440" w:firstLineChars="600"/>
        <w:rPr>
          <w:rFonts w:hint="eastAsia"/>
          <w:highlight w:val="none"/>
          <w:lang w:val="en-US" w:eastAsia="zh-CN"/>
        </w:rPr>
      </w:pPr>
      <w:r>
        <w:rPr>
          <w:rFonts w:hint="eastAsia"/>
          <w:highlight w:val="none"/>
          <w:lang w:val="en-US" w:eastAsia="zh-CN"/>
        </w:rPr>
        <w:t>D</w:t>
      </w:r>
      <w:r>
        <w:rPr>
          <w:rFonts w:hint="eastAsia"/>
          <w:highlight w:val="none"/>
          <w:vertAlign w:val="subscript"/>
          <w:lang w:val="en-US" w:eastAsia="zh-CN"/>
        </w:rPr>
        <w:t>C</w:t>
      </w:r>
      <w:r>
        <w:rPr>
          <w:rFonts w:hint="eastAsia"/>
          <w:highlight w:val="none"/>
          <w:lang w:val="en-US" w:eastAsia="zh-CN"/>
        </w:rPr>
        <w:t>——指向性校正，它描述点声源的等效连续声压级与产生声功率级Lw的全向点声源在规定方向的声级的偏差程度，dB；</w:t>
      </w:r>
    </w:p>
    <w:p w14:paraId="2882467C">
      <w:pPr>
        <w:bidi w:val="0"/>
        <w:ind w:left="0" w:leftChars="0" w:firstLine="1440" w:firstLineChars="600"/>
        <w:rPr>
          <w:rFonts w:hint="eastAsia"/>
          <w:highlight w:val="none"/>
          <w:lang w:val="en-US" w:eastAsia="zh-CN"/>
        </w:rPr>
      </w:pPr>
      <w:r>
        <w:rPr>
          <w:rFonts w:hint="eastAsia"/>
          <w:highlight w:val="none"/>
          <w:lang w:val="en-US" w:eastAsia="zh-CN"/>
        </w:rPr>
        <w:t>A</w:t>
      </w:r>
      <w:r>
        <w:rPr>
          <w:rFonts w:hint="eastAsia"/>
          <w:highlight w:val="none"/>
          <w:vertAlign w:val="subscript"/>
          <w:lang w:val="en-US" w:eastAsia="zh-CN"/>
        </w:rPr>
        <w:t>div</w:t>
      </w:r>
      <w:r>
        <w:rPr>
          <w:rFonts w:hint="eastAsia"/>
          <w:highlight w:val="none"/>
          <w:lang w:val="en-US" w:eastAsia="zh-CN"/>
        </w:rPr>
        <w:t>——几何发散引起的衰减，dB；</w:t>
      </w:r>
    </w:p>
    <w:p w14:paraId="6B87E7AE">
      <w:pPr>
        <w:bidi w:val="0"/>
        <w:ind w:left="0" w:leftChars="0" w:firstLine="1440" w:firstLineChars="600"/>
        <w:rPr>
          <w:rFonts w:hint="eastAsia"/>
          <w:highlight w:val="none"/>
          <w:lang w:val="en-US" w:eastAsia="zh-CN"/>
        </w:rPr>
      </w:pPr>
      <w:r>
        <w:rPr>
          <w:rFonts w:hint="eastAsia"/>
          <w:highlight w:val="none"/>
          <w:lang w:val="en-US" w:eastAsia="zh-CN"/>
        </w:rPr>
        <w:t>A</w:t>
      </w:r>
      <w:r>
        <w:rPr>
          <w:rFonts w:hint="eastAsia"/>
          <w:highlight w:val="none"/>
          <w:vertAlign w:val="subscript"/>
          <w:lang w:val="en-US" w:eastAsia="zh-CN"/>
        </w:rPr>
        <w:t>atm</w:t>
      </w:r>
      <w:r>
        <w:rPr>
          <w:rFonts w:hint="eastAsia"/>
          <w:highlight w:val="none"/>
          <w:lang w:val="en-US" w:eastAsia="zh-CN"/>
        </w:rPr>
        <w:t>——大气吸收引起的衰减，dB；</w:t>
      </w:r>
    </w:p>
    <w:p w14:paraId="662A793D">
      <w:pPr>
        <w:bidi w:val="0"/>
        <w:ind w:firstLine="1440" w:firstLineChars="600"/>
        <w:rPr>
          <w:rFonts w:hint="eastAsia"/>
          <w:highlight w:val="none"/>
          <w:lang w:val="en-US" w:eastAsia="zh-CN"/>
        </w:rPr>
      </w:pPr>
      <w:r>
        <w:rPr>
          <w:rFonts w:hint="eastAsia"/>
          <w:highlight w:val="none"/>
          <w:lang w:val="en-US" w:eastAsia="zh-CN"/>
        </w:rPr>
        <w:t>A</w:t>
      </w:r>
      <w:r>
        <w:rPr>
          <w:rFonts w:hint="eastAsia"/>
          <w:highlight w:val="none"/>
          <w:vertAlign w:val="subscript"/>
          <w:lang w:val="en-US" w:eastAsia="zh-CN"/>
        </w:rPr>
        <w:t>gr</w:t>
      </w:r>
      <w:r>
        <w:rPr>
          <w:rFonts w:hint="eastAsia"/>
          <w:highlight w:val="none"/>
          <w:lang w:val="en-US" w:eastAsia="zh-CN"/>
        </w:rPr>
        <w:t>——地面效应引起的衰减，dB；</w:t>
      </w:r>
    </w:p>
    <w:p w14:paraId="4DCB9186">
      <w:pPr>
        <w:bidi w:val="0"/>
        <w:ind w:left="0" w:leftChars="0" w:firstLine="1440" w:firstLineChars="600"/>
        <w:rPr>
          <w:rFonts w:hint="eastAsia"/>
          <w:highlight w:val="none"/>
          <w:lang w:val="en-US" w:eastAsia="zh-CN"/>
        </w:rPr>
      </w:pPr>
      <w:r>
        <w:rPr>
          <w:rFonts w:hint="eastAsia"/>
          <w:highlight w:val="none"/>
          <w:lang w:val="en-US" w:eastAsia="zh-CN"/>
        </w:rPr>
        <w:t>A</w:t>
      </w:r>
      <w:r>
        <w:rPr>
          <w:rFonts w:hint="eastAsia"/>
          <w:highlight w:val="none"/>
          <w:vertAlign w:val="subscript"/>
          <w:lang w:val="en-US" w:eastAsia="zh-CN"/>
        </w:rPr>
        <w:t>bar</w:t>
      </w:r>
      <w:r>
        <w:rPr>
          <w:rFonts w:hint="eastAsia"/>
          <w:highlight w:val="none"/>
          <w:lang w:val="en-US" w:eastAsia="zh-CN"/>
        </w:rPr>
        <w:t>——障碍物屏蔽引起的衰减，dB；</w:t>
      </w:r>
    </w:p>
    <w:p w14:paraId="34D30892">
      <w:pPr>
        <w:bidi w:val="0"/>
        <w:ind w:left="0" w:leftChars="0" w:firstLine="1440" w:firstLineChars="600"/>
        <w:rPr>
          <w:rFonts w:hint="eastAsia"/>
          <w:highlight w:val="none"/>
          <w:lang w:val="en-US" w:eastAsia="zh-CN"/>
        </w:rPr>
      </w:pPr>
      <w:r>
        <w:rPr>
          <w:rFonts w:hint="eastAsia"/>
          <w:highlight w:val="none"/>
          <w:lang w:val="en-US" w:eastAsia="zh-CN"/>
        </w:rPr>
        <w:t>A</w:t>
      </w:r>
      <w:r>
        <w:rPr>
          <w:rFonts w:hint="eastAsia"/>
          <w:highlight w:val="none"/>
          <w:vertAlign w:val="subscript"/>
          <w:lang w:val="en-US" w:eastAsia="zh-CN"/>
        </w:rPr>
        <w:t>misc</w:t>
      </w:r>
      <w:r>
        <w:rPr>
          <w:rFonts w:hint="eastAsia"/>
          <w:highlight w:val="none"/>
          <w:lang w:val="en-US" w:eastAsia="zh-CN"/>
        </w:rPr>
        <w:t>——其他多方面效应引起的衰减，dB。</w:t>
      </w:r>
    </w:p>
    <w:p w14:paraId="171A2814">
      <w:pPr>
        <w:bidi w:val="0"/>
        <w:rPr>
          <w:rFonts w:hint="eastAsia"/>
          <w:highlight w:val="none"/>
          <w:lang w:val="en-US" w:eastAsia="zh-CN"/>
        </w:rPr>
      </w:pPr>
      <w:r>
        <w:rPr>
          <w:rFonts w:hint="eastAsia"/>
          <w:highlight w:val="none"/>
          <w:lang w:val="en-US" w:eastAsia="zh-CN"/>
        </w:rPr>
        <w:t>b）预测点的A声级L</w:t>
      </w:r>
      <w:r>
        <w:rPr>
          <w:rFonts w:hint="eastAsia"/>
          <w:highlight w:val="none"/>
          <w:vertAlign w:val="subscript"/>
          <w:lang w:val="en-US" w:eastAsia="zh-CN"/>
        </w:rPr>
        <w:t>A</w:t>
      </w:r>
      <w:r>
        <w:rPr>
          <w:rFonts w:hint="eastAsia"/>
          <w:highlight w:val="none"/>
          <w:lang w:val="en-US" w:eastAsia="zh-CN"/>
        </w:rPr>
        <w:t>（r）可按下式计算，即将8个倍频带声压级合成，计算出预测点的A声级。</w:t>
      </w:r>
    </w:p>
    <w:p w14:paraId="34AFC3AB">
      <w:pPr>
        <w:bidi w:val="0"/>
        <w:ind w:left="0" w:leftChars="0" w:firstLine="0" w:firstLineChars="0"/>
        <w:jc w:val="center"/>
        <w:rPr>
          <w:rFonts w:hint="eastAsia"/>
          <w:highlight w:val="yellow"/>
          <w:lang w:val="en-US" w:eastAsia="zh-CN"/>
        </w:rPr>
      </w:pPr>
      <w:r>
        <w:rPr>
          <w:rFonts w:hint="eastAsia"/>
          <w:position w:val="-30"/>
          <w:highlight w:val="none"/>
          <w:lang w:val="en-US" w:eastAsia="zh-CN"/>
        </w:rPr>
        <w:object>
          <v:shape id="_x0000_i1035" o:spt="75" type="#_x0000_t75" style="height:36pt;width:155.25pt;" o:ole="t" filled="f" o:preferrelative="t" stroked="f" coordsize="21600,21600">
            <v:path/>
            <v:fill on="f" focussize="0,0"/>
            <v:stroke on="f"/>
            <v:imagedata r:id="rId58" o:title=""/>
            <o:lock v:ext="edit" aspectratio="t"/>
            <w10:wrap type="none"/>
            <w10:anchorlock/>
          </v:shape>
          <o:OLEObject Type="Embed" ProgID="Equation.KSEE3" ShapeID="_x0000_i1035" DrawAspect="Content" ObjectID="_1468075731" r:id="rId57">
            <o:LockedField>false</o:LockedField>
          </o:OLEObject>
        </w:object>
      </w:r>
    </w:p>
    <w:p w14:paraId="22F1A2AE">
      <w:pPr>
        <w:bidi w:val="0"/>
        <w:ind w:left="0" w:leftChars="0" w:firstLine="720" w:firstLineChars="300"/>
        <w:rPr>
          <w:rFonts w:hint="eastAsia"/>
          <w:highlight w:val="none"/>
          <w:lang w:val="en-US" w:eastAsia="zh-CN"/>
        </w:rPr>
      </w:pPr>
      <w:r>
        <w:rPr>
          <w:rFonts w:hint="eastAsia"/>
          <w:highlight w:val="none"/>
          <w:lang w:val="en-US" w:eastAsia="zh-CN"/>
        </w:rPr>
        <w:t>式中：</w:t>
      </w:r>
      <w:r>
        <w:rPr>
          <w:rFonts w:hint="default" w:ascii="Times New Roman" w:hAnsi="Times New Roman" w:cs="Times New Roman"/>
          <w:highlight w:val="none"/>
          <w:lang w:val="en-US" w:eastAsia="zh-CN"/>
        </w:rPr>
        <w:t>L</w:t>
      </w:r>
      <w:r>
        <w:rPr>
          <w:rFonts w:hint="default" w:ascii="Times New Roman" w:hAnsi="Times New Roman" w:cs="Times New Roman"/>
          <w:highlight w:val="none"/>
          <w:vertAlign w:val="subscript"/>
          <w:lang w:val="en-US" w:eastAsia="zh-CN"/>
        </w:rPr>
        <w:t>A</w:t>
      </w:r>
      <w:r>
        <w:rPr>
          <w:rFonts w:hint="eastAsia"/>
          <w:highlight w:val="none"/>
          <w:lang w:val="en-US" w:eastAsia="zh-CN"/>
        </w:rPr>
        <w:t>（r）——距声源r处的A 声级，dB（A）；</w:t>
      </w:r>
    </w:p>
    <w:p w14:paraId="51B1AE46">
      <w:pPr>
        <w:bidi w:val="0"/>
        <w:ind w:left="0" w:leftChars="0" w:firstLine="1440" w:firstLineChars="600"/>
        <w:rPr>
          <w:rFonts w:hint="eastAsia"/>
          <w:highlight w:val="none"/>
          <w:lang w:val="en-US" w:eastAsia="zh-CN"/>
        </w:rPr>
      </w:pPr>
      <w:r>
        <w:rPr>
          <w:rFonts w:hint="eastAsia"/>
          <w:highlight w:val="none"/>
          <w:lang w:val="en-US" w:eastAsia="zh-CN"/>
        </w:rPr>
        <w:t>L</w:t>
      </w:r>
      <w:r>
        <w:rPr>
          <w:rFonts w:hint="eastAsia"/>
          <w:highlight w:val="none"/>
          <w:vertAlign w:val="subscript"/>
          <w:lang w:val="en-US" w:eastAsia="zh-CN"/>
        </w:rPr>
        <w:t>pi</w:t>
      </w:r>
      <w:r>
        <w:rPr>
          <w:rFonts w:hint="eastAsia"/>
          <w:highlight w:val="none"/>
          <w:lang w:val="en-US" w:eastAsia="zh-CN"/>
        </w:rPr>
        <w:t>（r）——预测点（r）处，第i倍频带声压级，dB；</w:t>
      </w:r>
    </w:p>
    <w:p w14:paraId="302B145D">
      <w:pPr>
        <w:bidi w:val="0"/>
        <w:ind w:left="0" w:leftChars="0" w:firstLine="1440" w:firstLineChars="600"/>
        <w:rPr>
          <w:rFonts w:hint="eastAsia"/>
          <w:highlight w:val="none"/>
          <w:lang w:val="en-US" w:eastAsia="zh-CN"/>
        </w:rPr>
      </w:pPr>
      <w:r>
        <w:rPr>
          <w:rFonts w:hint="default" w:ascii="Times New Roman" w:hAnsi="Times New Roman" w:cs="Times New Roman"/>
          <w:highlight w:val="none"/>
          <w:lang w:val="en-US" w:eastAsia="zh-CN"/>
        </w:rPr>
        <w:t>Δ</w:t>
      </w:r>
      <w:r>
        <w:rPr>
          <w:rFonts w:hint="eastAsia"/>
          <w:highlight w:val="none"/>
          <w:lang w:val="en-US" w:eastAsia="zh-CN"/>
        </w:rPr>
        <w:t>L</w:t>
      </w:r>
      <w:r>
        <w:rPr>
          <w:rFonts w:hint="eastAsia"/>
          <w:highlight w:val="none"/>
          <w:vertAlign w:val="subscript"/>
          <w:lang w:val="en-US" w:eastAsia="zh-CN"/>
        </w:rPr>
        <w:t>i</w:t>
      </w:r>
      <w:r>
        <w:rPr>
          <w:rFonts w:hint="eastAsia"/>
          <w:highlight w:val="none"/>
          <w:lang w:val="en-US" w:eastAsia="zh-CN"/>
        </w:rPr>
        <w:t>——第i倍频带的A计权网络修正值，dB。</w:t>
      </w:r>
    </w:p>
    <w:p w14:paraId="691933E0">
      <w:pPr>
        <w:bidi w:val="0"/>
        <w:rPr>
          <w:rFonts w:hint="eastAsia"/>
          <w:lang w:val="en-US" w:eastAsia="zh-CN"/>
        </w:rPr>
      </w:pPr>
      <w:r>
        <w:rPr>
          <w:rFonts w:hint="eastAsia"/>
          <w:lang w:val="en-US" w:eastAsia="zh-CN"/>
        </w:rPr>
        <w:t>c）在只考虑几何发散衰减时，可按下式计算。</w:t>
      </w:r>
    </w:p>
    <w:p w14:paraId="1C31C2E7">
      <w:pPr>
        <w:bidi w:val="0"/>
        <w:ind w:left="0" w:leftChars="0" w:firstLine="0" w:firstLineChars="0"/>
        <w:jc w:val="center"/>
        <w:rPr>
          <w:rFonts w:hint="eastAsia"/>
          <w:highlight w:val="none"/>
          <w:lang w:val="en-US" w:eastAsia="zh-CN"/>
        </w:rPr>
      </w:pPr>
      <w:r>
        <w:rPr>
          <w:rFonts w:hint="eastAsia"/>
          <w:position w:val="-12"/>
          <w:highlight w:val="none"/>
          <w:lang w:val="en-US" w:eastAsia="zh-CN"/>
        </w:rPr>
        <w:object>
          <v:shape id="_x0000_i1036" o:spt="75" type="#_x0000_t75" style="height:18pt;width:103.95pt;" o:ole="t" filled="f" o:preferrelative="t" stroked="f" coordsize="21600,21600">
            <v:path/>
            <v:fill on="f" focussize="0,0"/>
            <v:stroke on="f"/>
            <v:imagedata r:id="rId60" o:title=""/>
            <o:lock v:ext="edit" aspectratio="t"/>
            <w10:wrap type="none"/>
            <w10:anchorlock/>
          </v:shape>
          <o:OLEObject Type="Embed" ProgID="Equation.KSEE3" ShapeID="_x0000_i1036" DrawAspect="Content" ObjectID="_1468075732" r:id="rId59">
            <o:LockedField>false</o:LockedField>
          </o:OLEObject>
        </w:object>
      </w:r>
    </w:p>
    <w:p w14:paraId="415B3C8B">
      <w:pPr>
        <w:bidi w:val="0"/>
        <w:ind w:left="0" w:leftChars="0" w:firstLine="720" w:firstLineChars="300"/>
        <w:rPr>
          <w:rFonts w:hint="eastAsia"/>
          <w:highlight w:val="none"/>
          <w:lang w:val="en-US" w:eastAsia="zh-CN"/>
        </w:rPr>
      </w:pPr>
      <w:r>
        <w:rPr>
          <w:rFonts w:hint="eastAsia"/>
          <w:highlight w:val="none"/>
          <w:lang w:val="en-US" w:eastAsia="zh-CN"/>
        </w:rPr>
        <w:t>式中：L</w:t>
      </w:r>
      <w:r>
        <w:rPr>
          <w:rFonts w:hint="eastAsia"/>
          <w:highlight w:val="none"/>
          <w:vertAlign w:val="subscript"/>
          <w:lang w:val="en-US" w:eastAsia="zh-CN"/>
        </w:rPr>
        <w:t>A</w:t>
      </w:r>
      <w:r>
        <w:rPr>
          <w:rFonts w:hint="eastAsia"/>
          <w:highlight w:val="none"/>
          <w:lang w:val="en-US" w:eastAsia="zh-CN"/>
        </w:rPr>
        <w:t>（r）——距声源r处的A声级，dB（A）；</w:t>
      </w:r>
    </w:p>
    <w:p w14:paraId="534B32C5">
      <w:pPr>
        <w:bidi w:val="0"/>
        <w:ind w:left="0" w:leftChars="0" w:firstLine="1440" w:firstLineChars="600"/>
        <w:rPr>
          <w:rFonts w:hint="eastAsia"/>
          <w:highlight w:val="none"/>
          <w:lang w:val="en-US" w:eastAsia="zh-CN"/>
        </w:rPr>
      </w:pPr>
      <w:r>
        <w:rPr>
          <w:rFonts w:hint="eastAsia"/>
          <w:highlight w:val="none"/>
          <w:lang w:val="en-US" w:eastAsia="zh-CN"/>
        </w:rPr>
        <w:t>L</w:t>
      </w:r>
      <w:r>
        <w:rPr>
          <w:rFonts w:hint="eastAsia"/>
          <w:highlight w:val="none"/>
          <w:vertAlign w:val="subscript"/>
          <w:lang w:val="en-US" w:eastAsia="zh-CN"/>
        </w:rPr>
        <w:t>A</w:t>
      </w:r>
      <w:r>
        <w:rPr>
          <w:rFonts w:hint="eastAsia"/>
          <w:highlight w:val="none"/>
          <w:lang w:val="en-US" w:eastAsia="zh-CN"/>
        </w:rPr>
        <w:t>（r</w:t>
      </w:r>
      <w:r>
        <w:rPr>
          <w:rFonts w:hint="eastAsia"/>
          <w:highlight w:val="none"/>
          <w:vertAlign w:val="subscript"/>
          <w:lang w:val="en-US" w:eastAsia="zh-CN"/>
        </w:rPr>
        <w:t>0</w:t>
      </w:r>
      <w:r>
        <w:rPr>
          <w:rFonts w:hint="eastAsia"/>
          <w:highlight w:val="none"/>
          <w:lang w:val="en-US" w:eastAsia="zh-CN"/>
        </w:rPr>
        <w:t>）——参考位置r</w:t>
      </w:r>
      <w:r>
        <w:rPr>
          <w:rFonts w:hint="eastAsia"/>
          <w:highlight w:val="none"/>
          <w:vertAlign w:val="subscript"/>
          <w:lang w:val="en-US" w:eastAsia="zh-CN"/>
        </w:rPr>
        <w:t>0</w:t>
      </w:r>
      <w:r>
        <w:rPr>
          <w:rFonts w:hint="eastAsia"/>
          <w:highlight w:val="none"/>
          <w:lang w:val="en-US" w:eastAsia="zh-CN"/>
        </w:rPr>
        <w:t>处的A声级，dB（A）；</w:t>
      </w:r>
    </w:p>
    <w:p w14:paraId="06C0F6AE">
      <w:pPr>
        <w:bidi w:val="0"/>
        <w:ind w:left="0" w:leftChars="0" w:firstLine="1440" w:firstLineChars="600"/>
        <w:rPr>
          <w:rFonts w:hint="eastAsia"/>
          <w:highlight w:val="none"/>
          <w:lang w:val="en-US" w:eastAsia="zh-CN"/>
        </w:rPr>
      </w:pPr>
      <w:r>
        <w:rPr>
          <w:rFonts w:hint="eastAsia"/>
          <w:highlight w:val="none"/>
          <w:lang w:val="en-US" w:eastAsia="zh-CN"/>
        </w:rPr>
        <w:t>A</w:t>
      </w:r>
      <w:r>
        <w:rPr>
          <w:rFonts w:hint="eastAsia"/>
          <w:highlight w:val="none"/>
          <w:vertAlign w:val="subscript"/>
          <w:lang w:val="en-US" w:eastAsia="zh-CN"/>
        </w:rPr>
        <w:t>div</w:t>
      </w:r>
      <w:r>
        <w:rPr>
          <w:rFonts w:hint="eastAsia"/>
          <w:highlight w:val="none"/>
          <w:lang w:val="en-US" w:eastAsia="zh-CN"/>
        </w:rPr>
        <w:t>——几何发散引起的衰减，dB。</w:t>
      </w:r>
    </w:p>
    <w:p w14:paraId="720B1134">
      <w:pPr>
        <w:bidi w:val="0"/>
        <w:rPr>
          <w:rFonts w:hint="default"/>
          <w:lang w:val="en-US" w:eastAsia="zh-CN"/>
        </w:rPr>
      </w:pPr>
      <w:r>
        <w:rPr>
          <w:rFonts w:hint="eastAsia"/>
          <w:lang w:val="en-US" w:eastAsia="zh-CN"/>
        </w:rPr>
        <w:t>②衰减项</w:t>
      </w:r>
    </w:p>
    <w:p w14:paraId="21E4DF44">
      <w:pPr>
        <w:bidi w:val="0"/>
        <w:rPr>
          <w:rFonts w:hint="default"/>
          <w:lang w:val="en-US" w:eastAsia="zh-CN"/>
        </w:rPr>
      </w:pPr>
      <w:r>
        <w:rPr>
          <w:rFonts w:hint="eastAsia"/>
          <w:lang w:val="en-US" w:eastAsia="zh-CN"/>
        </w:rPr>
        <w:t>a）无指向性点声源几何发散衰减</w:t>
      </w:r>
    </w:p>
    <w:p w14:paraId="6874B3FD">
      <w:pPr>
        <w:bidi w:val="0"/>
        <w:ind w:left="0" w:leftChars="0" w:firstLine="0" w:firstLineChars="0"/>
        <w:jc w:val="center"/>
        <w:rPr>
          <w:rFonts w:hint="eastAsia"/>
          <w:highlight w:val="yellow"/>
          <w:lang w:val="en-US" w:eastAsia="zh-CN"/>
        </w:rPr>
      </w:pPr>
      <w:r>
        <w:rPr>
          <w:rFonts w:hint="eastAsia"/>
          <w:position w:val="-14"/>
          <w:highlight w:val="none"/>
          <w:lang w:val="en-US" w:eastAsia="zh-CN"/>
        </w:rPr>
        <w:object>
          <v:shape id="_x0000_i1037" o:spt="75" type="#_x0000_t75" style="height:19pt;width:139pt;" o:ole="t" filled="f" o:preferrelative="t" stroked="f" coordsize="21600,21600">
            <v:path/>
            <v:fill on="f" focussize="0,0"/>
            <v:stroke on="f"/>
            <v:imagedata r:id="rId62" o:title=""/>
            <o:lock v:ext="edit" aspectratio="t"/>
            <w10:wrap type="none"/>
            <w10:anchorlock/>
          </v:shape>
          <o:OLEObject Type="Embed" ProgID="Equation.KSEE3" ShapeID="_x0000_i1037" DrawAspect="Content" ObjectID="_1468075733" r:id="rId61">
            <o:LockedField>false</o:LockedField>
          </o:OLEObject>
        </w:object>
      </w:r>
    </w:p>
    <w:p w14:paraId="108418F2">
      <w:pPr>
        <w:bidi w:val="0"/>
        <w:ind w:left="0" w:leftChars="0" w:firstLine="720" w:firstLineChars="300"/>
        <w:rPr>
          <w:rFonts w:hint="eastAsia"/>
          <w:highlight w:val="none"/>
          <w:lang w:val="en-US" w:eastAsia="zh-CN"/>
        </w:rPr>
      </w:pPr>
      <w:r>
        <w:rPr>
          <w:rFonts w:hint="eastAsia"/>
          <w:highlight w:val="none"/>
          <w:lang w:val="en-US" w:eastAsia="zh-CN"/>
        </w:rPr>
        <w:t>式中：L</w:t>
      </w:r>
      <w:r>
        <w:rPr>
          <w:rFonts w:hint="eastAsia"/>
          <w:highlight w:val="none"/>
          <w:vertAlign w:val="subscript"/>
          <w:lang w:val="en-US" w:eastAsia="zh-CN"/>
        </w:rPr>
        <w:t>p</w:t>
      </w:r>
      <w:r>
        <w:rPr>
          <w:rFonts w:hint="eastAsia"/>
          <w:highlight w:val="none"/>
          <w:lang w:val="en-US" w:eastAsia="zh-CN"/>
        </w:rPr>
        <w:t>（r）——预测点处声压级，dB；</w:t>
      </w:r>
    </w:p>
    <w:p w14:paraId="0CF72910">
      <w:pPr>
        <w:bidi w:val="0"/>
        <w:ind w:left="0" w:leftChars="0" w:firstLine="1440" w:firstLineChars="600"/>
        <w:rPr>
          <w:rFonts w:hint="eastAsia"/>
          <w:highlight w:val="none"/>
          <w:lang w:val="en-US" w:eastAsia="zh-CN"/>
        </w:rPr>
      </w:pPr>
      <w:r>
        <w:rPr>
          <w:rFonts w:hint="eastAsia"/>
          <w:highlight w:val="none"/>
          <w:lang w:val="en-US" w:eastAsia="zh-CN"/>
        </w:rPr>
        <w:t>L</w:t>
      </w:r>
      <w:r>
        <w:rPr>
          <w:rFonts w:hint="eastAsia"/>
          <w:highlight w:val="none"/>
          <w:vertAlign w:val="subscript"/>
          <w:lang w:val="en-US" w:eastAsia="zh-CN"/>
        </w:rPr>
        <w:t>p</w:t>
      </w:r>
      <w:r>
        <w:rPr>
          <w:rFonts w:hint="eastAsia"/>
          <w:highlight w:val="none"/>
          <w:lang w:val="en-US" w:eastAsia="zh-CN"/>
        </w:rPr>
        <w:t>（r</w:t>
      </w:r>
      <w:r>
        <w:rPr>
          <w:rFonts w:hint="eastAsia"/>
          <w:highlight w:val="none"/>
          <w:vertAlign w:val="subscript"/>
          <w:lang w:val="en-US" w:eastAsia="zh-CN"/>
        </w:rPr>
        <w:t>0</w:t>
      </w:r>
      <w:r>
        <w:rPr>
          <w:rFonts w:hint="eastAsia"/>
          <w:highlight w:val="none"/>
          <w:lang w:val="en-US" w:eastAsia="zh-CN"/>
        </w:rPr>
        <w:t>）——参考位置r</w:t>
      </w:r>
      <w:r>
        <w:rPr>
          <w:rFonts w:hint="eastAsia"/>
          <w:highlight w:val="none"/>
          <w:vertAlign w:val="subscript"/>
          <w:lang w:val="en-US" w:eastAsia="zh-CN"/>
        </w:rPr>
        <w:t>0</w:t>
      </w:r>
      <w:r>
        <w:rPr>
          <w:rFonts w:hint="eastAsia"/>
          <w:highlight w:val="none"/>
          <w:lang w:val="en-US" w:eastAsia="zh-CN"/>
        </w:rPr>
        <w:t>处的声压级，dB；</w:t>
      </w:r>
    </w:p>
    <w:p w14:paraId="55025FA3">
      <w:pPr>
        <w:bidi w:val="0"/>
        <w:ind w:left="0" w:leftChars="0" w:firstLine="1440" w:firstLineChars="600"/>
        <w:rPr>
          <w:rFonts w:hint="eastAsia"/>
          <w:highlight w:val="none"/>
          <w:lang w:val="en-US" w:eastAsia="zh-CN"/>
        </w:rPr>
      </w:pPr>
      <w:r>
        <w:rPr>
          <w:rFonts w:hint="eastAsia"/>
          <w:highlight w:val="none"/>
          <w:lang w:val="en-US" w:eastAsia="zh-CN"/>
        </w:rPr>
        <w:t>r——预测点距声源的距离；</w:t>
      </w:r>
    </w:p>
    <w:p w14:paraId="4B6C2D4F">
      <w:pPr>
        <w:bidi w:val="0"/>
        <w:ind w:left="0" w:leftChars="0" w:firstLine="1440" w:firstLineChars="600"/>
        <w:rPr>
          <w:rFonts w:hint="eastAsia"/>
          <w:highlight w:val="none"/>
          <w:lang w:val="en-US" w:eastAsia="zh-CN"/>
        </w:rPr>
      </w:pPr>
      <w:r>
        <w:rPr>
          <w:rFonts w:hint="eastAsia"/>
          <w:highlight w:val="none"/>
          <w:lang w:val="en-US" w:eastAsia="zh-CN"/>
        </w:rPr>
        <w:t>r</w:t>
      </w:r>
      <w:r>
        <w:rPr>
          <w:rFonts w:hint="eastAsia"/>
          <w:highlight w:val="none"/>
          <w:vertAlign w:val="subscript"/>
          <w:lang w:val="en-US" w:eastAsia="zh-CN"/>
        </w:rPr>
        <w:t>0</w:t>
      </w:r>
      <w:r>
        <w:rPr>
          <w:rFonts w:hint="eastAsia"/>
          <w:highlight w:val="none"/>
          <w:lang w:val="en-US" w:eastAsia="zh-CN"/>
        </w:rPr>
        <w:t>——参考位置距声源的距离。</w:t>
      </w:r>
    </w:p>
    <w:p w14:paraId="7487A998">
      <w:pPr>
        <w:bidi w:val="0"/>
        <w:rPr>
          <w:rFonts w:hint="eastAsia"/>
          <w:lang w:val="en-US" w:eastAsia="zh-CN"/>
        </w:rPr>
      </w:pPr>
      <w:r>
        <w:rPr>
          <w:rFonts w:hint="eastAsia"/>
          <w:lang w:val="en-US" w:eastAsia="zh-CN"/>
        </w:rPr>
        <w:t>上式中第二项表示了点声源的几何发散衰减：</w:t>
      </w:r>
    </w:p>
    <w:p w14:paraId="13B6B49F">
      <w:pPr>
        <w:bidi w:val="0"/>
        <w:ind w:left="0" w:leftChars="0" w:firstLine="0" w:firstLineChars="0"/>
        <w:jc w:val="center"/>
        <w:rPr>
          <w:rFonts w:hint="eastAsia"/>
          <w:highlight w:val="yellow"/>
          <w:lang w:val="en-US" w:eastAsia="zh-CN"/>
        </w:rPr>
      </w:pPr>
      <w:r>
        <w:rPr>
          <w:rFonts w:hint="eastAsia"/>
          <w:position w:val="-12"/>
          <w:highlight w:val="none"/>
          <w:lang w:val="en-US" w:eastAsia="zh-CN"/>
        </w:rPr>
        <w:object>
          <v:shape id="_x0000_i1038" o:spt="75" type="#_x0000_t75" style="height:18pt;width:92pt;" o:ole="t" filled="f" o:preferrelative="t" stroked="f" coordsize="21600,21600">
            <v:path/>
            <v:fill on="f" focussize="0,0"/>
            <v:stroke on="f"/>
            <v:imagedata r:id="rId64" o:title=""/>
            <o:lock v:ext="edit" aspectratio="t"/>
            <w10:wrap type="none"/>
            <w10:anchorlock/>
          </v:shape>
          <o:OLEObject Type="Embed" ProgID="Equation.KSEE3" ShapeID="_x0000_i1038" DrawAspect="Content" ObjectID="_1468075734" r:id="rId63">
            <o:LockedField>false</o:LockedField>
          </o:OLEObject>
        </w:object>
      </w:r>
    </w:p>
    <w:p w14:paraId="35531D14">
      <w:pPr>
        <w:bidi w:val="0"/>
        <w:ind w:left="0" w:leftChars="0" w:firstLine="720" w:firstLineChars="300"/>
        <w:rPr>
          <w:rFonts w:hint="eastAsia"/>
          <w:highlight w:val="none"/>
          <w:lang w:val="en-US" w:eastAsia="zh-CN"/>
        </w:rPr>
      </w:pPr>
      <w:r>
        <w:rPr>
          <w:rFonts w:hint="eastAsia"/>
          <w:highlight w:val="none"/>
          <w:lang w:val="en-US" w:eastAsia="zh-CN"/>
        </w:rPr>
        <w:t>式中：A</w:t>
      </w:r>
      <w:r>
        <w:rPr>
          <w:rFonts w:hint="eastAsia"/>
          <w:highlight w:val="none"/>
          <w:vertAlign w:val="subscript"/>
          <w:lang w:val="en-US" w:eastAsia="zh-CN"/>
        </w:rPr>
        <w:t>div</w:t>
      </w:r>
      <w:r>
        <w:rPr>
          <w:rFonts w:hint="eastAsia"/>
          <w:highlight w:val="none"/>
          <w:lang w:val="en-US" w:eastAsia="zh-CN"/>
        </w:rPr>
        <w:t>——几何发散引起的衰减，dB；</w:t>
      </w:r>
    </w:p>
    <w:p w14:paraId="30CB622C">
      <w:pPr>
        <w:bidi w:val="0"/>
        <w:ind w:left="0" w:leftChars="0" w:firstLine="1440" w:firstLineChars="600"/>
        <w:rPr>
          <w:rFonts w:hint="eastAsia"/>
          <w:highlight w:val="none"/>
          <w:lang w:val="en-US" w:eastAsia="zh-CN"/>
        </w:rPr>
      </w:pPr>
      <w:r>
        <w:rPr>
          <w:rFonts w:hint="eastAsia"/>
          <w:highlight w:val="none"/>
          <w:lang w:val="en-US" w:eastAsia="zh-CN"/>
        </w:rPr>
        <w:t>r——预测点距声源的距离；</w:t>
      </w:r>
    </w:p>
    <w:p w14:paraId="4E05733B">
      <w:pPr>
        <w:bidi w:val="0"/>
        <w:ind w:left="0" w:leftChars="0" w:firstLine="1440" w:firstLineChars="600"/>
        <w:rPr>
          <w:rFonts w:hint="eastAsia"/>
          <w:highlight w:val="none"/>
          <w:lang w:val="en-US" w:eastAsia="zh-CN"/>
        </w:rPr>
      </w:pPr>
      <w:r>
        <w:rPr>
          <w:rFonts w:hint="eastAsia"/>
          <w:highlight w:val="none"/>
          <w:lang w:val="en-US" w:eastAsia="zh-CN"/>
        </w:rPr>
        <w:t>r</w:t>
      </w:r>
      <w:r>
        <w:rPr>
          <w:rFonts w:hint="eastAsia"/>
          <w:highlight w:val="none"/>
          <w:vertAlign w:val="subscript"/>
          <w:lang w:val="en-US" w:eastAsia="zh-CN"/>
        </w:rPr>
        <w:t>0</w:t>
      </w:r>
      <w:r>
        <w:rPr>
          <w:rFonts w:hint="eastAsia"/>
          <w:highlight w:val="none"/>
          <w:lang w:val="en-US" w:eastAsia="zh-CN"/>
        </w:rPr>
        <w:t>——参考位置距声源的距离。</w:t>
      </w:r>
    </w:p>
    <w:p w14:paraId="420C011D">
      <w:pPr>
        <w:bidi w:val="0"/>
        <w:rPr>
          <w:rFonts w:hint="eastAsia"/>
          <w:lang w:val="en-US" w:eastAsia="zh-CN"/>
        </w:rPr>
      </w:pPr>
      <w:r>
        <w:rPr>
          <w:rFonts w:hint="eastAsia"/>
          <w:lang w:val="en-US" w:eastAsia="zh-CN"/>
        </w:rPr>
        <w:t>如果已知点声源的倍频带声功率级或A计权声功率级（L</w:t>
      </w:r>
      <w:r>
        <w:rPr>
          <w:rFonts w:hint="eastAsia"/>
          <w:vertAlign w:val="subscript"/>
          <w:lang w:val="en-US" w:eastAsia="zh-CN"/>
        </w:rPr>
        <w:t>Aw</w:t>
      </w:r>
      <w:r>
        <w:rPr>
          <w:rFonts w:hint="eastAsia"/>
          <w:lang w:val="en-US" w:eastAsia="zh-CN"/>
        </w:rPr>
        <w:t>），且声源处于自由声场，则等效为下式：</w:t>
      </w:r>
    </w:p>
    <w:p w14:paraId="2AB89F9B">
      <w:pPr>
        <w:bidi w:val="0"/>
        <w:ind w:left="0" w:leftChars="0" w:firstLine="0" w:firstLineChars="0"/>
        <w:jc w:val="center"/>
        <w:rPr>
          <w:rFonts w:hint="eastAsia"/>
          <w:highlight w:val="none"/>
          <w:lang w:val="en-US" w:eastAsia="zh-CN"/>
        </w:rPr>
      </w:pPr>
      <w:r>
        <w:rPr>
          <w:rFonts w:hint="eastAsia"/>
          <w:position w:val="-14"/>
          <w:highlight w:val="none"/>
          <w:lang w:val="en-US" w:eastAsia="zh-CN"/>
        </w:rPr>
        <w:object>
          <v:shape id="_x0000_i1039" o:spt="75" type="#_x0000_t75" style="height:19pt;width:116pt;" o:ole="t" filled="f" o:preferrelative="t" stroked="f" coordsize="21600,21600">
            <v:path/>
            <v:fill on="f" focussize="0,0"/>
            <v:stroke on="f"/>
            <v:imagedata r:id="rId66" o:title=""/>
            <o:lock v:ext="edit" aspectratio="t"/>
            <w10:wrap type="none"/>
            <w10:anchorlock/>
          </v:shape>
          <o:OLEObject Type="Embed" ProgID="Equation.KSEE3" ShapeID="_x0000_i1039" DrawAspect="Content" ObjectID="_1468075735" r:id="rId65">
            <o:LockedField>false</o:LockedField>
          </o:OLEObject>
        </w:object>
      </w:r>
    </w:p>
    <w:p w14:paraId="6686CC5C">
      <w:pPr>
        <w:bidi w:val="0"/>
        <w:ind w:left="0" w:leftChars="0" w:firstLine="720" w:firstLineChars="300"/>
        <w:rPr>
          <w:rFonts w:hint="eastAsia"/>
          <w:highlight w:val="none"/>
          <w:lang w:val="en-US" w:eastAsia="zh-CN"/>
        </w:rPr>
      </w:pPr>
      <w:r>
        <w:rPr>
          <w:rFonts w:hint="eastAsia"/>
          <w:highlight w:val="none"/>
          <w:lang w:val="en-US" w:eastAsia="zh-CN"/>
        </w:rPr>
        <w:t>式中：L</w:t>
      </w:r>
      <w:r>
        <w:rPr>
          <w:rFonts w:hint="eastAsia"/>
          <w:highlight w:val="none"/>
          <w:vertAlign w:val="subscript"/>
          <w:lang w:val="en-US" w:eastAsia="zh-CN"/>
        </w:rPr>
        <w:t>p</w:t>
      </w:r>
      <w:r>
        <w:rPr>
          <w:rFonts w:hint="eastAsia"/>
          <w:highlight w:val="none"/>
          <w:lang w:val="en-US" w:eastAsia="zh-CN"/>
        </w:rPr>
        <w:t>（r）——预测点处声压级，dB；</w:t>
      </w:r>
    </w:p>
    <w:p w14:paraId="08420A22">
      <w:pPr>
        <w:bidi w:val="0"/>
        <w:ind w:left="0" w:leftChars="0" w:firstLine="1440" w:firstLineChars="600"/>
        <w:rPr>
          <w:rFonts w:hint="eastAsia"/>
          <w:highlight w:val="none"/>
          <w:lang w:val="en-US" w:eastAsia="zh-CN"/>
        </w:rPr>
      </w:pPr>
      <w:r>
        <w:rPr>
          <w:rFonts w:hint="eastAsia"/>
          <w:highlight w:val="none"/>
          <w:lang w:val="en-US" w:eastAsia="zh-CN"/>
        </w:rPr>
        <w:t>Lw——由点声源产生的倍频带声功率级，dB；</w:t>
      </w:r>
    </w:p>
    <w:p w14:paraId="42764315">
      <w:pPr>
        <w:bidi w:val="0"/>
        <w:ind w:left="0" w:leftChars="0" w:firstLine="1440" w:firstLineChars="600"/>
        <w:rPr>
          <w:rFonts w:hint="eastAsia"/>
          <w:highlight w:val="none"/>
          <w:lang w:val="en-US" w:eastAsia="zh-CN"/>
        </w:rPr>
      </w:pPr>
      <w:r>
        <w:rPr>
          <w:rFonts w:hint="eastAsia"/>
          <w:highlight w:val="none"/>
          <w:lang w:val="en-US" w:eastAsia="zh-CN"/>
        </w:rPr>
        <w:t>r——预测点距声源的距离。</w:t>
      </w:r>
    </w:p>
    <w:p w14:paraId="7B247C79">
      <w:pPr>
        <w:bidi w:val="0"/>
        <w:ind w:left="0" w:leftChars="0" w:firstLine="0" w:firstLineChars="0"/>
        <w:jc w:val="center"/>
        <w:rPr>
          <w:rFonts w:hint="eastAsia"/>
          <w:highlight w:val="yellow"/>
          <w:lang w:val="en-US" w:eastAsia="zh-CN"/>
        </w:rPr>
      </w:pPr>
      <w:r>
        <w:rPr>
          <w:rFonts w:hint="eastAsia"/>
          <w:position w:val="-14"/>
          <w:highlight w:val="none"/>
          <w:lang w:val="en-US" w:eastAsia="zh-CN"/>
        </w:rPr>
        <w:object>
          <v:shape id="_x0000_i1040" o:spt="75" type="#_x0000_t75" style="height:19pt;width:121.95pt;" o:ole="t" filled="f" o:preferrelative="t" stroked="f" coordsize="21600,21600">
            <v:path/>
            <v:fill on="f" focussize="0,0"/>
            <v:stroke on="f"/>
            <v:imagedata r:id="rId68" o:title=""/>
            <o:lock v:ext="edit" aspectratio="t"/>
            <w10:wrap type="none"/>
            <w10:anchorlock/>
          </v:shape>
          <o:OLEObject Type="Embed" ProgID="Equation.KSEE3" ShapeID="_x0000_i1040" DrawAspect="Content" ObjectID="_1468075736" r:id="rId67">
            <o:LockedField>false</o:LockedField>
          </o:OLEObject>
        </w:object>
      </w:r>
    </w:p>
    <w:p w14:paraId="19B4532D">
      <w:pPr>
        <w:bidi w:val="0"/>
        <w:ind w:left="0" w:leftChars="0" w:firstLine="720" w:firstLineChars="300"/>
        <w:rPr>
          <w:rFonts w:hint="eastAsia"/>
          <w:highlight w:val="none"/>
          <w:lang w:val="en-US" w:eastAsia="zh-CN"/>
        </w:rPr>
      </w:pPr>
      <w:r>
        <w:rPr>
          <w:rFonts w:hint="eastAsia"/>
          <w:highlight w:val="none"/>
          <w:lang w:val="en-US" w:eastAsia="zh-CN"/>
        </w:rPr>
        <w:t>式中：L</w:t>
      </w:r>
      <w:r>
        <w:rPr>
          <w:rFonts w:hint="eastAsia"/>
          <w:highlight w:val="none"/>
          <w:vertAlign w:val="subscript"/>
          <w:lang w:val="en-US" w:eastAsia="zh-CN"/>
        </w:rPr>
        <w:t>A</w:t>
      </w:r>
      <w:r>
        <w:rPr>
          <w:rFonts w:hint="eastAsia"/>
          <w:highlight w:val="none"/>
          <w:lang w:val="en-US" w:eastAsia="zh-CN"/>
        </w:rPr>
        <w:t>（r）——距声源r处的A声级，dB（A）；</w:t>
      </w:r>
    </w:p>
    <w:p w14:paraId="6FC8A002">
      <w:pPr>
        <w:bidi w:val="0"/>
        <w:ind w:left="0" w:leftChars="0" w:firstLine="1440" w:firstLineChars="600"/>
        <w:rPr>
          <w:rFonts w:hint="eastAsia"/>
          <w:highlight w:val="none"/>
          <w:lang w:val="en-US" w:eastAsia="zh-CN"/>
        </w:rPr>
      </w:pPr>
      <w:r>
        <w:rPr>
          <w:rFonts w:hint="eastAsia"/>
          <w:highlight w:val="none"/>
          <w:lang w:val="en-US" w:eastAsia="zh-CN"/>
        </w:rPr>
        <w:t>L</w:t>
      </w:r>
      <w:r>
        <w:rPr>
          <w:rFonts w:hint="eastAsia"/>
          <w:highlight w:val="none"/>
          <w:vertAlign w:val="subscript"/>
          <w:lang w:val="en-US" w:eastAsia="zh-CN"/>
        </w:rPr>
        <w:t>Aw</w:t>
      </w:r>
      <w:r>
        <w:rPr>
          <w:rFonts w:hint="eastAsia"/>
          <w:highlight w:val="none"/>
          <w:lang w:val="en-US" w:eastAsia="zh-CN"/>
        </w:rPr>
        <w:t>——点声源A计权声功率级，dB；</w:t>
      </w:r>
    </w:p>
    <w:p w14:paraId="2C6FC36C">
      <w:pPr>
        <w:bidi w:val="0"/>
        <w:ind w:left="0" w:leftChars="0" w:firstLine="1440" w:firstLineChars="600"/>
        <w:rPr>
          <w:rFonts w:hint="eastAsia"/>
          <w:highlight w:val="none"/>
          <w:lang w:val="en-US" w:eastAsia="zh-CN"/>
        </w:rPr>
      </w:pPr>
      <w:r>
        <w:rPr>
          <w:rFonts w:hint="eastAsia"/>
          <w:highlight w:val="none"/>
          <w:lang w:val="en-US" w:eastAsia="zh-CN"/>
        </w:rPr>
        <w:t>r——预测点距声源的距离。</w:t>
      </w:r>
    </w:p>
    <w:p w14:paraId="18B64051">
      <w:pPr>
        <w:bidi w:val="0"/>
        <w:ind w:left="0" w:leftChars="0" w:firstLine="0" w:firstLineChars="0"/>
        <w:rPr>
          <w:rFonts w:hint="eastAsia"/>
          <w:highlight w:val="none"/>
          <w:lang w:val="en-US" w:eastAsia="zh-CN"/>
        </w:rPr>
      </w:pPr>
      <w:r>
        <w:rPr>
          <w:rFonts w:hint="eastAsia"/>
          <w:highlight w:val="none"/>
          <w:lang w:val="en-US" w:eastAsia="zh-CN"/>
        </w:rPr>
        <w:t>如果声源处于半自由声场，则等效为下式：</w:t>
      </w:r>
    </w:p>
    <w:p w14:paraId="784E756B">
      <w:pPr>
        <w:bidi w:val="0"/>
        <w:ind w:left="0" w:leftChars="0" w:firstLine="0" w:firstLineChars="0"/>
        <w:jc w:val="center"/>
        <w:rPr>
          <w:rFonts w:hint="eastAsia"/>
          <w:highlight w:val="none"/>
          <w:lang w:val="en-US" w:eastAsia="zh-CN"/>
        </w:rPr>
      </w:pPr>
      <w:r>
        <w:rPr>
          <w:rFonts w:hint="eastAsia"/>
          <w:position w:val="-14"/>
          <w:highlight w:val="none"/>
          <w:lang w:val="en-US" w:eastAsia="zh-CN"/>
        </w:rPr>
        <w:object>
          <v:shape id="_x0000_i1041" o:spt="75" type="#_x0000_t75" style="height:19pt;width:111pt;" o:ole="t" filled="f" o:preferrelative="t" stroked="f" coordsize="21600,21600">
            <v:path/>
            <v:fill on="f" focussize="0,0"/>
            <v:stroke on="f"/>
            <v:imagedata r:id="rId70" o:title=""/>
            <o:lock v:ext="edit" aspectratio="t"/>
            <w10:wrap type="none"/>
            <w10:anchorlock/>
          </v:shape>
          <o:OLEObject Type="Embed" ProgID="Equation.KSEE3" ShapeID="_x0000_i1041" DrawAspect="Content" ObjectID="_1468075737" r:id="rId69">
            <o:LockedField>false</o:LockedField>
          </o:OLEObject>
        </w:object>
      </w:r>
    </w:p>
    <w:p w14:paraId="62472160">
      <w:pPr>
        <w:bidi w:val="0"/>
        <w:ind w:left="0" w:leftChars="0" w:firstLine="720" w:firstLineChars="300"/>
        <w:rPr>
          <w:rFonts w:hint="eastAsia"/>
          <w:highlight w:val="none"/>
          <w:lang w:val="en-US" w:eastAsia="zh-CN"/>
        </w:rPr>
      </w:pPr>
      <w:r>
        <w:rPr>
          <w:rFonts w:hint="eastAsia"/>
          <w:highlight w:val="none"/>
          <w:lang w:val="en-US" w:eastAsia="zh-CN"/>
        </w:rPr>
        <w:t>式中：L</w:t>
      </w:r>
      <w:r>
        <w:rPr>
          <w:rFonts w:hint="eastAsia"/>
          <w:highlight w:val="none"/>
          <w:vertAlign w:val="subscript"/>
          <w:lang w:val="en-US" w:eastAsia="zh-CN"/>
        </w:rPr>
        <w:t>p</w:t>
      </w:r>
      <w:r>
        <w:rPr>
          <w:rFonts w:hint="eastAsia"/>
          <w:highlight w:val="none"/>
          <w:lang w:val="en-US" w:eastAsia="zh-CN"/>
        </w:rPr>
        <w:t>（r）——预测点处声压级，dB；</w:t>
      </w:r>
    </w:p>
    <w:p w14:paraId="077AB2D1">
      <w:pPr>
        <w:bidi w:val="0"/>
        <w:ind w:left="0" w:leftChars="0" w:firstLine="1440" w:firstLineChars="600"/>
        <w:rPr>
          <w:rFonts w:hint="eastAsia"/>
          <w:highlight w:val="none"/>
          <w:lang w:val="en-US" w:eastAsia="zh-CN"/>
        </w:rPr>
      </w:pPr>
      <w:r>
        <w:rPr>
          <w:rFonts w:hint="eastAsia"/>
          <w:highlight w:val="none"/>
          <w:lang w:val="en-US" w:eastAsia="zh-CN"/>
        </w:rPr>
        <w:t>L</w:t>
      </w:r>
      <w:r>
        <w:rPr>
          <w:rFonts w:hint="eastAsia"/>
          <w:highlight w:val="none"/>
          <w:vertAlign w:val="subscript"/>
          <w:lang w:val="en-US" w:eastAsia="zh-CN"/>
        </w:rPr>
        <w:t>w</w:t>
      </w:r>
      <w:r>
        <w:rPr>
          <w:rFonts w:hint="eastAsia"/>
          <w:highlight w:val="none"/>
          <w:lang w:val="en-US" w:eastAsia="zh-CN"/>
        </w:rPr>
        <w:t>——由点声源产生的倍频带声功率级，dB；</w:t>
      </w:r>
    </w:p>
    <w:p w14:paraId="1FB07550">
      <w:pPr>
        <w:bidi w:val="0"/>
        <w:ind w:left="0" w:leftChars="0" w:firstLine="1440" w:firstLineChars="600"/>
        <w:rPr>
          <w:rFonts w:hint="eastAsia"/>
          <w:highlight w:val="none"/>
          <w:lang w:val="en-US" w:eastAsia="zh-CN"/>
        </w:rPr>
      </w:pPr>
      <w:r>
        <w:rPr>
          <w:rFonts w:hint="eastAsia"/>
          <w:highlight w:val="none"/>
          <w:lang w:val="en-US" w:eastAsia="zh-CN"/>
        </w:rPr>
        <w:t>r——预测点距声源的距离。</w:t>
      </w:r>
    </w:p>
    <w:p w14:paraId="3A6AB7D3">
      <w:pPr>
        <w:bidi w:val="0"/>
        <w:ind w:left="0" w:leftChars="0" w:firstLine="0" w:firstLineChars="0"/>
        <w:jc w:val="center"/>
        <w:rPr>
          <w:rFonts w:hint="eastAsia"/>
          <w:highlight w:val="none"/>
          <w:lang w:val="en-US" w:eastAsia="zh-CN"/>
        </w:rPr>
      </w:pPr>
      <w:r>
        <w:rPr>
          <w:rFonts w:hint="eastAsia"/>
          <w:position w:val="-14"/>
          <w:highlight w:val="none"/>
          <w:lang w:val="en-US" w:eastAsia="zh-CN"/>
        </w:rPr>
        <w:object>
          <v:shape id="_x0000_i1042" o:spt="75" type="#_x0000_t75" style="height:19pt;width:117pt;" o:ole="t" filled="f" o:preferrelative="t" stroked="f" coordsize="21600,21600">
            <v:path/>
            <v:fill on="f" focussize="0,0"/>
            <v:stroke on="f"/>
            <v:imagedata r:id="rId72" o:title=""/>
            <o:lock v:ext="edit" aspectratio="t"/>
            <w10:wrap type="none"/>
            <w10:anchorlock/>
          </v:shape>
          <o:OLEObject Type="Embed" ProgID="Equation.KSEE3" ShapeID="_x0000_i1042" DrawAspect="Content" ObjectID="_1468075738" r:id="rId71">
            <o:LockedField>false</o:LockedField>
          </o:OLEObject>
        </w:object>
      </w:r>
    </w:p>
    <w:p w14:paraId="75532C2D">
      <w:pPr>
        <w:bidi w:val="0"/>
        <w:ind w:left="0" w:leftChars="0" w:firstLine="720" w:firstLineChars="300"/>
        <w:rPr>
          <w:rFonts w:hint="eastAsia"/>
          <w:highlight w:val="none"/>
          <w:lang w:val="en-US" w:eastAsia="zh-CN"/>
        </w:rPr>
      </w:pPr>
      <w:r>
        <w:rPr>
          <w:rFonts w:hint="eastAsia"/>
          <w:highlight w:val="none"/>
          <w:lang w:val="en-US" w:eastAsia="zh-CN"/>
        </w:rPr>
        <w:t>式中：L</w:t>
      </w:r>
      <w:r>
        <w:rPr>
          <w:rFonts w:hint="eastAsia"/>
          <w:highlight w:val="none"/>
          <w:vertAlign w:val="subscript"/>
          <w:lang w:val="en-US" w:eastAsia="zh-CN"/>
        </w:rPr>
        <w:t>A</w:t>
      </w:r>
      <w:r>
        <w:rPr>
          <w:rFonts w:hint="eastAsia"/>
          <w:highlight w:val="none"/>
          <w:lang w:val="en-US" w:eastAsia="zh-CN"/>
        </w:rPr>
        <w:t>（r）——距声源r处的A 声级，dB（A）；</w:t>
      </w:r>
    </w:p>
    <w:p w14:paraId="67A20791">
      <w:pPr>
        <w:bidi w:val="0"/>
        <w:ind w:left="0" w:leftChars="0" w:firstLine="1440" w:firstLineChars="600"/>
        <w:rPr>
          <w:rFonts w:hint="eastAsia"/>
          <w:highlight w:val="none"/>
          <w:lang w:val="en-US" w:eastAsia="zh-CN"/>
        </w:rPr>
      </w:pPr>
      <w:r>
        <w:rPr>
          <w:rFonts w:hint="eastAsia"/>
          <w:highlight w:val="none"/>
          <w:lang w:val="en-US" w:eastAsia="zh-CN"/>
        </w:rPr>
        <w:t>L</w:t>
      </w:r>
      <w:r>
        <w:rPr>
          <w:rFonts w:hint="eastAsia"/>
          <w:highlight w:val="none"/>
          <w:vertAlign w:val="subscript"/>
          <w:lang w:val="en-US" w:eastAsia="zh-CN"/>
        </w:rPr>
        <w:t>Aw</w:t>
      </w:r>
      <w:r>
        <w:rPr>
          <w:rFonts w:hint="eastAsia"/>
          <w:highlight w:val="none"/>
          <w:lang w:val="en-US" w:eastAsia="zh-CN"/>
        </w:rPr>
        <w:t>——点声源A计权声功率级，dB；</w:t>
      </w:r>
    </w:p>
    <w:p w14:paraId="5474A8A9">
      <w:pPr>
        <w:bidi w:val="0"/>
        <w:ind w:left="0" w:leftChars="0" w:firstLine="1440" w:firstLineChars="600"/>
        <w:rPr>
          <w:rFonts w:hint="eastAsia"/>
          <w:highlight w:val="none"/>
          <w:lang w:val="en-US" w:eastAsia="zh-CN"/>
        </w:rPr>
      </w:pPr>
      <w:r>
        <w:rPr>
          <w:rFonts w:hint="eastAsia"/>
          <w:highlight w:val="none"/>
          <w:lang w:val="en-US" w:eastAsia="zh-CN"/>
        </w:rPr>
        <w:t>r——预测点距声源的距离。</w:t>
      </w:r>
    </w:p>
    <w:p w14:paraId="353D9D64">
      <w:pPr>
        <w:bidi w:val="0"/>
        <w:rPr>
          <w:rFonts w:hint="default"/>
          <w:b/>
          <w:bCs/>
          <w:lang w:val="en-US" w:eastAsia="zh-CN"/>
        </w:rPr>
      </w:pPr>
      <w:r>
        <w:rPr>
          <w:rFonts w:hint="eastAsia"/>
          <w:b/>
          <w:bCs/>
          <w:lang w:val="en-US" w:eastAsia="zh-CN"/>
        </w:rPr>
        <w:t>（3）噪声预测结果</w:t>
      </w:r>
    </w:p>
    <w:p w14:paraId="601E466B">
      <w:pPr>
        <w:bidi w:val="0"/>
        <w:rPr>
          <w:rFonts w:hint="eastAsia"/>
          <w:lang w:val="en-US" w:eastAsia="zh-CN"/>
        </w:rPr>
      </w:pPr>
      <w:r>
        <w:rPr>
          <w:rFonts w:hint="eastAsia"/>
          <w:lang w:val="en-US" w:eastAsia="zh-CN"/>
        </w:rPr>
        <w:t>根据点声源噪声衰减模式，估算出主要施工机械噪声随距离的衰减结果见表5.1-3。</w:t>
      </w:r>
    </w:p>
    <w:p w14:paraId="168823AC">
      <w:pPr>
        <w:bidi w:val="0"/>
        <w:ind w:left="0" w:leftChars="0" w:firstLine="0" w:firstLineChars="0"/>
        <w:jc w:val="center"/>
        <w:rPr>
          <w:rFonts w:hint="eastAsia"/>
          <w:b/>
          <w:bCs/>
          <w:sz w:val="21"/>
          <w:szCs w:val="21"/>
          <w:highlight w:val="none"/>
          <w:lang w:val="en-US" w:eastAsia="zh-CN"/>
        </w:rPr>
      </w:pPr>
      <w:r>
        <w:rPr>
          <w:rFonts w:hint="eastAsia"/>
          <w:b/>
          <w:bCs/>
          <w:sz w:val="21"/>
          <w:szCs w:val="21"/>
          <w:highlight w:val="none"/>
          <w:lang w:val="en-US" w:eastAsia="zh-CN"/>
        </w:rPr>
        <w:t>表5.1-3  各施工点主要设备噪声随距离的衰减</w:t>
      </w:r>
    </w:p>
    <w:tbl>
      <w:tblPr>
        <w:tblStyle w:val="35"/>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099"/>
        <w:gridCol w:w="908"/>
        <w:gridCol w:w="908"/>
        <w:gridCol w:w="908"/>
        <w:gridCol w:w="909"/>
        <w:gridCol w:w="909"/>
        <w:gridCol w:w="909"/>
        <w:gridCol w:w="909"/>
        <w:gridCol w:w="909"/>
        <w:gridCol w:w="920"/>
      </w:tblGrid>
      <w:tr w14:paraId="543D256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blHeader/>
          <w:jc w:val="center"/>
        </w:trPr>
        <w:tc>
          <w:tcPr>
            <w:tcW w:w="592" w:type="pct"/>
            <w:vMerge w:val="restart"/>
            <w:noWrap w:val="0"/>
            <w:vAlign w:val="center"/>
          </w:tcPr>
          <w:p w14:paraId="2CA96B5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b/>
                <w:bCs/>
                <w:sz w:val="21"/>
                <w:szCs w:val="21"/>
                <w:highlight w:val="none"/>
                <w:lang w:val="en-US" w:eastAsia="zh-CN"/>
              </w:rPr>
            </w:pPr>
            <w:r>
              <w:rPr>
                <w:rFonts w:hint="eastAsia"/>
                <w:b/>
                <w:bCs/>
                <w:sz w:val="21"/>
                <w:szCs w:val="21"/>
                <w:highlight w:val="none"/>
                <w:lang w:val="en-US" w:eastAsia="zh-CN"/>
              </w:rPr>
              <w:t>噪声源</w:t>
            </w:r>
          </w:p>
        </w:tc>
        <w:tc>
          <w:tcPr>
            <w:tcW w:w="4407" w:type="pct"/>
            <w:gridSpan w:val="9"/>
            <w:noWrap w:val="0"/>
            <w:vAlign w:val="center"/>
          </w:tcPr>
          <w:p w14:paraId="7564FA7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bCs/>
                <w:sz w:val="21"/>
                <w:szCs w:val="21"/>
                <w:highlight w:val="none"/>
                <w:lang w:val="en-US" w:eastAsia="zh-CN"/>
              </w:rPr>
            </w:pPr>
            <w:r>
              <w:rPr>
                <w:rFonts w:hint="eastAsia"/>
                <w:b/>
                <w:bCs/>
                <w:sz w:val="21"/>
                <w:szCs w:val="21"/>
                <w:highlight w:val="none"/>
                <w:lang w:val="en-US" w:eastAsia="zh-CN"/>
              </w:rPr>
              <w:t>与噪声源不同距离的噪声值[dB（A）]</w:t>
            </w:r>
          </w:p>
        </w:tc>
      </w:tr>
      <w:tr w14:paraId="0E29508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blHeader/>
          <w:jc w:val="center"/>
        </w:trPr>
        <w:tc>
          <w:tcPr>
            <w:tcW w:w="592" w:type="pct"/>
            <w:vMerge w:val="continue"/>
            <w:noWrap w:val="0"/>
            <w:vAlign w:val="center"/>
          </w:tcPr>
          <w:p w14:paraId="12ECDB8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b/>
                <w:bCs/>
                <w:sz w:val="21"/>
                <w:szCs w:val="21"/>
                <w:highlight w:val="none"/>
                <w:lang w:val="en-US" w:eastAsia="zh-CN"/>
              </w:rPr>
            </w:pPr>
          </w:p>
        </w:tc>
        <w:tc>
          <w:tcPr>
            <w:tcW w:w="489" w:type="pct"/>
            <w:noWrap w:val="0"/>
            <w:vAlign w:val="center"/>
          </w:tcPr>
          <w:p w14:paraId="252229D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b/>
                <w:bCs/>
                <w:sz w:val="21"/>
                <w:szCs w:val="21"/>
                <w:highlight w:val="none"/>
                <w:lang w:val="en-US" w:eastAsia="zh-CN"/>
              </w:rPr>
            </w:pPr>
            <w:r>
              <w:rPr>
                <w:rFonts w:hint="eastAsia"/>
                <w:b/>
                <w:bCs/>
                <w:sz w:val="21"/>
                <w:szCs w:val="21"/>
                <w:highlight w:val="none"/>
                <w:lang w:val="en-US" w:eastAsia="zh-CN"/>
              </w:rPr>
              <w:t>5m</w:t>
            </w:r>
          </w:p>
        </w:tc>
        <w:tc>
          <w:tcPr>
            <w:tcW w:w="489" w:type="pct"/>
            <w:noWrap w:val="0"/>
            <w:vAlign w:val="center"/>
          </w:tcPr>
          <w:p w14:paraId="7145413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b/>
                <w:bCs/>
                <w:sz w:val="21"/>
                <w:szCs w:val="21"/>
                <w:highlight w:val="none"/>
                <w:lang w:val="en-US" w:eastAsia="zh-CN"/>
              </w:rPr>
            </w:pPr>
            <w:r>
              <w:rPr>
                <w:rFonts w:hint="eastAsia"/>
                <w:b/>
                <w:bCs/>
                <w:sz w:val="21"/>
                <w:szCs w:val="21"/>
                <w:highlight w:val="none"/>
                <w:lang w:val="en-US" w:eastAsia="zh-CN"/>
              </w:rPr>
              <w:t>20m</w:t>
            </w:r>
          </w:p>
        </w:tc>
        <w:tc>
          <w:tcPr>
            <w:tcW w:w="489" w:type="pct"/>
            <w:noWrap w:val="0"/>
            <w:vAlign w:val="center"/>
          </w:tcPr>
          <w:p w14:paraId="5045B48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b/>
                <w:bCs/>
                <w:sz w:val="21"/>
                <w:szCs w:val="21"/>
                <w:highlight w:val="none"/>
                <w:lang w:val="en-US" w:eastAsia="zh-CN"/>
              </w:rPr>
            </w:pPr>
            <w:r>
              <w:rPr>
                <w:rFonts w:hint="eastAsia"/>
                <w:b/>
                <w:bCs/>
                <w:sz w:val="21"/>
                <w:szCs w:val="21"/>
                <w:highlight w:val="none"/>
                <w:lang w:val="en-US" w:eastAsia="zh-CN"/>
              </w:rPr>
              <w:t>40m</w:t>
            </w:r>
          </w:p>
        </w:tc>
        <w:tc>
          <w:tcPr>
            <w:tcW w:w="489" w:type="pct"/>
            <w:noWrap w:val="0"/>
            <w:vAlign w:val="center"/>
          </w:tcPr>
          <w:p w14:paraId="24D310A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b/>
                <w:bCs/>
                <w:sz w:val="21"/>
                <w:szCs w:val="21"/>
                <w:highlight w:val="none"/>
                <w:lang w:val="en-US" w:eastAsia="zh-CN"/>
              </w:rPr>
            </w:pPr>
            <w:r>
              <w:rPr>
                <w:rFonts w:hint="eastAsia"/>
                <w:b/>
                <w:bCs/>
                <w:sz w:val="21"/>
                <w:szCs w:val="21"/>
                <w:highlight w:val="none"/>
                <w:lang w:val="en-US" w:eastAsia="zh-CN"/>
              </w:rPr>
              <w:t>80m</w:t>
            </w:r>
          </w:p>
        </w:tc>
        <w:tc>
          <w:tcPr>
            <w:tcW w:w="489" w:type="pct"/>
            <w:noWrap w:val="0"/>
            <w:vAlign w:val="center"/>
          </w:tcPr>
          <w:p w14:paraId="5F1D55D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b/>
                <w:bCs/>
                <w:sz w:val="21"/>
                <w:szCs w:val="21"/>
                <w:highlight w:val="none"/>
                <w:lang w:val="en-US" w:eastAsia="zh-CN"/>
              </w:rPr>
            </w:pPr>
            <w:r>
              <w:rPr>
                <w:rFonts w:hint="eastAsia"/>
                <w:b/>
                <w:bCs/>
                <w:sz w:val="21"/>
                <w:szCs w:val="21"/>
                <w:highlight w:val="none"/>
                <w:lang w:val="en-US" w:eastAsia="zh-CN"/>
              </w:rPr>
              <w:t>100m</w:t>
            </w:r>
          </w:p>
        </w:tc>
        <w:tc>
          <w:tcPr>
            <w:tcW w:w="489" w:type="pct"/>
            <w:noWrap w:val="0"/>
            <w:vAlign w:val="center"/>
          </w:tcPr>
          <w:p w14:paraId="30B0D6C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b/>
                <w:bCs/>
                <w:sz w:val="21"/>
                <w:szCs w:val="21"/>
                <w:highlight w:val="none"/>
                <w:lang w:val="en-US" w:eastAsia="zh-CN"/>
              </w:rPr>
            </w:pPr>
            <w:r>
              <w:rPr>
                <w:rFonts w:hint="eastAsia"/>
                <w:b/>
                <w:bCs/>
                <w:sz w:val="21"/>
                <w:szCs w:val="21"/>
                <w:highlight w:val="none"/>
                <w:lang w:val="en-US" w:eastAsia="zh-CN"/>
              </w:rPr>
              <w:t>150m</w:t>
            </w:r>
          </w:p>
        </w:tc>
        <w:tc>
          <w:tcPr>
            <w:tcW w:w="489" w:type="pct"/>
            <w:noWrap w:val="0"/>
            <w:vAlign w:val="center"/>
          </w:tcPr>
          <w:p w14:paraId="6FD5B7B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b/>
                <w:bCs/>
                <w:sz w:val="21"/>
                <w:szCs w:val="21"/>
                <w:highlight w:val="none"/>
                <w:lang w:val="en-US" w:eastAsia="zh-CN"/>
              </w:rPr>
            </w:pPr>
            <w:r>
              <w:rPr>
                <w:rFonts w:hint="eastAsia"/>
                <w:b/>
                <w:bCs/>
                <w:sz w:val="21"/>
                <w:szCs w:val="21"/>
                <w:highlight w:val="none"/>
                <w:lang w:val="en-US" w:eastAsia="zh-CN"/>
              </w:rPr>
              <w:t>300m</w:t>
            </w:r>
          </w:p>
        </w:tc>
        <w:tc>
          <w:tcPr>
            <w:tcW w:w="489" w:type="pct"/>
            <w:noWrap w:val="0"/>
            <w:vAlign w:val="center"/>
          </w:tcPr>
          <w:p w14:paraId="4845924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bCs/>
                <w:sz w:val="21"/>
                <w:szCs w:val="21"/>
                <w:highlight w:val="none"/>
                <w:lang w:val="en-US" w:eastAsia="zh-CN"/>
              </w:rPr>
            </w:pPr>
            <w:r>
              <w:rPr>
                <w:rFonts w:hint="eastAsia"/>
                <w:b/>
                <w:bCs/>
                <w:sz w:val="21"/>
                <w:szCs w:val="21"/>
                <w:highlight w:val="none"/>
                <w:lang w:val="en-US" w:eastAsia="zh-CN"/>
              </w:rPr>
              <w:t>400m</w:t>
            </w:r>
          </w:p>
        </w:tc>
        <w:tc>
          <w:tcPr>
            <w:tcW w:w="492" w:type="pct"/>
            <w:noWrap w:val="0"/>
            <w:vAlign w:val="center"/>
          </w:tcPr>
          <w:p w14:paraId="20DDBA6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bCs/>
                <w:sz w:val="21"/>
                <w:szCs w:val="21"/>
                <w:highlight w:val="none"/>
                <w:lang w:val="en-US" w:eastAsia="zh-CN"/>
              </w:rPr>
            </w:pPr>
            <w:r>
              <w:rPr>
                <w:rFonts w:hint="eastAsia"/>
                <w:b/>
                <w:bCs/>
                <w:sz w:val="21"/>
                <w:szCs w:val="21"/>
                <w:highlight w:val="none"/>
                <w:lang w:val="en-US" w:eastAsia="zh-CN"/>
              </w:rPr>
              <w:t>800m</w:t>
            </w:r>
          </w:p>
        </w:tc>
      </w:tr>
      <w:tr w14:paraId="7865249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92" w:type="pct"/>
            <w:noWrap w:val="0"/>
            <w:vAlign w:val="center"/>
          </w:tcPr>
          <w:p w14:paraId="3B0EE42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挖掘机</w:t>
            </w:r>
          </w:p>
        </w:tc>
        <w:tc>
          <w:tcPr>
            <w:tcW w:w="489" w:type="pct"/>
            <w:noWrap w:val="0"/>
            <w:vAlign w:val="center"/>
          </w:tcPr>
          <w:p w14:paraId="4AE3ED5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lang w:val="en-US" w:eastAsia="zh-CN"/>
              </w:rPr>
            </w:pPr>
            <w:r>
              <w:rPr>
                <w:rFonts w:hint="eastAsia"/>
                <w:sz w:val="21"/>
                <w:szCs w:val="21"/>
                <w:highlight w:val="none"/>
                <w:lang w:val="en-US" w:eastAsia="zh-CN"/>
              </w:rPr>
              <w:t>85</w:t>
            </w:r>
          </w:p>
        </w:tc>
        <w:tc>
          <w:tcPr>
            <w:tcW w:w="489" w:type="pct"/>
            <w:noWrap w:val="0"/>
            <w:vAlign w:val="center"/>
          </w:tcPr>
          <w:p w14:paraId="5E867A3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lang w:val="en-US" w:eastAsia="zh-CN"/>
              </w:rPr>
            </w:pPr>
            <w:r>
              <w:rPr>
                <w:rFonts w:hint="eastAsia"/>
                <w:sz w:val="21"/>
                <w:szCs w:val="21"/>
                <w:highlight w:val="none"/>
                <w:lang w:val="en-US" w:eastAsia="zh-CN"/>
              </w:rPr>
              <w:t>73</w:t>
            </w:r>
          </w:p>
        </w:tc>
        <w:tc>
          <w:tcPr>
            <w:tcW w:w="489" w:type="pct"/>
            <w:noWrap w:val="0"/>
            <w:vAlign w:val="center"/>
          </w:tcPr>
          <w:p w14:paraId="3A3337B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lang w:val="en-US" w:eastAsia="zh-CN"/>
              </w:rPr>
            </w:pPr>
            <w:r>
              <w:rPr>
                <w:rFonts w:hint="eastAsia"/>
                <w:sz w:val="21"/>
                <w:szCs w:val="21"/>
                <w:highlight w:val="none"/>
                <w:lang w:val="en-US" w:eastAsia="zh-CN"/>
              </w:rPr>
              <w:t>67</w:t>
            </w:r>
          </w:p>
        </w:tc>
        <w:tc>
          <w:tcPr>
            <w:tcW w:w="489" w:type="pct"/>
            <w:noWrap w:val="0"/>
            <w:vAlign w:val="center"/>
          </w:tcPr>
          <w:p w14:paraId="26C3C82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lang w:val="en-US" w:eastAsia="zh-CN"/>
              </w:rPr>
            </w:pPr>
            <w:r>
              <w:rPr>
                <w:rFonts w:hint="eastAsia"/>
                <w:sz w:val="21"/>
                <w:szCs w:val="21"/>
                <w:highlight w:val="none"/>
                <w:lang w:val="en-US" w:eastAsia="zh-CN"/>
              </w:rPr>
              <w:t>61</w:t>
            </w:r>
          </w:p>
        </w:tc>
        <w:tc>
          <w:tcPr>
            <w:tcW w:w="489" w:type="pct"/>
            <w:noWrap w:val="0"/>
            <w:vAlign w:val="center"/>
          </w:tcPr>
          <w:p w14:paraId="3A90310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lang w:val="en-US" w:eastAsia="zh-CN"/>
              </w:rPr>
            </w:pPr>
            <w:r>
              <w:rPr>
                <w:rFonts w:hint="eastAsia"/>
                <w:sz w:val="21"/>
                <w:szCs w:val="21"/>
                <w:highlight w:val="none"/>
                <w:lang w:val="en-US" w:eastAsia="zh-CN"/>
              </w:rPr>
              <w:t>59</w:t>
            </w:r>
          </w:p>
        </w:tc>
        <w:tc>
          <w:tcPr>
            <w:tcW w:w="489" w:type="pct"/>
            <w:noWrap w:val="0"/>
            <w:vAlign w:val="center"/>
          </w:tcPr>
          <w:p w14:paraId="0878203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lang w:val="en-US" w:eastAsia="zh-CN"/>
              </w:rPr>
            </w:pPr>
            <w:r>
              <w:rPr>
                <w:rFonts w:hint="eastAsia"/>
                <w:sz w:val="21"/>
                <w:szCs w:val="21"/>
                <w:highlight w:val="none"/>
                <w:lang w:val="en-US" w:eastAsia="zh-CN"/>
              </w:rPr>
              <w:t>55</w:t>
            </w:r>
          </w:p>
        </w:tc>
        <w:tc>
          <w:tcPr>
            <w:tcW w:w="489" w:type="pct"/>
            <w:noWrap w:val="0"/>
            <w:vAlign w:val="center"/>
          </w:tcPr>
          <w:p w14:paraId="72B1288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lang w:val="en-US" w:eastAsia="zh-CN"/>
              </w:rPr>
            </w:pPr>
            <w:r>
              <w:rPr>
                <w:rFonts w:hint="eastAsia"/>
                <w:sz w:val="21"/>
                <w:szCs w:val="21"/>
                <w:highlight w:val="none"/>
                <w:lang w:val="en-US" w:eastAsia="zh-CN"/>
              </w:rPr>
              <w:t>49</w:t>
            </w:r>
          </w:p>
        </w:tc>
        <w:tc>
          <w:tcPr>
            <w:tcW w:w="489" w:type="pct"/>
            <w:noWrap w:val="0"/>
            <w:vAlign w:val="center"/>
          </w:tcPr>
          <w:p w14:paraId="623C2BB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lang w:val="en-US" w:eastAsia="zh-CN"/>
              </w:rPr>
            </w:pPr>
            <w:r>
              <w:rPr>
                <w:rFonts w:hint="eastAsia"/>
                <w:sz w:val="21"/>
                <w:szCs w:val="21"/>
                <w:highlight w:val="none"/>
                <w:lang w:val="en-US" w:eastAsia="zh-CN"/>
              </w:rPr>
              <w:t>47</w:t>
            </w:r>
          </w:p>
        </w:tc>
        <w:tc>
          <w:tcPr>
            <w:tcW w:w="492" w:type="pct"/>
            <w:noWrap w:val="0"/>
            <w:vAlign w:val="center"/>
          </w:tcPr>
          <w:p w14:paraId="3D4908B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lang w:val="en-US" w:eastAsia="zh-CN"/>
              </w:rPr>
            </w:pPr>
            <w:r>
              <w:rPr>
                <w:rFonts w:hint="eastAsia"/>
                <w:sz w:val="21"/>
                <w:szCs w:val="21"/>
                <w:highlight w:val="none"/>
                <w:lang w:val="en-US" w:eastAsia="zh-CN"/>
              </w:rPr>
              <w:t>41</w:t>
            </w:r>
          </w:p>
        </w:tc>
      </w:tr>
      <w:tr w14:paraId="0E41ED1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92" w:type="pct"/>
            <w:noWrap w:val="0"/>
            <w:vAlign w:val="center"/>
          </w:tcPr>
          <w:p w14:paraId="650723B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推土机</w:t>
            </w:r>
          </w:p>
        </w:tc>
        <w:tc>
          <w:tcPr>
            <w:tcW w:w="489" w:type="pct"/>
            <w:noWrap w:val="0"/>
            <w:vAlign w:val="center"/>
          </w:tcPr>
          <w:p w14:paraId="5A5C785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lang w:val="en-US" w:eastAsia="zh-CN"/>
              </w:rPr>
            </w:pPr>
            <w:r>
              <w:rPr>
                <w:rFonts w:hint="eastAsia"/>
                <w:sz w:val="21"/>
                <w:szCs w:val="21"/>
                <w:highlight w:val="none"/>
                <w:lang w:val="en-US" w:eastAsia="zh-CN"/>
              </w:rPr>
              <w:t>84</w:t>
            </w:r>
          </w:p>
        </w:tc>
        <w:tc>
          <w:tcPr>
            <w:tcW w:w="489" w:type="pct"/>
            <w:noWrap w:val="0"/>
            <w:vAlign w:val="center"/>
          </w:tcPr>
          <w:p w14:paraId="60BD31A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lang w:val="en-US" w:eastAsia="zh-CN"/>
              </w:rPr>
            </w:pPr>
            <w:r>
              <w:rPr>
                <w:rFonts w:hint="eastAsia"/>
                <w:sz w:val="21"/>
                <w:szCs w:val="21"/>
                <w:highlight w:val="none"/>
                <w:lang w:val="en-US" w:eastAsia="zh-CN"/>
              </w:rPr>
              <w:t>72</w:t>
            </w:r>
          </w:p>
        </w:tc>
        <w:tc>
          <w:tcPr>
            <w:tcW w:w="489" w:type="pct"/>
            <w:noWrap w:val="0"/>
            <w:vAlign w:val="center"/>
          </w:tcPr>
          <w:p w14:paraId="64796D4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lang w:val="en-US" w:eastAsia="zh-CN"/>
              </w:rPr>
            </w:pPr>
            <w:r>
              <w:rPr>
                <w:rFonts w:hint="eastAsia"/>
                <w:sz w:val="21"/>
                <w:szCs w:val="21"/>
                <w:highlight w:val="none"/>
                <w:lang w:val="en-US" w:eastAsia="zh-CN"/>
              </w:rPr>
              <w:t>66</w:t>
            </w:r>
          </w:p>
        </w:tc>
        <w:tc>
          <w:tcPr>
            <w:tcW w:w="489" w:type="pct"/>
            <w:noWrap w:val="0"/>
            <w:vAlign w:val="center"/>
          </w:tcPr>
          <w:p w14:paraId="026A705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lang w:val="en-US" w:eastAsia="zh-CN"/>
              </w:rPr>
            </w:pPr>
            <w:r>
              <w:rPr>
                <w:rFonts w:hint="eastAsia"/>
                <w:sz w:val="21"/>
                <w:szCs w:val="21"/>
                <w:highlight w:val="none"/>
                <w:lang w:val="en-US" w:eastAsia="zh-CN"/>
              </w:rPr>
              <w:t>60</w:t>
            </w:r>
          </w:p>
        </w:tc>
        <w:tc>
          <w:tcPr>
            <w:tcW w:w="489" w:type="pct"/>
            <w:noWrap w:val="0"/>
            <w:vAlign w:val="center"/>
          </w:tcPr>
          <w:p w14:paraId="23E393D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lang w:val="en-US" w:eastAsia="zh-CN"/>
              </w:rPr>
            </w:pPr>
            <w:r>
              <w:rPr>
                <w:rFonts w:hint="eastAsia"/>
                <w:sz w:val="21"/>
                <w:szCs w:val="21"/>
                <w:highlight w:val="none"/>
                <w:lang w:val="en-US" w:eastAsia="zh-CN"/>
              </w:rPr>
              <w:t>58</w:t>
            </w:r>
          </w:p>
        </w:tc>
        <w:tc>
          <w:tcPr>
            <w:tcW w:w="489" w:type="pct"/>
            <w:noWrap w:val="0"/>
            <w:vAlign w:val="center"/>
          </w:tcPr>
          <w:p w14:paraId="000BCF8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lang w:val="en-US" w:eastAsia="zh-CN"/>
              </w:rPr>
            </w:pPr>
            <w:r>
              <w:rPr>
                <w:rFonts w:hint="eastAsia"/>
                <w:sz w:val="21"/>
                <w:szCs w:val="21"/>
                <w:highlight w:val="none"/>
                <w:lang w:val="en-US" w:eastAsia="zh-CN"/>
              </w:rPr>
              <w:t>54</w:t>
            </w:r>
          </w:p>
        </w:tc>
        <w:tc>
          <w:tcPr>
            <w:tcW w:w="489" w:type="pct"/>
            <w:noWrap w:val="0"/>
            <w:vAlign w:val="center"/>
          </w:tcPr>
          <w:p w14:paraId="5A93410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lang w:val="en-US" w:eastAsia="zh-CN"/>
              </w:rPr>
            </w:pPr>
            <w:r>
              <w:rPr>
                <w:rFonts w:hint="eastAsia"/>
                <w:sz w:val="21"/>
                <w:szCs w:val="21"/>
                <w:highlight w:val="none"/>
                <w:lang w:val="en-US" w:eastAsia="zh-CN"/>
              </w:rPr>
              <w:t>48</w:t>
            </w:r>
          </w:p>
        </w:tc>
        <w:tc>
          <w:tcPr>
            <w:tcW w:w="489" w:type="pct"/>
            <w:noWrap w:val="0"/>
            <w:vAlign w:val="center"/>
          </w:tcPr>
          <w:p w14:paraId="27F895A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lang w:val="en-US" w:eastAsia="zh-CN"/>
              </w:rPr>
            </w:pPr>
            <w:r>
              <w:rPr>
                <w:rFonts w:hint="eastAsia"/>
                <w:sz w:val="21"/>
                <w:szCs w:val="21"/>
                <w:highlight w:val="none"/>
                <w:lang w:val="en-US" w:eastAsia="zh-CN"/>
              </w:rPr>
              <w:t>46</w:t>
            </w:r>
          </w:p>
        </w:tc>
        <w:tc>
          <w:tcPr>
            <w:tcW w:w="492" w:type="pct"/>
            <w:noWrap w:val="0"/>
            <w:vAlign w:val="center"/>
          </w:tcPr>
          <w:p w14:paraId="62C8302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lang w:val="en-US" w:eastAsia="zh-CN"/>
              </w:rPr>
            </w:pPr>
            <w:r>
              <w:rPr>
                <w:rFonts w:hint="eastAsia"/>
                <w:sz w:val="21"/>
                <w:szCs w:val="21"/>
                <w:highlight w:val="none"/>
                <w:lang w:val="en-US" w:eastAsia="zh-CN"/>
              </w:rPr>
              <w:t>40</w:t>
            </w:r>
          </w:p>
        </w:tc>
      </w:tr>
      <w:tr w14:paraId="29B2DF4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92" w:type="pct"/>
            <w:noWrap w:val="0"/>
            <w:vAlign w:val="center"/>
          </w:tcPr>
          <w:p w14:paraId="711141B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lang w:val="en-US" w:eastAsia="zh-CN"/>
              </w:rPr>
            </w:pPr>
            <w:r>
              <w:rPr>
                <w:rFonts w:hint="eastAsia"/>
                <w:sz w:val="21"/>
                <w:szCs w:val="21"/>
                <w:highlight w:val="none"/>
                <w:lang w:val="en-US" w:eastAsia="zh-CN"/>
              </w:rPr>
              <w:t>水泵</w:t>
            </w:r>
          </w:p>
        </w:tc>
        <w:tc>
          <w:tcPr>
            <w:tcW w:w="489" w:type="pct"/>
            <w:noWrap w:val="0"/>
            <w:vAlign w:val="center"/>
          </w:tcPr>
          <w:p w14:paraId="3B3E721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lang w:val="en-US" w:eastAsia="zh-CN"/>
              </w:rPr>
            </w:pPr>
            <w:r>
              <w:rPr>
                <w:rFonts w:hint="eastAsia"/>
                <w:sz w:val="21"/>
                <w:szCs w:val="21"/>
                <w:highlight w:val="none"/>
                <w:lang w:val="en-US" w:eastAsia="zh-CN"/>
              </w:rPr>
              <w:t>78</w:t>
            </w:r>
          </w:p>
        </w:tc>
        <w:tc>
          <w:tcPr>
            <w:tcW w:w="489" w:type="pct"/>
            <w:noWrap w:val="0"/>
            <w:vAlign w:val="center"/>
          </w:tcPr>
          <w:p w14:paraId="57CC30E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lang w:val="en-US" w:eastAsia="zh-CN"/>
              </w:rPr>
            </w:pPr>
            <w:r>
              <w:rPr>
                <w:rFonts w:hint="eastAsia"/>
                <w:sz w:val="21"/>
                <w:szCs w:val="21"/>
                <w:highlight w:val="none"/>
                <w:lang w:val="en-US" w:eastAsia="zh-CN"/>
              </w:rPr>
              <w:t>66</w:t>
            </w:r>
          </w:p>
        </w:tc>
        <w:tc>
          <w:tcPr>
            <w:tcW w:w="489" w:type="pct"/>
            <w:noWrap w:val="0"/>
            <w:vAlign w:val="center"/>
          </w:tcPr>
          <w:p w14:paraId="59ADE64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lang w:val="en-US" w:eastAsia="zh-CN"/>
              </w:rPr>
            </w:pPr>
            <w:r>
              <w:rPr>
                <w:rFonts w:hint="eastAsia"/>
                <w:sz w:val="21"/>
                <w:szCs w:val="21"/>
                <w:highlight w:val="none"/>
                <w:lang w:val="en-US" w:eastAsia="zh-CN"/>
              </w:rPr>
              <w:t>60</w:t>
            </w:r>
          </w:p>
        </w:tc>
        <w:tc>
          <w:tcPr>
            <w:tcW w:w="489" w:type="pct"/>
            <w:noWrap w:val="0"/>
            <w:vAlign w:val="center"/>
          </w:tcPr>
          <w:p w14:paraId="069F640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lang w:val="en-US" w:eastAsia="zh-CN"/>
              </w:rPr>
            </w:pPr>
            <w:r>
              <w:rPr>
                <w:rFonts w:hint="eastAsia"/>
                <w:sz w:val="21"/>
                <w:szCs w:val="21"/>
                <w:highlight w:val="none"/>
                <w:lang w:val="en-US" w:eastAsia="zh-CN"/>
              </w:rPr>
              <w:t>54</w:t>
            </w:r>
          </w:p>
        </w:tc>
        <w:tc>
          <w:tcPr>
            <w:tcW w:w="489" w:type="pct"/>
            <w:noWrap w:val="0"/>
            <w:vAlign w:val="center"/>
          </w:tcPr>
          <w:p w14:paraId="2EE7A13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lang w:val="en-US" w:eastAsia="zh-CN"/>
              </w:rPr>
            </w:pPr>
            <w:r>
              <w:rPr>
                <w:rFonts w:hint="eastAsia"/>
                <w:sz w:val="21"/>
                <w:szCs w:val="21"/>
                <w:highlight w:val="none"/>
                <w:lang w:val="en-US" w:eastAsia="zh-CN"/>
              </w:rPr>
              <w:t>52</w:t>
            </w:r>
          </w:p>
        </w:tc>
        <w:tc>
          <w:tcPr>
            <w:tcW w:w="489" w:type="pct"/>
            <w:noWrap w:val="0"/>
            <w:vAlign w:val="center"/>
          </w:tcPr>
          <w:p w14:paraId="7A3F8A0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lang w:val="en-US" w:eastAsia="zh-CN"/>
              </w:rPr>
            </w:pPr>
            <w:r>
              <w:rPr>
                <w:rFonts w:hint="eastAsia"/>
                <w:sz w:val="21"/>
                <w:szCs w:val="21"/>
                <w:highlight w:val="none"/>
                <w:lang w:val="en-US" w:eastAsia="zh-CN"/>
              </w:rPr>
              <w:t>48</w:t>
            </w:r>
          </w:p>
        </w:tc>
        <w:tc>
          <w:tcPr>
            <w:tcW w:w="489" w:type="pct"/>
            <w:noWrap w:val="0"/>
            <w:vAlign w:val="center"/>
          </w:tcPr>
          <w:p w14:paraId="02C28B4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lang w:val="en-US" w:eastAsia="zh-CN"/>
              </w:rPr>
            </w:pPr>
            <w:r>
              <w:rPr>
                <w:rFonts w:hint="eastAsia"/>
                <w:sz w:val="21"/>
                <w:szCs w:val="21"/>
                <w:highlight w:val="none"/>
                <w:lang w:val="en-US" w:eastAsia="zh-CN"/>
              </w:rPr>
              <w:t>42</w:t>
            </w:r>
          </w:p>
        </w:tc>
        <w:tc>
          <w:tcPr>
            <w:tcW w:w="489" w:type="pct"/>
            <w:noWrap w:val="0"/>
            <w:vAlign w:val="center"/>
          </w:tcPr>
          <w:p w14:paraId="6DA4A2C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lang w:val="en-US" w:eastAsia="zh-CN"/>
              </w:rPr>
            </w:pPr>
            <w:r>
              <w:rPr>
                <w:rFonts w:hint="eastAsia"/>
                <w:sz w:val="21"/>
                <w:szCs w:val="21"/>
                <w:highlight w:val="none"/>
                <w:lang w:val="en-US" w:eastAsia="zh-CN"/>
              </w:rPr>
              <w:t>40</w:t>
            </w:r>
          </w:p>
        </w:tc>
        <w:tc>
          <w:tcPr>
            <w:tcW w:w="492" w:type="pct"/>
            <w:noWrap w:val="0"/>
            <w:vAlign w:val="center"/>
          </w:tcPr>
          <w:p w14:paraId="7203361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lang w:val="en-US" w:eastAsia="zh-CN"/>
              </w:rPr>
            </w:pPr>
            <w:r>
              <w:rPr>
                <w:rFonts w:hint="eastAsia"/>
                <w:sz w:val="21"/>
                <w:szCs w:val="21"/>
                <w:highlight w:val="none"/>
                <w:lang w:val="en-US" w:eastAsia="zh-CN"/>
              </w:rPr>
              <w:t>34</w:t>
            </w:r>
          </w:p>
        </w:tc>
      </w:tr>
      <w:tr w14:paraId="62DBBED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92" w:type="pct"/>
            <w:noWrap w:val="0"/>
            <w:vAlign w:val="center"/>
          </w:tcPr>
          <w:p w14:paraId="5007C6D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lang w:val="en-US" w:eastAsia="zh-CN"/>
              </w:rPr>
            </w:pPr>
            <w:r>
              <w:rPr>
                <w:rFonts w:hint="eastAsia"/>
                <w:sz w:val="21"/>
                <w:szCs w:val="21"/>
                <w:highlight w:val="none"/>
                <w:lang w:val="en-US" w:eastAsia="zh-CN"/>
              </w:rPr>
              <w:t>装载机</w:t>
            </w:r>
          </w:p>
        </w:tc>
        <w:tc>
          <w:tcPr>
            <w:tcW w:w="489" w:type="pct"/>
            <w:noWrap w:val="0"/>
            <w:vAlign w:val="center"/>
          </w:tcPr>
          <w:p w14:paraId="606061D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lang w:val="en-US" w:eastAsia="zh-CN"/>
              </w:rPr>
            </w:pPr>
            <w:r>
              <w:rPr>
                <w:rFonts w:hint="eastAsia"/>
                <w:sz w:val="21"/>
                <w:szCs w:val="21"/>
                <w:highlight w:val="none"/>
                <w:lang w:val="en-US" w:eastAsia="zh-CN"/>
              </w:rPr>
              <w:t>87</w:t>
            </w:r>
          </w:p>
        </w:tc>
        <w:tc>
          <w:tcPr>
            <w:tcW w:w="489" w:type="pct"/>
            <w:noWrap w:val="0"/>
            <w:vAlign w:val="center"/>
          </w:tcPr>
          <w:p w14:paraId="55C20B9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lang w:val="en-US" w:eastAsia="zh-CN"/>
              </w:rPr>
            </w:pPr>
            <w:r>
              <w:rPr>
                <w:rFonts w:hint="eastAsia"/>
                <w:sz w:val="21"/>
                <w:szCs w:val="21"/>
                <w:highlight w:val="none"/>
                <w:lang w:val="en-US" w:eastAsia="zh-CN"/>
              </w:rPr>
              <w:t>75</w:t>
            </w:r>
          </w:p>
        </w:tc>
        <w:tc>
          <w:tcPr>
            <w:tcW w:w="489" w:type="pct"/>
            <w:noWrap w:val="0"/>
            <w:vAlign w:val="center"/>
          </w:tcPr>
          <w:p w14:paraId="2676E94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lang w:val="en-US" w:eastAsia="zh-CN"/>
              </w:rPr>
            </w:pPr>
            <w:r>
              <w:rPr>
                <w:rFonts w:hint="eastAsia"/>
                <w:sz w:val="21"/>
                <w:szCs w:val="21"/>
                <w:highlight w:val="none"/>
                <w:lang w:val="en-US" w:eastAsia="zh-CN"/>
              </w:rPr>
              <w:t>69</w:t>
            </w:r>
          </w:p>
        </w:tc>
        <w:tc>
          <w:tcPr>
            <w:tcW w:w="489" w:type="pct"/>
            <w:noWrap w:val="0"/>
            <w:vAlign w:val="center"/>
          </w:tcPr>
          <w:p w14:paraId="1CC7807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lang w:val="en-US" w:eastAsia="zh-CN"/>
              </w:rPr>
            </w:pPr>
            <w:r>
              <w:rPr>
                <w:rFonts w:hint="eastAsia"/>
                <w:sz w:val="21"/>
                <w:szCs w:val="21"/>
                <w:highlight w:val="none"/>
                <w:lang w:val="en-US" w:eastAsia="zh-CN"/>
              </w:rPr>
              <w:t>63</w:t>
            </w:r>
          </w:p>
        </w:tc>
        <w:tc>
          <w:tcPr>
            <w:tcW w:w="489" w:type="pct"/>
            <w:noWrap w:val="0"/>
            <w:vAlign w:val="center"/>
          </w:tcPr>
          <w:p w14:paraId="53ABA96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lang w:val="en-US" w:eastAsia="zh-CN"/>
              </w:rPr>
            </w:pPr>
            <w:r>
              <w:rPr>
                <w:rFonts w:hint="eastAsia"/>
                <w:sz w:val="21"/>
                <w:szCs w:val="21"/>
                <w:highlight w:val="none"/>
                <w:lang w:val="en-US" w:eastAsia="zh-CN"/>
              </w:rPr>
              <w:t>61</w:t>
            </w:r>
          </w:p>
        </w:tc>
        <w:tc>
          <w:tcPr>
            <w:tcW w:w="489" w:type="pct"/>
            <w:noWrap w:val="0"/>
            <w:vAlign w:val="center"/>
          </w:tcPr>
          <w:p w14:paraId="4FF8946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lang w:val="en-US" w:eastAsia="zh-CN"/>
              </w:rPr>
            </w:pPr>
            <w:r>
              <w:rPr>
                <w:rFonts w:hint="eastAsia"/>
                <w:sz w:val="21"/>
                <w:szCs w:val="21"/>
                <w:highlight w:val="none"/>
                <w:lang w:val="en-US" w:eastAsia="zh-CN"/>
              </w:rPr>
              <w:t>57</w:t>
            </w:r>
          </w:p>
        </w:tc>
        <w:tc>
          <w:tcPr>
            <w:tcW w:w="489" w:type="pct"/>
            <w:noWrap w:val="0"/>
            <w:vAlign w:val="center"/>
          </w:tcPr>
          <w:p w14:paraId="146CC8D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lang w:val="en-US" w:eastAsia="zh-CN"/>
              </w:rPr>
            </w:pPr>
            <w:r>
              <w:rPr>
                <w:rFonts w:hint="eastAsia"/>
                <w:sz w:val="21"/>
                <w:szCs w:val="21"/>
                <w:highlight w:val="none"/>
                <w:lang w:val="en-US" w:eastAsia="zh-CN"/>
              </w:rPr>
              <w:t>51</w:t>
            </w:r>
          </w:p>
        </w:tc>
        <w:tc>
          <w:tcPr>
            <w:tcW w:w="489" w:type="pct"/>
            <w:noWrap w:val="0"/>
            <w:vAlign w:val="center"/>
          </w:tcPr>
          <w:p w14:paraId="3B17842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lang w:val="en-US" w:eastAsia="zh-CN"/>
              </w:rPr>
            </w:pPr>
            <w:r>
              <w:rPr>
                <w:rFonts w:hint="eastAsia"/>
                <w:sz w:val="21"/>
                <w:szCs w:val="21"/>
                <w:highlight w:val="none"/>
                <w:lang w:val="en-US" w:eastAsia="zh-CN"/>
              </w:rPr>
              <w:t>49</w:t>
            </w:r>
          </w:p>
        </w:tc>
        <w:tc>
          <w:tcPr>
            <w:tcW w:w="492" w:type="pct"/>
            <w:noWrap w:val="0"/>
            <w:vAlign w:val="center"/>
          </w:tcPr>
          <w:p w14:paraId="05B3C9F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lang w:val="en-US" w:eastAsia="zh-CN"/>
              </w:rPr>
            </w:pPr>
            <w:r>
              <w:rPr>
                <w:rFonts w:hint="eastAsia"/>
                <w:sz w:val="21"/>
                <w:szCs w:val="21"/>
                <w:highlight w:val="none"/>
                <w:lang w:val="en-US" w:eastAsia="zh-CN"/>
              </w:rPr>
              <w:t>43</w:t>
            </w:r>
          </w:p>
        </w:tc>
      </w:tr>
      <w:tr w14:paraId="402631F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92" w:type="pct"/>
            <w:noWrap w:val="0"/>
            <w:vAlign w:val="center"/>
          </w:tcPr>
          <w:p w14:paraId="2A9776A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lang w:val="en-US" w:eastAsia="zh-CN"/>
              </w:rPr>
            </w:pPr>
            <w:r>
              <w:rPr>
                <w:rFonts w:hint="eastAsia"/>
                <w:sz w:val="21"/>
                <w:szCs w:val="21"/>
                <w:highlight w:val="none"/>
                <w:lang w:val="en-US" w:eastAsia="zh-CN"/>
              </w:rPr>
              <w:t>压实机</w:t>
            </w:r>
          </w:p>
        </w:tc>
        <w:tc>
          <w:tcPr>
            <w:tcW w:w="489" w:type="pct"/>
            <w:noWrap w:val="0"/>
            <w:vAlign w:val="center"/>
          </w:tcPr>
          <w:p w14:paraId="1B8E665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lang w:val="en-US" w:eastAsia="zh-CN"/>
              </w:rPr>
            </w:pPr>
            <w:r>
              <w:rPr>
                <w:rFonts w:hint="eastAsia"/>
                <w:sz w:val="21"/>
                <w:szCs w:val="21"/>
                <w:highlight w:val="none"/>
                <w:lang w:val="en-US" w:eastAsia="zh-CN"/>
              </w:rPr>
              <w:t>85</w:t>
            </w:r>
          </w:p>
        </w:tc>
        <w:tc>
          <w:tcPr>
            <w:tcW w:w="489" w:type="pct"/>
            <w:noWrap w:val="0"/>
            <w:vAlign w:val="center"/>
          </w:tcPr>
          <w:p w14:paraId="68B6138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lang w:val="en-US" w:eastAsia="zh-CN"/>
              </w:rPr>
            </w:pPr>
            <w:r>
              <w:rPr>
                <w:rFonts w:hint="eastAsia"/>
                <w:sz w:val="21"/>
                <w:szCs w:val="21"/>
                <w:highlight w:val="none"/>
                <w:lang w:val="en-US" w:eastAsia="zh-CN"/>
              </w:rPr>
              <w:t>73</w:t>
            </w:r>
          </w:p>
        </w:tc>
        <w:tc>
          <w:tcPr>
            <w:tcW w:w="489" w:type="pct"/>
            <w:noWrap w:val="0"/>
            <w:vAlign w:val="center"/>
          </w:tcPr>
          <w:p w14:paraId="1F3EA76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lang w:val="en-US" w:eastAsia="zh-CN"/>
              </w:rPr>
            </w:pPr>
            <w:r>
              <w:rPr>
                <w:rFonts w:hint="eastAsia"/>
                <w:sz w:val="21"/>
                <w:szCs w:val="21"/>
                <w:highlight w:val="none"/>
                <w:lang w:val="en-US" w:eastAsia="zh-CN"/>
              </w:rPr>
              <w:t>67</w:t>
            </w:r>
          </w:p>
        </w:tc>
        <w:tc>
          <w:tcPr>
            <w:tcW w:w="489" w:type="pct"/>
            <w:noWrap w:val="0"/>
            <w:vAlign w:val="center"/>
          </w:tcPr>
          <w:p w14:paraId="7455E44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lang w:val="en-US" w:eastAsia="zh-CN"/>
              </w:rPr>
            </w:pPr>
            <w:r>
              <w:rPr>
                <w:rFonts w:hint="eastAsia"/>
                <w:sz w:val="21"/>
                <w:szCs w:val="21"/>
                <w:highlight w:val="none"/>
                <w:lang w:val="en-US" w:eastAsia="zh-CN"/>
              </w:rPr>
              <w:t>61</w:t>
            </w:r>
          </w:p>
        </w:tc>
        <w:tc>
          <w:tcPr>
            <w:tcW w:w="489" w:type="pct"/>
            <w:noWrap w:val="0"/>
            <w:vAlign w:val="center"/>
          </w:tcPr>
          <w:p w14:paraId="39E6ABD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lang w:val="en-US" w:eastAsia="zh-CN"/>
              </w:rPr>
            </w:pPr>
            <w:r>
              <w:rPr>
                <w:rFonts w:hint="eastAsia"/>
                <w:sz w:val="21"/>
                <w:szCs w:val="21"/>
                <w:highlight w:val="none"/>
                <w:lang w:val="en-US" w:eastAsia="zh-CN"/>
              </w:rPr>
              <w:t>59</w:t>
            </w:r>
          </w:p>
        </w:tc>
        <w:tc>
          <w:tcPr>
            <w:tcW w:w="489" w:type="pct"/>
            <w:noWrap w:val="0"/>
            <w:vAlign w:val="center"/>
          </w:tcPr>
          <w:p w14:paraId="60A1500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lang w:val="en-US" w:eastAsia="zh-CN"/>
              </w:rPr>
            </w:pPr>
            <w:r>
              <w:rPr>
                <w:rFonts w:hint="eastAsia"/>
                <w:sz w:val="21"/>
                <w:szCs w:val="21"/>
                <w:highlight w:val="none"/>
                <w:lang w:val="en-US" w:eastAsia="zh-CN"/>
              </w:rPr>
              <w:t>55</w:t>
            </w:r>
          </w:p>
        </w:tc>
        <w:tc>
          <w:tcPr>
            <w:tcW w:w="489" w:type="pct"/>
            <w:noWrap w:val="0"/>
            <w:vAlign w:val="center"/>
          </w:tcPr>
          <w:p w14:paraId="3DBE2FD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lang w:val="en-US" w:eastAsia="zh-CN"/>
              </w:rPr>
            </w:pPr>
            <w:r>
              <w:rPr>
                <w:rFonts w:hint="eastAsia"/>
                <w:sz w:val="21"/>
                <w:szCs w:val="21"/>
                <w:highlight w:val="none"/>
                <w:lang w:val="en-US" w:eastAsia="zh-CN"/>
              </w:rPr>
              <w:t>49</w:t>
            </w:r>
          </w:p>
        </w:tc>
        <w:tc>
          <w:tcPr>
            <w:tcW w:w="489" w:type="pct"/>
            <w:noWrap w:val="0"/>
            <w:vAlign w:val="center"/>
          </w:tcPr>
          <w:p w14:paraId="732125E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lang w:val="en-US" w:eastAsia="zh-CN"/>
              </w:rPr>
            </w:pPr>
            <w:r>
              <w:rPr>
                <w:rFonts w:hint="eastAsia"/>
                <w:sz w:val="21"/>
                <w:szCs w:val="21"/>
                <w:highlight w:val="none"/>
                <w:lang w:val="en-US" w:eastAsia="zh-CN"/>
              </w:rPr>
              <w:t>47</w:t>
            </w:r>
          </w:p>
        </w:tc>
        <w:tc>
          <w:tcPr>
            <w:tcW w:w="492" w:type="pct"/>
            <w:noWrap w:val="0"/>
            <w:vAlign w:val="center"/>
          </w:tcPr>
          <w:p w14:paraId="7678708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lang w:val="en-US" w:eastAsia="zh-CN"/>
              </w:rPr>
            </w:pPr>
            <w:r>
              <w:rPr>
                <w:rFonts w:hint="eastAsia"/>
                <w:sz w:val="21"/>
                <w:szCs w:val="21"/>
                <w:highlight w:val="none"/>
                <w:lang w:val="en-US" w:eastAsia="zh-CN"/>
              </w:rPr>
              <w:t>41</w:t>
            </w:r>
          </w:p>
        </w:tc>
      </w:tr>
      <w:tr w14:paraId="0A998B3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92" w:type="pct"/>
            <w:noWrap w:val="0"/>
            <w:vAlign w:val="center"/>
          </w:tcPr>
          <w:p w14:paraId="12110B1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lang w:val="en-US" w:eastAsia="zh-CN"/>
              </w:rPr>
            </w:pPr>
            <w:r>
              <w:rPr>
                <w:rFonts w:hint="eastAsia"/>
                <w:sz w:val="21"/>
                <w:szCs w:val="21"/>
                <w:highlight w:val="none"/>
                <w:lang w:val="en-US" w:eastAsia="zh-CN"/>
              </w:rPr>
              <w:t>自卸汽车</w:t>
            </w:r>
          </w:p>
        </w:tc>
        <w:tc>
          <w:tcPr>
            <w:tcW w:w="489" w:type="pct"/>
            <w:noWrap w:val="0"/>
            <w:vAlign w:val="center"/>
          </w:tcPr>
          <w:p w14:paraId="6F60296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lang w:val="en-US" w:eastAsia="zh-CN"/>
              </w:rPr>
            </w:pPr>
            <w:r>
              <w:rPr>
                <w:rFonts w:hint="eastAsia"/>
                <w:sz w:val="21"/>
                <w:szCs w:val="21"/>
                <w:highlight w:val="none"/>
                <w:lang w:val="en-US" w:eastAsia="zh-CN"/>
              </w:rPr>
              <w:t>77</w:t>
            </w:r>
          </w:p>
        </w:tc>
        <w:tc>
          <w:tcPr>
            <w:tcW w:w="489" w:type="pct"/>
            <w:noWrap w:val="0"/>
            <w:vAlign w:val="center"/>
          </w:tcPr>
          <w:p w14:paraId="3F787C4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lang w:val="en-US" w:eastAsia="zh-CN"/>
              </w:rPr>
            </w:pPr>
            <w:r>
              <w:rPr>
                <w:rFonts w:hint="eastAsia"/>
                <w:sz w:val="21"/>
                <w:szCs w:val="21"/>
                <w:highlight w:val="none"/>
                <w:lang w:val="en-US" w:eastAsia="zh-CN"/>
              </w:rPr>
              <w:t>65</w:t>
            </w:r>
          </w:p>
        </w:tc>
        <w:tc>
          <w:tcPr>
            <w:tcW w:w="489" w:type="pct"/>
            <w:noWrap w:val="0"/>
            <w:vAlign w:val="center"/>
          </w:tcPr>
          <w:p w14:paraId="3C15901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lang w:val="en-US" w:eastAsia="zh-CN"/>
              </w:rPr>
            </w:pPr>
            <w:r>
              <w:rPr>
                <w:rFonts w:hint="eastAsia"/>
                <w:sz w:val="21"/>
                <w:szCs w:val="21"/>
                <w:highlight w:val="none"/>
                <w:lang w:val="en-US" w:eastAsia="zh-CN"/>
              </w:rPr>
              <w:t>59</w:t>
            </w:r>
          </w:p>
        </w:tc>
        <w:tc>
          <w:tcPr>
            <w:tcW w:w="489" w:type="pct"/>
            <w:noWrap w:val="0"/>
            <w:vAlign w:val="center"/>
          </w:tcPr>
          <w:p w14:paraId="4169B05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lang w:val="en-US" w:eastAsia="zh-CN"/>
              </w:rPr>
            </w:pPr>
            <w:r>
              <w:rPr>
                <w:rFonts w:hint="eastAsia"/>
                <w:sz w:val="21"/>
                <w:szCs w:val="21"/>
                <w:highlight w:val="none"/>
                <w:lang w:val="en-US" w:eastAsia="zh-CN"/>
              </w:rPr>
              <w:t>53</w:t>
            </w:r>
          </w:p>
        </w:tc>
        <w:tc>
          <w:tcPr>
            <w:tcW w:w="489" w:type="pct"/>
            <w:noWrap w:val="0"/>
            <w:vAlign w:val="center"/>
          </w:tcPr>
          <w:p w14:paraId="66CE31C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lang w:val="en-US" w:eastAsia="zh-CN"/>
              </w:rPr>
            </w:pPr>
            <w:r>
              <w:rPr>
                <w:rFonts w:hint="eastAsia"/>
                <w:sz w:val="21"/>
                <w:szCs w:val="21"/>
                <w:highlight w:val="none"/>
                <w:lang w:val="en-US" w:eastAsia="zh-CN"/>
              </w:rPr>
              <w:t>51</w:t>
            </w:r>
          </w:p>
        </w:tc>
        <w:tc>
          <w:tcPr>
            <w:tcW w:w="489" w:type="pct"/>
            <w:noWrap w:val="0"/>
            <w:vAlign w:val="center"/>
          </w:tcPr>
          <w:p w14:paraId="2E32C93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lang w:val="en-US" w:eastAsia="zh-CN"/>
              </w:rPr>
            </w:pPr>
            <w:r>
              <w:rPr>
                <w:rFonts w:hint="eastAsia"/>
                <w:sz w:val="21"/>
                <w:szCs w:val="21"/>
                <w:highlight w:val="none"/>
                <w:lang w:val="en-US" w:eastAsia="zh-CN"/>
              </w:rPr>
              <w:t>47</w:t>
            </w:r>
          </w:p>
        </w:tc>
        <w:tc>
          <w:tcPr>
            <w:tcW w:w="489" w:type="pct"/>
            <w:noWrap w:val="0"/>
            <w:vAlign w:val="center"/>
          </w:tcPr>
          <w:p w14:paraId="4700E87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lang w:val="en-US" w:eastAsia="zh-CN"/>
              </w:rPr>
            </w:pPr>
            <w:r>
              <w:rPr>
                <w:rFonts w:hint="eastAsia"/>
                <w:sz w:val="21"/>
                <w:szCs w:val="21"/>
                <w:highlight w:val="none"/>
                <w:lang w:val="en-US" w:eastAsia="zh-CN"/>
              </w:rPr>
              <w:t>41</w:t>
            </w:r>
          </w:p>
        </w:tc>
        <w:tc>
          <w:tcPr>
            <w:tcW w:w="489" w:type="pct"/>
            <w:noWrap w:val="0"/>
            <w:vAlign w:val="center"/>
          </w:tcPr>
          <w:p w14:paraId="13BBDCE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lang w:val="en-US" w:eastAsia="zh-CN"/>
              </w:rPr>
            </w:pPr>
            <w:r>
              <w:rPr>
                <w:rFonts w:hint="eastAsia"/>
                <w:sz w:val="21"/>
                <w:szCs w:val="21"/>
                <w:highlight w:val="none"/>
                <w:lang w:val="en-US" w:eastAsia="zh-CN"/>
              </w:rPr>
              <w:t>39</w:t>
            </w:r>
          </w:p>
        </w:tc>
        <w:tc>
          <w:tcPr>
            <w:tcW w:w="492" w:type="pct"/>
            <w:noWrap w:val="0"/>
            <w:vAlign w:val="center"/>
          </w:tcPr>
          <w:p w14:paraId="3971693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lang w:val="en-US" w:eastAsia="zh-CN"/>
              </w:rPr>
            </w:pPr>
            <w:r>
              <w:rPr>
                <w:rFonts w:hint="eastAsia"/>
                <w:sz w:val="21"/>
                <w:szCs w:val="21"/>
                <w:highlight w:val="none"/>
                <w:lang w:val="en-US" w:eastAsia="zh-CN"/>
              </w:rPr>
              <w:t>33</w:t>
            </w:r>
          </w:p>
        </w:tc>
      </w:tr>
    </w:tbl>
    <w:p w14:paraId="7CECF4C9">
      <w:pPr>
        <w:bidi w:val="0"/>
        <w:rPr>
          <w:rFonts w:hint="default"/>
          <w:b/>
          <w:bCs/>
          <w:highlight w:val="none"/>
          <w:lang w:val="en-US" w:eastAsia="zh-CN"/>
        </w:rPr>
      </w:pPr>
      <w:r>
        <w:rPr>
          <w:rFonts w:hint="eastAsia"/>
          <w:b/>
          <w:bCs/>
          <w:highlight w:val="none"/>
          <w:lang w:val="en-US" w:eastAsia="zh-CN"/>
        </w:rPr>
        <w:t>（4）噪声影响评价</w:t>
      </w:r>
    </w:p>
    <w:p w14:paraId="660A355B">
      <w:pPr>
        <w:bidi w:val="0"/>
        <w:rPr>
          <w:rFonts w:hint="eastAsia"/>
          <w:highlight w:val="none"/>
          <w:lang w:val="en-US" w:eastAsia="zh-CN"/>
        </w:rPr>
      </w:pPr>
      <w:r>
        <w:rPr>
          <w:rFonts w:hint="eastAsia"/>
          <w:highlight w:val="none"/>
          <w:lang w:val="en-US" w:eastAsia="zh-CN"/>
        </w:rPr>
        <w:t>由表5.1-3可以看出，在采用噪声强度较大的施工机械昼间施工时，施工区域100m 范围以内的施工噪声贡献值超过了1类标准，若夜间施工，其超标范围将扩大到400m。</w:t>
      </w:r>
    </w:p>
    <w:p w14:paraId="35EA81D3">
      <w:pPr>
        <w:bidi w:val="0"/>
        <w:rPr>
          <w:rFonts w:hint="eastAsia"/>
          <w:highlight w:val="none"/>
          <w:lang w:val="en-US" w:eastAsia="zh-CN"/>
        </w:rPr>
      </w:pPr>
      <w:r>
        <w:rPr>
          <w:rFonts w:hint="eastAsia"/>
          <w:highlight w:val="none"/>
          <w:lang w:val="en-US" w:eastAsia="zh-CN"/>
        </w:rPr>
        <w:t>本工程夜间不施工，夜间不会对周边居民声环境造成影响。项目污染区及填埋场周边200m范围内无居民居住，在施工期间，噪声对周围居民影响较小。</w:t>
      </w:r>
    </w:p>
    <w:p w14:paraId="21288ABA">
      <w:pPr>
        <w:bidi w:val="0"/>
        <w:rPr>
          <w:rFonts w:hint="eastAsia"/>
          <w:highlight w:val="none"/>
          <w:lang w:val="en-US" w:eastAsia="zh-CN"/>
        </w:rPr>
      </w:pPr>
      <w:r>
        <w:rPr>
          <w:rFonts w:hint="eastAsia"/>
          <w:highlight w:val="none"/>
          <w:lang w:val="en-US" w:eastAsia="zh-CN"/>
        </w:rPr>
        <w:t>同时本环评建议施工方采取以下措施以避免或减缓此不利影响：</w:t>
      </w:r>
    </w:p>
    <w:p w14:paraId="1CF051C4">
      <w:pPr>
        <w:bidi w:val="0"/>
        <w:rPr>
          <w:rFonts w:hint="eastAsia"/>
          <w:highlight w:val="none"/>
          <w:lang w:val="en-US" w:eastAsia="zh-CN"/>
        </w:rPr>
      </w:pPr>
      <w:r>
        <w:rPr>
          <w:rFonts w:hint="eastAsia"/>
          <w:highlight w:val="none"/>
          <w:lang w:val="en-US" w:eastAsia="zh-CN"/>
        </w:rPr>
        <w:t>1）合理安排施工计划和施工机械设备组合，避免在同一时间集中使用大量的动力机械设备。施工单位严格执行《建筑施工场界环境噪声排放标准》（GB12523-2011）的要求，在施工过程中，尽量减少运行动力机械设备的数量，尽可能使动力机械设备比较均匀地使用。</w:t>
      </w:r>
    </w:p>
    <w:p w14:paraId="2C4DEC24">
      <w:pPr>
        <w:bidi w:val="0"/>
        <w:rPr>
          <w:rFonts w:hint="eastAsia"/>
          <w:highlight w:val="none"/>
          <w:lang w:val="en-US" w:eastAsia="zh-CN"/>
        </w:rPr>
      </w:pPr>
      <w:r>
        <w:rPr>
          <w:rFonts w:hint="eastAsia"/>
          <w:highlight w:val="none"/>
          <w:lang w:val="en-US" w:eastAsia="zh-CN"/>
        </w:rPr>
        <w:t>2）对本工程的施工进行合理布局，尽量使高噪声的机械设备远离环境敏感点。</w:t>
      </w:r>
    </w:p>
    <w:p w14:paraId="468D65B8">
      <w:pPr>
        <w:bidi w:val="0"/>
        <w:rPr>
          <w:rFonts w:hint="eastAsia"/>
          <w:highlight w:val="none"/>
          <w:lang w:val="en-US" w:eastAsia="zh-CN"/>
        </w:rPr>
      </w:pPr>
      <w:r>
        <w:rPr>
          <w:rFonts w:hint="eastAsia"/>
          <w:highlight w:val="none"/>
          <w:lang w:val="en-US" w:eastAsia="zh-CN"/>
        </w:rPr>
        <w:t>3）从控制声源和噪声传播以及加强管理等几个不同角度对施工噪声进行控制。</w:t>
      </w:r>
    </w:p>
    <w:p w14:paraId="7499AE19">
      <w:pPr>
        <w:bidi w:val="0"/>
        <w:rPr>
          <w:rFonts w:hint="eastAsia"/>
          <w:highlight w:val="none"/>
          <w:lang w:val="en-US" w:eastAsia="zh-CN"/>
        </w:rPr>
      </w:pPr>
      <w:r>
        <w:rPr>
          <w:rFonts w:hint="eastAsia"/>
          <w:highlight w:val="none"/>
          <w:lang w:val="en-US" w:eastAsia="zh-CN"/>
        </w:rPr>
        <w:t>①控制声源</w:t>
      </w:r>
    </w:p>
    <w:p w14:paraId="347480DB">
      <w:pPr>
        <w:bidi w:val="0"/>
        <w:rPr>
          <w:rFonts w:hint="eastAsia"/>
          <w:highlight w:val="none"/>
          <w:lang w:val="en-US" w:eastAsia="zh-CN"/>
        </w:rPr>
      </w:pPr>
      <w:r>
        <w:rPr>
          <w:rFonts w:hint="eastAsia"/>
          <w:highlight w:val="none"/>
          <w:lang w:val="en-US" w:eastAsia="zh-CN"/>
        </w:rPr>
        <w:t>选择低噪声的机械设备；对于开挖和运输废渣的机械设备（挖土机、推土机等）可以通过基础减振和隔离发动机震动部分的方法来降低噪声，其他产生噪声的部分还可以采用部分封闭或者完全封闭的办法，尽量减少振动面的振幅；闲置的机械设备等应该予以关闭或者减速；一切动力机械设备都应该经常检修，特别是对那些会因为部件松动而产生噪声的机械，以及那些降噪部件容易损坏而导致强噪声产生的机械设备。</w:t>
      </w:r>
    </w:p>
    <w:p w14:paraId="5F0AE592">
      <w:pPr>
        <w:bidi w:val="0"/>
        <w:rPr>
          <w:rFonts w:hint="eastAsia"/>
          <w:highlight w:val="none"/>
          <w:lang w:val="en-US" w:eastAsia="zh-CN"/>
        </w:rPr>
      </w:pPr>
      <w:r>
        <w:rPr>
          <w:rFonts w:hint="eastAsia"/>
          <w:highlight w:val="none"/>
          <w:lang w:val="en-US" w:eastAsia="zh-CN"/>
        </w:rPr>
        <w:t>②控制噪声传播</w:t>
      </w:r>
    </w:p>
    <w:p w14:paraId="1427A04F">
      <w:pPr>
        <w:bidi w:val="0"/>
        <w:rPr>
          <w:rFonts w:hint="eastAsia"/>
          <w:highlight w:val="none"/>
          <w:lang w:val="en-US" w:eastAsia="zh-CN"/>
        </w:rPr>
      </w:pPr>
      <w:r>
        <w:rPr>
          <w:rFonts w:hint="eastAsia"/>
          <w:highlight w:val="none"/>
          <w:lang w:val="en-US" w:eastAsia="zh-CN"/>
        </w:rPr>
        <w:t>对各种噪声比较大的机械设备进行一定的隔离和减震消声处理，必要的时候，可以在局部地方建立临时性声屏障。</w:t>
      </w:r>
    </w:p>
    <w:p w14:paraId="2F3747C3">
      <w:pPr>
        <w:bidi w:val="0"/>
        <w:rPr>
          <w:rFonts w:hint="eastAsia"/>
          <w:highlight w:val="none"/>
          <w:lang w:val="en-US" w:eastAsia="zh-CN"/>
        </w:rPr>
      </w:pPr>
      <w:r>
        <w:rPr>
          <w:rFonts w:hint="eastAsia"/>
          <w:highlight w:val="none"/>
          <w:lang w:val="en-US" w:eastAsia="zh-CN"/>
        </w:rPr>
        <w:t>合理安排人员，使他们有条件轮流操作，减少接触高噪声时间；在声源附近的施工人员配备防噪声耳罩。</w:t>
      </w:r>
    </w:p>
    <w:p w14:paraId="520B9384">
      <w:pPr>
        <w:bidi w:val="0"/>
        <w:rPr>
          <w:rFonts w:hint="eastAsia"/>
          <w:highlight w:val="none"/>
          <w:lang w:val="en-US" w:eastAsia="zh-CN"/>
        </w:rPr>
      </w:pPr>
      <w:r>
        <w:rPr>
          <w:rFonts w:hint="eastAsia"/>
          <w:highlight w:val="none"/>
          <w:lang w:val="en-US" w:eastAsia="zh-CN"/>
        </w:rPr>
        <w:t>③加强管理</w:t>
      </w:r>
    </w:p>
    <w:p w14:paraId="1F698B46">
      <w:pPr>
        <w:bidi w:val="0"/>
        <w:rPr>
          <w:rFonts w:hint="eastAsia"/>
          <w:highlight w:val="none"/>
          <w:lang w:val="en-US" w:eastAsia="zh-CN"/>
        </w:rPr>
      </w:pPr>
      <w:r>
        <w:rPr>
          <w:rFonts w:hint="eastAsia"/>
          <w:highlight w:val="none"/>
          <w:lang w:val="en-US" w:eastAsia="zh-CN"/>
        </w:rPr>
        <w:t>对交通车辆造成的噪声影响要加强管理，运输车辆尽量采用较低声级的喇叭，并在环境敏感点限制车辆鸣笛。另外，还要加强工程区内的交通管制，尽量避免在周围居民休息期间作业。</w:t>
      </w:r>
    </w:p>
    <w:p w14:paraId="15A4AC71">
      <w:pPr>
        <w:bidi w:val="0"/>
        <w:rPr>
          <w:rFonts w:hint="eastAsia"/>
          <w:highlight w:val="none"/>
          <w:lang w:val="en-US" w:eastAsia="zh-CN"/>
        </w:rPr>
      </w:pPr>
      <w:r>
        <w:rPr>
          <w:rFonts w:hint="eastAsia"/>
          <w:highlight w:val="none"/>
          <w:lang w:val="en-US" w:eastAsia="zh-CN"/>
        </w:rPr>
        <w:t>对施工过程除采取以上减噪措施以外，建设单位还应责成施工单位在施工现场张布通告，并标明投诉电话，建设单位在接到投诉后应及时与当地生态环境部门取得联系，及时处理各种环境纠纷。</w:t>
      </w:r>
    </w:p>
    <w:p w14:paraId="7EC02D41">
      <w:pPr>
        <w:bidi w:val="0"/>
        <w:rPr>
          <w:rFonts w:hint="eastAsia"/>
          <w:highlight w:val="none"/>
          <w:lang w:val="en-US" w:eastAsia="zh-CN"/>
        </w:rPr>
      </w:pPr>
      <w:r>
        <w:rPr>
          <w:rFonts w:hint="eastAsia"/>
          <w:highlight w:val="none"/>
          <w:lang w:val="en-US" w:eastAsia="zh-CN"/>
        </w:rPr>
        <w:t>施工期环境影响为短期影响，施工结束后即可消除。但考虑施工期对周围环境的影响，要求建设单位在建设过程中必须认真遵守各项管理制度，落实本报告提出的防治措施及建议，做到文明施工、严格管理、缩短工期，力争将项目建设过程中对周围环境产生的影响降到最低限度。</w:t>
      </w:r>
    </w:p>
    <w:p w14:paraId="74C1E50B">
      <w:pPr>
        <w:pStyle w:val="9"/>
        <w:numPr>
          <w:ilvl w:val="2"/>
          <w:numId w:val="1"/>
        </w:numPr>
        <w:bidi w:val="0"/>
        <w:ind w:left="709" w:leftChars="0" w:hanging="709" w:firstLineChars="0"/>
        <w:rPr>
          <w:rFonts w:hint="eastAsia"/>
          <w:highlight w:val="none"/>
          <w:lang w:val="en-US" w:eastAsia="zh-CN"/>
        </w:rPr>
      </w:pPr>
      <w:r>
        <w:rPr>
          <w:rFonts w:hint="eastAsia"/>
          <w:highlight w:val="none"/>
          <w:lang w:val="en-US" w:eastAsia="zh-CN"/>
        </w:rPr>
        <w:t>固体废物环境影响分析</w:t>
      </w:r>
    </w:p>
    <w:p w14:paraId="5737F72D">
      <w:pPr>
        <w:bidi w:val="0"/>
        <w:rPr>
          <w:rFonts w:hint="eastAsia"/>
          <w:highlight w:val="none"/>
          <w:lang w:val="en-US" w:eastAsia="zh-CN"/>
        </w:rPr>
      </w:pPr>
      <w:r>
        <w:rPr>
          <w:rFonts w:hint="eastAsia"/>
          <w:highlight w:val="none"/>
          <w:lang w:val="en-US" w:eastAsia="zh-CN"/>
        </w:rPr>
        <w:t>施工期固废主要包括遗留废渣、废渣填埋场建设产生的废防渗材料、废包装袋、生活垃圾及污水处理污泥等。</w:t>
      </w:r>
    </w:p>
    <w:p w14:paraId="67FE5556">
      <w:pPr>
        <w:bidi w:val="0"/>
        <w:rPr>
          <w:rFonts w:hint="eastAsia"/>
          <w:highlight w:val="none"/>
          <w:lang w:val="en-US" w:eastAsia="zh-CN"/>
        </w:rPr>
      </w:pPr>
      <w:r>
        <w:rPr>
          <w:rFonts w:hint="eastAsia"/>
          <w:highlight w:val="none"/>
          <w:lang w:val="en-US" w:eastAsia="zh-CN"/>
        </w:rPr>
        <w:t>（1）遗留废渣</w:t>
      </w:r>
    </w:p>
    <w:p w14:paraId="0F9A7970">
      <w:pPr>
        <w:bidi w:val="0"/>
        <w:rPr>
          <w:rFonts w:hint="eastAsia"/>
          <w:highlight w:val="none"/>
          <w:lang w:val="en-US" w:eastAsia="zh-CN"/>
        </w:rPr>
      </w:pPr>
      <w:r>
        <w:rPr>
          <w:rFonts w:hint="eastAsia"/>
          <w:highlight w:val="none"/>
          <w:lang w:val="en-US" w:eastAsia="zh-CN"/>
        </w:rPr>
        <w:t>遗留废渣为本项目治理对象，不属于建设过程产生固废，根据场地调查报告可知，地块遗留一般</w:t>
      </w:r>
      <w:r>
        <w:rPr>
          <w:rFonts w:hint="default" w:ascii="Times New Roman" w:hAnsi="Times New Roman" w:eastAsia="宋体" w:cs="Times New Roman"/>
          <w:highlight w:val="none"/>
          <w:lang w:val="en-US" w:eastAsia="zh-CN"/>
        </w:rPr>
        <w:t>Ⅰ</w:t>
      </w:r>
      <w:r>
        <w:rPr>
          <w:rFonts w:hint="default" w:ascii="Times New Roman" w:hAnsi="Times New Roman" w:cs="Times New Roman"/>
          <w:highlight w:val="none"/>
          <w:lang w:val="en-US" w:eastAsia="zh-CN"/>
        </w:rPr>
        <w:t>类和一般Ⅱ</w:t>
      </w:r>
      <w:r>
        <w:rPr>
          <w:rFonts w:hint="eastAsia"/>
          <w:highlight w:val="none"/>
          <w:lang w:val="en-US" w:eastAsia="zh-CN"/>
        </w:rPr>
        <w:t>类固体废物42040.12m</w:t>
      </w:r>
      <w:r>
        <w:rPr>
          <w:rFonts w:hint="eastAsia"/>
          <w:highlight w:val="none"/>
          <w:vertAlign w:val="superscript"/>
          <w:lang w:val="en-US" w:eastAsia="zh-CN"/>
        </w:rPr>
        <w:t>3</w:t>
      </w:r>
      <w:r>
        <w:rPr>
          <w:rFonts w:hint="eastAsia"/>
          <w:highlight w:val="none"/>
          <w:lang w:val="en-US" w:eastAsia="zh-CN"/>
        </w:rPr>
        <w:t>，已经对区域土壤、地表水等环境造成一定污染并在持续造成影响。本次治理将遗留废渣清运至自建废渣填埋场进行集中安全填埋处置，废渣填埋场按照《一般工业固体废物贮存和填埋污染控制标准》（GB18599-2020）要求建设，遗留废渣经填埋处置后对周边环境影响不大，同时可减小遗留废渣对现存区域周边环境的影响。</w:t>
      </w:r>
    </w:p>
    <w:p w14:paraId="5AC34066">
      <w:pPr>
        <w:bidi w:val="0"/>
        <w:rPr>
          <w:rFonts w:hint="eastAsia"/>
          <w:highlight w:val="none"/>
          <w:lang w:val="en-US" w:eastAsia="zh-CN"/>
        </w:rPr>
      </w:pPr>
      <w:r>
        <w:rPr>
          <w:rFonts w:hint="eastAsia"/>
          <w:highlight w:val="none"/>
          <w:lang w:val="en-US" w:eastAsia="zh-CN"/>
        </w:rPr>
        <w:t>（2）生活垃圾</w:t>
      </w:r>
    </w:p>
    <w:p w14:paraId="13722C55">
      <w:pPr>
        <w:bidi w:val="0"/>
        <w:rPr>
          <w:rFonts w:hint="eastAsia"/>
          <w:highlight w:val="none"/>
          <w:lang w:val="en-US" w:eastAsia="zh-CN"/>
        </w:rPr>
      </w:pPr>
      <w:r>
        <w:rPr>
          <w:rFonts w:hint="eastAsia"/>
          <w:highlight w:val="none"/>
          <w:lang w:val="en-US" w:eastAsia="zh-CN"/>
        </w:rPr>
        <w:t>本工程施工时产生的固体废物主要是施工人员的生活垃圾，施工人员生活垃圾按0.5kg/人</w:t>
      </w:r>
      <w:r>
        <w:rPr>
          <w:rFonts w:hint="default" w:ascii="Times New Roman" w:hAnsi="Times New Roman" w:cs="Times New Roman"/>
          <w:highlight w:val="none"/>
          <w:lang w:val="en-US" w:eastAsia="zh-CN"/>
        </w:rPr>
        <w:t>·</w:t>
      </w:r>
      <w:r>
        <w:rPr>
          <w:rFonts w:hint="eastAsia"/>
          <w:highlight w:val="none"/>
          <w:lang w:val="en-US" w:eastAsia="zh-CN"/>
        </w:rPr>
        <w:t>d计算，则生活垃圾最大产生量约10kg/d，交由环卫部门统一清运，对周边环境影响不大。</w:t>
      </w:r>
    </w:p>
    <w:p w14:paraId="3DFBEE24">
      <w:pPr>
        <w:bidi w:val="0"/>
        <w:rPr>
          <w:rFonts w:hint="eastAsia"/>
          <w:highlight w:val="none"/>
          <w:lang w:val="en-US" w:eastAsia="zh-CN"/>
        </w:rPr>
      </w:pPr>
      <w:r>
        <w:rPr>
          <w:rFonts w:hint="eastAsia"/>
          <w:highlight w:val="none"/>
          <w:lang w:val="en-US" w:eastAsia="zh-CN"/>
        </w:rPr>
        <w:t>（3）废防渗材料</w:t>
      </w:r>
    </w:p>
    <w:p w14:paraId="18901B1C">
      <w:pPr>
        <w:bidi w:val="0"/>
        <w:rPr>
          <w:rFonts w:hint="eastAsia"/>
          <w:highlight w:val="none"/>
          <w:lang w:val="en-US" w:eastAsia="zh-CN"/>
        </w:rPr>
      </w:pPr>
      <w:r>
        <w:rPr>
          <w:rFonts w:hint="eastAsia"/>
          <w:highlight w:val="none"/>
          <w:lang w:val="en-US" w:eastAsia="zh-CN"/>
        </w:rPr>
        <w:t>根据工程内容可知，项目废渣填埋场采用HDPE防渗膜和无纺土工布进行防渗，废防渗材料约为0.42t，废防渗材料交由环卫部门统一清运，对周边环境影响不大。</w:t>
      </w:r>
    </w:p>
    <w:p w14:paraId="665ACC42">
      <w:pPr>
        <w:bidi w:val="0"/>
        <w:rPr>
          <w:rFonts w:hint="eastAsia"/>
          <w:highlight w:val="none"/>
          <w:lang w:val="en-US" w:eastAsia="zh-CN"/>
        </w:rPr>
      </w:pPr>
      <w:r>
        <w:rPr>
          <w:rFonts w:hint="eastAsia"/>
          <w:highlight w:val="none"/>
          <w:lang w:val="en-US" w:eastAsia="zh-CN"/>
        </w:rPr>
        <w:t>（4）废包装袋</w:t>
      </w:r>
    </w:p>
    <w:p w14:paraId="163752FE">
      <w:pPr>
        <w:bidi w:val="0"/>
        <w:rPr>
          <w:rFonts w:hint="eastAsia"/>
          <w:highlight w:val="none"/>
          <w:lang w:val="en-US" w:eastAsia="zh-CN"/>
        </w:rPr>
      </w:pPr>
      <w:r>
        <w:rPr>
          <w:rFonts w:hint="eastAsia"/>
          <w:highlight w:val="none"/>
          <w:lang w:val="en-US" w:eastAsia="zh-CN"/>
        </w:rPr>
        <w:t>本项目土工布和HDPE土工膜入场将产生部分废包装袋，约为防渗材料的1%，故产生量为0.2t，交由环卫部门统一清运，对周边环境影响不大。</w:t>
      </w:r>
    </w:p>
    <w:p w14:paraId="2B72BC55">
      <w:pPr>
        <w:bidi w:val="0"/>
        <w:rPr>
          <w:rFonts w:hint="default"/>
          <w:highlight w:val="none"/>
          <w:lang w:val="en-US" w:eastAsia="zh-CN"/>
        </w:rPr>
      </w:pPr>
      <w:r>
        <w:rPr>
          <w:rFonts w:hint="eastAsia"/>
          <w:highlight w:val="none"/>
          <w:lang w:val="en-US" w:eastAsia="zh-CN"/>
        </w:rPr>
        <w:t>（5）建筑垃圾</w:t>
      </w:r>
    </w:p>
    <w:p w14:paraId="4FFA0296">
      <w:pPr>
        <w:bidi w:val="0"/>
        <w:rPr>
          <w:rFonts w:hint="default"/>
          <w:highlight w:val="none"/>
          <w:lang w:val="en-US" w:eastAsia="zh-CN"/>
        </w:rPr>
      </w:pPr>
      <w:r>
        <w:rPr>
          <w:rFonts w:hint="eastAsia"/>
          <w:highlight w:val="none"/>
          <w:lang w:val="en-US" w:eastAsia="zh-CN"/>
        </w:rPr>
        <w:t>本项目填埋场施工及封场产生的建筑垃圾量约2t，交由环卫部门统一清运，对周边影响不大。</w:t>
      </w:r>
    </w:p>
    <w:p w14:paraId="5E153BF2">
      <w:pPr>
        <w:bidi w:val="0"/>
        <w:rPr>
          <w:rFonts w:hint="eastAsia"/>
          <w:highlight w:val="none"/>
          <w:lang w:val="en-US" w:eastAsia="zh-CN"/>
        </w:rPr>
      </w:pPr>
      <w:r>
        <w:rPr>
          <w:rFonts w:hint="eastAsia"/>
          <w:highlight w:val="none"/>
          <w:lang w:val="en-US" w:eastAsia="zh-CN"/>
        </w:rPr>
        <w:t>（6）污水处理污泥</w:t>
      </w:r>
    </w:p>
    <w:p w14:paraId="7790BB25">
      <w:pPr>
        <w:bidi w:val="0"/>
        <w:rPr>
          <w:rFonts w:hint="eastAsia"/>
          <w:highlight w:val="none"/>
          <w:lang w:val="en-US" w:eastAsia="zh-CN"/>
        </w:rPr>
      </w:pPr>
      <w:r>
        <w:rPr>
          <w:rFonts w:hint="eastAsia"/>
          <w:highlight w:val="none"/>
          <w:lang w:val="en-US" w:eastAsia="zh-CN"/>
        </w:rPr>
        <w:t>项目采用一体化设备对车辆清洗废水、淋溶水等进行处理，期间产生污泥。根据废水处理量计算，污泥产生量约为1.5t。污泥产生量很小，经压滤处理后，运至填埋场填埋处理，对周边环境影响不大。</w:t>
      </w:r>
    </w:p>
    <w:p w14:paraId="2A71DA2C">
      <w:pPr>
        <w:pStyle w:val="9"/>
        <w:numPr>
          <w:ilvl w:val="2"/>
          <w:numId w:val="1"/>
        </w:numPr>
        <w:bidi w:val="0"/>
        <w:ind w:left="709" w:leftChars="0" w:hanging="709" w:firstLineChars="0"/>
        <w:rPr>
          <w:rFonts w:hint="eastAsia"/>
          <w:lang w:val="en-US" w:eastAsia="zh-CN"/>
        </w:rPr>
      </w:pPr>
      <w:r>
        <w:rPr>
          <w:rFonts w:hint="eastAsia"/>
          <w:lang w:val="en-US" w:eastAsia="zh-CN"/>
        </w:rPr>
        <w:t>土壤和地下水环境影响分析</w:t>
      </w:r>
    </w:p>
    <w:p w14:paraId="3C2908E8">
      <w:pPr>
        <w:bidi w:val="0"/>
        <w:rPr>
          <w:rFonts w:hint="eastAsia"/>
          <w:highlight w:val="none"/>
          <w:lang w:val="en-US" w:eastAsia="zh-CN"/>
        </w:rPr>
      </w:pPr>
      <w:r>
        <w:rPr>
          <w:rFonts w:hint="eastAsia"/>
          <w:highlight w:val="none"/>
          <w:lang w:val="en-US" w:eastAsia="zh-CN"/>
        </w:rPr>
        <w:t>根据项目工程详细勘察报告可知，拟建场地地势高，勘察期间未发现地表水和地下水赋存。项目对两处废渣进行开挖清运，挖掘深度有限，不会对地下水含水层造成影响，不会对地下水产生影响不。但是施工期产生的废水不可避免存在“跑、冒、滴、漏”现象，少量废水下渗，在下渗过程中，经过土壤的吸收和分解不会对区域地下水环境产生影响。本项目施工时将废水处理区进行地面硬化，废水收集池进行防渗处理，在加强管理的前提下，对土壤和地下水环境影响很小。</w:t>
      </w:r>
    </w:p>
    <w:p w14:paraId="684462C6">
      <w:pPr>
        <w:bidi w:val="0"/>
        <w:rPr>
          <w:rFonts w:hint="eastAsia"/>
          <w:highlight w:val="none"/>
          <w:lang w:val="en-US" w:eastAsia="zh-CN"/>
        </w:rPr>
      </w:pPr>
      <w:r>
        <w:rPr>
          <w:rFonts w:hint="eastAsia"/>
          <w:highlight w:val="none"/>
          <w:lang w:val="en-US" w:eastAsia="zh-CN"/>
        </w:rPr>
        <w:t>根据现场勘查以及现场询问，项目地周围存在居民饮用地下水井，根据监测目前地下水未被污染，但废渣区土壤重金属含量较高，废渣中污染物已经在逐步扩散，对周边环境产生影响。本项目实施后，对场内污染土壤进行管控，可以有效减少对周边土壤和地下水的影响，改善居民生活环境。</w:t>
      </w:r>
    </w:p>
    <w:p w14:paraId="3221C299">
      <w:pPr>
        <w:pStyle w:val="9"/>
        <w:numPr>
          <w:ilvl w:val="2"/>
          <w:numId w:val="1"/>
        </w:numPr>
        <w:bidi w:val="0"/>
        <w:ind w:left="709" w:leftChars="0" w:hanging="709" w:firstLineChars="0"/>
        <w:rPr>
          <w:rFonts w:hint="eastAsia"/>
          <w:lang w:val="en-US" w:eastAsia="zh-CN"/>
        </w:rPr>
      </w:pPr>
      <w:r>
        <w:rPr>
          <w:rFonts w:hint="eastAsia"/>
        </w:rPr>
        <w:t>施工及运输道路影响分析</w:t>
      </w:r>
    </w:p>
    <w:p w14:paraId="0190DBA3">
      <w:pPr>
        <w:bidi w:val="0"/>
        <w:rPr>
          <w:rFonts w:hint="eastAsia"/>
          <w:highlight w:val="none"/>
          <w:lang w:val="en-US" w:eastAsia="zh-CN"/>
        </w:rPr>
      </w:pPr>
      <w:r>
        <w:rPr>
          <w:rFonts w:hint="eastAsia"/>
          <w:highlight w:val="none"/>
          <w:lang w:val="en-US" w:eastAsia="zh-CN"/>
        </w:rPr>
        <w:t>项目施工及运输道路沿途不涉及饮用水源地；项目固废处理运至废渣填埋场时会经过居民点，运输过程中产生的扬尘、交通噪声会对周边居民产生影响。</w:t>
      </w:r>
    </w:p>
    <w:p w14:paraId="64597ED7">
      <w:pPr>
        <w:bidi w:val="0"/>
        <w:rPr>
          <w:rFonts w:hint="eastAsia"/>
          <w:highlight w:val="none"/>
          <w:lang w:val="en-US" w:eastAsia="zh-CN"/>
        </w:rPr>
      </w:pPr>
      <w:r>
        <w:rPr>
          <w:rFonts w:hint="eastAsia"/>
          <w:highlight w:val="none"/>
          <w:lang w:val="en-US" w:eastAsia="zh-CN"/>
        </w:rPr>
        <w:t>项目应谨慎驾驶，防止车祸；应尽量避开暴雨等环境恶劣天气，以此减小因事故造成对运输路线沿途的影响；同时，环评建议运输过程中采用带全封闭式装置的运输车，可有效防止、沿途洒落倾倒造成二次污染，减轻运输过程中周边环境的影响。运输过程中必要时可对路径居民住房前设置围挡，减少对居民点的影响。</w:t>
      </w:r>
    </w:p>
    <w:p w14:paraId="1ABE4BB4">
      <w:pPr>
        <w:bidi w:val="0"/>
        <w:rPr>
          <w:rFonts w:hint="eastAsia"/>
          <w:highlight w:val="none"/>
          <w:lang w:val="en-US" w:eastAsia="zh-CN"/>
        </w:rPr>
      </w:pPr>
      <w:r>
        <w:rPr>
          <w:rFonts w:hint="eastAsia"/>
          <w:highlight w:val="none"/>
          <w:lang w:val="en-US" w:eastAsia="zh-CN"/>
        </w:rPr>
        <w:t>落实以上措施后，项目施工及运输道路产生的扬尘及噪声对沿线环境的影响可大大降低。</w:t>
      </w:r>
    </w:p>
    <w:p w14:paraId="4C5E2C49">
      <w:pPr>
        <w:bidi w:val="0"/>
        <w:rPr>
          <w:rFonts w:hint="eastAsia"/>
          <w:highlight w:val="none"/>
          <w:lang w:val="en-US" w:eastAsia="zh-CN"/>
        </w:rPr>
      </w:pPr>
      <w:r>
        <w:rPr>
          <w:rFonts w:hint="eastAsia"/>
          <w:highlight w:val="none"/>
          <w:lang w:val="en-US" w:eastAsia="zh-CN"/>
        </w:rPr>
        <w:t>综上所述，本项目治理期将对大气、声、地表水环境造成一定程度的影响，但这种影响是短期的、暂时性的，只要采取相应的环保措施，加强治理期环境管理，确保污染物能达标排放，把对环境的影响降到最小，随着项目的结束，项目治理期对环境带来的不利影响将会随之消失。</w:t>
      </w:r>
    </w:p>
    <w:p w14:paraId="32B8B386">
      <w:pPr>
        <w:pStyle w:val="9"/>
        <w:numPr>
          <w:ilvl w:val="2"/>
          <w:numId w:val="1"/>
        </w:numPr>
        <w:bidi w:val="0"/>
        <w:ind w:left="709" w:leftChars="0" w:hanging="709" w:firstLineChars="0"/>
        <w:rPr>
          <w:rFonts w:hint="eastAsia"/>
          <w:lang w:val="en-US" w:eastAsia="zh-CN"/>
        </w:rPr>
      </w:pPr>
      <w:r>
        <w:rPr>
          <w:rFonts w:hint="eastAsia"/>
          <w:lang w:val="en-US" w:eastAsia="zh-CN"/>
        </w:rPr>
        <w:t>生态影响分析</w:t>
      </w:r>
    </w:p>
    <w:p w14:paraId="40378777">
      <w:pPr>
        <w:pStyle w:val="10"/>
        <w:numPr>
          <w:ilvl w:val="3"/>
          <w:numId w:val="1"/>
        </w:numPr>
        <w:bidi w:val="0"/>
        <w:ind w:left="850" w:leftChars="0" w:hanging="850" w:firstLineChars="0"/>
        <w:rPr>
          <w:rFonts w:hint="eastAsia"/>
          <w:lang w:val="en-US" w:eastAsia="zh-CN"/>
        </w:rPr>
      </w:pPr>
      <w:r>
        <w:rPr>
          <w:rFonts w:hint="eastAsia"/>
          <w:lang w:val="en-US" w:eastAsia="zh-CN"/>
        </w:rPr>
        <w:t>对植物的影响</w:t>
      </w:r>
    </w:p>
    <w:p w14:paraId="163EE14B">
      <w:pPr>
        <w:bidi w:val="0"/>
        <w:rPr>
          <w:rFonts w:hint="eastAsia"/>
          <w:lang w:val="en-US" w:eastAsia="zh-CN"/>
        </w:rPr>
      </w:pPr>
      <w:r>
        <w:rPr>
          <w:rFonts w:hint="eastAsia"/>
          <w:lang w:val="en-US" w:eastAsia="zh-CN"/>
        </w:rPr>
        <w:t>本项目施工期工程对评价区植物及植被的影响因子主要有工程占地、施工活动及施工活动产生的废水、废气、弃渣、固废、扬尘等。</w:t>
      </w:r>
    </w:p>
    <w:p w14:paraId="7E988079">
      <w:pPr>
        <w:bidi w:val="0"/>
        <w:rPr>
          <w:rFonts w:hint="eastAsia"/>
          <w:lang w:val="en-US" w:eastAsia="zh-CN"/>
        </w:rPr>
      </w:pPr>
      <w:r>
        <w:rPr>
          <w:rFonts w:hint="eastAsia"/>
          <w:lang w:val="en-US" w:eastAsia="zh-CN"/>
        </w:rPr>
        <w:t>1）工程占地对植物及植被的影响</w:t>
      </w:r>
    </w:p>
    <w:p w14:paraId="35570C92">
      <w:pPr>
        <w:bidi w:val="0"/>
        <w:rPr>
          <w:rFonts w:hint="eastAsia"/>
          <w:lang w:val="en-US" w:eastAsia="zh-CN"/>
        </w:rPr>
      </w:pPr>
      <w:r>
        <w:rPr>
          <w:rFonts w:hint="eastAsia"/>
          <w:lang w:val="en-US" w:eastAsia="zh-CN"/>
        </w:rPr>
        <w:t>工程占地不可避免的会破坏占地区植物及植被，其中，永久占地是长期的、不可逆的，临时占地是暂时的、可恢复的。根据工程布置，本工程总占地面积25814m</w:t>
      </w:r>
      <w:r>
        <w:rPr>
          <w:rFonts w:hint="eastAsia"/>
          <w:vertAlign w:val="superscript"/>
          <w:lang w:val="en-US" w:eastAsia="zh-CN"/>
        </w:rPr>
        <w:t>2</w:t>
      </w:r>
      <w:r>
        <w:rPr>
          <w:rFonts w:hint="eastAsia"/>
          <w:lang w:val="en-US" w:eastAsia="zh-CN"/>
        </w:rPr>
        <w:t>，其中永久占地7805m</w:t>
      </w:r>
      <w:r>
        <w:rPr>
          <w:rFonts w:hint="eastAsia"/>
          <w:vertAlign w:val="superscript"/>
          <w:lang w:val="en-US" w:eastAsia="zh-CN"/>
        </w:rPr>
        <w:t>2</w:t>
      </w:r>
      <w:r>
        <w:rPr>
          <w:rFonts w:hint="eastAsia"/>
          <w:lang w:val="en-US" w:eastAsia="zh-CN"/>
        </w:rPr>
        <w:t>，占总占地面积的30.24%，永久占地工程主要为填埋区；临时占地18009m</w:t>
      </w:r>
      <w:r>
        <w:rPr>
          <w:rFonts w:hint="eastAsia"/>
          <w:vertAlign w:val="superscript"/>
          <w:lang w:val="en-US" w:eastAsia="zh-CN"/>
        </w:rPr>
        <w:t>2</w:t>
      </w:r>
      <w:r>
        <w:rPr>
          <w:rFonts w:hint="eastAsia"/>
          <w:lang w:val="en-US" w:eastAsia="zh-CN"/>
        </w:rPr>
        <w:t>，占地工程主要有废渣区、取土场、临时道路等。具体用地类型见表5.1-4。</w:t>
      </w:r>
    </w:p>
    <w:p w14:paraId="55B911B9">
      <w:pPr>
        <w:bidi w:val="0"/>
        <w:ind w:left="0" w:leftChars="0" w:firstLine="0" w:firstLineChars="0"/>
        <w:jc w:val="center"/>
        <w:rPr>
          <w:rFonts w:hint="eastAsia"/>
          <w:b/>
          <w:bCs/>
          <w:sz w:val="21"/>
          <w:szCs w:val="21"/>
          <w:lang w:val="en-US" w:eastAsia="zh-CN"/>
        </w:rPr>
      </w:pPr>
      <w:r>
        <w:rPr>
          <w:rFonts w:hint="eastAsia"/>
          <w:b/>
          <w:bCs/>
          <w:sz w:val="21"/>
          <w:szCs w:val="21"/>
          <w:lang w:val="en-US" w:eastAsia="zh-CN"/>
        </w:rPr>
        <w:t>表5.1-4  施工期项目占用自然植被情况一览表</w:t>
      </w:r>
    </w:p>
    <w:tbl>
      <w:tblPr>
        <w:tblStyle w:val="36"/>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933"/>
        <w:gridCol w:w="1679"/>
        <w:gridCol w:w="1683"/>
        <w:gridCol w:w="1694"/>
        <w:gridCol w:w="1586"/>
        <w:gridCol w:w="1709"/>
      </w:tblGrid>
      <w:tr w14:paraId="1DD7C9E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03" w:type="pct"/>
            <w:tcBorders>
              <w:tl2br w:val="nil"/>
              <w:tr2bl w:val="nil"/>
            </w:tcBorders>
            <w:noWrap w:val="0"/>
            <w:vAlign w:val="center"/>
          </w:tcPr>
          <w:p w14:paraId="4DB8D67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b/>
                <w:bCs/>
                <w:sz w:val="21"/>
                <w:szCs w:val="21"/>
                <w:lang w:val="en-US" w:eastAsia="zh-CN"/>
              </w:rPr>
            </w:pPr>
            <w:r>
              <w:rPr>
                <w:rFonts w:hint="eastAsia"/>
                <w:b/>
                <w:bCs/>
                <w:sz w:val="21"/>
                <w:szCs w:val="21"/>
                <w:lang w:val="en-US" w:eastAsia="zh-CN"/>
              </w:rPr>
              <w:t>序号</w:t>
            </w:r>
          </w:p>
        </w:tc>
        <w:tc>
          <w:tcPr>
            <w:tcW w:w="904" w:type="pct"/>
            <w:tcBorders>
              <w:tl2br w:val="nil"/>
              <w:tr2bl w:val="nil"/>
            </w:tcBorders>
            <w:noWrap w:val="0"/>
            <w:vAlign w:val="center"/>
          </w:tcPr>
          <w:p w14:paraId="7688F4A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b/>
                <w:bCs/>
                <w:sz w:val="21"/>
                <w:szCs w:val="21"/>
                <w:lang w:val="en-US" w:eastAsia="zh-CN"/>
              </w:rPr>
            </w:pPr>
            <w:r>
              <w:rPr>
                <w:rFonts w:hint="eastAsia"/>
                <w:b/>
                <w:bCs/>
                <w:sz w:val="21"/>
                <w:szCs w:val="21"/>
                <w:lang w:val="en-US" w:eastAsia="zh-CN"/>
              </w:rPr>
              <w:t>占地性质</w:t>
            </w:r>
          </w:p>
        </w:tc>
        <w:tc>
          <w:tcPr>
            <w:tcW w:w="906" w:type="pct"/>
            <w:tcBorders>
              <w:tl2br w:val="nil"/>
              <w:tr2bl w:val="nil"/>
            </w:tcBorders>
            <w:noWrap w:val="0"/>
            <w:vAlign w:val="center"/>
          </w:tcPr>
          <w:p w14:paraId="3B3B5FA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b/>
                <w:bCs/>
                <w:sz w:val="21"/>
                <w:szCs w:val="21"/>
                <w:lang w:val="en-US" w:eastAsia="zh-CN"/>
              </w:rPr>
            </w:pPr>
            <w:r>
              <w:rPr>
                <w:rFonts w:hint="eastAsia"/>
                <w:b/>
                <w:bCs/>
                <w:sz w:val="21"/>
                <w:szCs w:val="21"/>
                <w:lang w:val="en-US" w:eastAsia="zh-CN"/>
              </w:rPr>
              <w:t>项目组成</w:t>
            </w:r>
          </w:p>
        </w:tc>
        <w:tc>
          <w:tcPr>
            <w:tcW w:w="911" w:type="pct"/>
            <w:tcBorders>
              <w:tl2br w:val="nil"/>
              <w:tr2bl w:val="nil"/>
            </w:tcBorders>
            <w:noWrap w:val="0"/>
            <w:vAlign w:val="center"/>
          </w:tcPr>
          <w:p w14:paraId="673E8D3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b/>
                <w:bCs/>
                <w:sz w:val="21"/>
                <w:szCs w:val="21"/>
                <w:lang w:val="en-US" w:eastAsia="zh-CN"/>
              </w:rPr>
            </w:pPr>
            <w:r>
              <w:rPr>
                <w:rFonts w:hint="eastAsia"/>
                <w:b/>
                <w:bCs/>
                <w:sz w:val="21"/>
                <w:szCs w:val="21"/>
                <w:lang w:val="en-US" w:eastAsia="zh-CN"/>
              </w:rPr>
              <w:t>占地类型</w:t>
            </w:r>
          </w:p>
        </w:tc>
        <w:tc>
          <w:tcPr>
            <w:tcW w:w="854" w:type="pct"/>
            <w:tcBorders>
              <w:tl2br w:val="nil"/>
              <w:tr2bl w:val="nil"/>
            </w:tcBorders>
            <w:noWrap w:val="0"/>
            <w:vAlign w:val="center"/>
          </w:tcPr>
          <w:p w14:paraId="444CE44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b/>
                <w:bCs/>
                <w:sz w:val="21"/>
                <w:szCs w:val="21"/>
                <w:lang w:val="en-US" w:eastAsia="zh-CN"/>
              </w:rPr>
            </w:pPr>
            <w:r>
              <w:rPr>
                <w:rFonts w:hint="eastAsia"/>
                <w:b/>
                <w:bCs/>
                <w:sz w:val="21"/>
                <w:szCs w:val="21"/>
                <w:lang w:val="en-US" w:eastAsia="zh-CN"/>
              </w:rPr>
              <w:t>面积（m</w:t>
            </w:r>
            <w:r>
              <w:rPr>
                <w:rFonts w:hint="eastAsia"/>
                <w:b/>
                <w:bCs/>
                <w:sz w:val="21"/>
                <w:szCs w:val="21"/>
                <w:vertAlign w:val="superscript"/>
                <w:lang w:val="en-US" w:eastAsia="zh-CN"/>
              </w:rPr>
              <w:t>2</w:t>
            </w:r>
            <w:r>
              <w:rPr>
                <w:rFonts w:hint="eastAsia"/>
                <w:b/>
                <w:bCs/>
                <w:sz w:val="21"/>
                <w:szCs w:val="21"/>
                <w:lang w:val="en-US" w:eastAsia="zh-CN"/>
              </w:rPr>
              <w:t>）</w:t>
            </w:r>
          </w:p>
        </w:tc>
        <w:tc>
          <w:tcPr>
            <w:tcW w:w="920" w:type="pct"/>
            <w:tcBorders>
              <w:tl2br w:val="nil"/>
              <w:tr2bl w:val="nil"/>
            </w:tcBorders>
            <w:noWrap w:val="0"/>
            <w:vAlign w:val="center"/>
          </w:tcPr>
          <w:p w14:paraId="5D02056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b/>
                <w:bCs/>
                <w:sz w:val="21"/>
                <w:szCs w:val="21"/>
                <w:lang w:val="en-US" w:eastAsia="zh-CN"/>
              </w:rPr>
            </w:pPr>
            <w:r>
              <w:rPr>
                <w:rFonts w:hint="eastAsia"/>
                <w:b/>
                <w:bCs/>
                <w:sz w:val="21"/>
                <w:szCs w:val="21"/>
                <w:lang w:val="en-US" w:eastAsia="zh-CN"/>
              </w:rPr>
              <w:t>占项目用地比例（%）</w:t>
            </w:r>
          </w:p>
        </w:tc>
      </w:tr>
      <w:tr w14:paraId="5244276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03" w:type="pct"/>
            <w:tcBorders>
              <w:tl2br w:val="nil"/>
              <w:tr2bl w:val="nil"/>
            </w:tcBorders>
            <w:noWrap w:val="0"/>
            <w:vAlign w:val="center"/>
          </w:tcPr>
          <w:p w14:paraId="7949359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eastAsia="zh-CN"/>
              </w:rPr>
            </w:pPr>
            <w:r>
              <w:rPr>
                <w:rFonts w:hint="eastAsia"/>
                <w:sz w:val="21"/>
                <w:szCs w:val="21"/>
                <w:lang w:val="en-US" w:eastAsia="zh-CN"/>
              </w:rPr>
              <w:t>1</w:t>
            </w:r>
          </w:p>
        </w:tc>
        <w:tc>
          <w:tcPr>
            <w:tcW w:w="904" w:type="pct"/>
            <w:vMerge w:val="restart"/>
            <w:tcBorders>
              <w:tl2br w:val="nil"/>
              <w:tr2bl w:val="nil"/>
            </w:tcBorders>
            <w:noWrap w:val="0"/>
            <w:vAlign w:val="center"/>
          </w:tcPr>
          <w:p w14:paraId="79F4FBF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eastAsia="zh-CN"/>
              </w:rPr>
            </w:pPr>
            <w:r>
              <w:rPr>
                <w:rFonts w:hint="eastAsia"/>
                <w:sz w:val="21"/>
                <w:szCs w:val="21"/>
                <w:lang w:val="en-US" w:eastAsia="zh-CN"/>
              </w:rPr>
              <w:t>永久占地</w:t>
            </w:r>
          </w:p>
        </w:tc>
        <w:tc>
          <w:tcPr>
            <w:tcW w:w="906" w:type="pct"/>
            <w:vMerge w:val="restart"/>
            <w:tcBorders>
              <w:tl2br w:val="nil"/>
              <w:tr2bl w:val="nil"/>
            </w:tcBorders>
            <w:noWrap w:val="0"/>
            <w:vAlign w:val="center"/>
          </w:tcPr>
          <w:p w14:paraId="06CA23D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eastAsia="zh-CN"/>
              </w:rPr>
            </w:pPr>
            <w:r>
              <w:rPr>
                <w:rFonts w:hint="eastAsia"/>
                <w:sz w:val="21"/>
                <w:szCs w:val="21"/>
                <w:lang w:val="en-US" w:eastAsia="zh-CN"/>
              </w:rPr>
              <w:t>填埋区</w:t>
            </w:r>
          </w:p>
        </w:tc>
        <w:tc>
          <w:tcPr>
            <w:tcW w:w="911" w:type="pct"/>
            <w:tcBorders>
              <w:tl2br w:val="nil"/>
              <w:tr2bl w:val="nil"/>
            </w:tcBorders>
            <w:noWrap w:val="0"/>
            <w:vAlign w:val="center"/>
          </w:tcPr>
          <w:p w14:paraId="2ED0BB9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eastAsia="zh-CN"/>
              </w:rPr>
            </w:pPr>
            <w:r>
              <w:rPr>
                <w:rFonts w:hint="eastAsia"/>
                <w:sz w:val="21"/>
                <w:szCs w:val="21"/>
                <w:lang w:val="en-US" w:eastAsia="zh-CN"/>
              </w:rPr>
              <w:t>农业植被（耕地）</w:t>
            </w:r>
          </w:p>
        </w:tc>
        <w:tc>
          <w:tcPr>
            <w:tcW w:w="854" w:type="pct"/>
            <w:tcBorders>
              <w:tl2br w:val="nil"/>
              <w:tr2bl w:val="nil"/>
            </w:tcBorders>
            <w:noWrap w:val="0"/>
            <w:vAlign w:val="center"/>
          </w:tcPr>
          <w:p w14:paraId="570E8D3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eastAsia="zh-CN"/>
              </w:rPr>
            </w:pPr>
            <w:r>
              <w:rPr>
                <w:rFonts w:hint="eastAsia"/>
                <w:sz w:val="21"/>
                <w:szCs w:val="21"/>
                <w:lang w:val="en-US" w:eastAsia="zh-CN"/>
              </w:rPr>
              <w:t>3043</w:t>
            </w:r>
          </w:p>
        </w:tc>
        <w:tc>
          <w:tcPr>
            <w:tcW w:w="920" w:type="pct"/>
            <w:tcBorders>
              <w:tl2br w:val="nil"/>
              <w:tr2bl w:val="nil"/>
            </w:tcBorders>
            <w:noWrap w:val="0"/>
            <w:vAlign w:val="center"/>
          </w:tcPr>
          <w:p w14:paraId="2417D17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eastAsia="zh-CN"/>
              </w:rPr>
            </w:pPr>
            <w:r>
              <w:rPr>
                <w:rFonts w:hint="eastAsia"/>
                <w:sz w:val="21"/>
                <w:szCs w:val="21"/>
                <w:lang w:val="en-US" w:eastAsia="zh-CN"/>
              </w:rPr>
              <w:t>11.79</w:t>
            </w:r>
          </w:p>
        </w:tc>
      </w:tr>
      <w:tr w14:paraId="06AA6B6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03" w:type="pct"/>
            <w:tcBorders>
              <w:tl2br w:val="nil"/>
              <w:tr2bl w:val="nil"/>
            </w:tcBorders>
            <w:noWrap w:val="0"/>
            <w:vAlign w:val="center"/>
          </w:tcPr>
          <w:p w14:paraId="14B439D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eastAsia="zh-CN"/>
              </w:rPr>
            </w:pPr>
            <w:r>
              <w:rPr>
                <w:rFonts w:hint="eastAsia"/>
                <w:sz w:val="21"/>
                <w:szCs w:val="21"/>
                <w:lang w:val="en-US" w:eastAsia="zh-CN"/>
              </w:rPr>
              <w:t>2</w:t>
            </w:r>
          </w:p>
        </w:tc>
        <w:tc>
          <w:tcPr>
            <w:tcW w:w="904" w:type="pct"/>
            <w:vMerge w:val="continue"/>
            <w:tcBorders>
              <w:tl2br w:val="nil"/>
              <w:tr2bl w:val="nil"/>
            </w:tcBorders>
            <w:noWrap w:val="0"/>
            <w:vAlign w:val="center"/>
          </w:tcPr>
          <w:p w14:paraId="0723C6F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eastAsia="zh-CN"/>
              </w:rPr>
            </w:pPr>
          </w:p>
        </w:tc>
        <w:tc>
          <w:tcPr>
            <w:tcW w:w="906" w:type="pct"/>
            <w:vMerge w:val="continue"/>
            <w:tcBorders>
              <w:tl2br w:val="nil"/>
              <w:tr2bl w:val="nil"/>
            </w:tcBorders>
            <w:noWrap w:val="0"/>
            <w:vAlign w:val="center"/>
          </w:tcPr>
          <w:p w14:paraId="0F1DDDA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eastAsia="zh-CN"/>
              </w:rPr>
            </w:pPr>
          </w:p>
        </w:tc>
        <w:tc>
          <w:tcPr>
            <w:tcW w:w="911" w:type="pct"/>
            <w:tcBorders>
              <w:tl2br w:val="nil"/>
              <w:tr2bl w:val="nil"/>
            </w:tcBorders>
            <w:noWrap w:val="0"/>
            <w:vAlign w:val="center"/>
          </w:tcPr>
          <w:p w14:paraId="1B613D9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eastAsia="zh-CN"/>
              </w:rPr>
            </w:pPr>
            <w:r>
              <w:rPr>
                <w:rFonts w:hint="eastAsia"/>
                <w:sz w:val="21"/>
                <w:szCs w:val="21"/>
                <w:lang w:val="en-US" w:eastAsia="zh-CN"/>
              </w:rPr>
              <w:t>乔木林（林地）</w:t>
            </w:r>
          </w:p>
        </w:tc>
        <w:tc>
          <w:tcPr>
            <w:tcW w:w="854" w:type="pct"/>
            <w:tcBorders>
              <w:tl2br w:val="nil"/>
              <w:tr2bl w:val="nil"/>
            </w:tcBorders>
            <w:noWrap w:val="0"/>
            <w:vAlign w:val="center"/>
          </w:tcPr>
          <w:p w14:paraId="2D7AD06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eastAsia="zh-CN"/>
              </w:rPr>
            </w:pPr>
            <w:r>
              <w:rPr>
                <w:rFonts w:hint="eastAsia"/>
                <w:sz w:val="21"/>
                <w:szCs w:val="21"/>
                <w:lang w:val="en-US" w:eastAsia="zh-CN"/>
              </w:rPr>
              <w:t>4762</w:t>
            </w:r>
          </w:p>
        </w:tc>
        <w:tc>
          <w:tcPr>
            <w:tcW w:w="920" w:type="pct"/>
            <w:tcBorders>
              <w:tl2br w:val="nil"/>
              <w:tr2bl w:val="nil"/>
            </w:tcBorders>
            <w:noWrap w:val="0"/>
            <w:vAlign w:val="center"/>
          </w:tcPr>
          <w:p w14:paraId="3B4E22C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eastAsia="zh-CN"/>
              </w:rPr>
            </w:pPr>
            <w:r>
              <w:rPr>
                <w:rFonts w:hint="eastAsia"/>
                <w:sz w:val="21"/>
                <w:szCs w:val="21"/>
                <w:lang w:val="en-US" w:eastAsia="zh-CN"/>
              </w:rPr>
              <w:t>18.45</w:t>
            </w:r>
          </w:p>
        </w:tc>
      </w:tr>
      <w:tr w14:paraId="5BDB239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225" w:type="pct"/>
            <w:gridSpan w:val="4"/>
            <w:tcBorders>
              <w:tl2br w:val="nil"/>
              <w:tr2bl w:val="nil"/>
            </w:tcBorders>
            <w:noWrap w:val="0"/>
            <w:vAlign w:val="center"/>
          </w:tcPr>
          <w:p w14:paraId="42A42F8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eastAsia="zh-CN"/>
              </w:rPr>
            </w:pPr>
            <w:r>
              <w:rPr>
                <w:rFonts w:hint="eastAsia"/>
                <w:sz w:val="21"/>
                <w:szCs w:val="21"/>
                <w:lang w:val="en-US" w:eastAsia="zh-CN"/>
              </w:rPr>
              <w:t>小计</w:t>
            </w:r>
          </w:p>
        </w:tc>
        <w:tc>
          <w:tcPr>
            <w:tcW w:w="854" w:type="pct"/>
            <w:tcBorders>
              <w:tl2br w:val="nil"/>
              <w:tr2bl w:val="nil"/>
            </w:tcBorders>
            <w:noWrap w:val="0"/>
            <w:vAlign w:val="center"/>
          </w:tcPr>
          <w:p w14:paraId="4AA33C0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eastAsia="zh-CN"/>
              </w:rPr>
            </w:pPr>
            <w:r>
              <w:rPr>
                <w:rFonts w:hint="eastAsia"/>
                <w:sz w:val="21"/>
                <w:szCs w:val="21"/>
                <w:lang w:val="en-US" w:eastAsia="zh-CN"/>
              </w:rPr>
              <w:t>7805</w:t>
            </w:r>
          </w:p>
        </w:tc>
        <w:tc>
          <w:tcPr>
            <w:tcW w:w="920" w:type="pct"/>
            <w:tcBorders>
              <w:tl2br w:val="nil"/>
              <w:tr2bl w:val="nil"/>
            </w:tcBorders>
            <w:noWrap w:val="0"/>
            <w:vAlign w:val="center"/>
          </w:tcPr>
          <w:p w14:paraId="63F88B8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eastAsia="zh-CN"/>
              </w:rPr>
            </w:pPr>
            <w:r>
              <w:rPr>
                <w:rFonts w:hint="eastAsia"/>
                <w:sz w:val="21"/>
                <w:szCs w:val="21"/>
                <w:lang w:val="en-US" w:eastAsia="zh-CN"/>
              </w:rPr>
              <w:t>30.24</w:t>
            </w:r>
          </w:p>
        </w:tc>
      </w:tr>
      <w:tr w14:paraId="67CB908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03" w:type="pct"/>
            <w:tcBorders>
              <w:tl2br w:val="nil"/>
              <w:tr2bl w:val="nil"/>
            </w:tcBorders>
            <w:noWrap w:val="0"/>
            <w:vAlign w:val="center"/>
          </w:tcPr>
          <w:p w14:paraId="0E1BC08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eastAsia="zh-CN"/>
              </w:rPr>
            </w:pPr>
            <w:r>
              <w:rPr>
                <w:rFonts w:hint="eastAsia"/>
                <w:sz w:val="21"/>
                <w:szCs w:val="21"/>
                <w:lang w:val="en-US" w:eastAsia="zh-CN"/>
              </w:rPr>
              <w:t>3</w:t>
            </w:r>
          </w:p>
        </w:tc>
        <w:tc>
          <w:tcPr>
            <w:tcW w:w="904" w:type="pct"/>
            <w:vMerge w:val="restart"/>
            <w:tcBorders>
              <w:tl2br w:val="nil"/>
              <w:tr2bl w:val="nil"/>
            </w:tcBorders>
            <w:noWrap w:val="0"/>
            <w:vAlign w:val="center"/>
          </w:tcPr>
          <w:p w14:paraId="410A8EA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eastAsia="zh-CN"/>
              </w:rPr>
            </w:pPr>
            <w:r>
              <w:rPr>
                <w:rFonts w:hint="eastAsia"/>
                <w:sz w:val="21"/>
                <w:szCs w:val="21"/>
                <w:lang w:val="en-US" w:eastAsia="zh-CN"/>
              </w:rPr>
              <w:t>临时占地</w:t>
            </w:r>
          </w:p>
        </w:tc>
        <w:tc>
          <w:tcPr>
            <w:tcW w:w="906" w:type="pct"/>
            <w:tcBorders>
              <w:tl2br w:val="nil"/>
              <w:tr2bl w:val="nil"/>
            </w:tcBorders>
            <w:noWrap w:val="0"/>
            <w:vAlign w:val="center"/>
          </w:tcPr>
          <w:p w14:paraId="1144AB5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eastAsia="zh-CN"/>
              </w:rPr>
            </w:pPr>
            <w:r>
              <w:rPr>
                <w:rFonts w:hint="eastAsia"/>
                <w:sz w:val="21"/>
                <w:szCs w:val="21"/>
                <w:lang w:val="en-US" w:eastAsia="zh-CN"/>
              </w:rPr>
              <w:t>废渣区</w:t>
            </w:r>
          </w:p>
        </w:tc>
        <w:tc>
          <w:tcPr>
            <w:tcW w:w="911" w:type="pct"/>
            <w:tcBorders>
              <w:tl2br w:val="nil"/>
              <w:tr2bl w:val="nil"/>
            </w:tcBorders>
            <w:noWrap w:val="0"/>
            <w:vAlign w:val="center"/>
          </w:tcPr>
          <w:p w14:paraId="0055A78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eastAsia="zh-CN"/>
              </w:rPr>
            </w:pPr>
            <w:r>
              <w:rPr>
                <w:rFonts w:hint="eastAsia"/>
                <w:sz w:val="21"/>
                <w:szCs w:val="21"/>
                <w:lang w:val="en-US" w:eastAsia="zh-CN"/>
              </w:rPr>
              <w:t>乔木林（林地）</w:t>
            </w:r>
          </w:p>
        </w:tc>
        <w:tc>
          <w:tcPr>
            <w:tcW w:w="854" w:type="pct"/>
            <w:tcBorders>
              <w:tl2br w:val="nil"/>
              <w:tr2bl w:val="nil"/>
            </w:tcBorders>
            <w:noWrap w:val="0"/>
            <w:vAlign w:val="center"/>
          </w:tcPr>
          <w:p w14:paraId="1B8228B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eastAsia="zh-CN"/>
              </w:rPr>
            </w:pPr>
            <w:r>
              <w:rPr>
                <w:rFonts w:hint="eastAsia"/>
                <w:sz w:val="21"/>
                <w:szCs w:val="21"/>
                <w:lang w:val="en-US" w:eastAsia="zh-CN"/>
              </w:rPr>
              <w:t>9010</w:t>
            </w:r>
          </w:p>
        </w:tc>
        <w:tc>
          <w:tcPr>
            <w:tcW w:w="920" w:type="pct"/>
            <w:tcBorders>
              <w:tl2br w:val="nil"/>
              <w:tr2bl w:val="nil"/>
            </w:tcBorders>
            <w:noWrap w:val="0"/>
            <w:vAlign w:val="center"/>
          </w:tcPr>
          <w:p w14:paraId="4CDB381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eastAsia="zh-CN"/>
              </w:rPr>
            </w:pPr>
            <w:r>
              <w:rPr>
                <w:rFonts w:hint="eastAsia"/>
                <w:sz w:val="21"/>
                <w:szCs w:val="21"/>
                <w:lang w:val="en-US" w:eastAsia="zh-CN"/>
              </w:rPr>
              <w:t>34.90</w:t>
            </w:r>
          </w:p>
        </w:tc>
      </w:tr>
      <w:tr w14:paraId="38448C7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03" w:type="pct"/>
            <w:tcBorders>
              <w:tl2br w:val="nil"/>
              <w:tr2bl w:val="nil"/>
            </w:tcBorders>
            <w:noWrap w:val="0"/>
            <w:vAlign w:val="center"/>
          </w:tcPr>
          <w:p w14:paraId="30BBFCE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eastAsia="zh-CN"/>
              </w:rPr>
            </w:pPr>
            <w:r>
              <w:rPr>
                <w:rFonts w:hint="eastAsia"/>
                <w:sz w:val="21"/>
                <w:szCs w:val="21"/>
                <w:lang w:val="en-US" w:eastAsia="zh-CN"/>
              </w:rPr>
              <w:t>4</w:t>
            </w:r>
          </w:p>
        </w:tc>
        <w:tc>
          <w:tcPr>
            <w:tcW w:w="904" w:type="pct"/>
            <w:vMerge w:val="continue"/>
            <w:tcBorders>
              <w:tl2br w:val="nil"/>
              <w:tr2bl w:val="nil"/>
            </w:tcBorders>
            <w:noWrap w:val="0"/>
            <w:vAlign w:val="center"/>
          </w:tcPr>
          <w:p w14:paraId="398D5CE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eastAsia="zh-CN"/>
              </w:rPr>
            </w:pPr>
          </w:p>
        </w:tc>
        <w:tc>
          <w:tcPr>
            <w:tcW w:w="906" w:type="pct"/>
            <w:vMerge w:val="restart"/>
            <w:tcBorders>
              <w:tl2br w:val="nil"/>
              <w:tr2bl w:val="nil"/>
            </w:tcBorders>
            <w:noWrap w:val="0"/>
            <w:vAlign w:val="center"/>
          </w:tcPr>
          <w:p w14:paraId="07E043D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eastAsia="zh-CN"/>
              </w:rPr>
            </w:pPr>
            <w:r>
              <w:rPr>
                <w:rFonts w:hint="eastAsia"/>
                <w:sz w:val="21"/>
                <w:szCs w:val="21"/>
                <w:lang w:val="en-US" w:eastAsia="zh-CN"/>
              </w:rPr>
              <w:t>取土场</w:t>
            </w:r>
          </w:p>
        </w:tc>
        <w:tc>
          <w:tcPr>
            <w:tcW w:w="911" w:type="pct"/>
            <w:tcBorders>
              <w:tl2br w:val="nil"/>
              <w:tr2bl w:val="nil"/>
            </w:tcBorders>
            <w:noWrap w:val="0"/>
            <w:vAlign w:val="center"/>
          </w:tcPr>
          <w:p w14:paraId="572EA2C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eastAsia="zh-CN"/>
              </w:rPr>
            </w:pPr>
            <w:r>
              <w:rPr>
                <w:rFonts w:hint="eastAsia"/>
                <w:sz w:val="21"/>
                <w:szCs w:val="21"/>
                <w:lang w:val="en-US" w:eastAsia="zh-CN"/>
              </w:rPr>
              <w:t>乔木林（林地）</w:t>
            </w:r>
          </w:p>
        </w:tc>
        <w:tc>
          <w:tcPr>
            <w:tcW w:w="854" w:type="pct"/>
            <w:tcBorders>
              <w:tl2br w:val="nil"/>
              <w:tr2bl w:val="nil"/>
            </w:tcBorders>
            <w:noWrap w:val="0"/>
            <w:vAlign w:val="center"/>
          </w:tcPr>
          <w:p w14:paraId="3DB4100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eastAsia="zh-CN"/>
              </w:rPr>
            </w:pPr>
            <w:r>
              <w:rPr>
                <w:rFonts w:hint="eastAsia"/>
                <w:sz w:val="21"/>
                <w:szCs w:val="21"/>
                <w:lang w:val="en-US" w:eastAsia="zh-CN"/>
              </w:rPr>
              <w:t>2536</w:t>
            </w:r>
          </w:p>
        </w:tc>
        <w:tc>
          <w:tcPr>
            <w:tcW w:w="920" w:type="pct"/>
            <w:tcBorders>
              <w:tl2br w:val="nil"/>
              <w:tr2bl w:val="nil"/>
            </w:tcBorders>
            <w:noWrap w:val="0"/>
            <w:vAlign w:val="center"/>
          </w:tcPr>
          <w:p w14:paraId="195FA71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eastAsia="zh-CN"/>
              </w:rPr>
            </w:pPr>
            <w:r>
              <w:rPr>
                <w:rFonts w:hint="eastAsia"/>
                <w:sz w:val="21"/>
                <w:szCs w:val="21"/>
                <w:lang w:val="en-US" w:eastAsia="zh-CN"/>
              </w:rPr>
              <w:t>9.82</w:t>
            </w:r>
          </w:p>
        </w:tc>
      </w:tr>
      <w:tr w14:paraId="42FF9C5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03" w:type="pct"/>
            <w:tcBorders>
              <w:tl2br w:val="nil"/>
              <w:tr2bl w:val="nil"/>
            </w:tcBorders>
            <w:noWrap w:val="0"/>
            <w:vAlign w:val="center"/>
          </w:tcPr>
          <w:p w14:paraId="1828C59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eastAsia="zh-CN"/>
              </w:rPr>
            </w:pPr>
            <w:r>
              <w:rPr>
                <w:rFonts w:hint="eastAsia"/>
                <w:sz w:val="21"/>
                <w:szCs w:val="21"/>
                <w:lang w:val="en-US" w:eastAsia="zh-CN"/>
              </w:rPr>
              <w:t>5</w:t>
            </w:r>
          </w:p>
        </w:tc>
        <w:tc>
          <w:tcPr>
            <w:tcW w:w="904" w:type="pct"/>
            <w:vMerge w:val="continue"/>
            <w:tcBorders>
              <w:tl2br w:val="nil"/>
              <w:tr2bl w:val="nil"/>
            </w:tcBorders>
            <w:noWrap w:val="0"/>
            <w:vAlign w:val="center"/>
          </w:tcPr>
          <w:p w14:paraId="3EF8125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eastAsia="zh-CN"/>
              </w:rPr>
            </w:pPr>
          </w:p>
        </w:tc>
        <w:tc>
          <w:tcPr>
            <w:tcW w:w="906" w:type="pct"/>
            <w:vMerge w:val="continue"/>
            <w:tcBorders>
              <w:tl2br w:val="nil"/>
              <w:tr2bl w:val="nil"/>
            </w:tcBorders>
            <w:noWrap w:val="0"/>
            <w:vAlign w:val="center"/>
          </w:tcPr>
          <w:p w14:paraId="21EC2E0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eastAsia="zh-CN"/>
              </w:rPr>
            </w:pPr>
          </w:p>
        </w:tc>
        <w:tc>
          <w:tcPr>
            <w:tcW w:w="911" w:type="pct"/>
            <w:tcBorders>
              <w:tl2br w:val="nil"/>
              <w:tr2bl w:val="nil"/>
            </w:tcBorders>
            <w:noWrap w:val="0"/>
            <w:vAlign w:val="center"/>
          </w:tcPr>
          <w:p w14:paraId="51BC5E5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eastAsia="zh-CN"/>
              </w:rPr>
            </w:pPr>
            <w:r>
              <w:rPr>
                <w:rFonts w:hint="eastAsia"/>
                <w:sz w:val="21"/>
                <w:szCs w:val="21"/>
                <w:lang w:val="en-US" w:eastAsia="zh-CN"/>
              </w:rPr>
              <w:t>其他</w:t>
            </w:r>
          </w:p>
        </w:tc>
        <w:tc>
          <w:tcPr>
            <w:tcW w:w="854" w:type="pct"/>
            <w:tcBorders>
              <w:tl2br w:val="nil"/>
              <w:tr2bl w:val="nil"/>
            </w:tcBorders>
            <w:noWrap w:val="0"/>
            <w:vAlign w:val="center"/>
          </w:tcPr>
          <w:p w14:paraId="5AFD6C0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eastAsia="zh-CN"/>
              </w:rPr>
            </w:pPr>
            <w:r>
              <w:rPr>
                <w:rFonts w:hint="eastAsia"/>
                <w:sz w:val="21"/>
                <w:szCs w:val="21"/>
                <w:lang w:val="en-US" w:eastAsia="zh-CN"/>
              </w:rPr>
              <w:t>1132</w:t>
            </w:r>
          </w:p>
        </w:tc>
        <w:tc>
          <w:tcPr>
            <w:tcW w:w="920" w:type="pct"/>
            <w:tcBorders>
              <w:tl2br w:val="nil"/>
              <w:tr2bl w:val="nil"/>
            </w:tcBorders>
            <w:noWrap w:val="0"/>
            <w:vAlign w:val="center"/>
          </w:tcPr>
          <w:p w14:paraId="5DD28B9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eastAsia="zh-CN"/>
              </w:rPr>
            </w:pPr>
            <w:r>
              <w:rPr>
                <w:rFonts w:hint="eastAsia"/>
                <w:sz w:val="21"/>
                <w:szCs w:val="21"/>
                <w:lang w:val="en-US" w:eastAsia="zh-CN"/>
              </w:rPr>
              <w:t>4.39</w:t>
            </w:r>
          </w:p>
        </w:tc>
      </w:tr>
      <w:tr w14:paraId="78D3292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03" w:type="pct"/>
            <w:tcBorders>
              <w:tl2br w:val="nil"/>
              <w:tr2bl w:val="nil"/>
            </w:tcBorders>
            <w:noWrap w:val="0"/>
            <w:vAlign w:val="center"/>
          </w:tcPr>
          <w:p w14:paraId="2CCC199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eastAsia="zh-CN"/>
              </w:rPr>
            </w:pPr>
            <w:r>
              <w:rPr>
                <w:rFonts w:hint="eastAsia"/>
                <w:sz w:val="21"/>
                <w:szCs w:val="21"/>
                <w:lang w:val="en-US" w:eastAsia="zh-CN"/>
              </w:rPr>
              <w:t>6</w:t>
            </w:r>
          </w:p>
        </w:tc>
        <w:tc>
          <w:tcPr>
            <w:tcW w:w="904" w:type="pct"/>
            <w:vMerge w:val="continue"/>
            <w:tcBorders>
              <w:tl2br w:val="nil"/>
              <w:tr2bl w:val="nil"/>
            </w:tcBorders>
            <w:noWrap w:val="0"/>
            <w:vAlign w:val="center"/>
          </w:tcPr>
          <w:p w14:paraId="6ABDBBB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eastAsia="zh-CN"/>
              </w:rPr>
            </w:pPr>
          </w:p>
        </w:tc>
        <w:tc>
          <w:tcPr>
            <w:tcW w:w="906" w:type="pct"/>
            <w:vMerge w:val="restart"/>
            <w:tcBorders>
              <w:tl2br w:val="nil"/>
              <w:tr2bl w:val="nil"/>
            </w:tcBorders>
            <w:noWrap w:val="0"/>
            <w:vAlign w:val="center"/>
          </w:tcPr>
          <w:p w14:paraId="3A99EB1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eastAsia="zh-CN"/>
              </w:rPr>
            </w:pPr>
            <w:r>
              <w:rPr>
                <w:rFonts w:hint="eastAsia"/>
                <w:sz w:val="21"/>
                <w:szCs w:val="21"/>
                <w:lang w:val="en-US" w:eastAsia="zh-CN"/>
              </w:rPr>
              <w:t>临时道路</w:t>
            </w:r>
          </w:p>
        </w:tc>
        <w:tc>
          <w:tcPr>
            <w:tcW w:w="911" w:type="pct"/>
            <w:tcBorders>
              <w:tl2br w:val="nil"/>
              <w:tr2bl w:val="nil"/>
            </w:tcBorders>
            <w:noWrap w:val="0"/>
            <w:vAlign w:val="center"/>
          </w:tcPr>
          <w:p w14:paraId="1DABAD1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eastAsia="zh-CN"/>
              </w:rPr>
            </w:pPr>
            <w:r>
              <w:rPr>
                <w:rFonts w:hint="eastAsia"/>
                <w:sz w:val="21"/>
                <w:szCs w:val="21"/>
                <w:lang w:val="en-US" w:eastAsia="zh-CN"/>
              </w:rPr>
              <w:t>农业植被（耕地）</w:t>
            </w:r>
          </w:p>
        </w:tc>
        <w:tc>
          <w:tcPr>
            <w:tcW w:w="854" w:type="pct"/>
            <w:tcBorders>
              <w:tl2br w:val="nil"/>
              <w:tr2bl w:val="nil"/>
            </w:tcBorders>
            <w:noWrap w:val="0"/>
            <w:vAlign w:val="center"/>
          </w:tcPr>
          <w:p w14:paraId="01028BA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eastAsia="zh-CN"/>
              </w:rPr>
            </w:pPr>
            <w:r>
              <w:rPr>
                <w:rFonts w:hint="eastAsia"/>
                <w:sz w:val="21"/>
                <w:szCs w:val="21"/>
                <w:lang w:val="en-US" w:eastAsia="zh-CN"/>
              </w:rPr>
              <w:t>29</w:t>
            </w:r>
          </w:p>
        </w:tc>
        <w:tc>
          <w:tcPr>
            <w:tcW w:w="920" w:type="pct"/>
            <w:tcBorders>
              <w:tl2br w:val="nil"/>
              <w:tr2bl w:val="nil"/>
            </w:tcBorders>
            <w:noWrap w:val="0"/>
            <w:vAlign w:val="center"/>
          </w:tcPr>
          <w:p w14:paraId="7A1BF81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eastAsia="zh-CN"/>
              </w:rPr>
            </w:pPr>
            <w:r>
              <w:rPr>
                <w:rFonts w:hint="eastAsia"/>
                <w:sz w:val="21"/>
                <w:szCs w:val="21"/>
                <w:lang w:val="en-US" w:eastAsia="zh-CN"/>
              </w:rPr>
              <w:t>0.11</w:t>
            </w:r>
          </w:p>
        </w:tc>
      </w:tr>
      <w:tr w14:paraId="56DFABC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03" w:type="pct"/>
            <w:tcBorders>
              <w:tl2br w:val="nil"/>
              <w:tr2bl w:val="nil"/>
            </w:tcBorders>
            <w:noWrap w:val="0"/>
            <w:vAlign w:val="center"/>
          </w:tcPr>
          <w:p w14:paraId="2C988F1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eastAsia="zh-CN"/>
              </w:rPr>
            </w:pPr>
            <w:r>
              <w:rPr>
                <w:rFonts w:hint="eastAsia"/>
                <w:sz w:val="21"/>
                <w:szCs w:val="21"/>
                <w:lang w:val="en-US" w:eastAsia="zh-CN"/>
              </w:rPr>
              <w:t>7</w:t>
            </w:r>
          </w:p>
        </w:tc>
        <w:tc>
          <w:tcPr>
            <w:tcW w:w="904" w:type="pct"/>
            <w:vMerge w:val="continue"/>
            <w:tcBorders>
              <w:tl2br w:val="nil"/>
              <w:tr2bl w:val="nil"/>
            </w:tcBorders>
            <w:noWrap w:val="0"/>
            <w:vAlign w:val="center"/>
          </w:tcPr>
          <w:p w14:paraId="575DF34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eastAsia="zh-CN"/>
              </w:rPr>
            </w:pPr>
          </w:p>
        </w:tc>
        <w:tc>
          <w:tcPr>
            <w:tcW w:w="906" w:type="pct"/>
            <w:vMerge w:val="continue"/>
            <w:tcBorders>
              <w:tl2br w:val="nil"/>
              <w:tr2bl w:val="nil"/>
            </w:tcBorders>
            <w:noWrap w:val="0"/>
            <w:vAlign w:val="center"/>
          </w:tcPr>
          <w:p w14:paraId="28217E4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eastAsia="zh-CN"/>
              </w:rPr>
            </w:pPr>
          </w:p>
        </w:tc>
        <w:tc>
          <w:tcPr>
            <w:tcW w:w="911" w:type="pct"/>
            <w:tcBorders>
              <w:tl2br w:val="nil"/>
              <w:tr2bl w:val="nil"/>
            </w:tcBorders>
            <w:noWrap w:val="0"/>
            <w:vAlign w:val="center"/>
          </w:tcPr>
          <w:p w14:paraId="2037B90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eastAsia="zh-CN"/>
              </w:rPr>
            </w:pPr>
            <w:r>
              <w:rPr>
                <w:rFonts w:hint="eastAsia"/>
                <w:sz w:val="21"/>
                <w:szCs w:val="21"/>
                <w:lang w:val="en-US" w:eastAsia="zh-CN"/>
              </w:rPr>
              <w:t>乔木林（林地）</w:t>
            </w:r>
          </w:p>
        </w:tc>
        <w:tc>
          <w:tcPr>
            <w:tcW w:w="854" w:type="pct"/>
            <w:tcBorders>
              <w:tl2br w:val="nil"/>
              <w:tr2bl w:val="nil"/>
            </w:tcBorders>
            <w:noWrap w:val="0"/>
            <w:vAlign w:val="center"/>
          </w:tcPr>
          <w:p w14:paraId="7201589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eastAsia="zh-CN"/>
              </w:rPr>
            </w:pPr>
            <w:r>
              <w:rPr>
                <w:rFonts w:hint="eastAsia"/>
                <w:sz w:val="21"/>
                <w:szCs w:val="21"/>
                <w:lang w:val="en-US" w:eastAsia="zh-CN"/>
              </w:rPr>
              <w:t>5070</w:t>
            </w:r>
          </w:p>
        </w:tc>
        <w:tc>
          <w:tcPr>
            <w:tcW w:w="920" w:type="pct"/>
            <w:tcBorders>
              <w:tl2br w:val="nil"/>
              <w:tr2bl w:val="nil"/>
            </w:tcBorders>
            <w:noWrap w:val="0"/>
            <w:vAlign w:val="center"/>
          </w:tcPr>
          <w:p w14:paraId="02110F0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eastAsia="zh-CN"/>
              </w:rPr>
            </w:pPr>
            <w:r>
              <w:rPr>
                <w:rFonts w:hint="eastAsia"/>
                <w:sz w:val="21"/>
                <w:szCs w:val="21"/>
                <w:lang w:val="en-US" w:eastAsia="zh-CN"/>
              </w:rPr>
              <w:t>19.64</w:t>
            </w:r>
          </w:p>
        </w:tc>
      </w:tr>
      <w:tr w14:paraId="4970D88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03" w:type="pct"/>
            <w:tcBorders>
              <w:tl2br w:val="nil"/>
              <w:tr2bl w:val="nil"/>
            </w:tcBorders>
            <w:noWrap w:val="0"/>
            <w:vAlign w:val="center"/>
          </w:tcPr>
          <w:p w14:paraId="7B938DF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eastAsia="zh-CN"/>
              </w:rPr>
            </w:pPr>
            <w:r>
              <w:rPr>
                <w:rFonts w:hint="eastAsia"/>
                <w:sz w:val="21"/>
                <w:szCs w:val="21"/>
                <w:lang w:val="en-US" w:eastAsia="zh-CN"/>
              </w:rPr>
              <w:t>8</w:t>
            </w:r>
          </w:p>
        </w:tc>
        <w:tc>
          <w:tcPr>
            <w:tcW w:w="904" w:type="pct"/>
            <w:vMerge w:val="continue"/>
            <w:tcBorders>
              <w:tl2br w:val="nil"/>
              <w:tr2bl w:val="nil"/>
            </w:tcBorders>
            <w:noWrap w:val="0"/>
            <w:vAlign w:val="center"/>
          </w:tcPr>
          <w:p w14:paraId="64741B1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eastAsia="zh-CN"/>
              </w:rPr>
            </w:pPr>
          </w:p>
        </w:tc>
        <w:tc>
          <w:tcPr>
            <w:tcW w:w="906" w:type="pct"/>
            <w:vMerge w:val="continue"/>
            <w:tcBorders>
              <w:tl2br w:val="nil"/>
              <w:tr2bl w:val="nil"/>
            </w:tcBorders>
            <w:noWrap w:val="0"/>
            <w:vAlign w:val="center"/>
          </w:tcPr>
          <w:p w14:paraId="498C2E1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eastAsia="zh-CN"/>
              </w:rPr>
            </w:pPr>
          </w:p>
        </w:tc>
        <w:tc>
          <w:tcPr>
            <w:tcW w:w="911" w:type="pct"/>
            <w:tcBorders>
              <w:tl2br w:val="nil"/>
              <w:tr2bl w:val="nil"/>
            </w:tcBorders>
            <w:noWrap w:val="0"/>
            <w:vAlign w:val="center"/>
          </w:tcPr>
          <w:p w14:paraId="2643038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eastAsia="zh-CN"/>
              </w:rPr>
            </w:pPr>
            <w:r>
              <w:rPr>
                <w:rFonts w:hint="eastAsia"/>
                <w:sz w:val="21"/>
                <w:szCs w:val="21"/>
                <w:lang w:val="en-US" w:eastAsia="zh-CN"/>
              </w:rPr>
              <w:t>水域</w:t>
            </w:r>
          </w:p>
        </w:tc>
        <w:tc>
          <w:tcPr>
            <w:tcW w:w="854" w:type="pct"/>
            <w:tcBorders>
              <w:tl2br w:val="nil"/>
              <w:tr2bl w:val="nil"/>
            </w:tcBorders>
            <w:noWrap w:val="0"/>
            <w:vAlign w:val="center"/>
          </w:tcPr>
          <w:p w14:paraId="1B14C84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eastAsia="zh-CN"/>
              </w:rPr>
            </w:pPr>
            <w:r>
              <w:rPr>
                <w:rFonts w:hint="eastAsia"/>
                <w:sz w:val="21"/>
                <w:szCs w:val="21"/>
                <w:lang w:val="en-US" w:eastAsia="zh-CN"/>
              </w:rPr>
              <w:t>185</w:t>
            </w:r>
          </w:p>
        </w:tc>
        <w:tc>
          <w:tcPr>
            <w:tcW w:w="920" w:type="pct"/>
            <w:tcBorders>
              <w:tl2br w:val="nil"/>
              <w:tr2bl w:val="nil"/>
            </w:tcBorders>
            <w:noWrap w:val="0"/>
            <w:vAlign w:val="center"/>
          </w:tcPr>
          <w:p w14:paraId="4D8B0F1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eastAsia="zh-CN"/>
              </w:rPr>
            </w:pPr>
            <w:r>
              <w:rPr>
                <w:rFonts w:hint="eastAsia"/>
                <w:sz w:val="21"/>
                <w:szCs w:val="21"/>
                <w:lang w:val="en-US" w:eastAsia="zh-CN"/>
              </w:rPr>
              <w:t>0.72</w:t>
            </w:r>
          </w:p>
        </w:tc>
      </w:tr>
      <w:tr w14:paraId="7DA2472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03" w:type="pct"/>
            <w:tcBorders>
              <w:tl2br w:val="nil"/>
              <w:tr2bl w:val="nil"/>
            </w:tcBorders>
            <w:noWrap w:val="0"/>
            <w:vAlign w:val="center"/>
          </w:tcPr>
          <w:p w14:paraId="15C7027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eastAsia="zh-CN"/>
              </w:rPr>
            </w:pPr>
            <w:r>
              <w:rPr>
                <w:rFonts w:hint="eastAsia"/>
                <w:sz w:val="21"/>
                <w:szCs w:val="21"/>
                <w:lang w:val="en-US" w:eastAsia="zh-CN"/>
              </w:rPr>
              <w:t>9</w:t>
            </w:r>
          </w:p>
        </w:tc>
        <w:tc>
          <w:tcPr>
            <w:tcW w:w="904" w:type="pct"/>
            <w:vMerge w:val="continue"/>
            <w:tcBorders>
              <w:tl2br w:val="nil"/>
              <w:tr2bl w:val="nil"/>
            </w:tcBorders>
            <w:noWrap w:val="0"/>
            <w:vAlign w:val="center"/>
          </w:tcPr>
          <w:p w14:paraId="21CEE45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eastAsia="zh-CN"/>
              </w:rPr>
            </w:pPr>
          </w:p>
        </w:tc>
        <w:tc>
          <w:tcPr>
            <w:tcW w:w="906" w:type="pct"/>
            <w:vMerge w:val="continue"/>
            <w:tcBorders>
              <w:tl2br w:val="nil"/>
              <w:tr2bl w:val="nil"/>
            </w:tcBorders>
            <w:noWrap w:val="0"/>
            <w:vAlign w:val="center"/>
          </w:tcPr>
          <w:p w14:paraId="774F8C0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eastAsia="zh-CN"/>
              </w:rPr>
            </w:pPr>
          </w:p>
        </w:tc>
        <w:tc>
          <w:tcPr>
            <w:tcW w:w="911" w:type="pct"/>
            <w:tcBorders>
              <w:tl2br w:val="nil"/>
              <w:tr2bl w:val="nil"/>
            </w:tcBorders>
            <w:noWrap w:val="0"/>
            <w:vAlign w:val="center"/>
          </w:tcPr>
          <w:p w14:paraId="1488DCC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eastAsia="zh-CN"/>
              </w:rPr>
            </w:pPr>
            <w:r>
              <w:rPr>
                <w:rFonts w:hint="eastAsia"/>
                <w:sz w:val="21"/>
                <w:szCs w:val="21"/>
                <w:lang w:val="en-US" w:eastAsia="zh-CN"/>
              </w:rPr>
              <w:t>道路</w:t>
            </w:r>
          </w:p>
        </w:tc>
        <w:tc>
          <w:tcPr>
            <w:tcW w:w="854" w:type="pct"/>
            <w:tcBorders>
              <w:tl2br w:val="nil"/>
              <w:tr2bl w:val="nil"/>
            </w:tcBorders>
            <w:noWrap w:val="0"/>
            <w:vAlign w:val="center"/>
          </w:tcPr>
          <w:p w14:paraId="5DD5932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eastAsia="zh-CN"/>
              </w:rPr>
            </w:pPr>
            <w:r>
              <w:rPr>
                <w:rFonts w:hint="eastAsia"/>
                <w:sz w:val="21"/>
                <w:szCs w:val="21"/>
                <w:lang w:val="en-US" w:eastAsia="zh-CN"/>
              </w:rPr>
              <w:t>44</w:t>
            </w:r>
          </w:p>
        </w:tc>
        <w:tc>
          <w:tcPr>
            <w:tcW w:w="920" w:type="pct"/>
            <w:tcBorders>
              <w:tl2br w:val="nil"/>
              <w:tr2bl w:val="nil"/>
            </w:tcBorders>
            <w:noWrap w:val="0"/>
            <w:vAlign w:val="center"/>
          </w:tcPr>
          <w:p w14:paraId="2F13D97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eastAsia="zh-CN"/>
              </w:rPr>
            </w:pPr>
            <w:r>
              <w:rPr>
                <w:rFonts w:hint="eastAsia"/>
                <w:sz w:val="21"/>
                <w:szCs w:val="21"/>
                <w:lang w:val="en-US" w:eastAsia="zh-CN"/>
              </w:rPr>
              <w:t>0.17</w:t>
            </w:r>
          </w:p>
        </w:tc>
      </w:tr>
      <w:tr w14:paraId="0CE473B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03" w:type="pct"/>
            <w:tcBorders>
              <w:tl2br w:val="nil"/>
              <w:tr2bl w:val="nil"/>
            </w:tcBorders>
            <w:noWrap w:val="0"/>
            <w:vAlign w:val="center"/>
          </w:tcPr>
          <w:p w14:paraId="2B032F9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eastAsia="zh-CN"/>
              </w:rPr>
            </w:pPr>
            <w:r>
              <w:rPr>
                <w:rFonts w:hint="eastAsia"/>
                <w:sz w:val="21"/>
                <w:szCs w:val="21"/>
                <w:lang w:val="en-US" w:eastAsia="zh-CN"/>
              </w:rPr>
              <w:t>10</w:t>
            </w:r>
          </w:p>
        </w:tc>
        <w:tc>
          <w:tcPr>
            <w:tcW w:w="904" w:type="pct"/>
            <w:vMerge w:val="continue"/>
            <w:tcBorders>
              <w:tl2br w:val="nil"/>
              <w:tr2bl w:val="nil"/>
            </w:tcBorders>
            <w:noWrap w:val="0"/>
            <w:vAlign w:val="center"/>
          </w:tcPr>
          <w:p w14:paraId="6ABF39B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eastAsia="zh-CN"/>
              </w:rPr>
            </w:pPr>
          </w:p>
        </w:tc>
        <w:tc>
          <w:tcPr>
            <w:tcW w:w="906" w:type="pct"/>
            <w:vMerge w:val="continue"/>
            <w:tcBorders>
              <w:tl2br w:val="nil"/>
              <w:tr2bl w:val="nil"/>
            </w:tcBorders>
            <w:noWrap w:val="0"/>
            <w:vAlign w:val="center"/>
          </w:tcPr>
          <w:p w14:paraId="2CC5002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eastAsia="zh-CN"/>
              </w:rPr>
            </w:pPr>
          </w:p>
        </w:tc>
        <w:tc>
          <w:tcPr>
            <w:tcW w:w="911" w:type="pct"/>
            <w:tcBorders>
              <w:tl2br w:val="nil"/>
              <w:tr2bl w:val="nil"/>
            </w:tcBorders>
            <w:noWrap w:val="0"/>
            <w:vAlign w:val="center"/>
          </w:tcPr>
          <w:p w14:paraId="4FFA2AE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eastAsia="zh-CN"/>
              </w:rPr>
            </w:pPr>
            <w:r>
              <w:rPr>
                <w:rFonts w:hint="eastAsia"/>
                <w:sz w:val="21"/>
                <w:szCs w:val="21"/>
                <w:lang w:val="en-US" w:eastAsia="zh-CN"/>
              </w:rPr>
              <w:t>其他</w:t>
            </w:r>
          </w:p>
        </w:tc>
        <w:tc>
          <w:tcPr>
            <w:tcW w:w="854" w:type="pct"/>
            <w:tcBorders>
              <w:tl2br w:val="nil"/>
              <w:tr2bl w:val="nil"/>
            </w:tcBorders>
            <w:noWrap w:val="0"/>
            <w:vAlign w:val="center"/>
          </w:tcPr>
          <w:p w14:paraId="32DCACA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eastAsia="zh-CN"/>
              </w:rPr>
            </w:pPr>
            <w:r>
              <w:rPr>
                <w:rFonts w:hint="eastAsia"/>
                <w:sz w:val="21"/>
                <w:szCs w:val="21"/>
                <w:lang w:val="en-US" w:eastAsia="zh-CN"/>
              </w:rPr>
              <w:t>3</w:t>
            </w:r>
          </w:p>
        </w:tc>
        <w:tc>
          <w:tcPr>
            <w:tcW w:w="920" w:type="pct"/>
            <w:tcBorders>
              <w:tl2br w:val="nil"/>
              <w:tr2bl w:val="nil"/>
            </w:tcBorders>
            <w:noWrap w:val="0"/>
            <w:vAlign w:val="center"/>
          </w:tcPr>
          <w:p w14:paraId="44DB7AE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eastAsia="zh-CN"/>
              </w:rPr>
            </w:pPr>
            <w:r>
              <w:rPr>
                <w:rFonts w:hint="eastAsia"/>
                <w:sz w:val="21"/>
                <w:szCs w:val="21"/>
                <w:lang w:val="en-US" w:eastAsia="zh-CN"/>
              </w:rPr>
              <w:t>0.01</w:t>
            </w:r>
          </w:p>
        </w:tc>
      </w:tr>
      <w:tr w14:paraId="11AE56D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225" w:type="pct"/>
            <w:gridSpan w:val="4"/>
            <w:tcBorders>
              <w:tl2br w:val="nil"/>
              <w:tr2bl w:val="nil"/>
            </w:tcBorders>
            <w:noWrap w:val="0"/>
            <w:vAlign w:val="center"/>
          </w:tcPr>
          <w:p w14:paraId="1F969AB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eastAsia="zh-CN"/>
              </w:rPr>
            </w:pPr>
            <w:r>
              <w:rPr>
                <w:rFonts w:hint="eastAsia"/>
                <w:sz w:val="21"/>
                <w:szCs w:val="21"/>
                <w:lang w:val="en-US" w:eastAsia="zh-CN"/>
              </w:rPr>
              <w:t>小计</w:t>
            </w:r>
          </w:p>
        </w:tc>
        <w:tc>
          <w:tcPr>
            <w:tcW w:w="854" w:type="pct"/>
            <w:tcBorders>
              <w:tl2br w:val="nil"/>
              <w:tr2bl w:val="nil"/>
            </w:tcBorders>
            <w:noWrap w:val="0"/>
            <w:vAlign w:val="center"/>
          </w:tcPr>
          <w:p w14:paraId="6046EAE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eastAsia="zh-CN"/>
              </w:rPr>
            </w:pPr>
            <w:r>
              <w:rPr>
                <w:rFonts w:hint="eastAsia"/>
                <w:sz w:val="21"/>
                <w:szCs w:val="21"/>
                <w:lang w:val="en-US" w:eastAsia="zh-CN"/>
              </w:rPr>
              <w:t>18009</w:t>
            </w:r>
          </w:p>
        </w:tc>
        <w:tc>
          <w:tcPr>
            <w:tcW w:w="920" w:type="pct"/>
            <w:tcBorders>
              <w:tl2br w:val="nil"/>
              <w:tr2bl w:val="nil"/>
            </w:tcBorders>
            <w:noWrap w:val="0"/>
            <w:vAlign w:val="center"/>
          </w:tcPr>
          <w:p w14:paraId="3761BAE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eastAsia="zh-CN"/>
              </w:rPr>
            </w:pPr>
            <w:r>
              <w:rPr>
                <w:rFonts w:hint="eastAsia"/>
                <w:sz w:val="21"/>
                <w:szCs w:val="21"/>
                <w:lang w:val="en-US" w:eastAsia="zh-CN"/>
              </w:rPr>
              <w:t>69.76</w:t>
            </w:r>
          </w:p>
        </w:tc>
      </w:tr>
      <w:tr w14:paraId="01ACA2D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225" w:type="pct"/>
            <w:gridSpan w:val="4"/>
            <w:tcBorders>
              <w:tl2br w:val="nil"/>
              <w:tr2bl w:val="nil"/>
            </w:tcBorders>
            <w:noWrap w:val="0"/>
            <w:vAlign w:val="center"/>
          </w:tcPr>
          <w:p w14:paraId="55FEA11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eastAsia="zh-CN"/>
              </w:rPr>
            </w:pPr>
            <w:r>
              <w:rPr>
                <w:rFonts w:hint="eastAsia"/>
                <w:sz w:val="21"/>
                <w:szCs w:val="21"/>
                <w:lang w:val="en-US" w:eastAsia="zh-CN"/>
              </w:rPr>
              <w:t>合计</w:t>
            </w:r>
          </w:p>
        </w:tc>
        <w:tc>
          <w:tcPr>
            <w:tcW w:w="854" w:type="pct"/>
            <w:tcBorders>
              <w:tl2br w:val="nil"/>
              <w:tr2bl w:val="nil"/>
            </w:tcBorders>
            <w:noWrap w:val="0"/>
            <w:vAlign w:val="center"/>
          </w:tcPr>
          <w:p w14:paraId="4C74F3A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eastAsia="zh-CN"/>
              </w:rPr>
            </w:pPr>
            <w:r>
              <w:rPr>
                <w:rFonts w:hint="eastAsia"/>
                <w:sz w:val="21"/>
                <w:szCs w:val="21"/>
                <w:lang w:val="en-US" w:eastAsia="zh-CN"/>
              </w:rPr>
              <w:t>25814</w:t>
            </w:r>
          </w:p>
        </w:tc>
        <w:tc>
          <w:tcPr>
            <w:tcW w:w="920" w:type="pct"/>
            <w:tcBorders>
              <w:tl2br w:val="nil"/>
              <w:tr2bl w:val="nil"/>
            </w:tcBorders>
            <w:noWrap w:val="0"/>
            <w:vAlign w:val="center"/>
          </w:tcPr>
          <w:p w14:paraId="2467F5D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eastAsia="zh-CN"/>
              </w:rPr>
            </w:pPr>
            <w:r>
              <w:rPr>
                <w:rFonts w:hint="eastAsia"/>
                <w:sz w:val="21"/>
                <w:szCs w:val="21"/>
                <w:lang w:val="en-US" w:eastAsia="zh-CN"/>
              </w:rPr>
              <w:t>100</w:t>
            </w:r>
          </w:p>
        </w:tc>
      </w:tr>
    </w:tbl>
    <w:p w14:paraId="34CEC2C3">
      <w:pPr>
        <w:bidi w:val="0"/>
        <w:rPr>
          <w:rFonts w:hint="eastAsia"/>
          <w:lang w:val="en-US" w:eastAsia="zh-CN"/>
        </w:rPr>
      </w:pPr>
      <w:r>
        <w:rPr>
          <w:rFonts w:hint="eastAsia"/>
          <w:lang w:val="en-US" w:eastAsia="zh-CN"/>
        </w:rPr>
        <w:t>生物量损失按下式计算：</w:t>
      </w:r>
    </w:p>
    <w:p w14:paraId="041E29F9">
      <w:pPr>
        <w:bidi w:val="0"/>
        <w:ind w:left="0" w:leftChars="0" w:firstLine="0" w:firstLineChars="0"/>
        <w:jc w:val="center"/>
        <w:rPr>
          <w:rFonts w:hint="default" w:ascii="Times New Roman" w:hAnsi="Times New Roman" w:cs="Times New Roman"/>
          <w:lang w:val="en-US" w:eastAsia="zh-CN"/>
        </w:rPr>
      </w:pPr>
      <w:r>
        <w:rPr>
          <w:rFonts w:hint="default" w:ascii="Times New Roman" w:hAnsi="Times New Roman" w:cs="Times New Roman"/>
          <w:lang w:val="en-US" w:eastAsia="zh-CN"/>
        </w:rPr>
        <w:t>Y＝</w:t>
      </w:r>
      <w:r>
        <w:rPr>
          <w:rFonts w:hint="default" w:ascii="Times New Roman" w:hAnsi="Times New Roman" w:cs="Times New Roman"/>
          <w:lang w:val="en-US" w:eastAsia="zh-CN"/>
        </w:rPr>
        <w:sym w:font="Symbol" w:char="F0E5"/>
      </w:r>
      <w:r>
        <w:rPr>
          <w:rFonts w:hint="default" w:ascii="Times New Roman" w:hAnsi="Times New Roman" w:cs="Times New Roman"/>
          <w:lang w:val="en-US" w:eastAsia="zh-CN"/>
        </w:rPr>
        <w:t>S</w:t>
      </w:r>
      <w:r>
        <w:rPr>
          <w:rFonts w:hint="default" w:ascii="Times New Roman" w:hAnsi="Times New Roman" w:cs="Times New Roman"/>
          <w:vertAlign w:val="subscript"/>
          <w:lang w:val="en-US" w:eastAsia="zh-CN"/>
        </w:rPr>
        <w:t>i</w:t>
      </w:r>
      <w:r>
        <w:rPr>
          <w:rFonts w:hint="default" w:ascii="Times New Roman" w:hAnsi="Times New Roman" w:cs="Times New Roman"/>
          <w:lang w:val="en-US" w:eastAsia="zh-CN"/>
        </w:rPr>
        <w:t>·W</w:t>
      </w:r>
      <w:r>
        <w:rPr>
          <w:rFonts w:hint="default" w:ascii="Times New Roman" w:hAnsi="Times New Roman" w:cs="Times New Roman"/>
          <w:vertAlign w:val="subscript"/>
          <w:lang w:val="en-US" w:eastAsia="zh-CN"/>
        </w:rPr>
        <w:t>i</w:t>
      </w:r>
    </w:p>
    <w:p w14:paraId="6EE407F1">
      <w:pPr>
        <w:bidi w:val="0"/>
        <w:rPr>
          <w:rFonts w:hint="eastAsia"/>
          <w:lang w:val="en-US" w:eastAsia="zh-CN"/>
        </w:rPr>
      </w:pPr>
      <w:r>
        <w:rPr>
          <w:rFonts w:hint="eastAsia"/>
          <w:lang w:val="en-US" w:eastAsia="zh-CN"/>
        </w:rPr>
        <w:t>式中：Y——生物量损失，t；</w:t>
      </w:r>
    </w:p>
    <w:p w14:paraId="636F57B9">
      <w:pPr>
        <w:bidi w:val="0"/>
        <w:ind w:firstLine="1200" w:firstLineChars="500"/>
        <w:rPr>
          <w:rFonts w:hint="eastAsia"/>
          <w:lang w:val="en-US" w:eastAsia="zh-CN"/>
        </w:rPr>
      </w:pPr>
      <w:r>
        <w:rPr>
          <w:rFonts w:hint="eastAsia"/>
          <w:lang w:val="en-US" w:eastAsia="zh-CN"/>
        </w:rPr>
        <w:t>S</w:t>
      </w:r>
      <w:r>
        <w:rPr>
          <w:rFonts w:hint="eastAsia"/>
          <w:vertAlign w:val="subscript"/>
          <w:lang w:val="en-US" w:eastAsia="zh-CN"/>
        </w:rPr>
        <w:t>i</w:t>
      </w:r>
      <w:r>
        <w:rPr>
          <w:rFonts w:hint="eastAsia"/>
          <w:lang w:val="en-US" w:eastAsia="zh-CN"/>
        </w:rPr>
        <w:t>——每类土地类型永久占地面积，hm</w:t>
      </w:r>
      <w:r>
        <w:rPr>
          <w:rFonts w:hint="eastAsia"/>
          <w:vertAlign w:val="superscript"/>
          <w:lang w:val="en-US" w:eastAsia="zh-CN"/>
        </w:rPr>
        <w:t>2</w:t>
      </w:r>
      <w:r>
        <w:rPr>
          <w:rFonts w:hint="eastAsia"/>
          <w:lang w:val="en-US" w:eastAsia="zh-CN"/>
        </w:rPr>
        <w:t>；</w:t>
      </w:r>
    </w:p>
    <w:p w14:paraId="36967593">
      <w:pPr>
        <w:bidi w:val="0"/>
        <w:ind w:firstLine="1200" w:firstLineChars="500"/>
        <w:rPr>
          <w:rFonts w:hint="eastAsia"/>
          <w:lang w:val="en-US" w:eastAsia="zh-CN"/>
        </w:rPr>
      </w:pPr>
      <w:r>
        <w:rPr>
          <w:rFonts w:hint="eastAsia"/>
          <w:lang w:val="en-US" w:eastAsia="zh-CN"/>
        </w:rPr>
        <w:t>W</w:t>
      </w:r>
      <w:r>
        <w:rPr>
          <w:rFonts w:hint="eastAsia"/>
          <w:vertAlign w:val="subscript"/>
          <w:lang w:val="en-US" w:eastAsia="zh-CN"/>
        </w:rPr>
        <w:t>i</w:t>
      </w:r>
      <w:r>
        <w:rPr>
          <w:rFonts w:hint="eastAsia"/>
          <w:lang w:val="en-US" w:eastAsia="zh-CN"/>
        </w:rPr>
        <w:t>——每类土地类型单位面积生物量，t/hm</w:t>
      </w:r>
      <w:r>
        <w:rPr>
          <w:rFonts w:hint="eastAsia"/>
          <w:vertAlign w:val="superscript"/>
          <w:lang w:val="en-US" w:eastAsia="zh-CN"/>
        </w:rPr>
        <w:t>2</w:t>
      </w:r>
      <w:r>
        <w:rPr>
          <w:rFonts w:hint="eastAsia"/>
          <w:lang w:val="en-US" w:eastAsia="zh-CN"/>
        </w:rPr>
        <w:t>。</w:t>
      </w:r>
    </w:p>
    <w:p w14:paraId="7C97C96B">
      <w:pPr>
        <w:bidi w:val="0"/>
        <w:rPr>
          <w:rFonts w:hint="eastAsia"/>
          <w:lang w:val="en-US" w:eastAsia="zh-CN"/>
        </w:rPr>
      </w:pPr>
      <w:r>
        <w:rPr>
          <w:rFonts w:hint="eastAsia"/>
          <w:lang w:val="en-US" w:eastAsia="zh-CN"/>
        </w:rPr>
        <w:t>拟建工程占地造成的植物生物量损失情况见表5.1-5。</w:t>
      </w:r>
    </w:p>
    <w:p w14:paraId="1875F081">
      <w:pPr>
        <w:bidi w:val="0"/>
        <w:ind w:left="0" w:leftChars="0" w:firstLine="0" w:firstLineChars="0"/>
        <w:jc w:val="center"/>
        <w:rPr>
          <w:rFonts w:hint="eastAsia"/>
          <w:b/>
          <w:bCs/>
          <w:sz w:val="21"/>
          <w:szCs w:val="21"/>
          <w:lang w:val="en-US" w:eastAsia="zh-CN"/>
        </w:rPr>
      </w:pPr>
      <w:r>
        <w:rPr>
          <w:rFonts w:hint="eastAsia"/>
          <w:b/>
          <w:bCs/>
          <w:sz w:val="21"/>
          <w:szCs w:val="21"/>
          <w:lang w:val="en-US" w:eastAsia="zh-CN"/>
        </w:rPr>
        <w:t>表5.1-5  项目施工期工程临时生物量损失一览表</w:t>
      </w:r>
    </w:p>
    <w:tbl>
      <w:tblPr>
        <w:tblStyle w:val="35"/>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645"/>
        <w:gridCol w:w="1137"/>
        <w:gridCol w:w="3218"/>
        <w:gridCol w:w="1453"/>
        <w:gridCol w:w="1555"/>
        <w:gridCol w:w="1280"/>
      </w:tblGrid>
      <w:tr w14:paraId="07652D0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47" w:type="pct"/>
            <w:tcBorders>
              <w:tl2br w:val="nil"/>
              <w:tr2bl w:val="nil"/>
            </w:tcBorders>
            <w:noWrap w:val="0"/>
            <w:vAlign w:val="center"/>
          </w:tcPr>
          <w:p w14:paraId="37A6DAC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b/>
                <w:bCs/>
                <w:sz w:val="21"/>
                <w:szCs w:val="21"/>
                <w:lang w:val="en-US" w:eastAsia="zh-CN"/>
              </w:rPr>
            </w:pPr>
            <w:r>
              <w:rPr>
                <w:rFonts w:hint="eastAsia"/>
                <w:b/>
                <w:bCs/>
                <w:sz w:val="21"/>
                <w:szCs w:val="21"/>
                <w:lang w:val="en-US" w:eastAsia="zh-CN"/>
              </w:rPr>
              <w:t>类型</w:t>
            </w:r>
          </w:p>
        </w:tc>
        <w:tc>
          <w:tcPr>
            <w:tcW w:w="612" w:type="pct"/>
            <w:tcBorders>
              <w:tl2br w:val="nil"/>
              <w:tr2bl w:val="nil"/>
            </w:tcBorders>
            <w:noWrap w:val="0"/>
            <w:vAlign w:val="center"/>
          </w:tcPr>
          <w:p w14:paraId="0ACC094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b/>
                <w:bCs/>
                <w:sz w:val="21"/>
                <w:szCs w:val="21"/>
                <w:lang w:val="en-US" w:eastAsia="zh-CN"/>
              </w:rPr>
            </w:pPr>
            <w:r>
              <w:rPr>
                <w:rFonts w:hint="eastAsia"/>
                <w:b/>
                <w:bCs/>
                <w:sz w:val="21"/>
                <w:szCs w:val="21"/>
                <w:lang w:val="en-US" w:eastAsia="zh-CN"/>
              </w:rPr>
              <w:t>工程</w:t>
            </w:r>
          </w:p>
        </w:tc>
        <w:tc>
          <w:tcPr>
            <w:tcW w:w="1732" w:type="pct"/>
            <w:tcBorders>
              <w:tl2br w:val="nil"/>
              <w:tr2bl w:val="nil"/>
            </w:tcBorders>
            <w:noWrap w:val="0"/>
            <w:vAlign w:val="center"/>
          </w:tcPr>
          <w:p w14:paraId="0AFE3BB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b/>
                <w:bCs/>
                <w:sz w:val="21"/>
                <w:szCs w:val="21"/>
                <w:lang w:val="en-US" w:eastAsia="zh-CN"/>
              </w:rPr>
            </w:pPr>
            <w:r>
              <w:rPr>
                <w:rFonts w:hint="eastAsia"/>
                <w:b/>
                <w:bCs/>
                <w:sz w:val="21"/>
                <w:szCs w:val="21"/>
                <w:lang w:val="en-US" w:eastAsia="zh-CN"/>
              </w:rPr>
              <w:t>植被及所占比例权重</w:t>
            </w:r>
          </w:p>
        </w:tc>
        <w:tc>
          <w:tcPr>
            <w:tcW w:w="782" w:type="pct"/>
            <w:tcBorders>
              <w:tl2br w:val="nil"/>
              <w:tr2bl w:val="nil"/>
            </w:tcBorders>
            <w:noWrap w:val="0"/>
            <w:vAlign w:val="center"/>
          </w:tcPr>
          <w:p w14:paraId="254BB78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b/>
                <w:bCs/>
                <w:sz w:val="21"/>
                <w:szCs w:val="21"/>
                <w:lang w:val="en-US" w:eastAsia="zh-CN"/>
              </w:rPr>
            </w:pPr>
            <w:r>
              <w:rPr>
                <w:rFonts w:hint="eastAsia"/>
                <w:b/>
                <w:bCs/>
                <w:sz w:val="21"/>
                <w:szCs w:val="21"/>
                <w:lang w:val="en-US" w:eastAsia="zh-CN"/>
              </w:rPr>
              <w:t>平均生物量（t/hm</w:t>
            </w:r>
            <w:r>
              <w:rPr>
                <w:rFonts w:hint="eastAsia"/>
                <w:b/>
                <w:bCs/>
                <w:sz w:val="21"/>
                <w:szCs w:val="21"/>
                <w:vertAlign w:val="superscript"/>
                <w:lang w:val="en-US" w:eastAsia="zh-CN"/>
              </w:rPr>
              <w:t>2</w:t>
            </w:r>
            <w:r>
              <w:rPr>
                <w:rFonts w:hint="eastAsia"/>
                <w:b/>
                <w:bCs/>
                <w:sz w:val="21"/>
                <w:szCs w:val="21"/>
                <w:lang w:val="en-US" w:eastAsia="zh-CN"/>
              </w:rPr>
              <w:t>）</w:t>
            </w:r>
          </w:p>
        </w:tc>
        <w:tc>
          <w:tcPr>
            <w:tcW w:w="836" w:type="pct"/>
            <w:tcBorders>
              <w:tl2br w:val="nil"/>
              <w:tr2bl w:val="nil"/>
            </w:tcBorders>
            <w:noWrap w:val="0"/>
            <w:vAlign w:val="center"/>
          </w:tcPr>
          <w:p w14:paraId="6627D0A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b/>
                <w:bCs/>
                <w:sz w:val="21"/>
                <w:szCs w:val="21"/>
                <w:lang w:val="en-US" w:eastAsia="zh-CN"/>
              </w:rPr>
            </w:pPr>
            <w:r>
              <w:rPr>
                <w:rFonts w:hint="eastAsia"/>
                <w:b/>
                <w:bCs/>
                <w:sz w:val="21"/>
                <w:szCs w:val="21"/>
                <w:lang w:val="en-US" w:eastAsia="zh-CN"/>
              </w:rPr>
              <w:t>损失面积（hm</w:t>
            </w:r>
            <w:r>
              <w:rPr>
                <w:rFonts w:hint="eastAsia"/>
                <w:b/>
                <w:bCs/>
                <w:sz w:val="21"/>
                <w:szCs w:val="21"/>
                <w:vertAlign w:val="superscript"/>
                <w:lang w:val="en-US" w:eastAsia="zh-CN"/>
              </w:rPr>
              <w:t>2</w:t>
            </w:r>
            <w:r>
              <w:rPr>
                <w:rFonts w:hint="eastAsia"/>
                <w:b/>
                <w:bCs/>
                <w:sz w:val="21"/>
                <w:szCs w:val="21"/>
                <w:lang w:val="en-US" w:eastAsia="zh-CN"/>
              </w:rPr>
              <w:t>）</w:t>
            </w:r>
          </w:p>
        </w:tc>
        <w:tc>
          <w:tcPr>
            <w:tcW w:w="689" w:type="pct"/>
            <w:tcBorders>
              <w:tl2br w:val="nil"/>
              <w:tr2bl w:val="nil"/>
            </w:tcBorders>
            <w:noWrap w:val="0"/>
            <w:vAlign w:val="center"/>
          </w:tcPr>
          <w:p w14:paraId="52248C0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b/>
                <w:bCs/>
                <w:sz w:val="21"/>
                <w:szCs w:val="21"/>
                <w:lang w:val="en-US" w:eastAsia="zh-CN"/>
              </w:rPr>
            </w:pPr>
            <w:r>
              <w:rPr>
                <w:rFonts w:hint="eastAsia"/>
                <w:b/>
                <w:bCs/>
                <w:sz w:val="21"/>
                <w:szCs w:val="21"/>
                <w:lang w:val="en-US" w:eastAsia="zh-CN"/>
              </w:rPr>
              <w:t>生物量损失（t）</w:t>
            </w:r>
          </w:p>
        </w:tc>
      </w:tr>
      <w:tr w14:paraId="6A7BEA0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47" w:type="pct"/>
            <w:vMerge w:val="restart"/>
            <w:tcBorders>
              <w:tl2br w:val="nil"/>
              <w:tr2bl w:val="nil"/>
            </w:tcBorders>
            <w:noWrap w:val="0"/>
            <w:vAlign w:val="center"/>
          </w:tcPr>
          <w:p w14:paraId="37DE2A0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eastAsia="zh-CN"/>
              </w:rPr>
            </w:pPr>
            <w:r>
              <w:rPr>
                <w:rFonts w:hint="eastAsia"/>
                <w:sz w:val="21"/>
                <w:szCs w:val="21"/>
                <w:lang w:val="en-US" w:eastAsia="zh-CN"/>
              </w:rPr>
              <w:t>永久占地</w:t>
            </w:r>
          </w:p>
        </w:tc>
        <w:tc>
          <w:tcPr>
            <w:tcW w:w="612" w:type="pct"/>
            <w:vMerge w:val="restart"/>
            <w:tcBorders>
              <w:tl2br w:val="nil"/>
              <w:tr2bl w:val="nil"/>
            </w:tcBorders>
            <w:noWrap w:val="0"/>
            <w:vAlign w:val="center"/>
          </w:tcPr>
          <w:p w14:paraId="2414ECB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eastAsia="zh-CN"/>
              </w:rPr>
            </w:pPr>
            <w:r>
              <w:rPr>
                <w:rFonts w:hint="eastAsia"/>
                <w:sz w:val="21"/>
                <w:szCs w:val="21"/>
                <w:lang w:val="en-US" w:eastAsia="zh-CN"/>
              </w:rPr>
              <w:t>填埋区</w:t>
            </w:r>
          </w:p>
        </w:tc>
        <w:tc>
          <w:tcPr>
            <w:tcW w:w="1732" w:type="pct"/>
            <w:tcBorders>
              <w:tl2br w:val="nil"/>
              <w:tr2bl w:val="nil"/>
            </w:tcBorders>
            <w:noWrap w:val="0"/>
            <w:vAlign w:val="center"/>
          </w:tcPr>
          <w:p w14:paraId="58F2248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eastAsia="zh-CN"/>
              </w:rPr>
            </w:pPr>
            <w:r>
              <w:rPr>
                <w:rFonts w:hint="eastAsia"/>
                <w:sz w:val="21"/>
                <w:szCs w:val="21"/>
                <w:lang w:val="en-US" w:eastAsia="zh-CN"/>
              </w:rPr>
              <w:t>乔木林</w:t>
            </w:r>
          </w:p>
        </w:tc>
        <w:tc>
          <w:tcPr>
            <w:tcW w:w="782" w:type="pct"/>
            <w:tcBorders>
              <w:tl2br w:val="nil"/>
              <w:tr2bl w:val="nil"/>
            </w:tcBorders>
            <w:noWrap w:val="0"/>
            <w:vAlign w:val="center"/>
          </w:tcPr>
          <w:p w14:paraId="5441A5F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eastAsia="zh-CN"/>
              </w:rPr>
            </w:pPr>
            <w:r>
              <w:rPr>
                <w:rFonts w:hint="eastAsia"/>
                <w:sz w:val="21"/>
                <w:szCs w:val="21"/>
                <w:lang w:val="en-US" w:eastAsia="zh-CN"/>
              </w:rPr>
              <w:t>28.62</w:t>
            </w:r>
          </w:p>
        </w:tc>
        <w:tc>
          <w:tcPr>
            <w:tcW w:w="836" w:type="pct"/>
            <w:tcBorders>
              <w:tl2br w:val="nil"/>
              <w:tr2bl w:val="nil"/>
            </w:tcBorders>
            <w:noWrap w:val="0"/>
            <w:vAlign w:val="center"/>
          </w:tcPr>
          <w:p w14:paraId="18BAE31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eastAsia="zh-CN"/>
              </w:rPr>
            </w:pPr>
            <w:r>
              <w:rPr>
                <w:rFonts w:hint="eastAsia"/>
                <w:sz w:val="21"/>
                <w:szCs w:val="21"/>
                <w:lang w:val="en-US" w:eastAsia="zh-CN"/>
              </w:rPr>
              <w:t>0.4762</w:t>
            </w:r>
          </w:p>
        </w:tc>
        <w:tc>
          <w:tcPr>
            <w:tcW w:w="689" w:type="pct"/>
            <w:tcBorders>
              <w:tl2br w:val="nil"/>
              <w:tr2bl w:val="nil"/>
            </w:tcBorders>
            <w:noWrap w:val="0"/>
            <w:vAlign w:val="center"/>
          </w:tcPr>
          <w:p w14:paraId="47D2DBD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eastAsia="zh-CN"/>
              </w:rPr>
            </w:pPr>
            <w:r>
              <w:rPr>
                <w:rFonts w:hint="eastAsia"/>
                <w:sz w:val="21"/>
                <w:szCs w:val="21"/>
                <w:lang w:val="en-US" w:eastAsia="zh-CN"/>
              </w:rPr>
              <w:t>13.629</w:t>
            </w:r>
          </w:p>
        </w:tc>
      </w:tr>
      <w:tr w14:paraId="4C22405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47" w:type="pct"/>
            <w:vMerge w:val="continue"/>
            <w:tcBorders>
              <w:tl2br w:val="nil"/>
              <w:tr2bl w:val="nil"/>
            </w:tcBorders>
            <w:noWrap w:val="0"/>
            <w:vAlign w:val="center"/>
          </w:tcPr>
          <w:p w14:paraId="7427A99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eastAsia="zh-CN"/>
              </w:rPr>
            </w:pPr>
          </w:p>
        </w:tc>
        <w:tc>
          <w:tcPr>
            <w:tcW w:w="612" w:type="pct"/>
            <w:vMerge w:val="continue"/>
            <w:tcBorders>
              <w:tl2br w:val="nil"/>
              <w:tr2bl w:val="nil"/>
            </w:tcBorders>
            <w:noWrap w:val="0"/>
            <w:vAlign w:val="center"/>
          </w:tcPr>
          <w:p w14:paraId="127D30D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eastAsia="zh-CN"/>
              </w:rPr>
            </w:pPr>
          </w:p>
        </w:tc>
        <w:tc>
          <w:tcPr>
            <w:tcW w:w="1732" w:type="pct"/>
            <w:tcBorders>
              <w:tl2br w:val="nil"/>
              <w:tr2bl w:val="nil"/>
            </w:tcBorders>
            <w:noWrap w:val="0"/>
            <w:vAlign w:val="center"/>
          </w:tcPr>
          <w:p w14:paraId="71C121B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eastAsia="zh-CN"/>
              </w:rPr>
            </w:pPr>
            <w:r>
              <w:rPr>
                <w:rFonts w:hint="eastAsia"/>
                <w:sz w:val="21"/>
                <w:szCs w:val="21"/>
                <w:lang w:val="en-US" w:eastAsia="zh-CN"/>
              </w:rPr>
              <w:t>农业植被</w:t>
            </w:r>
          </w:p>
        </w:tc>
        <w:tc>
          <w:tcPr>
            <w:tcW w:w="782" w:type="pct"/>
            <w:tcBorders>
              <w:tl2br w:val="nil"/>
              <w:tr2bl w:val="nil"/>
            </w:tcBorders>
            <w:noWrap w:val="0"/>
            <w:vAlign w:val="center"/>
          </w:tcPr>
          <w:p w14:paraId="266CEDF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eastAsia="zh-CN"/>
              </w:rPr>
            </w:pPr>
            <w:r>
              <w:rPr>
                <w:rFonts w:hint="eastAsia"/>
                <w:sz w:val="21"/>
                <w:szCs w:val="21"/>
                <w:lang w:val="en-US" w:eastAsia="zh-CN"/>
              </w:rPr>
              <w:t>6</w:t>
            </w:r>
          </w:p>
        </w:tc>
        <w:tc>
          <w:tcPr>
            <w:tcW w:w="836" w:type="pct"/>
            <w:tcBorders>
              <w:tl2br w:val="nil"/>
              <w:tr2bl w:val="nil"/>
            </w:tcBorders>
            <w:noWrap w:val="0"/>
            <w:vAlign w:val="center"/>
          </w:tcPr>
          <w:p w14:paraId="1988829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eastAsia="zh-CN"/>
              </w:rPr>
            </w:pPr>
            <w:r>
              <w:rPr>
                <w:rFonts w:hint="eastAsia"/>
                <w:sz w:val="21"/>
                <w:szCs w:val="21"/>
                <w:lang w:val="en-US" w:eastAsia="zh-CN"/>
              </w:rPr>
              <w:t>0.3043</w:t>
            </w:r>
          </w:p>
        </w:tc>
        <w:tc>
          <w:tcPr>
            <w:tcW w:w="689" w:type="pct"/>
            <w:tcBorders>
              <w:tl2br w:val="nil"/>
              <w:tr2bl w:val="nil"/>
            </w:tcBorders>
            <w:noWrap w:val="0"/>
            <w:vAlign w:val="center"/>
          </w:tcPr>
          <w:p w14:paraId="77D11EE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eastAsia="zh-CN"/>
              </w:rPr>
            </w:pPr>
            <w:r>
              <w:rPr>
                <w:rFonts w:hint="eastAsia"/>
                <w:sz w:val="21"/>
                <w:szCs w:val="21"/>
                <w:lang w:val="en-US" w:eastAsia="zh-CN"/>
              </w:rPr>
              <w:t>1.826</w:t>
            </w:r>
          </w:p>
        </w:tc>
      </w:tr>
      <w:tr w14:paraId="4EC7465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47" w:type="pct"/>
            <w:vMerge w:val="continue"/>
            <w:tcBorders>
              <w:tl2br w:val="nil"/>
              <w:tr2bl w:val="nil"/>
            </w:tcBorders>
            <w:noWrap w:val="0"/>
            <w:vAlign w:val="center"/>
          </w:tcPr>
          <w:p w14:paraId="22E99DA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eastAsia="zh-CN"/>
              </w:rPr>
            </w:pPr>
          </w:p>
        </w:tc>
        <w:tc>
          <w:tcPr>
            <w:tcW w:w="3963" w:type="pct"/>
            <w:gridSpan w:val="4"/>
            <w:tcBorders>
              <w:tl2br w:val="nil"/>
              <w:tr2bl w:val="nil"/>
            </w:tcBorders>
            <w:noWrap w:val="0"/>
            <w:vAlign w:val="center"/>
          </w:tcPr>
          <w:p w14:paraId="0A12782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eastAsia="zh-CN"/>
              </w:rPr>
            </w:pPr>
            <w:r>
              <w:rPr>
                <w:rFonts w:hint="eastAsia"/>
                <w:sz w:val="21"/>
                <w:szCs w:val="21"/>
                <w:lang w:val="en-US" w:eastAsia="zh-CN"/>
              </w:rPr>
              <w:t>小计</w:t>
            </w:r>
          </w:p>
        </w:tc>
        <w:tc>
          <w:tcPr>
            <w:tcW w:w="689" w:type="pct"/>
            <w:tcBorders>
              <w:tl2br w:val="nil"/>
              <w:tr2bl w:val="nil"/>
            </w:tcBorders>
            <w:noWrap w:val="0"/>
            <w:vAlign w:val="center"/>
          </w:tcPr>
          <w:p w14:paraId="2DB9D1F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eastAsia="zh-CN"/>
              </w:rPr>
            </w:pPr>
            <w:r>
              <w:rPr>
                <w:rFonts w:hint="eastAsia"/>
                <w:sz w:val="21"/>
                <w:szCs w:val="21"/>
                <w:lang w:val="en-US" w:eastAsia="zh-CN"/>
              </w:rPr>
              <w:t>15.455</w:t>
            </w:r>
          </w:p>
        </w:tc>
      </w:tr>
      <w:tr w14:paraId="4C64AEB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47" w:type="pct"/>
            <w:vMerge w:val="restart"/>
            <w:tcBorders>
              <w:tl2br w:val="nil"/>
              <w:tr2bl w:val="nil"/>
            </w:tcBorders>
            <w:noWrap w:val="0"/>
            <w:vAlign w:val="center"/>
          </w:tcPr>
          <w:p w14:paraId="5E6008B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eastAsia="zh-CN"/>
              </w:rPr>
            </w:pPr>
            <w:r>
              <w:rPr>
                <w:rFonts w:hint="eastAsia"/>
                <w:sz w:val="21"/>
                <w:szCs w:val="21"/>
                <w:lang w:val="en-US" w:eastAsia="zh-CN"/>
              </w:rPr>
              <w:t>临</w:t>
            </w:r>
          </w:p>
          <w:p w14:paraId="77E5B79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eastAsia="zh-CN"/>
              </w:rPr>
            </w:pPr>
            <w:r>
              <w:rPr>
                <w:rFonts w:hint="eastAsia"/>
                <w:sz w:val="21"/>
                <w:szCs w:val="21"/>
                <w:lang w:val="en-US" w:eastAsia="zh-CN"/>
              </w:rPr>
              <w:t>时</w:t>
            </w:r>
          </w:p>
          <w:p w14:paraId="2875156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eastAsia="zh-CN"/>
              </w:rPr>
            </w:pPr>
            <w:r>
              <w:rPr>
                <w:rFonts w:hint="eastAsia"/>
                <w:sz w:val="21"/>
                <w:szCs w:val="21"/>
                <w:lang w:val="en-US" w:eastAsia="zh-CN"/>
              </w:rPr>
              <w:t>占</w:t>
            </w:r>
          </w:p>
          <w:p w14:paraId="323F2AA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eastAsia="zh-CN"/>
              </w:rPr>
            </w:pPr>
            <w:r>
              <w:rPr>
                <w:rFonts w:hint="eastAsia"/>
                <w:sz w:val="21"/>
                <w:szCs w:val="21"/>
                <w:lang w:val="en-US" w:eastAsia="zh-CN"/>
              </w:rPr>
              <w:t>地</w:t>
            </w:r>
          </w:p>
        </w:tc>
        <w:tc>
          <w:tcPr>
            <w:tcW w:w="612" w:type="pct"/>
            <w:tcBorders>
              <w:tl2br w:val="nil"/>
              <w:tr2bl w:val="nil"/>
            </w:tcBorders>
            <w:noWrap w:val="0"/>
            <w:vAlign w:val="center"/>
          </w:tcPr>
          <w:p w14:paraId="0E403C1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eastAsia="zh-CN"/>
              </w:rPr>
            </w:pPr>
            <w:r>
              <w:rPr>
                <w:rFonts w:hint="eastAsia"/>
                <w:sz w:val="21"/>
                <w:szCs w:val="21"/>
                <w:lang w:val="en-US" w:eastAsia="zh-CN"/>
              </w:rPr>
              <w:t>废渣区</w:t>
            </w:r>
          </w:p>
        </w:tc>
        <w:tc>
          <w:tcPr>
            <w:tcW w:w="1732" w:type="pct"/>
            <w:tcBorders>
              <w:tl2br w:val="nil"/>
              <w:tr2bl w:val="nil"/>
            </w:tcBorders>
            <w:noWrap w:val="0"/>
            <w:vAlign w:val="center"/>
          </w:tcPr>
          <w:p w14:paraId="7BC3D0D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eastAsia="zh-CN"/>
              </w:rPr>
            </w:pPr>
            <w:r>
              <w:rPr>
                <w:rFonts w:hint="eastAsia"/>
                <w:sz w:val="21"/>
                <w:szCs w:val="21"/>
                <w:lang w:val="en-US" w:eastAsia="zh-CN"/>
              </w:rPr>
              <w:t>乔木林</w:t>
            </w:r>
          </w:p>
        </w:tc>
        <w:tc>
          <w:tcPr>
            <w:tcW w:w="782" w:type="pct"/>
            <w:tcBorders>
              <w:tl2br w:val="nil"/>
              <w:tr2bl w:val="nil"/>
            </w:tcBorders>
            <w:noWrap w:val="0"/>
            <w:vAlign w:val="center"/>
          </w:tcPr>
          <w:p w14:paraId="4B2EC4C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eastAsia="zh-CN"/>
              </w:rPr>
            </w:pPr>
            <w:r>
              <w:rPr>
                <w:rFonts w:hint="eastAsia"/>
                <w:sz w:val="21"/>
                <w:szCs w:val="21"/>
                <w:lang w:val="en-US" w:eastAsia="zh-CN"/>
              </w:rPr>
              <w:t>28.62</w:t>
            </w:r>
          </w:p>
        </w:tc>
        <w:tc>
          <w:tcPr>
            <w:tcW w:w="836" w:type="pct"/>
            <w:tcBorders>
              <w:tl2br w:val="nil"/>
              <w:tr2bl w:val="nil"/>
            </w:tcBorders>
            <w:noWrap w:val="0"/>
            <w:vAlign w:val="center"/>
          </w:tcPr>
          <w:p w14:paraId="13F4122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eastAsia="zh-CN"/>
              </w:rPr>
            </w:pPr>
            <w:r>
              <w:rPr>
                <w:rFonts w:hint="eastAsia"/>
                <w:sz w:val="21"/>
                <w:szCs w:val="21"/>
                <w:lang w:val="en-US" w:eastAsia="zh-CN"/>
              </w:rPr>
              <w:t>0.9010</w:t>
            </w:r>
          </w:p>
        </w:tc>
        <w:tc>
          <w:tcPr>
            <w:tcW w:w="689" w:type="pct"/>
            <w:tcBorders>
              <w:tl2br w:val="nil"/>
              <w:tr2bl w:val="nil"/>
            </w:tcBorders>
            <w:noWrap w:val="0"/>
            <w:vAlign w:val="center"/>
          </w:tcPr>
          <w:p w14:paraId="46A9BB6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eastAsia="zh-CN"/>
              </w:rPr>
            </w:pPr>
            <w:r>
              <w:rPr>
                <w:rFonts w:hint="eastAsia"/>
                <w:sz w:val="21"/>
                <w:szCs w:val="21"/>
                <w:lang w:val="en-US" w:eastAsia="zh-CN"/>
              </w:rPr>
              <w:t>25.787</w:t>
            </w:r>
          </w:p>
        </w:tc>
      </w:tr>
      <w:tr w14:paraId="7E2DFCF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47" w:type="pct"/>
            <w:vMerge w:val="continue"/>
            <w:tcBorders>
              <w:tl2br w:val="nil"/>
              <w:tr2bl w:val="nil"/>
            </w:tcBorders>
            <w:noWrap w:val="0"/>
            <w:vAlign w:val="center"/>
          </w:tcPr>
          <w:p w14:paraId="3C79726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eastAsia="zh-CN"/>
              </w:rPr>
            </w:pPr>
          </w:p>
        </w:tc>
        <w:tc>
          <w:tcPr>
            <w:tcW w:w="612" w:type="pct"/>
            <w:vMerge w:val="restart"/>
            <w:tcBorders>
              <w:tl2br w:val="nil"/>
              <w:tr2bl w:val="nil"/>
            </w:tcBorders>
            <w:noWrap w:val="0"/>
            <w:vAlign w:val="center"/>
          </w:tcPr>
          <w:p w14:paraId="4ABB3A9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eastAsia="zh-CN"/>
              </w:rPr>
            </w:pPr>
            <w:r>
              <w:rPr>
                <w:rFonts w:hint="eastAsia"/>
                <w:sz w:val="21"/>
                <w:szCs w:val="21"/>
                <w:lang w:val="en-US" w:eastAsia="zh-CN"/>
              </w:rPr>
              <w:t>取土场</w:t>
            </w:r>
          </w:p>
        </w:tc>
        <w:tc>
          <w:tcPr>
            <w:tcW w:w="1732" w:type="pct"/>
            <w:tcBorders>
              <w:tl2br w:val="nil"/>
              <w:tr2bl w:val="nil"/>
            </w:tcBorders>
            <w:noWrap w:val="0"/>
            <w:vAlign w:val="center"/>
          </w:tcPr>
          <w:p w14:paraId="4D303DF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eastAsia="zh-CN"/>
              </w:rPr>
            </w:pPr>
            <w:r>
              <w:rPr>
                <w:rFonts w:hint="eastAsia"/>
                <w:sz w:val="21"/>
                <w:szCs w:val="21"/>
                <w:lang w:val="en-US" w:eastAsia="zh-CN"/>
              </w:rPr>
              <w:t>乔木林</w:t>
            </w:r>
          </w:p>
        </w:tc>
        <w:tc>
          <w:tcPr>
            <w:tcW w:w="782" w:type="pct"/>
            <w:tcBorders>
              <w:tl2br w:val="nil"/>
              <w:tr2bl w:val="nil"/>
            </w:tcBorders>
            <w:noWrap w:val="0"/>
            <w:vAlign w:val="center"/>
          </w:tcPr>
          <w:p w14:paraId="132ED6B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eastAsia="zh-CN"/>
              </w:rPr>
            </w:pPr>
            <w:r>
              <w:rPr>
                <w:rFonts w:hint="eastAsia"/>
                <w:sz w:val="21"/>
                <w:szCs w:val="21"/>
                <w:lang w:val="en-US" w:eastAsia="zh-CN"/>
              </w:rPr>
              <w:t>28.62</w:t>
            </w:r>
          </w:p>
        </w:tc>
        <w:tc>
          <w:tcPr>
            <w:tcW w:w="836" w:type="pct"/>
            <w:tcBorders>
              <w:tl2br w:val="nil"/>
              <w:tr2bl w:val="nil"/>
            </w:tcBorders>
            <w:noWrap w:val="0"/>
            <w:vAlign w:val="center"/>
          </w:tcPr>
          <w:p w14:paraId="678F801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eastAsia="zh-CN"/>
              </w:rPr>
            </w:pPr>
            <w:r>
              <w:rPr>
                <w:rFonts w:hint="eastAsia"/>
                <w:sz w:val="21"/>
                <w:szCs w:val="21"/>
                <w:lang w:val="en-US" w:eastAsia="zh-CN"/>
              </w:rPr>
              <w:t>0.2536</w:t>
            </w:r>
          </w:p>
        </w:tc>
        <w:tc>
          <w:tcPr>
            <w:tcW w:w="689" w:type="pct"/>
            <w:tcBorders>
              <w:tl2br w:val="nil"/>
              <w:tr2bl w:val="nil"/>
            </w:tcBorders>
            <w:noWrap w:val="0"/>
            <w:vAlign w:val="center"/>
          </w:tcPr>
          <w:p w14:paraId="421D794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eastAsia="zh-CN"/>
              </w:rPr>
            </w:pPr>
            <w:r>
              <w:rPr>
                <w:rFonts w:hint="eastAsia"/>
                <w:sz w:val="21"/>
                <w:szCs w:val="21"/>
                <w:lang w:val="en-US" w:eastAsia="zh-CN"/>
              </w:rPr>
              <w:t>7.258</w:t>
            </w:r>
          </w:p>
        </w:tc>
      </w:tr>
      <w:tr w14:paraId="6689D8E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47" w:type="pct"/>
            <w:vMerge w:val="continue"/>
            <w:tcBorders>
              <w:tl2br w:val="nil"/>
              <w:tr2bl w:val="nil"/>
            </w:tcBorders>
            <w:noWrap w:val="0"/>
            <w:vAlign w:val="center"/>
          </w:tcPr>
          <w:p w14:paraId="7DCF53F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eastAsia="zh-CN"/>
              </w:rPr>
            </w:pPr>
          </w:p>
        </w:tc>
        <w:tc>
          <w:tcPr>
            <w:tcW w:w="612" w:type="pct"/>
            <w:vMerge w:val="continue"/>
            <w:tcBorders>
              <w:tl2br w:val="nil"/>
              <w:tr2bl w:val="nil"/>
            </w:tcBorders>
            <w:noWrap w:val="0"/>
            <w:vAlign w:val="center"/>
          </w:tcPr>
          <w:p w14:paraId="3846FD7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eastAsia="zh-CN"/>
              </w:rPr>
            </w:pPr>
          </w:p>
        </w:tc>
        <w:tc>
          <w:tcPr>
            <w:tcW w:w="1732" w:type="pct"/>
            <w:tcBorders>
              <w:tl2br w:val="nil"/>
              <w:tr2bl w:val="nil"/>
            </w:tcBorders>
            <w:noWrap w:val="0"/>
            <w:vAlign w:val="center"/>
          </w:tcPr>
          <w:p w14:paraId="4FBAC8B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eastAsia="zh-CN"/>
              </w:rPr>
            </w:pPr>
            <w:r>
              <w:rPr>
                <w:rFonts w:hint="eastAsia"/>
                <w:sz w:val="21"/>
                <w:szCs w:val="21"/>
                <w:lang w:val="en-US" w:eastAsia="zh-CN"/>
              </w:rPr>
              <w:t>灌丛/灌草丛</w:t>
            </w:r>
          </w:p>
        </w:tc>
        <w:tc>
          <w:tcPr>
            <w:tcW w:w="782" w:type="pct"/>
            <w:tcBorders>
              <w:tl2br w:val="nil"/>
              <w:tr2bl w:val="nil"/>
            </w:tcBorders>
            <w:noWrap w:val="0"/>
            <w:vAlign w:val="center"/>
          </w:tcPr>
          <w:p w14:paraId="42F965F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eastAsia="zh-CN"/>
              </w:rPr>
            </w:pPr>
            <w:r>
              <w:rPr>
                <w:rFonts w:hint="eastAsia"/>
                <w:sz w:val="21"/>
                <w:szCs w:val="21"/>
                <w:lang w:val="en-US" w:eastAsia="zh-CN"/>
              </w:rPr>
              <w:t>12.8</w:t>
            </w:r>
          </w:p>
        </w:tc>
        <w:tc>
          <w:tcPr>
            <w:tcW w:w="836" w:type="pct"/>
            <w:tcBorders>
              <w:tl2br w:val="nil"/>
              <w:tr2bl w:val="nil"/>
            </w:tcBorders>
            <w:noWrap w:val="0"/>
            <w:vAlign w:val="center"/>
          </w:tcPr>
          <w:p w14:paraId="3F289A4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eastAsia="zh-CN"/>
              </w:rPr>
            </w:pPr>
            <w:r>
              <w:rPr>
                <w:rFonts w:hint="eastAsia"/>
                <w:sz w:val="21"/>
                <w:szCs w:val="21"/>
                <w:lang w:val="en-US" w:eastAsia="zh-CN"/>
              </w:rPr>
              <w:t>0.1132</w:t>
            </w:r>
          </w:p>
        </w:tc>
        <w:tc>
          <w:tcPr>
            <w:tcW w:w="689" w:type="pct"/>
            <w:tcBorders>
              <w:tl2br w:val="nil"/>
              <w:tr2bl w:val="nil"/>
            </w:tcBorders>
            <w:noWrap w:val="0"/>
            <w:vAlign w:val="center"/>
          </w:tcPr>
          <w:p w14:paraId="20B1EDB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eastAsia="zh-CN"/>
              </w:rPr>
            </w:pPr>
            <w:r>
              <w:rPr>
                <w:rFonts w:hint="eastAsia"/>
                <w:sz w:val="21"/>
                <w:szCs w:val="21"/>
                <w:lang w:val="en-US" w:eastAsia="zh-CN"/>
              </w:rPr>
              <w:t>1.449</w:t>
            </w:r>
          </w:p>
        </w:tc>
      </w:tr>
      <w:tr w14:paraId="5162601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47" w:type="pct"/>
            <w:vMerge w:val="continue"/>
            <w:tcBorders>
              <w:tl2br w:val="nil"/>
              <w:tr2bl w:val="nil"/>
            </w:tcBorders>
            <w:noWrap w:val="0"/>
            <w:vAlign w:val="center"/>
          </w:tcPr>
          <w:p w14:paraId="1173F46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eastAsia="zh-CN"/>
              </w:rPr>
            </w:pPr>
          </w:p>
        </w:tc>
        <w:tc>
          <w:tcPr>
            <w:tcW w:w="612" w:type="pct"/>
            <w:vMerge w:val="restart"/>
            <w:tcBorders>
              <w:tl2br w:val="nil"/>
              <w:tr2bl w:val="nil"/>
            </w:tcBorders>
            <w:noWrap w:val="0"/>
            <w:vAlign w:val="center"/>
          </w:tcPr>
          <w:p w14:paraId="54A1AEA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eastAsia="zh-CN"/>
              </w:rPr>
            </w:pPr>
            <w:r>
              <w:rPr>
                <w:rFonts w:hint="eastAsia"/>
                <w:sz w:val="21"/>
                <w:szCs w:val="21"/>
                <w:lang w:val="en-US" w:eastAsia="zh-CN"/>
              </w:rPr>
              <w:t>临时道路</w:t>
            </w:r>
          </w:p>
        </w:tc>
        <w:tc>
          <w:tcPr>
            <w:tcW w:w="1732" w:type="pct"/>
            <w:tcBorders>
              <w:tl2br w:val="nil"/>
              <w:tr2bl w:val="nil"/>
            </w:tcBorders>
            <w:noWrap w:val="0"/>
            <w:vAlign w:val="center"/>
          </w:tcPr>
          <w:p w14:paraId="0126781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eastAsia="zh-CN"/>
              </w:rPr>
            </w:pPr>
            <w:r>
              <w:rPr>
                <w:rFonts w:hint="eastAsia"/>
                <w:sz w:val="21"/>
                <w:szCs w:val="21"/>
                <w:lang w:val="en-US" w:eastAsia="zh-CN"/>
              </w:rPr>
              <w:t>乔木林</w:t>
            </w:r>
          </w:p>
        </w:tc>
        <w:tc>
          <w:tcPr>
            <w:tcW w:w="782" w:type="pct"/>
            <w:tcBorders>
              <w:tl2br w:val="nil"/>
              <w:tr2bl w:val="nil"/>
            </w:tcBorders>
            <w:noWrap w:val="0"/>
            <w:vAlign w:val="center"/>
          </w:tcPr>
          <w:p w14:paraId="1BE7548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eastAsia="zh-CN"/>
              </w:rPr>
            </w:pPr>
            <w:r>
              <w:rPr>
                <w:rFonts w:hint="eastAsia"/>
                <w:sz w:val="21"/>
                <w:szCs w:val="21"/>
                <w:lang w:val="en-US" w:eastAsia="zh-CN"/>
              </w:rPr>
              <w:t>28.62</w:t>
            </w:r>
          </w:p>
        </w:tc>
        <w:tc>
          <w:tcPr>
            <w:tcW w:w="836" w:type="pct"/>
            <w:tcBorders>
              <w:tl2br w:val="nil"/>
              <w:tr2bl w:val="nil"/>
            </w:tcBorders>
            <w:noWrap w:val="0"/>
            <w:vAlign w:val="center"/>
          </w:tcPr>
          <w:p w14:paraId="6A4B646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eastAsia="zh-CN"/>
              </w:rPr>
            </w:pPr>
            <w:r>
              <w:rPr>
                <w:rFonts w:hint="eastAsia"/>
                <w:sz w:val="21"/>
                <w:szCs w:val="21"/>
                <w:lang w:val="en-US" w:eastAsia="zh-CN"/>
              </w:rPr>
              <w:t>0.5070</w:t>
            </w:r>
          </w:p>
        </w:tc>
        <w:tc>
          <w:tcPr>
            <w:tcW w:w="689" w:type="pct"/>
            <w:tcBorders>
              <w:tl2br w:val="nil"/>
              <w:tr2bl w:val="nil"/>
            </w:tcBorders>
            <w:noWrap w:val="0"/>
            <w:vAlign w:val="center"/>
          </w:tcPr>
          <w:p w14:paraId="14DC8E2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eastAsia="zh-CN"/>
              </w:rPr>
            </w:pPr>
            <w:r>
              <w:rPr>
                <w:rFonts w:hint="eastAsia"/>
                <w:sz w:val="21"/>
                <w:szCs w:val="21"/>
                <w:lang w:val="en-US" w:eastAsia="zh-CN"/>
              </w:rPr>
              <w:t>14.510</w:t>
            </w:r>
          </w:p>
        </w:tc>
      </w:tr>
      <w:tr w14:paraId="5C9E871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47" w:type="pct"/>
            <w:vMerge w:val="continue"/>
            <w:tcBorders>
              <w:tl2br w:val="nil"/>
              <w:tr2bl w:val="nil"/>
            </w:tcBorders>
            <w:noWrap w:val="0"/>
            <w:vAlign w:val="center"/>
          </w:tcPr>
          <w:p w14:paraId="3635AFB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eastAsia="zh-CN"/>
              </w:rPr>
            </w:pPr>
          </w:p>
        </w:tc>
        <w:tc>
          <w:tcPr>
            <w:tcW w:w="612" w:type="pct"/>
            <w:vMerge w:val="continue"/>
            <w:tcBorders>
              <w:tl2br w:val="nil"/>
              <w:tr2bl w:val="nil"/>
            </w:tcBorders>
            <w:noWrap w:val="0"/>
            <w:vAlign w:val="center"/>
          </w:tcPr>
          <w:p w14:paraId="742B971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eastAsia="zh-CN"/>
              </w:rPr>
            </w:pPr>
          </w:p>
        </w:tc>
        <w:tc>
          <w:tcPr>
            <w:tcW w:w="1732" w:type="pct"/>
            <w:tcBorders>
              <w:tl2br w:val="nil"/>
              <w:tr2bl w:val="nil"/>
            </w:tcBorders>
            <w:noWrap w:val="0"/>
            <w:vAlign w:val="center"/>
          </w:tcPr>
          <w:p w14:paraId="60B6ED2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eastAsia="zh-CN"/>
              </w:rPr>
            </w:pPr>
            <w:r>
              <w:rPr>
                <w:rFonts w:hint="eastAsia"/>
                <w:sz w:val="21"/>
                <w:szCs w:val="21"/>
                <w:lang w:val="en-US" w:eastAsia="zh-CN"/>
              </w:rPr>
              <w:t>农业植被</w:t>
            </w:r>
          </w:p>
        </w:tc>
        <w:tc>
          <w:tcPr>
            <w:tcW w:w="782" w:type="pct"/>
            <w:tcBorders>
              <w:tl2br w:val="nil"/>
              <w:tr2bl w:val="nil"/>
            </w:tcBorders>
            <w:noWrap w:val="0"/>
            <w:vAlign w:val="center"/>
          </w:tcPr>
          <w:p w14:paraId="4661F8E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eastAsia="zh-CN"/>
              </w:rPr>
            </w:pPr>
            <w:r>
              <w:rPr>
                <w:rFonts w:hint="eastAsia"/>
                <w:sz w:val="21"/>
                <w:szCs w:val="21"/>
                <w:lang w:val="en-US" w:eastAsia="zh-CN"/>
              </w:rPr>
              <w:t>6</w:t>
            </w:r>
          </w:p>
        </w:tc>
        <w:tc>
          <w:tcPr>
            <w:tcW w:w="836" w:type="pct"/>
            <w:tcBorders>
              <w:tl2br w:val="nil"/>
              <w:tr2bl w:val="nil"/>
            </w:tcBorders>
            <w:noWrap w:val="0"/>
            <w:vAlign w:val="center"/>
          </w:tcPr>
          <w:p w14:paraId="152BB65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eastAsia="zh-CN"/>
              </w:rPr>
            </w:pPr>
            <w:r>
              <w:rPr>
                <w:rFonts w:hint="eastAsia"/>
                <w:sz w:val="21"/>
                <w:szCs w:val="21"/>
                <w:lang w:val="en-US" w:eastAsia="zh-CN"/>
              </w:rPr>
              <w:t>0.0029</w:t>
            </w:r>
          </w:p>
        </w:tc>
        <w:tc>
          <w:tcPr>
            <w:tcW w:w="689" w:type="pct"/>
            <w:tcBorders>
              <w:tl2br w:val="nil"/>
              <w:tr2bl w:val="nil"/>
            </w:tcBorders>
            <w:noWrap w:val="0"/>
            <w:vAlign w:val="center"/>
          </w:tcPr>
          <w:p w14:paraId="745EB04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eastAsia="zh-CN"/>
              </w:rPr>
            </w:pPr>
            <w:r>
              <w:rPr>
                <w:rFonts w:hint="eastAsia"/>
                <w:sz w:val="21"/>
                <w:szCs w:val="21"/>
                <w:lang w:val="en-US" w:eastAsia="zh-CN"/>
              </w:rPr>
              <w:t>0.017</w:t>
            </w:r>
          </w:p>
        </w:tc>
      </w:tr>
      <w:tr w14:paraId="512C828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47" w:type="pct"/>
            <w:vMerge w:val="continue"/>
            <w:tcBorders>
              <w:tl2br w:val="nil"/>
              <w:tr2bl w:val="nil"/>
            </w:tcBorders>
            <w:noWrap w:val="0"/>
            <w:vAlign w:val="center"/>
          </w:tcPr>
          <w:p w14:paraId="3FE8D13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eastAsia="zh-CN"/>
              </w:rPr>
            </w:pPr>
          </w:p>
        </w:tc>
        <w:tc>
          <w:tcPr>
            <w:tcW w:w="612" w:type="pct"/>
            <w:vMerge w:val="continue"/>
            <w:tcBorders>
              <w:tl2br w:val="nil"/>
              <w:tr2bl w:val="nil"/>
            </w:tcBorders>
            <w:noWrap w:val="0"/>
            <w:vAlign w:val="center"/>
          </w:tcPr>
          <w:p w14:paraId="7C867E9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eastAsia="zh-CN"/>
              </w:rPr>
            </w:pPr>
          </w:p>
        </w:tc>
        <w:tc>
          <w:tcPr>
            <w:tcW w:w="1732" w:type="pct"/>
            <w:tcBorders>
              <w:tl2br w:val="nil"/>
              <w:tr2bl w:val="nil"/>
            </w:tcBorders>
            <w:noWrap w:val="0"/>
            <w:vAlign w:val="center"/>
          </w:tcPr>
          <w:p w14:paraId="6E6E80C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eastAsia="zh-CN"/>
              </w:rPr>
            </w:pPr>
            <w:r>
              <w:rPr>
                <w:rFonts w:hint="eastAsia"/>
                <w:sz w:val="21"/>
                <w:szCs w:val="21"/>
                <w:lang w:val="en-US" w:eastAsia="zh-CN"/>
              </w:rPr>
              <w:t>灌丛/灌草丛</w:t>
            </w:r>
          </w:p>
        </w:tc>
        <w:tc>
          <w:tcPr>
            <w:tcW w:w="782" w:type="pct"/>
            <w:tcBorders>
              <w:tl2br w:val="nil"/>
              <w:tr2bl w:val="nil"/>
            </w:tcBorders>
            <w:noWrap w:val="0"/>
            <w:vAlign w:val="center"/>
          </w:tcPr>
          <w:p w14:paraId="61DFE88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eastAsia="zh-CN"/>
              </w:rPr>
            </w:pPr>
            <w:r>
              <w:rPr>
                <w:rFonts w:hint="eastAsia"/>
                <w:sz w:val="21"/>
                <w:szCs w:val="21"/>
                <w:lang w:val="en-US" w:eastAsia="zh-CN"/>
              </w:rPr>
              <w:t>12.8</w:t>
            </w:r>
          </w:p>
        </w:tc>
        <w:tc>
          <w:tcPr>
            <w:tcW w:w="836" w:type="pct"/>
            <w:tcBorders>
              <w:tl2br w:val="nil"/>
              <w:tr2bl w:val="nil"/>
            </w:tcBorders>
            <w:noWrap w:val="0"/>
            <w:vAlign w:val="center"/>
          </w:tcPr>
          <w:p w14:paraId="74104B8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eastAsia="zh-CN"/>
              </w:rPr>
            </w:pPr>
            <w:r>
              <w:rPr>
                <w:rFonts w:hint="eastAsia"/>
                <w:sz w:val="21"/>
                <w:szCs w:val="21"/>
                <w:lang w:val="en-US" w:eastAsia="zh-CN"/>
              </w:rPr>
              <w:t>0.0003</w:t>
            </w:r>
          </w:p>
        </w:tc>
        <w:tc>
          <w:tcPr>
            <w:tcW w:w="689" w:type="pct"/>
            <w:tcBorders>
              <w:tl2br w:val="nil"/>
              <w:tr2bl w:val="nil"/>
            </w:tcBorders>
            <w:noWrap w:val="0"/>
            <w:vAlign w:val="center"/>
          </w:tcPr>
          <w:p w14:paraId="6464577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eastAsia="zh-CN"/>
              </w:rPr>
            </w:pPr>
            <w:r>
              <w:rPr>
                <w:rFonts w:hint="eastAsia"/>
                <w:sz w:val="21"/>
                <w:szCs w:val="21"/>
                <w:lang w:val="en-US" w:eastAsia="zh-CN"/>
              </w:rPr>
              <w:t>0.004</w:t>
            </w:r>
          </w:p>
        </w:tc>
      </w:tr>
      <w:tr w14:paraId="5C5BBD0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47" w:type="pct"/>
            <w:vMerge w:val="continue"/>
            <w:tcBorders>
              <w:tl2br w:val="nil"/>
              <w:tr2bl w:val="nil"/>
            </w:tcBorders>
            <w:noWrap w:val="0"/>
            <w:vAlign w:val="center"/>
          </w:tcPr>
          <w:p w14:paraId="5B6B7AE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eastAsia="zh-CN"/>
              </w:rPr>
            </w:pPr>
          </w:p>
        </w:tc>
        <w:tc>
          <w:tcPr>
            <w:tcW w:w="3963" w:type="pct"/>
            <w:gridSpan w:val="4"/>
            <w:tcBorders>
              <w:tl2br w:val="nil"/>
              <w:tr2bl w:val="nil"/>
            </w:tcBorders>
            <w:noWrap w:val="0"/>
            <w:vAlign w:val="center"/>
          </w:tcPr>
          <w:p w14:paraId="4A9E7A9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eastAsia="zh-CN"/>
              </w:rPr>
            </w:pPr>
            <w:r>
              <w:rPr>
                <w:rFonts w:hint="eastAsia"/>
                <w:sz w:val="21"/>
                <w:szCs w:val="21"/>
                <w:lang w:val="en-US" w:eastAsia="zh-CN"/>
              </w:rPr>
              <w:t>小计</w:t>
            </w:r>
          </w:p>
        </w:tc>
        <w:tc>
          <w:tcPr>
            <w:tcW w:w="689" w:type="pct"/>
            <w:tcBorders>
              <w:tl2br w:val="nil"/>
              <w:tr2bl w:val="nil"/>
            </w:tcBorders>
            <w:noWrap w:val="0"/>
            <w:vAlign w:val="center"/>
          </w:tcPr>
          <w:p w14:paraId="791F8B7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eastAsia="zh-CN"/>
              </w:rPr>
            </w:pPr>
            <w:r>
              <w:rPr>
                <w:rFonts w:hint="eastAsia"/>
                <w:sz w:val="21"/>
                <w:szCs w:val="21"/>
                <w:lang w:val="en-US" w:eastAsia="zh-CN"/>
              </w:rPr>
              <w:t>49.025</w:t>
            </w:r>
          </w:p>
        </w:tc>
      </w:tr>
      <w:tr w14:paraId="6AD7FF6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0" w:type="pct"/>
            <w:gridSpan w:val="5"/>
            <w:tcBorders>
              <w:tl2br w:val="nil"/>
              <w:tr2bl w:val="nil"/>
            </w:tcBorders>
            <w:noWrap w:val="0"/>
            <w:vAlign w:val="center"/>
          </w:tcPr>
          <w:p w14:paraId="2125E63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eastAsia="zh-CN"/>
              </w:rPr>
            </w:pPr>
            <w:r>
              <w:rPr>
                <w:rFonts w:hint="eastAsia"/>
                <w:sz w:val="21"/>
                <w:szCs w:val="21"/>
                <w:lang w:val="en-US" w:eastAsia="zh-CN"/>
              </w:rPr>
              <w:t>合计</w:t>
            </w:r>
          </w:p>
        </w:tc>
        <w:tc>
          <w:tcPr>
            <w:tcW w:w="689" w:type="pct"/>
            <w:tcBorders>
              <w:tl2br w:val="nil"/>
              <w:tr2bl w:val="nil"/>
            </w:tcBorders>
            <w:noWrap w:val="0"/>
            <w:vAlign w:val="center"/>
          </w:tcPr>
          <w:p w14:paraId="731C14F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eastAsia="zh-CN"/>
              </w:rPr>
            </w:pPr>
            <w:r>
              <w:rPr>
                <w:rFonts w:hint="eastAsia"/>
                <w:sz w:val="21"/>
                <w:szCs w:val="21"/>
                <w:lang w:val="en-US" w:eastAsia="zh-CN"/>
              </w:rPr>
              <w:t>64.480</w:t>
            </w:r>
          </w:p>
        </w:tc>
      </w:tr>
    </w:tbl>
    <w:p w14:paraId="48369427">
      <w:pPr>
        <w:bidi w:val="0"/>
        <w:rPr>
          <w:rFonts w:hint="eastAsia"/>
          <w:lang w:val="en-US" w:eastAsia="zh-CN"/>
        </w:rPr>
      </w:pPr>
      <w:r>
        <w:rPr>
          <w:rFonts w:hint="eastAsia"/>
          <w:lang w:val="en-US" w:eastAsia="zh-CN"/>
        </w:rPr>
        <w:t>由表5.1-5可以看出，拟建项目永久占地和临时占地对植物生物量损失分别为15.455t和49.025t，临时占地主要集中在废渣区，其造成的生物量损失为25.787t，占临时占地生物量总损失的52.6%，远大于其余临时设施总占地对生物量造成的损失。</w:t>
      </w:r>
    </w:p>
    <w:p w14:paraId="67496CE8">
      <w:pPr>
        <w:bidi w:val="0"/>
        <w:rPr>
          <w:rFonts w:hint="eastAsia"/>
          <w:lang w:val="en-US" w:eastAsia="zh-CN"/>
        </w:rPr>
      </w:pPr>
      <w:r>
        <w:rPr>
          <w:rFonts w:hint="eastAsia"/>
          <w:lang w:val="en-US" w:eastAsia="zh-CN"/>
        </w:rPr>
        <w:t>项目占地虽会对植物生物量造成一定的影响，但项目占地损失的生物量相对于整个评价区和区域生物量是非常小的，项目占地范围的植物也均为常见种，施工结束后将对临时占地进行植被恢复，在道路两旁增加绿化以及废渣区后期进行生态恢复以补偿占地造成的生物量损失，因此项目永久和临时占地对植物产生的影响较小，在可接受范围内。</w:t>
      </w:r>
    </w:p>
    <w:p w14:paraId="23A54C9F">
      <w:pPr>
        <w:pStyle w:val="10"/>
        <w:numPr>
          <w:ilvl w:val="3"/>
          <w:numId w:val="1"/>
        </w:numPr>
        <w:bidi w:val="0"/>
        <w:ind w:left="850" w:leftChars="0" w:hanging="850" w:firstLineChars="0"/>
        <w:rPr>
          <w:rFonts w:hint="eastAsia"/>
          <w:lang w:val="en-US" w:eastAsia="zh-CN"/>
        </w:rPr>
      </w:pPr>
      <w:r>
        <w:rPr>
          <w:rFonts w:hint="eastAsia"/>
          <w:lang w:val="en-US" w:eastAsia="zh-CN"/>
        </w:rPr>
        <w:t>对土壤的影响</w:t>
      </w:r>
    </w:p>
    <w:p w14:paraId="7BC53470">
      <w:pPr>
        <w:bidi w:val="0"/>
        <w:rPr>
          <w:rFonts w:hint="eastAsia"/>
          <w:highlight w:val="none"/>
          <w:lang w:val="en-US" w:eastAsia="zh-CN"/>
        </w:rPr>
      </w:pPr>
      <w:r>
        <w:rPr>
          <w:rFonts w:hint="eastAsia"/>
          <w:highlight w:val="none"/>
          <w:lang w:val="en-US" w:eastAsia="zh-CN"/>
        </w:rPr>
        <w:t>本项目属于重金属污染治理项目，对清理后的废渣堆终场覆盖与生态恢复，有效的解决了历史遗留环境污染问题。通过对废渣进行集中填埋和风险管控，对原废渣堆污染土壤进行有效隔离防渗处置，能有效控制污染源，解决废渣裸露状态，避免废渣中砷、镉、铅等重金属经长年日晒雨淋而转移进入下游地表水体或土壤，避免造成污染扩散，降低重金属迁移风险。</w:t>
      </w:r>
    </w:p>
    <w:p w14:paraId="71D856FD">
      <w:pPr>
        <w:bidi w:val="0"/>
        <w:rPr>
          <w:rFonts w:hint="eastAsia"/>
          <w:highlight w:val="none"/>
          <w:lang w:val="en-US" w:eastAsia="zh-CN"/>
        </w:rPr>
      </w:pPr>
      <w:r>
        <w:rPr>
          <w:rFonts w:hint="eastAsia"/>
          <w:highlight w:val="none"/>
          <w:lang w:val="en-US" w:eastAsia="zh-CN"/>
        </w:rPr>
        <w:t>施工期由于机械的辗压，区域的土壤将被严重压实，区域的表土将被铲去，另一些区域的表土将可能被填埋，从而使施工完成后的场地内土壤表土层缺乏土壤的肥力，减缓植物的生长和植被恢复。对于区域生态系统来说，由于工程占地面积相对较小，其对生态系统的这种影响的范围是局域的，其范围一般局限在施工区内部和周边500m内的生态系统，而且随着离施工区距离的增加，这种影响将逐渐降低。</w:t>
      </w:r>
    </w:p>
    <w:p w14:paraId="0039C9D5">
      <w:pPr>
        <w:pStyle w:val="10"/>
        <w:numPr>
          <w:ilvl w:val="3"/>
          <w:numId w:val="1"/>
        </w:numPr>
        <w:bidi w:val="0"/>
        <w:ind w:left="850" w:leftChars="0" w:hanging="850" w:firstLineChars="0"/>
        <w:rPr>
          <w:rFonts w:hint="eastAsia"/>
          <w:lang w:val="en-US" w:eastAsia="zh-CN"/>
        </w:rPr>
      </w:pPr>
      <w:r>
        <w:rPr>
          <w:rFonts w:hint="eastAsia"/>
          <w:lang w:val="en-US" w:eastAsia="zh-CN"/>
        </w:rPr>
        <w:t>对陆生动物及其栖息地的影响</w:t>
      </w:r>
    </w:p>
    <w:p w14:paraId="29F8EAC5">
      <w:pPr>
        <w:bidi w:val="0"/>
        <w:rPr>
          <w:rFonts w:hint="eastAsia"/>
          <w:highlight w:val="none"/>
          <w:lang w:val="en-US" w:eastAsia="zh-CN"/>
        </w:rPr>
      </w:pPr>
      <w:r>
        <w:rPr>
          <w:rFonts w:hint="eastAsia"/>
          <w:highlight w:val="none"/>
          <w:lang w:val="en-US" w:eastAsia="zh-CN"/>
        </w:rPr>
        <w:t>项目所处区域的陆生动物较少，野生动物更少，均为区域常见物种，项目的实施不会造成其种群的减少或灭绝。</w:t>
      </w:r>
    </w:p>
    <w:p w14:paraId="029FD15B">
      <w:pPr>
        <w:bidi w:val="0"/>
        <w:rPr>
          <w:rFonts w:hint="eastAsia"/>
          <w:highlight w:val="none"/>
          <w:lang w:val="en-US" w:eastAsia="zh-CN"/>
        </w:rPr>
      </w:pPr>
      <w:r>
        <w:rPr>
          <w:rFonts w:hint="eastAsia"/>
          <w:highlight w:val="none"/>
          <w:lang w:val="en-US" w:eastAsia="zh-CN"/>
        </w:rPr>
        <w:t>施工作业机械发出的噪声、产生的振动以及施工人员的活动会使建设地域及其附近的陆地动物暂时迁移到离建设地较远的地方。因为施工区域大部分为山地，没有指定的陆生动物保护区，生物多样性水平较低，故本工程的建设对它们的影响不大。</w:t>
      </w:r>
    </w:p>
    <w:p w14:paraId="5B8B7C41">
      <w:pPr>
        <w:bidi w:val="0"/>
        <w:rPr>
          <w:rFonts w:hint="eastAsia"/>
          <w:highlight w:val="none"/>
          <w:lang w:val="en-US" w:eastAsia="zh-CN"/>
        </w:rPr>
      </w:pPr>
      <w:r>
        <w:rPr>
          <w:rFonts w:hint="eastAsia"/>
          <w:highlight w:val="none"/>
          <w:lang w:val="en-US" w:eastAsia="zh-CN"/>
        </w:rPr>
        <w:t>工程不会改变当地的小气候如水、气、阳光等环境，施工过程中会对区域内动物有一定影响，将导致部分动物会暂时迁走，但对动物的栖息地影响也是暂时性的，治理工程后不会减少当地动物物种数量，相反，随着项目实施对环境的改善进而使物种数量将有可能明显增加。</w:t>
      </w:r>
    </w:p>
    <w:p w14:paraId="5EE001BF">
      <w:pPr>
        <w:bidi w:val="0"/>
        <w:rPr>
          <w:rFonts w:hint="eastAsia"/>
          <w:highlight w:val="none"/>
          <w:lang w:val="en-US" w:eastAsia="zh-CN"/>
        </w:rPr>
      </w:pPr>
      <w:r>
        <w:rPr>
          <w:rFonts w:hint="eastAsia"/>
          <w:highlight w:val="none"/>
          <w:lang w:val="en-US" w:eastAsia="zh-CN"/>
        </w:rPr>
        <w:t>在工程施工区影响范围内，未发现珍稀野生动物的活动踪迹。</w:t>
      </w:r>
    </w:p>
    <w:p w14:paraId="2D8786D4">
      <w:pPr>
        <w:pStyle w:val="10"/>
        <w:numPr>
          <w:ilvl w:val="3"/>
          <w:numId w:val="1"/>
        </w:numPr>
        <w:bidi w:val="0"/>
        <w:ind w:left="850" w:leftChars="0" w:hanging="850" w:firstLineChars="0"/>
        <w:rPr>
          <w:rFonts w:hint="eastAsia"/>
          <w:lang w:val="en-US" w:eastAsia="zh-CN"/>
        </w:rPr>
      </w:pPr>
      <w:r>
        <w:rPr>
          <w:rFonts w:hint="eastAsia"/>
          <w:lang w:val="en-US" w:eastAsia="zh-CN"/>
        </w:rPr>
        <w:t>对水土流失影响</w:t>
      </w:r>
    </w:p>
    <w:p w14:paraId="339C3224">
      <w:pPr>
        <w:bidi w:val="0"/>
        <w:rPr>
          <w:rFonts w:hint="eastAsia"/>
          <w:highlight w:val="none"/>
          <w:lang w:val="en-US" w:eastAsia="zh-CN"/>
        </w:rPr>
      </w:pPr>
      <w:r>
        <w:rPr>
          <w:rFonts w:hint="eastAsia"/>
          <w:highlight w:val="none"/>
          <w:lang w:val="en-US" w:eastAsia="zh-CN"/>
        </w:rPr>
        <w:t>根据《全国水土保持规划国家级水土流失重点预防区和重点治理区复核划分成果》的通知（办水保</w:t>
      </w:r>
      <w:r>
        <w:rPr>
          <w:rFonts w:hint="eastAsia" w:ascii="宋体" w:hAnsi="宋体" w:eastAsia="宋体" w:cs="宋体"/>
          <w:highlight w:val="none"/>
          <w:lang w:val="en-US" w:eastAsia="zh-CN"/>
        </w:rPr>
        <w:t>〔</w:t>
      </w:r>
      <w:r>
        <w:rPr>
          <w:rFonts w:hint="eastAsia"/>
          <w:highlight w:val="none"/>
          <w:lang w:val="en-US" w:eastAsia="zh-CN"/>
        </w:rPr>
        <w:t>2013</w:t>
      </w:r>
      <w:r>
        <w:rPr>
          <w:rFonts w:hint="eastAsia" w:ascii="宋体" w:hAnsi="宋体" w:eastAsia="宋体" w:cs="宋体"/>
          <w:highlight w:val="none"/>
          <w:lang w:val="en-US" w:eastAsia="zh-CN"/>
        </w:rPr>
        <w:t>〕</w:t>
      </w:r>
      <w:r>
        <w:rPr>
          <w:rFonts w:hint="eastAsia"/>
          <w:highlight w:val="none"/>
          <w:lang w:val="en-US" w:eastAsia="zh-CN"/>
        </w:rPr>
        <w:t>188号）有关规定，项目所在地不属于国家级水土流失重点治理区和重点预防区。根据《湖南省水利厅关于湖南省水土流失重点预防区和重点治理区划定公告》（2017年1月22日），项目所在地不属于省级水土流失重点预防区和重点治理区。</w:t>
      </w:r>
    </w:p>
    <w:p w14:paraId="226B4135">
      <w:pPr>
        <w:bidi w:val="0"/>
        <w:rPr>
          <w:rFonts w:hint="eastAsia"/>
          <w:highlight w:val="none"/>
          <w:lang w:val="en-US" w:eastAsia="zh-CN"/>
        </w:rPr>
      </w:pPr>
      <w:r>
        <w:rPr>
          <w:rFonts w:hint="eastAsia"/>
          <w:highlight w:val="none"/>
          <w:lang w:val="en-US" w:eastAsia="zh-CN"/>
        </w:rPr>
        <w:t>（1）水土保持现状</w:t>
      </w:r>
    </w:p>
    <w:p w14:paraId="3090FEBE">
      <w:pPr>
        <w:bidi w:val="0"/>
        <w:rPr>
          <w:rFonts w:hint="eastAsia"/>
          <w:highlight w:val="none"/>
          <w:lang w:val="en-US" w:eastAsia="zh-CN"/>
        </w:rPr>
      </w:pPr>
      <w:r>
        <w:rPr>
          <w:rFonts w:hint="eastAsia"/>
          <w:highlight w:val="none"/>
          <w:lang w:val="en-US" w:eastAsia="zh-CN"/>
        </w:rPr>
        <w:t>根据《土壤侵蚀分类分级标准》（SL190-2007）中土壤侵蚀强度分类分级标准，在全国土壤侵蚀类型区划中，岳阳市土壤容许流失量为500t/km</w:t>
      </w:r>
      <w:r>
        <w:rPr>
          <w:rFonts w:hint="eastAsia"/>
          <w:highlight w:val="none"/>
          <w:vertAlign w:val="superscript"/>
          <w:lang w:val="en-US" w:eastAsia="zh-CN"/>
        </w:rPr>
        <w:t>2</w:t>
      </w:r>
      <w:r>
        <w:rPr>
          <w:rFonts w:hint="default" w:ascii="Times New Roman" w:hAnsi="Times New Roman" w:cs="Times New Roman"/>
          <w:highlight w:val="none"/>
          <w:lang w:val="en-US" w:eastAsia="zh-CN"/>
        </w:rPr>
        <w:t>·</w:t>
      </w:r>
      <w:r>
        <w:rPr>
          <w:rFonts w:hint="eastAsia"/>
          <w:highlight w:val="none"/>
          <w:lang w:val="en-US" w:eastAsia="zh-CN"/>
        </w:rPr>
        <w:t>a。该区内水土流失以水力侵蚀为主兼有重力侵蚀。水力侵蚀以面蚀和沟蚀为主。面蚀多发生在5度以上的坡耕地、疏山地和绝大部分经济山地；沟蚀一般发生在15度以上的坡耕地、幼山地和荒山荒坡及无灌草山地；重力侵蚀多发生在丘岗坡脚切割深且上游面覆盖较差的地方。</w:t>
      </w:r>
    </w:p>
    <w:p w14:paraId="5E7B2F69">
      <w:pPr>
        <w:bidi w:val="0"/>
        <w:rPr>
          <w:rFonts w:hint="eastAsia"/>
          <w:highlight w:val="none"/>
          <w:lang w:val="en-US" w:eastAsia="zh-CN"/>
        </w:rPr>
      </w:pPr>
      <w:r>
        <w:rPr>
          <w:rFonts w:hint="eastAsia"/>
          <w:highlight w:val="none"/>
          <w:lang w:val="en-US" w:eastAsia="zh-CN"/>
        </w:rPr>
        <w:t>（2）水土流失影响预测</w:t>
      </w:r>
    </w:p>
    <w:p w14:paraId="124EB6D8">
      <w:pPr>
        <w:bidi w:val="0"/>
        <w:rPr>
          <w:rFonts w:hint="eastAsia"/>
          <w:highlight w:val="none"/>
          <w:lang w:val="en-US" w:eastAsia="zh-CN"/>
        </w:rPr>
      </w:pPr>
      <w:r>
        <w:rPr>
          <w:rFonts w:hint="eastAsia"/>
          <w:highlight w:val="none"/>
          <w:lang w:val="en-US" w:eastAsia="zh-CN"/>
        </w:rPr>
        <w:t>本项目管理期生态功能基本恢复，水土流失恢复到背景值。工程水土流失主要在工程施工阶段，因此本环评水土流失量只考虑施工期。</w:t>
      </w:r>
    </w:p>
    <w:p w14:paraId="3489310B">
      <w:pPr>
        <w:bidi w:val="0"/>
        <w:rPr>
          <w:rFonts w:hint="eastAsia"/>
          <w:highlight w:val="none"/>
          <w:lang w:val="en-US" w:eastAsia="zh-CN"/>
        </w:rPr>
      </w:pPr>
      <w:r>
        <w:rPr>
          <w:rFonts w:hint="eastAsia"/>
          <w:highlight w:val="none"/>
          <w:lang w:val="en-US" w:eastAsia="zh-CN"/>
        </w:rPr>
        <w:t>工程的实施将会扰动原有地表产生裸露作业面，产生边坡；建材、土方的临时堆放等，当大雨或暴雨天气时，在地表径流的冲刷作用下易产生水土流失。</w:t>
      </w:r>
    </w:p>
    <w:p w14:paraId="775B0C1B">
      <w:pPr>
        <w:bidi w:val="0"/>
        <w:rPr>
          <w:rFonts w:hint="eastAsia"/>
          <w:highlight w:val="none"/>
          <w:lang w:val="en-US" w:eastAsia="zh-CN"/>
        </w:rPr>
      </w:pPr>
      <w:r>
        <w:rPr>
          <w:rFonts w:hint="eastAsia"/>
          <w:highlight w:val="none"/>
          <w:lang w:val="en-US" w:eastAsia="zh-CN"/>
        </w:rPr>
        <w:t>本工程施工过程中土石方开挖、清理草皮、堆料占地等会破坏原地貌的水土保持功能，松动土层，扰动地表径流系统，降低了土壤抗蚀性、抗冲性。本工程新增水土流失量采用如下公式计算：</w:t>
      </w:r>
    </w:p>
    <w:p w14:paraId="6881C722">
      <w:pPr>
        <w:bidi w:val="0"/>
        <w:ind w:left="0" w:leftChars="0" w:firstLine="0" w:firstLineChars="0"/>
        <w:jc w:val="center"/>
        <w:rPr>
          <w:rFonts w:hint="eastAsia"/>
          <w:highlight w:val="none"/>
          <w:lang w:val="en-US" w:eastAsia="zh-CN"/>
        </w:rPr>
      </w:pPr>
      <w:r>
        <w:rPr>
          <w:rFonts w:hint="eastAsia"/>
          <w:highlight w:val="none"/>
          <w:lang w:val="en-US" w:eastAsia="zh-CN"/>
        </w:rPr>
        <w:drawing>
          <wp:inline distT="0" distB="0" distL="114300" distR="114300">
            <wp:extent cx="1772285" cy="476250"/>
            <wp:effectExtent l="0" t="0" r="0" b="0"/>
            <wp:docPr id="43"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20"/>
                    <pic:cNvPicPr>
                      <a:picLocks noChangeAspect="1"/>
                    </pic:cNvPicPr>
                  </pic:nvPicPr>
                  <pic:blipFill>
                    <a:blip r:embed="rId73"/>
                    <a:stretch>
                      <a:fillRect/>
                    </a:stretch>
                  </pic:blipFill>
                  <pic:spPr>
                    <a:xfrm>
                      <a:off x="0" y="0"/>
                      <a:ext cx="1772285" cy="476250"/>
                    </a:xfrm>
                    <a:prstGeom prst="rect">
                      <a:avLst/>
                    </a:prstGeom>
                    <a:noFill/>
                    <a:ln>
                      <a:noFill/>
                    </a:ln>
                  </pic:spPr>
                </pic:pic>
              </a:graphicData>
            </a:graphic>
          </wp:inline>
        </w:drawing>
      </w:r>
    </w:p>
    <w:p w14:paraId="4403C635">
      <w:pPr>
        <w:bidi w:val="0"/>
        <w:ind w:left="0" w:leftChars="0" w:firstLine="0" w:firstLineChars="0"/>
        <w:jc w:val="center"/>
        <w:rPr>
          <w:rFonts w:hint="eastAsia"/>
          <w:highlight w:val="none"/>
          <w:lang w:val="en-US" w:eastAsia="zh-CN"/>
        </w:rPr>
      </w:pPr>
      <w:r>
        <w:rPr>
          <w:rFonts w:hint="eastAsia"/>
          <w:highlight w:val="none"/>
          <w:lang w:val="en-US" w:eastAsia="zh-CN"/>
        </w:rPr>
        <w:drawing>
          <wp:inline distT="0" distB="0" distL="114300" distR="114300">
            <wp:extent cx="1772285" cy="438150"/>
            <wp:effectExtent l="0" t="0" r="0" b="0"/>
            <wp:docPr id="44"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21"/>
                    <pic:cNvPicPr>
                      <a:picLocks noChangeAspect="1"/>
                    </pic:cNvPicPr>
                  </pic:nvPicPr>
                  <pic:blipFill>
                    <a:blip r:embed="rId74"/>
                    <a:stretch>
                      <a:fillRect/>
                    </a:stretch>
                  </pic:blipFill>
                  <pic:spPr>
                    <a:xfrm>
                      <a:off x="0" y="0"/>
                      <a:ext cx="1772285" cy="438150"/>
                    </a:xfrm>
                    <a:prstGeom prst="rect">
                      <a:avLst/>
                    </a:prstGeom>
                    <a:noFill/>
                    <a:ln>
                      <a:noFill/>
                    </a:ln>
                  </pic:spPr>
                </pic:pic>
              </a:graphicData>
            </a:graphic>
          </wp:inline>
        </w:drawing>
      </w:r>
    </w:p>
    <w:p w14:paraId="3E20426C">
      <w:pPr>
        <w:bidi w:val="0"/>
        <w:ind w:left="0" w:leftChars="0" w:firstLine="0" w:firstLineChars="0"/>
        <w:jc w:val="center"/>
        <w:rPr>
          <w:rFonts w:hint="eastAsia"/>
          <w:highlight w:val="yellow"/>
          <w:lang w:val="en-US" w:eastAsia="zh-CN"/>
        </w:rPr>
      </w:pPr>
      <w:r>
        <w:rPr>
          <w:rFonts w:hint="eastAsia"/>
          <w:highlight w:val="none"/>
          <w:lang w:val="en-US" w:eastAsia="zh-CN"/>
        </w:rPr>
        <w:drawing>
          <wp:inline distT="0" distB="0" distL="114300" distR="114300">
            <wp:extent cx="2104390" cy="457200"/>
            <wp:effectExtent l="0" t="0" r="10160" b="0"/>
            <wp:docPr id="40"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22"/>
                    <pic:cNvPicPr>
                      <a:picLocks noChangeAspect="1"/>
                    </pic:cNvPicPr>
                  </pic:nvPicPr>
                  <pic:blipFill>
                    <a:blip r:embed="rId75"/>
                    <a:stretch>
                      <a:fillRect/>
                    </a:stretch>
                  </pic:blipFill>
                  <pic:spPr>
                    <a:xfrm>
                      <a:off x="0" y="0"/>
                      <a:ext cx="2104390" cy="457200"/>
                    </a:xfrm>
                    <a:prstGeom prst="rect">
                      <a:avLst/>
                    </a:prstGeom>
                    <a:noFill/>
                    <a:ln>
                      <a:noFill/>
                    </a:ln>
                  </pic:spPr>
                </pic:pic>
              </a:graphicData>
            </a:graphic>
          </wp:inline>
        </w:drawing>
      </w:r>
    </w:p>
    <w:p w14:paraId="4FE25EE3">
      <w:pPr>
        <w:bidi w:val="0"/>
        <w:rPr>
          <w:rFonts w:hint="eastAsia"/>
          <w:highlight w:val="none"/>
          <w:lang w:val="en-US" w:eastAsia="zh-CN"/>
        </w:rPr>
      </w:pPr>
      <w:r>
        <w:rPr>
          <w:rFonts w:hint="eastAsia"/>
          <w:highlight w:val="none"/>
          <w:lang w:val="en-US" w:eastAsia="zh-CN"/>
        </w:rPr>
        <w:t>式中：W—扰动地表土壤流失量，t；</w:t>
      </w:r>
    </w:p>
    <w:p w14:paraId="1DB8716F">
      <w:pPr>
        <w:bidi w:val="0"/>
        <w:ind w:firstLine="1200" w:firstLineChars="500"/>
        <w:rPr>
          <w:rFonts w:hint="eastAsia"/>
          <w:highlight w:val="none"/>
          <w:lang w:val="en-US" w:eastAsia="zh-CN"/>
        </w:rPr>
      </w:pPr>
      <w:r>
        <w:rPr>
          <w:rFonts w:hint="default" w:ascii="Times New Roman" w:hAnsi="Times New Roman" w:cs="Times New Roman"/>
          <w:highlight w:val="none"/>
          <w:lang w:val="en-US" w:eastAsia="zh-CN"/>
        </w:rPr>
        <w:t>Δ</w:t>
      </w:r>
      <w:r>
        <w:rPr>
          <w:rFonts w:hint="eastAsia"/>
          <w:highlight w:val="none"/>
          <w:lang w:val="en-US" w:eastAsia="zh-CN"/>
        </w:rPr>
        <w:t>W—扰动地表新增土壤流失量，t；</w:t>
      </w:r>
    </w:p>
    <w:p w14:paraId="41286F9A">
      <w:pPr>
        <w:bidi w:val="0"/>
        <w:ind w:firstLine="1200" w:firstLineChars="500"/>
        <w:rPr>
          <w:rFonts w:hint="eastAsia"/>
          <w:highlight w:val="none"/>
          <w:lang w:val="en-US" w:eastAsia="zh-CN"/>
        </w:rPr>
      </w:pPr>
      <w:r>
        <w:rPr>
          <w:rFonts w:hint="eastAsia"/>
          <w:highlight w:val="none"/>
          <w:lang w:val="en-US" w:eastAsia="zh-CN"/>
        </w:rPr>
        <w:t>i—预测单元，i=1、2、3、……、n，本次预测单元取施工期。</w:t>
      </w:r>
    </w:p>
    <w:p w14:paraId="5D7398DD">
      <w:pPr>
        <w:bidi w:val="0"/>
        <w:ind w:firstLine="1200" w:firstLineChars="500"/>
        <w:rPr>
          <w:rFonts w:hint="eastAsia"/>
          <w:highlight w:val="none"/>
          <w:lang w:val="en-US" w:eastAsia="zh-CN"/>
        </w:rPr>
      </w:pPr>
      <w:r>
        <w:rPr>
          <w:rFonts w:hint="eastAsia"/>
          <w:highlight w:val="none"/>
          <w:lang w:val="en-US" w:eastAsia="zh-CN"/>
        </w:rPr>
        <w:t>k—预测时段，j=1、2、3，指施工期。</w:t>
      </w:r>
    </w:p>
    <w:p w14:paraId="47533726">
      <w:pPr>
        <w:bidi w:val="0"/>
        <w:ind w:firstLine="1200" w:firstLineChars="500"/>
        <w:rPr>
          <w:rFonts w:hint="eastAsia"/>
          <w:highlight w:val="none"/>
          <w:lang w:val="en-US" w:eastAsia="zh-CN"/>
        </w:rPr>
      </w:pPr>
      <w:r>
        <w:rPr>
          <w:rFonts w:hint="eastAsia"/>
          <w:highlight w:val="none"/>
          <w:lang w:val="en-US" w:eastAsia="zh-CN"/>
        </w:rPr>
        <w:t>F</w:t>
      </w:r>
      <w:r>
        <w:rPr>
          <w:rFonts w:hint="eastAsia"/>
          <w:highlight w:val="none"/>
          <w:vertAlign w:val="subscript"/>
          <w:lang w:val="en-US" w:eastAsia="zh-CN"/>
        </w:rPr>
        <w:t>i</w:t>
      </w:r>
      <w:r>
        <w:rPr>
          <w:rFonts w:hint="eastAsia"/>
          <w:highlight w:val="none"/>
          <w:lang w:val="en-US" w:eastAsia="zh-CN"/>
        </w:rPr>
        <w:t>—第i个预测单元的面积，km</w:t>
      </w:r>
      <w:r>
        <w:rPr>
          <w:rFonts w:hint="eastAsia"/>
          <w:highlight w:val="none"/>
          <w:vertAlign w:val="superscript"/>
          <w:lang w:val="en-US" w:eastAsia="zh-CN"/>
        </w:rPr>
        <w:t>2</w:t>
      </w:r>
      <w:r>
        <w:rPr>
          <w:rFonts w:hint="eastAsia"/>
          <w:highlight w:val="none"/>
          <w:lang w:val="en-US" w:eastAsia="zh-CN"/>
        </w:rPr>
        <w:t>，项目总占地面积0.025814km</w:t>
      </w:r>
      <w:r>
        <w:rPr>
          <w:rFonts w:hint="eastAsia"/>
          <w:highlight w:val="none"/>
          <w:vertAlign w:val="superscript"/>
          <w:lang w:val="en-US" w:eastAsia="zh-CN"/>
        </w:rPr>
        <w:t>2</w:t>
      </w:r>
      <w:r>
        <w:rPr>
          <w:rFonts w:hint="eastAsia"/>
          <w:highlight w:val="none"/>
          <w:lang w:val="en-US" w:eastAsia="zh-CN"/>
        </w:rPr>
        <w:t>，（含废渣区、填埋场、临时道路和取土场等，25814m</w:t>
      </w:r>
      <w:r>
        <w:rPr>
          <w:rFonts w:hint="eastAsia"/>
          <w:highlight w:val="none"/>
          <w:vertAlign w:val="superscript"/>
          <w:lang w:val="en-US" w:eastAsia="zh-CN"/>
        </w:rPr>
        <w:t>2</w:t>
      </w:r>
      <w:r>
        <w:rPr>
          <w:rFonts w:hint="eastAsia"/>
          <w:highlight w:val="none"/>
          <w:lang w:val="en-US" w:eastAsia="zh-CN"/>
        </w:rPr>
        <w:t>）；</w:t>
      </w:r>
    </w:p>
    <w:p w14:paraId="419A249C">
      <w:pPr>
        <w:bidi w:val="0"/>
        <w:ind w:firstLine="1200" w:firstLineChars="50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M</w:t>
      </w:r>
      <w:r>
        <w:rPr>
          <w:rFonts w:hint="default" w:ascii="Times New Roman" w:hAnsi="Times New Roman" w:cs="Times New Roman"/>
          <w:highlight w:val="none"/>
          <w:vertAlign w:val="subscript"/>
          <w:lang w:val="en-US" w:eastAsia="zh-CN"/>
        </w:rPr>
        <w:t>ik</w:t>
      </w:r>
      <w:r>
        <w:rPr>
          <w:rFonts w:hint="default" w:ascii="Times New Roman" w:hAnsi="Times New Roman" w:cs="Times New Roman"/>
          <w:highlight w:val="none"/>
          <w:lang w:val="en-US" w:eastAsia="zh-CN"/>
        </w:rPr>
        <w:t>—扰动后不同预测单元不同时段的土壤侵蚀模数，t/km</w:t>
      </w:r>
      <w:r>
        <w:rPr>
          <w:rFonts w:hint="default" w:ascii="Times New Roman" w:hAnsi="Times New Roman" w:cs="Times New Roman"/>
          <w:highlight w:val="none"/>
          <w:vertAlign w:val="superscript"/>
          <w:lang w:val="en-US" w:eastAsia="zh-CN"/>
        </w:rPr>
        <w:t>2</w:t>
      </w:r>
      <w:r>
        <w:rPr>
          <w:rFonts w:hint="default" w:ascii="Times New Roman" w:hAnsi="Times New Roman" w:cs="Times New Roman"/>
          <w:highlight w:val="none"/>
          <w:lang w:val="en-US" w:eastAsia="zh-CN"/>
        </w:rPr>
        <w:t>·a，预测侵蚀强度取7000t/km</w:t>
      </w:r>
      <w:r>
        <w:rPr>
          <w:rFonts w:hint="default" w:ascii="Times New Roman" w:hAnsi="Times New Roman" w:cs="Times New Roman"/>
          <w:highlight w:val="none"/>
          <w:vertAlign w:val="superscript"/>
          <w:lang w:val="en-US" w:eastAsia="zh-CN"/>
        </w:rPr>
        <w:t>2</w:t>
      </w:r>
      <w:r>
        <w:rPr>
          <w:rFonts w:hint="default" w:ascii="Times New Roman" w:hAnsi="Times New Roman" w:cs="Times New Roman"/>
          <w:highlight w:val="none"/>
          <w:lang w:val="en-US" w:eastAsia="zh-CN"/>
        </w:rPr>
        <w:t>·a</w:t>
      </w:r>
      <w:r>
        <w:rPr>
          <w:rFonts w:hint="eastAsia" w:ascii="Times New Roman" w:hAnsi="Times New Roman" w:cs="Times New Roman"/>
          <w:highlight w:val="none"/>
          <w:lang w:val="en-US" w:eastAsia="zh-CN"/>
        </w:rPr>
        <w:t>；</w:t>
      </w:r>
    </w:p>
    <w:p w14:paraId="5AC6EC56">
      <w:pPr>
        <w:bidi w:val="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ΔM</w:t>
      </w:r>
      <w:r>
        <w:rPr>
          <w:rFonts w:hint="default" w:ascii="Times New Roman" w:hAnsi="Times New Roman" w:cs="Times New Roman"/>
          <w:highlight w:val="none"/>
          <w:vertAlign w:val="subscript"/>
          <w:lang w:val="en-US" w:eastAsia="zh-CN"/>
        </w:rPr>
        <w:t>ik</w:t>
      </w:r>
      <w:r>
        <w:rPr>
          <w:rFonts w:hint="default" w:ascii="Times New Roman" w:hAnsi="Times New Roman" w:cs="Times New Roman"/>
          <w:highlight w:val="none"/>
          <w:lang w:val="en-US" w:eastAsia="zh-CN"/>
        </w:rPr>
        <w:t>—不同单元各时段新增土壤侵蚀模数，t/km</w:t>
      </w:r>
      <w:r>
        <w:rPr>
          <w:rFonts w:hint="default" w:ascii="Times New Roman" w:hAnsi="Times New Roman" w:cs="Times New Roman"/>
          <w:highlight w:val="none"/>
          <w:vertAlign w:val="superscript"/>
          <w:lang w:val="en-US" w:eastAsia="zh-CN"/>
        </w:rPr>
        <w:t>2</w:t>
      </w:r>
      <w:r>
        <w:rPr>
          <w:rFonts w:hint="default" w:ascii="Times New Roman" w:hAnsi="Times New Roman" w:cs="Times New Roman"/>
          <w:highlight w:val="none"/>
          <w:lang w:val="en-US" w:eastAsia="zh-CN"/>
        </w:rPr>
        <w:t>·a；</w:t>
      </w:r>
    </w:p>
    <w:p w14:paraId="006837C5">
      <w:pPr>
        <w:bidi w:val="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M</w:t>
      </w:r>
      <w:r>
        <w:rPr>
          <w:rFonts w:hint="default" w:ascii="Times New Roman" w:hAnsi="Times New Roman" w:cs="Times New Roman"/>
          <w:highlight w:val="none"/>
          <w:vertAlign w:val="subscript"/>
          <w:lang w:val="en-US" w:eastAsia="zh-CN"/>
        </w:rPr>
        <w:t>i0</w:t>
      </w:r>
      <w:r>
        <w:rPr>
          <w:rFonts w:hint="default" w:ascii="Times New Roman" w:hAnsi="Times New Roman" w:cs="Times New Roman"/>
          <w:highlight w:val="none"/>
          <w:lang w:val="en-US" w:eastAsia="zh-CN"/>
        </w:rPr>
        <w:t>—扰动前不同预测单元土壤侵蚀模数，t/km</w:t>
      </w:r>
      <w:r>
        <w:rPr>
          <w:rFonts w:hint="default" w:ascii="Times New Roman" w:hAnsi="Times New Roman" w:cs="Times New Roman"/>
          <w:highlight w:val="none"/>
          <w:vertAlign w:val="superscript"/>
          <w:lang w:val="en-US" w:eastAsia="zh-CN"/>
        </w:rPr>
        <w:t>2</w:t>
      </w:r>
      <w:r>
        <w:rPr>
          <w:rFonts w:hint="default" w:ascii="Times New Roman" w:hAnsi="Times New Roman" w:cs="Times New Roman"/>
          <w:highlight w:val="none"/>
          <w:lang w:val="en-US" w:eastAsia="zh-CN"/>
        </w:rPr>
        <w:t>·a，背景值取400t/ km</w:t>
      </w:r>
      <w:r>
        <w:rPr>
          <w:rFonts w:hint="default" w:ascii="Times New Roman" w:hAnsi="Times New Roman" w:cs="Times New Roman"/>
          <w:highlight w:val="none"/>
          <w:vertAlign w:val="superscript"/>
          <w:lang w:val="en-US" w:eastAsia="zh-CN"/>
        </w:rPr>
        <w:t>2</w:t>
      </w:r>
      <w:r>
        <w:rPr>
          <w:rFonts w:hint="default" w:ascii="Times New Roman" w:hAnsi="Times New Roman" w:cs="Times New Roman"/>
          <w:highlight w:val="none"/>
          <w:lang w:val="en-US" w:eastAsia="zh-CN"/>
        </w:rPr>
        <w:t>·a；</w:t>
      </w:r>
    </w:p>
    <w:p w14:paraId="20309DEA">
      <w:pPr>
        <w:bidi w:val="0"/>
        <w:rPr>
          <w:rFonts w:hint="default" w:ascii="Times New Roman" w:hAnsi="Times New Roman" w:cs="Times New Roman"/>
          <w:highlight w:val="yellow"/>
          <w:lang w:val="en-US" w:eastAsia="zh-CN"/>
        </w:rPr>
      </w:pPr>
      <w:r>
        <w:rPr>
          <w:rFonts w:hint="default" w:ascii="Times New Roman" w:hAnsi="Times New Roman" w:cs="Times New Roman"/>
          <w:highlight w:val="none"/>
          <w:lang w:val="en-US" w:eastAsia="zh-CN"/>
        </w:rPr>
        <w:t>T</w:t>
      </w:r>
      <w:r>
        <w:rPr>
          <w:rFonts w:hint="default" w:ascii="Times New Roman" w:hAnsi="Times New Roman" w:cs="Times New Roman"/>
          <w:highlight w:val="none"/>
          <w:vertAlign w:val="subscript"/>
          <w:lang w:val="en-US" w:eastAsia="zh-CN"/>
        </w:rPr>
        <w:t>ik</w:t>
      </w:r>
      <w:r>
        <w:rPr>
          <w:rFonts w:hint="default" w:ascii="Times New Roman" w:hAnsi="Times New Roman" w:cs="Times New Roman"/>
          <w:highlight w:val="none"/>
          <w:lang w:val="en-US" w:eastAsia="zh-CN"/>
        </w:rPr>
        <w:t>—预测时段（扰动时段），a，本次取0.5a。</w:t>
      </w:r>
    </w:p>
    <w:p w14:paraId="7A53EDAC">
      <w:pPr>
        <w:bidi w:val="0"/>
        <w:rPr>
          <w:rFonts w:hint="eastAsia"/>
          <w:highlight w:val="none"/>
          <w:lang w:val="en-US" w:eastAsia="zh-CN"/>
        </w:rPr>
      </w:pPr>
      <w:r>
        <w:rPr>
          <w:rFonts w:hint="eastAsia"/>
          <w:highlight w:val="none"/>
          <w:lang w:val="en-US" w:eastAsia="zh-CN"/>
        </w:rPr>
        <w:t>根据计算，本工程施工过程中新增水土流失量为11.22t，水土流失较项目建设前大幅提高。若对产生的水土流失不加以防治，将对项目区造成一定的危害，主要表现为降低土壤肥力、影响水质和破坏自然景观等。</w:t>
      </w:r>
    </w:p>
    <w:p w14:paraId="2E92D0E8">
      <w:pPr>
        <w:bidi w:val="0"/>
        <w:rPr>
          <w:rFonts w:hint="eastAsia"/>
          <w:highlight w:val="none"/>
          <w:lang w:val="en-US" w:eastAsia="zh-CN"/>
        </w:rPr>
      </w:pPr>
      <w:r>
        <w:rPr>
          <w:rFonts w:hint="eastAsia"/>
          <w:highlight w:val="none"/>
          <w:lang w:val="en-US" w:eastAsia="zh-CN"/>
        </w:rPr>
        <w:t>为防止水土流失，建设单位应合理选择施工工期，尽量避免在雨季施工；科学规划、合理安排施工程序；分区分片施工，做好场内挖填方平衡；对施工完成的坡面作护坡处理（如对坡面夯实、植草等），以防止水土流失。</w:t>
      </w:r>
    </w:p>
    <w:p w14:paraId="44560EB2">
      <w:pPr>
        <w:bidi w:val="0"/>
        <w:rPr>
          <w:rFonts w:hint="eastAsia"/>
          <w:highlight w:val="none"/>
          <w:lang w:val="en-US" w:eastAsia="zh-CN"/>
        </w:rPr>
      </w:pPr>
      <w:r>
        <w:rPr>
          <w:rFonts w:hint="eastAsia"/>
          <w:highlight w:val="none"/>
          <w:lang w:val="en-US" w:eastAsia="zh-CN"/>
        </w:rPr>
        <w:t>采取以上措施后，项目施工期水土流失会有所降低，项目建设对环境的影响也会有所减小。</w:t>
      </w:r>
    </w:p>
    <w:p w14:paraId="1F878306">
      <w:pPr>
        <w:pStyle w:val="8"/>
        <w:numPr>
          <w:ilvl w:val="1"/>
          <w:numId w:val="1"/>
        </w:numPr>
        <w:tabs>
          <w:tab w:val="clear" w:pos="420"/>
        </w:tabs>
        <w:bidi w:val="0"/>
        <w:ind w:left="567" w:leftChars="0" w:hanging="567" w:firstLineChars="0"/>
        <w:rPr>
          <w:rFonts w:hint="default"/>
          <w:highlight w:val="none"/>
          <w:lang w:val="en-US" w:eastAsia="zh-CN"/>
        </w:rPr>
      </w:pPr>
      <w:bookmarkStart w:id="72" w:name="_Toc4828"/>
      <w:r>
        <w:rPr>
          <w:rFonts w:hint="eastAsia"/>
          <w:highlight w:val="none"/>
          <w:lang w:val="en-US" w:eastAsia="zh-CN"/>
        </w:rPr>
        <w:t>封场后环境影响分析</w:t>
      </w:r>
      <w:bookmarkEnd w:id="72"/>
    </w:p>
    <w:p w14:paraId="40CCDDE5">
      <w:pPr>
        <w:pStyle w:val="9"/>
        <w:numPr>
          <w:ilvl w:val="2"/>
          <w:numId w:val="1"/>
        </w:numPr>
        <w:bidi w:val="0"/>
        <w:ind w:left="709" w:leftChars="0" w:hanging="709" w:firstLineChars="0"/>
        <w:rPr>
          <w:rFonts w:hint="eastAsia"/>
          <w:highlight w:val="none"/>
          <w:lang w:val="en-US" w:eastAsia="zh-CN"/>
        </w:rPr>
      </w:pPr>
      <w:r>
        <w:rPr>
          <w:rFonts w:hint="eastAsia"/>
          <w:highlight w:val="none"/>
          <w:lang w:val="en-US" w:eastAsia="zh-CN"/>
        </w:rPr>
        <w:t>大气环境影响分析</w:t>
      </w:r>
    </w:p>
    <w:p w14:paraId="07606BAC">
      <w:pPr>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项目废渣填埋场填埋的废物属于</w:t>
      </w:r>
      <w:r>
        <w:rPr>
          <w:rFonts w:hint="default" w:ascii="Times New Roman" w:hAnsi="Times New Roman" w:eastAsia="宋体" w:cs="Times New Roman"/>
          <w:highlight w:val="none"/>
          <w:lang w:val="en-US" w:eastAsia="zh-CN"/>
        </w:rPr>
        <w:t>Ⅰ</w:t>
      </w:r>
      <w:r>
        <w:rPr>
          <w:rFonts w:hint="default" w:ascii="Times New Roman" w:hAnsi="Times New Roman" w:cs="Times New Roman"/>
          <w:highlight w:val="none"/>
          <w:lang w:val="en-US" w:eastAsia="zh-CN"/>
        </w:rPr>
        <w:t>类和Ⅱ类</w:t>
      </w:r>
      <w:r>
        <w:rPr>
          <w:rFonts w:hint="eastAsia" w:ascii="Times New Roman" w:hAnsi="Times New Roman" w:cs="Times New Roman"/>
          <w:highlight w:val="none"/>
          <w:lang w:val="en-US" w:eastAsia="zh-CN"/>
        </w:rPr>
        <w:t>一般</w:t>
      </w:r>
      <w:r>
        <w:rPr>
          <w:rFonts w:hint="default" w:ascii="Times New Roman" w:hAnsi="Times New Roman" w:cs="Times New Roman"/>
          <w:highlight w:val="none"/>
          <w:lang w:val="en-US" w:eastAsia="zh-CN"/>
        </w:rPr>
        <w:t>固体废物，这些废物填埋后不产生废气。因此，项目治理完成，废渣填埋场封场后不会产生废气。</w:t>
      </w:r>
    </w:p>
    <w:p w14:paraId="584D1E51">
      <w:pPr>
        <w:pStyle w:val="9"/>
        <w:numPr>
          <w:ilvl w:val="2"/>
          <w:numId w:val="1"/>
        </w:numPr>
        <w:bidi w:val="0"/>
        <w:ind w:left="709" w:leftChars="0" w:hanging="709" w:firstLineChars="0"/>
        <w:rPr>
          <w:rFonts w:hint="eastAsia"/>
          <w:highlight w:val="none"/>
          <w:lang w:val="en-US" w:eastAsia="zh-CN"/>
        </w:rPr>
      </w:pPr>
      <w:r>
        <w:rPr>
          <w:rFonts w:hint="eastAsia"/>
          <w:highlight w:val="none"/>
          <w:lang w:val="en-US" w:eastAsia="zh-CN"/>
        </w:rPr>
        <w:t>地表水环境影响分析</w:t>
      </w:r>
    </w:p>
    <w:p w14:paraId="142AB652">
      <w:pPr>
        <w:bidi w:val="0"/>
        <w:rPr>
          <w:rFonts w:hint="eastAsia"/>
          <w:highlight w:val="none"/>
          <w:lang w:val="en-US" w:eastAsia="zh-CN"/>
        </w:rPr>
      </w:pPr>
      <w:r>
        <w:rPr>
          <w:rFonts w:hint="eastAsia"/>
          <w:highlight w:val="none"/>
          <w:lang w:val="en-US" w:eastAsia="zh-CN"/>
        </w:rPr>
        <w:t>根据《环境影响评价技术导则  地表水环境》（HJ2.3-2018）中7.1.2规定：水污染影响型三级B评价可不进行水环境影响预测。因此，本项目不进行地表水环境影响预测，仅对依托污水处理设施环境可行性进行分析。</w:t>
      </w:r>
    </w:p>
    <w:p w14:paraId="23F12F10">
      <w:pPr>
        <w:pStyle w:val="10"/>
        <w:numPr>
          <w:ilvl w:val="3"/>
          <w:numId w:val="1"/>
        </w:numPr>
        <w:bidi w:val="0"/>
        <w:ind w:left="850" w:leftChars="0" w:hanging="850" w:firstLineChars="0"/>
        <w:rPr>
          <w:rFonts w:hint="eastAsia"/>
          <w:highlight w:val="none"/>
          <w:lang w:val="en-US" w:eastAsia="zh-CN"/>
        </w:rPr>
      </w:pPr>
      <w:r>
        <w:rPr>
          <w:rFonts w:hint="eastAsia"/>
          <w:highlight w:val="none"/>
          <w:lang w:val="en-US" w:eastAsia="zh-CN"/>
        </w:rPr>
        <w:t>地表水环境影响分析</w:t>
      </w:r>
    </w:p>
    <w:p w14:paraId="306C6551">
      <w:pPr>
        <w:rPr>
          <w:rFonts w:hint="eastAsia"/>
          <w:highlight w:val="none"/>
          <w:lang w:val="en-US" w:eastAsia="zh-CN"/>
        </w:rPr>
      </w:pPr>
      <w:r>
        <w:rPr>
          <w:rFonts w:hint="eastAsia"/>
          <w:highlight w:val="none"/>
          <w:lang w:val="en-US" w:eastAsia="zh-CN"/>
        </w:rPr>
        <w:t>本项目废渣填埋场渗滤液的产生主要集中在废渣填埋前期（一般为废渣填埋后6个月内），后续在表面阻隔层无破损的情况下，废渣填埋场的渗滤液产生量不大，且呈逐步减少趋势，一定时间后，渗滤液的产生量会几乎为零。</w:t>
      </w:r>
    </w:p>
    <w:p w14:paraId="01295FC6">
      <w:pPr>
        <w:bidi w:val="0"/>
        <w:rPr>
          <w:rFonts w:hint="eastAsia"/>
          <w:highlight w:val="none"/>
          <w:lang w:val="en-US" w:eastAsia="zh-CN"/>
        </w:rPr>
      </w:pPr>
      <w:r>
        <w:rPr>
          <w:rFonts w:hint="eastAsia"/>
          <w:highlight w:val="none"/>
          <w:lang w:val="en-US" w:eastAsia="zh-CN"/>
        </w:rPr>
        <w:t>根据工程分析，项目施工期及封场后填埋场渗滤液最大产生量为17.28m</w:t>
      </w:r>
      <w:r>
        <w:rPr>
          <w:rFonts w:hint="eastAsia"/>
          <w:highlight w:val="none"/>
          <w:vertAlign w:val="superscript"/>
          <w:lang w:val="en-US" w:eastAsia="zh-CN"/>
        </w:rPr>
        <w:t>3</w:t>
      </w:r>
      <w:r>
        <w:rPr>
          <w:rFonts w:hint="eastAsia"/>
          <w:highlight w:val="none"/>
          <w:lang w:val="en-US" w:eastAsia="zh-CN"/>
        </w:rPr>
        <w:t>/d。项目治理后产生的填埋场渗滤液经渗滤液池收集，经一体化污水处理设备处理达标后，采用防腐、防漏的罐车收集运输至湖南黄金天岳矿业有限公司垂拱洞尾矿库废水处理站处置，经处理达到《污水综合排放标准》（GB8978-1996）中表1第一类污染物最高允许排放浓度及表4第二类污染物最高允许排放浓度一级标准及《农田灌溉水质标准》（GB5084-2021）表1、表2标准限值后排入周边山涧小溪。</w:t>
      </w:r>
    </w:p>
    <w:p w14:paraId="76E6C286">
      <w:pPr>
        <w:bidi w:val="0"/>
        <w:rPr>
          <w:rFonts w:hint="eastAsia"/>
          <w:highlight w:val="none"/>
          <w:lang w:val="en-US" w:eastAsia="zh-CN"/>
        </w:rPr>
      </w:pPr>
      <w:r>
        <w:rPr>
          <w:rFonts w:hint="eastAsia"/>
          <w:highlight w:val="none"/>
          <w:lang w:val="en-US" w:eastAsia="zh-CN"/>
        </w:rPr>
        <w:t>项目封场后填埋场无废水直接排入区域地表水环境，对区域地表水影响较小。</w:t>
      </w:r>
    </w:p>
    <w:p w14:paraId="405826B6">
      <w:pPr>
        <w:rPr>
          <w:rFonts w:hint="eastAsia"/>
          <w:highlight w:val="none"/>
          <w:lang w:val="en-US" w:eastAsia="zh-CN"/>
        </w:rPr>
      </w:pPr>
      <w:r>
        <w:rPr>
          <w:rFonts w:hint="eastAsia"/>
          <w:highlight w:val="none"/>
          <w:lang w:val="en-US" w:eastAsia="zh-CN"/>
        </w:rPr>
        <w:t>本项目渗滤液不得向其他地方转移或随意丢弃，运输过程应加强监管，确保容器稳固，不泄漏、不倒塌、不坠落、不损坏，防止渗滤液的渗漏。运输应按规定路线行驶，途经村庄等要减速慢行，不可在居民区和人口稠密区停，对周围地表水环境影响较小。</w:t>
      </w:r>
    </w:p>
    <w:p w14:paraId="63AE712B">
      <w:pPr>
        <w:rPr>
          <w:rFonts w:hint="default" w:ascii="Times New Roman" w:hAnsi="Times New Roman" w:cs="Times New Roman"/>
          <w:highlight w:val="none"/>
          <w:lang w:val="en-US" w:eastAsia="zh-CN"/>
        </w:rPr>
      </w:pPr>
      <w:r>
        <w:rPr>
          <w:rFonts w:hint="eastAsia"/>
          <w:highlight w:val="none"/>
          <w:lang w:val="en-US" w:eastAsia="zh-CN"/>
        </w:rPr>
        <w:t>本项目设截洪排水沟，雨水经排水沟收集后，未经土壤污染直接外排至周边山涧小溪，对地表水环境影响较小。</w:t>
      </w:r>
    </w:p>
    <w:p w14:paraId="6E32D707">
      <w:pPr>
        <w:pStyle w:val="9"/>
        <w:numPr>
          <w:ilvl w:val="2"/>
          <w:numId w:val="1"/>
        </w:numPr>
        <w:bidi w:val="0"/>
        <w:ind w:left="709" w:leftChars="0" w:hanging="709" w:firstLineChars="0"/>
        <w:rPr>
          <w:rFonts w:hint="eastAsia"/>
          <w:highlight w:val="none"/>
          <w:lang w:val="en-US" w:eastAsia="zh-CN"/>
        </w:rPr>
      </w:pPr>
      <w:r>
        <w:rPr>
          <w:rFonts w:hint="eastAsia"/>
          <w:highlight w:val="none"/>
          <w:lang w:val="en-US" w:eastAsia="zh-CN"/>
        </w:rPr>
        <w:t>地下水环境影响分析</w:t>
      </w:r>
    </w:p>
    <w:p w14:paraId="28355810">
      <w:pPr>
        <w:pStyle w:val="10"/>
        <w:numPr>
          <w:ilvl w:val="3"/>
          <w:numId w:val="1"/>
        </w:numPr>
        <w:bidi w:val="0"/>
        <w:ind w:left="850" w:leftChars="0" w:hanging="850" w:firstLineChars="0"/>
        <w:rPr>
          <w:rFonts w:hint="eastAsia"/>
          <w:lang w:val="en-US" w:eastAsia="zh-CN"/>
        </w:rPr>
      </w:pPr>
      <w:r>
        <w:rPr>
          <w:rFonts w:hint="eastAsia"/>
          <w:lang w:val="en-US" w:eastAsia="zh-CN"/>
        </w:rPr>
        <w:t>地块的地质和水文地质条件</w:t>
      </w:r>
    </w:p>
    <w:p w14:paraId="019072CD">
      <w:pPr>
        <w:bidi w:val="0"/>
        <w:rPr>
          <w:rFonts w:hint="eastAsia"/>
          <w:highlight w:val="none"/>
          <w:lang w:val="en-US" w:eastAsia="zh-CN"/>
        </w:rPr>
      </w:pPr>
      <w:r>
        <w:rPr>
          <w:rFonts w:hint="eastAsia"/>
          <w:highlight w:val="none"/>
          <w:lang w:val="en-US" w:eastAsia="zh-CN"/>
        </w:rPr>
        <w:t>（1）地块的地质条件</w:t>
      </w:r>
    </w:p>
    <w:p w14:paraId="3B1B7ECF">
      <w:pPr>
        <w:bidi w:val="0"/>
        <w:rPr>
          <w:rFonts w:hint="eastAsia"/>
          <w:highlight w:val="yellow"/>
          <w:lang w:val="en-US" w:eastAsia="zh-CN"/>
        </w:rPr>
      </w:pPr>
      <w:r>
        <w:rPr>
          <w:rFonts w:hint="eastAsia"/>
          <w:highlight w:val="none"/>
          <w:lang w:val="en-US" w:eastAsia="zh-CN"/>
        </w:rPr>
        <w:t>根据《平江县三阳乡南尧村片区（垂拱组、仙人组）历史遗留重金属废渣整治项目工程详细勘察报告》可知：根据区域地质资料及勘察相关钻探、测试结果，拟建场地无断裂、褶皱等构造，不存在岩溶溶洞、土洞等不良地质作用；场地内未发现泥石流、滑坡、崩塌等不良地质现象；场地内未发现墓穴、防空洞、采空区；场地内未发现埋藏的古河道、沟、浜；场地周边未发现影响场地稳定的地质构造、断层等，场地地内基岩稳定，本场地稳定，适宜进行本工程的建设。项目场地内范围内勘探深度内分布的地层有含金矿石冶炼废渣、第四系覆盖层和前震旦系冷家溪群板岩，各地层的野外特征按自上而下的顺序依次描述如下：</w:t>
      </w:r>
    </w:p>
    <w:p w14:paraId="5FB1A8BA">
      <w:pPr>
        <w:bidi w:val="0"/>
        <w:rPr>
          <w:rFonts w:hint="eastAsia"/>
          <w:highlight w:val="none"/>
          <w:lang w:val="en-US" w:eastAsia="zh-CN"/>
        </w:rPr>
      </w:pPr>
      <w:r>
        <w:rPr>
          <w:rFonts w:hint="eastAsia"/>
          <w:highlight w:val="none"/>
          <w:lang w:val="en-US" w:eastAsia="zh-CN"/>
        </w:rPr>
        <w:t>①杂填土（Q</w:t>
      </w:r>
      <w:r>
        <w:rPr>
          <w:rFonts w:hint="eastAsia"/>
          <w:highlight w:val="none"/>
          <w:vertAlign w:val="subscript"/>
          <w:lang w:val="en-US" w:eastAsia="zh-CN"/>
        </w:rPr>
        <w:t>4</w:t>
      </w:r>
      <w:r>
        <w:rPr>
          <w:rFonts w:hint="eastAsia"/>
          <w:highlight w:val="none"/>
          <w:vertAlign w:val="superscript"/>
          <w:lang w:val="en-US" w:eastAsia="zh-CN"/>
        </w:rPr>
        <w:t>ml</w:t>
      </w:r>
      <w:r>
        <w:rPr>
          <w:rFonts w:hint="eastAsia"/>
          <w:highlight w:val="none"/>
          <w:lang w:val="en-US" w:eastAsia="zh-CN"/>
        </w:rPr>
        <w:t>）：黄褐色、灰褐色，主要由金矿冶炼后残存矿渣组成，松散，稍湿，不均匀，具孔隙，未完成自重固结。勘察期间揭露深度1.50~8.50m，平均厚度4.42m。</w:t>
      </w:r>
    </w:p>
    <w:p w14:paraId="7606B8FC">
      <w:pPr>
        <w:bidi w:val="0"/>
        <w:rPr>
          <w:rFonts w:hint="eastAsia"/>
          <w:highlight w:val="none"/>
          <w:lang w:val="en-US" w:eastAsia="zh-CN"/>
        </w:rPr>
      </w:pPr>
      <w:r>
        <w:rPr>
          <w:rFonts w:hint="eastAsia"/>
          <w:highlight w:val="none"/>
          <w:lang w:val="en-US" w:eastAsia="zh-CN"/>
        </w:rPr>
        <w:t>②粉质黏土（Q</w:t>
      </w:r>
      <w:r>
        <w:rPr>
          <w:rFonts w:hint="eastAsia"/>
          <w:highlight w:val="none"/>
          <w:vertAlign w:val="subscript"/>
          <w:lang w:val="en-US" w:eastAsia="zh-CN"/>
        </w:rPr>
        <w:t>4</w:t>
      </w:r>
      <w:r>
        <w:rPr>
          <w:rFonts w:hint="eastAsia"/>
          <w:highlight w:val="none"/>
          <w:vertAlign w:val="superscript"/>
          <w:lang w:val="en-US" w:eastAsia="zh-CN"/>
        </w:rPr>
        <w:t>al</w:t>
      </w:r>
      <w:r>
        <w:rPr>
          <w:rFonts w:hint="eastAsia"/>
          <w:highlight w:val="none"/>
          <w:lang w:val="en-US" w:eastAsia="zh-CN"/>
        </w:rPr>
        <w:t>）：黄褐色，可塑，黏粒成分为主，粉粒成分次之，干强度高，韧性中等，切面稍具光泽，无摇震反应，勘察期间揭露深度0.50~2.70m，平均厚度1.38m。</w:t>
      </w:r>
    </w:p>
    <w:p w14:paraId="492FE65E">
      <w:pPr>
        <w:bidi w:val="0"/>
        <w:rPr>
          <w:rFonts w:hint="default" w:ascii="Times New Roman" w:hAnsi="Times New Roman" w:cs="Times New Roman"/>
          <w:highlight w:val="yellow"/>
          <w:lang w:val="en-US" w:eastAsia="zh-CN"/>
        </w:rPr>
      </w:pPr>
      <w:r>
        <w:rPr>
          <w:rFonts w:hint="default" w:ascii="Times New Roman" w:hAnsi="Times New Roman" w:cs="Times New Roman"/>
          <w:highlight w:val="none"/>
          <w:lang w:val="en-US" w:eastAsia="zh-CN"/>
        </w:rPr>
        <w:t>③强风化板岩（Pt）：黄褐色、灰黄色，泥质成分，变余泥质结构，板状构造，岩石强烈风化，岩层主要呈薄层状，结构大部分被破坏，矿物成分显著变化，风化裂隙很发育，风化面有褐红色铁质渲染物，属极软岩，岩体极破碎，基本质量等级为</w:t>
      </w:r>
      <w:r>
        <w:rPr>
          <w:rFonts w:hint="default" w:ascii="Times New Roman" w:hAnsi="Times New Roman" w:eastAsia="微软雅黑" w:cs="Times New Roman"/>
          <w:highlight w:val="none"/>
          <w:lang w:val="en-US" w:eastAsia="zh-CN"/>
        </w:rPr>
        <w:t>Ⅴ</w:t>
      </w:r>
      <w:r>
        <w:rPr>
          <w:rFonts w:hint="default" w:ascii="Times New Roman" w:hAnsi="Times New Roman" w:eastAsia="宋体" w:cs="Times New Roman"/>
          <w:highlight w:val="none"/>
          <w:lang w:val="en-US" w:eastAsia="zh-CN"/>
        </w:rPr>
        <w:t>类，岩芯呈破碎状、块状，岩石质量指标RQD极差，勘察期间未揭穿</w:t>
      </w:r>
      <w:r>
        <w:rPr>
          <w:rFonts w:hint="default" w:ascii="Times New Roman" w:hAnsi="Times New Roman" w:cs="Times New Roman"/>
          <w:highlight w:val="none"/>
          <w:lang w:val="en-US" w:eastAsia="zh-CN"/>
        </w:rPr>
        <w:t>。</w:t>
      </w:r>
    </w:p>
    <w:p w14:paraId="1BEBB7D8">
      <w:pPr>
        <w:bidi w:val="0"/>
        <w:rPr>
          <w:rFonts w:hint="eastAsia"/>
          <w:highlight w:val="none"/>
          <w:lang w:val="en-US" w:eastAsia="zh-CN"/>
        </w:rPr>
      </w:pPr>
      <w:r>
        <w:rPr>
          <w:rFonts w:hint="eastAsia"/>
          <w:highlight w:val="none"/>
          <w:lang w:val="en-US" w:eastAsia="zh-CN"/>
        </w:rPr>
        <w:t>（2）地块地下水情况</w:t>
      </w:r>
    </w:p>
    <w:p w14:paraId="058D991C">
      <w:pPr>
        <w:bidi w:val="0"/>
        <w:rPr>
          <w:rFonts w:hint="eastAsia"/>
          <w:highlight w:val="none"/>
          <w:lang w:val="en-US" w:eastAsia="zh-CN"/>
        </w:rPr>
      </w:pPr>
      <w:r>
        <w:rPr>
          <w:rFonts w:hint="eastAsia"/>
          <w:highlight w:val="none"/>
          <w:lang w:val="en-US" w:eastAsia="zh-CN"/>
        </w:rPr>
        <w:t>本项目建场地地貌单元属残蚀丘陵，场地地形起伏较大，根据《平江县三阳乡南尧村片区（垂拱组、仙人组）历史遗留重金属废渣整治项目工程详细勘察报告》，项目建场地勘查钻探点高程变化于192.187~220.015m，最大高差约27.828m，勘察期间本工程场地钻孔未发现地下水，但受季节影响可存在变化，丰水季节地下水位将上升，枯水季节将有一定的下降，地下水变化幅度约0.5~2m。</w:t>
      </w:r>
    </w:p>
    <w:p w14:paraId="306D9179">
      <w:pPr>
        <w:pStyle w:val="10"/>
        <w:numPr>
          <w:ilvl w:val="3"/>
          <w:numId w:val="1"/>
        </w:numPr>
        <w:bidi w:val="0"/>
        <w:ind w:left="850" w:leftChars="0" w:hanging="850" w:firstLineChars="0"/>
        <w:rPr>
          <w:rFonts w:hint="eastAsia"/>
          <w:lang w:val="en-US" w:eastAsia="zh-CN"/>
        </w:rPr>
      </w:pPr>
      <w:r>
        <w:rPr>
          <w:rFonts w:hint="eastAsia"/>
          <w:highlight w:val="none"/>
          <w:lang w:val="en-US" w:eastAsia="zh-CN"/>
        </w:rPr>
        <w:t>地下水污染途径</w:t>
      </w:r>
    </w:p>
    <w:p w14:paraId="681ABDE4">
      <w:pPr>
        <w:rPr>
          <w:rFonts w:hint="eastAsia"/>
          <w:lang w:val="en-US" w:eastAsia="zh-CN"/>
        </w:rPr>
      </w:pPr>
      <w:r>
        <w:rPr>
          <w:rFonts w:hint="eastAsia"/>
          <w:highlight w:val="none"/>
          <w:lang w:val="en-US" w:eastAsia="zh-CN"/>
        </w:rPr>
        <w:t>污染物对地下水的影响主要是由于降雨或废水排放等通过垂直渗透进入包气带，进入包气带的污染物在物理、化学和生物作用下经吸附、转化、迁移和分解后输入地下水。因此，包气带是联接地面污染物与地下含水层的主要通道和过渡带，既是污染物媒介体，又是污染物的净化场所和防护层。地下水能否被污染以及污染物的种类和性质。一般说来，土壤粒细而紧密，渗透性差，则污染慢；反之，颗粒大松散，渗透性能良好则污染重。污染物从污染源进入地下水所经过路径称为地下水污染途径，地下水污染途径是多种多样的。本项目可能对下水造成污染的区域主要为</w:t>
      </w:r>
      <w:r>
        <w:rPr>
          <w:rFonts w:hint="default" w:ascii="Times New Roman" w:hAnsi="Times New Roman" w:cs="Times New Roman"/>
          <w:highlight w:val="none"/>
          <w:lang w:val="en-US" w:eastAsia="zh-CN"/>
        </w:rPr>
        <w:t>一般</w:t>
      </w:r>
      <w:r>
        <w:rPr>
          <w:rFonts w:hint="default" w:ascii="Times New Roman" w:hAnsi="Times New Roman" w:eastAsia="宋体" w:cs="Times New Roman"/>
          <w:highlight w:val="none"/>
          <w:lang w:val="en-US" w:eastAsia="zh-CN"/>
        </w:rPr>
        <w:t>Ⅰ</w:t>
      </w:r>
      <w:r>
        <w:rPr>
          <w:rFonts w:hint="default" w:ascii="Times New Roman" w:hAnsi="Times New Roman" w:cs="Times New Roman"/>
          <w:highlight w:val="none"/>
          <w:lang w:val="en-US" w:eastAsia="zh-CN"/>
        </w:rPr>
        <w:t>类固废和一般Ⅱ类固废</w:t>
      </w:r>
      <w:r>
        <w:rPr>
          <w:rFonts w:hint="eastAsia"/>
          <w:highlight w:val="none"/>
          <w:lang w:val="en-US" w:eastAsia="zh-CN"/>
        </w:rPr>
        <w:t>填埋场渗滤液可能发生渗漏。正常工况下，填埋场选用双层土工布夹HDPE土工膜的复合衬垫层防渗处理，防渗系统建设规范，一般不会发生渗漏事故，基本无污染。在遭遇地震、防渗膜开裂等情况下，发生渗漏，将对地下水造成点源污染，污染物可能下渗至包气带从而在潜水层中进行运移。</w:t>
      </w:r>
    </w:p>
    <w:p w14:paraId="58F7CE25">
      <w:pPr>
        <w:pStyle w:val="10"/>
        <w:numPr>
          <w:ilvl w:val="3"/>
          <w:numId w:val="1"/>
        </w:numPr>
        <w:bidi w:val="0"/>
        <w:ind w:left="850" w:leftChars="0" w:hanging="850" w:firstLineChars="0"/>
        <w:rPr>
          <w:rFonts w:hint="eastAsia"/>
          <w:lang w:val="en-US" w:eastAsia="zh-CN"/>
        </w:rPr>
      </w:pPr>
      <w:r>
        <w:rPr>
          <w:rFonts w:hint="eastAsia"/>
          <w:lang w:val="en-US" w:eastAsia="zh-CN"/>
        </w:rPr>
        <w:t>地下水环境影响分析</w:t>
      </w:r>
    </w:p>
    <w:p w14:paraId="73C552F9">
      <w:pPr>
        <w:bidi w:val="0"/>
        <w:rPr>
          <w:rFonts w:hint="eastAsia"/>
          <w:b/>
          <w:bCs/>
          <w:highlight w:val="none"/>
          <w:lang w:val="en-US" w:eastAsia="zh-CN"/>
        </w:rPr>
      </w:pPr>
      <w:r>
        <w:rPr>
          <w:rFonts w:hint="eastAsia"/>
          <w:b/>
          <w:bCs/>
          <w:highlight w:val="none"/>
          <w:lang w:val="en-US" w:eastAsia="zh-CN"/>
        </w:rPr>
        <w:t>（1）正常状况下影响分析</w:t>
      </w:r>
    </w:p>
    <w:p w14:paraId="667536F2">
      <w:pPr>
        <w:bidi w:val="0"/>
        <w:rPr>
          <w:rFonts w:hint="eastAsia"/>
          <w:highlight w:val="none"/>
          <w:lang w:val="en-US" w:eastAsia="zh-CN"/>
        </w:rPr>
      </w:pPr>
      <w:r>
        <w:rPr>
          <w:rFonts w:hint="eastAsia"/>
          <w:highlight w:val="none"/>
          <w:lang w:val="en-US" w:eastAsia="zh-CN"/>
        </w:rPr>
        <w:t>本项目所在区域内周边村民的生活饮用水部分依托分散式水井，本项目具有完善的渗滤液收集设施，填埋场采用双层土工布夹HDPE土工膜的复合衬垫层防渗处理，渗透率极低，能够更好的保护地下水不受污染；场区内的渗滤液收集后，经一体化污水处理设备处理达标后，采用防腐、防漏的罐车运至湖南黄金天岳矿业有限公司垂拱洞尾矿库废水处理站进行处理。</w:t>
      </w:r>
    </w:p>
    <w:p w14:paraId="0D0E3C99">
      <w:pPr>
        <w:bidi w:val="0"/>
        <w:rPr>
          <w:rFonts w:hint="eastAsia"/>
          <w:highlight w:val="none"/>
          <w:lang w:val="en-US" w:eastAsia="zh-CN"/>
        </w:rPr>
      </w:pPr>
      <w:r>
        <w:rPr>
          <w:rFonts w:hint="eastAsia"/>
          <w:highlight w:val="none"/>
          <w:lang w:val="en-US" w:eastAsia="zh-CN"/>
        </w:rPr>
        <w:t>根据地下水环境质量现状监测结果，本项目所在地及周边地下水各监测指标均不超标，满足《地下水环境质量标准》（GB/T 14848-2017）</w:t>
      </w:r>
      <w:r>
        <w:rPr>
          <w:rFonts w:hint="default" w:ascii="Times New Roman" w:hAnsi="Times New Roman" w:cs="Times New Roman"/>
          <w:highlight w:val="none"/>
          <w:lang w:val="en-US" w:eastAsia="zh-CN"/>
        </w:rPr>
        <w:t>Ⅲ</w:t>
      </w:r>
      <w:r>
        <w:rPr>
          <w:rFonts w:hint="eastAsia"/>
          <w:highlight w:val="none"/>
          <w:lang w:val="en-US" w:eastAsia="zh-CN"/>
        </w:rPr>
        <w:t>类标要求。随着项目的实施，有利用对场地内污染土壤进行管控，可大大减少渗滤液对地下水的污染，能进一步减少对周边地下水的影响。</w:t>
      </w:r>
    </w:p>
    <w:p w14:paraId="6EA274AB">
      <w:pPr>
        <w:bidi w:val="0"/>
        <w:rPr>
          <w:rFonts w:hint="eastAsia"/>
          <w:highlight w:val="none"/>
          <w:lang w:val="en-US" w:eastAsia="zh-CN"/>
        </w:rPr>
      </w:pPr>
      <w:r>
        <w:rPr>
          <w:rFonts w:hint="eastAsia"/>
          <w:highlight w:val="none"/>
          <w:lang w:val="en-US" w:eastAsia="zh-CN"/>
        </w:rPr>
        <w:t>本工程填埋场地质及水文地质条件基本符合第</w:t>
      </w:r>
      <w:r>
        <w:rPr>
          <w:rFonts w:hint="default" w:ascii="Times New Roman" w:hAnsi="Times New Roman" w:eastAsia="宋体" w:cs="Times New Roman"/>
          <w:highlight w:val="none"/>
          <w:lang w:val="en-US" w:eastAsia="zh-CN"/>
        </w:rPr>
        <w:t>Ⅱ</w:t>
      </w:r>
      <w:r>
        <w:rPr>
          <w:rFonts w:hint="eastAsia"/>
          <w:highlight w:val="none"/>
          <w:lang w:val="en-US" w:eastAsia="zh-CN"/>
        </w:rPr>
        <w:t>类一般工业固废填埋场的建设要求，地下水的水平迁移能力较弱，同时工程设计了人工防渗措施，按规范设计符合要求的截排洪。</w:t>
      </w:r>
    </w:p>
    <w:p w14:paraId="6F9271E8">
      <w:pPr>
        <w:bidi w:val="0"/>
        <w:rPr>
          <w:rFonts w:hint="eastAsia"/>
          <w:highlight w:val="none"/>
          <w:lang w:val="en-US" w:eastAsia="zh-CN"/>
        </w:rPr>
      </w:pPr>
      <w:r>
        <w:rPr>
          <w:rFonts w:hint="eastAsia"/>
          <w:highlight w:val="none"/>
          <w:lang w:val="en-US" w:eastAsia="zh-CN"/>
        </w:rPr>
        <w:t>为进一步防止评价地区地下水受到污染，减少地下水受污染的潜在风险，建设单位应：</w:t>
      </w:r>
    </w:p>
    <w:p w14:paraId="70FBD9F4">
      <w:pPr>
        <w:bidi w:val="0"/>
        <w:rPr>
          <w:rFonts w:hint="eastAsia"/>
          <w:highlight w:val="none"/>
          <w:lang w:val="en-US" w:eastAsia="zh-CN"/>
        </w:rPr>
      </w:pPr>
      <w:r>
        <w:rPr>
          <w:rFonts w:hint="eastAsia"/>
          <w:highlight w:val="none"/>
          <w:lang w:val="en-US" w:eastAsia="zh-CN"/>
        </w:rPr>
        <w:t>①在本项目设计、施工和运行时，必须严格按照《一般工业固体废物贮存和填埋污染控制标准》（GB18599-2020）要求，对填埋场和渗滤液收集池进行防渗。</w:t>
      </w:r>
    </w:p>
    <w:p w14:paraId="7AFBFAEA">
      <w:pPr>
        <w:bidi w:val="0"/>
        <w:rPr>
          <w:rFonts w:hint="eastAsia"/>
          <w:highlight w:val="none"/>
          <w:lang w:val="en-US" w:eastAsia="zh-CN"/>
        </w:rPr>
      </w:pPr>
      <w:r>
        <w:rPr>
          <w:rFonts w:hint="eastAsia"/>
          <w:highlight w:val="none"/>
          <w:lang w:val="en-US" w:eastAsia="zh-CN"/>
        </w:rPr>
        <w:t>②防止其他危险废物混入填埋场填埋。</w:t>
      </w:r>
    </w:p>
    <w:p w14:paraId="703EFE7B">
      <w:pPr>
        <w:bidi w:val="0"/>
        <w:rPr>
          <w:rFonts w:hint="eastAsia"/>
          <w:highlight w:val="none"/>
          <w:lang w:val="en-US" w:eastAsia="zh-CN"/>
        </w:rPr>
      </w:pPr>
      <w:r>
        <w:rPr>
          <w:rFonts w:hint="eastAsia"/>
          <w:highlight w:val="none"/>
          <w:lang w:val="en-US" w:eastAsia="zh-CN"/>
        </w:rPr>
        <w:t>③加强渗滤液收集池的日常运行管理，保障正常运转。将渗滤液处理达标后及时清运至湖南黄金天岳矿业有限公司垂拱洞尾矿库废水处理站处理，尤其是雨季时应加强清运频次。制定应急预案，万一发生防渗膜破损时，可采取行之有效的方法加以补救。</w:t>
      </w:r>
    </w:p>
    <w:p w14:paraId="069EE941">
      <w:pPr>
        <w:bidi w:val="0"/>
        <w:rPr>
          <w:rFonts w:hint="eastAsia"/>
          <w:highlight w:val="none"/>
          <w:lang w:val="en-US" w:eastAsia="zh-CN"/>
        </w:rPr>
      </w:pPr>
      <w:r>
        <w:rPr>
          <w:rFonts w:hint="eastAsia"/>
          <w:highlight w:val="none"/>
          <w:lang w:val="en-US" w:eastAsia="zh-CN"/>
        </w:rPr>
        <w:t>④建立完善的地下水监测系统。填埋场地下水采样设监测井4口：其中本底井1口，用于提供未受场地影响的地下水水质数据作为对照；污染扩散井2口，设在废渣安全填埋场边界两侧，用于提供直接受场地影响的地下水水质数据；污染监测井1口，设在废渣安全填埋场边界的北面，用于提供场地受影响的地下水水质数据结果证明。在施工期及封场后定期监测，发现地下水出现污染现象时，应加大取样频率，并根据实际情况增加监测项目，查出原因并采取补救措施。</w:t>
      </w:r>
    </w:p>
    <w:p w14:paraId="4CD520DF">
      <w:pPr>
        <w:bidi w:val="0"/>
        <w:rPr>
          <w:rFonts w:hint="eastAsia"/>
          <w:highlight w:val="none"/>
          <w:lang w:val="en-US" w:eastAsia="zh-CN"/>
        </w:rPr>
      </w:pPr>
      <w:r>
        <w:rPr>
          <w:rFonts w:hint="eastAsia"/>
          <w:highlight w:val="none"/>
          <w:lang w:val="en-US" w:eastAsia="zh-CN"/>
        </w:rPr>
        <w:t>本项目工程完工后，将具有较完善的截排水收集设施，能够更好的保护地下水不受污染，与施工前相比，地下水水文地质条件基本没有发生变化，对区域地下水环境影响较小，同时本项目建设后可消除</w:t>
      </w:r>
      <w:r>
        <w:rPr>
          <w:rFonts w:hint="eastAsia"/>
        </w:rPr>
        <w:t>遗漏废渣污染源</w:t>
      </w:r>
      <w:r>
        <w:rPr>
          <w:rFonts w:hint="eastAsia"/>
          <w:lang w:eastAsia="zh-CN"/>
        </w:rPr>
        <w:t>，</w:t>
      </w:r>
      <w:r>
        <w:rPr>
          <w:rFonts w:hint="eastAsia"/>
          <w:lang w:val="en-US" w:eastAsia="zh-CN"/>
        </w:rPr>
        <w:t>阻断遗留废渣对地下水的污染途径，减少废渣堆对区域地下水的影响</w:t>
      </w:r>
      <w:r>
        <w:rPr>
          <w:rFonts w:hint="eastAsia"/>
          <w:highlight w:val="none"/>
          <w:lang w:val="en-US" w:eastAsia="zh-CN"/>
        </w:rPr>
        <w:t>。</w:t>
      </w:r>
    </w:p>
    <w:p w14:paraId="38E763F4">
      <w:pPr>
        <w:bidi w:val="0"/>
        <w:rPr>
          <w:rFonts w:hint="eastAsia"/>
          <w:highlight w:val="none"/>
          <w:lang w:val="en-US" w:eastAsia="zh-CN"/>
        </w:rPr>
      </w:pPr>
      <w:r>
        <w:rPr>
          <w:rFonts w:hint="eastAsia"/>
          <w:b/>
          <w:bCs/>
          <w:highlight w:val="none"/>
          <w:lang w:val="en-US" w:eastAsia="zh-CN"/>
        </w:rPr>
        <w:t>（2）非正常工况下地下水环境影响分析</w:t>
      </w:r>
    </w:p>
    <w:p w14:paraId="5395D9DD">
      <w:pPr>
        <w:rPr>
          <w:rFonts w:hint="eastAsia"/>
          <w:highlight w:val="none"/>
          <w:u w:val="none"/>
          <w:lang w:val="en-US" w:eastAsia="zh-CN"/>
        </w:rPr>
      </w:pPr>
      <w:r>
        <w:rPr>
          <w:rFonts w:hint="eastAsia"/>
          <w:highlight w:val="none"/>
          <w:u w:val="none"/>
          <w:lang w:val="en-US" w:eastAsia="zh-CN"/>
        </w:rPr>
        <w:t>①预测方法</w:t>
      </w:r>
    </w:p>
    <w:p w14:paraId="1BE1C9B2">
      <w:pPr>
        <w:rPr>
          <w:rFonts w:hint="eastAsia"/>
          <w:highlight w:val="none"/>
          <w:u w:val="none"/>
          <w:lang w:val="en-US" w:eastAsia="zh-CN"/>
        </w:rPr>
      </w:pPr>
      <w:r>
        <w:rPr>
          <w:rFonts w:hint="eastAsia"/>
          <w:highlight w:val="none"/>
          <w:u w:val="none"/>
          <w:lang w:val="en-US" w:eastAsia="zh-CN"/>
        </w:rPr>
        <w:t>根据《环境影响评价技术导则  地下水环境》（HJ610-2016）中建设项目行业分类和地下水环境敏感程度分级方法，本项目的地下水环境影响评价级别为二级，应采用数值法或者解析法对研究区域内地下水流场和污染物迁移进行模拟，在此，本项目采用解析法对地下水环境影响进行预测。</w:t>
      </w:r>
    </w:p>
    <w:p w14:paraId="5E86841C">
      <w:pPr>
        <w:rPr>
          <w:rFonts w:hint="default" w:ascii="Times New Roman" w:hAnsi="Times New Roman" w:cs="Times New Roman"/>
          <w:highlight w:val="none"/>
          <w:u w:val="none"/>
          <w:lang w:val="en-US" w:eastAsia="zh-CN"/>
        </w:rPr>
      </w:pPr>
      <w:r>
        <w:rPr>
          <w:rFonts w:hint="default" w:ascii="Times New Roman" w:hAnsi="Times New Roman" w:cs="Times New Roman"/>
          <w:highlight w:val="none"/>
          <w:u w:val="none"/>
          <w:lang w:val="en-US" w:eastAsia="zh-CN"/>
        </w:rPr>
        <w:t>②预测因子及评价标准</w:t>
      </w:r>
    </w:p>
    <w:p w14:paraId="6E95BC78">
      <w:pPr>
        <w:rPr>
          <w:rFonts w:hint="default" w:ascii="Times New Roman" w:hAnsi="Times New Roman" w:cs="Times New Roman"/>
          <w:strike w:val="0"/>
          <w:dstrike w:val="0"/>
          <w:highlight w:val="none"/>
          <w:u w:val="none"/>
          <w:lang w:val="en-US" w:eastAsia="zh-CN"/>
        </w:rPr>
      </w:pPr>
      <w:r>
        <w:rPr>
          <w:rFonts w:hint="default" w:ascii="Times New Roman" w:hAnsi="Times New Roman" w:cs="Times New Roman"/>
          <w:strike w:val="0"/>
          <w:dstrike w:val="0"/>
          <w:highlight w:val="none"/>
          <w:u w:val="none"/>
          <w:lang w:val="en-US" w:eastAsia="zh-CN"/>
        </w:rPr>
        <w:t>本项目</w:t>
      </w:r>
      <w:r>
        <w:rPr>
          <w:rFonts w:hint="eastAsia" w:ascii="Times New Roman" w:hAnsi="Times New Roman" w:cs="Times New Roman"/>
          <w:strike w:val="0"/>
          <w:dstrike w:val="0"/>
          <w:highlight w:val="none"/>
          <w:u w:val="none"/>
          <w:lang w:val="en-US" w:eastAsia="zh-CN"/>
        </w:rPr>
        <w:t>封场后场区内的渗滤液收集后，经一体化污水处理设备处理达标后，采用防腐、防漏的罐车运至湖南黄金天岳矿业有限公司垂拱洞尾矿库废水处理站进行处理</w:t>
      </w:r>
      <w:r>
        <w:rPr>
          <w:rFonts w:hint="default" w:ascii="Times New Roman" w:hAnsi="Times New Roman" w:cs="Times New Roman"/>
          <w:strike w:val="0"/>
          <w:dstrike w:val="0"/>
          <w:highlight w:val="none"/>
          <w:u w:val="none"/>
          <w:lang w:val="en-US" w:eastAsia="zh-CN"/>
        </w:rPr>
        <w:t>。本项目主要考虑</w:t>
      </w:r>
      <w:r>
        <w:rPr>
          <w:rFonts w:hint="eastAsia" w:ascii="Times New Roman" w:hAnsi="Times New Roman" w:cs="Times New Roman"/>
          <w:strike w:val="0"/>
          <w:dstrike w:val="0"/>
          <w:highlight w:val="none"/>
          <w:u w:val="none"/>
          <w:lang w:val="en-US" w:eastAsia="zh-CN"/>
        </w:rPr>
        <w:t>渗滤液</w:t>
      </w:r>
      <w:r>
        <w:rPr>
          <w:rFonts w:hint="default" w:ascii="Times New Roman" w:hAnsi="Times New Roman" w:cs="Times New Roman"/>
          <w:strike w:val="0"/>
          <w:dstrike w:val="0"/>
          <w:highlight w:val="none"/>
          <w:u w:val="none"/>
          <w:lang w:val="en-US" w:eastAsia="zh-CN"/>
        </w:rPr>
        <w:t>收集池发生渗漏，主要污染因子选取</w:t>
      </w:r>
      <w:r>
        <w:rPr>
          <w:rFonts w:hint="eastAsia" w:ascii="Times New Roman" w:hAnsi="Times New Roman" w:cs="Times New Roman"/>
          <w:strike w:val="0"/>
          <w:dstrike w:val="0"/>
          <w:highlight w:val="none"/>
          <w:u w:val="none"/>
          <w:lang w:val="en-US" w:eastAsia="zh-CN"/>
        </w:rPr>
        <w:t>废渣中水浸监测结果</w:t>
      </w:r>
      <w:r>
        <w:rPr>
          <w:rFonts w:hint="default" w:ascii="Times New Roman" w:hAnsi="Times New Roman" w:cs="Times New Roman"/>
          <w:strike w:val="0"/>
          <w:dstrike w:val="0"/>
          <w:highlight w:val="none"/>
          <w:u w:val="none"/>
          <w:lang w:val="en-US" w:eastAsia="zh-CN"/>
        </w:rPr>
        <w:t>较大的</w:t>
      </w:r>
      <w:r>
        <w:rPr>
          <w:rFonts w:hint="eastAsia" w:ascii="Times New Roman" w:hAnsi="Times New Roman" w:cs="Times New Roman"/>
          <w:strike w:val="0"/>
          <w:dstrike w:val="0"/>
          <w:highlight w:val="none"/>
          <w:u w:val="none"/>
          <w:lang w:val="en-US" w:eastAsia="zh-CN"/>
        </w:rPr>
        <w:t>砷、锌、铅</w:t>
      </w:r>
      <w:r>
        <w:rPr>
          <w:rFonts w:hint="default" w:ascii="Times New Roman" w:hAnsi="Times New Roman" w:cs="Times New Roman"/>
          <w:strike w:val="0"/>
          <w:dstrike w:val="0"/>
          <w:highlight w:val="none"/>
          <w:u w:val="none"/>
          <w:lang w:val="en-US" w:eastAsia="zh-CN"/>
        </w:rPr>
        <w:t>；根据《地下水质量标准》Ⅲ类标准要求，</w:t>
      </w:r>
      <w:r>
        <w:rPr>
          <w:rFonts w:hint="eastAsia" w:ascii="Times New Roman" w:hAnsi="Times New Roman" w:cs="Times New Roman"/>
          <w:strike w:val="0"/>
          <w:dstrike w:val="0"/>
          <w:highlight w:val="none"/>
          <w:u w:val="none"/>
          <w:lang w:val="en-US" w:eastAsia="zh-CN"/>
        </w:rPr>
        <w:t>砷</w:t>
      </w:r>
      <w:r>
        <w:rPr>
          <w:rFonts w:hint="default" w:ascii="Times New Roman" w:hAnsi="Times New Roman" w:cs="Times New Roman"/>
          <w:strike w:val="0"/>
          <w:dstrike w:val="0"/>
          <w:highlight w:val="none"/>
          <w:u w:val="none"/>
          <w:lang w:val="en-US" w:eastAsia="zh-CN"/>
        </w:rPr>
        <w:t>限值为≤0.0</w:t>
      </w:r>
      <w:r>
        <w:rPr>
          <w:rFonts w:hint="eastAsia" w:ascii="Times New Roman" w:hAnsi="Times New Roman" w:cs="Times New Roman"/>
          <w:strike w:val="0"/>
          <w:dstrike w:val="0"/>
          <w:highlight w:val="none"/>
          <w:u w:val="none"/>
          <w:lang w:val="en-US" w:eastAsia="zh-CN"/>
        </w:rPr>
        <w:t>1</w:t>
      </w:r>
      <w:r>
        <w:rPr>
          <w:rFonts w:hint="default" w:ascii="Times New Roman" w:hAnsi="Times New Roman" w:cs="Times New Roman"/>
          <w:strike w:val="0"/>
          <w:dstrike w:val="0"/>
          <w:highlight w:val="none"/>
          <w:u w:val="none"/>
          <w:lang w:val="en-US" w:eastAsia="zh-CN"/>
        </w:rPr>
        <w:t>mg/L</w:t>
      </w:r>
      <w:r>
        <w:rPr>
          <w:rFonts w:hint="eastAsia" w:ascii="Times New Roman" w:hAnsi="Times New Roman" w:cs="Times New Roman"/>
          <w:strike w:val="0"/>
          <w:dstrike w:val="0"/>
          <w:highlight w:val="none"/>
          <w:u w:val="none"/>
          <w:lang w:val="en-US" w:eastAsia="zh-CN"/>
        </w:rPr>
        <w:t>、锌</w:t>
      </w:r>
      <w:r>
        <w:rPr>
          <w:rFonts w:hint="default" w:ascii="Times New Roman" w:hAnsi="Times New Roman" w:cs="Times New Roman"/>
          <w:strike w:val="0"/>
          <w:dstrike w:val="0"/>
          <w:highlight w:val="none"/>
          <w:u w:val="none"/>
          <w:lang w:val="en-US" w:eastAsia="zh-CN"/>
        </w:rPr>
        <w:t>限值为≤</w:t>
      </w:r>
      <w:r>
        <w:rPr>
          <w:rFonts w:hint="eastAsia" w:ascii="Times New Roman" w:hAnsi="Times New Roman" w:cs="Times New Roman"/>
          <w:strike w:val="0"/>
          <w:dstrike w:val="0"/>
          <w:highlight w:val="none"/>
          <w:u w:val="none"/>
          <w:lang w:val="en-US" w:eastAsia="zh-CN"/>
        </w:rPr>
        <w:t>1.0</w:t>
      </w:r>
      <w:r>
        <w:rPr>
          <w:rFonts w:hint="default" w:ascii="Times New Roman" w:hAnsi="Times New Roman" w:cs="Times New Roman"/>
          <w:strike w:val="0"/>
          <w:dstrike w:val="0"/>
          <w:highlight w:val="none"/>
          <w:u w:val="none"/>
          <w:lang w:val="en-US" w:eastAsia="zh-CN"/>
        </w:rPr>
        <w:t>mg/L</w:t>
      </w:r>
      <w:r>
        <w:rPr>
          <w:rFonts w:hint="eastAsia" w:ascii="Times New Roman" w:hAnsi="Times New Roman" w:cs="Times New Roman"/>
          <w:strike w:val="0"/>
          <w:dstrike w:val="0"/>
          <w:highlight w:val="none"/>
          <w:u w:val="none"/>
          <w:lang w:val="en-US" w:eastAsia="zh-CN"/>
        </w:rPr>
        <w:t>、铅</w:t>
      </w:r>
      <w:r>
        <w:rPr>
          <w:rFonts w:hint="default" w:ascii="Times New Roman" w:hAnsi="Times New Roman" w:cs="Times New Roman"/>
          <w:strike w:val="0"/>
          <w:dstrike w:val="0"/>
          <w:highlight w:val="none"/>
          <w:u w:val="none"/>
          <w:lang w:val="en-US" w:eastAsia="zh-CN"/>
        </w:rPr>
        <w:t>限值为≤0.0</w:t>
      </w:r>
      <w:r>
        <w:rPr>
          <w:rFonts w:hint="eastAsia" w:ascii="Times New Roman" w:hAnsi="Times New Roman" w:cs="Times New Roman"/>
          <w:strike w:val="0"/>
          <w:dstrike w:val="0"/>
          <w:highlight w:val="none"/>
          <w:u w:val="none"/>
          <w:lang w:val="en-US" w:eastAsia="zh-CN"/>
        </w:rPr>
        <w:t>1</w:t>
      </w:r>
      <w:r>
        <w:rPr>
          <w:rFonts w:hint="default" w:ascii="Times New Roman" w:hAnsi="Times New Roman" w:cs="Times New Roman"/>
          <w:strike w:val="0"/>
          <w:dstrike w:val="0"/>
          <w:highlight w:val="none"/>
          <w:u w:val="none"/>
          <w:lang w:val="en-US" w:eastAsia="zh-CN"/>
        </w:rPr>
        <w:t>mg/L。</w:t>
      </w:r>
    </w:p>
    <w:p w14:paraId="4A85B5C3">
      <w:pPr>
        <w:rPr>
          <w:rFonts w:hint="eastAsia"/>
          <w:highlight w:val="none"/>
          <w:u w:val="none"/>
          <w:lang w:val="en-US" w:eastAsia="zh-CN"/>
        </w:rPr>
      </w:pPr>
      <w:r>
        <w:rPr>
          <w:rFonts w:hint="eastAsia"/>
          <w:highlight w:val="none"/>
          <w:u w:val="none"/>
          <w:lang w:val="en-US" w:eastAsia="zh-CN"/>
        </w:rPr>
        <w:t>③评价预测范围</w:t>
      </w:r>
    </w:p>
    <w:p w14:paraId="39A61F4D">
      <w:pPr>
        <w:rPr>
          <w:rFonts w:hint="eastAsia"/>
          <w:highlight w:val="none"/>
          <w:u w:val="none"/>
          <w:lang w:val="en-US" w:eastAsia="zh-CN"/>
        </w:rPr>
      </w:pPr>
      <w:r>
        <w:rPr>
          <w:rFonts w:hint="eastAsia"/>
          <w:highlight w:val="none"/>
          <w:u w:val="none"/>
          <w:lang w:val="en-US" w:eastAsia="zh-CN"/>
        </w:rPr>
        <w:t>根据项目场区所处的地理位置，从水文地质条件上分析，工程建设后会对附近地下水产生污染潜势，本次确定地下水环境影响预测范围与调查评价范围一致，以场址为中心面积约为20km</w:t>
      </w:r>
      <w:r>
        <w:rPr>
          <w:rFonts w:hint="eastAsia"/>
          <w:highlight w:val="none"/>
          <w:u w:val="none"/>
          <w:vertAlign w:val="superscript"/>
          <w:lang w:val="en-US" w:eastAsia="zh-CN"/>
        </w:rPr>
        <w:t>2</w:t>
      </w:r>
      <w:r>
        <w:rPr>
          <w:rFonts w:hint="eastAsia"/>
          <w:highlight w:val="none"/>
          <w:u w:val="none"/>
          <w:lang w:val="en-US" w:eastAsia="zh-CN"/>
        </w:rPr>
        <w:t>的区域，重点预测项目填埋场周边区域。</w:t>
      </w:r>
    </w:p>
    <w:p w14:paraId="1099CB87">
      <w:pPr>
        <w:rPr>
          <w:rFonts w:hint="eastAsia"/>
          <w:highlight w:val="none"/>
          <w:u w:val="none"/>
          <w:lang w:val="en-US" w:eastAsia="zh-CN"/>
        </w:rPr>
      </w:pPr>
      <w:r>
        <w:rPr>
          <w:rFonts w:hint="eastAsia"/>
          <w:highlight w:val="none"/>
          <w:u w:val="none"/>
          <w:lang w:val="en-US" w:eastAsia="zh-CN"/>
        </w:rPr>
        <w:t>④评价预测时段</w:t>
      </w:r>
    </w:p>
    <w:p w14:paraId="022BB851">
      <w:pPr>
        <w:rPr>
          <w:rFonts w:hint="eastAsia"/>
          <w:highlight w:val="none"/>
          <w:u w:val="none"/>
          <w:lang w:val="en-US" w:eastAsia="zh-CN"/>
        </w:rPr>
      </w:pPr>
      <w:r>
        <w:rPr>
          <w:rFonts w:hint="eastAsia"/>
          <w:highlight w:val="none"/>
          <w:u w:val="none"/>
          <w:lang w:val="en-US" w:eastAsia="zh-CN"/>
        </w:rPr>
        <w:t>根据本建设项目的类型，结合《环境影响评价技术导则  地下水环境》（HJ610-2016）的规定，项目的评价预测时段可以分为以下关键时段：污染发生后10天、污染发生后100天、污染发生后1000天。</w:t>
      </w:r>
    </w:p>
    <w:p w14:paraId="1E2F4760">
      <w:pPr>
        <w:rPr>
          <w:rFonts w:hint="eastAsia"/>
          <w:highlight w:val="none"/>
          <w:u w:val="none"/>
          <w:lang w:val="en-US" w:eastAsia="zh-CN"/>
        </w:rPr>
      </w:pPr>
      <w:r>
        <w:rPr>
          <w:rFonts w:hint="eastAsia"/>
          <w:highlight w:val="none"/>
          <w:u w:val="none"/>
          <w:lang w:val="en-US" w:eastAsia="zh-CN"/>
        </w:rPr>
        <w:t>⑤预测结果</w:t>
      </w:r>
    </w:p>
    <w:p w14:paraId="7F96A481">
      <w:pPr>
        <w:rPr>
          <w:rFonts w:hint="eastAsia"/>
          <w:highlight w:val="none"/>
          <w:u w:val="none"/>
          <w:lang w:val="en-US" w:eastAsia="zh-CN"/>
        </w:rPr>
      </w:pPr>
      <w:r>
        <w:rPr>
          <w:rFonts w:hint="eastAsia"/>
          <w:highlight w:val="none"/>
          <w:u w:val="none"/>
          <w:lang w:val="en-US" w:eastAsia="zh-CN"/>
        </w:rPr>
        <w:t>根据《给水排水构筑物工程施工及验收规范》（GB50141-2008）9.2.6条，正常情况下钢筋混凝土结构水池渗水量不得超过2L/（</w:t>
      </w:r>
      <w:r>
        <w:rPr>
          <w:rFonts w:hint="default" w:ascii="Times New Roman" w:hAnsi="Times New Roman" w:cs="Times New Roman"/>
          <w:highlight w:val="none"/>
          <w:u w:val="none"/>
          <w:lang w:val="en-US" w:eastAsia="zh-CN"/>
        </w:rPr>
        <w:t>m</w:t>
      </w:r>
      <w:r>
        <w:rPr>
          <w:rFonts w:hint="default" w:ascii="Times New Roman" w:hAnsi="Times New Roman" w:cs="Times New Roman"/>
          <w:highlight w:val="none"/>
          <w:u w:val="none"/>
          <w:vertAlign w:val="superscript"/>
          <w:lang w:val="en-US" w:eastAsia="zh-CN"/>
        </w:rPr>
        <w:t>2</w:t>
      </w:r>
      <w:r>
        <w:rPr>
          <w:rFonts w:hint="default" w:ascii="Times New Roman" w:hAnsi="Times New Roman" w:cs="Times New Roman"/>
          <w:highlight w:val="none"/>
          <w:u w:val="none"/>
          <w:lang w:val="en-US" w:eastAsia="zh-CN"/>
        </w:rPr>
        <w:t>·d</w:t>
      </w:r>
      <w:r>
        <w:rPr>
          <w:rFonts w:hint="eastAsia"/>
          <w:highlight w:val="none"/>
          <w:u w:val="none"/>
          <w:lang w:val="en-US" w:eastAsia="zh-CN"/>
        </w:rPr>
        <w:t>），本评价中非正常状况下的渗透系数按GB50141中限值的10倍考虑，即废水渗透强度为20L/（</w:t>
      </w:r>
      <w:r>
        <w:rPr>
          <w:rFonts w:hint="default" w:ascii="Times New Roman" w:hAnsi="Times New Roman" w:cs="Times New Roman"/>
          <w:highlight w:val="none"/>
          <w:u w:val="none"/>
          <w:lang w:val="en-US" w:eastAsia="zh-CN"/>
        </w:rPr>
        <w:t>m</w:t>
      </w:r>
      <w:r>
        <w:rPr>
          <w:rFonts w:hint="default" w:ascii="Times New Roman" w:hAnsi="Times New Roman" w:cs="Times New Roman"/>
          <w:highlight w:val="none"/>
          <w:u w:val="none"/>
          <w:vertAlign w:val="superscript"/>
          <w:lang w:val="en-US" w:eastAsia="zh-CN"/>
        </w:rPr>
        <w:t>2</w:t>
      </w:r>
      <w:r>
        <w:rPr>
          <w:rFonts w:hint="default" w:ascii="Times New Roman" w:hAnsi="Times New Roman" w:cs="Times New Roman"/>
          <w:highlight w:val="none"/>
          <w:u w:val="none"/>
          <w:lang w:val="en-US" w:eastAsia="zh-CN"/>
        </w:rPr>
        <w:t>·d</w:t>
      </w:r>
      <w:r>
        <w:rPr>
          <w:rFonts w:hint="eastAsia"/>
          <w:highlight w:val="none"/>
          <w:u w:val="none"/>
          <w:lang w:val="en-US" w:eastAsia="zh-CN"/>
        </w:rPr>
        <w:t>）。非正常状况下渗滤液收集池废水渗漏量按最不利情况考虑全部泄露即为48m</w:t>
      </w:r>
      <w:r>
        <w:rPr>
          <w:rFonts w:hint="eastAsia"/>
          <w:highlight w:val="none"/>
          <w:u w:val="none"/>
          <w:vertAlign w:val="superscript"/>
          <w:lang w:val="en-US" w:eastAsia="zh-CN"/>
        </w:rPr>
        <w:t>3</w:t>
      </w:r>
      <w:r>
        <w:rPr>
          <w:rFonts w:hint="eastAsia"/>
          <w:highlight w:val="none"/>
          <w:u w:val="none"/>
          <w:lang w:val="en-US" w:eastAsia="zh-CN"/>
        </w:rPr>
        <w:t>/d，根据工程分析，渗滤液砷产生浓度2.48mg/L、锌产生浓度0.27mg/L、铅产生浓度0.0396mg/L，则非正常状况下的砷渗入量为0.12kg/d、锌渗入量为0.013kg/d、铅渗入量为0.0019kg/d。</w:t>
      </w:r>
    </w:p>
    <w:p w14:paraId="64933158">
      <w:pPr>
        <w:rPr>
          <w:rFonts w:hint="eastAsia"/>
          <w:b/>
          <w:bCs/>
          <w:color w:val="auto"/>
          <w:highlight w:val="none"/>
          <w:u w:val="none"/>
          <w:lang w:val="en-US" w:eastAsia="zh-CN"/>
        </w:rPr>
      </w:pPr>
      <w:r>
        <w:rPr>
          <w:rFonts w:hint="eastAsia"/>
          <w:b/>
          <w:bCs/>
          <w:color w:val="auto"/>
          <w:highlight w:val="none"/>
          <w:u w:val="none"/>
          <w:lang w:val="en-US" w:eastAsia="zh-CN"/>
        </w:rPr>
        <w:t>预测模型及参数：</w:t>
      </w:r>
    </w:p>
    <w:p w14:paraId="34E35855">
      <w:pPr>
        <w:bidi w:val="0"/>
        <w:rPr>
          <w:rFonts w:hint="eastAsia"/>
          <w:highlight w:val="none"/>
          <w:u w:val="none"/>
          <w:lang w:val="en-US" w:eastAsia="zh-CN"/>
        </w:rPr>
      </w:pPr>
      <w:r>
        <w:rPr>
          <w:rFonts w:hint="eastAsia"/>
          <w:highlight w:val="none"/>
          <w:u w:val="none"/>
          <w:lang w:val="en-US" w:eastAsia="zh-CN"/>
        </w:rPr>
        <w:t>当渗滤液收集池破裂时，含有污染物的废水将以入渗的方式进入含水层，从保守角度，本次模拟计算忽略污染物在包气带的运移过程，建设场地地下水流向呈一维流动，地下水位动态稳定，因此污染物在浅层含水层中的迁移，可概化为瞬时注入示踪剂（平面瞬时点源）的一维稳定流动二维水动力弥散问题，当取平行地下水流动的方向为X轴正方向时，则污染物浓度分布模型如下：</w:t>
      </w:r>
    </w:p>
    <w:p w14:paraId="7AD69B5B">
      <w:pPr>
        <w:ind w:left="0" w:leftChars="0" w:firstLine="0" w:firstLineChars="0"/>
        <w:jc w:val="center"/>
        <w:rPr>
          <w:rFonts w:hint="eastAsia"/>
          <w:highlight w:val="yellow"/>
          <w:u w:val="none"/>
          <w:lang w:val="en-US" w:eastAsia="zh-CN"/>
        </w:rPr>
      </w:pPr>
      <w:r>
        <w:rPr>
          <w:rFonts w:ascii="Times New Roman" w:hAnsi="Times New Roman" w:eastAsia="宋体" w:cs="Times New Roman"/>
          <w:color w:val="0000FF"/>
          <w:kern w:val="0"/>
          <w:highlight w:val="none"/>
          <w:u w:val="none"/>
        </w:rPr>
        <w:drawing>
          <wp:inline distT="0" distB="0" distL="114300" distR="114300">
            <wp:extent cx="2438400" cy="666750"/>
            <wp:effectExtent l="0" t="0" r="0" b="0"/>
            <wp:docPr id="1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8"/>
                    <pic:cNvPicPr>
                      <a:picLocks noChangeAspect="1"/>
                    </pic:cNvPicPr>
                  </pic:nvPicPr>
                  <pic:blipFill>
                    <a:blip r:embed="rId76"/>
                    <a:stretch>
                      <a:fillRect/>
                    </a:stretch>
                  </pic:blipFill>
                  <pic:spPr>
                    <a:xfrm>
                      <a:off x="0" y="0"/>
                      <a:ext cx="2438400" cy="666750"/>
                    </a:xfrm>
                    <a:prstGeom prst="rect">
                      <a:avLst/>
                    </a:prstGeom>
                    <a:noFill/>
                    <a:ln>
                      <a:noFill/>
                    </a:ln>
                  </pic:spPr>
                </pic:pic>
              </a:graphicData>
            </a:graphic>
          </wp:inline>
        </w:drawing>
      </w:r>
    </w:p>
    <w:p w14:paraId="1479E1FE">
      <w:pPr>
        <w:keepNext w:val="0"/>
        <w:keepLines w:val="0"/>
        <w:pageBreakBefore w:val="0"/>
        <w:widowControl/>
        <w:kinsoku/>
        <w:wordWrap/>
        <w:overflowPunct/>
        <w:topLinePunct w:val="0"/>
        <w:autoSpaceDE/>
        <w:autoSpaceDN/>
        <w:bidi w:val="0"/>
        <w:adjustRightInd/>
        <w:snapToGrid/>
        <w:spacing w:line="360" w:lineRule="auto"/>
        <w:ind w:left="0" w:leftChars="0" w:firstLine="480" w:firstLineChars="200"/>
        <w:jc w:val="left"/>
        <w:textAlignment w:val="auto"/>
        <w:rPr>
          <w:rFonts w:ascii="Times New Roman" w:hAnsi="Times New Roman" w:eastAsia="宋体" w:cs="Times New Roman"/>
          <w:color w:val="auto"/>
          <w:kern w:val="0"/>
          <w:highlight w:val="none"/>
          <w:u w:val="none"/>
        </w:rPr>
      </w:pPr>
      <w:r>
        <w:rPr>
          <w:rFonts w:ascii="Times New Roman" w:hAnsi="Times New Roman" w:eastAsia="宋体" w:cs="Times New Roman"/>
          <w:color w:val="auto"/>
          <w:kern w:val="0"/>
          <w:highlight w:val="none"/>
          <w:u w:val="none"/>
        </w:rPr>
        <w:t>式中：x，y—计算点处的位置坐标；</w:t>
      </w:r>
    </w:p>
    <w:p w14:paraId="1390112B">
      <w:pPr>
        <w:keepNext w:val="0"/>
        <w:keepLines w:val="0"/>
        <w:pageBreakBefore w:val="0"/>
        <w:widowControl/>
        <w:kinsoku/>
        <w:wordWrap/>
        <w:overflowPunct/>
        <w:topLinePunct w:val="0"/>
        <w:autoSpaceDE/>
        <w:autoSpaceDN/>
        <w:bidi w:val="0"/>
        <w:adjustRightInd/>
        <w:snapToGrid/>
        <w:spacing w:line="360" w:lineRule="auto"/>
        <w:ind w:left="0" w:leftChars="0" w:firstLine="1200" w:firstLineChars="500"/>
        <w:jc w:val="left"/>
        <w:textAlignment w:val="auto"/>
        <w:rPr>
          <w:rFonts w:ascii="Times New Roman" w:hAnsi="Times New Roman" w:eastAsia="宋体" w:cs="Times New Roman"/>
          <w:color w:val="auto"/>
          <w:kern w:val="0"/>
          <w:highlight w:val="none"/>
          <w:u w:val="none"/>
        </w:rPr>
      </w:pPr>
      <w:r>
        <w:rPr>
          <w:rFonts w:ascii="Times New Roman" w:hAnsi="Times New Roman" w:eastAsia="宋体" w:cs="Times New Roman"/>
          <w:color w:val="auto"/>
          <w:kern w:val="0"/>
          <w:highlight w:val="none"/>
          <w:u w:val="none"/>
        </w:rPr>
        <w:t>t—时间，d；</w:t>
      </w:r>
    </w:p>
    <w:p w14:paraId="4D77EB44">
      <w:pPr>
        <w:keepNext w:val="0"/>
        <w:keepLines w:val="0"/>
        <w:pageBreakBefore w:val="0"/>
        <w:widowControl/>
        <w:kinsoku/>
        <w:wordWrap/>
        <w:overflowPunct/>
        <w:topLinePunct w:val="0"/>
        <w:autoSpaceDE/>
        <w:autoSpaceDN/>
        <w:bidi w:val="0"/>
        <w:adjustRightInd/>
        <w:snapToGrid/>
        <w:spacing w:line="360" w:lineRule="auto"/>
        <w:ind w:left="0" w:leftChars="0" w:firstLine="1200" w:firstLineChars="500"/>
        <w:jc w:val="left"/>
        <w:textAlignment w:val="auto"/>
        <w:rPr>
          <w:rFonts w:ascii="Times New Roman" w:hAnsi="Times New Roman" w:eastAsia="宋体" w:cs="Times New Roman"/>
          <w:color w:val="auto"/>
          <w:kern w:val="0"/>
          <w:highlight w:val="none"/>
          <w:u w:val="none"/>
        </w:rPr>
      </w:pPr>
      <w:r>
        <w:rPr>
          <w:rFonts w:ascii="Times New Roman" w:hAnsi="Times New Roman" w:eastAsia="宋体" w:cs="Times New Roman"/>
          <w:color w:val="auto"/>
          <w:kern w:val="0"/>
          <w:highlight w:val="none"/>
          <w:u w:val="none"/>
        </w:rPr>
        <w:t>C（x，y，t）—t时刻点x，y处的示踪剂浓度，mg/L；</w:t>
      </w:r>
    </w:p>
    <w:p w14:paraId="205770D6">
      <w:pPr>
        <w:keepNext w:val="0"/>
        <w:keepLines w:val="0"/>
        <w:pageBreakBefore w:val="0"/>
        <w:widowControl/>
        <w:kinsoku/>
        <w:wordWrap/>
        <w:overflowPunct/>
        <w:topLinePunct w:val="0"/>
        <w:autoSpaceDE/>
        <w:autoSpaceDN/>
        <w:bidi w:val="0"/>
        <w:adjustRightInd/>
        <w:snapToGrid/>
        <w:spacing w:line="360" w:lineRule="auto"/>
        <w:ind w:left="0" w:leftChars="0" w:firstLine="1200" w:firstLineChars="500"/>
        <w:jc w:val="left"/>
        <w:textAlignment w:val="auto"/>
        <w:rPr>
          <w:rFonts w:ascii="Times New Roman" w:hAnsi="Times New Roman" w:eastAsia="宋体" w:cs="Times New Roman"/>
          <w:color w:val="auto"/>
          <w:kern w:val="0"/>
          <w:highlight w:val="none"/>
          <w:u w:val="none"/>
        </w:rPr>
      </w:pPr>
      <w:r>
        <w:rPr>
          <w:rFonts w:ascii="Times New Roman" w:hAnsi="Times New Roman" w:eastAsia="宋体" w:cs="Times New Roman"/>
          <w:color w:val="auto"/>
          <w:kern w:val="0"/>
          <w:highlight w:val="none"/>
          <w:u w:val="none"/>
        </w:rPr>
        <w:t>M—含水层厚度，m；</w:t>
      </w:r>
    </w:p>
    <w:p w14:paraId="36177432">
      <w:pPr>
        <w:keepNext w:val="0"/>
        <w:keepLines w:val="0"/>
        <w:pageBreakBefore w:val="0"/>
        <w:widowControl/>
        <w:kinsoku/>
        <w:wordWrap/>
        <w:overflowPunct/>
        <w:topLinePunct w:val="0"/>
        <w:autoSpaceDE/>
        <w:autoSpaceDN/>
        <w:bidi w:val="0"/>
        <w:adjustRightInd/>
        <w:snapToGrid/>
        <w:spacing w:line="360" w:lineRule="auto"/>
        <w:ind w:left="0" w:leftChars="0" w:firstLine="1200" w:firstLineChars="500"/>
        <w:jc w:val="left"/>
        <w:textAlignment w:val="auto"/>
        <w:rPr>
          <w:rFonts w:ascii="Times New Roman" w:hAnsi="Times New Roman" w:eastAsia="宋体" w:cs="Times New Roman"/>
          <w:color w:val="auto"/>
          <w:kern w:val="0"/>
          <w:highlight w:val="none"/>
          <w:u w:val="none"/>
        </w:rPr>
      </w:pPr>
      <w:r>
        <w:rPr>
          <w:rFonts w:ascii="Times New Roman" w:hAnsi="Times New Roman" w:eastAsia="宋体" w:cs="Times New Roman"/>
          <w:color w:val="auto"/>
          <w:kern w:val="0"/>
          <w:highlight w:val="none"/>
          <w:u w:val="none"/>
        </w:rPr>
        <w:t>m</w:t>
      </w:r>
      <w:r>
        <w:rPr>
          <w:rFonts w:ascii="Times New Roman" w:hAnsi="Times New Roman" w:eastAsia="宋体" w:cs="Times New Roman"/>
          <w:color w:val="auto"/>
          <w:kern w:val="0"/>
          <w:highlight w:val="none"/>
          <w:u w:val="none"/>
          <w:vertAlign w:val="subscript"/>
        </w:rPr>
        <w:t>M</w:t>
      </w:r>
      <w:r>
        <w:rPr>
          <w:rFonts w:ascii="Times New Roman" w:hAnsi="Times New Roman" w:eastAsia="宋体" w:cs="Times New Roman"/>
          <w:color w:val="auto"/>
          <w:kern w:val="0"/>
          <w:highlight w:val="none"/>
          <w:u w:val="none"/>
        </w:rPr>
        <w:t>—长度为M的线源瞬时注入的示踪剂质量，kg；</w:t>
      </w:r>
    </w:p>
    <w:p w14:paraId="257B4583">
      <w:pPr>
        <w:keepNext w:val="0"/>
        <w:keepLines w:val="0"/>
        <w:pageBreakBefore w:val="0"/>
        <w:widowControl/>
        <w:kinsoku/>
        <w:wordWrap/>
        <w:overflowPunct/>
        <w:topLinePunct w:val="0"/>
        <w:autoSpaceDE/>
        <w:autoSpaceDN/>
        <w:bidi w:val="0"/>
        <w:adjustRightInd/>
        <w:snapToGrid/>
        <w:spacing w:line="360" w:lineRule="auto"/>
        <w:ind w:left="0" w:leftChars="0" w:firstLine="1200" w:firstLineChars="500"/>
        <w:jc w:val="left"/>
        <w:textAlignment w:val="auto"/>
        <w:rPr>
          <w:rFonts w:ascii="Times New Roman" w:hAnsi="Times New Roman" w:eastAsia="宋体" w:cs="Times New Roman"/>
          <w:color w:val="auto"/>
          <w:kern w:val="0"/>
          <w:highlight w:val="none"/>
          <w:u w:val="none"/>
        </w:rPr>
      </w:pPr>
      <w:r>
        <w:rPr>
          <w:rFonts w:ascii="Times New Roman" w:hAnsi="Times New Roman" w:eastAsia="宋体" w:cs="Times New Roman"/>
          <w:color w:val="auto"/>
          <w:kern w:val="0"/>
          <w:highlight w:val="none"/>
          <w:u w:val="none"/>
        </w:rPr>
        <w:t>u—水流速度，m/d；</w:t>
      </w:r>
    </w:p>
    <w:p w14:paraId="620A69F9">
      <w:pPr>
        <w:keepNext w:val="0"/>
        <w:keepLines w:val="0"/>
        <w:pageBreakBefore w:val="0"/>
        <w:widowControl/>
        <w:kinsoku/>
        <w:wordWrap/>
        <w:overflowPunct/>
        <w:topLinePunct w:val="0"/>
        <w:autoSpaceDE/>
        <w:autoSpaceDN/>
        <w:bidi w:val="0"/>
        <w:adjustRightInd/>
        <w:snapToGrid/>
        <w:spacing w:line="360" w:lineRule="auto"/>
        <w:ind w:left="0" w:leftChars="0" w:firstLine="1200" w:firstLineChars="500"/>
        <w:jc w:val="left"/>
        <w:textAlignment w:val="auto"/>
        <w:rPr>
          <w:rFonts w:ascii="Times New Roman" w:hAnsi="Times New Roman" w:eastAsia="宋体" w:cs="Times New Roman"/>
          <w:color w:val="auto"/>
          <w:kern w:val="0"/>
          <w:highlight w:val="none"/>
          <w:u w:val="none"/>
        </w:rPr>
      </w:pPr>
      <w:r>
        <w:rPr>
          <w:rFonts w:ascii="Times New Roman" w:hAnsi="Times New Roman" w:eastAsia="宋体" w:cs="Times New Roman"/>
          <w:color w:val="auto"/>
          <w:kern w:val="0"/>
          <w:highlight w:val="none"/>
          <w:u w:val="none"/>
        </w:rPr>
        <w:t>n—有效孔隙度，无量纲；</w:t>
      </w:r>
    </w:p>
    <w:p w14:paraId="6B8D7DEA">
      <w:pPr>
        <w:keepNext w:val="0"/>
        <w:keepLines w:val="0"/>
        <w:pageBreakBefore w:val="0"/>
        <w:widowControl/>
        <w:kinsoku/>
        <w:wordWrap/>
        <w:overflowPunct/>
        <w:topLinePunct w:val="0"/>
        <w:autoSpaceDE/>
        <w:autoSpaceDN/>
        <w:bidi w:val="0"/>
        <w:adjustRightInd/>
        <w:snapToGrid/>
        <w:spacing w:line="360" w:lineRule="auto"/>
        <w:ind w:left="0" w:leftChars="0" w:firstLine="1200" w:firstLineChars="500"/>
        <w:jc w:val="left"/>
        <w:textAlignment w:val="auto"/>
        <w:rPr>
          <w:rFonts w:ascii="Times New Roman" w:hAnsi="Times New Roman" w:eastAsia="宋体" w:cs="Times New Roman"/>
          <w:color w:val="auto"/>
          <w:kern w:val="0"/>
          <w:highlight w:val="none"/>
          <w:u w:val="none"/>
        </w:rPr>
      </w:pPr>
      <w:r>
        <w:rPr>
          <w:rFonts w:ascii="Times New Roman" w:hAnsi="Times New Roman" w:eastAsia="宋体" w:cs="Times New Roman"/>
          <w:color w:val="auto"/>
          <w:kern w:val="0"/>
          <w:highlight w:val="none"/>
          <w:u w:val="none"/>
        </w:rPr>
        <w:t>D</w:t>
      </w:r>
      <w:r>
        <w:rPr>
          <w:rFonts w:ascii="Times New Roman" w:hAnsi="Times New Roman" w:eastAsia="宋体" w:cs="Times New Roman"/>
          <w:color w:val="auto"/>
          <w:kern w:val="0"/>
          <w:highlight w:val="none"/>
          <w:u w:val="none"/>
          <w:vertAlign w:val="subscript"/>
        </w:rPr>
        <w:t>L</w:t>
      </w:r>
      <w:r>
        <w:rPr>
          <w:rFonts w:ascii="Times New Roman" w:hAnsi="Times New Roman" w:eastAsia="宋体" w:cs="Times New Roman"/>
          <w:color w:val="auto"/>
          <w:kern w:val="0"/>
          <w:highlight w:val="none"/>
          <w:u w:val="none"/>
        </w:rPr>
        <w:t>—纵向弥散系数</w:t>
      </w:r>
      <w:r>
        <w:rPr>
          <w:rFonts w:ascii="Times New Roman" w:hAnsi="Times New Roman" w:eastAsia="宋体" w:cs="Times New Roman"/>
          <w:i/>
          <w:iCs/>
          <w:color w:val="auto"/>
          <w:kern w:val="0"/>
          <w:highlight w:val="none"/>
          <w:u w:val="none"/>
        </w:rPr>
        <w:t>，</w:t>
      </w:r>
      <w:r>
        <w:rPr>
          <w:rFonts w:ascii="Times New Roman" w:hAnsi="Times New Roman" w:eastAsia="宋体" w:cs="Times New Roman"/>
          <w:color w:val="auto"/>
          <w:kern w:val="0"/>
          <w:highlight w:val="none"/>
          <w:u w:val="none"/>
        </w:rPr>
        <w:t>m</w:t>
      </w:r>
      <w:r>
        <w:rPr>
          <w:rFonts w:ascii="Times New Roman" w:hAnsi="Times New Roman" w:eastAsia="宋体" w:cs="Times New Roman"/>
          <w:color w:val="auto"/>
          <w:kern w:val="0"/>
          <w:highlight w:val="none"/>
          <w:u w:val="none"/>
          <w:vertAlign w:val="superscript"/>
        </w:rPr>
        <w:t>2</w:t>
      </w:r>
      <w:r>
        <w:rPr>
          <w:rFonts w:ascii="Times New Roman" w:hAnsi="Times New Roman" w:eastAsia="宋体" w:cs="Times New Roman"/>
          <w:color w:val="auto"/>
          <w:kern w:val="0"/>
          <w:highlight w:val="none"/>
          <w:u w:val="none"/>
        </w:rPr>
        <w:t>/d；</w:t>
      </w:r>
    </w:p>
    <w:p w14:paraId="446E92CE">
      <w:pPr>
        <w:keepNext w:val="0"/>
        <w:keepLines w:val="0"/>
        <w:pageBreakBefore w:val="0"/>
        <w:widowControl/>
        <w:kinsoku/>
        <w:wordWrap/>
        <w:overflowPunct/>
        <w:topLinePunct w:val="0"/>
        <w:autoSpaceDE/>
        <w:autoSpaceDN/>
        <w:bidi w:val="0"/>
        <w:adjustRightInd/>
        <w:snapToGrid/>
        <w:spacing w:line="360" w:lineRule="auto"/>
        <w:ind w:left="0" w:leftChars="0" w:firstLine="1200" w:firstLineChars="500"/>
        <w:jc w:val="left"/>
        <w:textAlignment w:val="auto"/>
        <w:rPr>
          <w:rFonts w:ascii="Times New Roman" w:hAnsi="Times New Roman" w:eastAsia="宋体" w:cs="Times New Roman"/>
          <w:color w:val="auto"/>
          <w:kern w:val="0"/>
          <w:highlight w:val="none"/>
          <w:u w:val="none"/>
        </w:rPr>
      </w:pPr>
      <w:r>
        <w:rPr>
          <w:rFonts w:ascii="Times New Roman" w:hAnsi="Times New Roman" w:eastAsia="宋体" w:cs="Times New Roman"/>
          <w:color w:val="auto"/>
          <w:kern w:val="0"/>
          <w:highlight w:val="none"/>
          <w:u w:val="none"/>
        </w:rPr>
        <w:t>D</w:t>
      </w:r>
      <w:r>
        <w:rPr>
          <w:rFonts w:ascii="Times New Roman" w:hAnsi="Times New Roman" w:eastAsia="宋体" w:cs="Times New Roman"/>
          <w:color w:val="auto"/>
          <w:kern w:val="0"/>
          <w:highlight w:val="none"/>
          <w:u w:val="none"/>
          <w:vertAlign w:val="subscript"/>
        </w:rPr>
        <w:t>T</w:t>
      </w:r>
      <w:r>
        <w:rPr>
          <w:rFonts w:ascii="Times New Roman" w:hAnsi="Times New Roman" w:eastAsia="宋体" w:cs="Times New Roman"/>
          <w:color w:val="auto"/>
          <w:kern w:val="0"/>
          <w:highlight w:val="none"/>
          <w:u w:val="none"/>
        </w:rPr>
        <w:t>—横向y方向的弥散系数，m</w:t>
      </w:r>
      <w:r>
        <w:rPr>
          <w:rFonts w:ascii="Times New Roman" w:hAnsi="Times New Roman" w:eastAsia="宋体" w:cs="Times New Roman"/>
          <w:color w:val="auto"/>
          <w:kern w:val="0"/>
          <w:highlight w:val="none"/>
          <w:u w:val="none"/>
          <w:vertAlign w:val="superscript"/>
        </w:rPr>
        <w:t>2</w:t>
      </w:r>
      <w:r>
        <w:rPr>
          <w:rFonts w:ascii="Times New Roman" w:hAnsi="Times New Roman" w:eastAsia="宋体" w:cs="Times New Roman"/>
          <w:color w:val="auto"/>
          <w:kern w:val="0"/>
          <w:highlight w:val="none"/>
          <w:u w:val="none"/>
        </w:rPr>
        <w:t>/d；</w:t>
      </w:r>
    </w:p>
    <w:p w14:paraId="345BE376">
      <w:pPr>
        <w:keepNext w:val="0"/>
        <w:keepLines w:val="0"/>
        <w:pageBreakBefore w:val="0"/>
        <w:widowControl/>
        <w:tabs>
          <w:tab w:val="left" w:pos="1021"/>
        </w:tabs>
        <w:kinsoku/>
        <w:wordWrap/>
        <w:overflowPunct/>
        <w:topLinePunct w:val="0"/>
        <w:autoSpaceDE/>
        <w:autoSpaceDN/>
        <w:bidi w:val="0"/>
        <w:adjustRightInd/>
        <w:snapToGrid/>
        <w:spacing w:line="360" w:lineRule="auto"/>
        <w:ind w:left="0" w:leftChars="0" w:firstLine="1200" w:firstLineChars="500"/>
        <w:jc w:val="left"/>
        <w:textAlignment w:val="auto"/>
        <w:rPr>
          <w:rFonts w:ascii="Times New Roman" w:hAnsi="Times New Roman" w:eastAsia="宋体" w:cs="Times New Roman"/>
          <w:color w:val="auto"/>
          <w:kern w:val="0"/>
          <w:highlight w:val="none"/>
          <w:u w:val="none"/>
        </w:rPr>
      </w:pPr>
      <w:r>
        <w:rPr>
          <w:rFonts w:ascii="Times New Roman" w:hAnsi="Times New Roman" w:eastAsia="宋体" w:cs="Times New Roman"/>
          <w:color w:val="auto"/>
          <w:kern w:val="0"/>
          <w:highlight w:val="none"/>
          <w:u w:val="none"/>
        </w:rPr>
        <w:t>π—圆周率。</w:t>
      </w:r>
    </w:p>
    <w:p w14:paraId="38CF58BF">
      <w:pPr>
        <w:rPr>
          <w:rFonts w:hint="eastAsia"/>
          <w:color w:val="auto"/>
          <w:highlight w:val="none"/>
          <w:u w:val="none"/>
          <w:lang w:val="en-US" w:eastAsia="zh-CN"/>
        </w:rPr>
      </w:pPr>
      <w:r>
        <w:rPr>
          <w:rFonts w:ascii="Times New Roman" w:hAnsi="Times New Roman" w:eastAsia="宋体" w:cs="Times New Roman"/>
          <w:color w:val="auto"/>
          <w:kern w:val="0"/>
          <w:highlight w:val="none"/>
          <w:u w:val="none"/>
        </w:rPr>
        <w:t>模型需要的参数有：含水层厚度M；外泄污染物质量m；土层的有效孔隙度n</w:t>
      </w:r>
      <w:r>
        <w:rPr>
          <w:rFonts w:ascii="Times New Roman" w:hAnsi="Times New Roman" w:eastAsia="宋体" w:cs="Times New Roman"/>
          <w:color w:val="auto"/>
          <w:kern w:val="0"/>
          <w:highlight w:val="none"/>
          <w:u w:val="none"/>
          <w:vertAlign w:val="subscript"/>
        </w:rPr>
        <w:t>e</w:t>
      </w:r>
      <w:r>
        <w:rPr>
          <w:rFonts w:ascii="Times New Roman" w:hAnsi="Times New Roman" w:eastAsia="宋体" w:cs="Times New Roman"/>
          <w:color w:val="auto"/>
          <w:kern w:val="0"/>
          <w:highlight w:val="none"/>
          <w:u w:val="none"/>
        </w:rPr>
        <w:t>；水流的实际平均速度u；污染物在土层中的纵向弥散系数。这些参数主要由现场调查、水文地质试验或类比相同土层的成果资料确定。</w:t>
      </w:r>
    </w:p>
    <w:p w14:paraId="166ED1BD">
      <w:pPr>
        <w:rPr>
          <w:rFonts w:hint="eastAsia"/>
          <w:highlight w:val="none"/>
          <w:u w:val="none"/>
          <w:lang w:val="en-US" w:eastAsia="zh-CN"/>
        </w:rPr>
      </w:pPr>
      <w:r>
        <w:rPr>
          <w:rFonts w:hint="eastAsia"/>
          <w:highlight w:val="none"/>
          <w:u w:val="none"/>
          <w:lang w:val="en-US" w:eastAsia="zh-CN"/>
        </w:rPr>
        <w:t>a.水层的厚度M</w:t>
      </w:r>
    </w:p>
    <w:p w14:paraId="6600DA7D">
      <w:pPr>
        <w:rPr>
          <w:rFonts w:hint="eastAsia"/>
          <w:highlight w:val="none"/>
          <w:u w:val="none"/>
          <w:lang w:val="en-US" w:eastAsia="zh-CN"/>
        </w:rPr>
      </w:pPr>
      <w:r>
        <w:rPr>
          <w:rFonts w:hint="eastAsia"/>
          <w:highlight w:val="none"/>
          <w:u w:val="none"/>
          <w:lang w:val="en-US" w:eastAsia="zh-CN"/>
        </w:rPr>
        <w:t>根据现场实地调查，非正常状况下受到污染的地下水为松散岩类孔隙水，主要含水层为细砂，根据本次工程勘察工作可知，含水层顶平均数作为计算参数，根据《平江县三阳乡南尧村片区（垂拱组、仙人组）历史遗留重金属废渣整治项目工程详细勘察报告》，目前完成钻孔揭露该层层厚为</w:t>
      </w:r>
      <w:r>
        <w:rPr>
          <w:rFonts w:hint="eastAsia"/>
          <w:highlight w:val="none"/>
          <w:lang w:val="en-US" w:eastAsia="zh-CN"/>
        </w:rPr>
        <w:t>1.50~8.50m</w:t>
      </w:r>
      <w:r>
        <w:rPr>
          <w:rFonts w:hint="eastAsia"/>
          <w:highlight w:val="none"/>
          <w:u w:val="none"/>
          <w:lang w:val="en-US" w:eastAsia="zh-CN"/>
        </w:rPr>
        <w:t>。因此本次预测场地内潜水含水层厚度M为10m。</w:t>
      </w:r>
    </w:p>
    <w:p w14:paraId="66511BE3">
      <w:pPr>
        <w:rPr>
          <w:rFonts w:hint="eastAsia"/>
          <w:highlight w:val="none"/>
          <w:u w:val="none"/>
          <w:lang w:val="en-US" w:eastAsia="zh-CN"/>
        </w:rPr>
      </w:pPr>
      <w:r>
        <w:rPr>
          <w:rFonts w:hint="eastAsia"/>
          <w:highlight w:val="none"/>
          <w:u w:val="none"/>
          <w:lang w:val="en-US" w:eastAsia="zh-CN"/>
        </w:rPr>
        <w:t>b.土层的有效孔隙度n</w:t>
      </w:r>
      <w:r>
        <w:rPr>
          <w:rFonts w:hint="eastAsia"/>
          <w:highlight w:val="none"/>
          <w:u w:val="none"/>
          <w:vertAlign w:val="subscript"/>
          <w:lang w:val="en-US" w:eastAsia="zh-CN"/>
        </w:rPr>
        <w:t>e</w:t>
      </w:r>
    </w:p>
    <w:p w14:paraId="20670571">
      <w:pPr>
        <w:rPr>
          <w:rFonts w:hint="eastAsia"/>
          <w:highlight w:val="none"/>
          <w:u w:val="none"/>
          <w:lang w:val="en-US" w:eastAsia="zh-CN"/>
        </w:rPr>
      </w:pPr>
      <w:r>
        <w:rPr>
          <w:rFonts w:hint="eastAsia"/>
          <w:highlight w:val="none"/>
          <w:u w:val="none"/>
          <w:lang w:val="en-US" w:eastAsia="zh-CN"/>
        </w:rPr>
        <w:t>根据相关经验系数，细沙有效孔隙度为0.3。</w:t>
      </w:r>
    </w:p>
    <w:p w14:paraId="539BD4B3">
      <w:pPr>
        <w:rPr>
          <w:rFonts w:hint="eastAsia"/>
          <w:highlight w:val="none"/>
          <w:u w:val="none"/>
          <w:lang w:val="en-US" w:eastAsia="zh-CN"/>
        </w:rPr>
      </w:pPr>
      <w:r>
        <w:rPr>
          <w:rFonts w:hint="eastAsia"/>
          <w:highlight w:val="none"/>
          <w:u w:val="none"/>
          <w:lang w:val="en-US" w:eastAsia="zh-CN"/>
        </w:rPr>
        <w:t>c.地下水平均流速</w:t>
      </w:r>
    </w:p>
    <w:p w14:paraId="2CAEFAEF">
      <w:pPr>
        <w:rPr>
          <w:rFonts w:hint="eastAsia"/>
          <w:highlight w:val="none"/>
          <w:u w:val="none"/>
          <w:lang w:val="en-US" w:eastAsia="zh-CN"/>
        </w:rPr>
      </w:pPr>
      <w:r>
        <w:rPr>
          <w:rFonts w:hint="eastAsia"/>
          <w:highlight w:val="none"/>
          <w:u w:val="none"/>
          <w:lang w:val="en-US" w:eastAsia="zh-CN"/>
        </w:rPr>
        <w:t>项目场地含水层地下水流速按最不利情况狭窄集中型考虑为0.0003m/d。</w:t>
      </w:r>
    </w:p>
    <w:p w14:paraId="0FDD5935">
      <w:pPr>
        <w:rPr>
          <w:rFonts w:hint="eastAsia"/>
          <w:highlight w:val="none"/>
          <w:u w:val="none"/>
          <w:lang w:val="en-US" w:eastAsia="zh-CN"/>
        </w:rPr>
      </w:pPr>
      <w:r>
        <w:rPr>
          <w:rFonts w:hint="eastAsia"/>
          <w:highlight w:val="none"/>
          <w:u w:val="none"/>
          <w:lang w:val="en-US" w:eastAsia="zh-CN"/>
        </w:rPr>
        <w:t>d.弥散系数</w:t>
      </w:r>
    </w:p>
    <w:p w14:paraId="228D4562">
      <w:pPr>
        <w:rPr>
          <w:rFonts w:hint="eastAsia"/>
          <w:highlight w:val="none"/>
          <w:u w:val="none"/>
          <w:lang w:val="en-US" w:eastAsia="zh-CN"/>
        </w:rPr>
      </w:pPr>
      <w:r>
        <w:rPr>
          <w:rFonts w:hint="eastAsia"/>
          <w:highlight w:val="none"/>
          <w:u w:val="none"/>
          <w:lang w:val="en-US" w:eastAsia="zh-CN"/>
        </w:rPr>
        <w:t>弥散系数是污染物溶质运移的关键参数，地质介质中溶质运移主要受渗透系数在空间上变化的制约，即地质介质的结构影响。这一空间上变化影响到地下水流速，从而影响到溶质的对流与弥散。考虑到弥散系数的尺度效应问题，参考孔隙介质解析模型，结合本次评价的模型研究尺度大小，综合确定弥散度的取值应介于1~10之间，按照偏保守的评价原则，本次计算弥散度取10，由此计算项目场地内的纵向弥散系数：</w:t>
      </w:r>
    </w:p>
    <w:p w14:paraId="374CE8E2">
      <w:pPr>
        <w:ind w:left="0" w:leftChars="0" w:firstLine="0" w:firstLineChars="0"/>
        <w:jc w:val="center"/>
        <w:rPr>
          <w:rFonts w:hint="eastAsia"/>
          <w:highlight w:val="none"/>
          <w:u w:val="none"/>
          <w:lang w:val="en-US" w:eastAsia="zh-CN"/>
        </w:rPr>
      </w:pPr>
      <w:r>
        <w:rPr>
          <w:rFonts w:ascii="Times New Roman" w:hAnsi="Times New Roman" w:eastAsia="宋体" w:cs="Times New Roman"/>
          <w:color w:val="0000FF"/>
          <w:kern w:val="20"/>
          <w:sz w:val="30"/>
          <w:highlight w:val="none"/>
          <w:u w:val="none"/>
        </w:rPr>
        <w:drawing>
          <wp:inline distT="0" distB="0" distL="114300" distR="114300">
            <wp:extent cx="758825" cy="215900"/>
            <wp:effectExtent l="0" t="0" r="3175" b="0"/>
            <wp:docPr id="1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0"/>
                    <pic:cNvPicPr>
                      <a:picLocks noChangeAspect="1"/>
                    </pic:cNvPicPr>
                  </pic:nvPicPr>
                  <pic:blipFill>
                    <a:blip r:embed="rId77">
                      <a:clrChange>
                        <a:clrFrom>
                          <a:srgbClr val="FFFFFF"/>
                        </a:clrFrom>
                        <a:clrTo>
                          <a:srgbClr val="FFFFFF">
                            <a:alpha val="0"/>
                          </a:srgbClr>
                        </a:clrTo>
                      </a:clrChange>
                    </a:blip>
                    <a:stretch>
                      <a:fillRect/>
                    </a:stretch>
                  </pic:blipFill>
                  <pic:spPr>
                    <a:xfrm>
                      <a:off x="0" y="0"/>
                      <a:ext cx="758825" cy="215900"/>
                    </a:xfrm>
                    <a:prstGeom prst="rect">
                      <a:avLst/>
                    </a:prstGeom>
                    <a:noFill/>
                    <a:ln>
                      <a:noFill/>
                    </a:ln>
                  </pic:spPr>
                </pic:pic>
              </a:graphicData>
            </a:graphic>
          </wp:inline>
        </w:drawing>
      </w:r>
    </w:p>
    <w:p w14:paraId="569ADC65">
      <w:pPr>
        <w:rPr>
          <w:rFonts w:hint="default" w:ascii="Times New Roman" w:hAnsi="Times New Roman" w:cs="Times New Roman"/>
          <w:highlight w:val="none"/>
          <w:u w:val="none"/>
          <w:lang w:val="en-US" w:eastAsia="zh-CN"/>
        </w:rPr>
      </w:pPr>
      <w:r>
        <w:rPr>
          <w:rFonts w:hint="default" w:ascii="Times New Roman" w:hAnsi="Times New Roman" w:cs="Times New Roman"/>
          <w:highlight w:val="none"/>
          <w:u w:val="none"/>
          <w:lang w:val="en-US" w:eastAsia="zh-CN"/>
        </w:rPr>
        <w:t>式中：</w:t>
      </w:r>
    </w:p>
    <w:p w14:paraId="549FC6F2">
      <w:pPr>
        <w:ind w:firstLine="960" w:firstLineChars="400"/>
        <w:rPr>
          <w:rFonts w:hint="default" w:ascii="Times New Roman" w:hAnsi="Times New Roman" w:cs="Times New Roman"/>
          <w:highlight w:val="none"/>
          <w:u w:val="none"/>
          <w:lang w:val="en-US" w:eastAsia="zh-CN"/>
        </w:rPr>
      </w:pPr>
      <w:r>
        <w:rPr>
          <w:rFonts w:hint="default" w:ascii="Times New Roman" w:hAnsi="Times New Roman" w:cs="Times New Roman"/>
          <w:highlight w:val="none"/>
          <w:u w:val="none"/>
          <w:lang w:val="en-US" w:eastAsia="zh-CN"/>
        </w:rPr>
        <w:t>D</w:t>
      </w:r>
      <w:r>
        <w:rPr>
          <w:rFonts w:hint="default" w:ascii="Times New Roman" w:hAnsi="Times New Roman" w:cs="Times New Roman"/>
          <w:highlight w:val="none"/>
          <w:u w:val="none"/>
          <w:vertAlign w:val="subscript"/>
          <w:lang w:val="en-US" w:eastAsia="zh-CN"/>
        </w:rPr>
        <w:t>L</w:t>
      </w:r>
      <w:r>
        <w:rPr>
          <w:rFonts w:hint="default" w:ascii="Times New Roman" w:hAnsi="Times New Roman" w:cs="Times New Roman"/>
          <w:highlight w:val="none"/>
          <w:u w:val="none"/>
          <w:lang w:val="en-US" w:eastAsia="zh-CN"/>
        </w:rPr>
        <w:t>—土层中的纵向弥散系数（</w:t>
      </w:r>
      <w:r>
        <w:rPr>
          <w:rFonts w:hint="eastAsia" w:ascii="Times New Roman" w:hAnsi="Times New Roman" w:cs="Times New Roman"/>
          <w:highlight w:val="none"/>
          <w:u w:val="none"/>
          <w:lang w:val="en-US" w:eastAsia="zh-CN"/>
        </w:rPr>
        <w:t>m</w:t>
      </w:r>
      <w:r>
        <w:rPr>
          <w:rFonts w:hint="eastAsia" w:ascii="Times New Roman" w:hAnsi="Times New Roman" w:cs="Times New Roman"/>
          <w:highlight w:val="none"/>
          <w:u w:val="none"/>
          <w:vertAlign w:val="superscript"/>
          <w:lang w:val="en-US" w:eastAsia="zh-CN"/>
        </w:rPr>
        <w:t>2</w:t>
      </w:r>
      <w:r>
        <w:rPr>
          <w:rFonts w:hint="default" w:ascii="Times New Roman" w:hAnsi="Times New Roman" w:cs="Times New Roman"/>
          <w:highlight w:val="none"/>
          <w:u w:val="none"/>
          <w:lang w:val="en-US" w:eastAsia="zh-CN"/>
        </w:rPr>
        <w:t>/d）；</w:t>
      </w:r>
    </w:p>
    <w:p w14:paraId="0F946900">
      <w:pPr>
        <w:ind w:firstLine="960" w:firstLineChars="400"/>
        <w:rPr>
          <w:rFonts w:hint="default" w:ascii="Times New Roman" w:hAnsi="Times New Roman" w:cs="Times New Roman"/>
          <w:highlight w:val="none"/>
          <w:u w:val="none"/>
          <w:lang w:val="en-US" w:eastAsia="zh-CN"/>
        </w:rPr>
      </w:pPr>
      <w:r>
        <w:rPr>
          <w:rFonts w:hint="default" w:ascii="Times New Roman" w:hAnsi="Times New Roman" w:cs="Times New Roman"/>
          <w:highlight w:val="none"/>
          <w:u w:val="none"/>
          <w:lang w:val="en-US" w:eastAsia="zh-CN"/>
        </w:rPr>
        <w:t>α</w:t>
      </w:r>
      <w:r>
        <w:rPr>
          <w:rFonts w:hint="default" w:ascii="Times New Roman" w:hAnsi="Times New Roman" w:cs="Times New Roman"/>
          <w:highlight w:val="none"/>
          <w:u w:val="none"/>
          <w:vertAlign w:val="subscript"/>
          <w:lang w:val="en-US" w:eastAsia="zh-CN"/>
        </w:rPr>
        <w:t>L</w:t>
      </w:r>
      <w:r>
        <w:rPr>
          <w:rFonts w:hint="default" w:ascii="Times New Roman" w:hAnsi="Times New Roman" w:cs="Times New Roman"/>
          <w:highlight w:val="none"/>
          <w:u w:val="none"/>
          <w:lang w:val="en-US" w:eastAsia="zh-CN"/>
        </w:rPr>
        <w:t>—土层中的弥散度（m）；</w:t>
      </w:r>
    </w:p>
    <w:p w14:paraId="025A6DFE">
      <w:pPr>
        <w:ind w:firstLine="960" w:firstLineChars="400"/>
        <w:rPr>
          <w:rFonts w:hint="default" w:ascii="Times New Roman" w:hAnsi="Times New Roman" w:cs="Times New Roman"/>
          <w:highlight w:val="none"/>
          <w:u w:val="none"/>
          <w:lang w:val="en-US" w:eastAsia="zh-CN"/>
        </w:rPr>
      </w:pPr>
      <w:r>
        <w:rPr>
          <w:rFonts w:hint="default" w:ascii="Times New Roman" w:hAnsi="Times New Roman" w:cs="Times New Roman"/>
          <w:highlight w:val="none"/>
          <w:u w:val="none"/>
          <w:lang w:val="en-US" w:eastAsia="zh-CN"/>
        </w:rPr>
        <w:t>u—土层中的地下水的流速（m/d）。</w:t>
      </w:r>
    </w:p>
    <w:p w14:paraId="7F2B9395">
      <w:pPr>
        <w:rPr>
          <w:rFonts w:hint="default" w:ascii="Times New Roman" w:hAnsi="Times New Roman" w:cs="Times New Roman"/>
          <w:highlight w:val="none"/>
          <w:u w:val="none"/>
          <w:lang w:val="en-US" w:eastAsia="zh-CN"/>
        </w:rPr>
      </w:pPr>
      <w:r>
        <w:rPr>
          <w:rFonts w:hint="default" w:ascii="Times New Roman" w:hAnsi="Times New Roman" w:cs="Times New Roman"/>
          <w:highlight w:val="none"/>
          <w:u w:val="none"/>
          <w:lang w:val="en-US" w:eastAsia="zh-CN"/>
        </w:rPr>
        <w:t>按照上式计算可得场地的纵向弥散系数D</w:t>
      </w:r>
      <w:r>
        <w:rPr>
          <w:rFonts w:hint="default" w:ascii="Times New Roman" w:hAnsi="Times New Roman" w:cs="Times New Roman"/>
          <w:highlight w:val="none"/>
          <w:u w:val="none"/>
          <w:vertAlign w:val="subscript"/>
          <w:lang w:val="en-US" w:eastAsia="zh-CN"/>
        </w:rPr>
        <w:t>L</w:t>
      </w:r>
      <w:r>
        <w:rPr>
          <w:rFonts w:hint="default" w:ascii="Times New Roman" w:hAnsi="Times New Roman" w:cs="Times New Roman"/>
          <w:highlight w:val="none"/>
          <w:u w:val="none"/>
          <w:lang w:val="en-US" w:eastAsia="zh-CN"/>
        </w:rPr>
        <w:t>=0.0</w:t>
      </w:r>
      <w:r>
        <w:rPr>
          <w:rFonts w:hint="eastAsia" w:ascii="Times New Roman" w:hAnsi="Times New Roman" w:cs="Times New Roman"/>
          <w:highlight w:val="none"/>
          <w:u w:val="none"/>
          <w:lang w:val="en-US" w:eastAsia="zh-CN"/>
        </w:rPr>
        <w:t>0</w:t>
      </w:r>
      <w:r>
        <w:rPr>
          <w:rFonts w:hint="default" w:ascii="Times New Roman" w:hAnsi="Times New Roman" w:cs="Times New Roman"/>
          <w:highlight w:val="none"/>
          <w:u w:val="none"/>
          <w:lang w:val="en-US" w:eastAsia="zh-CN"/>
        </w:rPr>
        <w:t>3</w:t>
      </w:r>
      <w:r>
        <w:rPr>
          <w:rFonts w:hint="eastAsia" w:ascii="Times New Roman" w:hAnsi="Times New Roman" w:cs="Times New Roman"/>
          <w:highlight w:val="none"/>
          <w:u w:val="none"/>
          <w:lang w:val="en-US" w:eastAsia="zh-CN"/>
        </w:rPr>
        <w:t>m</w:t>
      </w:r>
      <w:r>
        <w:rPr>
          <w:rFonts w:hint="eastAsia" w:ascii="Times New Roman" w:hAnsi="Times New Roman" w:cs="Times New Roman"/>
          <w:highlight w:val="none"/>
          <w:u w:val="none"/>
          <w:vertAlign w:val="superscript"/>
          <w:lang w:val="en-US" w:eastAsia="zh-CN"/>
        </w:rPr>
        <w:t>2</w:t>
      </w:r>
      <w:r>
        <w:rPr>
          <w:rFonts w:hint="default" w:ascii="Times New Roman" w:hAnsi="Times New Roman" w:cs="Times New Roman"/>
          <w:highlight w:val="none"/>
          <w:u w:val="none"/>
          <w:lang w:val="en-US" w:eastAsia="zh-CN"/>
        </w:rPr>
        <w:t>/d。</w:t>
      </w:r>
    </w:p>
    <w:p w14:paraId="41BDECB5">
      <w:pPr>
        <w:rPr>
          <w:rFonts w:hint="eastAsia"/>
          <w:highlight w:val="none"/>
          <w:u w:val="none"/>
          <w:lang w:val="en-US" w:eastAsia="zh-CN"/>
        </w:rPr>
      </w:pPr>
      <w:r>
        <w:rPr>
          <w:rFonts w:hint="eastAsia"/>
          <w:highlight w:val="none"/>
          <w:u w:val="none"/>
          <w:lang w:val="en-US" w:eastAsia="zh-CN"/>
        </w:rPr>
        <w:t>e.横向弥散系数D</w:t>
      </w:r>
      <w:r>
        <w:rPr>
          <w:rFonts w:hint="eastAsia"/>
          <w:highlight w:val="none"/>
          <w:u w:val="none"/>
          <w:vertAlign w:val="subscript"/>
          <w:lang w:val="en-US" w:eastAsia="zh-CN"/>
        </w:rPr>
        <w:t>T</w:t>
      </w:r>
    </w:p>
    <w:p w14:paraId="1C8050E6">
      <w:pPr>
        <w:rPr>
          <w:rFonts w:hint="eastAsia"/>
          <w:highlight w:val="none"/>
          <w:u w:val="none"/>
          <w:lang w:val="en-US" w:eastAsia="zh-CN"/>
        </w:rPr>
      </w:pPr>
      <w:r>
        <w:rPr>
          <w:rFonts w:hint="eastAsia"/>
          <w:highlight w:val="none"/>
          <w:u w:val="none"/>
          <w:lang w:val="en-US" w:eastAsia="zh-CN"/>
        </w:rPr>
        <w:t>根据经验，横向弥散系数是纵向弥散系数的比值为0.1，因此DT=0.0003m</w:t>
      </w:r>
      <w:r>
        <w:rPr>
          <w:rFonts w:hint="eastAsia"/>
          <w:highlight w:val="none"/>
          <w:u w:val="none"/>
          <w:vertAlign w:val="superscript"/>
          <w:lang w:val="en-US" w:eastAsia="zh-CN"/>
        </w:rPr>
        <w:t>2</w:t>
      </w:r>
      <w:r>
        <w:rPr>
          <w:rFonts w:hint="eastAsia"/>
          <w:highlight w:val="none"/>
          <w:u w:val="none"/>
          <w:lang w:val="en-US" w:eastAsia="zh-CN"/>
        </w:rPr>
        <w:t>/d。</w:t>
      </w:r>
    </w:p>
    <w:p w14:paraId="74496F16">
      <w:pPr>
        <w:rPr>
          <w:rFonts w:hint="eastAsia"/>
          <w:highlight w:val="none"/>
          <w:u w:val="none"/>
          <w:lang w:val="en-US" w:eastAsia="zh-CN"/>
        </w:rPr>
      </w:pPr>
      <w:r>
        <w:rPr>
          <w:rFonts w:hint="eastAsia"/>
          <w:highlight w:val="none"/>
          <w:u w:val="none"/>
          <w:lang w:val="en-US" w:eastAsia="zh-CN"/>
        </w:rPr>
        <w:t>f.参数统计</w:t>
      </w:r>
    </w:p>
    <w:p w14:paraId="235BA99D">
      <w:pPr>
        <w:rPr>
          <w:rFonts w:hint="eastAsia"/>
          <w:highlight w:val="yellow"/>
          <w:u w:val="none"/>
          <w:lang w:val="en-US" w:eastAsia="zh-CN"/>
        </w:rPr>
      </w:pPr>
      <w:r>
        <w:rPr>
          <w:rFonts w:hint="eastAsia"/>
          <w:highlight w:val="none"/>
          <w:u w:val="none"/>
          <w:lang w:val="en-US" w:eastAsia="zh-CN"/>
        </w:rPr>
        <w:t>根据上述求得的各参数，估算得结果如下表所示。</w:t>
      </w:r>
    </w:p>
    <w:p w14:paraId="4F72BDA9">
      <w:pPr>
        <w:ind w:left="0" w:leftChars="0" w:firstLine="0" w:firstLineChars="0"/>
        <w:jc w:val="center"/>
        <w:rPr>
          <w:rFonts w:hint="default"/>
          <w:b/>
          <w:bCs/>
          <w:sz w:val="21"/>
          <w:szCs w:val="21"/>
          <w:highlight w:val="none"/>
          <w:u w:val="none"/>
          <w:lang w:val="en-US" w:eastAsia="zh-CN"/>
        </w:rPr>
      </w:pPr>
      <w:r>
        <w:rPr>
          <w:rFonts w:hint="eastAsia"/>
          <w:b/>
          <w:bCs/>
          <w:sz w:val="21"/>
          <w:szCs w:val="21"/>
          <w:highlight w:val="none"/>
          <w:u w:val="none"/>
          <w:lang w:val="en-US" w:eastAsia="zh-CN"/>
        </w:rPr>
        <w:t>表5.2-1  地下水影响预测取值参数</w:t>
      </w:r>
    </w:p>
    <w:tbl>
      <w:tblPr>
        <w:tblStyle w:val="35"/>
        <w:tblW w:w="4997"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706"/>
        <w:gridCol w:w="1598"/>
        <w:gridCol w:w="708"/>
        <w:gridCol w:w="1547"/>
        <w:gridCol w:w="1222"/>
        <w:gridCol w:w="1183"/>
        <w:gridCol w:w="1298"/>
        <w:gridCol w:w="1020"/>
      </w:tblGrid>
      <w:tr w14:paraId="57BF230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80" w:type="pct"/>
            <w:tcBorders>
              <w:top w:val="single" w:color="auto" w:sz="12" w:space="0"/>
              <w:left w:val="single" w:color="auto" w:sz="12" w:space="0"/>
              <w:bottom w:val="single" w:color="auto" w:sz="4" w:space="0"/>
              <w:right w:val="single" w:color="auto" w:sz="4" w:space="0"/>
            </w:tcBorders>
            <w:noWrap w:val="0"/>
            <w:vAlign w:val="center"/>
          </w:tcPr>
          <w:p w14:paraId="195F77A4">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cs="Times New Roman"/>
                <w:b/>
                <w:bCs/>
                <w:sz w:val="21"/>
                <w:szCs w:val="21"/>
                <w:highlight w:val="none"/>
                <w:u w:val="none"/>
                <w:lang w:val="en-US" w:eastAsia="zh-CN"/>
              </w:rPr>
            </w:pPr>
            <w:r>
              <w:rPr>
                <w:rFonts w:hint="default" w:ascii="Times New Roman" w:hAnsi="Times New Roman" w:cs="Times New Roman"/>
                <w:b/>
                <w:bCs/>
                <w:sz w:val="21"/>
                <w:szCs w:val="21"/>
                <w:highlight w:val="none"/>
                <w:u w:val="none"/>
                <w:lang w:val="en-US" w:eastAsia="zh-CN"/>
              </w:rPr>
              <w:t>参数</w:t>
            </w:r>
          </w:p>
        </w:tc>
        <w:tc>
          <w:tcPr>
            <w:tcW w:w="860" w:type="pct"/>
            <w:tcBorders>
              <w:top w:val="single" w:color="auto" w:sz="12" w:space="0"/>
              <w:left w:val="single" w:color="auto" w:sz="4" w:space="0"/>
              <w:bottom w:val="single" w:color="auto" w:sz="4" w:space="0"/>
              <w:right w:val="single" w:color="auto" w:sz="4" w:space="0"/>
            </w:tcBorders>
            <w:noWrap w:val="0"/>
            <w:vAlign w:val="center"/>
          </w:tcPr>
          <w:p w14:paraId="45D79825">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cs="Times New Roman"/>
                <w:b/>
                <w:bCs/>
                <w:sz w:val="21"/>
                <w:szCs w:val="21"/>
                <w:highlight w:val="none"/>
                <w:u w:val="none"/>
                <w:lang w:val="en-US" w:eastAsia="zh-CN"/>
              </w:rPr>
            </w:pPr>
            <w:r>
              <w:rPr>
                <w:rFonts w:hint="default" w:ascii="Times New Roman" w:hAnsi="Times New Roman" w:cs="Times New Roman"/>
                <w:b/>
                <w:bCs/>
                <w:sz w:val="21"/>
                <w:szCs w:val="21"/>
                <w:highlight w:val="none"/>
                <w:u w:val="none"/>
                <w:lang w:val="en-US" w:eastAsia="zh-CN"/>
              </w:rPr>
              <w:t>m</w:t>
            </w:r>
            <w:r>
              <w:rPr>
                <w:rFonts w:hint="default" w:ascii="Times New Roman" w:hAnsi="Times New Roman" w:cs="Times New Roman"/>
                <w:b/>
                <w:bCs/>
                <w:sz w:val="21"/>
                <w:szCs w:val="21"/>
                <w:highlight w:val="none"/>
                <w:u w:val="none"/>
                <w:vertAlign w:val="subscript"/>
                <w:lang w:val="en-US" w:eastAsia="zh-CN"/>
              </w:rPr>
              <w:t>M</w:t>
            </w:r>
          </w:p>
        </w:tc>
        <w:tc>
          <w:tcPr>
            <w:tcW w:w="381" w:type="pct"/>
            <w:tcBorders>
              <w:top w:val="single" w:color="auto" w:sz="12" w:space="0"/>
              <w:left w:val="single" w:color="auto" w:sz="4" w:space="0"/>
              <w:bottom w:val="single" w:color="auto" w:sz="4" w:space="0"/>
              <w:right w:val="single" w:color="auto" w:sz="4" w:space="0"/>
            </w:tcBorders>
            <w:noWrap w:val="0"/>
            <w:vAlign w:val="center"/>
          </w:tcPr>
          <w:p w14:paraId="75AB7D49">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cs="Times New Roman"/>
                <w:b/>
                <w:bCs/>
                <w:sz w:val="21"/>
                <w:szCs w:val="21"/>
                <w:highlight w:val="none"/>
                <w:u w:val="none"/>
                <w:lang w:val="en-US" w:eastAsia="zh-CN"/>
              </w:rPr>
            </w:pPr>
            <w:r>
              <w:rPr>
                <w:rFonts w:hint="default" w:ascii="Times New Roman" w:hAnsi="Times New Roman" w:cs="Times New Roman"/>
                <w:b/>
                <w:bCs/>
                <w:sz w:val="21"/>
                <w:szCs w:val="21"/>
                <w:highlight w:val="none"/>
                <w:u w:val="none"/>
                <w:lang w:val="en-US" w:eastAsia="zh-CN"/>
              </w:rPr>
              <w:t>M</w:t>
            </w:r>
          </w:p>
        </w:tc>
        <w:tc>
          <w:tcPr>
            <w:tcW w:w="833" w:type="pct"/>
            <w:tcBorders>
              <w:top w:val="single" w:color="auto" w:sz="12" w:space="0"/>
              <w:left w:val="single" w:color="auto" w:sz="4" w:space="0"/>
              <w:bottom w:val="single" w:color="auto" w:sz="4" w:space="0"/>
              <w:right w:val="single" w:color="auto" w:sz="4" w:space="0"/>
            </w:tcBorders>
            <w:noWrap w:val="0"/>
            <w:vAlign w:val="center"/>
          </w:tcPr>
          <w:p w14:paraId="3DA72F58">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cs="Times New Roman"/>
                <w:b/>
                <w:bCs/>
                <w:sz w:val="21"/>
                <w:szCs w:val="21"/>
                <w:highlight w:val="none"/>
                <w:u w:val="none"/>
                <w:lang w:val="en-US" w:eastAsia="zh-CN"/>
              </w:rPr>
            </w:pPr>
            <w:r>
              <w:rPr>
                <w:rFonts w:hint="default" w:ascii="Times New Roman" w:hAnsi="Times New Roman" w:cs="Times New Roman"/>
                <w:b/>
                <w:bCs/>
                <w:sz w:val="21"/>
                <w:szCs w:val="21"/>
                <w:highlight w:val="none"/>
                <w:u w:val="none"/>
                <w:lang w:val="en-US" w:eastAsia="zh-CN"/>
              </w:rPr>
              <w:t>n</w:t>
            </w:r>
          </w:p>
        </w:tc>
        <w:tc>
          <w:tcPr>
            <w:tcW w:w="658" w:type="pct"/>
            <w:tcBorders>
              <w:top w:val="single" w:color="auto" w:sz="12" w:space="0"/>
              <w:left w:val="single" w:color="auto" w:sz="4" w:space="0"/>
              <w:bottom w:val="single" w:color="auto" w:sz="4" w:space="0"/>
              <w:right w:val="single" w:color="auto" w:sz="4" w:space="0"/>
            </w:tcBorders>
            <w:noWrap w:val="0"/>
            <w:vAlign w:val="center"/>
          </w:tcPr>
          <w:p w14:paraId="54864F2B">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cs="Times New Roman"/>
                <w:b/>
                <w:bCs/>
                <w:sz w:val="21"/>
                <w:szCs w:val="21"/>
                <w:highlight w:val="none"/>
                <w:u w:val="none"/>
                <w:lang w:val="en-US" w:eastAsia="zh-CN"/>
              </w:rPr>
            </w:pPr>
            <w:r>
              <w:rPr>
                <w:rFonts w:hint="default" w:ascii="Times New Roman" w:hAnsi="Times New Roman" w:cs="Times New Roman"/>
                <w:b/>
                <w:bCs/>
                <w:sz w:val="21"/>
                <w:szCs w:val="21"/>
                <w:highlight w:val="none"/>
                <w:u w:val="none"/>
                <w:lang w:val="en-US" w:eastAsia="zh-CN"/>
              </w:rPr>
              <w:t>u</w:t>
            </w:r>
          </w:p>
        </w:tc>
        <w:tc>
          <w:tcPr>
            <w:tcW w:w="637" w:type="pct"/>
            <w:tcBorders>
              <w:top w:val="single" w:color="auto" w:sz="12" w:space="0"/>
              <w:left w:val="single" w:color="auto" w:sz="4" w:space="0"/>
              <w:bottom w:val="single" w:color="auto" w:sz="4" w:space="0"/>
              <w:right w:val="single" w:color="auto" w:sz="4" w:space="0"/>
            </w:tcBorders>
            <w:noWrap w:val="0"/>
            <w:vAlign w:val="center"/>
          </w:tcPr>
          <w:p w14:paraId="50DDEE31">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cs="Times New Roman"/>
                <w:b/>
                <w:bCs/>
                <w:sz w:val="21"/>
                <w:szCs w:val="21"/>
                <w:highlight w:val="none"/>
                <w:u w:val="none"/>
                <w:lang w:val="en-US" w:eastAsia="zh-CN"/>
              </w:rPr>
            </w:pPr>
            <w:r>
              <w:rPr>
                <w:rFonts w:hint="default" w:ascii="Times New Roman" w:hAnsi="Times New Roman" w:cs="Times New Roman"/>
                <w:b/>
                <w:bCs/>
                <w:sz w:val="21"/>
                <w:szCs w:val="21"/>
                <w:highlight w:val="none"/>
                <w:u w:val="none"/>
                <w:lang w:val="en-US" w:eastAsia="zh-CN"/>
              </w:rPr>
              <w:t>D</w:t>
            </w:r>
            <w:r>
              <w:rPr>
                <w:rFonts w:hint="default" w:ascii="Times New Roman" w:hAnsi="Times New Roman" w:cs="Times New Roman"/>
                <w:b/>
                <w:bCs/>
                <w:sz w:val="21"/>
                <w:szCs w:val="21"/>
                <w:highlight w:val="none"/>
                <w:u w:val="none"/>
                <w:vertAlign w:val="subscript"/>
                <w:lang w:val="en-US" w:eastAsia="zh-CN"/>
              </w:rPr>
              <w:t>L</w:t>
            </w:r>
          </w:p>
        </w:tc>
        <w:tc>
          <w:tcPr>
            <w:tcW w:w="699" w:type="pct"/>
            <w:tcBorders>
              <w:top w:val="single" w:color="auto" w:sz="12" w:space="0"/>
              <w:left w:val="single" w:color="auto" w:sz="4" w:space="0"/>
              <w:bottom w:val="single" w:color="auto" w:sz="4" w:space="0"/>
              <w:right w:val="single" w:color="auto" w:sz="4" w:space="0"/>
            </w:tcBorders>
            <w:noWrap w:val="0"/>
            <w:vAlign w:val="center"/>
          </w:tcPr>
          <w:p w14:paraId="407EE3AE">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cs="Times New Roman"/>
                <w:b/>
                <w:bCs/>
                <w:sz w:val="21"/>
                <w:szCs w:val="21"/>
                <w:highlight w:val="none"/>
                <w:u w:val="none"/>
                <w:lang w:val="en-US" w:eastAsia="zh-CN"/>
              </w:rPr>
            </w:pPr>
            <w:r>
              <w:rPr>
                <w:rFonts w:hint="default" w:ascii="Times New Roman" w:hAnsi="Times New Roman" w:cs="Times New Roman"/>
                <w:b/>
                <w:bCs/>
                <w:sz w:val="21"/>
                <w:szCs w:val="21"/>
                <w:highlight w:val="none"/>
                <w:u w:val="none"/>
                <w:lang w:val="en-US" w:eastAsia="zh-CN"/>
              </w:rPr>
              <w:t>D</w:t>
            </w:r>
            <w:r>
              <w:rPr>
                <w:rFonts w:hint="default" w:ascii="Times New Roman" w:hAnsi="Times New Roman" w:cs="Times New Roman"/>
                <w:b/>
                <w:bCs/>
                <w:sz w:val="21"/>
                <w:szCs w:val="21"/>
                <w:highlight w:val="none"/>
                <w:u w:val="none"/>
                <w:vertAlign w:val="subscript"/>
                <w:lang w:val="en-US" w:eastAsia="zh-CN"/>
              </w:rPr>
              <w:t>T</w:t>
            </w:r>
          </w:p>
        </w:tc>
        <w:tc>
          <w:tcPr>
            <w:tcW w:w="549" w:type="pct"/>
            <w:tcBorders>
              <w:top w:val="single" w:color="auto" w:sz="12" w:space="0"/>
              <w:left w:val="single" w:color="auto" w:sz="4" w:space="0"/>
              <w:bottom w:val="single" w:color="auto" w:sz="4" w:space="0"/>
              <w:right w:val="single" w:color="auto" w:sz="12" w:space="0"/>
            </w:tcBorders>
            <w:noWrap w:val="0"/>
            <w:vAlign w:val="center"/>
          </w:tcPr>
          <w:p w14:paraId="64DFCE5E">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cs="Times New Roman"/>
                <w:b/>
                <w:bCs/>
                <w:sz w:val="21"/>
                <w:szCs w:val="21"/>
                <w:highlight w:val="none"/>
                <w:u w:val="none"/>
                <w:lang w:val="en-US" w:eastAsia="zh-CN"/>
              </w:rPr>
            </w:pPr>
            <w:r>
              <w:rPr>
                <w:rFonts w:hint="default" w:ascii="Times New Roman" w:hAnsi="Times New Roman" w:cs="Times New Roman"/>
                <w:b/>
                <w:bCs/>
                <w:sz w:val="21"/>
                <w:szCs w:val="21"/>
                <w:highlight w:val="none"/>
                <w:u w:val="none"/>
                <w:lang w:val="en-US" w:eastAsia="zh-CN"/>
              </w:rPr>
              <w:t>π</w:t>
            </w:r>
          </w:p>
        </w:tc>
      </w:tr>
      <w:tr w14:paraId="142721E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80" w:type="pct"/>
            <w:tcBorders>
              <w:top w:val="single" w:color="auto" w:sz="4" w:space="0"/>
              <w:left w:val="single" w:color="auto" w:sz="12" w:space="0"/>
              <w:bottom w:val="single" w:color="auto" w:sz="12" w:space="0"/>
              <w:right w:val="single" w:color="auto" w:sz="4" w:space="0"/>
            </w:tcBorders>
            <w:noWrap w:val="0"/>
            <w:vAlign w:val="center"/>
          </w:tcPr>
          <w:p w14:paraId="404DF5F2">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none"/>
                <w:u w:val="none"/>
                <w:lang w:val="en-US" w:eastAsia="zh-CN"/>
              </w:rPr>
            </w:pPr>
            <w:r>
              <w:rPr>
                <w:rFonts w:hint="eastAsia"/>
                <w:sz w:val="21"/>
                <w:szCs w:val="21"/>
                <w:highlight w:val="none"/>
                <w:u w:val="none"/>
                <w:lang w:val="en-US" w:eastAsia="zh-CN"/>
              </w:rPr>
              <w:t>取值</w:t>
            </w:r>
          </w:p>
        </w:tc>
        <w:tc>
          <w:tcPr>
            <w:tcW w:w="860" w:type="pct"/>
            <w:tcBorders>
              <w:top w:val="single" w:color="auto" w:sz="4" w:space="0"/>
              <w:left w:val="single" w:color="auto" w:sz="4" w:space="0"/>
              <w:bottom w:val="single" w:color="auto" w:sz="12" w:space="0"/>
              <w:right w:val="single" w:color="auto" w:sz="4" w:space="0"/>
            </w:tcBorders>
            <w:noWrap w:val="0"/>
            <w:vAlign w:val="center"/>
          </w:tcPr>
          <w:p w14:paraId="392C908C">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none"/>
                <w:u w:val="none"/>
                <w:lang w:val="en-US" w:eastAsia="zh-CN"/>
              </w:rPr>
            </w:pPr>
            <w:r>
              <w:rPr>
                <w:rFonts w:hint="eastAsia"/>
                <w:sz w:val="21"/>
                <w:szCs w:val="21"/>
                <w:highlight w:val="none"/>
                <w:u w:val="none"/>
                <w:lang w:val="en-US" w:eastAsia="zh-CN"/>
              </w:rPr>
              <w:t>砷：0.12kg</w:t>
            </w:r>
          </w:p>
          <w:p w14:paraId="6C096CF1">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sz w:val="21"/>
                <w:szCs w:val="21"/>
                <w:highlight w:val="none"/>
                <w:u w:val="none"/>
                <w:lang w:val="en-US" w:eastAsia="zh-CN"/>
              </w:rPr>
            </w:pPr>
            <w:r>
              <w:rPr>
                <w:rFonts w:hint="eastAsia"/>
                <w:sz w:val="21"/>
                <w:szCs w:val="21"/>
                <w:highlight w:val="none"/>
                <w:u w:val="none"/>
                <w:lang w:val="en-US" w:eastAsia="zh-CN"/>
              </w:rPr>
              <w:t>锌：0.013kg</w:t>
            </w:r>
          </w:p>
          <w:p w14:paraId="0F462668">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sz w:val="21"/>
                <w:szCs w:val="21"/>
                <w:highlight w:val="none"/>
                <w:u w:val="none"/>
                <w:lang w:val="en-US" w:eastAsia="zh-CN"/>
              </w:rPr>
            </w:pPr>
            <w:r>
              <w:rPr>
                <w:rFonts w:hint="eastAsia"/>
                <w:sz w:val="21"/>
                <w:szCs w:val="21"/>
                <w:highlight w:val="none"/>
                <w:u w:val="none"/>
                <w:lang w:val="en-US" w:eastAsia="zh-CN"/>
              </w:rPr>
              <w:t>铅：0.0019kg</w:t>
            </w:r>
          </w:p>
        </w:tc>
        <w:tc>
          <w:tcPr>
            <w:tcW w:w="381" w:type="pct"/>
            <w:tcBorders>
              <w:top w:val="single" w:color="auto" w:sz="4" w:space="0"/>
              <w:left w:val="single" w:color="auto" w:sz="4" w:space="0"/>
              <w:bottom w:val="single" w:color="auto" w:sz="12" w:space="0"/>
              <w:right w:val="single" w:color="auto" w:sz="4" w:space="0"/>
            </w:tcBorders>
            <w:noWrap w:val="0"/>
            <w:vAlign w:val="center"/>
          </w:tcPr>
          <w:p w14:paraId="161C9E92">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none"/>
                <w:u w:val="none"/>
                <w:lang w:val="en-US" w:eastAsia="zh-CN"/>
              </w:rPr>
            </w:pPr>
            <w:r>
              <w:rPr>
                <w:rFonts w:hint="eastAsia"/>
                <w:sz w:val="21"/>
                <w:szCs w:val="21"/>
                <w:highlight w:val="none"/>
                <w:u w:val="none"/>
                <w:lang w:val="en-US" w:eastAsia="zh-CN"/>
              </w:rPr>
              <w:t>10</w:t>
            </w:r>
          </w:p>
        </w:tc>
        <w:tc>
          <w:tcPr>
            <w:tcW w:w="833" w:type="pct"/>
            <w:tcBorders>
              <w:top w:val="single" w:color="auto" w:sz="4" w:space="0"/>
              <w:left w:val="single" w:color="auto" w:sz="4" w:space="0"/>
              <w:bottom w:val="single" w:color="auto" w:sz="12" w:space="0"/>
              <w:right w:val="single" w:color="auto" w:sz="4" w:space="0"/>
            </w:tcBorders>
            <w:noWrap w:val="0"/>
            <w:vAlign w:val="center"/>
          </w:tcPr>
          <w:p w14:paraId="56F103DC">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none"/>
                <w:u w:val="none"/>
                <w:lang w:val="en-US" w:eastAsia="zh-CN"/>
              </w:rPr>
            </w:pPr>
            <w:r>
              <w:rPr>
                <w:rFonts w:hint="eastAsia"/>
                <w:sz w:val="21"/>
                <w:szCs w:val="21"/>
                <w:highlight w:val="none"/>
                <w:u w:val="none"/>
                <w:lang w:val="en-US" w:eastAsia="zh-CN"/>
              </w:rPr>
              <w:t>0.3（无量纲）</w:t>
            </w:r>
          </w:p>
        </w:tc>
        <w:tc>
          <w:tcPr>
            <w:tcW w:w="658" w:type="pct"/>
            <w:tcBorders>
              <w:top w:val="single" w:color="auto" w:sz="4" w:space="0"/>
              <w:left w:val="single" w:color="auto" w:sz="4" w:space="0"/>
              <w:bottom w:val="single" w:color="auto" w:sz="12" w:space="0"/>
              <w:right w:val="single" w:color="auto" w:sz="4" w:space="0"/>
            </w:tcBorders>
            <w:noWrap w:val="0"/>
            <w:vAlign w:val="center"/>
          </w:tcPr>
          <w:p w14:paraId="10A619DC">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none"/>
                <w:u w:val="none"/>
                <w:lang w:val="en-US" w:eastAsia="zh-CN"/>
              </w:rPr>
            </w:pPr>
            <w:r>
              <w:rPr>
                <w:rFonts w:hint="eastAsia"/>
                <w:sz w:val="21"/>
                <w:szCs w:val="21"/>
                <w:highlight w:val="none"/>
                <w:u w:val="none"/>
                <w:lang w:val="en-US" w:eastAsia="zh-CN"/>
              </w:rPr>
              <w:t>0.000</w:t>
            </w:r>
            <w:r>
              <w:rPr>
                <w:rFonts w:hint="eastAsia"/>
                <w:sz w:val="21"/>
                <w:szCs w:val="21"/>
                <w:highlight w:val="none"/>
                <w:u w:val="none"/>
                <w:vertAlign w:val="baseline"/>
                <w:lang w:val="en-US" w:eastAsia="zh-CN"/>
              </w:rPr>
              <w:t>3</w:t>
            </w:r>
            <w:r>
              <w:rPr>
                <w:rFonts w:hint="eastAsia"/>
                <w:sz w:val="21"/>
                <w:szCs w:val="21"/>
                <w:highlight w:val="none"/>
                <w:u w:val="none"/>
                <w:lang w:val="en-US" w:eastAsia="zh-CN"/>
              </w:rPr>
              <w:t>m/d</w:t>
            </w:r>
          </w:p>
        </w:tc>
        <w:tc>
          <w:tcPr>
            <w:tcW w:w="637" w:type="pct"/>
            <w:tcBorders>
              <w:top w:val="single" w:color="auto" w:sz="4" w:space="0"/>
              <w:left w:val="single" w:color="auto" w:sz="4" w:space="0"/>
              <w:bottom w:val="single" w:color="auto" w:sz="12" w:space="0"/>
              <w:right w:val="single" w:color="auto" w:sz="4" w:space="0"/>
            </w:tcBorders>
            <w:noWrap w:val="0"/>
            <w:vAlign w:val="center"/>
          </w:tcPr>
          <w:p w14:paraId="25C7A73D">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none"/>
                <w:u w:val="none"/>
                <w:lang w:val="en-US" w:eastAsia="zh-CN"/>
              </w:rPr>
            </w:pPr>
            <w:r>
              <w:rPr>
                <w:rFonts w:hint="eastAsia"/>
                <w:sz w:val="21"/>
                <w:szCs w:val="21"/>
                <w:highlight w:val="none"/>
                <w:u w:val="none"/>
                <w:lang w:val="en-US" w:eastAsia="zh-CN"/>
              </w:rPr>
              <w:t>0.003m</w:t>
            </w:r>
            <w:r>
              <w:rPr>
                <w:rFonts w:hint="eastAsia"/>
                <w:sz w:val="21"/>
                <w:szCs w:val="21"/>
                <w:highlight w:val="none"/>
                <w:u w:val="none"/>
                <w:vertAlign w:val="superscript"/>
                <w:lang w:val="en-US" w:eastAsia="zh-CN"/>
              </w:rPr>
              <w:t>2</w:t>
            </w:r>
            <w:r>
              <w:rPr>
                <w:rFonts w:hint="eastAsia"/>
                <w:sz w:val="21"/>
                <w:szCs w:val="21"/>
                <w:highlight w:val="none"/>
                <w:u w:val="none"/>
                <w:lang w:val="en-US" w:eastAsia="zh-CN"/>
              </w:rPr>
              <w:t>/d</w:t>
            </w:r>
          </w:p>
        </w:tc>
        <w:tc>
          <w:tcPr>
            <w:tcW w:w="699" w:type="pct"/>
            <w:tcBorders>
              <w:top w:val="single" w:color="auto" w:sz="4" w:space="0"/>
              <w:left w:val="single" w:color="auto" w:sz="4" w:space="0"/>
              <w:bottom w:val="single" w:color="auto" w:sz="12" w:space="0"/>
              <w:right w:val="single" w:color="auto" w:sz="4" w:space="0"/>
            </w:tcBorders>
            <w:noWrap w:val="0"/>
            <w:vAlign w:val="center"/>
          </w:tcPr>
          <w:p w14:paraId="4C344ADB">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none"/>
                <w:u w:val="none"/>
                <w:lang w:val="en-US" w:eastAsia="zh-CN"/>
              </w:rPr>
            </w:pPr>
            <w:r>
              <w:rPr>
                <w:rFonts w:hint="eastAsia"/>
                <w:sz w:val="21"/>
                <w:szCs w:val="21"/>
                <w:highlight w:val="none"/>
                <w:u w:val="none"/>
                <w:lang w:val="en-US" w:eastAsia="zh-CN"/>
              </w:rPr>
              <w:t>0.0003m</w:t>
            </w:r>
            <w:r>
              <w:rPr>
                <w:rFonts w:hint="eastAsia"/>
                <w:sz w:val="21"/>
                <w:szCs w:val="21"/>
                <w:highlight w:val="none"/>
                <w:u w:val="none"/>
                <w:vertAlign w:val="superscript"/>
                <w:lang w:val="en-US" w:eastAsia="zh-CN"/>
              </w:rPr>
              <w:t>2</w:t>
            </w:r>
            <w:r>
              <w:rPr>
                <w:rFonts w:hint="eastAsia"/>
                <w:sz w:val="21"/>
                <w:szCs w:val="21"/>
                <w:highlight w:val="none"/>
                <w:u w:val="none"/>
                <w:lang w:val="en-US" w:eastAsia="zh-CN"/>
              </w:rPr>
              <w:t>/d</w:t>
            </w:r>
          </w:p>
        </w:tc>
        <w:tc>
          <w:tcPr>
            <w:tcW w:w="549" w:type="pct"/>
            <w:tcBorders>
              <w:top w:val="single" w:color="auto" w:sz="4" w:space="0"/>
              <w:left w:val="single" w:color="auto" w:sz="4" w:space="0"/>
              <w:bottom w:val="single" w:color="auto" w:sz="12" w:space="0"/>
              <w:right w:val="single" w:color="auto" w:sz="12" w:space="0"/>
            </w:tcBorders>
            <w:noWrap w:val="0"/>
            <w:vAlign w:val="center"/>
          </w:tcPr>
          <w:p w14:paraId="0761D4C0">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none"/>
                <w:u w:val="none"/>
                <w:lang w:val="en-US" w:eastAsia="zh-CN"/>
              </w:rPr>
            </w:pPr>
            <w:r>
              <w:rPr>
                <w:rFonts w:hint="eastAsia"/>
                <w:sz w:val="21"/>
                <w:szCs w:val="21"/>
                <w:highlight w:val="none"/>
                <w:u w:val="none"/>
                <w:lang w:val="en-US" w:eastAsia="zh-CN"/>
              </w:rPr>
              <w:t>3.14</w:t>
            </w:r>
          </w:p>
        </w:tc>
      </w:tr>
    </w:tbl>
    <w:p w14:paraId="084854EC">
      <w:pPr>
        <w:bidi w:val="0"/>
        <w:rPr>
          <w:rFonts w:hint="eastAsia"/>
          <w:highlight w:val="none"/>
          <w:u w:val="none"/>
          <w:lang w:val="en-US" w:eastAsia="zh-CN"/>
        </w:rPr>
      </w:pPr>
      <w:r>
        <w:rPr>
          <w:rFonts w:hint="eastAsia"/>
          <w:highlight w:val="none"/>
          <w:u w:val="none"/>
          <w:lang w:val="en-US" w:eastAsia="zh-CN"/>
        </w:rPr>
        <w:t>采用固定时间、不同距离泄漏混合液体浓度预测，预测时间为500天，最近距离为5m、最远距离为1000m，预测结果见下表。</w:t>
      </w:r>
    </w:p>
    <w:p w14:paraId="27374563">
      <w:pPr>
        <w:bidi w:val="0"/>
        <w:rPr>
          <w:rFonts w:hint="default"/>
          <w:highlight w:val="none"/>
          <w:u w:val="none"/>
          <w:lang w:val="en-US" w:eastAsia="zh-CN"/>
        </w:rPr>
      </w:pPr>
      <w:r>
        <w:rPr>
          <w:rFonts w:hint="default"/>
          <w:highlight w:val="none"/>
          <w:u w:val="none"/>
          <w:lang w:val="en-US" w:eastAsia="zh-CN"/>
        </w:rPr>
        <w:t>本项目所在区域地下水水质类别为Ⅲ类；需执行《地下水质量标准》（GB/T14848-2017）Ⅲ类水质标准，鉴于《地下水质量标准》（GB/T14848-2017）中Ⅲ类水质为标准值均为大于值，因此本次评价按地下水水质中污染物浓度满足Ⅲ类标准时，视为不对地下水造成污染；《地下水质量标准》Ⅲ类标准中</w:t>
      </w:r>
      <w:r>
        <w:rPr>
          <w:rFonts w:hint="eastAsia"/>
          <w:highlight w:val="none"/>
          <w:u w:val="none"/>
          <w:lang w:val="en-US" w:eastAsia="zh-CN"/>
        </w:rPr>
        <w:t>砷</w:t>
      </w:r>
      <w:r>
        <w:rPr>
          <w:rFonts w:hint="default"/>
          <w:highlight w:val="none"/>
          <w:u w:val="none"/>
          <w:lang w:val="en-US" w:eastAsia="zh-CN"/>
        </w:rPr>
        <w:t>≤0.0</w:t>
      </w:r>
      <w:r>
        <w:rPr>
          <w:rFonts w:hint="eastAsia"/>
          <w:highlight w:val="none"/>
          <w:u w:val="none"/>
          <w:lang w:val="en-US" w:eastAsia="zh-CN"/>
        </w:rPr>
        <w:t>1</w:t>
      </w:r>
      <w:r>
        <w:rPr>
          <w:rFonts w:hint="default"/>
          <w:highlight w:val="none"/>
          <w:u w:val="none"/>
          <w:lang w:val="en-US" w:eastAsia="zh-CN"/>
        </w:rPr>
        <w:t>mg/L</w:t>
      </w:r>
      <w:r>
        <w:rPr>
          <w:rFonts w:hint="eastAsia"/>
          <w:highlight w:val="none"/>
          <w:u w:val="none"/>
          <w:lang w:val="en-US" w:eastAsia="zh-CN"/>
        </w:rPr>
        <w:t>、锌</w:t>
      </w:r>
      <w:r>
        <w:rPr>
          <w:rFonts w:hint="default"/>
          <w:highlight w:val="none"/>
          <w:u w:val="none"/>
          <w:lang w:val="en-US" w:eastAsia="zh-CN"/>
        </w:rPr>
        <w:t>≤</w:t>
      </w:r>
      <w:r>
        <w:rPr>
          <w:rFonts w:hint="eastAsia"/>
          <w:highlight w:val="none"/>
          <w:u w:val="none"/>
          <w:lang w:val="en-US" w:eastAsia="zh-CN"/>
        </w:rPr>
        <w:t>1.0</w:t>
      </w:r>
      <w:r>
        <w:rPr>
          <w:rFonts w:hint="default"/>
          <w:highlight w:val="none"/>
          <w:u w:val="none"/>
          <w:lang w:val="en-US" w:eastAsia="zh-CN"/>
        </w:rPr>
        <w:t>mg/L</w:t>
      </w:r>
      <w:r>
        <w:rPr>
          <w:rFonts w:hint="eastAsia"/>
          <w:highlight w:val="none"/>
          <w:u w:val="none"/>
          <w:lang w:val="en-US" w:eastAsia="zh-CN"/>
        </w:rPr>
        <w:t>、铅</w:t>
      </w:r>
      <w:r>
        <w:rPr>
          <w:rFonts w:hint="default"/>
          <w:highlight w:val="none"/>
          <w:u w:val="none"/>
          <w:lang w:val="en-US" w:eastAsia="zh-CN"/>
        </w:rPr>
        <w:t>≤0.0</w:t>
      </w:r>
      <w:r>
        <w:rPr>
          <w:rFonts w:hint="eastAsia"/>
          <w:highlight w:val="none"/>
          <w:u w:val="none"/>
          <w:lang w:val="en-US" w:eastAsia="zh-CN"/>
        </w:rPr>
        <w:t>1</w:t>
      </w:r>
      <w:r>
        <w:rPr>
          <w:rFonts w:hint="default"/>
          <w:highlight w:val="none"/>
          <w:u w:val="none"/>
          <w:lang w:val="en-US" w:eastAsia="zh-CN"/>
        </w:rPr>
        <w:t>mg/L。</w:t>
      </w:r>
    </w:p>
    <w:p w14:paraId="4F674083">
      <w:pPr>
        <w:ind w:left="0" w:leftChars="0" w:firstLine="0" w:firstLineChars="0"/>
        <w:jc w:val="center"/>
        <w:rPr>
          <w:rFonts w:hint="default"/>
          <w:b/>
          <w:bCs/>
          <w:sz w:val="21"/>
          <w:szCs w:val="21"/>
          <w:highlight w:val="none"/>
          <w:u w:val="none"/>
          <w:lang w:val="en-US" w:eastAsia="zh-CN"/>
        </w:rPr>
      </w:pPr>
      <w:r>
        <w:rPr>
          <w:rFonts w:hint="eastAsia"/>
          <w:b/>
          <w:bCs/>
          <w:sz w:val="21"/>
          <w:szCs w:val="21"/>
          <w:highlight w:val="none"/>
          <w:u w:val="none"/>
          <w:lang w:val="en-US" w:eastAsia="zh-CN"/>
        </w:rPr>
        <w:t>表5.2-2  非正常状况下砷对地下水影响范围预测表</w:t>
      </w:r>
    </w:p>
    <w:tbl>
      <w:tblPr>
        <w:tblStyle w:val="35"/>
        <w:tblW w:w="4997"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451"/>
        <w:gridCol w:w="1096"/>
        <w:gridCol w:w="1096"/>
        <w:gridCol w:w="1096"/>
        <w:gridCol w:w="1096"/>
        <w:gridCol w:w="1096"/>
        <w:gridCol w:w="1096"/>
        <w:gridCol w:w="1096"/>
      </w:tblGrid>
      <w:tr w14:paraId="2012971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blHeader/>
        </w:trPr>
        <w:tc>
          <w:tcPr>
            <w:tcW w:w="795" w:type="pct"/>
            <w:noWrap w:val="0"/>
            <w:tcMar>
              <w:top w:w="0" w:type="dxa"/>
              <w:left w:w="28" w:type="dxa"/>
              <w:bottom w:w="0" w:type="dxa"/>
              <w:right w:w="28" w:type="dxa"/>
            </w:tcMar>
            <w:vAlign w:val="center"/>
          </w:tcPr>
          <w:p w14:paraId="31571018">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ascii="Times New Roman" w:hAnsi="Times New Roman" w:eastAsia="宋体" w:cs="Times New Roman"/>
                <w:b/>
                <w:bCs/>
                <w:color w:val="auto"/>
                <w:kern w:val="0"/>
                <w:sz w:val="21"/>
                <w:szCs w:val="21"/>
                <w:highlight w:val="none"/>
                <w:u w:val="none"/>
              </w:rPr>
            </w:pPr>
            <w:r>
              <w:rPr>
                <w:rFonts w:hint="eastAsia" w:ascii="Times New Roman" w:hAnsi="Times New Roman" w:eastAsia="宋体" w:cs="Times New Roman"/>
                <w:b/>
                <w:bCs/>
                <w:color w:val="auto"/>
                <w:kern w:val="0"/>
                <w:sz w:val="21"/>
                <w:szCs w:val="21"/>
                <w:highlight w:val="none"/>
                <w:u w:val="none"/>
                <w:lang w:eastAsia="zh-CN"/>
              </w:rPr>
              <w:t>（</w:t>
            </w:r>
            <w:r>
              <w:rPr>
                <w:rFonts w:ascii="Times New Roman" w:hAnsi="Times New Roman" w:eastAsia="宋体" w:cs="Times New Roman"/>
                <w:b/>
                <w:bCs/>
                <w:color w:val="auto"/>
                <w:kern w:val="0"/>
                <w:sz w:val="21"/>
                <w:szCs w:val="21"/>
                <w:highlight w:val="none"/>
                <w:u w:val="none"/>
              </w:rPr>
              <w:t>X</w:t>
            </w:r>
            <w:r>
              <w:rPr>
                <w:rFonts w:hint="eastAsia" w:ascii="Times New Roman" w:hAnsi="Times New Roman" w:eastAsia="宋体" w:cs="Times New Roman"/>
                <w:b/>
                <w:bCs/>
                <w:color w:val="auto"/>
                <w:kern w:val="0"/>
                <w:sz w:val="21"/>
                <w:szCs w:val="21"/>
                <w:highlight w:val="none"/>
                <w:u w:val="none"/>
                <w:lang w:eastAsia="zh-CN"/>
              </w:rPr>
              <w:t>，</w:t>
            </w:r>
            <w:r>
              <w:rPr>
                <w:rFonts w:ascii="Times New Roman" w:hAnsi="Times New Roman" w:eastAsia="宋体" w:cs="Times New Roman"/>
                <w:b/>
                <w:bCs/>
                <w:color w:val="auto"/>
                <w:kern w:val="0"/>
                <w:sz w:val="21"/>
                <w:szCs w:val="21"/>
                <w:highlight w:val="none"/>
                <w:u w:val="none"/>
              </w:rPr>
              <w:t>Y</w:t>
            </w:r>
            <w:r>
              <w:rPr>
                <w:rFonts w:hint="eastAsia" w:ascii="Times New Roman" w:hAnsi="Times New Roman" w:eastAsia="宋体" w:cs="Times New Roman"/>
                <w:b/>
                <w:bCs/>
                <w:color w:val="auto"/>
                <w:kern w:val="0"/>
                <w:sz w:val="21"/>
                <w:szCs w:val="21"/>
                <w:highlight w:val="none"/>
                <w:u w:val="none"/>
                <w:lang w:eastAsia="zh-CN"/>
              </w:rPr>
              <w:t>）</w:t>
            </w:r>
          </w:p>
        </w:tc>
        <w:tc>
          <w:tcPr>
            <w:tcW w:w="600" w:type="pct"/>
            <w:noWrap w:val="0"/>
            <w:tcMar>
              <w:top w:w="0" w:type="dxa"/>
              <w:left w:w="28" w:type="dxa"/>
              <w:bottom w:w="0" w:type="dxa"/>
              <w:right w:w="28" w:type="dxa"/>
            </w:tcMar>
            <w:vAlign w:val="center"/>
          </w:tcPr>
          <w:p w14:paraId="03AB7E6F">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ascii="Times New Roman" w:hAnsi="Times New Roman" w:eastAsia="宋体" w:cs="Times New Roman"/>
                <w:b/>
                <w:bCs/>
                <w:color w:val="auto"/>
                <w:kern w:val="0"/>
                <w:sz w:val="21"/>
                <w:szCs w:val="21"/>
                <w:highlight w:val="none"/>
                <w:u w:val="none"/>
                <w:lang w:val="en-US" w:eastAsia="zh-CN" w:bidi="ar-SA"/>
              </w:rPr>
            </w:pPr>
            <w:r>
              <w:rPr>
                <w:rFonts w:ascii="Times New Roman" w:hAnsi="Times New Roman" w:eastAsia="宋体" w:cs="Times New Roman"/>
                <w:b/>
                <w:bCs/>
                <w:color w:val="auto"/>
                <w:kern w:val="0"/>
                <w:sz w:val="21"/>
                <w:szCs w:val="21"/>
                <w:highlight w:val="none"/>
                <w:u w:val="none"/>
              </w:rPr>
              <w:t>10d</w:t>
            </w:r>
          </w:p>
        </w:tc>
        <w:tc>
          <w:tcPr>
            <w:tcW w:w="600" w:type="pct"/>
            <w:noWrap w:val="0"/>
            <w:tcMar>
              <w:top w:w="0" w:type="dxa"/>
              <w:left w:w="28" w:type="dxa"/>
              <w:bottom w:w="0" w:type="dxa"/>
              <w:right w:w="28" w:type="dxa"/>
            </w:tcMar>
            <w:vAlign w:val="center"/>
          </w:tcPr>
          <w:p w14:paraId="16818036">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ascii="Times New Roman" w:hAnsi="Times New Roman" w:eastAsia="宋体" w:cs="Times New Roman"/>
                <w:b/>
                <w:bCs/>
                <w:color w:val="auto"/>
                <w:kern w:val="0"/>
                <w:sz w:val="21"/>
                <w:szCs w:val="21"/>
                <w:highlight w:val="none"/>
                <w:u w:val="none"/>
                <w:lang w:val="en-US" w:eastAsia="zh-CN" w:bidi="ar-SA"/>
              </w:rPr>
            </w:pPr>
            <w:r>
              <w:rPr>
                <w:rFonts w:ascii="Times New Roman" w:hAnsi="Times New Roman" w:eastAsia="宋体" w:cs="Times New Roman"/>
                <w:b/>
                <w:bCs/>
                <w:color w:val="auto"/>
                <w:kern w:val="0"/>
                <w:sz w:val="21"/>
                <w:szCs w:val="21"/>
                <w:highlight w:val="none"/>
                <w:u w:val="none"/>
              </w:rPr>
              <w:t>50d</w:t>
            </w:r>
          </w:p>
        </w:tc>
        <w:tc>
          <w:tcPr>
            <w:tcW w:w="600" w:type="pct"/>
            <w:noWrap w:val="0"/>
            <w:tcMar>
              <w:top w:w="0" w:type="dxa"/>
              <w:left w:w="28" w:type="dxa"/>
              <w:bottom w:w="0" w:type="dxa"/>
              <w:right w:w="28" w:type="dxa"/>
            </w:tcMar>
            <w:vAlign w:val="center"/>
          </w:tcPr>
          <w:p w14:paraId="1D9DB543">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ascii="Times New Roman" w:hAnsi="Times New Roman" w:eastAsia="宋体" w:cs="Times New Roman"/>
                <w:b/>
                <w:bCs/>
                <w:color w:val="auto"/>
                <w:kern w:val="0"/>
                <w:sz w:val="21"/>
                <w:szCs w:val="21"/>
                <w:highlight w:val="none"/>
                <w:u w:val="none"/>
                <w:lang w:val="en-US" w:eastAsia="zh-CN" w:bidi="ar-SA"/>
              </w:rPr>
            </w:pPr>
            <w:r>
              <w:rPr>
                <w:rFonts w:ascii="Times New Roman" w:hAnsi="Times New Roman" w:eastAsia="宋体" w:cs="Times New Roman"/>
                <w:b/>
                <w:bCs/>
                <w:color w:val="auto"/>
                <w:kern w:val="0"/>
                <w:sz w:val="21"/>
                <w:szCs w:val="21"/>
                <w:highlight w:val="none"/>
                <w:u w:val="none"/>
              </w:rPr>
              <w:t>100d</w:t>
            </w:r>
          </w:p>
        </w:tc>
        <w:tc>
          <w:tcPr>
            <w:tcW w:w="600" w:type="pct"/>
            <w:noWrap w:val="0"/>
            <w:tcMar>
              <w:top w:w="0" w:type="dxa"/>
              <w:left w:w="28" w:type="dxa"/>
              <w:bottom w:w="0" w:type="dxa"/>
              <w:right w:w="28" w:type="dxa"/>
            </w:tcMar>
            <w:vAlign w:val="center"/>
          </w:tcPr>
          <w:p w14:paraId="38AD794C">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ascii="Times New Roman" w:hAnsi="Times New Roman" w:eastAsia="宋体" w:cs="Times New Roman"/>
                <w:b/>
                <w:bCs/>
                <w:color w:val="auto"/>
                <w:kern w:val="0"/>
                <w:sz w:val="21"/>
                <w:szCs w:val="21"/>
                <w:highlight w:val="none"/>
                <w:u w:val="none"/>
                <w:lang w:val="en-US" w:eastAsia="zh-CN" w:bidi="ar-SA"/>
              </w:rPr>
            </w:pPr>
            <w:r>
              <w:rPr>
                <w:rFonts w:ascii="Times New Roman" w:hAnsi="Times New Roman" w:eastAsia="宋体" w:cs="Times New Roman"/>
                <w:b/>
                <w:bCs/>
                <w:color w:val="auto"/>
                <w:kern w:val="0"/>
                <w:sz w:val="21"/>
                <w:szCs w:val="21"/>
                <w:highlight w:val="none"/>
                <w:u w:val="none"/>
              </w:rPr>
              <w:t>200d</w:t>
            </w:r>
          </w:p>
        </w:tc>
        <w:tc>
          <w:tcPr>
            <w:tcW w:w="600" w:type="pct"/>
            <w:noWrap w:val="0"/>
            <w:tcMar>
              <w:top w:w="0" w:type="dxa"/>
              <w:left w:w="28" w:type="dxa"/>
              <w:bottom w:w="0" w:type="dxa"/>
              <w:right w:w="28" w:type="dxa"/>
            </w:tcMar>
            <w:vAlign w:val="center"/>
          </w:tcPr>
          <w:p w14:paraId="3EB66CBE">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ascii="Times New Roman" w:hAnsi="Times New Roman" w:eastAsia="宋体" w:cs="Times New Roman"/>
                <w:b/>
                <w:bCs/>
                <w:color w:val="auto"/>
                <w:kern w:val="0"/>
                <w:sz w:val="21"/>
                <w:szCs w:val="21"/>
                <w:highlight w:val="none"/>
                <w:u w:val="none"/>
                <w:lang w:val="en-US" w:eastAsia="zh-CN" w:bidi="ar-SA"/>
              </w:rPr>
            </w:pPr>
            <w:r>
              <w:rPr>
                <w:rFonts w:hint="eastAsia" w:ascii="Times New Roman" w:hAnsi="Times New Roman" w:eastAsia="宋体" w:cs="Times New Roman"/>
                <w:b/>
                <w:bCs/>
                <w:color w:val="auto"/>
                <w:kern w:val="0"/>
                <w:sz w:val="21"/>
                <w:szCs w:val="21"/>
                <w:highlight w:val="none"/>
                <w:u w:val="none"/>
                <w:lang w:val="en-US" w:eastAsia="zh-CN"/>
              </w:rPr>
              <w:t>3</w:t>
            </w:r>
            <w:r>
              <w:rPr>
                <w:rFonts w:ascii="Times New Roman" w:hAnsi="Times New Roman" w:eastAsia="宋体" w:cs="Times New Roman"/>
                <w:b/>
                <w:bCs/>
                <w:color w:val="auto"/>
                <w:kern w:val="0"/>
                <w:sz w:val="21"/>
                <w:szCs w:val="21"/>
                <w:highlight w:val="none"/>
                <w:u w:val="none"/>
              </w:rPr>
              <w:t>00d</w:t>
            </w:r>
          </w:p>
        </w:tc>
        <w:tc>
          <w:tcPr>
            <w:tcW w:w="600" w:type="pct"/>
            <w:noWrap w:val="0"/>
            <w:tcMar>
              <w:top w:w="0" w:type="dxa"/>
              <w:left w:w="28" w:type="dxa"/>
              <w:bottom w:w="0" w:type="dxa"/>
              <w:right w:w="28" w:type="dxa"/>
            </w:tcMar>
            <w:vAlign w:val="center"/>
          </w:tcPr>
          <w:p w14:paraId="078AEA9F">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ascii="Times New Roman" w:hAnsi="Times New Roman" w:eastAsia="宋体" w:cs="Times New Roman"/>
                <w:b/>
                <w:bCs/>
                <w:color w:val="auto"/>
                <w:kern w:val="0"/>
                <w:sz w:val="21"/>
                <w:szCs w:val="21"/>
                <w:highlight w:val="none"/>
                <w:u w:val="none"/>
                <w:lang w:val="en-US" w:eastAsia="zh-CN" w:bidi="ar-SA"/>
              </w:rPr>
            </w:pPr>
            <w:r>
              <w:rPr>
                <w:rFonts w:hint="eastAsia" w:ascii="Times New Roman" w:hAnsi="Times New Roman" w:eastAsia="宋体" w:cs="Times New Roman"/>
                <w:b/>
                <w:bCs/>
                <w:color w:val="auto"/>
                <w:kern w:val="0"/>
                <w:sz w:val="21"/>
                <w:szCs w:val="21"/>
                <w:highlight w:val="none"/>
                <w:u w:val="none"/>
                <w:lang w:val="en-US" w:eastAsia="zh-CN"/>
              </w:rPr>
              <w:t>4</w:t>
            </w:r>
            <w:r>
              <w:rPr>
                <w:rFonts w:ascii="Times New Roman" w:hAnsi="Times New Roman" w:eastAsia="宋体" w:cs="Times New Roman"/>
                <w:b/>
                <w:bCs/>
                <w:color w:val="auto"/>
                <w:kern w:val="0"/>
                <w:sz w:val="21"/>
                <w:szCs w:val="21"/>
                <w:highlight w:val="none"/>
                <w:u w:val="none"/>
              </w:rPr>
              <w:t>00d</w:t>
            </w:r>
          </w:p>
        </w:tc>
        <w:tc>
          <w:tcPr>
            <w:tcW w:w="600" w:type="pct"/>
            <w:noWrap w:val="0"/>
            <w:tcMar>
              <w:top w:w="0" w:type="dxa"/>
              <w:left w:w="28" w:type="dxa"/>
              <w:bottom w:w="0" w:type="dxa"/>
              <w:right w:w="28" w:type="dxa"/>
            </w:tcMar>
            <w:vAlign w:val="center"/>
          </w:tcPr>
          <w:p w14:paraId="69A42263">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ascii="Times New Roman" w:hAnsi="Times New Roman" w:eastAsia="宋体" w:cs="Times New Roman"/>
                <w:b/>
                <w:bCs/>
                <w:color w:val="auto"/>
                <w:kern w:val="0"/>
                <w:sz w:val="21"/>
                <w:szCs w:val="21"/>
                <w:highlight w:val="none"/>
                <w:u w:val="none"/>
                <w:lang w:val="en-US" w:eastAsia="zh-CN" w:bidi="ar-SA"/>
              </w:rPr>
            </w:pPr>
            <w:r>
              <w:rPr>
                <w:rFonts w:hint="eastAsia" w:cs="Times New Roman"/>
                <w:b/>
                <w:bCs/>
                <w:color w:val="auto"/>
                <w:kern w:val="0"/>
                <w:sz w:val="21"/>
                <w:szCs w:val="21"/>
                <w:highlight w:val="none"/>
                <w:u w:val="none"/>
                <w:lang w:val="en-US" w:eastAsia="zh-CN"/>
              </w:rPr>
              <w:t>10</w:t>
            </w:r>
            <w:r>
              <w:rPr>
                <w:rFonts w:ascii="Times New Roman" w:hAnsi="Times New Roman" w:eastAsia="宋体" w:cs="Times New Roman"/>
                <w:b/>
                <w:bCs/>
                <w:color w:val="auto"/>
                <w:kern w:val="0"/>
                <w:sz w:val="21"/>
                <w:szCs w:val="21"/>
                <w:highlight w:val="none"/>
                <w:u w:val="none"/>
              </w:rPr>
              <w:t>00d</w:t>
            </w:r>
          </w:p>
        </w:tc>
      </w:tr>
      <w:tr w14:paraId="1F8E49D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53" w:hRule="atLeast"/>
        </w:trPr>
        <w:tc>
          <w:tcPr>
            <w:tcW w:w="795" w:type="pct"/>
            <w:shd w:val="clear" w:color="auto" w:fill="auto"/>
            <w:noWrap w:val="0"/>
            <w:tcMar>
              <w:top w:w="0" w:type="dxa"/>
              <w:left w:w="28" w:type="dxa"/>
              <w:bottom w:w="0" w:type="dxa"/>
              <w:right w:w="28" w:type="dxa"/>
            </w:tcMar>
            <w:vAlign w:val="center"/>
          </w:tcPr>
          <w:p w14:paraId="5ACA71A1">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auto"/>
                <w:kern w:val="0"/>
                <w:sz w:val="21"/>
                <w:szCs w:val="21"/>
                <w:highlight w:val="none"/>
                <w:u w:val="none"/>
              </w:rPr>
            </w:pPr>
            <w:r>
              <w:rPr>
                <w:rFonts w:ascii="Times New Roman" w:hAnsi="Times New Roman" w:eastAsia="宋体" w:cs="Times New Roman"/>
                <w:color w:val="auto"/>
                <w:kern w:val="0"/>
                <w:sz w:val="21"/>
                <w:szCs w:val="21"/>
                <w:highlight w:val="none"/>
                <w:u w:val="none"/>
              </w:rPr>
              <w:t>（0</w:t>
            </w:r>
            <w:r>
              <w:rPr>
                <w:rFonts w:hint="eastAsia" w:ascii="Times New Roman" w:hAnsi="Times New Roman" w:eastAsia="宋体" w:cs="Times New Roman"/>
                <w:color w:val="auto"/>
                <w:kern w:val="0"/>
                <w:sz w:val="21"/>
                <w:szCs w:val="21"/>
                <w:highlight w:val="none"/>
                <w:u w:val="none"/>
                <w:lang w:eastAsia="zh-CN"/>
              </w:rPr>
              <w:t>，</w:t>
            </w:r>
            <w:r>
              <w:rPr>
                <w:rFonts w:ascii="Times New Roman" w:hAnsi="Times New Roman" w:eastAsia="宋体" w:cs="Times New Roman"/>
                <w:color w:val="auto"/>
                <w:kern w:val="0"/>
                <w:sz w:val="21"/>
                <w:szCs w:val="21"/>
                <w:highlight w:val="none"/>
                <w:u w:val="none"/>
              </w:rPr>
              <w:t>0）</w:t>
            </w:r>
          </w:p>
        </w:tc>
        <w:tc>
          <w:tcPr>
            <w:tcW w:w="600" w:type="pct"/>
            <w:shd w:val="clear" w:color="auto" w:fill="auto"/>
            <w:noWrap w:val="0"/>
            <w:tcMar>
              <w:top w:w="0" w:type="dxa"/>
              <w:left w:w="28" w:type="dxa"/>
              <w:bottom w:w="0" w:type="dxa"/>
              <w:right w:w="28" w:type="dxa"/>
            </w:tcMar>
            <w:vAlign w:val="center"/>
          </w:tcPr>
          <w:p w14:paraId="60D07D7B">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0"/>
                <w:sz w:val="21"/>
                <w:szCs w:val="21"/>
                <w:highlight w:val="none"/>
                <w:u w:val="none"/>
                <w:lang w:val="en-US" w:eastAsia="zh-CN"/>
              </w:rPr>
            </w:pPr>
            <w:r>
              <w:rPr>
                <w:rFonts w:hint="eastAsia" w:ascii="Times New Roman" w:hAnsi="Times New Roman" w:eastAsia="宋体" w:cs="Times New Roman"/>
                <w:color w:val="auto"/>
                <w:kern w:val="0"/>
                <w:sz w:val="21"/>
                <w:szCs w:val="21"/>
                <w:highlight w:val="none"/>
                <w:u w:val="none"/>
              </w:rPr>
              <w:t>3.36E+0</w:t>
            </w:r>
            <w:r>
              <w:rPr>
                <w:rFonts w:hint="eastAsia" w:ascii="Times New Roman" w:hAnsi="Times New Roman" w:eastAsia="宋体" w:cs="Times New Roman"/>
                <w:color w:val="auto"/>
                <w:kern w:val="0"/>
                <w:sz w:val="21"/>
                <w:szCs w:val="21"/>
                <w:highlight w:val="none"/>
                <w:u w:val="none"/>
                <w:lang w:val="en-US" w:eastAsia="zh-CN"/>
              </w:rPr>
              <w:t>3</w:t>
            </w:r>
          </w:p>
        </w:tc>
        <w:tc>
          <w:tcPr>
            <w:tcW w:w="600" w:type="pct"/>
            <w:shd w:val="clear" w:color="auto" w:fill="auto"/>
            <w:noWrap w:val="0"/>
            <w:tcMar>
              <w:top w:w="0" w:type="dxa"/>
              <w:left w:w="28" w:type="dxa"/>
              <w:bottom w:w="0" w:type="dxa"/>
              <w:right w:w="28" w:type="dxa"/>
            </w:tcMar>
            <w:vAlign w:val="center"/>
          </w:tcPr>
          <w:p w14:paraId="31E99719">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auto"/>
                <w:kern w:val="0"/>
                <w:sz w:val="21"/>
                <w:szCs w:val="21"/>
                <w:highlight w:val="none"/>
                <w:u w:val="none"/>
              </w:rPr>
            </w:pPr>
            <w:r>
              <w:rPr>
                <w:rFonts w:hint="eastAsia" w:ascii="Times New Roman" w:hAnsi="Times New Roman" w:eastAsia="宋体" w:cs="Times New Roman"/>
                <w:color w:val="auto"/>
                <w:kern w:val="0"/>
                <w:sz w:val="21"/>
                <w:szCs w:val="21"/>
                <w:highlight w:val="none"/>
                <w:u w:val="none"/>
              </w:rPr>
              <w:t>3.36E+0</w:t>
            </w:r>
            <w:r>
              <w:rPr>
                <w:rFonts w:hint="eastAsia" w:ascii="Times New Roman" w:hAnsi="Times New Roman" w:eastAsia="宋体" w:cs="Times New Roman"/>
                <w:color w:val="auto"/>
                <w:kern w:val="0"/>
                <w:sz w:val="21"/>
                <w:szCs w:val="21"/>
                <w:highlight w:val="none"/>
                <w:u w:val="none"/>
                <w:lang w:val="en-US" w:eastAsia="zh-CN"/>
              </w:rPr>
              <w:t>3</w:t>
            </w:r>
          </w:p>
        </w:tc>
        <w:tc>
          <w:tcPr>
            <w:tcW w:w="600" w:type="pct"/>
            <w:shd w:val="clear" w:color="auto" w:fill="auto"/>
            <w:noWrap w:val="0"/>
            <w:tcMar>
              <w:top w:w="0" w:type="dxa"/>
              <w:left w:w="28" w:type="dxa"/>
              <w:bottom w:w="0" w:type="dxa"/>
              <w:right w:w="28" w:type="dxa"/>
            </w:tcMar>
            <w:vAlign w:val="center"/>
          </w:tcPr>
          <w:p w14:paraId="0C438E3F">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auto"/>
                <w:kern w:val="0"/>
                <w:sz w:val="21"/>
                <w:szCs w:val="21"/>
                <w:highlight w:val="none"/>
                <w:u w:val="none"/>
                <w:lang w:val="en-US" w:eastAsia="zh-CN" w:bidi="ar-SA"/>
              </w:rPr>
            </w:pPr>
            <w:r>
              <w:rPr>
                <w:rFonts w:hint="eastAsia" w:ascii="Times New Roman" w:hAnsi="Times New Roman" w:eastAsia="宋体" w:cs="Times New Roman"/>
                <w:color w:val="auto"/>
                <w:kern w:val="0"/>
                <w:sz w:val="21"/>
                <w:szCs w:val="21"/>
                <w:highlight w:val="none"/>
                <w:u w:val="none"/>
              </w:rPr>
              <w:t>3.36E+0</w:t>
            </w:r>
            <w:r>
              <w:rPr>
                <w:rFonts w:hint="eastAsia" w:ascii="Times New Roman" w:hAnsi="Times New Roman" w:eastAsia="宋体" w:cs="Times New Roman"/>
                <w:color w:val="auto"/>
                <w:kern w:val="0"/>
                <w:sz w:val="21"/>
                <w:szCs w:val="21"/>
                <w:highlight w:val="none"/>
                <w:u w:val="none"/>
                <w:lang w:val="en-US" w:eastAsia="zh-CN"/>
              </w:rPr>
              <w:t>3</w:t>
            </w:r>
          </w:p>
        </w:tc>
        <w:tc>
          <w:tcPr>
            <w:tcW w:w="600" w:type="pct"/>
            <w:shd w:val="clear" w:color="auto" w:fill="auto"/>
            <w:noWrap w:val="0"/>
            <w:tcMar>
              <w:top w:w="0" w:type="dxa"/>
              <w:left w:w="28" w:type="dxa"/>
              <w:bottom w:w="0" w:type="dxa"/>
              <w:right w:w="28" w:type="dxa"/>
            </w:tcMar>
            <w:vAlign w:val="center"/>
          </w:tcPr>
          <w:p w14:paraId="3AB23C5F">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auto"/>
                <w:kern w:val="0"/>
                <w:sz w:val="21"/>
                <w:szCs w:val="21"/>
                <w:highlight w:val="none"/>
                <w:u w:val="none"/>
                <w:lang w:val="en-US" w:eastAsia="zh-CN" w:bidi="ar-SA"/>
              </w:rPr>
            </w:pPr>
            <w:r>
              <w:rPr>
                <w:rFonts w:hint="eastAsia" w:ascii="Times New Roman" w:hAnsi="Times New Roman" w:eastAsia="宋体" w:cs="Times New Roman"/>
                <w:color w:val="auto"/>
                <w:kern w:val="0"/>
                <w:sz w:val="21"/>
                <w:szCs w:val="21"/>
                <w:highlight w:val="none"/>
                <w:u w:val="none"/>
              </w:rPr>
              <w:t>3.36E+0</w:t>
            </w:r>
            <w:r>
              <w:rPr>
                <w:rFonts w:hint="eastAsia" w:ascii="Times New Roman" w:hAnsi="Times New Roman" w:eastAsia="宋体" w:cs="Times New Roman"/>
                <w:color w:val="auto"/>
                <w:kern w:val="0"/>
                <w:sz w:val="21"/>
                <w:szCs w:val="21"/>
                <w:highlight w:val="none"/>
                <w:u w:val="none"/>
                <w:lang w:val="en-US" w:eastAsia="zh-CN"/>
              </w:rPr>
              <w:t>3</w:t>
            </w:r>
          </w:p>
        </w:tc>
        <w:tc>
          <w:tcPr>
            <w:tcW w:w="600" w:type="pct"/>
            <w:shd w:val="clear" w:color="auto" w:fill="auto"/>
            <w:noWrap w:val="0"/>
            <w:tcMar>
              <w:top w:w="0" w:type="dxa"/>
              <w:left w:w="28" w:type="dxa"/>
              <w:bottom w:w="0" w:type="dxa"/>
              <w:right w:w="28" w:type="dxa"/>
            </w:tcMar>
            <w:vAlign w:val="center"/>
          </w:tcPr>
          <w:p w14:paraId="4EDBA90E">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auto"/>
                <w:kern w:val="0"/>
                <w:sz w:val="21"/>
                <w:szCs w:val="21"/>
                <w:highlight w:val="none"/>
                <w:u w:val="none"/>
              </w:rPr>
            </w:pPr>
            <w:r>
              <w:rPr>
                <w:rFonts w:hint="eastAsia" w:ascii="Times New Roman" w:hAnsi="Times New Roman" w:eastAsia="宋体" w:cs="Times New Roman"/>
                <w:color w:val="auto"/>
                <w:kern w:val="0"/>
                <w:sz w:val="21"/>
                <w:szCs w:val="21"/>
                <w:highlight w:val="none"/>
                <w:u w:val="none"/>
              </w:rPr>
              <w:t>3.36E+0</w:t>
            </w:r>
            <w:r>
              <w:rPr>
                <w:rFonts w:hint="eastAsia" w:ascii="Times New Roman" w:hAnsi="Times New Roman" w:eastAsia="宋体" w:cs="Times New Roman"/>
                <w:color w:val="auto"/>
                <w:kern w:val="0"/>
                <w:sz w:val="21"/>
                <w:szCs w:val="21"/>
                <w:highlight w:val="none"/>
                <w:u w:val="none"/>
                <w:lang w:val="en-US" w:eastAsia="zh-CN"/>
              </w:rPr>
              <w:t>3</w:t>
            </w:r>
          </w:p>
        </w:tc>
        <w:tc>
          <w:tcPr>
            <w:tcW w:w="600" w:type="pct"/>
            <w:shd w:val="clear" w:color="auto" w:fill="auto"/>
            <w:noWrap w:val="0"/>
            <w:tcMar>
              <w:top w:w="0" w:type="dxa"/>
              <w:left w:w="28" w:type="dxa"/>
              <w:bottom w:w="0" w:type="dxa"/>
              <w:right w:w="28" w:type="dxa"/>
            </w:tcMar>
            <w:vAlign w:val="center"/>
          </w:tcPr>
          <w:p w14:paraId="7FE76DBD">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auto"/>
                <w:kern w:val="0"/>
                <w:sz w:val="21"/>
                <w:szCs w:val="21"/>
                <w:highlight w:val="none"/>
                <w:u w:val="none"/>
                <w:lang w:val="en-US" w:eastAsia="zh-CN" w:bidi="ar-SA"/>
              </w:rPr>
            </w:pPr>
            <w:r>
              <w:rPr>
                <w:rFonts w:hint="eastAsia" w:ascii="Times New Roman" w:hAnsi="Times New Roman" w:eastAsia="宋体" w:cs="Times New Roman"/>
                <w:color w:val="auto"/>
                <w:kern w:val="0"/>
                <w:sz w:val="21"/>
                <w:szCs w:val="21"/>
                <w:highlight w:val="none"/>
                <w:u w:val="none"/>
              </w:rPr>
              <w:t>3.36E+0</w:t>
            </w:r>
            <w:r>
              <w:rPr>
                <w:rFonts w:hint="eastAsia" w:ascii="Times New Roman" w:hAnsi="Times New Roman" w:eastAsia="宋体" w:cs="Times New Roman"/>
                <w:color w:val="auto"/>
                <w:kern w:val="0"/>
                <w:sz w:val="21"/>
                <w:szCs w:val="21"/>
                <w:highlight w:val="none"/>
                <w:u w:val="none"/>
                <w:lang w:val="en-US" w:eastAsia="zh-CN"/>
              </w:rPr>
              <w:t>3</w:t>
            </w:r>
          </w:p>
        </w:tc>
        <w:tc>
          <w:tcPr>
            <w:tcW w:w="600" w:type="pct"/>
            <w:shd w:val="clear" w:color="auto" w:fill="auto"/>
            <w:noWrap w:val="0"/>
            <w:tcMar>
              <w:top w:w="0" w:type="dxa"/>
              <w:left w:w="28" w:type="dxa"/>
              <w:bottom w:w="0" w:type="dxa"/>
              <w:right w:w="28" w:type="dxa"/>
            </w:tcMar>
            <w:vAlign w:val="center"/>
          </w:tcPr>
          <w:p w14:paraId="5633A1C2">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auto"/>
                <w:kern w:val="0"/>
                <w:sz w:val="21"/>
                <w:szCs w:val="21"/>
                <w:highlight w:val="none"/>
                <w:u w:val="none"/>
                <w:lang w:val="en-US" w:eastAsia="zh-CN" w:bidi="ar-SA"/>
              </w:rPr>
            </w:pPr>
            <w:r>
              <w:rPr>
                <w:rFonts w:hint="eastAsia" w:ascii="Times New Roman" w:hAnsi="Times New Roman" w:eastAsia="宋体" w:cs="Times New Roman"/>
                <w:color w:val="auto"/>
                <w:kern w:val="0"/>
                <w:sz w:val="21"/>
                <w:szCs w:val="21"/>
                <w:highlight w:val="none"/>
                <w:u w:val="none"/>
              </w:rPr>
              <w:t>3.36E+0</w:t>
            </w:r>
            <w:r>
              <w:rPr>
                <w:rFonts w:hint="eastAsia" w:ascii="Times New Roman" w:hAnsi="Times New Roman" w:eastAsia="宋体" w:cs="Times New Roman"/>
                <w:color w:val="auto"/>
                <w:kern w:val="0"/>
                <w:sz w:val="21"/>
                <w:szCs w:val="21"/>
                <w:highlight w:val="none"/>
                <w:u w:val="none"/>
                <w:lang w:val="en-US" w:eastAsia="zh-CN"/>
              </w:rPr>
              <w:t>3</w:t>
            </w:r>
          </w:p>
        </w:tc>
      </w:tr>
      <w:tr w14:paraId="7AEAAF2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95" w:type="pct"/>
            <w:shd w:val="clear" w:color="auto" w:fill="auto"/>
            <w:noWrap w:val="0"/>
            <w:tcMar>
              <w:top w:w="0" w:type="dxa"/>
              <w:left w:w="28" w:type="dxa"/>
              <w:bottom w:w="0" w:type="dxa"/>
              <w:right w:w="28" w:type="dxa"/>
            </w:tcMar>
            <w:vAlign w:val="center"/>
          </w:tcPr>
          <w:p w14:paraId="0FCBA59F">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auto"/>
                <w:kern w:val="0"/>
                <w:sz w:val="21"/>
                <w:szCs w:val="21"/>
                <w:highlight w:val="none"/>
                <w:u w:val="none"/>
              </w:rPr>
            </w:pPr>
            <w:r>
              <w:rPr>
                <w:rFonts w:ascii="Times New Roman" w:hAnsi="Times New Roman" w:eastAsia="宋体" w:cs="Times New Roman"/>
                <w:color w:val="auto"/>
                <w:kern w:val="0"/>
                <w:sz w:val="21"/>
                <w:szCs w:val="21"/>
                <w:highlight w:val="none"/>
                <w:u w:val="none"/>
              </w:rPr>
              <w:t>（5</w:t>
            </w:r>
            <w:r>
              <w:rPr>
                <w:rFonts w:hint="eastAsia" w:ascii="Times New Roman" w:hAnsi="Times New Roman" w:eastAsia="宋体" w:cs="Times New Roman"/>
                <w:color w:val="auto"/>
                <w:kern w:val="0"/>
                <w:sz w:val="21"/>
                <w:szCs w:val="21"/>
                <w:highlight w:val="none"/>
                <w:u w:val="none"/>
                <w:lang w:eastAsia="zh-CN"/>
              </w:rPr>
              <w:t>，</w:t>
            </w:r>
            <w:r>
              <w:rPr>
                <w:rFonts w:ascii="Times New Roman" w:hAnsi="Times New Roman" w:eastAsia="宋体" w:cs="Times New Roman"/>
                <w:color w:val="auto"/>
                <w:kern w:val="0"/>
                <w:sz w:val="21"/>
                <w:szCs w:val="21"/>
                <w:highlight w:val="none"/>
                <w:u w:val="none"/>
              </w:rPr>
              <w:t>5）</w:t>
            </w:r>
          </w:p>
        </w:tc>
        <w:tc>
          <w:tcPr>
            <w:tcW w:w="600" w:type="pct"/>
            <w:shd w:val="clear" w:color="auto" w:fill="auto"/>
            <w:noWrap w:val="0"/>
            <w:tcMar>
              <w:top w:w="0" w:type="dxa"/>
              <w:left w:w="28" w:type="dxa"/>
              <w:bottom w:w="0" w:type="dxa"/>
              <w:right w:w="28" w:type="dxa"/>
            </w:tcMar>
            <w:vAlign w:val="center"/>
          </w:tcPr>
          <w:p w14:paraId="67E315DB">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auto"/>
                <w:kern w:val="0"/>
                <w:sz w:val="21"/>
                <w:szCs w:val="21"/>
                <w:highlight w:val="none"/>
                <w:u w:val="none"/>
              </w:rPr>
            </w:pPr>
            <w:r>
              <w:rPr>
                <w:rFonts w:hint="eastAsia" w:ascii="Times New Roman" w:hAnsi="Times New Roman" w:eastAsia="宋体" w:cs="Times New Roman"/>
                <w:color w:val="auto"/>
                <w:kern w:val="0"/>
                <w:sz w:val="21"/>
                <w:szCs w:val="21"/>
                <w:highlight w:val="none"/>
                <w:u w:val="none"/>
              </w:rPr>
              <w:t>6.26E-290</w:t>
            </w:r>
          </w:p>
        </w:tc>
        <w:tc>
          <w:tcPr>
            <w:tcW w:w="600" w:type="pct"/>
            <w:shd w:val="clear" w:color="auto" w:fill="auto"/>
            <w:noWrap w:val="0"/>
            <w:tcMar>
              <w:top w:w="0" w:type="dxa"/>
              <w:left w:w="28" w:type="dxa"/>
              <w:bottom w:w="0" w:type="dxa"/>
              <w:right w:w="28" w:type="dxa"/>
            </w:tcMar>
            <w:vAlign w:val="center"/>
          </w:tcPr>
          <w:p w14:paraId="6B7B0222">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auto"/>
                <w:kern w:val="0"/>
                <w:sz w:val="21"/>
                <w:szCs w:val="21"/>
                <w:highlight w:val="none"/>
                <w:u w:val="none"/>
              </w:rPr>
            </w:pPr>
            <w:r>
              <w:rPr>
                <w:rFonts w:hint="eastAsia" w:ascii="Times New Roman" w:hAnsi="Times New Roman" w:eastAsia="宋体" w:cs="Times New Roman"/>
                <w:color w:val="auto"/>
                <w:kern w:val="0"/>
                <w:sz w:val="21"/>
                <w:szCs w:val="21"/>
                <w:highlight w:val="none"/>
                <w:u w:val="none"/>
              </w:rPr>
              <w:t>3.43E-57</w:t>
            </w:r>
          </w:p>
        </w:tc>
        <w:tc>
          <w:tcPr>
            <w:tcW w:w="600" w:type="pct"/>
            <w:shd w:val="clear" w:color="auto" w:fill="auto"/>
            <w:noWrap w:val="0"/>
            <w:tcMar>
              <w:top w:w="0" w:type="dxa"/>
              <w:left w:w="28" w:type="dxa"/>
              <w:bottom w:w="0" w:type="dxa"/>
              <w:right w:w="28" w:type="dxa"/>
            </w:tcMar>
            <w:vAlign w:val="center"/>
          </w:tcPr>
          <w:p w14:paraId="7BC6C374">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auto"/>
                <w:kern w:val="0"/>
                <w:sz w:val="21"/>
                <w:szCs w:val="21"/>
                <w:highlight w:val="none"/>
                <w:u w:val="none"/>
              </w:rPr>
            </w:pPr>
            <w:r>
              <w:rPr>
                <w:rFonts w:hint="eastAsia" w:ascii="Times New Roman" w:hAnsi="Times New Roman" w:eastAsia="宋体" w:cs="Times New Roman"/>
                <w:color w:val="auto"/>
                <w:kern w:val="0"/>
                <w:sz w:val="21"/>
                <w:szCs w:val="21"/>
                <w:highlight w:val="none"/>
                <w:u w:val="none"/>
              </w:rPr>
              <w:t>6.88E-28</w:t>
            </w:r>
          </w:p>
        </w:tc>
        <w:tc>
          <w:tcPr>
            <w:tcW w:w="600" w:type="pct"/>
            <w:shd w:val="clear" w:color="auto" w:fill="auto"/>
            <w:noWrap w:val="0"/>
            <w:tcMar>
              <w:top w:w="0" w:type="dxa"/>
              <w:left w:w="28" w:type="dxa"/>
              <w:bottom w:w="0" w:type="dxa"/>
              <w:right w:w="28" w:type="dxa"/>
            </w:tcMar>
            <w:vAlign w:val="center"/>
          </w:tcPr>
          <w:p w14:paraId="624B5F9E">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auto"/>
                <w:kern w:val="0"/>
                <w:sz w:val="21"/>
                <w:szCs w:val="21"/>
                <w:highlight w:val="none"/>
                <w:u w:val="none"/>
              </w:rPr>
            </w:pPr>
            <w:r>
              <w:rPr>
                <w:rFonts w:hint="eastAsia" w:ascii="Times New Roman" w:hAnsi="Times New Roman" w:eastAsia="宋体" w:cs="Times New Roman"/>
                <w:color w:val="auto"/>
                <w:kern w:val="0"/>
                <w:sz w:val="21"/>
                <w:szCs w:val="21"/>
                <w:highlight w:val="none"/>
                <w:u w:val="none"/>
              </w:rPr>
              <w:t>4.32E-13</w:t>
            </w:r>
          </w:p>
        </w:tc>
        <w:tc>
          <w:tcPr>
            <w:tcW w:w="600" w:type="pct"/>
            <w:shd w:val="clear" w:color="auto" w:fill="auto"/>
            <w:noWrap w:val="0"/>
            <w:tcMar>
              <w:top w:w="0" w:type="dxa"/>
              <w:left w:w="28" w:type="dxa"/>
              <w:bottom w:w="0" w:type="dxa"/>
              <w:right w:w="28" w:type="dxa"/>
            </w:tcMar>
            <w:vAlign w:val="center"/>
          </w:tcPr>
          <w:p w14:paraId="433CA197">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auto"/>
                <w:kern w:val="0"/>
                <w:sz w:val="21"/>
                <w:szCs w:val="21"/>
                <w:highlight w:val="none"/>
                <w:u w:val="none"/>
              </w:rPr>
            </w:pPr>
            <w:r>
              <w:rPr>
                <w:rFonts w:hint="eastAsia" w:ascii="Times New Roman" w:hAnsi="Times New Roman" w:eastAsia="宋体" w:cs="Times New Roman"/>
                <w:color w:val="auto"/>
                <w:kern w:val="0"/>
                <w:sz w:val="21"/>
                <w:szCs w:val="21"/>
                <w:highlight w:val="none"/>
                <w:u w:val="none"/>
              </w:rPr>
              <w:t>4.35E-08</w:t>
            </w:r>
          </w:p>
        </w:tc>
        <w:tc>
          <w:tcPr>
            <w:tcW w:w="600" w:type="pct"/>
            <w:shd w:val="clear" w:color="auto" w:fill="auto"/>
            <w:noWrap w:val="0"/>
            <w:tcMar>
              <w:top w:w="0" w:type="dxa"/>
              <w:left w:w="28" w:type="dxa"/>
              <w:bottom w:w="0" w:type="dxa"/>
              <w:right w:w="28" w:type="dxa"/>
            </w:tcMar>
            <w:vAlign w:val="center"/>
          </w:tcPr>
          <w:p w14:paraId="209B1D75">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auto"/>
                <w:kern w:val="0"/>
                <w:sz w:val="21"/>
                <w:szCs w:val="21"/>
                <w:highlight w:val="none"/>
                <w:u w:val="none"/>
              </w:rPr>
            </w:pPr>
            <w:r>
              <w:rPr>
                <w:rFonts w:hint="eastAsia" w:ascii="Times New Roman" w:hAnsi="Times New Roman" w:eastAsia="宋体" w:cs="Times New Roman"/>
                <w:color w:val="auto"/>
                <w:kern w:val="0"/>
                <w:sz w:val="21"/>
                <w:szCs w:val="21"/>
                <w:highlight w:val="none"/>
                <w:u w:val="none"/>
              </w:rPr>
              <w:t>1.50E-05</w:t>
            </w:r>
          </w:p>
        </w:tc>
        <w:tc>
          <w:tcPr>
            <w:tcW w:w="600" w:type="pct"/>
            <w:shd w:val="clear" w:color="auto" w:fill="auto"/>
            <w:noWrap w:val="0"/>
            <w:tcMar>
              <w:top w:w="0" w:type="dxa"/>
              <w:left w:w="28" w:type="dxa"/>
              <w:bottom w:w="0" w:type="dxa"/>
              <w:right w:w="28" w:type="dxa"/>
            </w:tcMar>
            <w:vAlign w:val="center"/>
          </w:tcPr>
          <w:p w14:paraId="66C8B660">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auto"/>
                <w:kern w:val="0"/>
                <w:sz w:val="21"/>
                <w:szCs w:val="21"/>
                <w:highlight w:val="none"/>
                <w:u w:val="none"/>
              </w:rPr>
            </w:pPr>
            <w:r>
              <w:rPr>
                <w:rFonts w:hint="eastAsia" w:ascii="Times New Roman" w:hAnsi="Times New Roman" w:eastAsia="宋体" w:cs="Times New Roman"/>
                <w:color w:val="auto"/>
                <w:kern w:val="0"/>
                <w:sz w:val="21"/>
                <w:szCs w:val="21"/>
                <w:highlight w:val="none"/>
                <w:u w:val="none"/>
              </w:rPr>
              <w:t>5.20E-04</w:t>
            </w:r>
          </w:p>
        </w:tc>
      </w:tr>
      <w:tr w14:paraId="6FD58CA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95" w:type="pct"/>
            <w:noWrap w:val="0"/>
            <w:tcMar>
              <w:top w:w="0" w:type="dxa"/>
              <w:left w:w="28" w:type="dxa"/>
              <w:bottom w:w="0" w:type="dxa"/>
              <w:right w:w="28" w:type="dxa"/>
            </w:tcMar>
            <w:vAlign w:val="center"/>
          </w:tcPr>
          <w:p w14:paraId="3C8726EF">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auto"/>
                <w:kern w:val="0"/>
                <w:sz w:val="21"/>
                <w:szCs w:val="21"/>
                <w:highlight w:val="none"/>
                <w:u w:val="none"/>
              </w:rPr>
            </w:pPr>
            <w:r>
              <w:rPr>
                <w:rFonts w:ascii="Times New Roman" w:hAnsi="Times New Roman" w:eastAsia="宋体" w:cs="Times New Roman"/>
                <w:color w:val="auto"/>
                <w:kern w:val="0"/>
                <w:sz w:val="21"/>
                <w:szCs w:val="21"/>
                <w:highlight w:val="none"/>
                <w:u w:val="none"/>
              </w:rPr>
              <w:t>（10，10）</w:t>
            </w:r>
          </w:p>
        </w:tc>
        <w:tc>
          <w:tcPr>
            <w:tcW w:w="600" w:type="pct"/>
            <w:noWrap w:val="0"/>
            <w:tcMar>
              <w:top w:w="0" w:type="dxa"/>
              <w:left w:w="28" w:type="dxa"/>
              <w:bottom w:w="0" w:type="dxa"/>
              <w:right w:w="28" w:type="dxa"/>
            </w:tcMar>
            <w:vAlign w:val="center"/>
          </w:tcPr>
          <w:p w14:paraId="6C92CC6B">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auto"/>
                <w:kern w:val="0"/>
                <w:sz w:val="21"/>
                <w:szCs w:val="21"/>
                <w:highlight w:val="none"/>
                <w:u w:val="none"/>
              </w:rPr>
            </w:pPr>
            <w:r>
              <w:rPr>
                <w:rFonts w:hint="eastAsia" w:ascii="Times New Roman" w:hAnsi="Times New Roman" w:eastAsia="宋体" w:cs="Times New Roman"/>
                <w:color w:val="auto"/>
                <w:kern w:val="0"/>
                <w:sz w:val="21"/>
                <w:szCs w:val="21"/>
                <w:highlight w:val="none"/>
                <w:u w:val="none"/>
              </w:rPr>
              <w:t>0.00E+00</w:t>
            </w:r>
          </w:p>
        </w:tc>
        <w:tc>
          <w:tcPr>
            <w:tcW w:w="600" w:type="pct"/>
            <w:noWrap w:val="0"/>
            <w:tcMar>
              <w:top w:w="0" w:type="dxa"/>
              <w:left w:w="28" w:type="dxa"/>
              <w:bottom w:w="0" w:type="dxa"/>
              <w:right w:w="28" w:type="dxa"/>
            </w:tcMar>
            <w:vAlign w:val="center"/>
          </w:tcPr>
          <w:p w14:paraId="5C163E7C">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auto"/>
                <w:kern w:val="0"/>
                <w:sz w:val="21"/>
                <w:szCs w:val="21"/>
                <w:highlight w:val="none"/>
                <w:u w:val="none"/>
              </w:rPr>
            </w:pPr>
            <w:r>
              <w:rPr>
                <w:rFonts w:hint="eastAsia" w:ascii="Times New Roman" w:hAnsi="Times New Roman" w:eastAsia="宋体" w:cs="Times New Roman"/>
                <w:color w:val="auto"/>
                <w:kern w:val="0"/>
                <w:sz w:val="21"/>
                <w:szCs w:val="21"/>
                <w:highlight w:val="none"/>
                <w:u w:val="none"/>
              </w:rPr>
              <w:t>1.13E-231</w:t>
            </w:r>
          </w:p>
        </w:tc>
        <w:tc>
          <w:tcPr>
            <w:tcW w:w="600" w:type="pct"/>
            <w:noWrap w:val="0"/>
            <w:tcMar>
              <w:top w:w="0" w:type="dxa"/>
              <w:left w:w="28" w:type="dxa"/>
              <w:bottom w:w="0" w:type="dxa"/>
              <w:right w:w="28" w:type="dxa"/>
            </w:tcMar>
            <w:vAlign w:val="center"/>
          </w:tcPr>
          <w:p w14:paraId="15DDF164">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auto"/>
                <w:kern w:val="0"/>
                <w:sz w:val="21"/>
                <w:szCs w:val="21"/>
                <w:highlight w:val="none"/>
                <w:u w:val="none"/>
              </w:rPr>
            </w:pPr>
            <w:r>
              <w:rPr>
                <w:rFonts w:hint="eastAsia" w:ascii="Times New Roman" w:hAnsi="Times New Roman" w:eastAsia="宋体" w:cs="Times New Roman"/>
                <w:color w:val="auto"/>
                <w:kern w:val="0"/>
                <w:sz w:val="21"/>
                <w:szCs w:val="21"/>
                <w:highlight w:val="none"/>
                <w:u w:val="none"/>
              </w:rPr>
              <w:t>2.36E-115</w:t>
            </w:r>
          </w:p>
        </w:tc>
        <w:tc>
          <w:tcPr>
            <w:tcW w:w="600" w:type="pct"/>
            <w:noWrap w:val="0"/>
            <w:tcMar>
              <w:top w:w="0" w:type="dxa"/>
              <w:left w:w="28" w:type="dxa"/>
              <w:bottom w:w="0" w:type="dxa"/>
              <w:right w:w="28" w:type="dxa"/>
            </w:tcMar>
            <w:vAlign w:val="center"/>
          </w:tcPr>
          <w:p w14:paraId="7C9E60BC">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auto"/>
                <w:kern w:val="0"/>
                <w:sz w:val="21"/>
                <w:szCs w:val="21"/>
                <w:highlight w:val="none"/>
                <w:u w:val="none"/>
              </w:rPr>
            </w:pPr>
            <w:r>
              <w:rPr>
                <w:rFonts w:hint="eastAsia" w:ascii="Times New Roman" w:hAnsi="Times New Roman" w:eastAsia="宋体" w:cs="Times New Roman"/>
                <w:color w:val="auto"/>
                <w:kern w:val="0"/>
                <w:sz w:val="21"/>
                <w:szCs w:val="21"/>
                <w:highlight w:val="none"/>
                <w:u w:val="none"/>
              </w:rPr>
              <w:t>4.82E-57</w:t>
            </w:r>
          </w:p>
        </w:tc>
        <w:tc>
          <w:tcPr>
            <w:tcW w:w="600" w:type="pct"/>
            <w:noWrap w:val="0"/>
            <w:tcMar>
              <w:top w:w="0" w:type="dxa"/>
              <w:left w:w="28" w:type="dxa"/>
              <w:bottom w:w="0" w:type="dxa"/>
              <w:right w:w="28" w:type="dxa"/>
            </w:tcMar>
            <w:vAlign w:val="center"/>
          </w:tcPr>
          <w:p w14:paraId="17F0E205">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auto"/>
                <w:kern w:val="0"/>
                <w:sz w:val="21"/>
                <w:szCs w:val="21"/>
                <w:highlight w:val="none"/>
                <w:u w:val="none"/>
              </w:rPr>
            </w:pPr>
            <w:r>
              <w:rPr>
                <w:rFonts w:hint="eastAsia" w:ascii="Times New Roman" w:hAnsi="Times New Roman" w:eastAsia="宋体" w:cs="Times New Roman"/>
                <w:color w:val="auto"/>
                <w:kern w:val="0"/>
                <w:sz w:val="21"/>
                <w:szCs w:val="21"/>
                <w:highlight w:val="none"/>
                <w:u w:val="none"/>
              </w:rPr>
              <w:t>1.56E-37</w:t>
            </w:r>
          </w:p>
        </w:tc>
        <w:tc>
          <w:tcPr>
            <w:tcW w:w="600" w:type="pct"/>
            <w:noWrap w:val="0"/>
            <w:tcMar>
              <w:top w:w="0" w:type="dxa"/>
              <w:left w:w="28" w:type="dxa"/>
              <w:bottom w:w="0" w:type="dxa"/>
              <w:right w:w="28" w:type="dxa"/>
            </w:tcMar>
            <w:vAlign w:val="center"/>
          </w:tcPr>
          <w:p w14:paraId="4C4241CD">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auto"/>
                <w:kern w:val="0"/>
                <w:sz w:val="21"/>
                <w:szCs w:val="21"/>
                <w:highlight w:val="none"/>
                <w:u w:val="none"/>
              </w:rPr>
            </w:pPr>
            <w:r>
              <w:rPr>
                <w:rFonts w:hint="eastAsia" w:ascii="Times New Roman" w:hAnsi="Times New Roman" w:eastAsia="宋体" w:cs="Times New Roman"/>
                <w:color w:val="auto"/>
                <w:kern w:val="0"/>
                <w:sz w:val="21"/>
                <w:szCs w:val="21"/>
                <w:highlight w:val="none"/>
                <w:u w:val="none"/>
              </w:rPr>
              <w:t>9.69E-28</w:t>
            </w:r>
          </w:p>
        </w:tc>
        <w:tc>
          <w:tcPr>
            <w:tcW w:w="600" w:type="pct"/>
            <w:noWrap w:val="0"/>
            <w:tcMar>
              <w:top w:w="0" w:type="dxa"/>
              <w:left w:w="28" w:type="dxa"/>
              <w:bottom w:w="0" w:type="dxa"/>
              <w:right w:w="28" w:type="dxa"/>
            </w:tcMar>
            <w:vAlign w:val="center"/>
          </w:tcPr>
          <w:p w14:paraId="1AD8D79D">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auto"/>
                <w:kern w:val="0"/>
                <w:sz w:val="21"/>
                <w:szCs w:val="21"/>
                <w:highlight w:val="none"/>
                <w:u w:val="none"/>
              </w:rPr>
            </w:pPr>
            <w:r>
              <w:rPr>
                <w:rFonts w:hint="eastAsia" w:ascii="Times New Roman" w:hAnsi="Times New Roman" w:eastAsia="宋体" w:cs="Times New Roman"/>
                <w:color w:val="auto"/>
                <w:kern w:val="0"/>
                <w:sz w:val="21"/>
                <w:szCs w:val="21"/>
                <w:highlight w:val="none"/>
                <w:u w:val="none"/>
              </w:rPr>
              <w:t>7.63E-22</w:t>
            </w:r>
          </w:p>
        </w:tc>
      </w:tr>
      <w:tr w14:paraId="02AEF1A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95" w:type="pct"/>
            <w:noWrap w:val="0"/>
            <w:tcMar>
              <w:top w:w="0" w:type="dxa"/>
              <w:left w:w="28" w:type="dxa"/>
              <w:bottom w:w="0" w:type="dxa"/>
              <w:right w:w="28" w:type="dxa"/>
            </w:tcMar>
            <w:vAlign w:val="center"/>
          </w:tcPr>
          <w:p w14:paraId="19C8C1D1">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auto"/>
                <w:kern w:val="0"/>
                <w:sz w:val="21"/>
                <w:szCs w:val="21"/>
                <w:highlight w:val="none"/>
                <w:u w:val="none"/>
              </w:rPr>
            </w:pPr>
            <w:r>
              <w:rPr>
                <w:rFonts w:ascii="Times New Roman" w:hAnsi="Times New Roman" w:eastAsia="宋体" w:cs="Times New Roman"/>
                <w:color w:val="auto"/>
                <w:kern w:val="0"/>
                <w:sz w:val="21"/>
                <w:szCs w:val="21"/>
                <w:highlight w:val="none"/>
                <w:u w:val="none"/>
              </w:rPr>
              <w:t>（50，50）</w:t>
            </w:r>
          </w:p>
        </w:tc>
        <w:tc>
          <w:tcPr>
            <w:tcW w:w="600" w:type="pct"/>
            <w:noWrap w:val="0"/>
            <w:tcMar>
              <w:top w:w="0" w:type="dxa"/>
              <w:left w:w="28" w:type="dxa"/>
              <w:bottom w:w="0" w:type="dxa"/>
              <w:right w:w="28" w:type="dxa"/>
            </w:tcMar>
            <w:vAlign w:val="center"/>
          </w:tcPr>
          <w:p w14:paraId="69C5325F">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auto"/>
                <w:kern w:val="0"/>
                <w:sz w:val="21"/>
                <w:szCs w:val="21"/>
                <w:highlight w:val="none"/>
                <w:u w:val="none"/>
              </w:rPr>
            </w:pPr>
            <w:r>
              <w:rPr>
                <w:rFonts w:hint="eastAsia" w:ascii="Times New Roman" w:hAnsi="Times New Roman" w:eastAsia="宋体" w:cs="Times New Roman"/>
                <w:color w:val="auto"/>
                <w:kern w:val="0"/>
                <w:sz w:val="21"/>
                <w:szCs w:val="21"/>
                <w:highlight w:val="none"/>
                <w:u w:val="none"/>
              </w:rPr>
              <w:t>0.00E+00</w:t>
            </w:r>
          </w:p>
        </w:tc>
        <w:tc>
          <w:tcPr>
            <w:tcW w:w="600" w:type="pct"/>
            <w:noWrap w:val="0"/>
            <w:tcMar>
              <w:top w:w="0" w:type="dxa"/>
              <w:left w:w="28" w:type="dxa"/>
              <w:bottom w:w="0" w:type="dxa"/>
              <w:right w:w="28" w:type="dxa"/>
            </w:tcMar>
            <w:vAlign w:val="center"/>
          </w:tcPr>
          <w:p w14:paraId="7BF404ED">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auto"/>
                <w:kern w:val="0"/>
                <w:sz w:val="21"/>
                <w:szCs w:val="21"/>
                <w:highlight w:val="none"/>
                <w:u w:val="none"/>
              </w:rPr>
            </w:pPr>
            <w:r>
              <w:rPr>
                <w:rFonts w:hint="eastAsia" w:ascii="Times New Roman" w:hAnsi="Times New Roman" w:eastAsia="宋体" w:cs="Times New Roman"/>
                <w:color w:val="auto"/>
                <w:kern w:val="0"/>
                <w:sz w:val="21"/>
                <w:szCs w:val="21"/>
                <w:highlight w:val="none"/>
                <w:u w:val="none"/>
              </w:rPr>
              <w:t>0.00E+00</w:t>
            </w:r>
          </w:p>
        </w:tc>
        <w:tc>
          <w:tcPr>
            <w:tcW w:w="600" w:type="pct"/>
            <w:noWrap w:val="0"/>
            <w:tcMar>
              <w:top w:w="0" w:type="dxa"/>
              <w:left w:w="28" w:type="dxa"/>
              <w:bottom w:w="0" w:type="dxa"/>
              <w:right w:w="28" w:type="dxa"/>
            </w:tcMar>
            <w:vAlign w:val="center"/>
          </w:tcPr>
          <w:p w14:paraId="216D8A57">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auto"/>
                <w:kern w:val="0"/>
                <w:sz w:val="21"/>
                <w:szCs w:val="21"/>
                <w:highlight w:val="none"/>
                <w:u w:val="none"/>
              </w:rPr>
            </w:pPr>
            <w:r>
              <w:rPr>
                <w:rFonts w:hint="eastAsia" w:ascii="Times New Roman" w:hAnsi="Times New Roman" w:eastAsia="宋体" w:cs="Times New Roman"/>
                <w:color w:val="auto"/>
                <w:kern w:val="0"/>
                <w:sz w:val="21"/>
                <w:szCs w:val="21"/>
                <w:highlight w:val="none"/>
                <w:u w:val="none"/>
              </w:rPr>
              <w:t>0.00E+00</w:t>
            </w:r>
          </w:p>
        </w:tc>
        <w:tc>
          <w:tcPr>
            <w:tcW w:w="600" w:type="pct"/>
            <w:noWrap w:val="0"/>
            <w:tcMar>
              <w:top w:w="0" w:type="dxa"/>
              <w:left w:w="28" w:type="dxa"/>
              <w:bottom w:w="0" w:type="dxa"/>
              <w:right w:w="28" w:type="dxa"/>
            </w:tcMar>
            <w:vAlign w:val="center"/>
          </w:tcPr>
          <w:p w14:paraId="2FCFC1DD">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auto"/>
                <w:kern w:val="0"/>
                <w:sz w:val="21"/>
                <w:szCs w:val="21"/>
                <w:highlight w:val="none"/>
                <w:u w:val="none"/>
              </w:rPr>
            </w:pPr>
            <w:r>
              <w:rPr>
                <w:rFonts w:hint="eastAsia" w:ascii="Times New Roman" w:hAnsi="Times New Roman" w:eastAsia="宋体" w:cs="Times New Roman"/>
                <w:color w:val="auto"/>
                <w:kern w:val="0"/>
                <w:sz w:val="21"/>
                <w:szCs w:val="21"/>
                <w:highlight w:val="none"/>
                <w:u w:val="none"/>
              </w:rPr>
              <w:t>0.00E+00</w:t>
            </w:r>
          </w:p>
        </w:tc>
        <w:tc>
          <w:tcPr>
            <w:tcW w:w="600" w:type="pct"/>
            <w:noWrap w:val="0"/>
            <w:tcMar>
              <w:top w:w="0" w:type="dxa"/>
              <w:left w:w="28" w:type="dxa"/>
              <w:bottom w:w="0" w:type="dxa"/>
              <w:right w:w="28" w:type="dxa"/>
            </w:tcMar>
            <w:vAlign w:val="center"/>
          </w:tcPr>
          <w:p w14:paraId="2FEBDFF2">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auto"/>
                <w:kern w:val="0"/>
                <w:sz w:val="21"/>
                <w:szCs w:val="21"/>
                <w:highlight w:val="none"/>
                <w:u w:val="none"/>
              </w:rPr>
            </w:pPr>
            <w:r>
              <w:rPr>
                <w:rFonts w:hint="eastAsia" w:ascii="Times New Roman" w:hAnsi="Times New Roman" w:eastAsia="宋体" w:cs="Times New Roman"/>
                <w:color w:val="auto"/>
                <w:kern w:val="0"/>
                <w:sz w:val="21"/>
                <w:szCs w:val="21"/>
                <w:highlight w:val="none"/>
                <w:u w:val="none"/>
              </w:rPr>
              <w:t>0.00E+00</w:t>
            </w:r>
          </w:p>
        </w:tc>
        <w:tc>
          <w:tcPr>
            <w:tcW w:w="600" w:type="pct"/>
            <w:noWrap w:val="0"/>
            <w:tcMar>
              <w:top w:w="0" w:type="dxa"/>
              <w:left w:w="28" w:type="dxa"/>
              <w:bottom w:w="0" w:type="dxa"/>
              <w:right w:w="28" w:type="dxa"/>
            </w:tcMar>
            <w:vAlign w:val="center"/>
          </w:tcPr>
          <w:p w14:paraId="00059E60">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auto"/>
                <w:kern w:val="0"/>
                <w:sz w:val="21"/>
                <w:szCs w:val="21"/>
                <w:highlight w:val="none"/>
                <w:u w:val="none"/>
              </w:rPr>
            </w:pPr>
            <w:r>
              <w:rPr>
                <w:rFonts w:hint="eastAsia" w:ascii="Times New Roman" w:hAnsi="Times New Roman" w:eastAsia="宋体" w:cs="Times New Roman"/>
                <w:color w:val="auto"/>
                <w:kern w:val="0"/>
                <w:sz w:val="21"/>
                <w:szCs w:val="21"/>
                <w:highlight w:val="none"/>
                <w:u w:val="none"/>
              </w:rPr>
              <w:t>0.00E+00</w:t>
            </w:r>
          </w:p>
        </w:tc>
        <w:tc>
          <w:tcPr>
            <w:tcW w:w="600" w:type="pct"/>
            <w:noWrap w:val="0"/>
            <w:tcMar>
              <w:top w:w="0" w:type="dxa"/>
              <w:left w:w="28" w:type="dxa"/>
              <w:bottom w:w="0" w:type="dxa"/>
              <w:right w:w="28" w:type="dxa"/>
            </w:tcMar>
            <w:vAlign w:val="center"/>
          </w:tcPr>
          <w:p w14:paraId="7A9BC11B">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auto"/>
                <w:kern w:val="0"/>
                <w:sz w:val="21"/>
                <w:szCs w:val="21"/>
                <w:highlight w:val="none"/>
                <w:u w:val="none"/>
              </w:rPr>
            </w:pPr>
            <w:r>
              <w:rPr>
                <w:rFonts w:hint="eastAsia" w:ascii="Times New Roman" w:hAnsi="Times New Roman" w:eastAsia="宋体" w:cs="Times New Roman"/>
                <w:color w:val="auto"/>
                <w:kern w:val="0"/>
                <w:sz w:val="21"/>
                <w:szCs w:val="21"/>
                <w:highlight w:val="none"/>
                <w:u w:val="none"/>
              </w:rPr>
              <w:t>0.00E+00</w:t>
            </w:r>
          </w:p>
        </w:tc>
      </w:tr>
      <w:tr w14:paraId="6AC164C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95" w:type="pct"/>
            <w:noWrap w:val="0"/>
            <w:tcMar>
              <w:top w:w="0" w:type="dxa"/>
              <w:left w:w="28" w:type="dxa"/>
              <w:bottom w:w="0" w:type="dxa"/>
              <w:right w:w="28" w:type="dxa"/>
            </w:tcMar>
            <w:vAlign w:val="center"/>
          </w:tcPr>
          <w:p w14:paraId="60A4CEAB">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auto"/>
                <w:kern w:val="0"/>
                <w:sz w:val="21"/>
                <w:szCs w:val="21"/>
                <w:highlight w:val="none"/>
                <w:u w:val="none"/>
              </w:rPr>
            </w:pPr>
            <w:r>
              <w:rPr>
                <w:rFonts w:ascii="Times New Roman" w:hAnsi="Times New Roman" w:eastAsia="宋体" w:cs="Times New Roman"/>
                <w:color w:val="auto"/>
                <w:kern w:val="0"/>
                <w:sz w:val="21"/>
                <w:szCs w:val="21"/>
                <w:highlight w:val="none"/>
                <w:u w:val="none"/>
              </w:rPr>
              <w:t>（100</w:t>
            </w:r>
            <w:r>
              <w:rPr>
                <w:rFonts w:hint="eastAsia" w:ascii="Times New Roman" w:hAnsi="Times New Roman" w:eastAsia="宋体" w:cs="Times New Roman"/>
                <w:color w:val="auto"/>
                <w:kern w:val="0"/>
                <w:sz w:val="21"/>
                <w:szCs w:val="21"/>
                <w:highlight w:val="none"/>
                <w:u w:val="none"/>
                <w:lang w:eastAsia="zh-CN"/>
              </w:rPr>
              <w:t>，</w:t>
            </w:r>
            <w:r>
              <w:rPr>
                <w:rFonts w:ascii="Times New Roman" w:hAnsi="Times New Roman" w:eastAsia="宋体" w:cs="Times New Roman"/>
                <w:color w:val="auto"/>
                <w:kern w:val="0"/>
                <w:sz w:val="21"/>
                <w:szCs w:val="21"/>
                <w:highlight w:val="none"/>
                <w:u w:val="none"/>
              </w:rPr>
              <w:t>100）</w:t>
            </w:r>
          </w:p>
        </w:tc>
        <w:tc>
          <w:tcPr>
            <w:tcW w:w="600" w:type="pct"/>
            <w:shd w:val="clear" w:color="auto" w:fill="auto"/>
            <w:noWrap w:val="0"/>
            <w:tcMar>
              <w:top w:w="0" w:type="dxa"/>
              <w:left w:w="28" w:type="dxa"/>
              <w:bottom w:w="0" w:type="dxa"/>
              <w:right w:w="28" w:type="dxa"/>
            </w:tcMar>
            <w:vAlign w:val="center"/>
          </w:tcPr>
          <w:p w14:paraId="55F55FCD">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auto"/>
                <w:kern w:val="0"/>
                <w:sz w:val="21"/>
                <w:szCs w:val="21"/>
                <w:highlight w:val="none"/>
                <w:u w:val="none"/>
                <w:lang w:val="en-US" w:eastAsia="zh-CN" w:bidi="ar-SA"/>
              </w:rPr>
            </w:pPr>
            <w:r>
              <w:rPr>
                <w:rFonts w:hint="eastAsia" w:ascii="Times New Roman" w:hAnsi="Times New Roman" w:eastAsia="宋体" w:cs="Times New Roman"/>
                <w:color w:val="auto"/>
                <w:kern w:val="0"/>
                <w:sz w:val="21"/>
                <w:szCs w:val="21"/>
                <w:highlight w:val="none"/>
                <w:u w:val="none"/>
              </w:rPr>
              <w:t>0.00E+00</w:t>
            </w:r>
          </w:p>
        </w:tc>
        <w:tc>
          <w:tcPr>
            <w:tcW w:w="600" w:type="pct"/>
            <w:shd w:val="clear" w:color="auto" w:fill="auto"/>
            <w:noWrap w:val="0"/>
            <w:tcMar>
              <w:top w:w="0" w:type="dxa"/>
              <w:left w:w="28" w:type="dxa"/>
              <w:bottom w:w="0" w:type="dxa"/>
              <w:right w:w="28" w:type="dxa"/>
            </w:tcMar>
            <w:vAlign w:val="center"/>
          </w:tcPr>
          <w:p w14:paraId="7927F881">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auto"/>
                <w:kern w:val="0"/>
                <w:sz w:val="21"/>
                <w:szCs w:val="21"/>
                <w:highlight w:val="none"/>
                <w:u w:val="none"/>
                <w:lang w:val="en-US" w:eastAsia="zh-CN" w:bidi="ar-SA"/>
              </w:rPr>
            </w:pPr>
            <w:r>
              <w:rPr>
                <w:rFonts w:hint="eastAsia" w:ascii="Times New Roman" w:hAnsi="Times New Roman" w:eastAsia="宋体" w:cs="Times New Roman"/>
                <w:color w:val="auto"/>
                <w:kern w:val="0"/>
                <w:sz w:val="21"/>
                <w:szCs w:val="21"/>
                <w:highlight w:val="none"/>
                <w:u w:val="none"/>
              </w:rPr>
              <w:t>0.00E+00</w:t>
            </w:r>
          </w:p>
        </w:tc>
        <w:tc>
          <w:tcPr>
            <w:tcW w:w="600" w:type="pct"/>
            <w:shd w:val="clear" w:color="auto" w:fill="auto"/>
            <w:noWrap w:val="0"/>
            <w:tcMar>
              <w:top w:w="0" w:type="dxa"/>
              <w:left w:w="28" w:type="dxa"/>
              <w:bottom w:w="0" w:type="dxa"/>
              <w:right w:w="28" w:type="dxa"/>
            </w:tcMar>
            <w:vAlign w:val="center"/>
          </w:tcPr>
          <w:p w14:paraId="742EDD5D">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auto"/>
                <w:kern w:val="0"/>
                <w:sz w:val="21"/>
                <w:szCs w:val="21"/>
                <w:highlight w:val="none"/>
                <w:u w:val="none"/>
                <w:lang w:val="en-US" w:eastAsia="zh-CN" w:bidi="ar-SA"/>
              </w:rPr>
            </w:pPr>
            <w:r>
              <w:rPr>
                <w:rFonts w:hint="eastAsia" w:ascii="Times New Roman" w:hAnsi="Times New Roman" w:eastAsia="宋体" w:cs="Times New Roman"/>
                <w:color w:val="auto"/>
                <w:kern w:val="0"/>
                <w:sz w:val="21"/>
                <w:szCs w:val="21"/>
                <w:highlight w:val="none"/>
                <w:u w:val="none"/>
              </w:rPr>
              <w:t>0.00E+00</w:t>
            </w:r>
          </w:p>
        </w:tc>
        <w:tc>
          <w:tcPr>
            <w:tcW w:w="600" w:type="pct"/>
            <w:shd w:val="clear" w:color="auto" w:fill="auto"/>
            <w:noWrap w:val="0"/>
            <w:tcMar>
              <w:top w:w="0" w:type="dxa"/>
              <w:left w:w="28" w:type="dxa"/>
              <w:bottom w:w="0" w:type="dxa"/>
              <w:right w:w="28" w:type="dxa"/>
            </w:tcMar>
            <w:vAlign w:val="center"/>
          </w:tcPr>
          <w:p w14:paraId="20F31C02">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auto"/>
                <w:kern w:val="0"/>
                <w:sz w:val="21"/>
                <w:szCs w:val="21"/>
                <w:highlight w:val="none"/>
                <w:u w:val="none"/>
                <w:lang w:val="en-US" w:eastAsia="zh-CN" w:bidi="ar-SA"/>
              </w:rPr>
            </w:pPr>
            <w:r>
              <w:rPr>
                <w:rFonts w:hint="eastAsia" w:ascii="Times New Roman" w:hAnsi="Times New Roman" w:eastAsia="宋体" w:cs="Times New Roman"/>
                <w:color w:val="auto"/>
                <w:kern w:val="0"/>
                <w:sz w:val="21"/>
                <w:szCs w:val="21"/>
                <w:highlight w:val="none"/>
                <w:u w:val="none"/>
              </w:rPr>
              <w:t>0.00E+00</w:t>
            </w:r>
          </w:p>
        </w:tc>
        <w:tc>
          <w:tcPr>
            <w:tcW w:w="600" w:type="pct"/>
            <w:shd w:val="clear" w:color="auto" w:fill="auto"/>
            <w:noWrap w:val="0"/>
            <w:tcMar>
              <w:top w:w="0" w:type="dxa"/>
              <w:left w:w="28" w:type="dxa"/>
              <w:bottom w:w="0" w:type="dxa"/>
              <w:right w:w="28" w:type="dxa"/>
            </w:tcMar>
            <w:vAlign w:val="center"/>
          </w:tcPr>
          <w:p w14:paraId="3C113140">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auto"/>
                <w:kern w:val="0"/>
                <w:sz w:val="21"/>
                <w:szCs w:val="21"/>
                <w:highlight w:val="none"/>
                <w:u w:val="none"/>
                <w:lang w:val="en-US" w:eastAsia="zh-CN" w:bidi="ar-SA"/>
              </w:rPr>
            </w:pPr>
            <w:r>
              <w:rPr>
                <w:rFonts w:hint="eastAsia" w:ascii="Times New Roman" w:hAnsi="Times New Roman" w:eastAsia="宋体" w:cs="Times New Roman"/>
                <w:color w:val="auto"/>
                <w:kern w:val="0"/>
                <w:sz w:val="21"/>
                <w:szCs w:val="21"/>
                <w:highlight w:val="none"/>
                <w:u w:val="none"/>
              </w:rPr>
              <w:t>0.00E+00</w:t>
            </w:r>
          </w:p>
        </w:tc>
        <w:tc>
          <w:tcPr>
            <w:tcW w:w="600" w:type="pct"/>
            <w:shd w:val="clear" w:color="auto" w:fill="auto"/>
            <w:noWrap w:val="0"/>
            <w:tcMar>
              <w:top w:w="0" w:type="dxa"/>
              <w:left w:w="28" w:type="dxa"/>
              <w:bottom w:w="0" w:type="dxa"/>
              <w:right w:w="28" w:type="dxa"/>
            </w:tcMar>
            <w:vAlign w:val="center"/>
          </w:tcPr>
          <w:p w14:paraId="3C49CE29">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auto"/>
                <w:kern w:val="0"/>
                <w:sz w:val="21"/>
                <w:szCs w:val="21"/>
                <w:highlight w:val="none"/>
                <w:u w:val="none"/>
                <w:lang w:val="en-US" w:eastAsia="zh-CN" w:bidi="ar-SA"/>
              </w:rPr>
            </w:pPr>
            <w:r>
              <w:rPr>
                <w:rFonts w:hint="eastAsia" w:ascii="Times New Roman" w:hAnsi="Times New Roman" w:eastAsia="宋体" w:cs="Times New Roman"/>
                <w:color w:val="auto"/>
                <w:kern w:val="0"/>
                <w:sz w:val="21"/>
                <w:szCs w:val="21"/>
                <w:highlight w:val="none"/>
                <w:u w:val="none"/>
              </w:rPr>
              <w:t>0.00E+00</w:t>
            </w:r>
          </w:p>
        </w:tc>
        <w:tc>
          <w:tcPr>
            <w:tcW w:w="600" w:type="pct"/>
            <w:shd w:val="clear" w:color="auto" w:fill="auto"/>
            <w:noWrap w:val="0"/>
            <w:tcMar>
              <w:top w:w="0" w:type="dxa"/>
              <w:left w:w="28" w:type="dxa"/>
              <w:bottom w:w="0" w:type="dxa"/>
              <w:right w:w="28" w:type="dxa"/>
            </w:tcMar>
            <w:vAlign w:val="center"/>
          </w:tcPr>
          <w:p w14:paraId="74D5ECF7">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auto"/>
                <w:kern w:val="0"/>
                <w:sz w:val="21"/>
                <w:szCs w:val="21"/>
                <w:highlight w:val="none"/>
                <w:u w:val="none"/>
                <w:lang w:val="en-US" w:eastAsia="zh-CN" w:bidi="ar-SA"/>
              </w:rPr>
            </w:pPr>
            <w:r>
              <w:rPr>
                <w:rFonts w:hint="eastAsia" w:ascii="Times New Roman" w:hAnsi="Times New Roman" w:eastAsia="宋体" w:cs="Times New Roman"/>
                <w:color w:val="auto"/>
                <w:kern w:val="0"/>
                <w:sz w:val="21"/>
                <w:szCs w:val="21"/>
                <w:highlight w:val="none"/>
                <w:u w:val="none"/>
              </w:rPr>
              <w:t>0.00E+00</w:t>
            </w:r>
          </w:p>
        </w:tc>
      </w:tr>
      <w:tr w14:paraId="7BA5C51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95" w:type="pct"/>
            <w:noWrap w:val="0"/>
            <w:tcMar>
              <w:top w:w="0" w:type="dxa"/>
              <w:left w:w="28" w:type="dxa"/>
              <w:bottom w:w="0" w:type="dxa"/>
              <w:right w:w="28" w:type="dxa"/>
            </w:tcMar>
            <w:vAlign w:val="center"/>
          </w:tcPr>
          <w:p w14:paraId="15746283">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auto"/>
                <w:kern w:val="0"/>
                <w:sz w:val="21"/>
                <w:szCs w:val="21"/>
                <w:highlight w:val="none"/>
                <w:u w:val="none"/>
              </w:rPr>
            </w:pPr>
            <w:r>
              <w:rPr>
                <w:rFonts w:ascii="Times New Roman" w:hAnsi="Times New Roman" w:eastAsia="宋体" w:cs="Times New Roman"/>
                <w:color w:val="auto"/>
                <w:kern w:val="0"/>
                <w:sz w:val="21"/>
                <w:szCs w:val="21"/>
                <w:highlight w:val="none"/>
                <w:u w:val="none"/>
              </w:rPr>
              <w:t>（200</w:t>
            </w:r>
            <w:r>
              <w:rPr>
                <w:rFonts w:hint="eastAsia" w:ascii="Times New Roman" w:hAnsi="Times New Roman" w:eastAsia="宋体" w:cs="Times New Roman"/>
                <w:color w:val="auto"/>
                <w:kern w:val="0"/>
                <w:sz w:val="21"/>
                <w:szCs w:val="21"/>
                <w:highlight w:val="none"/>
                <w:u w:val="none"/>
                <w:lang w:eastAsia="zh-CN"/>
              </w:rPr>
              <w:t>，</w:t>
            </w:r>
            <w:r>
              <w:rPr>
                <w:rFonts w:ascii="Times New Roman" w:hAnsi="Times New Roman" w:eastAsia="宋体" w:cs="Times New Roman"/>
                <w:color w:val="auto"/>
                <w:kern w:val="0"/>
                <w:sz w:val="21"/>
                <w:szCs w:val="21"/>
                <w:highlight w:val="none"/>
                <w:u w:val="none"/>
              </w:rPr>
              <w:t>200）</w:t>
            </w:r>
          </w:p>
        </w:tc>
        <w:tc>
          <w:tcPr>
            <w:tcW w:w="600" w:type="pct"/>
            <w:shd w:val="clear" w:color="auto" w:fill="auto"/>
            <w:noWrap w:val="0"/>
            <w:tcMar>
              <w:top w:w="0" w:type="dxa"/>
              <w:left w:w="28" w:type="dxa"/>
              <w:bottom w:w="0" w:type="dxa"/>
              <w:right w:w="28" w:type="dxa"/>
            </w:tcMar>
            <w:vAlign w:val="center"/>
          </w:tcPr>
          <w:p w14:paraId="16F307EF">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auto"/>
                <w:kern w:val="0"/>
                <w:sz w:val="21"/>
                <w:szCs w:val="21"/>
                <w:highlight w:val="none"/>
                <w:u w:val="none"/>
                <w:lang w:val="en-US" w:eastAsia="zh-CN" w:bidi="ar-SA"/>
              </w:rPr>
            </w:pPr>
            <w:r>
              <w:rPr>
                <w:rFonts w:hint="eastAsia" w:ascii="Times New Roman" w:hAnsi="Times New Roman" w:eastAsia="宋体" w:cs="Times New Roman"/>
                <w:color w:val="auto"/>
                <w:kern w:val="0"/>
                <w:sz w:val="21"/>
                <w:szCs w:val="21"/>
                <w:highlight w:val="none"/>
                <w:u w:val="none"/>
              </w:rPr>
              <w:t>0.00E+00</w:t>
            </w:r>
          </w:p>
        </w:tc>
        <w:tc>
          <w:tcPr>
            <w:tcW w:w="600" w:type="pct"/>
            <w:shd w:val="clear" w:color="auto" w:fill="auto"/>
            <w:noWrap w:val="0"/>
            <w:tcMar>
              <w:top w:w="0" w:type="dxa"/>
              <w:left w:w="28" w:type="dxa"/>
              <w:bottom w:w="0" w:type="dxa"/>
              <w:right w:w="28" w:type="dxa"/>
            </w:tcMar>
            <w:vAlign w:val="center"/>
          </w:tcPr>
          <w:p w14:paraId="010F21DD">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auto"/>
                <w:kern w:val="0"/>
                <w:sz w:val="21"/>
                <w:szCs w:val="21"/>
                <w:highlight w:val="none"/>
                <w:u w:val="none"/>
                <w:lang w:val="en-US" w:eastAsia="zh-CN" w:bidi="ar-SA"/>
              </w:rPr>
            </w:pPr>
            <w:r>
              <w:rPr>
                <w:rFonts w:hint="eastAsia" w:ascii="Times New Roman" w:hAnsi="Times New Roman" w:eastAsia="宋体" w:cs="Times New Roman"/>
                <w:color w:val="auto"/>
                <w:kern w:val="0"/>
                <w:sz w:val="21"/>
                <w:szCs w:val="21"/>
                <w:highlight w:val="none"/>
                <w:u w:val="none"/>
              </w:rPr>
              <w:t>0.00E+00</w:t>
            </w:r>
          </w:p>
        </w:tc>
        <w:tc>
          <w:tcPr>
            <w:tcW w:w="600" w:type="pct"/>
            <w:shd w:val="clear" w:color="auto" w:fill="auto"/>
            <w:noWrap w:val="0"/>
            <w:tcMar>
              <w:top w:w="0" w:type="dxa"/>
              <w:left w:w="28" w:type="dxa"/>
              <w:bottom w:w="0" w:type="dxa"/>
              <w:right w:w="28" w:type="dxa"/>
            </w:tcMar>
            <w:vAlign w:val="center"/>
          </w:tcPr>
          <w:p w14:paraId="22C46ABA">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auto"/>
                <w:kern w:val="0"/>
                <w:sz w:val="21"/>
                <w:szCs w:val="21"/>
                <w:highlight w:val="none"/>
                <w:u w:val="none"/>
                <w:lang w:val="en-US" w:eastAsia="zh-CN" w:bidi="ar-SA"/>
              </w:rPr>
            </w:pPr>
            <w:r>
              <w:rPr>
                <w:rFonts w:hint="eastAsia" w:ascii="Times New Roman" w:hAnsi="Times New Roman" w:eastAsia="宋体" w:cs="Times New Roman"/>
                <w:color w:val="auto"/>
                <w:kern w:val="0"/>
                <w:sz w:val="21"/>
                <w:szCs w:val="21"/>
                <w:highlight w:val="none"/>
                <w:u w:val="none"/>
              </w:rPr>
              <w:t>0.00E+00</w:t>
            </w:r>
          </w:p>
        </w:tc>
        <w:tc>
          <w:tcPr>
            <w:tcW w:w="600" w:type="pct"/>
            <w:shd w:val="clear" w:color="auto" w:fill="auto"/>
            <w:noWrap w:val="0"/>
            <w:tcMar>
              <w:top w:w="0" w:type="dxa"/>
              <w:left w:w="28" w:type="dxa"/>
              <w:bottom w:w="0" w:type="dxa"/>
              <w:right w:w="28" w:type="dxa"/>
            </w:tcMar>
            <w:vAlign w:val="center"/>
          </w:tcPr>
          <w:p w14:paraId="475C3D6F">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auto"/>
                <w:kern w:val="0"/>
                <w:sz w:val="21"/>
                <w:szCs w:val="21"/>
                <w:highlight w:val="none"/>
                <w:u w:val="none"/>
                <w:lang w:val="en-US" w:eastAsia="zh-CN" w:bidi="ar-SA"/>
              </w:rPr>
            </w:pPr>
            <w:r>
              <w:rPr>
                <w:rFonts w:hint="eastAsia" w:ascii="Times New Roman" w:hAnsi="Times New Roman" w:eastAsia="宋体" w:cs="Times New Roman"/>
                <w:color w:val="auto"/>
                <w:kern w:val="0"/>
                <w:sz w:val="21"/>
                <w:szCs w:val="21"/>
                <w:highlight w:val="none"/>
                <w:u w:val="none"/>
              </w:rPr>
              <w:t>0.00E+00</w:t>
            </w:r>
          </w:p>
        </w:tc>
        <w:tc>
          <w:tcPr>
            <w:tcW w:w="600" w:type="pct"/>
            <w:shd w:val="clear" w:color="auto" w:fill="auto"/>
            <w:noWrap w:val="0"/>
            <w:tcMar>
              <w:top w:w="0" w:type="dxa"/>
              <w:left w:w="28" w:type="dxa"/>
              <w:bottom w:w="0" w:type="dxa"/>
              <w:right w:w="28" w:type="dxa"/>
            </w:tcMar>
            <w:vAlign w:val="center"/>
          </w:tcPr>
          <w:p w14:paraId="495280DD">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auto"/>
                <w:kern w:val="0"/>
                <w:sz w:val="21"/>
                <w:szCs w:val="21"/>
                <w:highlight w:val="none"/>
                <w:u w:val="none"/>
                <w:lang w:val="en-US" w:eastAsia="zh-CN" w:bidi="ar-SA"/>
              </w:rPr>
            </w:pPr>
            <w:r>
              <w:rPr>
                <w:rFonts w:hint="eastAsia" w:ascii="Times New Roman" w:hAnsi="Times New Roman" w:eastAsia="宋体" w:cs="Times New Roman"/>
                <w:color w:val="auto"/>
                <w:kern w:val="0"/>
                <w:sz w:val="21"/>
                <w:szCs w:val="21"/>
                <w:highlight w:val="none"/>
                <w:u w:val="none"/>
              </w:rPr>
              <w:t>0.00E+00</w:t>
            </w:r>
          </w:p>
        </w:tc>
        <w:tc>
          <w:tcPr>
            <w:tcW w:w="600" w:type="pct"/>
            <w:shd w:val="clear" w:color="auto" w:fill="auto"/>
            <w:noWrap w:val="0"/>
            <w:tcMar>
              <w:top w:w="0" w:type="dxa"/>
              <w:left w:w="28" w:type="dxa"/>
              <w:bottom w:w="0" w:type="dxa"/>
              <w:right w:w="28" w:type="dxa"/>
            </w:tcMar>
            <w:vAlign w:val="center"/>
          </w:tcPr>
          <w:p w14:paraId="0E9F9B72">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auto"/>
                <w:kern w:val="0"/>
                <w:sz w:val="21"/>
                <w:szCs w:val="21"/>
                <w:highlight w:val="none"/>
                <w:u w:val="none"/>
                <w:lang w:val="en-US" w:eastAsia="zh-CN" w:bidi="ar-SA"/>
              </w:rPr>
            </w:pPr>
            <w:r>
              <w:rPr>
                <w:rFonts w:hint="eastAsia" w:ascii="Times New Roman" w:hAnsi="Times New Roman" w:eastAsia="宋体" w:cs="Times New Roman"/>
                <w:color w:val="auto"/>
                <w:kern w:val="0"/>
                <w:sz w:val="21"/>
                <w:szCs w:val="21"/>
                <w:highlight w:val="none"/>
                <w:u w:val="none"/>
              </w:rPr>
              <w:t>0.00E+00</w:t>
            </w:r>
          </w:p>
        </w:tc>
        <w:tc>
          <w:tcPr>
            <w:tcW w:w="600" w:type="pct"/>
            <w:shd w:val="clear" w:color="auto" w:fill="auto"/>
            <w:noWrap w:val="0"/>
            <w:tcMar>
              <w:top w:w="0" w:type="dxa"/>
              <w:left w:w="28" w:type="dxa"/>
              <w:bottom w:w="0" w:type="dxa"/>
              <w:right w:w="28" w:type="dxa"/>
            </w:tcMar>
            <w:vAlign w:val="center"/>
          </w:tcPr>
          <w:p w14:paraId="289006BB">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auto"/>
                <w:kern w:val="0"/>
                <w:sz w:val="21"/>
                <w:szCs w:val="21"/>
                <w:highlight w:val="none"/>
                <w:u w:val="none"/>
                <w:lang w:val="en-US" w:eastAsia="zh-CN" w:bidi="ar-SA"/>
              </w:rPr>
            </w:pPr>
            <w:r>
              <w:rPr>
                <w:rFonts w:hint="eastAsia" w:ascii="Times New Roman" w:hAnsi="Times New Roman" w:eastAsia="宋体" w:cs="Times New Roman"/>
                <w:color w:val="auto"/>
                <w:kern w:val="0"/>
                <w:sz w:val="21"/>
                <w:szCs w:val="21"/>
                <w:highlight w:val="none"/>
                <w:u w:val="none"/>
              </w:rPr>
              <w:t>0.00E+00</w:t>
            </w:r>
          </w:p>
        </w:tc>
      </w:tr>
      <w:tr w14:paraId="4D09B9F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95" w:type="pct"/>
            <w:noWrap w:val="0"/>
            <w:tcMar>
              <w:top w:w="0" w:type="dxa"/>
              <w:left w:w="28" w:type="dxa"/>
              <w:bottom w:w="0" w:type="dxa"/>
              <w:right w:w="28" w:type="dxa"/>
            </w:tcMar>
            <w:vAlign w:val="center"/>
          </w:tcPr>
          <w:p w14:paraId="048B085E">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auto"/>
                <w:kern w:val="0"/>
                <w:sz w:val="21"/>
                <w:szCs w:val="21"/>
                <w:highlight w:val="none"/>
                <w:u w:val="none"/>
              </w:rPr>
            </w:pPr>
            <w:r>
              <w:rPr>
                <w:rFonts w:ascii="Times New Roman" w:hAnsi="Times New Roman" w:eastAsia="宋体" w:cs="Times New Roman"/>
                <w:color w:val="auto"/>
                <w:kern w:val="0"/>
                <w:sz w:val="21"/>
                <w:szCs w:val="21"/>
                <w:highlight w:val="none"/>
                <w:u w:val="none"/>
              </w:rPr>
              <w:t>（300</w:t>
            </w:r>
            <w:r>
              <w:rPr>
                <w:rFonts w:hint="eastAsia" w:ascii="Times New Roman" w:hAnsi="Times New Roman" w:eastAsia="宋体" w:cs="Times New Roman"/>
                <w:color w:val="auto"/>
                <w:kern w:val="0"/>
                <w:sz w:val="21"/>
                <w:szCs w:val="21"/>
                <w:highlight w:val="none"/>
                <w:u w:val="none"/>
                <w:lang w:eastAsia="zh-CN"/>
              </w:rPr>
              <w:t>，</w:t>
            </w:r>
            <w:r>
              <w:rPr>
                <w:rFonts w:ascii="Times New Roman" w:hAnsi="Times New Roman" w:eastAsia="宋体" w:cs="Times New Roman"/>
                <w:color w:val="auto"/>
                <w:kern w:val="0"/>
                <w:sz w:val="21"/>
                <w:szCs w:val="21"/>
                <w:highlight w:val="none"/>
                <w:u w:val="none"/>
              </w:rPr>
              <w:t>300）</w:t>
            </w:r>
          </w:p>
        </w:tc>
        <w:tc>
          <w:tcPr>
            <w:tcW w:w="600" w:type="pct"/>
            <w:shd w:val="clear" w:color="auto" w:fill="auto"/>
            <w:noWrap w:val="0"/>
            <w:tcMar>
              <w:top w:w="0" w:type="dxa"/>
              <w:left w:w="28" w:type="dxa"/>
              <w:bottom w:w="0" w:type="dxa"/>
              <w:right w:w="28" w:type="dxa"/>
            </w:tcMar>
            <w:vAlign w:val="center"/>
          </w:tcPr>
          <w:p w14:paraId="386A2674">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auto"/>
                <w:kern w:val="0"/>
                <w:sz w:val="21"/>
                <w:szCs w:val="21"/>
                <w:highlight w:val="none"/>
                <w:u w:val="none"/>
                <w:lang w:val="en-US" w:eastAsia="zh-CN" w:bidi="ar-SA"/>
              </w:rPr>
            </w:pPr>
            <w:r>
              <w:rPr>
                <w:rFonts w:hint="eastAsia" w:ascii="Times New Roman" w:hAnsi="Times New Roman" w:eastAsia="宋体" w:cs="Times New Roman"/>
                <w:color w:val="auto"/>
                <w:kern w:val="0"/>
                <w:sz w:val="21"/>
                <w:szCs w:val="21"/>
                <w:highlight w:val="none"/>
                <w:u w:val="none"/>
              </w:rPr>
              <w:t>0.00E+00</w:t>
            </w:r>
          </w:p>
        </w:tc>
        <w:tc>
          <w:tcPr>
            <w:tcW w:w="600" w:type="pct"/>
            <w:shd w:val="clear" w:color="auto" w:fill="auto"/>
            <w:noWrap w:val="0"/>
            <w:tcMar>
              <w:top w:w="0" w:type="dxa"/>
              <w:left w:w="28" w:type="dxa"/>
              <w:bottom w:w="0" w:type="dxa"/>
              <w:right w:w="28" w:type="dxa"/>
            </w:tcMar>
            <w:vAlign w:val="center"/>
          </w:tcPr>
          <w:p w14:paraId="5C0306AF">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auto"/>
                <w:kern w:val="0"/>
                <w:sz w:val="21"/>
                <w:szCs w:val="21"/>
                <w:highlight w:val="none"/>
                <w:u w:val="none"/>
                <w:lang w:val="en-US" w:eastAsia="zh-CN" w:bidi="ar-SA"/>
              </w:rPr>
            </w:pPr>
            <w:r>
              <w:rPr>
                <w:rFonts w:hint="eastAsia" w:ascii="Times New Roman" w:hAnsi="Times New Roman" w:eastAsia="宋体" w:cs="Times New Roman"/>
                <w:color w:val="auto"/>
                <w:kern w:val="0"/>
                <w:sz w:val="21"/>
                <w:szCs w:val="21"/>
                <w:highlight w:val="none"/>
                <w:u w:val="none"/>
              </w:rPr>
              <w:t>0.00E+00</w:t>
            </w:r>
          </w:p>
        </w:tc>
        <w:tc>
          <w:tcPr>
            <w:tcW w:w="600" w:type="pct"/>
            <w:shd w:val="clear" w:color="auto" w:fill="auto"/>
            <w:noWrap w:val="0"/>
            <w:tcMar>
              <w:top w:w="0" w:type="dxa"/>
              <w:left w:w="28" w:type="dxa"/>
              <w:bottom w:w="0" w:type="dxa"/>
              <w:right w:w="28" w:type="dxa"/>
            </w:tcMar>
            <w:vAlign w:val="center"/>
          </w:tcPr>
          <w:p w14:paraId="573683BF">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auto"/>
                <w:kern w:val="0"/>
                <w:sz w:val="21"/>
                <w:szCs w:val="21"/>
                <w:highlight w:val="none"/>
                <w:u w:val="none"/>
                <w:lang w:val="en-US" w:eastAsia="zh-CN" w:bidi="ar-SA"/>
              </w:rPr>
            </w:pPr>
            <w:r>
              <w:rPr>
                <w:rFonts w:hint="eastAsia" w:ascii="Times New Roman" w:hAnsi="Times New Roman" w:eastAsia="宋体" w:cs="Times New Roman"/>
                <w:color w:val="auto"/>
                <w:kern w:val="0"/>
                <w:sz w:val="21"/>
                <w:szCs w:val="21"/>
                <w:highlight w:val="none"/>
                <w:u w:val="none"/>
              </w:rPr>
              <w:t>0.00E+00</w:t>
            </w:r>
          </w:p>
        </w:tc>
        <w:tc>
          <w:tcPr>
            <w:tcW w:w="600" w:type="pct"/>
            <w:shd w:val="clear" w:color="auto" w:fill="auto"/>
            <w:noWrap w:val="0"/>
            <w:tcMar>
              <w:top w:w="0" w:type="dxa"/>
              <w:left w:w="28" w:type="dxa"/>
              <w:bottom w:w="0" w:type="dxa"/>
              <w:right w:w="28" w:type="dxa"/>
            </w:tcMar>
            <w:vAlign w:val="center"/>
          </w:tcPr>
          <w:p w14:paraId="4B830919">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auto"/>
                <w:kern w:val="0"/>
                <w:sz w:val="21"/>
                <w:szCs w:val="21"/>
                <w:highlight w:val="none"/>
                <w:u w:val="none"/>
                <w:lang w:val="en-US" w:eastAsia="zh-CN" w:bidi="ar-SA"/>
              </w:rPr>
            </w:pPr>
            <w:r>
              <w:rPr>
                <w:rFonts w:hint="eastAsia" w:ascii="Times New Roman" w:hAnsi="Times New Roman" w:eastAsia="宋体" w:cs="Times New Roman"/>
                <w:color w:val="auto"/>
                <w:kern w:val="0"/>
                <w:sz w:val="21"/>
                <w:szCs w:val="21"/>
                <w:highlight w:val="none"/>
                <w:u w:val="none"/>
              </w:rPr>
              <w:t>0.00E+00</w:t>
            </w:r>
          </w:p>
        </w:tc>
        <w:tc>
          <w:tcPr>
            <w:tcW w:w="600" w:type="pct"/>
            <w:shd w:val="clear" w:color="auto" w:fill="auto"/>
            <w:noWrap w:val="0"/>
            <w:tcMar>
              <w:top w:w="0" w:type="dxa"/>
              <w:left w:w="28" w:type="dxa"/>
              <w:bottom w:w="0" w:type="dxa"/>
              <w:right w:w="28" w:type="dxa"/>
            </w:tcMar>
            <w:vAlign w:val="center"/>
          </w:tcPr>
          <w:p w14:paraId="649C5C0A">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auto"/>
                <w:kern w:val="0"/>
                <w:sz w:val="21"/>
                <w:szCs w:val="21"/>
                <w:highlight w:val="none"/>
                <w:u w:val="none"/>
                <w:lang w:val="en-US" w:eastAsia="zh-CN" w:bidi="ar-SA"/>
              </w:rPr>
            </w:pPr>
            <w:r>
              <w:rPr>
                <w:rFonts w:hint="eastAsia" w:ascii="Times New Roman" w:hAnsi="Times New Roman" w:eastAsia="宋体" w:cs="Times New Roman"/>
                <w:color w:val="auto"/>
                <w:kern w:val="0"/>
                <w:sz w:val="21"/>
                <w:szCs w:val="21"/>
                <w:highlight w:val="none"/>
                <w:u w:val="none"/>
              </w:rPr>
              <w:t>0.00E+00</w:t>
            </w:r>
          </w:p>
        </w:tc>
        <w:tc>
          <w:tcPr>
            <w:tcW w:w="600" w:type="pct"/>
            <w:shd w:val="clear" w:color="auto" w:fill="auto"/>
            <w:noWrap w:val="0"/>
            <w:tcMar>
              <w:top w:w="0" w:type="dxa"/>
              <w:left w:w="28" w:type="dxa"/>
              <w:bottom w:w="0" w:type="dxa"/>
              <w:right w:w="28" w:type="dxa"/>
            </w:tcMar>
            <w:vAlign w:val="center"/>
          </w:tcPr>
          <w:p w14:paraId="589F38B4">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auto"/>
                <w:kern w:val="0"/>
                <w:sz w:val="21"/>
                <w:szCs w:val="21"/>
                <w:highlight w:val="none"/>
                <w:u w:val="none"/>
                <w:lang w:val="en-US" w:eastAsia="zh-CN" w:bidi="ar-SA"/>
              </w:rPr>
            </w:pPr>
            <w:r>
              <w:rPr>
                <w:rFonts w:hint="eastAsia" w:ascii="Times New Roman" w:hAnsi="Times New Roman" w:eastAsia="宋体" w:cs="Times New Roman"/>
                <w:color w:val="auto"/>
                <w:kern w:val="0"/>
                <w:sz w:val="21"/>
                <w:szCs w:val="21"/>
                <w:highlight w:val="none"/>
                <w:u w:val="none"/>
              </w:rPr>
              <w:t>0.00E+00</w:t>
            </w:r>
          </w:p>
        </w:tc>
        <w:tc>
          <w:tcPr>
            <w:tcW w:w="600" w:type="pct"/>
            <w:shd w:val="clear" w:color="auto" w:fill="auto"/>
            <w:noWrap w:val="0"/>
            <w:tcMar>
              <w:top w:w="0" w:type="dxa"/>
              <w:left w:w="28" w:type="dxa"/>
              <w:bottom w:w="0" w:type="dxa"/>
              <w:right w:w="28" w:type="dxa"/>
            </w:tcMar>
            <w:vAlign w:val="center"/>
          </w:tcPr>
          <w:p w14:paraId="29D6C4DB">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auto"/>
                <w:kern w:val="0"/>
                <w:sz w:val="21"/>
                <w:szCs w:val="21"/>
                <w:highlight w:val="none"/>
                <w:u w:val="none"/>
                <w:lang w:val="en-US" w:eastAsia="zh-CN" w:bidi="ar-SA"/>
              </w:rPr>
            </w:pPr>
            <w:r>
              <w:rPr>
                <w:rFonts w:hint="eastAsia" w:ascii="Times New Roman" w:hAnsi="Times New Roman" w:eastAsia="宋体" w:cs="Times New Roman"/>
                <w:color w:val="auto"/>
                <w:kern w:val="0"/>
                <w:sz w:val="21"/>
                <w:szCs w:val="21"/>
                <w:highlight w:val="none"/>
                <w:u w:val="none"/>
              </w:rPr>
              <w:t>0.00E+00</w:t>
            </w:r>
          </w:p>
        </w:tc>
      </w:tr>
      <w:tr w14:paraId="45B78DC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95" w:type="pct"/>
            <w:noWrap w:val="0"/>
            <w:tcMar>
              <w:top w:w="0" w:type="dxa"/>
              <w:left w:w="28" w:type="dxa"/>
              <w:bottom w:w="0" w:type="dxa"/>
              <w:right w:w="28" w:type="dxa"/>
            </w:tcMar>
            <w:vAlign w:val="center"/>
          </w:tcPr>
          <w:p w14:paraId="0B489A93">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auto"/>
                <w:kern w:val="0"/>
                <w:sz w:val="21"/>
                <w:szCs w:val="21"/>
                <w:highlight w:val="none"/>
                <w:u w:val="none"/>
              </w:rPr>
            </w:pPr>
            <w:r>
              <w:rPr>
                <w:rFonts w:ascii="Times New Roman" w:hAnsi="Times New Roman" w:eastAsia="宋体" w:cs="Times New Roman"/>
                <w:color w:val="auto"/>
                <w:kern w:val="0"/>
                <w:sz w:val="21"/>
                <w:szCs w:val="21"/>
                <w:highlight w:val="none"/>
                <w:u w:val="none"/>
              </w:rPr>
              <w:t>（400</w:t>
            </w:r>
            <w:r>
              <w:rPr>
                <w:rFonts w:hint="eastAsia" w:ascii="Times New Roman" w:hAnsi="Times New Roman" w:eastAsia="宋体" w:cs="Times New Roman"/>
                <w:color w:val="auto"/>
                <w:kern w:val="0"/>
                <w:sz w:val="21"/>
                <w:szCs w:val="21"/>
                <w:highlight w:val="none"/>
                <w:u w:val="none"/>
                <w:lang w:eastAsia="zh-CN"/>
              </w:rPr>
              <w:t>，</w:t>
            </w:r>
            <w:r>
              <w:rPr>
                <w:rFonts w:ascii="Times New Roman" w:hAnsi="Times New Roman" w:eastAsia="宋体" w:cs="Times New Roman"/>
                <w:color w:val="auto"/>
                <w:kern w:val="0"/>
                <w:sz w:val="21"/>
                <w:szCs w:val="21"/>
                <w:highlight w:val="none"/>
                <w:u w:val="none"/>
              </w:rPr>
              <w:t>400）</w:t>
            </w:r>
          </w:p>
        </w:tc>
        <w:tc>
          <w:tcPr>
            <w:tcW w:w="600" w:type="pct"/>
            <w:shd w:val="clear" w:color="auto" w:fill="auto"/>
            <w:noWrap w:val="0"/>
            <w:tcMar>
              <w:top w:w="0" w:type="dxa"/>
              <w:left w:w="28" w:type="dxa"/>
              <w:bottom w:w="0" w:type="dxa"/>
              <w:right w:w="28" w:type="dxa"/>
            </w:tcMar>
            <w:vAlign w:val="center"/>
          </w:tcPr>
          <w:p w14:paraId="751A436E">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auto"/>
                <w:kern w:val="0"/>
                <w:sz w:val="21"/>
                <w:szCs w:val="21"/>
                <w:highlight w:val="none"/>
                <w:u w:val="none"/>
                <w:lang w:val="en-US" w:eastAsia="zh-CN" w:bidi="ar-SA"/>
              </w:rPr>
            </w:pPr>
            <w:r>
              <w:rPr>
                <w:rFonts w:hint="eastAsia" w:ascii="Times New Roman" w:hAnsi="Times New Roman" w:eastAsia="宋体" w:cs="Times New Roman"/>
                <w:color w:val="auto"/>
                <w:kern w:val="0"/>
                <w:sz w:val="21"/>
                <w:szCs w:val="21"/>
                <w:highlight w:val="none"/>
                <w:u w:val="none"/>
              </w:rPr>
              <w:t>0.00E+00</w:t>
            </w:r>
          </w:p>
        </w:tc>
        <w:tc>
          <w:tcPr>
            <w:tcW w:w="600" w:type="pct"/>
            <w:shd w:val="clear" w:color="auto" w:fill="auto"/>
            <w:noWrap w:val="0"/>
            <w:tcMar>
              <w:top w:w="0" w:type="dxa"/>
              <w:left w:w="28" w:type="dxa"/>
              <w:bottom w:w="0" w:type="dxa"/>
              <w:right w:w="28" w:type="dxa"/>
            </w:tcMar>
            <w:vAlign w:val="center"/>
          </w:tcPr>
          <w:p w14:paraId="25BD161F">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auto"/>
                <w:kern w:val="0"/>
                <w:sz w:val="21"/>
                <w:szCs w:val="21"/>
                <w:highlight w:val="none"/>
                <w:u w:val="none"/>
                <w:lang w:val="en-US" w:eastAsia="zh-CN" w:bidi="ar-SA"/>
              </w:rPr>
            </w:pPr>
            <w:r>
              <w:rPr>
                <w:rFonts w:hint="eastAsia" w:ascii="Times New Roman" w:hAnsi="Times New Roman" w:eastAsia="宋体" w:cs="Times New Roman"/>
                <w:color w:val="auto"/>
                <w:kern w:val="0"/>
                <w:sz w:val="21"/>
                <w:szCs w:val="21"/>
                <w:highlight w:val="none"/>
                <w:u w:val="none"/>
              </w:rPr>
              <w:t>0.00E+00</w:t>
            </w:r>
          </w:p>
        </w:tc>
        <w:tc>
          <w:tcPr>
            <w:tcW w:w="600" w:type="pct"/>
            <w:shd w:val="clear" w:color="auto" w:fill="auto"/>
            <w:noWrap w:val="0"/>
            <w:tcMar>
              <w:top w:w="0" w:type="dxa"/>
              <w:left w:w="28" w:type="dxa"/>
              <w:bottom w:w="0" w:type="dxa"/>
              <w:right w:w="28" w:type="dxa"/>
            </w:tcMar>
            <w:vAlign w:val="center"/>
          </w:tcPr>
          <w:p w14:paraId="4AB9F092">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auto"/>
                <w:kern w:val="0"/>
                <w:sz w:val="21"/>
                <w:szCs w:val="21"/>
                <w:highlight w:val="none"/>
                <w:u w:val="none"/>
                <w:lang w:val="en-US" w:eastAsia="zh-CN" w:bidi="ar-SA"/>
              </w:rPr>
            </w:pPr>
            <w:r>
              <w:rPr>
                <w:rFonts w:hint="eastAsia" w:ascii="Times New Roman" w:hAnsi="Times New Roman" w:eastAsia="宋体" w:cs="Times New Roman"/>
                <w:color w:val="auto"/>
                <w:kern w:val="0"/>
                <w:sz w:val="21"/>
                <w:szCs w:val="21"/>
                <w:highlight w:val="none"/>
                <w:u w:val="none"/>
              </w:rPr>
              <w:t>0.00E+00</w:t>
            </w:r>
          </w:p>
        </w:tc>
        <w:tc>
          <w:tcPr>
            <w:tcW w:w="600" w:type="pct"/>
            <w:shd w:val="clear" w:color="auto" w:fill="auto"/>
            <w:noWrap w:val="0"/>
            <w:tcMar>
              <w:top w:w="0" w:type="dxa"/>
              <w:left w:w="28" w:type="dxa"/>
              <w:bottom w:w="0" w:type="dxa"/>
              <w:right w:w="28" w:type="dxa"/>
            </w:tcMar>
            <w:vAlign w:val="center"/>
          </w:tcPr>
          <w:p w14:paraId="5D14DC24">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auto"/>
                <w:kern w:val="0"/>
                <w:sz w:val="21"/>
                <w:szCs w:val="21"/>
                <w:highlight w:val="none"/>
                <w:u w:val="none"/>
                <w:lang w:val="en-US" w:eastAsia="zh-CN" w:bidi="ar-SA"/>
              </w:rPr>
            </w:pPr>
            <w:r>
              <w:rPr>
                <w:rFonts w:hint="eastAsia" w:ascii="Times New Roman" w:hAnsi="Times New Roman" w:eastAsia="宋体" w:cs="Times New Roman"/>
                <w:color w:val="auto"/>
                <w:kern w:val="0"/>
                <w:sz w:val="21"/>
                <w:szCs w:val="21"/>
                <w:highlight w:val="none"/>
                <w:u w:val="none"/>
              </w:rPr>
              <w:t>0.00E+00</w:t>
            </w:r>
          </w:p>
        </w:tc>
        <w:tc>
          <w:tcPr>
            <w:tcW w:w="600" w:type="pct"/>
            <w:shd w:val="clear" w:color="auto" w:fill="auto"/>
            <w:noWrap w:val="0"/>
            <w:tcMar>
              <w:top w:w="0" w:type="dxa"/>
              <w:left w:w="28" w:type="dxa"/>
              <w:bottom w:w="0" w:type="dxa"/>
              <w:right w:w="28" w:type="dxa"/>
            </w:tcMar>
            <w:vAlign w:val="center"/>
          </w:tcPr>
          <w:p w14:paraId="0F09B283">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auto"/>
                <w:kern w:val="0"/>
                <w:sz w:val="21"/>
                <w:szCs w:val="21"/>
                <w:highlight w:val="none"/>
                <w:u w:val="none"/>
                <w:lang w:val="en-US" w:eastAsia="zh-CN" w:bidi="ar-SA"/>
              </w:rPr>
            </w:pPr>
            <w:r>
              <w:rPr>
                <w:rFonts w:hint="eastAsia" w:ascii="Times New Roman" w:hAnsi="Times New Roman" w:eastAsia="宋体" w:cs="Times New Roman"/>
                <w:color w:val="auto"/>
                <w:kern w:val="0"/>
                <w:sz w:val="21"/>
                <w:szCs w:val="21"/>
                <w:highlight w:val="none"/>
                <w:u w:val="none"/>
              </w:rPr>
              <w:t>0.00E+00</w:t>
            </w:r>
          </w:p>
        </w:tc>
        <w:tc>
          <w:tcPr>
            <w:tcW w:w="600" w:type="pct"/>
            <w:shd w:val="clear" w:color="auto" w:fill="auto"/>
            <w:noWrap w:val="0"/>
            <w:tcMar>
              <w:top w:w="0" w:type="dxa"/>
              <w:left w:w="28" w:type="dxa"/>
              <w:bottom w:w="0" w:type="dxa"/>
              <w:right w:w="28" w:type="dxa"/>
            </w:tcMar>
            <w:vAlign w:val="center"/>
          </w:tcPr>
          <w:p w14:paraId="2B176A73">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auto"/>
                <w:kern w:val="0"/>
                <w:sz w:val="21"/>
                <w:szCs w:val="21"/>
                <w:highlight w:val="none"/>
                <w:u w:val="none"/>
                <w:lang w:val="en-US" w:eastAsia="zh-CN" w:bidi="ar-SA"/>
              </w:rPr>
            </w:pPr>
            <w:r>
              <w:rPr>
                <w:rFonts w:hint="eastAsia" w:ascii="Times New Roman" w:hAnsi="Times New Roman" w:eastAsia="宋体" w:cs="Times New Roman"/>
                <w:color w:val="auto"/>
                <w:kern w:val="0"/>
                <w:sz w:val="21"/>
                <w:szCs w:val="21"/>
                <w:highlight w:val="none"/>
                <w:u w:val="none"/>
              </w:rPr>
              <w:t>0.00E+00</w:t>
            </w:r>
          </w:p>
        </w:tc>
        <w:tc>
          <w:tcPr>
            <w:tcW w:w="600" w:type="pct"/>
            <w:shd w:val="clear" w:color="auto" w:fill="auto"/>
            <w:noWrap w:val="0"/>
            <w:tcMar>
              <w:top w:w="0" w:type="dxa"/>
              <w:left w:w="28" w:type="dxa"/>
              <w:bottom w:w="0" w:type="dxa"/>
              <w:right w:w="28" w:type="dxa"/>
            </w:tcMar>
            <w:vAlign w:val="center"/>
          </w:tcPr>
          <w:p w14:paraId="4BEB6DD0">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auto"/>
                <w:kern w:val="0"/>
                <w:sz w:val="21"/>
                <w:szCs w:val="21"/>
                <w:highlight w:val="none"/>
                <w:u w:val="none"/>
                <w:lang w:val="en-US" w:eastAsia="zh-CN" w:bidi="ar-SA"/>
              </w:rPr>
            </w:pPr>
            <w:r>
              <w:rPr>
                <w:rFonts w:hint="eastAsia" w:ascii="Times New Roman" w:hAnsi="Times New Roman" w:eastAsia="宋体" w:cs="Times New Roman"/>
                <w:color w:val="auto"/>
                <w:kern w:val="0"/>
                <w:sz w:val="21"/>
                <w:szCs w:val="21"/>
                <w:highlight w:val="none"/>
                <w:u w:val="none"/>
              </w:rPr>
              <w:t>0.00E+00</w:t>
            </w:r>
          </w:p>
        </w:tc>
      </w:tr>
      <w:tr w14:paraId="59E9DB2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95" w:type="pct"/>
            <w:noWrap w:val="0"/>
            <w:tcMar>
              <w:top w:w="0" w:type="dxa"/>
              <w:left w:w="28" w:type="dxa"/>
              <w:bottom w:w="0" w:type="dxa"/>
              <w:right w:w="28" w:type="dxa"/>
            </w:tcMar>
            <w:vAlign w:val="center"/>
          </w:tcPr>
          <w:p w14:paraId="078A4C0E">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auto"/>
                <w:kern w:val="0"/>
                <w:sz w:val="21"/>
                <w:szCs w:val="21"/>
                <w:highlight w:val="none"/>
                <w:u w:val="none"/>
              </w:rPr>
            </w:pPr>
            <w:r>
              <w:rPr>
                <w:rFonts w:ascii="Times New Roman" w:hAnsi="Times New Roman" w:eastAsia="宋体" w:cs="Times New Roman"/>
                <w:color w:val="auto"/>
                <w:kern w:val="0"/>
                <w:sz w:val="21"/>
                <w:szCs w:val="21"/>
                <w:highlight w:val="none"/>
                <w:u w:val="none"/>
              </w:rPr>
              <w:t>（500，500）</w:t>
            </w:r>
          </w:p>
        </w:tc>
        <w:tc>
          <w:tcPr>
            <w:tcW w:w="600" w:type="pct"/>
            <w:shd w:val="clear" w:color="auto" w:fill="auto"/>
            <w:noWrap w:val="0"/>
            <w:tcMar>
              <w:top w:w="0" w:type="dxa"/>
              <w:left w:w="28" w:type="dxa"/>
              <w:bottom w:w="0" w:type="dxa"/>
              <w:right w:w="28" w:type="dxa"/>
            </w:tcMar>
            <w:vAlign w:val="center"/>
          </w:tcPr>
          <w:p w14:paraId="52AD3294">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auto"/>
                <w:kern w:val="0"/>
                <w:sz w:val="21"/>
                <w:szCs w:val="21"/>
                <w:highlight w:val="none"/>
                <w:u w:val="none"/>
                <w:lang w:val="en-US" w:eastAsia="zh-CN" w:bidi="ar-SA"/>
              </w:rPr>
            </w:pPr>
            <w:r>
              <w:rPr>
                <w:rFonts w:hint="eastAsia" w:ascii="Times New Roman" w:hAnsi="Times New Roman" w:eastAsia="宋体" w:cs="Times New Roman"/>
                <w:color w:val="auto"/>
                <w:kern w:val="0"/>
                <w:sz w:val="21"/>
                <w:szCs w:val="21"/>
                <w:highlight w:val="none"/>
                <w:u w:val="none"/>
              </w:rPr>
              <w:t>0.00E+00</w:t>
            </w:r>
          </w:p>
        </w:tc>
        <w:tc>
          <w:tcPr>
            <w:tcW w:w="600" w:type="pct"/>
            <w:shd w:val="clear" w:color="auto" w:fill="auto"/>
            <w:noWrap w:val="0"/>
            <w:tcMar>
              <w:top w:w="0" w:type="dxa"/>
              <w:left w:w="28" w:type="dxa"/>
              <w:bottom w:w="0" w:type="dxa"/>
              <w:right w:w="28" w:type="dxa"/>
            </w:tcMar>
            <w:vAlign w:val="center"/>
          </w:tcPr>
          <w:p w14:paraId="1470D630">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auto"/>
                <w:kern w:val="0"/>
                <w:sz w:val="21"/>
                <w:szCs w:val="21"/>
                <w:highlight w:val="none"/>
                <w:u w:val="none"/>
                <w:lang w:val="en-US" w:eastAsia="zh-CN" w:bidi="ar-SA"/>
              </w:rPr>
            </w:pPr>
            <w:r>
              <w:rPr>
                <w:rFonts w:hint="eastAsia" w:ascii="Times New Roman" w:hAnsi="Times New Roman" w:eastAsia="宋体" w:cs="Times New Roman"/>
                <w:color w:val="auto"/>
                <w:kern w:val="0"/>
                <w:sz w:val="21"/>
                <w:szCs w:val="21"/>
                <w:highlight w:val="none"/>
                <w:u w:val="none"/>
              </w:rPr>
              <w:t>0.00E+00</w:t>
            </w:r>
          </w:p>
        </w:tc>
        <w:tc>
          <w:tcPr>
            <w:tcW w:w="600" w:type="pct"/>
            <w:shd w:val="clear" w:color="auto" w:fill="auto"/>
            <w:noWrap w:val="0"/>
            <w:tcMar>
              <w:top w:w="0" w:type="dxa"/>
              <w:left w:w="28" w:type="dxa"/>
              <w:bottom w:w="0" w:type="dxa"/>
              <w:right w:w="28" w:type="dxa"/>
            </w:tcMar>
            <w:vAlign w:val="center"/>
          </w:tcPr>
          <w:p w14:paraId="3C683CD7">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auto"/>
                <w:kern w:val="0"/>
                <w:sz w:val="21"/>
                <w:szCs w:val="21"/>
                <w:highlight w:val="none"/>
                <w:u w:val="none"/>
                <w:lang w:val="en-US" w:eastAsia="zh-CN" w:bidi="ar-SA"/>
              </w:rPr>
            </w:pPr>
            <w:r>
              <w:rPr>
                <w:rFonts w:hint="eastAsia" w:ascii="Times New Roman" w:hAnsi="Times New Roman" w:eastAsia="宋体" w:cs="Times New Roman"/>
                <w:color w:val="auto"/>
                <w:kern w:val="0"/>
                <w:sz w:val="21"/>
                <w:szCs w:val="21"/>
                <w:highlight w:val="none"/>
                <w:u w:val="none"/>
              </w:rPr>
              <w:t>0.00E+00</w:t>
            </w:r>
          </w:p>
        </w:tc>
        <w:tc>
          <w:tcPr>
            <w:tcW w:w="600" w:type="pct"/>
            <w:shd w:val="clear" w:color="auto" w:fill="auto"/>
            <w:noWrap w:val="0"/>
            <w:tcMar>
              <w:top w:w="0" w:type="dxa"/>
              <w:left w:w="28" w:type="dxa"/>
              <w:bottom w:w="0" w:type="dxa"/>
              <w:right w:w="28" w:type="dxa"/>
            </w:tcMar>
            <w:vAlign w:val="center"/>
          </w:tcPr>
          <w:p w14:paraId="4B2B8B72">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auto"/>
                <w:kern w:val="0"/>
                <w:sz w:val="21"/>
                <w:szCs w:val="21"/>
                <w:highlight w:val="none"/>
                <w:u w:val="none"/>
                <w:lang w:val="en-US" w:eastAsia="zh-CN" w:bidi="ar-SA"/>
              </w:rPr>
            </w:pPr>
            <w:r>
              <w:rPr>
                <w:rFonts w:hint="eastAsia" w:ascii="Times New Roman" w:hAnsi="Times New Roman" w:eastAsia="宋体" w:cs="Times New Roman"/>
                <w:color w:val="auto"/>
                <w:kern w:val="0"/>
                <w:sz w:val="21"/>
                <w:szCs w:val="21"/>
                <w:highlight w:val="none"/>
                <w:u w:val="none"/>
              </w:rPr>
              <w:t>0.00E+00</w:t>
            </w:r>
          </w:p>
        </w:tc>
        <w:tc>
          <w:tcPr>
            <w:tcW w:w="600" w:type="pct"/>
            <w:shd w:val="clear" w:color="auto" w:fill="auto"/>
            <w:noWrap w:val="0"/>
            <w:tcMar>
              <w:top w:w="0" w:type="dxa"/>
              <w:left w:w="28" w:type="dxa"/>
              <w:bottom w:w="0" w:type="dxa"/>
              <w:right w:w="28" w:type="dxa"/>
            </w:tcMar>
            <w:vAlign w:val="center"/>
          </w:tcPr>
          <w:p w14:paraId="0577715D">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auto"/>
                <w:kern w:val="0"/>
                <w:sz w:val="21"/>
                <w:szCs w:val="21"/>
                <w:highlight w:val="none"/>
                <w:u w:val="none"/>
                <w:lang w:val="en-US" w:eastAsia="zh-CN" w:bidi="ar-SA"/>
              </w:rPr>
            </w:pPr>
            <w:r>
              <w:rPr>
                <w:rFonts w:hint="eastAsia" w:ascii="Times New Roman" w:hAnsi="Times New Roman" w:eastAsia="宋体" w:cs="Times New Roman"/>
                <w:color w:val="auto"/>
                <w:kern w:val="0"/>
                <w:sz w:val="21"/>
                <w:szCs w:val="21"/>
                <w:highlight w:val="none"/>
                <w:u w:val="none"/>
              </w:rPr>
              <w:t>0.00E+00</w:t>
            </w:r>
          </w:p>
        </w:tc>
        <w:tc>
          <w:tcPr>
            <w:tcW w:w="600" w:type="pct"/>
            <w:shd w:val="clear" w:color="auto" w:fill="auto"/>
            <w:noWrap w:val="0"/>
            <w:tcMar>
              <w:top w:w="0" w:type="dxa"/>
              <w:left w:w="28" w:type="dxa"/>
              <w:bottom w:w="0" w:type="dxa"/>
              <w:right w:w="28" w:type="dxa"/>
            </w:tcMar>
            <w:vAlign w:val="center"/>
          </w:tcPr>
          <w:p w14:paraId="7866F224">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auto"/>
                <w:kern w:val="0"/>
                <w:sz w:val="21"/>
                <w:szCs w:val="21"/>
                <w:highlight w:val="none"/>
                <w:u w:val="none"/>
                <w:lang w:val="en-US" w:eastAsia="zh-CN" w:bidi="ar-SA"/>
              </w:rPr>
            </w:pPr>
            <w:r>
              <w:rPr>
                <w:rFonts w:hint="eastAsia" w:ascii="Times New Roman" w:hAnsi="Times New Roman" w:eastAsia="宋体" w:cs="Times New Roman"/>
                <w:color w:val="auto"/>
                <w:kern w:val="0"/>
                <w:sz w:val="21"/>
                <w:szCs w:val="21"/>
                <w:highlight w:val="none"/>
                <w:u w:val="none"/>
              </w:rPr>
              <w:t>0.00E+00</w:t>
            </w:r>
          </w:p>
        </w:tc>
        <w:tc>
          <w:tcPr>
            <w:tcW w:w="600" w:type="pct"/>
            <w:shd w:val="clear" w:color="auto" w:fill="auto"/>
            <w:noWrap w:val="0"/>
            <w:tcMar>
              <w:top w:w="0" w:type="dxa"/>
              <w:left w:w="28" w:type="dxa"/>
              <w:bottom w:w="0" w:type="dxa"/>
              <w:right w:w="28" w:type="dxa"/>
            </w:tcMar>
            <w:vAlign w:val="center"/>
          </w:tcPr>
          <w:p w14:paraId="3A747AA6">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auto"/>
                <w:kern w:val="0"/>
                <w:sz w:val="21"/>
                <w:szCs w:val="21"/>
                <w:highlight w:val="none"/>
                <w:u w:val="none"/>
                <w:lang w:val="en-US" w:eastAsia="zh-CN" w:bidi="ar-SA"/>
              </w:rPr>
            </w:pPr>
            <w:r>
              <w:rPr>
                <w:rFonts w:hint="eastAsia" w:ascii="Times New Roman" w:hAnsi="Times New Roman" w:eastAsia="宋体" w:cs="Times New Roman"/>
                <w:color w:val="auto"/>
                <w:kern w:val="0"/>
                <w:sz w:val="21"/>
                <w:szCs w:val="21"/>
                <w:highlight w:val="none"/>
                <w:u w:val="none"/>
              </w:rPr>
              <w:t>0.00E+00</w:t>
            </w:r>
          </w:p>
        </w:tc>
      </w:tr>
      <w:tr w14:paraId="7C34323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95" w:type="pct"/>
            <w:noWrap w:val="0"/>
            <w:tcMar>
              <w:top w:w="0" w:type="dxa"/>
              <w:left w:w="28" w:type="dxa"/>
              <w:bottom w:w="0" w:type="dxa"/>
              <w:right w:w="28" w:type="dxa"/>
            </w:tcMar>
            <w:vAlign w:val="center"/>
          </w:tcPr>
          <w:p w14:paraId="186F5809">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none"/>
                <w:lang w:val="en-US" w:eastAsia="zh-CN"/>
              </w:rPr>
            </w:pPr>
            <w:r>
              <w:rPr>
                <w:rFonts w:hint="eastAsia" w:ascii="Times New Roman" w:hAnsi="Times New Roman" w:eastAsia="宋体" w:cs="Times New Roman"/>
                <w:color w:val="auto"/>
                <w:kern w:val="0"/>
                <w:sz w:val="21"/>
                <w:szCs w:val="21"/>
                <w:highlight w:val="none"/>
                <w:u w:val="none"/>
                <w:lang w:val="en-US" w:eastAsia="zh-CN"/>
              </w:rPr>
              <w:t>（1000,1000）</w:t>
            </w:r>
          </w:p>
        </w:tc>
        <w:tc>
          <w:tcPr>
            <w:tcW w:w="600" w:type="pct"/>
            <w:shd w:val="clear" w:color="auto" w:fill="auto"/>
            <w:noWrap w:val="0"/>
            <w:tcMar>
              <w:top w:w="0" w:type="dxa"/>
              <w:left w:w="28" w:type="dxa"/>
              <w:bottom w:w="0" w:type="dxa"/>
              <w:right w:w="28" w:type="dxa"/>
            </w:tcMar>
            <w:vAlign w:val="center"/>
          </w:tcPr>
          <w:p w14:paraId="6833DF9F">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auto"/>
                <w:kern w:val="0"/>
                <w:sz w:val="21"/>
                <w:szCs w:val="21"/>
                <w:highlight w:val="none"/>
                <w:u w:val="none"/>
                <w:lang w:val="en-US" w:eastAsia="zh-CN" w:bidi="ar-SA"/>
              </w:rPr>
            </w:pPr>
            <w:r>
              <w:rPr>
                <w:rFonts w:hint="eastAsia" w:ascii="Times New Roman" w:hAnsi="Times New Roman" w:eastAsia="宋体" w:cs="Times New Roman"/>
                <w:color w:val="auto"/>
                <w:kern w:val="0"/>
                <w:sz w:val="21"/>
                <w:szCs w:val="21"/>
                <w:highlight w:val="none"/>
                <w:u w:val="none"/>
              </w:rPr>
              <w:t>0.00E+00</w:t>
            </w:r>
          </w:p>
        </w:tc>
        <w:tc>
          <w:tcPr>
            <w:tcW w:w="600" w:type="pct"/>
            <w:shd w:val="clear" w:color="auto" w:fill="auto"/>
            <w:noWrap w:val="0"/>
            <w:tcMar>
              <w:top w:w="0" w:type="dxa"/>
              <w:left w:w="28" w:type="dxa"/>
              <w:bottom w:w="0" w:type="dxa"/>
              <w:right w:w="28" w:type="dxa"/>
            </w:tcMar>
            <w:vAlign w:val="center"/>
          </w:tcPr>
          <w:p w14:paraId="4F67B51B">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auto"/>
                <w:kern w:val="0"/>
                <w:sz w:val="21"/>
                <w:szCs w:val="21"/>
                <w:highlight w:val="none"/>
                <w:u w:val="none"/>
                <w:lang w:val="en-US" w:eastAsia="zh-CN" w:bidi="ar-SA"/>
              </w:rPr>
            </w:pPr>
            <w:r>
              <w:rPr>
                <w:rFonts w:hint="eastAsia" w:ascii="Times New Roman" w:hAnsi="Times New Roman" w:eastAsia="宋体" w:cs="Times New Roman"/>
                <w:color w:val="auto"/>
                <w:kern w:val="0"/>
                <w:sz w:val="21"/>
                <w:szCs w:val="21"/>
                <w:highlight w:val="none"/>
                <w:u w:val="none"/>
              </w:rPr>
              <w:t>0.00E+00</w:t>
            </w:r>
          </w:p>
        </w:tc>
        <w:tc>
          <w:tcPr>
            <w:tcW w:w="600" w:type="pct"/>
            <w:shd w:val="clear" w:color="auto" w:fill="auto"/>
            <w:noWrap w:val="0"/>
            <w:tcMar>
              <w:top w:w="0" w:type="dxa"/>
              <w:left w:w="28" w:type="dxa"/>
              <w:bottom w:w="0" w:type="dxa"/>
              <w:right w:w="28" w:type="dxa"/>
            </w:tcMar>
            <w:vAlign w:val="center"/>
          </w:tcPr>
          <w:p w14:paraId="053E0301">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auto"/>
                <w:kern w:val="0"/>
                <w:sz w:val="21"/>
                <w:szCs w:val="21"/>
                <w:highlight w:val="none"/>
                <w:u w:val="none"/>
                <w:lang w:val="en-US" w:eastAsia="zh-CN" w:bidi="ar-SA"/>
              </w:rPr>
            </w:pPr>
            <w:r>
              <w:rPr>
                <w:rFonts w:hint="eastAsia" w:ascii="Times New Roman" w:hAnsi="Times New Roman" w:eastAsia="宋体" w:cs="Times New Roman"/>
                <w:color w:val="auto"/>
                <w:kern w:val="0"/>
                <w:sz w:val="21"/>
                <w:szCs w:val="21"/>
                <w:highlight w:val="none"/>
                <w:u w:val="none"/>
              </w:rPr>
              <w:t>0.00E+00</w:t>
            </w:r>
          </w:p>
        </w:tc>
        <w:tc>
          <w:tcPr>
            <w:tcW w:w="600" w:type="pct"/>
            <w:shd w:val="clear" w:color="auto" w:fill="auto"/>
            <w:noWrap w:val="0"/>
            <w:tcMar>
              <w:top w:w="0" w:type="dxa"/>
              <w:left w:w="28" w:type="dxa"/>
              <w:bottom w:w="0" w:type="dxa"/>
              <w:right w:w="28" w:type="dxa"/>
            </w:tcMar>
            <w:vAlign w:val="center"/>
          </w:tcPr>
          <w:p w14:paraId="396AC7D7">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auto"/>
                <w:kern w:val="0"/>
                <w:sz w:val="21"/>
                <w:szCs w:val="21"/>
                <w:highlight w:val="none"/>
                <w:u w:val="none"/>
                <w:lang w:val="en-US" w:eastAsia="zh-CN" w:bidi="ar-SA"/>
              </w:rPr>
            </w:pPr>
            <w:r>
              <w:rPr>
                <w:rFonts w:hint="eastAsia" w:ascii="Times New Roman" w:hAnsi="Times New Roman" w:eastAsia="宋体" w:cs="Times New Roman"/>
                <w:color w:val="auto"/>
                <w:kern w:val="0"/>
                <w:sz w:val="21"/>
                <w:szCs w:val="21"/>
                <w:highlight w:val="none"/>
                <w:u w:val="none"/>
              </w:rPr>
              <w:t>0.00E+00</w:t>
            </w:r>
          </w:p>
        </w:tc>
        <w:tc>
          <w:tcPr>
            <w:tcW w:w="600" w:type="pct"/>
            <w:shd w:val="clear" w:color="auto" w:fill="auto"/>
            <w:noWrap w:val="0"/>
            <w:tcMar>
              <w:top w:w="0" w:type="dxa"/>
              <w:left w:w="28" w:type="dxa"/>
              <w:bottom w:w="0" w:type="dxa"/>
              <w:right w:w="28" w:type="dxa"/>
            </w:tcMar>
            <w:vAlign w:val="center"/>
          </w:tcPr>
          <w:p w14:paraId="0526D5E2">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auto"/>
                <w:kern w:val="0"/>
                <w:sz w:val="21"/>
                <w:szCs w:val="21"/>
                <w:highlight w:val="none"/>
                <w:u w:val="none"/>
                <w:lang w:val="en-US" w:eastAsia="zh-CN" w:bidi="ar-SA"/>
              </w:rPr>
            </w:pPr>
            <w:r>
              <w:rPr>
                <w:rFonts w:hint="eastAsia" w:ascii="Times New Roman" w:hAnsi="Times New Roman" w:eastAsia="宋体" w:cs="Times New Roman"/>
                <w:color w:val="auto"/>
                <w:kern w:val="0"/>
                <w:sz w:val="21"/>
                <w:szCs w:val="21"/>
                <w:highlight w:val="none"/>
                <w:u w:val="none"/>
              </w:rPr>
              <w:t>0.00E+00</w:t>
            </w:r>
          </w:p>
        </w:tc>
        <w:tc>
          <w:tcPr>
            <w:tcW w:w="600" w:type="pct"/>
            <w:shd w:val="clear" w:color="auto" w:fill="auto"/>
            <w:noWrap w:val="0"/>
            <w:tcMar>
              <w:top w:w="0" w:type="dxa"/>
              <w:left w:w="28" w:type="dxa"/>
              <w:bottom w:w="0" w:type="dxa"/>
              <w:right w:w="28" w:type="dxa"/>
            </w:tcMar>
            <w:vAlign w:val="center"/>
          </w:tcPr>
          <w:p w14:paraId="2CA99AA8">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auto"/>
                <w:kern w:val="0"/>
                <w:sz w:val="21"/>
                <w:szCs w:val="21"/>
                <w:highlight w:val="none"/>
                <w:u w:val="none"/>
                <w:lang w:val="en-US" w:eastAsia="zh-CN" w:bidi="ar-SA"/>
              </w:rPr>
            </w:pPr>
            <w:r>
              <w:rPr>
                <w:rFonts w:hint="eastAsia" w:ascii="Times New Roman" w:hAnsi="Times New Roman" w:eastAsia="宋体" w:cs="Times New Roman"/>
                <w:color w:val="auto"/>
                <w:kern w:val="0"/>
                <w:sz w:val="21"/>
                <w:szCs w:val="21"/>
                <w:highlight w:val="none"/>
                <w:u w:val="none"/>
              </w:rPr>
              <w:t>0.00E+00</w:t>
            </w:r>
          </w:p>
        </w:tc>
        <w:tc>
          <w:tcPr>
            <w:tcW w:w="600" w:type="pct"/>
            <w:shd w:val="clear" w:color="auto" w:fill="auto"/>
            <w:noWrap w:val="0"/>
            <w:tcMar>
              <w:top w:w="0" w:type="dxa"/>
              <w:left w:w="28" w:type="dxa"/>
              <w:bottom w:w="0" w:type="dxa"/>
              <w:right w:w="28" w:type="dxa"/>
            </w:tcMar>
            <w:vAlign w:val="center"/>
          </w:tcPr>
          <w:p w14:paraId="0D91E24D">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auto"/>
                <w:kern w:val="0"/>
                <w:sz w:val="21"/>
                <w:szCs w:val="21"/>
                <w:highlight w:val="none"/>
                <w:u w:val="none"/>
                <w:lang w:val="en-US" w:eastAsia="zh-CN" w:bidi="ar-SA"/>
              </w:rPr>
            </w:pPr>
            <w:r>
              <w:rPr>
                <w:rFonts w:hint="eastAsia" w:ascii="Times New Roman" w:hAnsi="Times New Roman" w:eastAsia="宋体" w:cs="Times New Roman"/>
                <w:color w:val="auto"/>
                <w:kern w:val="0"/>
                <w:sz w:val="21"/>
                <w:szCs w:val="21"/>
                <w:highlight w:val="none"/>
                <w:u w:val="none"/>
              </w:rPr>
              <w:t>0.00E+00</w:t>
            </w:r>
          </w:p>
        </w:tc>
      </w:tr>
    </w:tbl>
    <w:p w14:paraId="61D07AEE">
      <w:pPr>
        <w:ind w:left="0" w:leftChars="0" w:firstLine="0" w:firstLineChars="0"/>
        <w:jc w:val="center"/>
        <w:rPr>
          <w:rFonts w:hint="default"/>
          <w:b/>
          <w:bCs/>
          <w:sz w:val="21"/>
          <w:szCs w:val="21"/>
          <w:highlight w:val="none"/>
          <w:u w:val="none"/>
          <w:lang w:val="en-US" w:eastAsia="zh-CN"/>
        </w:rPr>
      </w:pPr>
      <w:r>
        <w:rPr>
          <w:rFonts w:hint="eastAsia"/>
          <w:b/>
          <w:bCs/>
          <w:sz w:val="21"/>
          <w:szCs w:val="21"/>
          <w:highlight w:val="none"/>
          <w:u w:val="none"/>
          <w:lang w:val="en-US" w:eastAsia="zh-CN"/>
        </w:rPr>
        <w:t>表5.2-3  非正常状况下锌对地下水影响范围预测表</w:t>
      </w:r>
    </w:p>
    <w:tbl>
      <w:tblPr>
        <w:tblStyle w:val="35"/>
        <w:tblW w:w="4997"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451"/>
        <w:gridCol w:w="1096"/>
        <w:gridCol w:w="1096"/>
        <w:gridCol w:w="1096"/>
        <w:gridCol w:w="1096"/>
        <w:gridCol w:w="1096"/>
        <w:gridCol w:w="1096"/>
        <w:gridCol w:w="1096"/>
      </w:tblGrid>
      <w:tr w14:paraId="5F7EA45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blHeader/>
        </w:trPr>
        <w:tc>
          <w:tcPr>
            <w:tcW w:w="795" w:type="pct"/>
            <w:noWrap w:val="0"/>
            <w:tcMar>
              <w:top w:w="0" w:type="dxa"/>
              <w:left w:w="28" w:type="dxa"/>
              <w:bottom w:w="0" w:type="dxa"/>
              <w:right w:w="28" w:type="dxa"/>
            </w:tcMar>
            <w:vAlign w:val="center"/>
          </w:tcPr>
          <w:p w14:paraId="493DB215">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ascii="Times New Roman" w:hAnsi="Times New Roman" w:eastAsia="宋体" w:cs="Times New Roman"/>
                <w:b/>
                <w:bCs/>
                <w:color w:val="auto"/>
                <w:kern w:val="0"/>
                <w:sz w:val="21"/>
                <w:szCs w:val="21"/>
                <w:highlight w:val="none"/>
                <w:u w:val="none"/>
              </w:rPr>
            </w:pPr>
            <w:r>
              <w:rPr>
                <w:rFonts w:hint="eastAsia" w:ascii="Times New Roman" w:hAnsi="Times New Roman" w:eastAsia="宋体" w:cs="Times New Roman"/>
                <w:b/>
                <w:bCs/>
                <w:color w:val="auto"/>
                <w:kern w:val="0"/>
                <w:sz w:val="21"/>
                <w:szCs w:val="21"/>
                <w:highlight w:val="none"/>
                <w:u w:val="none"/>
                <w:lang w:eastAsia="zh-CN"/>
              </w:rPr>
              <w:t>（</w:t>
            </w:r>
            <w:r>
              <w:rPr>
                <w:rFonts w:ascii="Times New Roman" w:hAnsi="Times New Roman" w:eastAsia="宋体" w:cs="Times New Roman"/>
                <w:b/>
                <w:bCs/>
                <w:color w:val="auto"/>
                <w:kern w:val="0"/>
                <w:sz w:val="21"/>
                <w:szCs w:val="21"/>
                <w:highlight w:val="none"/>
                <w:u w:val="none"/>
              </w:rPr>
              <w:t>X</w:t>
            </w:r>
            <w:r>
              <w:rPr>
                <w:rFonts w:hint="eastAsia" w:ascii="Times New Roman" w:hAnsi="Times New Roman" w:eastAsia="宋体" w:cs="Times New Roman"/>
                <w:b/>
                <w:bCs/>
                <w:color w:val="auto"/>
                <w:kern w:val="0"/>
                <w:sz w:val="21"/>
                <w:szCs w:val="21"/>
                <w:highlight w:val="none"/>
                <w:u w:val="none"/>
                <w:lang w:eastAsia="zh-CN"/>
              </w:rPr>
              <w:t>，</w:t>
            </w:r>
            <w:r>
              <w:rPr>
                <w:rFonts w:ascii="Times New Roman" w:hAnsi="Times New Roman" w:eastAsia="宋体" w:cs="Times New Roman"/>
                <w:b/>
                <w:bCs/>
                <w:color w:val="auto"/>
                <w:kern w:val="0"/>
                <w:sz w:val="21"/>
                <w:szCs w:val="21"/>
                <w:highlight w:val="none"/>
                <w:u w:val="none"/>
              </w:rPr>
              <w:t>Y</w:t>
            </w:r>
            <w:r>
              <w:rPr>
                <w:rFonts w:hint="eastAsia" w:ascii="Times New Roman" w:hAnsi="Times New Roman" w:eastAsia="宋体" w:cs="Times New Roman"/>
                <w:b/>
                <w:bCs/>
                <w:color w:val="auto"/>
                <w:kern w:val="0"/>
                <w:sz w:val="21"/>
                <w:szCs w:val="21"/>
                <w:highlight w:val="none"/>
                <w:u w:val="none"/>
                <w:lang w:eastAsia="zh-CN"/>
              </w:rPr>
              <w:t>）</w:t>
            </w:r>
          </w:p>
        </w:tc>
        <w:tc>
          <w:tcPr>
            <w:tcW w:w="600" w:type="pct"/>
            <w:noWrap w:val="0"/>
            <w:tcMar>
              <w:top w:w="0" w:type="dxa"/>
              <w:left w:w="28" w:type="dxa"/>
              <w:bottom w:w="0" w:type="dxa"/>
              <w:right w:w="28" w:type="dxa"/>
            </w:tcMar>
            <w:vAlign w:val="center"/>
          </w:tcPr>
          <w:p w14:paraId="4BFD2C4B">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ascii="Times New Roman" w:hAnsi="Times New Roman" w:eastAsia="宋体" w:cs="Times New Roman"/>
                <w:b/>
                <w:bCs/>
                <w:color w:val="auto"/>
                <w:kern w:val="0"/>
                <w:sz w:val="21"/>
                <w:szCs w:val="21"/>
                <w:highlight w:val="none"/>
                <w:u w:val="none"/>
                <w:lang w:val="en-US" w:eastAsia="zh-CN" w:bidi="ar-SA"/>
              </w:rPr>
            </w:pPr>
            <w:r>
              <w:rPr>
                <w:rFonts w:ascii="Times New Roman" w:hAnsi="Times New Roman" w:eastAsia="宋体" w:cs="Times New Roman"/>
                <w:b/>
                <w:bCs/>
                <w:color w:val="auto"/>
                <w:kern w:val="0"/>
                <w:sz w:val="21"/>
                <w:szCs w:val="21"/>
                <w:highlight w:val="none"/>
                <w:u w:val="none"/>
              </w:rPr>
              <w:t>10d</w:t>
            </w:r>
          </w:p>
        </w:tc>
        <w:tc>
          <w:tcPr>
            <w:tcW w:w="600" w:type="pct"/>
            <w:noWrap w:val="0"/>
            <w:tcMar>
              <w:top w:w="0" w:type="dxa"/>
              <w:left w:w="28" w:type="dxa"/>
              <w:bottom w:w="0" w:type="dxa"/>
              <w:right w:w="28" w:type="dxa"/>
            </w:tcMar>
            <w:vAlign w:val="center"/>
          </w:tcPr>
          <w:p w14:paraId="7CCD08F1">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ascii="Times New Roman" w:hAnsi="Times New Roman" w:eastAsia="宋体" w:cs="Times New Roman"/>
                <w:b/>
                <w:bCs/>
                <w:color w:val="auto"/>
                <w:kern w:val="0"/>
                <w:sz w:val="21"/>
                <w:szCs w:val="21"/>
                <w:highlight w:val="none"/>
                <w:u w:val="none"/>
                <w:lang w:val="en-US" w:eastAsia="zh-CN" w:bidi="ar-SA"/>
              </w:rPr>
            </w:pPr>
            <w:r>
              <w:rPr>
                <w:rFonts w:ascii="Times New Roman" w:hAnsi="Times New Roman" w:eastAsia="宋体" w:cs="Times New Roman"/>
                <w:b/>
                <w:bCs/>
                <w:color w:val="auto"/>
                <w:kern w:val="0"/>
                <w:sz w:val="21"/>
                <w:szCs w:val="21"/>
                <w:highlight w:val="none"/>
                <w:u w:val="none"/>
              </w:rPr>
              <w:t>50d</w:t>
            </w:r>
          </w:p>
        </w:tc>
        <w:tc>
          <w:tcPr>
            <w:tcW w:w="600" w:type="pct"/>
            <w:noWrap w:val="0"/>
            <w:tcMar>
              <w:top w:w="0" w:type="dxa"/>
              <w:left w:w="28" w:type="dxa"/>
              <w:bottom w:w="0" w:type="dxa"/>
              <w:right w:w="28" w:type="dxa"/>
            </w:tcMar>
            <w:vAlign w:val="center"/>
          </w:tcPr>
          <w:p w14:paraId="0225711A">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ascii="Times New Roman" w:hAnsi="Times New Roman" w:eastAsia="宋体" w:cs="Times New Roman"/>
                <w:b/>
                <w:bCs/>
                <w:color w:val="auto"/>
                <w:kern w:val="0"/>
                <w:sz w:val="21"/>
                <w:szCs w:val="21"/>
                <w:highlight w:val="none"/>
                <w:u w:val="none"/>
                <w:lang w:val="en-US" w:eastAsia="zh-CN" w:bidi="ar-SA"/>
              </w:rPr>
            </w:pPr>
            <w:r>
              <w:rPr>
                <w:rFonts w:ascii="Times New Roman" w:hAnsi="Times New Roman" w:eastAsia="宋体" w:cs="Times New Roman"/>
                <w:b/>
                <w:bCs/>
                <w:color w:val="auto"/>
                <w:kern w:val="0"/>
                <w:sz w:val="21"/>
                <w:szCs w:val="21"/>
                <w:highlight w:val="none"/>
                <w:u w:val="none"/>
              </w:rPr>
              <w:t>100d</w:t>
            </w:r>
          </w:p>
        </w:tc>
        <w:tc>
          <w:tcPr>
            <w:tcW w:w="600" w:type="pct"/>
            <w:noWrap w:val="0"/>
            <w:tcMar>
              <w:top w:w="0" w:type="dxa"/>
              <w:left w:w="28" w:type="dxa"/>
              <w:bottom w:w="0" w:type="dxa"/>
              <w:right w:w="28" w:type="dxa"/>
            </w:tcMar>
            <w:vAlign w:val="center"/>
          </w:tcPr>
          <w:p w14:paraId="3BB988A1">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ascii="Times New Roman" w:hAnsi="Times New Roman" w:eastAsia="宋体" w:cs="Times New Roman"/>
                <w:b/>
                <w:bCs/>
                <w:color w:val="auto"/>
                <w:kern w:val="0"/>
                <w:sz w:val="21"/>
                <w:szCs w:val="21"/>
                <w:highlight w:val="none"/>
                <w:u w:val="none"/>
                <w:lang w:val="en-US" w:eastAsia="zh-CN" w:bidi="ar-SA"/>
              </w:rPr>
            </w:pPr>
            <w:r>
              <w:rPr>
                <w:rFonts w:ascii="Times New Roman" w:hAnsi="Times New Roman" w:eastAsia="宋体" w:cs="Times New Roman"/>
                <w:b/>
                <w:bCs/>
                <w:color w:val="auto"/>
                <w:kern w:val="0"/>
                <w:sz w:val="21"/>
                <w:szCs w:val="21"/>
                <w:highlight w:val="none"/>
                <w:u w:val="none"/>
              </w:rPr>
              <w:t>200d</w:t>
            </w:r>
          </w:p>
        </w:tc>
        <w:tc>
          <w:tcPr>
            <w:tcW w:w="600" w:type="pct"/>
            <w:noWrap w:val="0"/>
            <w:tcMar>
              <w:top w:w="0" w:type="dxa"/>
              <w:left w:w="28" w:type="dxa"/>
              <w:bottom w:w="0" w:type="dxa"/>
              <w:right w:w="28" w:type="dxa"/>
            </w:tcMar>
            <w:vAlign w:val="center"/>
          </w:tcPr>
          <w:p w14:paraId="125A53A9">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ascii="Times New Roman" w:hAnsi="Times New Roman" w:eastAsia="宋体" w:cs="Times New Roman"/>
                <w:b/>
                <w:bCs/>
                <w:color w:val="auto"/>
                <w:kern w:val="0"/>
                <w:sz w:val="21"/>
                <w:szCs w:val="21"/>
                <w:highlight w:val="none"/>
                <w:u w:val="none"/>
                <w:lang w:val="en-US" w:eastAsia="zh-CN" w:bidi="ar-SA"/>
              </w:rPr>
            </w:pPr>
            <w:r>
              <w:rPr>
                <w:rFonts w:hint="eastAsia" w:ascii="Times New Roman" w:hAnsi="Times New Roman" w:eastAsia="宋体" w:cs="Times New Roman"/>
                <w:b/>
                <w:bCs/>
                <w:color w:val="auto"/>
                <w:kern w:val="0"/>
                <w:sz w:val="21"/>
                <w:szCs w:val="21"/>
                <w:highlight w:val="none"/>
                <w:u w:val="none"/>
                <w:lang w:val="en-US" w:eastAsia="zh-CN"/>
              </w:rPr>
              <w:t>3</w:t>
            </w:r>
            <w:r>
              <w:rPr>
                <w:rFonts w:ascii="Times New Roman" w:hAnsi="Times New Roman" w:eastAsia="宋体" w:cs="Times New Roman"/>
                <w:b/>
                <w:bCs/>
                <w:color w:val="auto"/>
                <w:kern w:val="0"/>
                <w:sz w:val="21"/>
                <w:szCs w:val="21"/>
                <w:highlight w:val="none"/>
                <w:u w:val="none"/>
              </w:rPr>
              <w:t>00d</w:t>
            </w:r>
          </w:p>
        </w:tc>
        <w:tc>
          <w:tcPr>
            <w:tcW w:w="600" w:type="pct"/>
            <w:noWrap w:val="0"/>
            <w:tcMar>
              <w:top w:w="0" w:type="dxa"/>
              <w:left w:w="28" w:type="dxa"/>
              <w:bottom w:w="0" w:type="dxa"/>
              <w:right w:w="28" w:type="dxa"/>
            </w:tcMar>
            <w:vAlign w:val="center"/>
          </w:tcPr>
          <w:p w14:paraId="420DFEA0">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ascii="Times New Roman" w:hAnsi="Times New Roman" w:eastAsia="宋体" w:cs="Times New Roman"/>
                <w:b/>
                <w:bCs/>
                <w:color w:val="auto"/>
                <w:kern w:val="0"/>
                <w:sz w:val="21"/>
                <w:szCs w:val="21"/>
                <w:highlight w:val="none"/>
                <w:u w:val="none"/>
                <w:lang w:val="en-US" w:eastAsia="zh-CN" w:bidi="ar-SA"/>
              </w:rPr>
            </w:pPr>
            <w:r>
              <w:rPr>
                <w:rFonts w:hint="eastAsia" w:ascii="Times New Roman" w:hAnsi="Times New Roman" w:eastAsia="宋体" w:cs="Times New Roman"/>
                <w:b/>
                <w:bCs/>
                <w:color w:val="auto"/>
                <w:kern w:val="0"/>
                <w:sz w:val="21"/>
                <w:szCs w:val="21"/>
                <w:highlight w:val="none"/>
                <w:u w:val="none"/>
                <w:lang w:val="en-US" w:eastAsia="zh-CN"/>
              </w:rPr>
              <w:t>4</w:t>
            </w:r>
            <w:r>
              <w:rPr>
                <w:rFonts w:ascii="Times New Roman" w:hAnsi="Times New Roman" w:eastAsia="宋体" w:cs="Times New Roman"/>
                <w:b/>
                <w:bCs/>
                <w:color w:val="auto"/>
                <w:kern w:val="0"/>
                <w:sz w:val="21"/>
                <w:szCs w:val="21"/>
                <w:highlight w:val="none"/>
                <w:u w:val="none"/>
              </w:rPr>
              <w:t>00d</w:t>
            </w:r>
          </w:p>
        </w:tc>
        <w:tc>
          <w:tcPr>
            <w:tcW w:w="600" w:type="pct"/>
            <w:noWrap w:val="0"/>
            <w:tcMar>
              <w:top w:w="0" w:type="dxa"/>
              <w:left w:w="28" w:type="dxa"/>
              <w:bottom w:w="0" w:type="dxa"/>
              <w:right w:w="28" w:type="dxa"/>
            </w:tcMar>
            <w:vAlign w:val="center"/>
          </w:tcPr>
          <w:p w14:paraId="70BCB080">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ascii="Times New Roman" w:hAnsi="Times New Roman" w:eastAsia="宋体" w:cs="Times New Roman"/>
                <w:b/>
                <w:bCs/>
                <w:color w:val="auto"/>
                <w:kern w:val="0"/>
                <w:sz w:val="21"/>
                <w:szCs w:val="21"/>
                <w:highlight w:val="none"/>
                <w:u w:val="none"/>
                <w:lang w:val="en-US" w:eastAsia="zh-CN" w:bidi="ar-SA"/>
              </w:rPr>
            </w:pPr>
            <w:r>
              <w:rPr>
                <w:rFonts w:hint="eastAsia" w:cs="Times New Roman"/>
                <w:b/>
                <w:bCs/>
                <w:color w:val="auto"/>
                <w:kern w:val="0"/>
                <w:sz w:val="21"/>
                <w:szCs w:val="21"/>
                <w:highlight w:val="none"/>
                <w:u w:val="none"/>
                <w:lang w:val="en-US" w:eastAsia="zh-CN"/>
              </w:rPr>
              <w:t>10</w:t>
            </w:r>
            <w:r>
              <w:rPr>
                <w:rFonts w:ascii="Times New Roman" w:hAnsi="Times New Roman" w:eastAsia="宋体" w:cs="Times New Roman"/>
                <w:b/>
                <w:bCs/>
                <w:color w:val="auto"/>
                <w:kern w:val="0"/>
                <w:sz w:val="21"/>
                <w:szCs w:val="21"/>
                <w:highlight w:val="none"/>
                <w:u w:val="none"/>
              </w:rPr>
              <w:t>00d</w:t>
            </w:r>
          </w:p>
        </w:tc>
      </w:tr>
      <w:tr w14:paraId="3D6180D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53" w:hRule="atLeast"/>
        </w:trPr>
        <w:tc>
          <w:tcPr>
            <w:tcW w:w="795" w:type="pct"/>
            <w:shd w:val="clear" w:color="auto" w:fill="auto"/>
            <w:noWrap w:val="0"/>
            <w:tcMar>
              <w:top w:w="0" w:type="dxa"/>
              <w:left w:w="28" w:type="dxa"/>
              <w:bottom w:w="0" w:type="dxa"/>
              <w:right w:w="28" w:type="dxa"/>
            </w:tcMar>
            <w:vAlign w:val="center"/>
          </w:tcPr>
          <w:p w14:paraId="6BBBCF62">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auto"/>
                <w:kern w:val="0"/>
                <w:sz w:val="21"/>
                <w:szCs w:val="21"/>
                <w:highlight w:val="none"/>
                <w:u w:val="none"/>
              </w:rPr>
            </w:pPr>
            <w:r>
              <w:rPr>
                <w:rFonts w:ascii="Times New Roman" w:hAnsi="Times New Roman" w:eastAsia="宋体" w:cs="Times New Roman"/>
                <w:color w:val="auto"/>
                <w:kern w:val="0"/>
                <w:sz w:val="21"/>
                <w:szCs w:val="21"/>
                <w:highlight w:val="none"/>
                <w:u w:val="none"/>
              </w:rPr>
              <w:t>（0</w:t>
            </w:r>
            <w:r>
              <w:rPr>
                <w:rFonts w:hint="eastAsia" w:ascii="Times New Roman" w:hAnsi="Times New Roman" w:eastAsia="宋体" w:cs="Times New Roman"/>
                <w:color w:val="auto"/>
                <w:kern w:val="0"/>
                <w:sz w:val="21"/>
                <w:szCs w:val="21"/>
                <w:highlight w:val="none"/>
                <w:u w:val="none"/>
                <w:lang w:eastAsia="zh-CN"/>
              </w:rPr>
              <w:t>，</w:t>
            </w:r>
            <w:r>
              <w:rPr>
                <w:rFonts w:ascii="Times New Roman" w:hAnsi="Times New Roman" w:eastAsia="宋体" w:cs="Times New Roman"/>
                <w:color w:val="auto"/>
                <w:kern w:val="0"/>
                <w:sz w:val="21"/>
                <w:szCs w:val="21"/>
                <w:highlight w:val="none"/>
                <w:u w:val="none"/>
              </w:rPr>
              <w:t>0）</w:t>
            </w:r>
          </w:p>
        </w:tc>
        <w:tc>
          <w:tcPr>
            <w:tcW w:w="600" w:type="pct"/>
            <w:shd w:val="clear" w:color="auto" w:fill="auto"/>
            <w:noWrap w:val="0"/>
            <w:tcMar>
              <w:top w:w="0" w:type="dxa"/>
              <w:left w:w="28" w:type="dxa"/>
              <w:bottom w:w="0" w:type="dxa"/>
              <w:right w:w="28" w:type="dxa"/>
            </w:tcMar>
            <w:vAlign w:val="center"/>
          </w:tcPr>
          <w:p w14:paraId="446F0F77">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0"/>
                <w:sz w:val="21"/>
                <w:szCs w:val="21"/>
                <w:highlight w:val="none"/>
                <w:u w:val="none"/>
                <w:lang w:val="en-US" w:eastAsia="zh-CN"/>
              </w:rPr>
            </w:pPr>
            <w:r>
              <w:rPr>
                <w:rFonts w:hint="eastAsia" w:ascii="Times New Roman" w:hAnsi="Times New Roman" w:eastAsia="宋体" w:cs="Times New Roman"/>
                <w:color w:val="auto"/>
                <w:kern w:val="0"/>
                <w:sz w:val="21"/>
                <w:szCs w:val="21"/>
                <w:highlight w:val="none"/>
                <w:u w:val="none"/>
              </w:rPr>
              <w:t>3.63E+0</w:t>
            </w:r>
            <w:r>
              <w:rPr>
                <w:rFonts w:hint="eastAsia" w:ascii="Times New Roman" w:hAnsi="Times New Roman" w:eastAsia="宋体" w:cs="Times New Roman"/>
                <w:color w:val="auto"/>
                <w:kern w:val="0"/>
                <w:sz w:val="21"/>
                <w:szCs w:val="21"/>
                <w:highlight w:val="none"/>
                <w:u w:val="none"/>
                <w:lang w:val="en-US" w:eastAsia="zh-CN"/>
              </w:rPr>
              <w:t>2</w:t>
            </w:r>
          </w:p>
        </w:tc>
        <w:tc>
          <w:tcPr>
            <w:tcW w:w="600" w:type="pct"/>
            <w:shd w:val="clear" w:color="auto" w:fill="auto"/>
            <w:noWrap w:val="0"/>
            <w:tcMar>
              <w:top w:w="0" w:type="dxa"/>
              <w:left w:w="28" w:type="dxa"/>
              <w:bottom w:w="0" w:type="dxa"/>
              <w:right w:w="28" w:type="dxa"/>
            </w:tcMar>
            <w:vAlign w:val="center"/>
          </w:tcPr>
          <w:p w14:paraId="328427AD">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auto"/>
                <w:kern w:val="0"/>
                <w:sz w:val="21"/>
                <w:szCs w:val="21"/>
                <w:highlight w:val="none"/>
                <w:u w:val="none"/>
              </w:rPr>
            </w:pPr>
            <w:r>
              <w:rPr>
                <w:rFonts w:hint="eastAsia" w:ascii="Times New Roman" w:hAnsi="Times New Roman" w:eastAsia="宋体" w:cs="Times New Roman"/>
                <w:color w:val="auto"/>
                <w:kern w:val="0"/>
                <w:sz w:val="21"/>
                <w:szCs w:val="21"/>
                <w:highlight w:val="none"/>
                <w:u w:val="none"/>
              </w:rPr>
              <w:t>3.63E+0</w:t>
            </w:r>
            <w:r>
              <w:rPr>
                <w:rFonts w:hint="eastAsia" w:ascii="Times New Roman" w:hAnsi="Times New Roman" w:eastAsia="宋体" w:cs="Times New Roman"/>
                <w:color w:val="auto"/>
                <w:kern w:val="0"/>
                <w:sz w:val="21"/>
                <w:szCs w:val="21"/>
                <w:highlight w:val="none"/>
                <w:u w:val="none"/>
                <w:lang w:val="en-US" w:eastAsia="zh-CN"/>
              </w:rPr>
              <w:t>2</w:t>
            </w:r>
          </w:p>
        </w:tc>
        <w:tc>
          <w:tcPr>
            <w:tcW w:w="600" w:type="pct"/>
            <w:shd w:val="clear" w:color="auto" w:fill="auto"/>
            <w:noWrap w:val="0"/>
            <w:tcMar>
              <w:top w:w="0" w:type="dxa"/>
              <w:left w:w="28" w:type="dxa"/>
              <w:bottom w:w="0" w:type="dxa"/>
              <w:right w:w="28" w:type="dxa"/>
            </w:tcMar>
            <w:vAlign w:val="center"/>
          </w:tcPr>
          <w:p w14:paraId="09DF44B3">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auto"/>
                <w:kern w:val="0"/>
                <w:sz w:val="21"/>
                <w:szCs w:val="21"/>
                <w:highlight w:val="none"/>
                <w:u w:val="none"/>
              </w:rPr>
            </w:pPr>
            <w:r>
              <w:rPr>
                <w:rFonts w:hint="eastAsia" w:ascii="Times New Roman" w:hAnsi="Times New Roman" w:eastAsia="宋体" w:cs="Times New Roman"/>
                <w:color w:val="auto"/>
                <w:kern w:val="0"/>
                <w:sz w:val="21"/>
                <w:szCs w:val="21"/>
                <w:highlight w:val="none"/>
                <w:u w:val="none"/>
              </w:rPr>
              <w:t>3.63E+0</w:t>
            </w:r>
            <w:r>
              <w:rPr>
                <w:rFonts w:hint="eastAsia" w:ascii="Times New Roman" w:hAnsi="Times New Roman" w:eastAsia="宋体" w:cs="Times New Roman"/>
                <w:color w:val="auto"/>
                <w:kern w:val="0"/>
                <w:sz w:val="21"/>
                <w:szCs w:val="21"/>
                <w:highlight w:val="none"/>
                <w:u w:val="none"/>
                <w:lang w:val="en-US" w:eastAsia="zh-CN"/>
              </w:rPr>
              <w:t>2</w:t>
            </w:r>
          </w:p>
        </w:tc>
        <w:tc>
          <w:tcPr>
            <w:tcW w:w="600" w:type="pct"/>
            <w:shd w:val="clear" w:color="auto" w:fill="auto"/>
            <w:noWrap w:val="0"/>
            <w:tcMar>
              <w:top w:w="0" w:type="dxa"/>
              <w:left w:w="28" w:type="dxa"/>
              <w:bottom w:w="0" w:type="dxa"/>
              <w:right w:w="28" w:type="dxa"/>
            </w:tcMar>
            <w:vAlign w:val="center"/>
          </w:tcPr>
          <w:p w14:paraId="546F50A6">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auto"/>
                <w:kern w:val="0"/>
                <w:sz w:val="21"/>
                <w:szCs w:val="21"/>
                <w:highlight w:val="none"/>
                <w:u w:val="none"/>
              </w:rPr>
            </w:pPr>
            <w:r>
              <w:rPr>
                <w:rFonts w:hint="eastAsia" w:ascii="Times New Roman" w:hAnsi="Times New Roman" w:eastAsia="宋体" w:cs="Times New Roman"/>
                <w:color w:val="auto"/>
                <w:kern w:val="0"/>
                <w:sz w:val="21"/>
                <w:szCs w:val="21"/>
                <w:highlight w:val="none"/>
                <w:u w:val="none"/>
              </w:rPr>
              <w:t>3.63E+0</w:t>
            </w:r>
            <w:r>
              <w:rPr>
                <w:rFonts w:hint="eastAsia" w:ascii="Times New Roman" w:hAnsi="Times New Roman" w:eastAsia="宋体" w:cs="Times New Roman"/>
                <w:color w:val="auto"/>
                <w:kern w:val="0"/>
                <w:sz w:val="21"/>
                <w:szCs w:val="21"/>
                <w:highlight w:val="none"/>
                <w:u w:val="none"/>
                <w:lang w:val="en-US" w:eastAsia="zh-CN"/>
              </w:rPr>
              <w:t>2</w:t>
            </w:r>
          </w:p>
        </w:tc>
        <w:tc>
          <w:tcPr>
            <w:tcW w:w="600" w:type="pct"/>
            <w:shd w:val="clear" w:color="auto" w:fill="auto"/>
            <w:noWrap w:val="0"/>
            <w:tcMar>
              <w:top w:w="0" w:type="dxa"/>
              <w:left w:w="28" w:type="dxa"/>
              <w:bottom w:w="0" w:type="dxa"/>
              <w:right w:w="28" w:type="dxa"/>
            </w:tcMar>
            <w:vAlign w:val="center"/>
          </w:tcPr>
          <w:p w14:paraId="114B71B8">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auto"/>
                <w:kern w:val="0"/>
                <w:sz w:val="21"/>
                <w:szCs w:val="21"/>
                <w:highlight w:val="none"/>
                <w:u w:val="none"/>
              </w:rPr>
            </w:pPr>
            <w:r>
              <w:rPr>
                <w:rFonts w:hint="eastAsia" w:ascii="Times New Roman" w:hAnsi="Times New Roman" w:eastAsia="宋体" w:cs="Times New Roman"/>
                <w:color w:val="auto"/>
                <w:kern w:val="0"/>
                <w:sz w:val="21"/>
                <w:szCs w:val="21"/>
                <w:highlight w:val="none"/>
                <w:u w:val="none"/>
              </w:rPr>
              <w:t>3.63E+0</w:t>
            </w:r>
            <w:r>
              <w:rPr>
                <w:rFonts w:hint="eastAsia" w:ascii="Times New Roman" w:hAnsi="Times New Roman" w:eastAsia="宋体" w:cs="Times New Roman"/>
                <w:color w:val="auto"/>
                <w:kern w:val="0"/>
                <w:sz w:val="21"/>
                <w:szCs w:val="21"/>
                <w:highlight w:val="none"/>
                <w:u w:val="none"/>
                <w:lang w:val="en-US" w:eastAsia="zh-CN"/>
              </w:rPr>
              <w:t>2</w:t>
            </w:r>
          </w:p>
        </w:tc>
        <w:tc>
          <w:tcPr>
            <w:tcW w:w="600" w:type="pct"/>
            <w:shd w:val="clear" w:color="auto" w:fill="auto"/>
            <w:noWrap w:val="0"/>
            <w:tcMar>
              <w:top w:w="0" w:type="dxa"/>
              <w:left w:w="28" w:type="dxa"/>
              <w:bottom w:w="0" w:type="dxa"/>
              <w:right w:w="28" w:type="dxa"/>
            </w:tcMar>
            <w:vAlign w:val="center"/>
          </w:tcPr>
          <w:p w14:paraId="1085E01C">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auto"/>
                <w:kern w:val="0"/>
                <w:sz w:val="21"/>
                <w:szCs w:val="21"/>
                <w:highlight w:val="none"/>
                <w:u w:val="none"/>
              </w:rPr>
            </w:pPr>
            <w:r>
              <w:rPr>
                <w:rFonts w:hint="eastAsia" w:ascii="Times New Roman" w:hAnsi="Times New Roman" w:eastAsia="宋体" w:cs="Times New Roman"/>
                <w:color w:val="auto"/>
                <w:kern w:val="0"/>
                <w:sz w:val="21"/>
                <w:szCs w:val="21"/>
                <w:highlight w:val="none"/>
                <w:u w:val="none"/>
              </w:rPr>
              <w:t>3.63E+0</w:t>
            </w:r>
            <w:r>
              <w:rPr>
                <w:rFonts w:hint="eastAsia" w:ascii="Times New Roman" w:hAnsi="Times New Roman" w:eastAsia="宋体" w:cs="Times New Roman"/>
                <w:color w:val="auto"/>
                <w:kern w:val="0"/>
                <w:sz w:val="21"/>
                <w:szCs w:val="21"/>
                <w:highlight w:val="none"/>
                <w:u w:val="none"/>
                <w:lang w:val="en-US" w:eastAsia="zh-CN"/>
              </w:rPr>
              <w:t>2</w:t>
            </w:r>
          </w:p>
        </w:tc>
        <w:tc>
          <w:tcPr>
            <w:tcW w:w="600" w:type="pct"/>
            <w:shd w:val="clear" w:color="auto" w:fill="auto"/>
            <w:noWrap w:val="0"/>
            <w:tcMar>
              <w:top w:w="0" w:type="dxa"/>
              <w:left w:w="28" w:type="dxa"/>
              <w:bottom w:w="0" w:type="dxa"/>
              <w:right w:w="28" w:type="dxa"/>
            </w:tcMar>
            <w:vAlign w:val="center"/>
          </w:tcPr>
          <w:p w14:paraId="06A2C005">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auto"/>
                <w:kern w:val="0"/>
                <w:sz w:val="21"/>
                <w:szCs w:val="21"/>
                <w:highlight w:val="none"/>
                <w:u w:val="none"/>
              </w:rPr>
            </w:pPr>
            <w:r>
              <w:rPr>
                <w:rFonts w:hint="eastAsia" w:ascii="Times New Roman" w:hAnsi="Times New Roman" w:eastAsia="宋体" w:cs="Times New Roman"/>
                <w:color w:val="auto"/>
                <w:kern w:val="0"/>
                <w:sz w:val="21"/>
                <w:szCs w:val="21"/>
                <w:highlight w:val="none"/>
                <w:u w:val="none"/>
              </w:rPr>
              <w:t>3.63E+0</w:t>
            </w:r>
            <w:r>
              <w:rPr>
                <w:rFonts w:hint="eastAsia" w:ascii="Times New Roman" w:hAnsi="Times New Roman" w:eastAsia="宋体" w:cs="Times New Roman"/>
                <w:color w:val="auto"/>
                <w:kern w:val="0"/>
                <w:sz w:val="21"/>
                <w:szCs w:val="21"/>
                <w:highlight w:val="none"/>
                <w:u w:val="none"/>
                <w:lang w:val="en-US" w:eastAsia="zh-CN"/>
              </w:rPr>
              <w:t>2</w:t>
            </w:r>
          </w:p>
        </w:tc>
      </w:tr>
      <w:tr w14:paraId="30D54A4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95" w:type="pct"/>
            <w:shd w:val="clear" w:color="auto" w:fill="auto"/>
            <w:noWrap w:val="0"/>
            <w:tcMar>
              <w:top w:w="0" w:type="dxa"/>
              <w:left w:w="28" w:type="dxa"/>
              <w:bottom w:w="0" w:type="dxa"/>
              <w:right w:w="28" w:type="dxa"/>
            </w:tcMar>
            <w:vAlign w:val="center"/>
          </w:tcPr>
          <w:p w14:paraId="0E4CB59C">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auto"/>
                <w:kern w:val="0"/>
                <w:sz w:val="21"/>
                <w:szCs w:val="21"/>
                <w:highlight w:val="none"/>
                <w:u w:val="none"/>
              </w:rPr>
            </w:pPr>
            <w:r>
              <w:rPr>
                <w:rFonts w:ascii="Times New Roman" w:hAnsi="Times New Roman" w:eastAsia="宋体" w:cs="Times New Roman"/>
                <w:color w:val="auto"/>
                <w:kern w:val="0"/>
                <w:sz w:val="21"/>
                <w:szCs w:val="21"/>
                <w:highlight w:val="none"/>
                <w:u w:val="none"/>
              </w:rPr>
              <w:t>（5</w:t>
            </w:r>
            <w:r>
              <w:rPr>
                <w:rFonts w:hint="eastAsia" w:ascii="Times New Roman" w:hAnsi="Times New Roman" w:eastAsia="宋体" w:cs="Times New Roman"/>
                <w:color w:val="auto"/>
                <w:kern w:val="0"/>
                <w:sz w:val="21"/>
                <w:szCs w:val="21"/>
                <w:highlight w:val="none"/>
                <w:u w:val="none"/>
                <w:lang w:eastAsia="zh-CN"/>
              </w:rPr>
              <w:t>，</w:t>
            </w:r>
            <w:r>
              <w:rPr>
                <w:rFonts w:ascii="Times New Roman" w:hAnsi="Times New Roman" w:eastAsia="宋体" w:cs="Times New Roman"/>
                <w:color w:val="auto"/>
                <w:kern w:val="0"/>
                <w:sz w:val="21"/>
                <w:szCs w:val="21"/>
                <w:highlight w:val="none"/>
                <w:u w:val="none"/>
              </w:rPr>
              <w:t>5）</w:t>
            </w:r>
          </w:p>
        </w:tc>
        <w:tc>
          <w:tcPr>
            <w:tcW w:w="600" w:type="pct"/>
            <w:shd w:val="clear" w:color="auto" w:fill="auto"/>
            <w:noWrap w:val="0"/>
            <w:tcMar>
              <w:top w:w="0" w:type="dxa"/>
              <w:left w:w="28" w:type="dxa"/>
              <w:bottom w:w="0" w:type="dxa"/>
              <w:right w:w="28" w:type="dxa"/>
            </w:tcMar>
            <w:vAlign w:val="center"/>
          </w:tcPr>
          <w:p w14:paraId="51FA9F5D">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auto"/>
                <w:kern w:val="0"/>
                <w:sz w:val="21"/>
                <w:szCs w:val="21"/>
                <w:highlight w:val="none"/>
                <w:u w:val="none"/>
              </w:rPr>
            </w:pPr>
            <w:r>
              <w:rPr>
                <w:rFonts w:hint="eastAsia" w:ascii="Times New Roman" w:hAnsi="Times New Roman" w:eastAsia="宋体" w:cs="Times New Roman"/>
                <w:color w:val="auto"/>
                <w:kern w:val="0"/>
                <w:sz w:val="21"/>
                <w:szCs w:val="21"/>
                <w:highlight w:val="none"/>
                <w:u w:val="none"/>
              </w:rPr>
              <w:t>6.79E-291</w:t>
            </w:r>
          </w:p>
        </w:tc>
        <w:tc>
          <w:tcPr>
            <w:tcW w:w="600" w:type="pct"/>
            <w:shd w:val="clear" w:color="auto" w:fill="auto"/>
            <w:noWrap w:val="0"/>
            <w:tcMar>
              <w:top w:w="0" w:type="dxa"/>
              <w:left w:w="28" w:type="dxa"/>
              <w:bottom w:w="0" w:type="dxa"/>
              <w:right w:w="28" w:type="dxa"/>
            </w:tcMar>
            <w:vAlign w:val="center"/>
          </w:tcPr>
          <w:p w14:paraId="4A044818">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auto"/>
                <w:kern w:val="0"/>
                <w:sz w:val="21"/>
                <w:szCs w:val="21"/>
                <w:highlight w:val="none"/>
                <w:u w:val="none"/>
              </w:rPr>
            </w:pPr>
            <w:r>
              <w:rPr>
                <w:rFonts w:hint="eastAsia" w:ascii="Times New Roman" w:hAnsi="Times New Roman" w:eastAsia="宋体" w:cs="Times New Roman"/>
                <w:color w:val="auto"/>
                <w:kern w:val="0"/>
                <w:sz w:val="21"/>
                <w:szCs w:val="21"/>
                <w:highlight w:val="none"/>
                <w:u w:val="none"/>
              </w:rPr>
              <w:t>3.71E-58</w:t>
            </w:r>
          </w:p>
        </w:tc>
        <w:tc>
          <w:tcPr>
            <w:tcW w:w="600" w:type="pct"/>
            <w:shd w:val="clear" w:color="auto" w:fill="auto"/>
            <w:noWrap w:val="0"/>
            <w:tcMar>
              <w:top w:w="0" w:type="dxa"/>
              <w:left w:w="28" w:type="dxa"/>
              <w:bottom w:w="0" w:type="dxa"/>
              <w:right w:w="28" w:type="dxa"/>
            </w:tcMar>
            <w:vAlign w:val="center"/>
          </w:tcPr>
          <w:p w14:paraId="67234211">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auto"/>
                <w:kern w:val="0"/>
                <w:sz w:val="21"/>
                <w:szCs w:val="21"/>
                <w:highlight w:val="none"/>
                <w:u w:val="none"/>
              </w:rPr>
            </w:pPr>
            <w:r>
              <w:rPr>
                <w:rFonts w:hint="eastAsia" w:ascii="Times New Roman" w:hAnsi="Times New Roman" w:eastAsia="宋体" w:cs="Times New Roman"/>
                <w:color w:val="auto"/>
                <w:kern w:val="0"/>
                <w:sz w:val="21"/>
                <w:szCs w:val="21"/>
                <w:highlight w:val="none"/>
                <w:u w:val="none"/>
              </w:rPr>
              <w:t>7.46E-29</w:t>
            </w:r>
          </w:p>
        </w:tc>
        <w:tc>
          <w:tcPr>
            <w:tcW w:w="600" w:type="pct"/>
            <w:shd w:val="clear" w:color="auto" w:fill="auto"/>
            <w:noWrap w:val="0"/>
            <w:tcMar>
              <w:top w:w="0" w:type="dxa"/>
              <w:left w:w="28" w:type="dxa"/>
              <w:bottom w:w="0" w:type="dxa"/>
              <w:right w:w="28" w:type="dxa"/>
            </w:tcMar>
            <w:vAlign w:val="center"/>
          </w:tcPr>
          <w:p w14:paraId="08CD41E1">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auto"/>
                <w:kern w:val="0"/>
                <w:sz w:val="21"/>
                <w:szCs w:val="21"/>
                <w:highlight w:val="none"/>
                <w:u w:val="none"/>
              </w:rPr>
            </w:pPr>
            <w:r>
              <w:rPr>
                <w:rFonts w:hint="eastAsia" w:ascii="Times New Roman" w:hAnsi="Times New Roman" w:eastAsia="宋体" w:cs="Times New Roman"/>
                <w:color w:val="auto"/>
                <w:kern w:val="0"/>
                <w:sz w:val="21"/>
                <w:szCs w:val="21"/>
                <w:highlight w:val="none"/>
                <w:u w:val="none"/>
              </w:rPr>
              <w:t>4.68E-14</w:t>
            </w:r>
          </w:p>
        </w:tc>
        <w:tc>
          <w:tcPr>
            <w:tcW w:w="600" w:type="pct"/>
            <w:shd w:val="clear" w:color="auto" w:fill="auto"/>
            <w:noWrap w:val="0"/>
            <w:tcMar>
              <w:top w:w="0" w:type="dxa"/>
              <w:left w:w="28" w:type="dxa"/>
              <w:bottom w:w="0" w:type="dxa"/>
              <w:right w:w="28" w:type="dxa"/>
            </w:tcMar>
            <w:vAlign w:val="center"/>
          </w:tcPr>
          <w:p w14:paraId="4616F761">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auto"/>
                <w:kern w:val="0"/>
                <w:sz w:val="21"/>
                <w:szCs w:val="21"/>
                <w:highlight w:val="none"/>
                <w:u w:val="none"/>
              </w:rPr>
            </w:pPr>
            <w:r>
              <w:rPr>
                <w:rFonts w:hint="eastAsia" w:ascii="Times New Roman" w:hAnsi="Times New Roman" w:eastAsia="宋体" w:cs="Times New Roman"/>
                <w:color w:val="auto"/>
                <w:kern w:val="0"/>
                <w:sz w:val="21"/>
                <w:szCs w:val="21"/>
                <w:highlight w:val="none"/>
                <w:u w:val="none"/>
              </w:rPr>
              <w:t>4.72E-09</w:t>
            </w:r>
          </w:p>
        </w:tc>
        <w:tc>
          <w:tcPr>
            <w:tcW w:w="600" w:type="pct"/>
            <w:shd w:val="clear" w:color="auto" w:fill="auto"/>
            <w:noWrap w:val="0"/>
            <w:tcMar>
              <w:top w:w="0" w:type="dxa"/>
              <w:left w:w="28" w:type="dxa"/>
              <w:bottom w:w="0" w:type="dxa"/>
              <w:right w:w="28" w:type="dxa"/>
            </w:tcMar>
            <w:vAlign w:val="center"/>
          </w:tcPr>
          <w:p w14:paraId="79799501">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auto"/>
                <w:kern w:val="0"/>
                <w:sz w:val="21"/>
                <w:szCs w:val="21"/>
                <w:highlight w:val="none"/>
                <w:u w:val="none"/>
              </w:rPr>
            </w:pPr>
            <w:r>
              <w:rPr>
                <w:rFonts w:hint="eastAsia" w:ascii="Times New Roman" w:hAnsi="Times New Roman" w:eastAsia="宋体" w:cs="Times New Roman"/>
                <w:color w:val="auto"/>
                <w:kern w:val="0"/>
                <w:sz w:val="21"/>
                <w:szCs w:val="21"/>
                <w:highlight w:val="none"/>
                <w:u w:val="none"/>
              </w:rPr>
              <w:t>1.62E-06</w:t>
            </w:r>
          </w:p>
        </w:tc>
        <w:tc>
          <w:tcPr>
            <w:tcW w:w="600" w:type="pct"/>
            <w:shd w:val="clear" w:color="auto" w:fill="auto"/>
            <w:noWrap w:val="0"/>
            <w:tcMar>
              <w:top w:w="0" w:type="dxa"/>
              <w:left w:w="28" w:type="dxa"/>
              <w:bottom w:w="0" w:type="dxa"/>
              <w:right w:w="28" w:type="dxa"/>
            </w:tcMar>
            <w:vAlign w:val="center"/>
          </w:tcPr>
          <w:p w14:paraId="6C0C3DAA">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auto"/>
                <w:kern w:val="0"/>
                <w:sz w:val="21"/>
                <w:szCs w:val="21"/>
                <w:highlight w:val="none"/>
                <w:u w:val="none"/>
              </w:rPr>
            </w:pPr>
            <w:r>
              <w:rPr>
                <w:rFonts w:hint="eastAsia" w:ascii="Times New Roman" w:hAnsi="Times New Roman" w:eastAsia="宋体" w:cs="Times New Roman"/>
                <w:color w:val="auto"/>
                <w:kern w:val="0"/>
                <w:sz w:val="21"/>
                <w:szCs w:val="21"/>
                <w:highlight w:val="none"/>
                <w:u w:val="none"/>
              </w:rPr>
              <w:t>5.64E-05</w:t>
            </w:r>
          </w:p>
        </w:tc>
      </w:tr>
      <w:tr w14:paraId="25D33C8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95" w:type="pct"/>
            <w:noWrap w:val="0"/>
            <w:tcMar>
              <w:top w:w="0" w:type="dxa"/>
              <w:left w:w="28" w:type="dxa"/>
              <w:bottom w:w="0" w:type="dxa"/>
              <w:right w:w="28" w:type="dxa"/>
            </w:tcMar>
            <w:vAlign w:val="center"/>
          </w:tcPr>
          <w:p w14:paraId="01115F07">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auto"/>
                <w:kern w:val="0"/>
                <w:sz w:val="21"/>
                <w:szCs w:val="21"/>
                <w:highlight w:val="none"/>
                <w:u w:val="none"/>
              </w:rPr>
            </w:pPr>
            <w:r>
              <w:rPr>
                <w:rFonts w:ascii="Times New Roman" w:hAnsi="Times New Roman" w:eastAsia="宋体" w:cs="Times New Roman"/>
                <w:color w:val="auto"/>
                <w:kern w:val="0"/>
                <w:sz w:val="21"/>
                <w:szCs w:val="21"/>
                <w:highlight w:val="none"/>
                <w:u w:val="none"/>
              </w:rPr>
              <w:t>（10，10）</w:t>
            </w:r>
          </w:p>
        </w:tc>
        <w:tc>
          <w:tcPr>
            <w:tcW w:w="600" w:type="pct"/>
            <w:noWrap w:val="0"/>
            <w:tcMar>
              <w:top w:w="0" w:type="dxa"/>
              <w:left w:w="28" w:type="dxa"/>
              <w:bottom w:w="0" w:type="dxa"/>
              <w:right w:w="28" w:type="dxa"/>
            </w:tcMar>
            <w:vAlign w:val="center"/>
          </w:tcPr>
          <w:p w14:paraId="197CEEC9">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auto"/>
                <w:kern w:val="0"/>
                <w:sz w:val="21"/>
                <w:szCs w:val="21"/>
                <w:highlight w:val="none"/>
                <w:u w:val="none"/>
              </w:rPr>
            </w:pPr>
            <w:r>
              <w:rPr>
                <w:rFonts w:hint="eastAsia" w:ascii="Times New Roman" w:hAnsi="Times New Roman" w:eastAsia="宋体" w:cs="Times New Roman"/>
                <w:color w:val="auto"/>
                <w:kern w:val="0"/>
                <w:sz w:val="21"/>
                <w:szCs w:val="21"/>
                <w:highlight w:val="none"/>
                <w:u w:val="none"/>
              </w:rPr>
              <w:t>0.00E+00</w:t>
            </w:r>
          </w:p>
        </w:tc>
        <w:tc>
          <w:tcPr>
            <w:tcW w:w="600" w:type="pct"/>
            <w:noWrap w:val="0"/>
            <w:tcMar>
              <w:top w:w="0" w:type="dxa"/>
              <w:left w:w="28" w:type="dxa"/>
              <w:bottom w:w="0" w:type="dxa"/>
              <w:right w:w="28" w:type="dxa"/>
            </w:tcMar>
            <w:vAlign w:val="center"/>
          </w:tcPr>
          <w:p w14:paraId="2501102E">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auto"/>
                <w:kern w:val="0"/>
                <w:sz w:val="21"/>
                <w:szCs w:val="21"/>
                <w:highlight w:val="none"/>
                <w:u w:val="none"/>
              </w:rPr>
            </w:pPr>
            <w:r>
              <w:rPr>
                <w:rFonts w:hint="eastAsia" w:ascii="Times New Roman" w:hAnsi="Times New Roman" w:eastAsia="宋体" w:cs="Times New Roman"/>
                <w:color w:val="auto"/>
                <w:kern w:val="0"/>
                <w:sz w:val="21"/>
                <w:szCs w:val="21"/>
                <w:highlight w:val="none"/>
                <w:u w:val="none"/>
              </w:rPr>
              <w:t>1.22E-232</w:t>
            </w:r>
          </w:p>
        </w:tc>
        <w:tc>
          <w:tcPr>
            <w:tcW w:w="600" w:type="pct"/>
            <w:noWrap w:val="0"/>
            <w:tcMar>
              <w:top w:w="0" w:type="dxa"/>
              <w:left w:w="28" w:type="dxa"/>
              <w:bottom w:w="0" w:type="dxa"/>
              <w:right w:w="28" w:type="dxa"/>
            </w:tcMar>
            <w:vAlign w:val="center"/>
          </w:tcPr>
          <w:p w14:paraId="54A44CB9">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auto"/>
                <w:kern w:val="0"/>
                <w:sz w:val="21"/>
                <w:szCs w:val="21"/>
                <w:highlight w:val="none"/>
                <w:u w:val="none"/>
              </w:rPr>
            </w:pPr>
            <w:r>
              <w:rPr>
                <w:rFonts w:hint="eastAsia" w:ascii="Times New Roman" w:hAnsi="Times New Roman" w:eastAsia="宋体" w:cs="Times New Roman"/>
                <w:color w:val="auto"/>
                <w:kern w:val="0"/>
                <w:sz w:val="21"/>
                <w:szCs w:val="21"/>
                <w:highlight w:val="none"/>
                <w:u w:val="none"/>
              </w:rPr>
              <w:t>2.56E-116</w:t>
            </w:r>
          </w:p>
        </w:tc>
        <w:tc>
          <w:tcPr>
            <w:tcW w:w="600" w:type="pct"/>
            <w:noWrap w:val="0"/>
            <w:tcMar>
              <w:top w:w="0" w:type="dxa"/>
              <w:left w:w="28" w:type="dxa"/>
              <w:bottom w:w="0" w:type="dxa"/>
              <w:right w:w="28" w:type="dxa"/>
            </w:tcMar>
            <w:vAlign w:val="center"/>
          </w:tcPr>
          <w:p w14:paraId="5C0789E2">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auto"/>
                <w:kern w:val="0"/>
                <w:sz w:val="21"/>
                <w:szCs w:val="21"/>
                <w:highlight w:val="none"/>
                <w:u w:val="none"/>
              </w:rPr>
            </w:pPr>
            <w:r>
              <w:rPr>
                <w:rFonts w:hint="eastAsia" w:ascii="Times New Roman" w:hAnsi="Times New Roman" w:eastAsia="宋体" w:cs="Times New Roman"/>
                <w:color w:val="auto"/>
                <w:kern w:val="0"/>
                <w:sz w:val="21"/>
                <w:szCs w:val="21"/>
                <w:highlight w:val="none"/>
                <w:u w:val="none"/>
              </w:rPr>
              <w:t>5.22E-58</w:t>
            </w:r>
          </w:p>
        </w:tc>
        <w:tc>
          <w:tcPr>
            <w:tcW w:w="600" w:type="pct"/>
            <w:noWrap w:val="0"/>
            <w:tcMar>
              <w:top w:w="0" w:type="dxa"/>
              <w:left w:w="28" w:type="dxa"/>
              <w:bottom w:w="0" w:type="dxa"/>
              <w:right w:w="28" w:type="dxa"/>
            </w:tcMar>
            <w:vAlign w:val="center"/>
          </w:tcPr>
          <w:p w14:paraId="7D115F50">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auto"/>
                <w:kern w:val="0"/>
                <w:sz w:val="21"/>
                <w:szCs w:val="21"/>
                <w:highlight w:val="none"/>
                <w:u w:val="none"/>
              </w:rPr>
            </w:pPr>
            <w:r>
              <w:rPr>
                <w:rFonts w:hint="eastAsia" w:ascii="Times New Roman" w:hAnsi="Times New Roman" w:eastAsia="宋体" w:cs="Times New Roman"/>
                <w:color w:val="auto"/>
                <w:kern w:val="0"/>
                <w:sz w:val="21"/>
                <w:szCs w:val="21"/>
                <w:highlight w:val="none"/>
                <w:u w:val="none"/>
              </w:rPr>
              <w:t>1.69E-38</w:t>
            </w:r>
          </w:p>
        </w:tc>
        <w:tc>
          <w:tcPr>
            <w:tcW w:w="600" w:type="pct"/>
            <w:noWrap w:val="0"/>
            <w:tcMar>
              <w:top w:w="0" w:type="dxa"/>
              <w:left w:w="28" w:type="dxa"/>
              <w:bottom w:w="0" w:type="dxa"/>
              <w:right w:w="28" w:type="dxa"/>
            </w:tcMar>
            <w:vAlign w:val="center"/>
          </w:tcPr>
          <w:p w14:paraId="7E675D0B">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auto"/>
                <w:kern w:val="0"/>
                <w:sz w:val="21"/>
                <w:szCs w:val="21"/>
                <w:highlight w:val="none"/>
                <w:u w:val="none"/>
              </w:rPr>
            </w:pPr>
            <w:r>
              <w:rPr>
                <w:rFonts w:hint="eastAsia" w:ascii="Times New Roman" w:hAnsi="Times New Roman" w:eastAsia="宋体" w:cs="Times New Roman"/>
                <w:color w:val="auto"/>
                <w:kern w:val="0"/>
                <w:sz w:val="21"/>
                <w:szCs w:val="21"/>
                <w:highlight w:val="none"/>
                <w:u w:val="none"/>
              </w:rPr>
              <w:t>1.05E-28</w:t>
            </w:r>
          </w:p>
        </w:tc>
        <w:tc>
          <w:tcPr>
            <w:tcW w:w="600" w:type="pct"/>
            <w:noWrap w:val="0"/>
            <w:tcMar>
              <w:top w:w="0" w:type="dxa"/>
              <w:left w:w="28" w:type="dxa"/>
              <w:bottom w:w="0" w:type="dxa"/>
              <w:right w:w="28" w:type="dxa"/>
            </w:tcMar>
            <w:vAlign w:val="center"/>
          </w:tcPr>
          <w:p w14:paraId="40C69666">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auto"/>
                <w:kern w:val="0"/>
                <w:sz w:val="21"/>
                <w:szCs w:val="21"/>
                <w:highlight w:val="none"/>
                <w:u w:val="none"/>
              </w:rPr>
            </w:pPr>
            <w:r>
              <w:rPr>
                <w:rFonts w:hint="eastAsia" w:ascii="Times New Roman" w:hAnsi="Times New Roman" w:eastAsia="宋体" w:cs="Times New Roman"/>
                <w:color w:val="auto"/>
                <w:kern w:val="0"/>
                <w:sz w:val="21"/>
                <w:szCs w:val="21"/>
                <w:highlight w:val="none"/>
                <w:u w:val="none"/>
              </w:rPr>
              <w:t>8.27E-23</w:t>
            </w:r>
          </w:p>
        </w:tc>
      </w:tr>
      <w:tr w14:paraId="4F6D369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95" w:type="pct"/>
            <w:noWrap w:val="0"/>
            <w:tcMar>
              <w:top w:w="0" w:type="dxa"/>
              <w:left w:w="28" w:type="dxa"/>
              <w:bottom w:w="0" w:type="dxa"/>
              <w:right w:w="28" w:type="dxa"/>
            </w:tcMar>
            <w:vAlign w:val="center"/>
          </w:tcPr>
          <w:p w14:paraId="7B2A9516">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auto"/>
                <w:kern w:val="0"/>
                <w:sz w:val="21"/>
                <w:szCs w:val="21"/>
                <w:highlight w:val="none"/>
                <w:u w:val="none"/>
              </w:rPr>
            </w:pPr>
            <w:r>
              <w:rPr>
                <w:rFonts w:ascii="Times New Roman" w:hAnsi="Times New Roman" w:eastAsia="宋体" w:cs="Times New Roman"/>
                <w:color w:val="auto"/>
                <w:kern w:val="0"/>
                <w:sz w:val="21"/>
                <w:szCs w:val="21"/>
                <w:highlight w:val="none"/>
                <w:u w:val="none"/>
              </w:rPr>
              <w:t>（50，50）</w:t>
            </w:r>
          </w:p>
        </w:tc>
        <w:tc>
          <w:tcPr>
            <w:tcW w:w="600" w:type="pct"/>
            <w:shd w:val="clear" w:color="auto" w:fill="auto"/>
            <w:noWrap w:val="0"/>
            <w:tcMar>
              <w:top w:w="0" w:type="dxa"/>
              <w:left w:w="28" w:type="dxa"/>
              <w:bottom w:w="0" w:type="dxa"/>
              <w:right w:w="28" w:type="dxa"/>
            </w:tcMar>
            <w:vAlign w:val="center"/>
          </w:tcPr>
          <w:p w14:paraId="5B76E23A">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auto"/>
                <w:kern w:val="0"/>
                <w:sz w:val="21"/>
                <w:szCs w:val="21"/>
                <w:highlight w:val="none"/>
                <w:u w:val="none"/>
                <w:lang w:val="en-US" w:eastAsia="zh-CN" w:bidi="ar-SA"/>
              </w:rPr>
            </w:pPr>
            <w:r>
              <w:rPr>
                <w:rFonts w:hint="eastAsia" w:ascii="Times New Roman" w:hAnsi="Times New Roman" w:eastAsia="宋体" w:cs="Times New Roman"/>
                <w:color w:val="auto"/>
                <w:kern w:val="0"/>
                <w:sz w:val="21"/>
                <w:szCs w:val="21"/>
                <w:highlight w:val="none"/>
                <w:u w:val="none"/>
              </w:rPr>
              <w:t>0.00E+00</w:t>
            </w:r>
          </w:p>
        </w:tc>
        <w:tc>
          <w:tcPr>
            <w:tcW w:w="600" w:type="pct"/>
            <w:shd w:val="clear" w:color="auto" w:fill="auto"/>
            <w:noWrap w:val="0"/>
            <w:tcMar>
              <w:top w:w="0" w:type="dxa"/>
              <w:left w:w="28" w:type="dxa"/>
              <w:bottom w:w="0" w:type="dxa"/>
              <w:right w:w="28" w:type="dxa"/>
            </w:tcMar>
            <w:vAlign w:val="center"/>
          </w:tcPr>
          <w:p w14:paraId="7A5DA103">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auto"/>
                <w:kern w:val="0"/>
                <w:sz w:val="21"/>
                <w:szCs w:val="21"/>
                <w:highlight w:val="none"/>
                <w:u w:val="none"/>
                <w:lang w:val="en-US" w:eastAsia="zh-CN" w:bidi="ar-SA"/>
              </w:rPr>
            </w:pPr>
            <w:r>
              <w:rPr>
                <w:rFonts w:hint="eastAsia" w:ascii="Times New Roman" w:hAnsi="Times New Roman" w:eastAsia="宋体" w:cs="Times New Roman"/>
                <w:color w:val="auto"/>
                <w:kern w:val="0"/>
                <w:sz w:val="21"/>
                <w:szCs w:val="21"/>
                <w:highlight w:val="none"/>
                <w:u w:val="none"/>
              </w:rPr>
              <w:t>0.00E+00</w:t>
            </w:r>
          </w:p>
        </w:tc>
        <w:tc>
          <w:tcPr>
            <w:tcW w:w="600" w:type="pct"/>
            <w:shd w:val="clear" w:color="auto" w:fill="auto"/>
            <w:noWrap w:val="0"/>
            <w:tcMar>
              <w:top w:w="0" w:type="dxa"/>
              <w:left w:w="28" w:type="dxa"/>
              <w:bottom w:w="0" w:type="dxa"/>
              <w:right w:w="28" w:type="dxa"/>
            </w:tcMar>
            <w:vAlign w:val="center"/>
          </w:tcPr>
          <w:p w14:paraId="47DFB399">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auto"/>
                <w:kern w:val="0"/>
                <w:sz w:val="21"/>
                <w:szCs w:val="21"/>
                <w:highlight w:val="none"/>
                <w:u w:val="none"/>
                <w:lang w:val="en-US" w:eastAsia="zh-CN" w:bidi="ar-SA"/>
              </w:rPr>
            </w:pPr>
            <w:r>
              <w:rPr>
                <w:rFonts w:hint="eastAsia" w:ascii="Times New Roman" w:hAnsi="Times New Roman" w:eastAsia="宋体" w:cs="Times New Roman"/>
                <w:color w:val="auto"/>
                <w:kern w:val="0"/>
                <w:sz w:val="21"/>
                <w:szCs w:val="21"/>
                <w:highlight w:val="none"/>
                <w:u w:val="none"/>
              </w:rPr>
              <w:t>0.00E+00</w:t>
            </w:r>
          </w:p>
        </w:tc>
        <w:tc>
          <w:tcPr>
            <w:tcW w:w="600" w:type="pct"/>
            <w:shd w:val="clear" w:color="auto" w:fill="auto"/>
            <w:noWrap w:val="0"/>
            <w:tcMar>
              <w:top w:w="0" w:type="dxa"/>
              <w:left w:w="28" w:type="dxa"/>
              <w:bottom w:w="0" w:type="dxa"/>
              <w:right w:w="28" w:type="dxa"/>
            </w:tcMar>
            <w:vAlign w:val="center"/>
          </w:tcPr>
          <w:p w14:paraId="60B9BB67">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auto"/>
                <w:kern w:val="0"/>
                <w:sz w:val="21"/>
                <w:szCs w:val="21"/>
                <w:highlight w:val="none"/>
                <w:u w:val="none"/>
                <w:lang w:val="en-US" w:eastAsia="zh-CN" w:bidi="ar-SA"/>
              </w:rPr>
            </w:pPr>
            <w:r>
              <w:rPr>
                <w:rFonts w:hint="eastAsia" w:ascii="Times New Roman" w:hAnsi="Times New Roman" w:eastAsia="宋体" w:cs="Times New Roman"/>
                <w:color w:val="auto"/>
                <w:kern w:val="0"/>
                <w:sz w:val="21"/>
                <w:szCs w:val="21"/>
                <w:highlight w:val="none"/>
                <w:u w:val="none"/>
              </w:rPr>
              <w:t>0.00E+00</w:t>
            </w:r>
          </w:p>
        </w:tc>
        <w:tc>
          <w:tcPr>
            <w:tcW w:w="600" w:type="pct"/>
            <w:shd w:val="clear" w:color="auto" w:fill="auto"/>
            <w:noWrap w:val="0"/>
            <w:tcMar>
              <w:top w:w="0" w:type="dxa"/>
              <w:left w:w="28" w:type="dxa"/>
              <w:bottom w:w="0" w:type="dxa"/>
              <w:right w:w="28" w:type="dxa"/>
            </w:tcMar>
            <w:vAlign w:val="center"/>
          </w:tcPr>
          <w:p w14:paraId="004F8109">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auto"/>
                <w:kern w:val="0"/>
                <w:sz w:val="21"/>
                <w:szCs w:val="21"/>
                <w:highlight w:val="none"/>
                <w:u w:val="none"/>
                <w:lang w:val="en-US" w:eastAsia="zh-CN" w:bidi="ar-SA"/>
              </w:rPr>
            </w:pPr>
            <w:r>
              <w:rPr>
                <w:rFonts w:hint="eastAsia" w:ascii="Times New Roman" w:hAnsi="Times New Roman" w:eastAsia="宋体" w:cs="Times New Roman"/>
                <w:color w:val="auto"/>
                <w:kern w:val="0"/>
                <w:sz w:val="21"/>
                <w:szCs w:val="21"/>
                <w:highlight w:val="none"/>
                <w:u w:val="none"/>
              </w:rPr>
              <w:t>0.00E+00</w:t>
            </w:r>
          </w:p>
        </w:tc>
        <w:tc>
          <w:tcPr>
            <w:tcW w:w="600" w:type="pct"/>
            <w:shd w:val="clear" w:color="auto" w:fill="auto"/>
            <w:noWrap w:val="0"/>
            <w:tcMar>
              <w:top w:w="0" w:type="dxa"/>
              <w:left w:w="28" w:type="dxa"/>
              <w:bottom w:w="0" w:type="dxa"/>
              <w:right w:w="28" w:type="dxa"/>
            </w:tcMar>
            <w:vAlign w:val="center"/>
          </w:tcPr>
          <w:p w14:paraId="1CB481FF">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auto"/>
                <w:kern w:val="0"/>
                <w:sz w:val="21"/>
                <w:szCs w:val="21"/>
                <w:highlight w:val="none"/>
                <w:u w:val="none"/>
                <w:lang w:val="en-US" w:eastAsia="zh-CN" w:bidi="ar-SA"/>
              </w:rPr>
            </w:pPr>
            <w:r>
              <w:rPr>
                <w:rFonts w:hint="eastAsia" w:ascii="Times New Roman" w:hAnsi="Times New Roman" w:eastAsia="宋体" w:cs="Times New Roman"/>
                <w:color w:val="auto"/>
                <w:kern w:val="0"/>
                <w:sz w:val="21"/>
                <w:szCs w:val="21"/>
                <w:highlight w:val="none"/>
                <w:u w:val="none"/>
              </w:rPr>
              <w:t>0.00E+00</w:t>
            </w:r>
          </w:p>
        </w:tc>
        <w:tc>
          <w:tcPr>
            <w:tcW w:w="600" w:type="pct"/>
            <w:shd w:val="clear" w:color="auto" w:fill="auto"/>
            <w:noWrap w:val="0"/>
            <w:tcMar>
              <w:top w:w="0" w:type="dxa"/>
              <w:left w:w="28" w:type="dxa"/>
              <w:bottom w:w="0" w:type="dxa"/>
              <w:right w:w="28" w:type="dxa"/>
            </w:tcMar>
            <w:vAlign w:val="center"/>
          </w:tcPr>
          <w:p w14:paraId="1A83FB28">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auto"/>
                <w:kern w:val="0"/>
                <w:sz w:val="21"/>
                <w:szCs w:val="21"/>
                <w:highlight w:val="none"/>
                <w:u w:val="none"/>
                <w:lang w:val="en-US" w:eastAsia="zh-CN" w:bidi="ar-SA"/>
              </w:rPr>
            </w:pPr>
            <w:r>
              <w:rPr>
                <w:rFonts w:hint="eastAsia" w:ascii="Times New Roman" w:hAnsi="Times New Roman" w:eastAsia="宋体" w:cs="Times New Roman"/>
                <w:color w:val="auto"/>
                <w:kern w:val="0"/>
                <w:sz w:val="21"/>
                <w:szCs w:val="21"/>
                <w:highlight w:val="none"/>
                <w:u w:val="none"/>
              </w:rPr>
              <w:t>0.00E+00</w:t>
            </w:r>
          </w:p>
        </w:tc>
      </w:tr>
      <w:tr w14:paraId="1EB30D6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95" w:type="pct"/>
            <w:noWrap w:val="0"/>
            <w:tcMar>
              <w:top w:w="0" w:type="dxa"/>
              <w:left w:w="28" w:type="dxa"/>
              <w:bottom w:w="0" w:type="dxa"/>
              <w:right w:w="28" w:type="dxa"/>
            </w:tcMar>
            <w:vAlign w:val="center"/>
          </w:tcPr>
          <w:p w14:paraId="7D202472">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auto"/>
                <w:kern w:val="0"/>
                <w:sz w:val="21"/>
                <w:szCs w:val="21"/>
                <w:highlight w:val="none"/>
                <w:u w:val="none"/>
              </w:rPr>
            </w:pPr>
            <w:r>
              <w:rPr>
                <w:rFonts w:ascii="Times New Roman" w:hAnsi="Times New Roman" w:eastAsia="宋体" w:cs="Times New Roman"/>
                <w:color w:val="auto"/>
                <w:kern w:val="0"/>
                <w:sz w:val="21"/>
                <w:szCs w:val="21"/>
                <w:highlight w:val="none"/>
                <w:u w:val="none"/>
              </w:rPr>
              <w:t>（100</w:t>
            </w:r>
            <w:r>
              <w:rPr>
                <w:rFonts w:hint="eastAsia" w:ascii="Times New Roman" w:hAnsi="Times New Roman" w:eastAsia="宋体" w:cs="Times New Roman"/>
                <w:color w:val="auto"/>
                <w:kern w:val="0"/>
                <w:sz w:val="21"/>
                <w:szCs w:val="21"/>
                <w:highlight w:val="none"/>
                <w:u w:val="none"/>
                <w:lang w:eastAsia="zh-CN"/>
              </w:rPr>
              <w:t>，</w:t>
            </w:r>
            <w:r>
              <w:rPr>
                <w:rFonts w:ascii="Times New Roman" w:hAnsi="Times New Roman" w:eastAsia="宋体" w:cs="Times New Roman"/>
                <w:color w:val="auto"/>
                <w:kern w:val="0"/>
                <w:sz w:val="21"/>
                <w:szCs w:val="21"/>
                <w:highlight w:val="none"/>
                <w:u w:val="none"/>
              </w:rPr>
              <w:t>100）</w:t>
            </w:r>
          </w:p>
        </w:tc>
        <w:tc>
          <w:tcPr>
            <w:tcW w:w="600" w:type="pct"/>
            <w:shd w:val="clear" w:color="auto" w:fill="auto"/>
            <w:noWrap w:val="0"/>
            <w:tcMar>
              <w:top w:w="0" w:type="dxa"/>
              <w:left w:w="28" w:type="dxa"/>
              <w:bottom w:w="0" w:type="dxa"/>
              <w:right w:w="28" w:type="dxa"/>
            </w:tcMar>
            <w:vAlign w:val="center"/>
          </w:tcPr>
          <w:p w14:paraId="4CF9ED13">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auto"/>
                <w:kern w:val="0"/>
                <w:sz w:val="21"/>
                <w:szCs w:val="21"/>
                <w:highlight w:val="none"/>
                <w:u w:val="none"/>
                <w:lang w:val="en-US" w:eastAsia="zh-CN" w:bidi="ar-SA"/>
              </w:rPr>
            </w:pPr>
            <w:r>
              <w:rPr>
                <w:rFonts w:hint="eastAsia" w:ascii="Times New Roman" w:hAnsi="Times New Roman" w:eastAsia="宋体" w:cs="Times New Roman"/>
                <w:color w:val="auto"/>
                <w:kern w:val="0"/>
                <w:sz w:val="21"/>
                <w:szCs w:val="21"/>
                <w:highlight w:val="none"/>
                <w:u w:val="none"/>
              </w:rPr>
              <w:t>0.00E+00</w:t>
            </w:r>
          </w:p>
        </w:tc>
        <w:tc>
          <w:tcPr>
            <w:tcW w:w="600" w:type="pct"/>
            <w:shd w:val="clear" w:color="auto" w:fill="auto"/>
            <w:noWrap w:val="0"/>
            <w:tcMar>
              <w:top w:w="0" w:type="dxa"/>
              <w:left w:w="28" w:type="dxa"/>
              <w:bottom w:w="0" w:type="dxa"/>
              <w:right w:w="28" w:type="dxa"/>
            </w:tcMar>
            <w:vAlign w:val="center"/>
          </w:tcPr>
          <w:p w14:paraId="7CA1DF42">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auto"/>
                <w:kern w:val="0"/>
                <w:sz w:val="21"/>
                <w:szCs w:val="21"/>
                <w:highlight w:val="none"/>
                <w:u w:val="none"/>
                <w:lang w:val="en-US" w:eastAsia="zh-CN" w:bidi="ar-SA"/>
              </w:rPr>
            </w:pPr>
            <w:r>
              <w:rPr>
                <w:rFonts w:hint="eastAsia" w:ascii="Times New Roman" w:hAnsi="Times New Roman" w:eastAsia="宋体" w:cs="Times New Roman"/>
                <w:color w:val="auto"/>
                <w:kern w:val="0"/>
                <w:sz w:val="21"/>
                <w:szCs w:val="21"/>
                <w:highlight w:val="none"/>
                <w:u w:val="none"/>
              </w:rPr>
              <w:t>0.00E+00</w:t>
            </w:r>
          </w:p>
        </w:tc>
        <w:tc>
          <w:tcPr>
            <w:tcW w:w="600" w:type="pct"/>
            <w:shd w:val="clear" w:color="auto" w:fill="auto"/>
            <w:noWrap w:val="0"/>
            <w:tcMar>
              <w:top w:w="0" w:type="dxa"/>
              <w:left w:w="28" w:type="dxa"/>
              <w:bottom w:w="0" w:type="dxa"/>
              <w:right w:w="28" w:type="dxa"/>
            </w:tcMar>
            <w:vAlign w:val="center"/>
          </w:tcPr>
          <w:p w14:paraId="4B659932">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auto"/>
                <w:kern w:val="0"/>
                <w:sz w:val="21"/>
                <w:szCs w:val="21"/>
                <w:highlight w:val="none"/>
                <w:u w:val="none"/>
                <w:lang w:val="en-US" w:eastAsia="zh-CN" w:bidi="ar-SA"/>
              </w:rPr>
            </w:pPr>
            <w:r>
              <w:rPr>
                <w:rFonts w:hint="eastAsia" w:ascii="Times New Roman" w:hAnsi="Times New Roman" w:eastAsia="宋体" w:cs="Times New Roman"/>
                <w:color w:val="auto"/>
                <w:kern w:val="0"/>
                <w:sz w:val="21"/>
                <w:szCs w:val="21"/>
                <w:highlight w:val="none"/>
                <w:u w:val="none"/>
              </w:rPr>
              <w:t>0.00E+00</w:t>
            </w:r>
          </w:p>
        </w:tc>
        <w:tc>
          <w:tcPr>
            <w:tcW w:w="600" w:type="pct"/>
            <w:shd w:val="clear" w:color="auto" w:fill="auto"/>
            <w:noWrap w:val="0"/>
            <w:tcMar>
              <w:top w:w="0" w:type="dxa"/>
              <w:left w:w="28" w:type="dxa"/>
              <w:bottom w:w="0" w:type="dxa"/>
              <w:right w:w="28" w:type="dxa"/>
            </w:tcMar>
            <w:vAlign w:val="center"/>
          </w:tcPr>
          <w:p w14:paraId="039A6C91">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auto"/>
                <w:kern w:val="0"/>
                <w:sz w:val="21"/>
                <w:szCs w:val="21"/>
                <w:highlight w:val="none"/>
                <w:u w:val="none"/>
                <w:lang w:val="en-US" w:eastAsia="zh-CN" w:bidi="ar-SA"/>
              </w:rPr>
            </w:pPr>
            <w:r>
              <w:rPr>
                <w:rFonts w:hint="eastAsia" w:ascii="Times New Roman" w:hAnsi="Times New Roman" w:eastAsia="宋体" w:cs="Times New Roman"/>
                <w:color w:val="auto"/>
                <w:kern w:val="0"/>
                <w:sz w:val="21"/>
                <w:szCs w:val="21"/>
                <w:highlight w:val="none"/>
                <w:u w:val="none"/>
              </w:rPr>
              <w:t>0.00E+00</w:t>
            </w:r>
          </w:p>
        </w:tc>
        <w:tc>
          <w:tcPr>
            <w:tcW w:w="600" w:type="pct"/>
            <w:shd w:val="clear" w:color="auto" w:fill="auto"/>
            <w:noWrap w:val="0"/>
            <w:tcMar>
              <w:top w:w="0" w:type="dxa"/>
              <w:left w:w="28" w:type="dxa"/>
              <w:bottom w:w="0" w:type="dxa"/>
              <w:right w:w="28" w:type="dxa"/>
            </w:tcMar>
            <w:vAlign w:val="center"/>
          </w:tcPr>
          <w:p w14:paraId="76ED0EAF">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auto"/>
                <w:kern w:val="0"/>
                <w:sz w:val="21"/>
                <w:szCs w:val="21"/>
                <w:highlight w:val="none"/>
                <w:u w:val="none"/>
                <w:lang w:val="en-US" w:eastAsia="zh-CN" w:bidi="ar-SA"/>
              </w:rPr>
            </w:pPr>
            <w:r>
              <w:rPr>
                <w:rFonts w:hint="eastAsia" w:ascii="Times New Roman" w:hAnsi="Times New Roman" w:eastAsia="宋体" w:cs="Times New Roman"/>
                <w:color w:val="auto"/>
                <w:kern w:val="0"/>
                <w:sz w:val="21"/>
                <w:szCs w:val="21"/>
                <w:highlight w:val="none"/>
                <w:u w:val="none"/>
              </w:rPr>
              <w:t>0.00E+00</w:t>
            </w:r>
          </w:p>
        </w:tc>
        <w:tc>
          <w:tcPr>
            <w:tcW w:w="600" w:type="pct"/>
            <w:shd w:val="clear" w:color="auto" w:fill="auto"/>
            <w:noWrap w:val="0"/>
            <w:tcMar>
              <w:top w:w="0" w:type="dxa"/>
              <w:left w:w="28" w:type="dxa"/>
              <w:bottom w:w="0" w:type="dxa"/>
              <w:right w:w="28" w:type="dxa"/>
            </w:tcMar>
            <w:vAlign w:val="center"/>
          </w:tcPr>
          <w:p w14:paraId="5E68C7D3">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auto"/>
                <w:kern w:val="0"/>
                <w:sz w:val="21"/>
                <w:szCs w:val="21"/>
                <w:highlight w:val="none"/>
                <w:u w:val="none"/>
                <w:lang w:val="en-US" w:eastAsia="zh-CN" w:bidi="ar-SA"/>
              </w:rPr>
            </w:pPr>
            <w:r>
              <w:rPr>
                <w:rFonts w:hint="eastAsia" w:ascii="Times New Roman" w:hAnsi="Times New Roman" w:eastAsia="宋体" w:cs="Times New Roman"/>
                <w:color w:val="auto"/>
                <w:kern w:val="0"/>
                <w:sz w:val="21"/>
                <w:szCs w:val="21"/>
                <w:highlight w:val="none"/>
                <w:u w:val="none"/>
              </w:rPr>
              <w:t>0.00E+00</w:t>
            </w:r>
          </w:p>
        </w:tc>
        <w:tc>
          <w:tcPr>
            <w:tcW w:w="600" w:type="pct"/>
            <w:shd w:val="clear" w:color="auto" w:fill="auto"/>
            <w:noWrap w:val="0"/>
            <w:tcMar>
              <w:top w:w="0" w:type="dxa"/>
              <w:left w:w="28" w:type="dxa"/>
              <w:bottom w:w="0" w:type="dxa"/>
              <w:right w:w="28" w:type="dxa"/>
            </w:tcMar>
            <w:vAlign w:val="center"/>
          </w:tcPr>
          <w:p w14:paraId="09DD810D">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auto"/>
                <w:kern w:val="0"/>
                <w:sz w:val="21"/>
                <w:szCs w:val="21"/>
                <w:highlight w:val="none"/>
                <w:u w:val="none"/>
                <w:lang w:val="en-US" w:eastAsia="zh-CN" w:bidi="ar-SA"/>
              </w:rPr>
            </w:pPr>
            <w:r>
              <w:rPr>
                <w:rFonts w:hint="eastAsia" w:ascii="Times New Roman" w:hAnsi="Times New Roman" w:eastAsia="宋体" w:cs="Times New Roman"/>
                <w:color w:val="auto"/>
                <w:kern w:val="0"/>
                <w:sz w:val="21"/>
                <w:szCs w:val="21"/>
                <w:highlight w:val="none"/>
                <w:u w:val="none"/>
              </w:rPr>
              <w:t>0.00E+00</w:t>
            </w:r>
          </w:p>
        </w:tc>
      </w:tr>
      <w:tr w14:paraId="162D403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95" w:type="pct"/>
            <w:noWrap w:val="0"/>
            <w:tcMar>
              <w:top w:w="0" w:type="dxa"/>
              <w:left w:w="28" w:type="dxa"/>
              <w:bottom w:w="0" w:type="dxa"/>
              <w:right w:w="28" w:type="dxa"/>
            </w:tcMar>
            <w:vAlign w:val="center"/>
          </w:tcPr>
          <w:p w14:paraId="2C082018">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auto"/>
                <w:kern w:val="0"/>
                <w:sz w:val="21"/>
                <w:szCs w:val="21"/>
                <w:highlight w:val="none"/>
                <w:u w:val="none"/>
              </w:rPr>
            </w:pPr>
            <w:r>
              <w:rPr>
                <w:rFonts w:ascii="Times New Roman" w:hAnsi="Times New Roman" w:eastAsia="宋体" w:cs="Times New Roman"/>
                <w:color w:val="auto"/>
                <w:kern w:val="0"/>
                <w:sz w:val="21"/>
                <w:szCs w:val="21"/>
                <w:highlight w:val="none"/>
                <w:u w:val="none"/>
              </w:rPr>
              <w:t>（200</w:t>
            </w:r>
            <w:r>
              <w:rPr>
                <w:rFonts w:hint="eastAsia" w:ascii="Times New Roman" w:hAnsi="Times New Roman" w:eastAsia="宋体" w:cs="Times New Roman"/>
                <w:color w:val="auto"/>
                <w:kern w:val="0"/>
                <w:sz w:val="21"/>
                <w:szCs w:val="21"/>
                <w:highlight w:val="none"/>
                <w:u w:val="none"/>
                <w:lang w:eastAsia="zh-CN"/>
              </w:rPr>
              <w:t>，</w:t>
            </w:r>
            <w:r>
              <w:rPr>
                <w:rFonts w:ascii="Times New Roman" w:hAnsi="Times New Roman" w:eastAsia="宋体" w:cs="Times New Roman"/>
                <w:color w:val="auto"/>
                <w:kern w:val="0"/>
                <w:sz w:val="21"/>
                <w:szCs w:val="21"/>
                <w:highlight w:val="none"/>
                <w:u w:val="none"/>
              </w:rPr>
              <w:t>200）</w:t>
            </w:r>
          </w:p>
        </w:tc>
        <w:tc>
          <w:tcPr>
            <w:tcW w:w="600" w:type="pct"/>
            <w:shd w:val="clear" w:color="auto" w:fill="auto"/>
            <w:noWrap w:val="0"/>
            <w:tcMar>
              <w:top w:w="0" w:type="dxa"/>
              <w:left w:w="28" w:type="dxa"/>
              <w:bottom w:w="0" w:type="dxa"/>
              <w:right w:w="28" w:type="dxa"/>
            </w:tcMar>
            <w:vAlign w:val="center"/>
          </w:tcPr>
          <w:p w14:paraId="1D173B81">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auto"/>
                <w:kern w:val="0"/>
                <w:sz w:val="21"/>
                <w:szCs w:val="21"/>
                <w:highlight w:val="none"/>
                <w:u w:val="none"/>
                <w:lang w:val="en-US" w:eastAsia="zh-CN" w:bidi="ar-SA"/>
              </w:rPr>
            </w:pPr>
            <w:r>
              <w:rPr>
                <w:rFonts w:hint="eastAsia" w:ascii="Times New Roman" w:hAnsi="Times New Roman" w:eastAsia="宋体" w:cs="Times New Roman"/>
                <w:color w:val="auto"/>
                <w:kern w:val="0"/>
                <w:sz w:val="21"/>
                <w:szCs w:val="21"/>
                <w:highlight w:val="none"/>
                <w:u w:val="none"/>
              </w:rPr>
              <w:t>0.00E+00</w:t>
            </w:r>
          </w:p>
        </w:tc>
        <w:tc>
          <w:tcPr>
            <w:tcW w:w="600" w:type="pct"/>
            <w:shd w:val="clear" w:color="auto" w:fill="auto"/>
            <w:noWrap w:val="0"/>
            <w:tcMar>
              <w:top w:w="0" w:type="dxa"/>
              <w:left w:w="28" w:type="dxa"/>
              <w:bottom w:w="0" w:type="dxa"/>
              <w:right w:w="28" w:type="dxa"/>
            </w:tcMar>
            <w:vAlign w:val="center"/>
          </w:tcPr>
          <w:p w14:paraId="7A2B9AD1">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auto"/>
                <w:kern w:val="0"/>
                <w:sz w:val="21"/>
                <w:szCs w:val="21"/>
                <w:highlight w:val="none"/>
                <w:u w:val="none"/>
                <w:lang w:val="en-US" w:eastAsia="zh-CN" w:bidi="ar-SA"/>
              </w:rPr>
            </w:pPr>
            <w:r>
              <w:rPr>
                <w:rFonts w:hint="eastAsia" w:ascii="Times New Roman" w:hAnsi="Times New Roman" w:eastAsia="宋体" w:cs="Times New Roman"/>
                <w:color w:val="auto"/>
                <w:kern w:val="0"/>
                <w:sz w:val="21"/>
                <w:szCs w:val="21"/>
                <w:highlight w:val="none"/>
                <w:u w:val="none"/>
              </w:rPr>
              <w:t>0.00E+00</w:t>
            </w:r>
          </w:p>
        </w:tc>
        <w:tc>
          <w:tcPr>
            <w:tcW w:w="600" w:type="pct"/>
            <w:shd w:val="clear" w:color="auto" w:fill="auto"/>
            <w:noWrap w:val="0"/>
            <w:tcMar>
              <w:top w:w="0" w:type="dxa"/>
              <w:left w:w="28" w:type="dxa"/>
              <w:bottom w:w="0" w:type="dxa"/>
              <w:right w:w="28" w:type="dxa"/>
            </w:tcMar>
            <w:vAlign w:val="center"/>
          </w:tcPr>
          <w:p w14:paraId="37556D72">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auto"/>
                <w:kern w:val="0"/>
                <w:sz w:val="21"/>
                <w:szCs w:val="21"/>
                <w:highlight w:val="none"/>
                <w:u w:val="none"/>
                <w:lang w:val="en-US" w:eastAsia="zh-CN" w:bidi="ar-SA"/>
              </w:rPr>
            </w:pPr>
            <w:r>
              <w:rPr>
                <w:rFonts w:hint="eastAsia" w:ascii="Times New Roman" w:hAnsi="Times New Roman" w:eastAsia="宋体" w:cs="Times New Roman"/>
                <w:color w:val="auto"/>
                <w:kern w:val="0"/>
                <w:sz w:val="21"/>
                <w:szCs w:val="21"/>
                <w:highlight w:val="none"/>
                <w:u w:val="none"/>
              </w:rPr>
              <w:t>0.00E+00</w:t>
            </w:r>
          </w:p>
        </w:tc>
        <w:tc>
          <w:tcPr>
            <w:tcW w:w="600" w:type="pct"/>
            <w:shd w:val="clear" w:color="auto" w:fill="auto"/>
            <w:noWrap w:val="0"/>
            <w:tcMar>
              <w:top w:w="0" w:type="dxa"/>
              <w:left w:w="28" w:type="dxa"/>
              <w:bottom w:w="0" w:type="dxa"/>
              <w:right w:w="28" w:type="dxa"/>
            </w:tcMar>
            <w:vAlign w:val="center"/>
          </w:tcPr>
          <w:p w14:paraId="02B3F1C9">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auto"/>
                <w:kern w:val="0"/>
                <w:sz w:val="21"/>
                <w:szCs w:val="21"/>
                <w:highlight w:val="none"/>
                <w:u w:val="none"/>
                <w:lang w:val="en-US" w:eastAsia="zh-CN" w:bidi="ar-SA"/>
              </w:rPr>
            </w:pPr>
            <w:r>
              <w:rPr>
                <w:rFonts w:hint="eastAsia" w:ascii="Times New Roman" w:hAnsi="Times New Roman" w:eastAsia="宋体" w:cs="Times New Roman"/>
                <w:color w:val="auto"/>
                <w:kern w:val="0"/>
                <w:sz w:val="21"/>
                <w:szCs w:val="21"/>
                <w:highlight w:val="none"/>
                <w:u w:val="none"/>
              </w:rPr>
              <w:t>0.00E+00</w:t>
            </w:r>
          </w:p>
        </w:tc>
        <w:tc>
          <w:tcPr>
            <w:tcW w:w="600" w:type="pct"/>
            <w:shd w:val="clear" w:color="auto" w:fill="auto"/>
            <w:noWrap w:val="0"/>
            <w:tcMar>
              <w:top w:w="0" w:type="dxa"/>
              <w:left w:w="28" w:type="dxa"/>
              <w:bottom w:w="0" w:type="dxa"/>
              <w:right w:w="28" w:type="dxa"/>
            </w:tcMar>
            <w:vAlign w:val="center"/>
          </w:tcPr>
          <w:p w14:paraId="329455F6">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auto"/>
                <w:kern w:val="0"/>
                <w:sz w:val="21"/>
                <w:szCs w:val="21"/>
                <w:highlight w:val="none"/>
                <w:u w:val="none"/>
                <w:lang w:val="en-US" w:eastAsia="zh-CN" w:bidi="ar-SA"/>
              </w:rPr>
            </w:pPr>
            <w:r>
              <w:rPr>
                <w:rFonts w:hint="eastAsia" w:ascii="Times New Roman" w:hAnsi="Times New Roman" w:eastAsia="宋体" w:cs="Times New Roman"/>
                <w:color w:val="auto"/>
                <w:kern w:val="0"/>
                <w:sz w:val="21"/>
                <w:szCs w:val="21"/>
                <w:highlight w:val="none"/>
                <w:u w:val="none"/>
              </w:rPr>
              <w:t>0.00E+00</w:t>
            </w:r>
          </w:p>
        </w:tc>
        <w:tc>
          <w:tcPr>
            <w:tcW w:w="600" w:type="pct"/>
            <w:shd w:val="clear" w:color="auto" w:fill="auto"/>
            <w:noWrap w:val="0"/>
            <w:tcMar>
              <w:top w:w="0" w:type="dxa"/>
              <w:left w:w="28" w:type="dxa"/>
              <w:bottom w:w="0" w:type="dxa"/>
              <w:right w:w="28" w:type="dxa"/>
            </w:tcMar>
            <w:vAlign w:val="center"/>
          </w:tcPr>
          <w:p w14:paraId="5D08AE00">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auto"/>
                <w:kern w:val="0"/>
                <w:sz w:val="21"/>
                <w:szCs w:val="21"/>
                <w:highlight w:val="none"/>
                <w:u w:val="none"/>
                <w:lang w:val="en-US" w:eastAsia="zh-CN" w:bidi="ar-SA"/>
              </w:rPr>
            </w:pPr>
            <w:r>
              <w:rPr>
                <w:rFonts w:hint="eastAsia" w:ascii="Times New Roman" w:hAnsi="Times New Roman" w:eastAsia="宋体" w:cs="Times New Roman"/>
                <w:color w:val="auto"/>
                <w:kern w:val="0"/>
                <w:sz w:val="21"/>
                <w:szCs w:val="21"/>
                <w:highlight w:val="none"/>
                <w:u w:val="none"/>
              </w:rPr>
              <w:t>0.00E+00</w:t>
            </w:r>
          </w:p>
        </w:tc>
        <w:tc>
          <w:tcPr>
            <w:tcW w:w="600" w:type="pct"/>
            <w:shd w:val="clear" w:color="auto" w:fill="auto"/>
            <w:noWrap w:val="0"/>
            <w:tcMar>
              <w:top w:w="0" w:type="dxa"/>
              <w:left w:w="28" w:type="dxa"/>
              <w:bottom w:w="0" w:type="dxa"/>
              <w:right w:w="28" w:type="dxa"/>
            </w:tcMar>
            <w:vAlign w:val="center"/>
          </w:tcPr>
          <w:p w14:paraId="3297F01C">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auto"/>
                <w:kern w:val="0"/>
                <w:sz w:val="21"/>
                <w:szCs w:val="21"/>
                <w:highlight w:val="none"/>
                <w:u w:val="none"/>
                <w:lang w:val="en-US" w:eastAsia="zh-CN" w:bidi="ar-SA"/>
              </w:rPr>
            </w:pPr>
            <w:r>
              <w:rPr>
                <w:rFonts w:hint="eastAsia" w:ascii="Times New Roman" w:hAnsi="Times New Roman" w:eastAsia="宋体" w:cs="Times New Roman"/>
                <w:color w:val="auto"/>
                <w:kern w:val="0"/>
                <w:sz w:val="21"/>
                <w:szCs w:val="21"/>
                <w:highlight w:val="none"/>
                <w:u w:val="none"/>
              </w:rPr>
              <w:t>0.00E+00</w:t>
            </w:r>
          </w:p>
        </w:tc>
      </w:tr>
      <w:tr w14:paraId="7BD7367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95" w:type="pct"/>
            <w:noWrap w:val="0"/>
            <w:tcMar>
              <w:top w:w="0" w:type="dxa"/>
              <w:left w:w="28" w:type="dxa"/>
              <w:bottom w:w="0" w:type="dxa"/>
              <w:right w:w="28" w:type="dxa"/>
            </w:tcMar>
            <w:vAlign w:val="center"/>
          </w:tcPr>
          <w:p w14:paraId="3EFB32D8">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auto"/>
                <w:kern w:val="0"/>
                <w:sz w:val="21"/>
                <w:szCs w:val="21"/>
                <w:highlight w:val="none"/>
                <w:u w:val="none"/>
              </w:rPr>
            </w:pPr>
            <w:r>
              <w:rPr>
                <w:rFonts w:ascii="Times New Roman" w:hAnsi="Times New Roman" w:eastAsia="宋体" w:cs="Times New Roman"/>
                <w:color w:val="auto"/>
                <w:kern w:val="0"/>
                <w:sz w:val="21"/>
                <w:szCs w:val="21"/>
                <w:highlight w:val="none"/>
                <w:u w:val="none"/>
              </w:rPr>
              <w:t>（300</w:t>
            </w:r>
            <w:r>
              <w:rPr>
                <w:rFonts w:hint="eastAsia" w:ascii="Times New Roman" w:hAnsi="Times New Roman" w:eastAsia="宋体" w:cs="Times New Roman"/>
                <w:color w:val="auto"/>
                <w:kern w:val="0"/>
                <w:sz w:val="21"/>
                <w:szCs w:val="21"/>
                <w:highlight w:val="none"/>
                <w:u w:val="none"/>
                <w:lang w:eastAsia="zh-CN"/>
              </w:rPr>
              <w:t>，</w:t>
            </w:r>
            <w:r>
              <w:rPr>
                <w:rFonts w:ascii="Times New Roman" w:hAnsi="Times New Roman" w:eastAsia="宋体" w:cs="Times New Roman"/>
                <w:color w:val="auto"/>
                <w:kern w:val="0"/>
                <w:sz w:val="21"/>
                <w:szCs w:val="21"/>
                <w:highlight w:val="none"/>
                <w:u w:val="none"/>
              </w:rPr>
              <w:t>300）</w:t>
            </w:r>
          </w:p>
        </w:tc>
        <w:tc>
          <w:tcPr>
            <w:tcW w:w="600" w:type="pct"/>
            <w:shd w:val="clear" w:color="auto" w:fill="auto"/>
            <w:noWrap w:val="0"/>
            <w:tcMar>
              <w:top w:w="0" w:type="dxa"/>
              <w:left w:w="28" w:type="dxa"/>
              <w:bottom w:w="0" w:type="dxa"/>
              <w:right w:w="28" w:type="dxa"/>
            </w:tcMar>
            <w:vAlign w:val="center"/>
          </w:tcPr>
          <w:p w14:paraId="000A5DF1">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auto"/>
                <w:kern w:val="0"/>
                <w:sz w:val="21"/>
                <w:szCs w:val="21"/>
                <w:highlight w:val="none"/>
                <w:u w:val="none"/>
                <w:lang w:val="en-US" w:eastAsia="zh-CN" w:bidi="ar-SA"/>
              </w:rPr>
            </w:pPr>
            <w:r>
              <w:rPr>
                <w:rFonts w:hint="eastAsia" w:ascii="Times New Roman" w:hAnsi="Times New Roman" w:eastAsia="宋体" w:cs="Times New Roman"/>
                <w:color w:val="auto"/>
                <w:kern w:val="0"/>
                <w:sz w:val="21"/>
                <w:szCs w:val="21"/>
                <w:highlight w:val="none"/>
                <w:u w:val="none"/>
              </w:rPr>
              <w:t>0.00E+00</w:t>
            </w:r>
          </w:p>
        </w:tc>
        <w:tc>
          <w:tcPr>
            <w:tcW w:w="600" w:type="pct"/>
            <w:shd w:val="clear" w:color="auto" w:fill="auto"/>
            <w:noWrap w:val="0"/>
            <w:tcMar>
              <w:top w:w="0" w:type="dxa"/>
              <w:left w:w="28" w:type="dxa"/>
              <w:bottom w:w="0" w:type="dxa"/>
              <w:right w:w="28" w:type="dxa"/>
            </w:tcMar>
            <w:vAlign w:val="center"/>
          </w:tcPr>
          <w:p w14:paraId="7D91B914">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auto"/>
                <w:kern w:val="0"/>
                <w:sz w:val="21"/>
                <w:szCs w:val="21"/>
                <w:highlight w:val="none"/>
                <w:u w:val="none"/>
                <w:lang w:val="en-US" w:eastAsia="zh-CN" w:bidi="ar-SA"/>
              </w:rPr>
            </w:pPr>
            <w:r>
              <w:rPr>
                <w:rFonts w:hint="eastAsia" w:ascii="Times New Roman" w:hAnsi="Times New Roman" w:eastAsia="宋体" w:cs="Times New Roman"/>
                <w:color w:val="auto"/>
                <w:kern w:val="0"/>
                <w:sz w:val="21"/>
                <w:szCs w:val="21"/>
                <w:highlight w:val="none"/>
                <w:u w:val="none"/>
              </w:rPr>
              <w:t>0.00E+00</w:t>
            </w:r>
          </w:p>
        </w:tc>
        <w:tc>
          <w:tcPr>
            <w:tcW w:w="600" w:type="pct"/>
            <w:shd w:val="clear" w:color="auto" w:fill="auto"/>
            <w:noWrap w:val="0"/>
            <w:tcMar>
              <w:top w:w="0" w:type="dxa"/>
              <w:left w:w="28" w:type="dxa"/>
              <w:bottom w:w="0" w:type="dxa"/>
              <w:right w:w="28" w:type="dxa"/>
            </w:tcMar>
            <w:vAlign w:val="center"/>
          </w:tcPr>
          <w:p w14:paraId="32E4B7F7">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auto"/>
                <w:kern w:val="0"/>
                <w:sz w:val="21"/>
                <w:szCs w:val="21"/>
                <w:highlight w:val="none"/>
                <w:u w:val="none"/>
                <w:lang w:val="en-US" w:eastAsia="zh-CN" w:bidi="ar-SA"/>
              </w:rPr>
            </w:pPr>
            <w:r>
              <w:rPr>
                <w:rFonts w:hint="eastAsia" w:ascii="Times New Roman" w:hAnsi="Times New Roman" w:eastAsia="宋体" w:cs="Times New Roman"/>
                <w:color w:val="auto"/>
                <w:kern w:val="0"/>
                <w:sz w:val="21"/>
                <w:szCs w:val="21"/>
                <w:highlight w:val="none"/>
                <w:u w:val="none"/>
              </w:rPr>
              <w:t>0.00E+00</w:t>
            </w:r>
          </w:p>
        </w:tc>
        <w:tc>
          <w:tcPr>
            <w:tcW w:w="600" w:type="pct"/>
            <w:shd w:val="clear" w:color="auto" w:fill="auto"/>
            <w:noWrap w:val="0"/>
            <w:tcMar>
              <w:top w:w="0" w:type="dxa"/>
              <w:left w:w="28" w:type="dxa"/>
              <w:bottom w:w="0" w:type="dxa"/>
              <w:right w:w="28" w:type="dxa"/>
            </w:tcMar>
            <w:vAlign w:val="center"/>
          </w:tcPr>
          <w:p w14:paraId="797B4DBD">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auto"/>
                <w:kern w:val="0"/>
                <w:sz w:val="21"/>
                <w:szCs w:val="21"/>
                <w:highlight w:val="none"/>
                <w:u w:val="none"/>
                <w:lang w:val="en-US" w:eastAsia="zh-CN" w:bidi="ar-SA"/>
              </w:rPr>
            </w:pPr>
            <w:r>
              <w:rPr>
                <w:rFonts w:hint="eastAsia" w:ascii="Times New Roman" w:hAnsi="Times New Roman" w:eastAsia="宋体" w:cs="Times New Roman"/>
                <w:color w:val="auto"/>
                <w:kern w:val="0"/>
                <w:sz w:val="21"/>
                <w:szCs w:val="21"/>
                <w:highlight w:val="none"/>
                <w:u w:val="none"/>
              </w:rPr>
              <w:t>0.00E+00</w:t>
            </w:r>
          </w:p>
        </w:tc>
        <w:tc>
          <w:tcPr>
            <w:tcW w:w="600" w:type="pct"/>
            <w:shd w:val="clear" w:color="auto" w:fill="auto"/>
            <w:noWrap w:val="0"/>
            <w:tcMar>
              <w:top w:w="0" w:type="dxa"/>
              <w:left w:w="28" w:type="dxa"/>
              <w:bottom w:w="0" w:type="dxa"/>
              <w:right w:w="28" w:type="dxa"/>
            </w:tcMar>
            <w:vAlign w:val="center"/>
          </w:tcPr>
          <w:p w14:paraId="29AE16F2">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auto"/>
                <w:kern w:val="0"/>
                <w:sz w:val="21"/>
                <w:szCs w:val="21"/>
                <w:highlight w:val="none"/>
                <w:u w:val="none"/>
                <w:lang w:val="en-US" w:eastAsia="zh-CN" w:bidi="ar-SA"/>
              </w:rPr>
            </w:pPr>
            <w:r>
              <w:rPr>
                <w:rFonts w:hint="eastAsia" w:ascii="Times New Roman" w:hAnsi="Times New Roman" w:eastAsia="宋体" w:cs="Times New Roman"/>
                <w:color w:val="auto"/>
                <w:kern w:val="0"/>
                <w:sz w:val="21"/>
                <w:szCs w:val="21"/>
                <w:highlight w:val="none"/>
                <w:u w:val="none"/>
              </w:rPr>
              <w:t>0.00E+00</w:t>
            </w:r>
          </w:p>
        </w:tc>
        <w:tc>
          <w:tcPr>
            <w:tcW w:w="600" w:type="pct"/>
            <w:shd w:val="clear" w:color="auto" w:fill="auto"/>
            <w:noWrap w:val="0"/>
            <w:tcMar>
              <w:top w:w="0" w:type="dxa"/>
              <w:left w:w="28" w:type="dxa"/>
              <w:bottom w:w="0" w:type="dxa"/>
              <w:right w:w="28" w:type="dxa"/>
            </w:tcMar>
            <w:vAlign w:val="center"/>
          </w:tcPr>
          <w:p w14:paraId="6B5583BF">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auto"/>
                <w:kern w:val="0"/>
                <w:sz w:val="21"/>
                <w:szCs w:val="21"/>
                <w:highlight w:val="none"/>
                <w:u w:val="none"/>
                <w:lang w:val="en-US" w:eastAsia="zh-CN" w:bidi="ar-SA"/>
              </w:rPr>
            </w:pPr>
            <w:r>
              <w:rPr>
                <w:rFonts w:hint="eastAsia" w:ascii="Times New Roman" w:hAnsi="Times New Roman" w:eastAsia="宋体" w:cs="Times New Roman"/>
                <w:color w:val="auto"/>
                <w:kern w:val="0"/>
                <w:sz w:val="21"/>
                <w:szCs w:val="21"/>
                <w:highlight w:val="none"/>
                <w:u w:val="none"/>
              </w:rPr>
              <w:t>0.00E+00</w:t>
            </w:r>
          </w:p>
        </w:tc>
        <w:tc>
          <w:tcPr>
            <w:tcW w:w="600" w:type="pct"/>
            <w:shd w:val="clear" w:color="auto" w:fill="auto"/>
            <w:noWrap w:val="0"/>
            <w:tcMar>
              <w:top w:w="0" w:type="dxa"/>
              <w:left w:w="28" w:type="dxa"/>
              <w:bottom w:w="0" w:type="dxa"/>
              <w:right w:w="28" w:type="dxa"/>
            </w:tcMar>
            <w:vAlign w:val="center"/>
          </w:tcPr>
          <w:p w14:paraId="624C2D3F">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auto"/>
                <w:kern w:val="0"/>
                <w:sz w:val="21"/>
                <w:szCs w:val="21"/>
                <w:highlight w:val="none"/>
                <w:u w:val="none"/>
                <w:lang w:val="en-US" w:eastAsia="zh-CN" w:bidi="ar-SA"/>
              </w:rPr>
            </w:pPr>
            <w:r>
              <w:rPr>
                <w:rFonts w:hint="eastAsia" w:ascii="Times New Roman" w:hAnsi="Times New Roman" w:eastAsia="宋体" w:cs="Times New Roman"/>
                <w:color w:val="auto"/>
                <w:kern w:val="0"/>
                <w:sz w:val="21"/>
                <w:szCs w:val="21"/>
                <w:highlight w:val="none"/>
                <w:u w:val="none"/>
              </w:rPr>
              <w:t>0.00E+00</w:t>
            </w:r>
          </w:p>
        </w:tc>
      </w:tr>
      <w:tr w14:paraId="6EF91A0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95" w:type="pct"/>
            <w:noWrap w:val="0"/>
            <w:tcMar>
              <w:top w:w="0" w:type="dxa"/>
              <w:left w:w="28" w:type="dxa"/>
              <w:bottom w:w="0" w:type="dxa"/>
              <w:right w:w="28" w:type="dxa"/>
            </w:tcMar>
            <w:vAlign w:val="center"/>
          </w:tcPr>
          <w:p w14:paraId="21AC1442">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auto"/>
                <w:kern w:val="0"/>
                <w:sz w:val="21"/>
                <w:szCs w:val="21"/>
                <w:highlight w:val="none"/>
                <w:u w:val="none"/>
              </w:rPr>
            </w:pPr>
            <w:r>
              <w:rPr>
                <w:rFonts w:ascii="Times New Roman" w:hAnsi="Times New Roman" w:eastAsia="宋体" w:cs="Times New Roman"/>
                <w:color w:val="auto"/>
                <w:kern w:val="0"/>
                <w:sz w:val="21"/>
                <w:szCs w:val="21"/>
                <w:highlight w:val="none"/>
                <w:u w:val="none"/>
              </w:rPr>
              <w:t>（400</w:t>
            </w:r>
            <w:r>
              <w:rPr>
                <w:rFonts w:hint="eastAsia" w:ascii="Times New Roman" w:hAnsi="Times New Roman" w:eastAsia="宋体" w:cs="Times New Roman"/>
                <w:color w:val="auto"/>
                <w:kern w:val="0"/>
                <w:sz w:val="21"/>
                <w:szCs w:val="21"/>
                <w:highlight w:val="none"/>
                <w:u w:val="none"/>
                <w:lang w:eastAsia="zh-CN"/>
              </w:rPr>
              <w:t>，</w:t>
            </w:r>
            <w:r>
              <w:rPr>
                <w:rFonts w:ascii="Times New Roman" w:hAnsi="Times New Roman" w:eastAsia="宋体" w:cs="Times New Roman"/>
                <w:color w:val="auto"/>
                <w:kern w:val="0"/>
                <w:sz w:val="21"/>
                <w:szCs w:val="21"/>
                <w:highlight w:val="none"/>
                <w:u w:val="none"/>
              </w:rPr>
              <w:t>400）</w:t>
            </w:r>
          </w:p>
        </w:tc>
        <w:tc>
          <w:tcPr>
            <w:tcW w:w="600" w:type="pct"/>
            <w:shd w:val="clear" w:color="auto" w:fill="auto"/>
            <w:noWrap w:val="0"/>
            <w:tcMar>
              <w:top w:w="0" w:type="dxa"/>
              <w:left w:w="28" w:type="dxa"/>
              <w:bottom w:w="0" w:type="dxa"/>
              <w:right w:w="28" w:type="dxa"/>
            </w:tcMar>
            <w:vAlign w:val="center"/>
          </w:tcPr>
          <w:p w14:paraId="45D57EC5">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auto"/>
                <w:kern w:val="0"/>
                <w:sz w:val="21"/>
                <w:szCs w:val="21"/>
                <w:highlight w:val="none"/>
                <w:u w:val="none"/>
                <w:lang w:val="en-US" w:eastAsia="zh-CN" w:bidi="ar-SA"/>
              </w:rPr>
            </w:pPr>
            <w:r>
              <w:rPr>
                <w:rFonts w:hint="eastAsia" w:ascii="Times New Roman" w:hAnsi="Times New Roman" w:eastAsia="宋体" w:cs="Times New Roman"/>
                <w:color w:val="auto"/>
                <w:kern w:val="0"/>
                <w:sz w:val="21"/>
                <w:szCs w:val="21"/>
                <w:highlight w:val="none"/>
                <w:u w:val="none"/>
              </w:rPr>
              <w:t>0.00E+00</w:t>
            </w:r>
          </w:p>
        </w:tc>
        <w:tc>
          <w:tcPr>
            <w:tcW w:w="600" w:type="pct"/>
            <w:shd w:val="clear" w:color="auto" w:fill="auto"/>
            <w:noWrap w:val="0"/>
            <w:tcMar>
              <w:top w:w="0" w:type="dxa"/>
              <w:left w:w="28" w:type="dxa"/>
              <w:bottom w:w="0" w:type="dxa"/>
              <w:right w:w="28" w:type="dxa"/>
            </w:tcMar>
            <w:vAlign w:val="center"/>
          </w:tcPr>
          <w:p w14:paraId="24B09389">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auto"/>
                <w:kern w:val="0"/>
                <w:sz w:val="21"/>
                <w:szCs w:val="21"/>
                <w:highlight w:val="none"/>
                <w:u w:val="none"/>
                <w:lang w:val="en-US" w:eastAsia="zh-CN" w:bidi="ar-SA"/>
              </w:rPr>
            </w:pPr>
            <w:r>
              <w:rPr>
                <w:rFonts w:hint="eastAsia" w:ascii="Times New Roman" w:hAnsi="Times New Roman" w:eastAsia="宋体" w:cs="Times New Roman"/>
                <w:color w:val="auto"/>
                <w:kern w:val="0"/>
                <w:sz w:val="21"/>
                <w:szCs w:val="21"/>
                <w:highlight w:val="none"/>
                <w:u w:val="none"/>
              </w:rPr>
              <w:t>0.00E+00</w:t>
            </w:r>
          </w:p>
        </w:tc>
        <w:tc>
          <w:tcPr>
            <w:tcW w:w="600" w:type="pct"/>
            <w:shd w:val="clear" w:color="auto" w:fill="auto"/>
            <w:noWrap w:val="0"/>
            <w:tcMar>
              <w:top w:w="0" w:type="dxa"/>
              <w:left w:w="28" w:type="dxa"/>
              <w:bottom w:w="0" w:type="dxa"/>
              <w:right w:w="28" w:type="dxa"/>
            </w:tcMar>
            <w:vAlign w:val="center"/>
          </w:tcPr>
          <w:p w14:paraId="09383502">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auto"/>
                <w:kern w:val="0"/>
                <w:sz w:val="21"/>
                <w:szCs w:val="21"/>
                <w:highlight w:val="none"/>
                <w:u w:val="none"/>
                <w:lang w:val="en-US" w:eastAsia="zh-CN" w:bidi="ar-SA"/>
              </w:rPr>
            </w:pPr>
            <w:r>
              <w:rPr>
                <w:rFonts w:hint="eastAsia" w:ascii="Times New Roman" w:hAnsi="Times New Roman" w:eastAsia="宋体" w:cs="Times New Roman"/>
                <w:color w:val="auto"/>
                <w:kern w:val="0"/>
                <w:sz w:val="21"/>
                <w:szCs w:val="21"/>
                <w:highlight w:val="none"/>
                <w:u w:val="none"/>
              </w:rPr>
              <w:t>0.00E+00</w:t>
            </w:r>
          </w:p>
        </w:tc>
        <w:tc>
          <w:tcPr>
            <w:tcW w:w="600" w:type="pct"/>
            <w:shd w:val="clear" w:color="auto" w:fill="auto"/>
            <w:noWrap w:val="0"/>
            <w:tcMar>
              <w:top w:w="0" w:type="dxa"/>
              <w:left w:w="28" w:type="dxa"/>
              <w:bottom w:w="0" w:type="dxa"/>
              <w:right w:w="28" w:type="dxa"/>
            </w:tcMar>
            <w:vAlign w:val="center"/>
          </w:tcPr>
          <w:p w14:paraId="07F3764E">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auto"/>
                <w:kern w:val="0"/>
                <w:sz w:val="21"/>
                <w:szCs w:val="21"/>
                <w:highlight w:val="none"/>
                <w:u w:val="none"/>
                <w:lang w:val="en-US" w:eastAsia="zh-CN" w:bidi="ar-SA"/>
              </w:rPr>
            </w:pPr>
            <w:r>
              <w:rPr>
                <w:rFonts w:hint="eastAsia" w:ascii="Times New Roman" w:hAnsi="Times New Roman" w:eastAsia="宋体" w:cs="Times New Roman"/>
                <w:color w:val="auto"/>
                <w:kern w:val="0"/>
                <w:sz w:val="21"/>
                <w:szCs w:val="21"/>
                <w:highlight w:val="none"/>
                <w:u w:val="none"/>
              </w:rPr>
              <w:t>0.00E+00</w:t>
            </w:r>
          </w:p>
        </w:tc>
        <w:tc>
          <w:tcPr>
            <w:tcW w:w="600" w:type="pct"/>
            <w:shd w:val="clear" w:color="auto" w:fill="auto"/>
            <w:noWrap w:val="0"/>
            <w:tcMar>
              <w:top w:w="0" w:type="dxa"/>
              <w:left w:w="28" w:type="dxa"/>
              <w:bottom w:w="0" w:type="dxa"/>
              <w:right w:w="28" w:type="dxa"/>
            </w:tcMar>
            <w:vAlign w:val="center"/>
          </w:tcPr>
          <w:p w14:paraId="0505F7E3">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auto"/>
                <w:kern w:val="0"/>
                <w:sz w:val="21"/>
                <w:szCs w:val="21"/>
                <w:highlight w:val="none"/>
                <w:u w:val="none"/>
                <w:lang w:val="en-US" w:eastAsia="zh-CN" w:bidi="ar-SA"/>
              </w:rPr>
            </w:pPr>
            <w:r>
              <w:rPr>
                <w:rFonts w:hint="eastAsia" w:ascii="Times New Roman" w:hAnsi="Times New Roman" w:eastAsia="宋体" w:cs="Times New Roman"/>
                <w:color w:val="auto"/>
                <w:kern w:val="0"/>
                <w:sz w:val="21"/>
                <w:szCs w:val="21"/>
                <w:highlight w:val="none"/>
                <w:u w:val="none"/>
              </w:rPr>
              <w:t>0.00E+00</w:t>
            </w:r>
          </w:p>
        </w:tc>
        <w:tc>
          <w:tcPr>
            <w:tcW w:w="600" w:type="pct"/>
            <w:shd w:val="clear" w:color="auto" w:fill="auto"/>
            <w:noWrap w:val="0"/>
            <w:tcMar>
              <w:top w:w="0" w:type="dxa"/>
              <w:left w:w="28" w:type="dxa"/>
              <w:bottom w:w="0" w:type="dxa"/>
              <w:right w:w="28" w:type="dxa"/>
            </w:tcMar>
            <w:vAlign w:val="center"/>
          </w:tcPr>
          <w:p w14:paraId="389BF668">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auto"/>
                <w:kern w:val="0"/>
                <w:sz w:val="21"/>
                <w:szCs w:val="21"/>
                <w:highlight w:val="none"/>
                <w:u w:val="none"/>
                <w:lang w:val="en-US" w:eastAsia="zh-CN" w:bidi="ar-SA"/>
              </w:rPr>
            </w:pPr>
            <w:r>
              <w:rPr>
                <w:rFonts w:hint="eastAsia" w:ascii="Times New Roman" w:hAnsi="Times New Roman" w:eastAsia="宋体" w:cs="Times New Roman"/>
                <w:color w:val="auto"/>
                <w:kern w:val="0"/>
                <w:sz w:val="21"/>
                <w:szCs w:val="21"/>
                <w:highlight w:val="none"/>
                <w:u w:val="none"/>
              </w:rPr>
              <w:t>0.00E+00</w:t>
            </w:r>
          </w:p>
        </w:tc>
        <w:tc>
          <w:tcPr>
            <w:tcW w:w="600" w:type="pct"/>
            <w:shd w:val="clear" w:color="auto" w:fill="auto"/>
            <w:noWrap w:val="0"/>
            <w:tcMar>
              <w:top w:w="0" w:type="dxa"/>
              <w:left w:w="28" w:type="dxa"/>
              <w:bottom w:w="0" w:type="dxa"/>
              <w:right w:w="28" w:type="dxa"/>
            </w:tcMar>
            <w:vAlign w:val="center"/>
          </w:tcPr>
          <w:p w14:paraId="38ACCF3C">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auto"/>
                <w:kern w:val="0"/>
                <w:sz w:val="21"/>
                <w:szCs w:val="21"/>
                <w:highlight w:val="none"/>
                <w:u w:val="none"/>
                <w:lang w:val="en-US" w:eastAsia="zh-CN" w:bidi="ar-SA"/>
              </w:rPr>
            </w:pPr>
            <w:r>
              <w:rPr>
                <w:rFonts w:hint="eastAsia" w:ascii="Times New Roman" w:hAnsi="Times New Roman" w:eastAsia="宋体" w:cs="Times New Roman"/>
                <w:color w:val="auto"/>
                <w:kern w:val="0"/>
                <w:sz w:val="21"/>
                <w:szCs w:val="21"/>
                <w:highlight w:val="none"/>
                <w:u w:val="none"/>
              </w:rPr>
              <w:t>0.00E+00</w:t>
            </w:r>
          </w:p>
        </w:tc>
      </w:tr>
      <w:tr w14:paraId="3FA12B1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95" w:type="pct"/>
            <w:noWrap w:val="0"/>
            <w:tcMar>
              <w:top w:w="0" w:type="dxa"/>
              <w:left w:w="28" w:type="dxa"/>
              <w:bottom w:w="0" w:type="dxa"/>
              <w:right w:w="28" w:type="dxa"/>
            </w:tcMar>
            <w:vAlign w:val="center"/>
          </w:tcPr>
          <w:p w14:paraId="3573E2C4">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auto"/>
                <w:kern w:val="0"/>
                <w:sz w:val="21"/>
                <w:szCs w:val="21"/>
                <w:highlight w:val="none"/>
                <w:u w:val="none"/>
              </w:rPr>
            </w:pPr>
            <w:r>
              <w:rPr>
                <w:rFonts w:ascii="Times New Roman" w:hAnsi="Times New Roman" w:eastAsia="宋体" w:cs="Times New Roman"/>
                <w:color w:val="auto"/>
                <w:kern w:val="0"/>
                <w:sz w:val="21"/>
                <w:szCs w:val="21"/>
                <w:highlight w:val="none"/>
                <w:u w:val="none"/>
              </w:rPr>
              <w:t>（500，500）</w:t>
            </w:r>
          </w:p>
        </w:tc>
        <w:tc>
          <w:tcPr>
            <w:tcW w:w="600" w:type="pct"/>
            <w:shd w:val="clear" w:color="auto" w:fill="auto"/>
            <w:noWrap w:val="0"/>
            <w:tcMar>
              <w:top w:w="0" w:type="dxa"/>
              <w:left w:w="28" w:type="dxa"/>
              <w:bottom w:w="0" w:type="dxa"/>
              <w:right w:w="28" w:type="dxa"/>
            </w:tcMar>
            <w:vAlign w:val="center"/>
          </w:tcPr>
          <w:p w14:paraId="59ECEF41">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auto"/>
                <w:kern w:val="0"/>
                <w:sz w:val="21"/>
                <w:szCs w:val="21"/>
                <w:highlight w:val="none"/>
                <w:u w:val="none"/>
                <w:lang w:val="en-US" w:eastAsia="zh-CN" w:bidi="ar-SA"/>
              </w:rPr>
            </w:pPr>
            <w:r>
              <w:rPr>
                <w:rFonts w:hint="eastAsia" w:ascii="Times New Roman" w:hAnsi="Times New Roman" w:eastAsia="宋体" w:cs="Times New Roman"/>
                <w:color w:val="auto"/>
                <w:kern w:val="0"/>
                <w:sz w:val="21"/>
                <w:szCs w:val="21"/>
                <w:highlight w:val="none"/>
                <w:u w:val="none"/>
              </w:rPr>
              <w:t>0.00E+00</w:t>
            </w:r>
          </w:p>
        </w:tc>
        <w:tc>
          <w:tcPr>
            <w:tcW w:w="600" w:type="pct"/>
            <w:shd w:val="clear" w:color="auto" w:fill="auto"/>
            <w:noWrap w:val="0"/>
            <w:tcMar>
              <w:top w:w="0" w:type="dxa"/>
              <w:left w:w="28" w:type="dxa"/>
              <w:bottom w:w="0" w:type="dxa"/>
              <w:right w:w="28" w:type="dxa"/>
            </w:tcMar>
            <w:vAlign w:val="center"/>
          </w:tcPr>
          <w:p w14:paraId="4B6EEB27">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auto"/>
                <w:kern w:val="0"/>
                <w:sz w:val="21"/>
                <w:szCs w:val="21"/>
                <w:highlight w:val="none"/>
                <w:u w:val="none"/>
                <w:lang w:val="en-US" w:eastAsia="zh-CN" w:bidi="ar-SA"/>
              </w:rPr>
            </w:pPr>
            <w:r>
              <w:rPr>
                <w:rFonts w:hint="eastAsia" w:ascii="Times New Roman" w:hAnsi="Times New Roman" w:eastAsia="宋体" w:cs="Times New Roman"/>
                <w:color w:val="auto"/>
                <w:kern w:val="0"/>
                <w:sz w:val="21"/>
                <w:szCs w:val="21"/>
                <w:highlight w:val="none"/>
                <w:u w:val="none"/>
              </w:rPr>
              <w:t>0.00E+00</w:t>
            </w:r>
          </w:p>
        </w:tc>
        <w:tc>
          <w:tcPr>
            <w:tcW w:w="600" w:type="pct"/>
            <w:shd w:val="clear" w:color="auto" w:fill="auto"/>
            <w:noWrap w:val="0"/>
            <w:tcMar>
              <w:top w:w="0" w:type="dxa"/>
              <w:left w:w="28" w:type="dxa"/>
              <w:bottom w:w="0" w:type="dxa"/>
              <w:right w:w="28" w:type="dxa"/>
            </w:tcMar>
            <w:vAlign w:val="center"/>
          </w:tcPr>
          <w:p w14:paraId="5A7201A7">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auto"/>
                <w:kern w:val="0"/>
                <w:sz w:val="21"/>
                <w:szCs w:val="21"/>
                <w:highlight w:val="none"/>
                <w:u w:val="none"/>
                <w:lang w:val="en-US" w:eastAsia="zh-CN" w:bidi="ar-SA"/>
              </w:rPr>
            </w:pPr>
            <w:r>
              <w:rPr>
                <w:rFonts w:hint="eastAsia" w:ascii="Times New Roman" w:hAnsi="Times New Roman" w:eastAsia="宋体" w:cs="Times New Roman"/>
                <w:color w:val="auto"/>
                <w:kern w:val="0"/>
                <w:sz w:val="21"/>
                <w:szCs w:val="21"/>
                <w:highlight w:val="none"/>
                <w:u w:val="none"/>
              </w:rPr>
              <w:t>0.00E+00</w:t>
            </w:r>
          </w:p>
        </w:tc>
        <w:tc>
          <w:tcPr>
            <w:tcW w:w="600" w:type="pct"/>
            <w:shd w:val="clear" w:color="auto" w:fill="auto"/>
            <w:noWrap w:val="0"/>
            <w:tcMar>
              <w:top w:w="0" w:type="dxa"/>
              <w:left w:w="28" w:type="dxa"/>
              <w:bottom w:w="0" w:type="dxa"/>
              <w:right w:w="28" w:type="dxa"/>
            </w:tcMar>
            <w:vAlign w:val="center"/>
          </w:tcPr>
          <w:p w14:paraId="1AE29325">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auto"/>
                <w:kern w:val="0"/>
                <w:sz w:val="21"/>
                <w:szCs w:val="21"/>
                <w:highlight w:val="none"/>
                <w:u w:val="none"/>
                <w:lang w:val="en-US" w:eastAsia="zh-CN" w:bidi="ar-SA"/>
              </w:rPr>
            </w:pPr>
            <w:r>
              <w:rPr>
                <w:rFonts w:hint="eastAsia" w:ascii="Times New Roman" w:hAnsi="Times New Roman" w:eastAsia="宋体" w:cs="Times New Roman"/>
                <w:color w:val="auto"/>
                <w:kern w:val="0"/>
                <w:sz w:val="21"/>
                <w:szCs w:val="21"/>
                <w:highlight w:val="none"/>
                <w:u w:val="none"/>
              </w:rPr>
              <w:t>0.00E+00</w:t>
            </w:r>
          </w:p>
        </w:tc>
        <w:tc>
          <w:tcPr>
            <w:tcW w:w="600" w:type="pct"/>
            <w:shd w:val="clear" w:color="auto" w:fill="auto"/>
            <w:noWrap w:val="0"/>
            <w:tcMar>
              <w:top w:w="0" w:type="dxa"/>
              <w:left w:w="28" w:type="dxa"/>
              <w:bottom w:w="0" w:type="dxa"/>
              <w:right w:w="28" w:type="dxa"/>
            </w:tcMar>
            <w:vAlign w:val="center"/>
          </w:tcPr>
          <w:p w14:paraId="45FF15DA">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auto"/>
                <w:kern w:val="0"/>
                <w:sz w:val="21"/>
                <w:szCs w:val="21"/>
                <w:highlight w:val="none"/>
                <w:u w:val="none"/>
                <w:lang w:val="en-US" w:eastAsia="zh-CN" w:bidi="ar-SA"/>
              </w:rPr>
            </w:pPr>
            <w:r>
              <w:rPr>
                <w:rFonts w:hint="eastAsia" w:ascii="Times New Roman" w:hAnsi="Times New Roman" w:eastAsia="宋体" w:cs="Times New Roman"/>
                <w:color w:val="auto"/>
                <w:kern w:val="0"/>
                <w:sz w:val="21"/>
                <w:szCs w:val="21"/>
                <w:highlight w:val="none"/>
                <w:u w:val="none"/>
              </w:rPr>
              <w:t>0.00E+00</w:t>
            </w:r>
          </w:p>
        </w:tc>
        <w:tc>
          <w:tcPr>
            <w:tcW w:w="600" w:type="pct"/>
            <w:shd w:val="clear" w:color="auto" w:fill="auto"/>
            <w:noWrap w:val="0"/>
            <w:tcMar>
              <w:top w:w="0" w:type="dxa"/>
              <w:left w:w="28" w:type="dxa"/>
              <w:bottom w:w="0" w:type="dxa"/>
              <w:right w:w="28" w:type="dxa"/>
            </w:tcMar>
            <w:vAlign w:val="center"/>
          </w:tcPr>
          <w:p w14:paraId="45F00701">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auto"/>
                <w:kern w:val="0"/>
                <w:sz w:val="21"/>
                <w:szCs w:val="21"/>
                <w:highlight w:val="none"/>
                <w:u w:val="none"/>
                <w:lang w:val="en-US" w:eastAsia="zh-CN" w:bidi="ar-SA"/>
              </w:rPr>
            </w:pPr>
            <w:r>
              <w:rPr>
                <w:rFonts w:hint="eastAsia" w:ascii="Times New Roman" w:hAnsi="Times New Roman" w:eastAsia="宋体" w:cs="Times New Roman"/>
                <w:color w:val="auto"/>
                <w:kern w:val="0"/>
                <w:sz w:val="21"/>
                <w:szCs w:val="21"/>
                <w:highlight w:val="none"/>
                <w:u w:val="none"/>
              </w:rPr>
              <w:t>0.00E+00</w:t>
            </w:r>
          </w:p>
        </w:tc>
        <w:tc>
          <w:tcPr>
            <w:tcW w:w="600" w:type="pct"/>
            <w:shd w:val="clear" w:color="auto" w:fill="auto"/>
            <w:noWrap w:val="0"/>
            <w:tcMar>
              <w:top w:w="0" w:type="dxa"/>
              <w:left w:w="28" w:type="dxa"/>
              <w:bottom w:w="0" w:type="dxa"/>
              <w:right w:w="28" w:type="dxa"/>
            </w:tcMar>
            <w:vAlign w:val="center"/>
          </w:tcPr>
          <w:p w14:paraId="3963DDA7">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auto"/>
                <w:kern w:val="0"/>
                <w:sz w:val="21"/>
                <w:szCs w:val="21"/>
                <w:highlight w:val="none"/>
                <w:u w:val="none"/>
                <w:lang w:val="en-US" w:eastAsia="zh-CN" w:bidi="ar-SA"/>
              </w:rPr>
            </w:pPr>
            <w:r>
              <w:rPr>
                <w:rFonts w:hint="eastAsia" w:ascii="Times New Roman" w:hAnsi="Times New Roman" w:eastAsia="宋体" w:cs="Times New Roman"/>
                <w:color w:val="auto"/>
                <w:kern w:val="0"/>
                <w:sz w:val="21"/>
                <w:szCs w:val="21"/>
                <w:highlight w:val="none"/>
                <w:u w:val="none"/>
              </w:rPr>
              <w:t>0.00E+00</w:t>
            </w:r>
          </w:p>
        </w:tc>
      </w:tr>
      <w:tr w14:paraId="0EF8273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95" w:type="pct"/>
            <w:noWrap w:val="0"/>
            <w:tcMar>
              <w:top w:w="0" w:type="dxa"/>
              <w:left w:w="28" w:type="dxa"/>
              <w:bottom w:w="0" w:type="dxa"/>
              <w:right w:w="28" w:type="dxa"/>
            </w:tcMar>
            <w:vAlign w:val="center"/>
          </w:tcPr>
          <w:p w14:paraId="12426AC8">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none"/>
                <w:lang w:val="en-US" w:eastAsia="zh-CN"/>
              </w:rPr>
            </w:pPr>
            <w:r>
              <w:rPr>
                <w:rFonts w:hint="eastAsia" w:ascii="Times New Roman" w:hAnsi="Times New Roman" w:eastAsia="宋体" w:cs="Times New Roman"/>
                <w:color w:val="auto"/>
                <w:kern w:val="0"/>
                <w:sz w:val="21"/>
                <w:szCs w:val="21"/>
                <w:highlight w:val="none"/>
                <w:u w:val="none"/>
                <w:lang w:val="en-US" w:eastAsia="zh-CN"/>
              </w:rPr>
              <w:t>（1000,1000）</w:t>
            </w:r>
          </w:p>
        </w:tc>
        <w:tc>
          <w:tcPr>
            <w:tcW w:w="600" w:type="pct"/>
            <w:shd w:val="clear" w:color="auto" w:fill="auto"/>
            <w:noWrap w:val="0"/>
            <w:tcMar>
              <w:top w:w="0" w:type="dxa"/>
              <w:left w:w="28" w:type="dxa"/>
              <w:bottom w:w="0" w:type="dxa"/>
              <w:right w:w="28" w:type="dxa"/>
            </w:tcMar>
            <w:vAlign w:val="center"/>
          </w:tcPr>
          <w:p w14:paraId="72E59530">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auto"/>
                <w:kern w:val="0"/>
                <w:sz w:val="21"/>
                <w:szCs w:val="21"/>
                <w:highlight w:val="none"/>
                <w:u w:val="none"/>
                <w:lang w:val="en-US" w:eastAsia="zh-CN" w:bidi="ar-SA"/>
              </w:rPr>
            </w:pPr>
            <w:r>
              <w:rPr>
                <w:rFonts w:hint="eastAsia" w:ascii="Times New Roman" w:hAnsi="Times New Roman" w:eastAsia="宋体" w:cs="Times New Roman"/>
                <w:color w:val="auto"/>
                <w:kern w:val="0"/>
                <w:sz w:val="21"/>
                <w:szCs w:val="21"/>
                <w:highlight w:val="none"/>
                <w:u w:val="none"/>
              </w:rPr>
              <w:t>0.00E+00</w:t>
            </w:r>
          </w:p>
        </w:tc>
        <w:tc>
          <w:tcPr>
            <w:tcW w:w="600" w:type="pct"/>
            <w:shd w:val="clear" w:color="auto" w:fill="auto"/>
            <w:noWrap w:val="0"/>
            <w:tcMar>
              <w:top w:w="0" w:type="dxa"/>
              <w:left w:w="28" w:type="dxa"/>
              <w:bottom w:w="0" w:type="dxa"/>
              <w:right w:w="28" w:type="dxa"/>
            </w:tcMar>
            <w:vAlign w:val="center"/>
          </w:tcPr>
          <w:p w14:paraId="0BF60854">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auto"/>
                <w:kern w:val="0"/>
                <w:sz w:val="21"/>
                <w:szCs w:val="21"/>
                <w:highlight w:val="none"/>
                <w:u w:val="none"/>
                <w:lang w:val="en-US" w:eastAsia="zh-CN" w:bidi="ar-SA"/>
              </w:rPr>
            </w:pPr>
            <w:r>
              <w:rPr>
                <w:rFonts w:hint="eastAsia" w:ascii="Times New Roman" w:hAnsi="Times New Roman" w:eastAsia="宋体" w:cs="Times New Roman"/>
                <w:color w:val="auto"/>
                <w:kern w:val="0"/>
                <w:sz w:val="21"/>
                <w:szCs w:val="21"/>
                <w:highlight w:val="none"/>
                <w:u w:val="none"/>
              </w:rPr>
              <w:t>0.00E+00</w:t>
            </w:r>
          </w:p>
        </w:tc>
        <w:tc>
          <w:tcPr>
            <w:tcW w:w="600" w:type="pct"/>
            <w:shd w:val="clear" w:color="auto" w:fill="auto"/>
            <w:noWrap w:val="0"/>
            <w:tcMar>
              <w:top w:w="0" w:type="dxa"/>
              <w:left w:w="28" w:type="dxa"/>
              <w:bottom w:w="0" w:type="dxa"/>
              <w:right w:w="28" w:type="dxa"/>
            </w:tcMar>
            <w:vAlign w:val="center"/>
          </w:tcPr>
          <w:p w14:paraId="142E5C27">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auto"/>
                <w:kern w:val="0"/>
                <w:sz w:val="21"/>
                <w:szCs w:val="21"/>
                <w:highlight w:val="none"/>
                <w:u w:val="none"/>
                <w:lang w:val="en-US" w:eastAsia="zh-CN" w:bidi="ar-SA"/>
              </w:rPr>
            </w:pPr>
            <w:r>
              <w:rPr>
                <w:rFonts w:hint="eastAsia" w:ascii="Times New Roman" w:hAnsi="Times New Roman" w:eastAsia="宋体" w:cs="Times New Roman"/>
                <w:color w:val="auto"/>
                <w:kern w:val="0"/>
                <w:sz w:val="21"/>
                <w:szCs w:val="21"/>
                <w:highlight w:val="none"/>
                <w:u w:val="none"/>
              </w:rPr>
              <w:t>0.00E+00</w:t>
            </w:r>
          </w:p>
        </w:tc>
        <w:tc>
          <w:tcPr>
            <w:tcW w:w="600" w:type="pct"/>
            <w:shd w:val="clear" w:color="auto" w:fill="auto"/>
            <w:noWrap w:val="0"/>
            <w:tcMar>
              <w:top w:w="0" w:type="dxa"/>
              <w:left w:w="28" w:type="dxa"/>
              <w:bottom w:w="0" w:type="dxa"/>
              <w:right w:w="28" w:type="dxa"/>
            </w:tcMar>
            <w:vAlign w:val="center"/>
          </w:tcPr>
          <w:p w14:paraId="2E4FEA64">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auto"/>
                <w:kern w:val="0"/>
                <w:sz w:val="21"/>
                <w:szCs w:val="21"/>
                <w:highlight w:val="none"/>
                <w:u w:val="none"/>
                <w:lang w:val="en-US" w:eastAsia="zh-CN" w:bidi="ar-SA"/>
              </w:rPr>
            </w:pPr>
            <w:r>
              <w:rPr>
                <w:rFonts w:hint="eastAsia" w:ascii="Times New Roman" w:hAnsi="Times New Roman" w:eastAsia="宋体" w:cs="Times New Roman"/>
                <w:color w:val="auto"/>
                <w:kern w:val="0"/>
                <w:sz w:val="21"/>
                <w:szCs w:val="21"/>
                <w:highlight w:val="none"/>
                <w:u w:val="none"/>
              </w:rPr>
              <w:t>0.00E+00</w:t>
            </w:r>
          </w:p>
        </w:tc>
        <w:tc>
          <w:tcPr>
            <w:tcW w:w="600" w:type="pct"/>
            <w:shd w:val="clear" w:color="auto" w:fill="auto"/>
            <w:noWrap w:val="0"/>
            <w:tcMar>
              <w:top w:w="0" w:type="dxa"/>
              <w:left w:w="28" w:type="dxa"/>
              <w:bottom w:w="0" w:type="dxa"/>
              <w:right w:w="28" w:type="dxa"/>
            </w:tcMar>
            <w:vAlign w:val="center"/>
          </w:tcPr>
          <w:p w14:paraId="2D347E43">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auto"/>
                <w:kern w:val="0"/>
                <w:sz w:val="21"/>
                <w:szCs w:val="21"/>
                <w:highlight w:val="none"/>
                <w:u w:val="none"/>
                <w:lang w:val="en-US" w:eastAsia="zh-CN" w:bidi="ar-SA"/>
              </w:rPr>
            </w:pPr>
            <w:r>
              <w:rPr>
                <w:rFonts w:hint="eastAsia" w:ascii="Times New Roman" w:hAnsi="Times New Roman" w:eastAsia="宋体" w:cs="Times New Roman"/>
                <w:color w:val="auto"/>
                <w:kern w:val="0"/>
                <w:sz w:val="21"/>
                <w:szCs w:val="21"/>
                <w:highlight w:val="none"/>
                <w:u w:val="none"/>
              </w:rPr>
              <w:t>0.00E+00</w:t>
            </w:r>
          </w:p>
        </w:tc>
        <w:tc>
          <w:tcPr>
            <w:tcW w:w="600" w:type="pct"/>
            <w:shd w:val="clear" w:color="auto" w:fill="auto"/>
            <w:noWrap w:val="0"/>
            <w:tcMar>
              <w:top w:w="0" w:type="dxa"/>
              <w:left w:w="28" w:type="dxa"/>
              <w:bottom w:w="0" w:type="dxa"/>
              <w:right w:w="28" w:type="dxa"/>
            </w:tcMar>
            <w:vAlign w:val="center"/>
          </w:tcPr>
          <w:p w14:paraId="72F374C3">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auto"/>
                <w:kern w:val="0"/>
                <w:sz w:val="21"/>
                <w:szCs w:val="21"/>
                <w:highlight w:val="none"/>
                <w:u w:val="none"/>
                <w:lang w:val="en-US" w:eastAsia="zh-CN" w:bidi="ar-SA"/>
              </w:rPr>
            </w:pPr>
            <w:r>
              <w:rPr>
                <w:rFonts w:hint="eastAsia" w:ascii="Times New Roman" w:hAnsi="Times New Roman" w:eastAsia="宋体" w:cs="Times New Roman"/>
                <w:color w:val="auto"/>
                <w:kern w:val="0"/>
                <w:sz w:val="21"/>
                <w:szCs w:val="21"/>
                <w:highlight w:val="none"/>
                <w:u w:val="none"/>
              </w:rPr>
              <w:t>0.00E+00</w:t>
            </w:r>
          </w:p>
        </w:tc>
        <w:tc>
          <w:tcPr>
            <w:tcW w:w="600" w:type="pct"/>
            <w:shd w:val="clear" w:color="auto" w:fill="auto"/>
            <w:noWrap w:val="0"/>
            <w:tcMar>
              <w:top w:w="0" w:type="dxa"/>
              <w:left w:w="28" w:type="dxa"/>
              <w:bottom w:w="0" w:type="dxa"/>
              <w:right w:w="28" w:type="dxa"/>
            </w:tcMar>
            <w:vAlign w:val="center"/>
          </w:tcPr>
          <w:p w14:paraId="360F2F79">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auto"/>
                <w:kern w:val="0"/>
                <w:sz w:val="21"/>
                <w:szCs w:val="21"/>
                <w:highlight w:val="none"/>
                <w:u w:val="none"/>
                <w:lang w:val="en-US" w:eastAsia="zh-CN" w:bidi="ar-SA"/>
              </w:rPr>
            </w:pPr>
            <w:r>
              <w:rPr>
                <w:rFonts w:hint="eastAsia" w:ascii="Times New Roman" w:hAnsi="Times New Roman" w:eastAsia="宋体" w:cs="Times New Roman"/>
                <w:color w:val="auto"/>
                <w:kern w:val="0"/>
                <w:sz w:val="21"/>
                <w:szCs w:val="21"/>
                <w:highlight w:val="none"/>
                <w:u w:val="none"/>
              </w:rPr>
              <w:t>0.00E+00</w:t>
            </w:r>
          </w:p>
        </w:tc>
      </w:tr>
    </w:tbl>
    <w:p w14:paraId="2D684DAD">
      <w:pPr>
        <w:ind w:left="0" w:leftChars="0" w:firstLine="0" w:firstLineChars="0"/>
        <w:jc w:val="center"/>
        <w:rPr>
          <w:rFonts w:hint="default"/>
          <w:b/>
          <w:bCs/>
          <w:sz w:val="21"/>
          <w:szCs w:val="21"/>
          <w:highlight w:val="none"/>
          <w:u w:val="none"/>
          <w:lang w:val="en-US" w:eastAsia="zh-CN"/>
        </w:rPr>
      </w:pPr>
      <w:r>
        <w:rPr>
          <w:rFonts w:hint="eastAsia"/>
          <w:b/>
          <w:bCs/>
          <w:sz w:val="21"/>
          <w:szCs w:val="21"/>
          <w:highlight w:val="none"/>
          <w:u w:val="none"/>
          <w:lang w:val="en-US" w:eastAsia="zh-CN"/>
        </w:rPr>
        <w:t>表5.2-4  非正常状况下铅对地下水影响范围预测表</w:t>
      </w:r>
    </w:p>
    <w:tbl>
      <w:tblPr>
        <w:tblStyle w:val="35"/>
        <w:tblW w:w="4997"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451"/>
        <w:gridCol w:w="1096"/>
        <w:gridCol w:w="1096"/>
        <w:gridCol w:w="1096"/>
        <w:gridCol w:w="1096"/>
        <w:gridCol w:w="1096"/>
        <w:gridCol w:w="1096"/>
        <w:gridCol w:w="1096"/>
      </w:tblGrid>
      <w:tr w14:paraId="227FA4F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blHeader/>
        </w:trPr>
        <w:tc>
          <w:tcPr>
            <w:tcW w:w="795" w:type="pct"/>
            <w:noWrap w:val="0"/>
            <w:tcMar>
              <w:top w:w="0" w:type="dxa"/>
              <w:left w:w="28" w:type="dxa"/>
              <w:bottom w:w="0" w:type="dxa"/>
              <w:right w:w="28" w:type="dxa"/>
            </w:tcMar>
            <w:vAlign w:val="center"/>
          </w:tcPr>
          <w:p w14:paraId="324F23E2">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ascii="Times New Roman" w:hAnsi="Times New Roman" w:eastAsia="宋体" w:cs="Times New Roman"/>
                <w:b/>
                <w:bCs/>
                <w:color w:val="auto"/>
                <w:kern w:val="0"/>
                <w:sz w:val="21"/>
                <w:szCs w:val="21"/>
                <w:highlight w:val="none"/>
                <w:u w:val="none"/>
              </w:rPr>
            </w:pPr>
            <w:r>
              <w:rPr>
                <w:rFonts w:hint="eastAsia" w:ascii="Times New Roman" w:hAnsi="Times New Roman" w:eastAsia="宋体" w:cs="Times New Roman"/>
                <w:b/>
                <w:bCs/>
                <w:color w:val="auto"/>
                <w:kern w:val="0"/>
                <w:sz w:val="21"/>
                <w:szCs w:val="21"/>
                <w:highlight w:val="none"/>
                <w:u w:val="none"/>
                <w:lang w:eastAsia="zh-CN"/>
              </w:rPr>
              <w:t>（</w:t>
            </w:r>
            <w:r>
              <w:rPr>
                <w:rFonts w:ascii="Times New Roman" w:hAnsi="Times New Roman" w:eastAsia="宋体" w:cs="Times New Roman"/>
                <w:b/>
                <w:bCs/>
                <w:color w:val="auto"/>
                <w:kern w:val="0"/>
                <w:sz w:val="21"/>
                <w:szCs w:val="21"/>
                <w:highlight w:val="none"/>
                <w:u w:val="none"/>
              </w:rPr>
              <w:t>X</w:t>
            </w:r>
            <w:r>
              <w:rPr>
                <w:rFonts w:hint="eastAsia" w:ascii="Times New Roman" w:hAnsi="Times New Roman" w:eastAsia="宋体" w:cs="Times New Roman"/>
                <w:b/>
                <w:bCs/>
                <w:color w:val="auto"/>
                <w:kern w:val="0"/>
                <w:sz w:val="21"/>
                <w:szCs w:val="21"/>
                <w:highlight w:val="none"/>
                <w:u w:val="none"/>
                <w:lang w:eastAsia="zh-CN"/>
              </w:rPr>
              <w:t>，</w:t>
            </w:r>
            <w:r>
              <w:rPr>
                <w:rFonts w:ascii="Times New Roman" w:hAnsi="Times New Roman" w:eastAsia="宋体" w:cs="Times New Roman"/>
                <w:b/>
                <w:bCs/>
                <w:color w:val="auto"/>
                <w:kern w:val="0"/>
                <w:sz w:val="21"/>
                <w:szCs w:val="21"/>
                <w:highlight w:val="none"/>
                <w:u w:val="none"/>
              </w:rPr>
              <w:t>Y</w:t>
            </w:r>
            <w:r>
              <w:rPr>
                <w:rFonts w:hint="eastAsia" w:ascii="Times New Roman" w:hAnsi="Times New Roman" w:eastAsia="宋体" w:cs="Times New Roman"/>
                <w:b/>
                <w:bCs/>
                <w:color w:val="auto"/>
                <w:kern w:val="0"/>
                <w:sz w:val="21"/>
                <w:szCs w:val="21"/>
                <w:highlight w:val="none"/>
                <w:u w:val="none"/>
                <w:lang w:eastAsia="zh-CN"/>
              </w:rPr>
              <w:t>）</w:t>
            </w:r>
          </w:p>
        </w:tc>
        <w:tc>
          <w:tcPr>
            <w:tcW w:w="600" w:type="pct"/>
            <w:noWrap w:val="0"/>
            <w:tcMar>
              <w:top w:w="0" w:type="dxa"/>
              <w:left w:w="28" w:type="dxa"/>
              <w:bottom w:w="0" w:type="dxa"/>
              <w:right w:w="28" w:type="dxa"/>
            </w:tcMar>
            <w:vAlign w:val="center"/>
          </w:tcPr>
          <w:p w14:paraId="58AD60B6">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ascii="Times New Roman" w:hAnsi="Times New Roman" w:eastAsia="宋体" w:cs="Times New Roman"/>
                <w:b/>
                <w:bCs/>
                <w:color w:val="auto"/>
                <w:kern w:val="0"/>
                <w:sz w:val="21"/>
                <w:szCs w:val="21"/>
                <w:highlight w:val="none"/>
                <w:u w:val="none"/>
                <w:lang w:val="en-US" w:eastAsia="zh-CN" w:bidi="ar-SA"/>
              </w:rPr>
            </w:pPr>
            <w:r>
              <w:rPr>
                <w:rFonts w:ascii="Times New Roman" w:hAnsi="Times New Roman" w:eastAsia="宋体" w:cs="Times New Roman"/>
                <w:b/>
                <w:bCs/>
                <w:color w:val="auto"/>
                <w:kern w:val="0"/>
                <w:sz w:val="21"/>
                <w:szCs w:val="21"/>
                <w:highlight w:val="none"/>
                <w:u w:val="none"/>
              </w:rPr>
              <w:t>10d</w:t>
            </w:r>
          </w:p>
        </w:tc>
        <w:tc>
          <w:tcPr>
            <w:tcW w:w="600" w:type="pct"/>
            <w:noWrap w:val="0"/>
            <w:tcMar>
              <w:top w:w="0" w:type="dxa"/>
              <w:left w:w="28" w:type="dxa"/>
              <w:bottom w:w="0" w:type="dxa"/>
              <w:right w:w="28" w:type="dxa"/>
            </w:tcMar>
            <w:vAlign w:val="center"/>
          </w:tcPr>
          <w:p w14:paraId="2EE22291">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ascii="Times New Roman" w:hAnsi="Times New Roman" w:eastAsia="宋体" w:cs="Times New Roman"/>
                <w:b/>
                <w:bCs/>
                <w:color w:val="auto"/>
                <w:kern w:val="0"/>
                <w:sz w:val="21"/>
                <w:szCs w:val="21"/>
                <w:highlight w:val="none"/>
                <w:u w:val="none"/>
                <w:lang w:val="en-US" w:eastAsia="zh-CN" w:bidi="ar-SA"/>
              </w:rPr>
            </w:pPr>
            <w:r>
              <w:rPr>
                <w:rFonts w:ascii="Times New Roman" w:hAnsi="Times New Roman" w:eastAsia="宋体" w:cs="Times New Roman"/>
                <w:b/>
                <w:bCs/>
                <w:color w:val="auto"/>
                <w:kern w:val="0"/>
                <w:sz w:val="21"/>
                <w:szCs w:val="21"/>
                <w:highlight w:val="none"/>
                <w:u w:val="none"/>
              </w:rPr>
              <w:t>50d</w:t>
            </w:r>
          </w:p>
        </w:tc>
        <w:tc>
          <w:tcPr>
            <w:tcW w:w="600" w:type="pct"/>
            <w:noWrap w:val="0"/>
            <w:tcMar>
              <w:top w:w="0" w:type="dxa"/>
              <w:left w:w="28" w:type="dxa"/>
              <w:bottom w:w="0" w:type="dxa"/>
              <w:right w:w="28" w:type="dxa"/>
            </w:tcMar>
            <w:vAlign w:val="center"/>
          </w:tcPr>
          <w:p w14:paraId="493DF75F">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ascii="Times New Roman" w:hAnsi="Times New Roman" w:eastAsia="宋体" w:cs="Times New Roman"/>
                <w:b/>
                <w:bCs/>
                <w:color w:val="auto"/>
                <w:kern w:val="0"/>
                <w:sz w:val="21"/>
                <w:szCs w:val="21"/>
                <w:highlight w:val="none"/>
                <w:u w:val="none"/>
                <w:lang w:val="en-US" w:eastAsia="zh-CN" w:bidi="ar-SA"/>
              </w:rPr>
            </w:pPr>
            <w:r>
              <w:rPr>
                <w:rFonts w:ascii="Times New Roman" w:hAnsi="Times New Roman" w:eastAsia="宋体" w:cs="Times New Roman"/>
                <w:b/>
                <w:bCs/>
                <w:color w:val="auto"/>
                <w:kern w:val="0"/>
                <w:sz w:val="21"/>
                <w:szCs w:val="21"/>
                <w:highlight w:val="none"/>
                <w:u w:val="none"/>
              </w:rPr>
              <w:t>100d</w:t>
            </w:r>
          </w:p>
        </w:tc>
        <w:tc>
          <w:tcPr>
            <w:tcW w:w="600" w:type="pct"/>
            <w:noWrap w:val="0"/>
            <w:tcMar>
              <w:top w:w="0" w:type="dxa"/>
              <w:left w:w="28" w:type="dxa"/>
              <w:bottom w:w="0" w:type="dxa"/>
              <w:right w:w="28" w:type="dxa"/>
            </w:tcMar>
            <w:vAlign w:val="center"/>
          </w:tcPr>
          <w:p w14:paraId="4D9ECC56">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ascii="Times New Roman" w:hAnsi="Times New Roman" w:eastAsia="宋体" w:cs="Times New Roman"/>
                <w:b/>
                <w:bCs/>
                <w:color w:val="auto"/>
                <w:kern w:val="0"/>
                <w:sz w:val="21"/>
                <w:szCs w:val="21"/>
                <w:highlight w:val="none"/>
                <w:u w:val="none"/>
                <w:lang w:val="en-US" w:eastAsia="zh-CN" w:bidi="ar-SA"/>
              </w:rPr>
            </w:pPr>
            <w:r>
              <w:rPr>
                <w:rFonts w:ascii="Times New Roman" w:hAnsi="Times New Roman" w:eastAsia="宋体" w:cs="Times New Roman"/>
                <w:b/>
                <w:bCs/>
                <w:color w:val="auto"/>
                <w:kern w:val="0"/>
                <w:sz w:val="21"/>
                <w:szCs w:val="21"/>
                <w:highlight w:val="none"/>
                <w:u w:val="none"/>
              </w:rPr>
              <w:t>200d</w:t>
            </w:r>
          </w:p>
        </w:tc>
        <w:tc>
          <w:tcPr>
            <w:tcW w:w="600" w:type="pct"/>
            <w:noWrap w:val="0"/>
            <w:tcMar>
              <w:top w:w="0" w:type="dxa"/>
              <w:left w:w="28" w:type="dxa"/>
              <w:bottom w:w="0" w:type="dxa"/>
              <w:right w:w="28" w:type="dxa"/>
            </w:tcMar>
            <w:vAlign w:val="center"/>
          </w:tcPr>
          <w:p w14:paraId="116A06C9">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ascii="Times New Roman" w:hAnsi="Times New Roman" w:eastAsia="宋体" w:cs="Times New Roman"/>
                <w:b/>
                <w:bCs/>
                <w:color w:val="auto"/>
                <w:kern w:val="0"/>
                <w:sz w:val="21"/>
                <w:szCs w:val="21"/>
                <w:highlight w:val="none"/>
                <w:u w:val="none"/>
                <w:lang w:val="en-US" w:eastAsia="zh-CN" w:bidi="ar-SA"/>
              </w:rPr>
            </w:pPr>
            <w:r>
              <w:rPr>
                <w:rFonts w:hint="eastAsia" w:ascii="Times New Roman" w:hAnsi="Times New Roman" w:eastAsia="宋体" w:cs="Times New Roman"/>
                <w:b/>
                <w:bCs/>
                <w:color w:val="auto"/>
                <w:kern w:val="0"/>
                <w:sz w:val="21"/>
                <w:szCs w:val="21"/>
                <w:highlight w:val="none"/>
                <w:u w:val="none"/>
                <w:lang w:val="en-US" w:eastAsia="zh-CN"/>
              </w:rPr>
              <w:t>3</w:t>
            </w:r>
            <w:r>
              <w:rPr>
                <w:rFonts w:ascii="Times New Roman" w:hAnsi="Times New Roman" w:eastAsia="宋体" w:cs="Times New Roman"/>
                <w:b/>
                <w:bCs/>
                <w:color w:val="auto"/>
                <w:kern w:val="0"/>
                <w:sz w:val="21"/>
                <w:szCs w:val="21"/>
                <w:highlight w:val="none"/>
                <w:u w:val="none"/>
              </w:rPr>
              <w:t>00d</w:t>
            </w:r>
          </w:p>
        </w:tc>
        <w:tc>
          <w:tcPr>
            <w:tcW w:w="600" w:type="pct"/>
            <w:noWrap w:val="0"/>
            <w:tcMar>
              <w:top w:w="0" w:type="dxa"/>
              <w:left w:w="28" w:type="dxa"/>
              <w:bottom w:w="0" w:type="dxa"/>
              <w:right w:w="28" w:type="dxa"/>
            </w:tcMar>
            <w:vAlign w:val="center"/>
          </w:tcPr>
          <w:p w14:paraId="2DD35E07">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ascii="Times New Roman" w:hAnsi="Times New Roman" w:eastAsia="宋体" w:cs="Times New Roman"/>
                <w:b/>
                <w:bCs/>
                <w:color w:val="auto"/>
                <w:kern w:val="0"/>
                <w:sz w:val="21"/>
                <w:szCs w:val="21"/>
                <w:highlight w:val="none"/>
                <w:u w:val="none"/>
                <w:lang w:val="en-US" w:eastAsia="zh-CN" w:bidi="ar-SA"/>
              </w:rPr>
            </w:pPr>
            <w:r>
              <w:rPr>
                <w:rFonts w:hint="eastAsia" w:ascii="Times New Roman" w:hAnsi="Times New Roman" w:eastAsia="宋体" w:cs="Times New Roman"/>
                <w:b/>
                <w:bCs/>
                <w:color w:val="auto"/>
                <w:kern w:val="0"/>
                <w:sz w:val="21"/>
                <w:szCs w:val="21"/>
                <w:highlight w:val="none"/>
                <w:u w:val="none"/>
                <w:lang w:val="en-US" w:eastAsia="zh-CN"/>
              </w:rPr>
              <w:t>4</w:t>
            </w:r>
            <w:r>
              <w:rPr>
                <w:rFonts w:ascii="Times New Roman" w:hAnsi="Times New Roman" w:eastAsia="宋体" w:cs="Times New Roman"/>
                <w:b/>
                <w:bCs/>
                <w:color w:val="auto"/>
                <w:kern w:val="0"/>
                <w:sz w:val="21"/>
                <w:szCs w:val="21"/>
                <w:highlight w:val="none"/>
                <w:u w:val="none"/>
              </w:rPr>
              <w:t>00d</w:t>
            </w:r>
          </w:p>
        </w:tc>
        <w:tc>
          <w:tcPr>
            <w:tcW w:w="600" w:type="pct"/>
            <w:noWrap w:val="0"/>
            <w:tcMar>
              <w:top w:w="0" w:type="dxa"/>
              <w:left w:w="28" w:type="dxa"/>
              <w:bottom w:w="0" w:type="dxa"/>
              <w:right w:w="28" w:type="dxa"/>
            </w:tcMar>
            <w:vAlign w:val="center"/>
          </w:tcPr>
          <w:p w14:paraId="3F264E42">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ascii="Times New Roman" w:hAnsi="Times New Roman" w:eastAsia="宋体" w:cs="Times New Roman"/>
                <w:b/>
                <w:bCs/>
                <w:color w:val="auto"/>
                <w:kern w:val="0"/>
                <w:sz w:val="21"/>
                <w:szCs w:val="21"/>
                <w:highlight w:val="none"/>
                <w:u w:val="none"/>
                <w:lang w:val="en-US" w:eastAsia="zh-CN" w:bidi="ar-SA"/>
              </w:rPr>
            </w:pPr>
            <w:r>
              <w:rPr>
                <w:rFonts w:hint="eastAsia" w:cs="Times New Roman"/>
                <w:b/>
                <w:bCs/>
                <w:color w:val="auto"/>
                <w:kern w:val="0"/>
                <w:sz w:val="21"/>
                <w:szCs w:val="21"/>
                <w:highlight w:val="none"/>
                <w:u w:val="none"/>
                <w:lang w:val="en-US" w:eastAsia="zh-CN"/>
              </w:rPr>
              <w:t>10</w:t>
            </w:r>
            <w:r>
              <w:rPr>
                <w:rFonts w:ascii="Times New Roman" w:hAnsi="Times New Roman" w:eastAsia="宋体" w:cs="Times New Roman"/>
                <w:b/>
                <w:bCs/>
                <w:color w:val="auto"/>
                <w:kern w:val="0"/>
                <w:sz w:val="21"/>
                <w:szCs w:val="21"/>
                <w:highlight w:val="none"/>
                <w:u w:val="none"/>
              </w:rPr>
              <w:t>00d</w:t>
            </w:r>
          </w:p>
        </w:tc>
      </w:tr>
      <w:tr w14:paraId="5174CB3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53" w:hRule="atLeast"/>
        </w:trPr>
        <w:tc>
          <w:tcPr>
            <w:tcW w:w="795" w:type="pct"/>
            <w:shd w:val="clear" w:color="auto" w:fill="auto"/>
            <w:noWrap w:val="0"/>
            <w:tcMar>
              <w:top w:w="0" w:type="dxa"/>
              <w:left w:w="28" w:type="dxa"/>
              <w:bottom w:w="0" w:type="dxa"/>
              <w:right w:w="28" w:type="dxa"/>
            </w:tcMar>
            <w:vAlign w:val="center"/>
          </w:tcPr>
          <w:p w14:paraId="056B3F90">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auto"/>
                <w:kern w:val="0"/>
                <w:sz w:val="21"/>
                <w:szCs w:val="21"/>
                <w:highlight w:val="none"/>
                <w:u w:val="none"/>
              </w:rPr>
            </w:pPr>
            <w:r>
              <w:rPr>
                <w:rFonts w:ascii="Times New Roman" w:hAnsi="Times New Roman" w:eastAsia="宋体" w:cs="Times New Roman"/>
                <w:color w:val="auto"/>
                <w:kern w:val="0"/>
                <w:sz w:val="21"/>
                <w:szCs w:val="21"/>
                <w:highlight w:val="none"/>
                <w:u w:val="none"/>
              </w:rPr>
              <w:t>（0</w:t>
            </w:r>
            <w:r>
              <w:rPr>
                <w:rFonts w:hint="eastAsia" w:ascii="Times New Roman" w:hAnsi="Times New Roman" w:eastAsia="宋体" w:cs="Times New Roman"/>
                <w:color w:val="auto"/>
                <w:kern w:val="0"/>
                <w:sz w:val="21"/>
                <w:szCs w:val="21"/>
                <w:highlight w:val="none"/>
                <w:u w:val="none"/>
                <w:lang w:eastAsia="zh-CN"/>
              </w:rPr>
              <w:t>，</w:t>
            </w:r>
            <w:r>
              <w:rPr>
                <w:rFonts w:ascii="Times New Roman" w:hAnsi="Times New Roman" w:eastAsia="宋体" w:cs="Times New Roman"/>
                <w:color w:val="auto"/>
                <w:kern w:val="0"/>
                <w:sz w:val="21"/>
                <w:szCs w:val="21"/>
                <w:highlight w:val="none"/>
                <w:u w:val="none"/>
              </w:rPr>
              <w:t>0）</w:t>
            </w:r>
          </w:p>
        </w:tc>
        <w:tc>
          <w:tcPr>
            <w:tcW w:w="600" w:type="pct"/>
            <w:shd w:val="clear" w:color="auto" w:fill="auto"/>
            <w:noWrap w:val="0"/>
            <w:tcMar>
              <w:top w:w="0" w:type="dxa"/>
              <w:left w:w="28" w:type="dxa"/>
              <w:bottom w:w="0" w:type="dxa"/>
              <w:right w:w="28" w:type="dxa"/>
            </w:tcMar>
            <w:vAlign w:val="center"/>
          </w:tcPr>
          <w:p w14:paraId="7A8C6645">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0"/>
                <w:sz w:val="21"/>
                <w:szCs w:val="21"/>
                <w:highlight w:val="none"/>
                <w:u w:val="none"/>
                <w:lang w:val="en-US" w:eastAsia="zh-CN"/>
              </w:rPr>
            </w:pPr>
            <w:r>
              <w:rPr>
                <w:rFonts w:hint="eastAsia" w:ascii="Times New Roman" w:hAnsi="Times New Roman" w:eastAsia="宋体" w:cs="Times New Roman"/>
                <w:color w:val="auto"/>
                <w:kern w:val="0"/>
                <w:sz w:val="21"/>
                <w:szCs w:val="21"/>
                <w:highlight w:val="none"/>
                <w:u w:val="none"/>
              </w:rPr>
              <w:t>5.31E+0</w:t>
            </w:r>
            <w:r>
              <w:rPr>
                <w:rFonts w:hint="eastAsia" w:ascii="Times New Roman" w:hAnsi="Times New Roman" w:eastAsia="宋体" w:cs="Times New Roman"/>
                <w:color w:val="auto"/>
                <w:kern w:val="0"/>
                <w:sz w:val="21"/>
                <w:szCs w:val="21"/>
                <w:highlight w:val="none"/>
                <w:u w:val="none"/>
                <w:lang w:val="en-US" w:eastAsia="zh-CN"/>
              </w:rPr>
              <w:t>1</w:t>
            </w:r>
          </w:p>
        </w:tc>
        <w:tc>
          <w:tcPr>
            <w:tcW w:w="600" w:type="pct"/>
            <w:shd w:val="clear" w:color="auto" w:fill="auto"/>
            <w:noWrap w:val="0"/>
            <w:tcMar>
              <w:top w:w="0" w:type="dxa"/>
              <w:left w:w="28" w:type="dxa"/>
              <w:bottom w:w="0" w:type="dxa"/>
              <w:right w:w="28" w:type="dxa"/>
            </w:tcMar>
            <w:vAlign w:val="center"/>
          </w:tcPr>
          <w:p w14:paraId="66F327A9">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auto"/>
                <w:kern w:val="0"/>
                <w:sz w:val="21"/>
                <w:szCs w:val="21"/>
                <w:highlight w:val="none"/>
                <w:u w:val="none"/>
              </w:rPr>
            </w:pPr>
            <w:r>
              <w:rPr>
                <w:rFonts w:hint="eastAsia" w:ascii="Times New Roman" w:hAnsi="Times New Roman" w:eastAsia="宋体" w:cs="Times New Roman"/>
                <w:color w:val="auto"/>
                <w:kern w:val="0"/>
                <w:sz w:val="21"/>
                <w:szCs w:val="21"/>
                <w:highlight w:val="none"/>
                <w:u w:val="none"/>
              </w:rPr>
              <w:t>5.31E+0</w:t>
            </w:r>
            <w:r>
              <w:rPr>
                <w:rFonts w:hint="eastAsia" w:ascii="Times New Roman" w:hAnsi="Times New Roman" w:eastAsia="宋体" w:cs="Times New Roman"/>
                <w:color w:val="auto"/>
                <w:kern w:val="0"/>
                <w:sz w:val="21"/>
                <w:szCs w:val="21"/>
                <w:highlight w:val="none"/>
                <w:u w:val="none"/>
                <w:lang w:val="en-US" w:eastAsia="zh-CN"/>
              </w:rPr>
              <w:t>1</w:t>
            </w:r>
          </w:p>
        </w:tc>
        <w:tc>
          <w:tcPr>
            <w:tcW w:w="600" w:type="pct"/>
            <w:shd w:val="clear" w:color="auto" w:fill="auto"/>
            <w:noWrap w:val="0"/>
            <w:tcMar>
              <w:top w:w="0" w:type="dxa"/>
              <w:left w:w="28" w:type="dxa"/>
              <w:bottom w:w="0" w:type="dxa"/>
              <w:right w:w="28" w:type="dxa"/>
            </w:tcMar>
            <w:vAlign w:val="center"/>
          </w:tcPr>
          <w:p w14:paraId="345EE3D9">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auto"/>
                <w:kern w:val="0"/>
                <w:sz w:val="21"/>
                <w:szCs w:val="21"/>
                <w:highlight w:val="none"/>
                <w:u w:val="none"/>
              </w:rPr>
            </w:pPr>
            <w:r>
              <w:rPr>
                <w:rFonts w:hint="eastAsia" w:ascii="Times New Roman" w:hAnsi="Times New Roman" w:eastAsia="宋体" w:cs="Times New Roman"/>
                <w:color w:val="auto"/>
                <w:kern w:val="0"/>
                <w:sz w:val="21"/>
                <w:szCs w:val="21"/>
                <w:highlight w:val="none"/>
                <w:u w:val="none"/>
              </w:rPr>
              <w:t>5.31E+0</w:t>
            </w:r>
            <w:r>
              <w:rPr>
                <w:rFonts w:hint="eastAsia" w:ascii="Times New Roman" w:hAnsi="Times New Roman" w:eastAsia="宋体" w:cs="Times New Roman"/>
                <w:color w:val="auto"/>
                <w:kern w:val="0"/>
                <w:sz w:val="21"/>
                <w:szCs w:val="21"/>
                <w:highlight w:val="none"/>
                <w:u w:val="none"/>
                <w:lang w:val="en-US" w:eastAsia="zh-CN"/>
              </w:rPr>
              <w:t>1</w:t>
            </w:r>
          </w:p>
        </w:tc>
        <w:tc>
          <w:tcPr>
            <w:tcW w:w="600" w:type="pct"/>
            <w:shd w:val="clear" w:color="auto" w:fill="auto"/>
            <w:noWrap w:val="0"/>
            <w:tcMar>
              <w:top w:w="0" w:type="dxa"/>
              <w:left w:w="28" w:type="dxa"/>
              <w:bottom w:w="0" w:type="dxa"/>
              <w:right w:w="28" w:type="dxa"/>
            </w:tcMar>
            <w:vAlign w:val="center"/>
          </w:tcPr>
          <w:p w14:paraId="283EF754">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auto"/>
                <w:kern w:val="0"/>
                <w:sz w:val="21"/>
                <w:szCs w:val="21"/>
                <w:highlight w:val="none"/>
                <w:u w:val="none"/>
              </w:rPr>
            </w:pPr>
            <w:r>
              <w:rPr>
                <w:rFonts w:hint="eastAsia" w:ascii="Times New Roman" w:hAnsi="Times New Roman" w:eastAsia="宋体" w:cs="Times New Roman"/>
                <w:color w:val="auto"/>
                <w:kern w:val="0"/>
                <w:sz w:val="21"/>
                <w:szCs w:val="21"/>
                <w:highlight w:val="none"/>
                <w:u w:val="none"/>
              </w:rPr>
              <w:t>5.31E+0</w:t>
            </w:r>
            <w:r>
              <w:rPr>
                <w:rFonts w:hint="eastAsia" w:ascii="Times New Roman" w:hAnsi="Times New Roman" w:eastAsia="宋体" w:cs="Times New Roman"/>
                <w:color w:val="auto"/>
                <w:kern w:val="0"/>
                <w:sz w:val="21"/>
                <w:szCs w:val="21"/>
                <w:highlight w:val="none"/>
                <w:u w:val="none"/>
                <w:lang w:val="en-US" w:eastAsia="zh-CN"/>
              </w:rPr>
              <w:t>1</w:t>
            </w:r>
          </w:p>
        </w:tc>
        <w:tc>
          <w:tcPr>
            <w:tcW w:w="600" w:type="pct"/>
            <w:shd w:val="clear" w:color="auto" w:fill="auto"/>
            <w:noWrap w:val="0"/>
            <w:tcMar>
              <w:top w:w="0" w:type="dxa"/>
              <w:left w:w="28" w:type="dxa"/>
              <w:bottom w:w="0" w:type="dxa"/>
              <w:right w:w="28" w:type="dxa"/>
            </w:tcMar>
            <w:vAlign w:val="center"/>
          </w:tcPr>
          <w:p w14:paraId="496295A9">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auto"/>
                <w:kern w:val="0"/>
                <w:sz w:val="21"/>
                <w:szCs w:val="21"/>
                <w:highlight w:val="none"/>
                <w:u w:val="none"/>
              </w:rPr>
            </w:pPr>
            <w:r>
              <w:rPr>
                <w:rFonts w:hint="eastAsia" w:ascii="Times New Roman" w:hAnsi="Times New Roman" w:eastAsia="宋体" w:cs="Times New Roman"/>
                <w:color w:val="auto"/>
                <w:kern w:val="0"/>
                <w:sz w:val="21"/>
                <w:szCs w:val="21"/>
                <w:highlight w:val="none"/>
                <w:u w:val="none"/>
              </w:rPr>
              <w:t>5.31E+0</w:t>
            </w:r>
            <w:r>
              <w:rPr>
                <w:rFonts w:hint="eastAsia" w:ascii="Times New Roman" w:hAnsi="Times New Roman" w:eastAsia="宋体" w:cs="Times New Roman"/>
                <w:color w:val="auto"/>
                <w:kern w:val="0"/>
                <w:sz w:val="21"/>
                <w:szCs w:val="21"/>
                <w:highlight w:val="none"/>
                <w:u w:val="none"/>
                <w:lang w:val="en-US" w:eastAsia="zh-CN"/>
              </w:rPr>
              <w:t>1</w:t>
            </w:r>
          </w:p>
        </w:tc>
        <w:tc>
          <w:tcPr>
            <w:tcW w:w="600" w:type="pct"/>
            <w:shd w:val="clear" w:color="auto" w:fill="auto"/>
            <w:noWrap w:val="0"/>
            <w:tcMar>
              <w:top w:w="0" w:type="dxa"/>
              <w:left w:w="28" w:type="dxa"/>
              <w:bottom w:w="0" w:type="dxa"/>
              <w:right w:w="28" w:type="dxa"/>
            </w:tcMar>
            <w:vAlign w:val="center"/>
          </w:tcPr>
          <w:p w14:paraId="63C5235F">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auto"/>
                <w:kern w:val="0"/>
                <w:sz w:val="21"/>
                <w:szCs w:val="21"/>
                <w:highlight w:val="none"/>
                <w:u w:val="none"/>
              </w:rPr>
            </w:pPr>
            <w:r>
              <w:rPr>
                <w:rFonts w:hint="eastAsia" w:ascii="Times New Roman" w:hAnsi="Times New Roman" w:eastAsia="宋体" w:cs="Times New Roman"/>
                <w:color w:val="auto"/>
                <w:kern w:val="0"/>
                <w:sz w:val="21"/>
                <w:szCs w:val="21"/>
                <w:highlight w:val="none"/>
                <w:u w:val="none"/>
              </w:rPr>
              <w:t>5.31E+0</w:t>
            </w:r>
            <w:r>
              <w:rPr>
                <w:rFonts w:hint="eastAsia" w:ascii="Times New Roman" w:hAnsi="Times New Roman" w:eastAsia="宋体" w:cs="Times New Roman"/>
                <w:color w:val="auto"/>
                <w:kern w:val="0"/>
                <w:sz w:val="21"/>
                <w:szCs w:val="21"/>
                <w:highlight w:val="none"/>
                <w:u w:val="none"/>
                <w:lang w:val="en-US" w:eastAsia="zh-CN"/>
              </w:rPr>
              <w:t>1</w:t>
            </w:r>
          </w:p>
        </w:tc>
        <w:tc>
          <w:tcPr>
            <w:tcW w:w="600" w:type="pct"/>
            <w:shd w:val="clear" w:color="auto" w:fill="auto"/>
            <w:noWrap w:val="0"/>
            <w:tcMar>
              <w:top w:w="0" w:type="dxa"/>
              <w:left w:w="28" w:type="dxa"/>
              <w:bottom w:w="0" w:type="dxa"/>
              <w:right w:w="28" w:type="dxa"/>
            </w:tcMar>
            <w:vAlign w:val="center"/>
          </w:tcPr>
          <w:p w14:paraId="2978B7CE">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auto"/>
                <w:kern w:val="0"/>
                <w:sz w:val="21"/>
                <w:szCs w:val="21"/>
                <w:highlight w:val="none"/>
                <w:u w:val="none"/>
              </w:rPr>
            </w:pPr>
            <w:r>
              <w:rPr>
                <w:rFonts w:hint="eastAsia" w:ascii="Times New Roman" w:hAnsi="Times New Roman" w:eastAsia="宋体" w:cs="Times New Roman"/>
                <w:color w:val="auto"/>
                <w:kern w:val="0"/>
                <w:sz w:val="21"/>
                <w:szCs w:val="21"/>
                <w:highlight w:val="none"/>
                <w:u w:val="none"/>
              </w:rPr>
              <w:t>5.31E+0</w:t>
            </w:r>
            <w:r>
              <w:rPr>
                <w:rFonts w:hint="eastAsia" w:ascii="Times New Roman" w:hAnsi="Times New Roman" w:eastAsia="宋体" w:cs="Times New Roman"/>
                <w:color w:val="auto"/>
                <w:kern w:val="0"/>
                <w:sz w:val="21"/>
                <w:szCs w:val="21"/>
                <w:highlight w:val="none"/>
                <w:u w:val="none"/>
                <w:lang w:val="en-US" w:eastAsia="zh-CN"/>
              </w:rPr>
              <w:t>1</w:t>
            </w:r>
          </w:p>
        </w:tc>
      </w:tr>
      <w:tr w14:paraId="26D1023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95" w:type="pct"/>
            <w:shd w:val="clear" w:color="auto" w:fill="auto"/>
            <w:noWrap w:val="0"/>
            <w:tcMar>
              <w:top w:w="0" w:type="dxa"/>
              <w:left w:w="28" w:type="dxa"/>
              <w:bottom w:w="0" w:type="dxa"/>
              <w:right w:w="28" w:type="dxa"/>
            </w:tcMar>
            <w:vAlign w:val="center"/>
          </w:tcPr>
          <w:p w14:paraId="096B7593">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auto"/>
                <w:kern w:val="0"/>
                <w:sz w:val="21"/>
                <w:szCs w:val="21"/>
                <w:highlight w:val="none"/>
                <w:u w:val="none"/>
              </w:rPr>
            </w:pPr>
            <w:r>
              <w:rPr>
                <w:rFonts w:ascii="Times New Roman" w:hAnsi="Times New Roman" w:eastAsia="宋体" w:cs="Times New Roman"/>
                <w:color w:val="auto"/>
                <w:kern w:val="0"/>
                <w:sz w:val="21"/>
                <w:szCs w:val="21"/>
                <w:highlight w:val="none"/>
                <w:u w:val="none"/>
              </w:rPr>
              <w:t>（5</w:t>
            </w:r>
            <w:r>
              <w:rPr>
                <w:rFonts w:hint="eastAsia" w:ascii="Times New Roman" w:hAnsi="Times New Roman" w:eastAsia="宋体" w:cs="Times New Roman"/>
                <w:color w:val="auto"/>
                <w:kern w:val="0"/>
                <w:sz w:val="21"/>
                <w:szCs w:val="21"/>
                <w:highlight w:val="none"/>
                <w:u w:val="none"/>
                <w:lang w:eastAsia="zh-CN"/>
              </w:rPr>
              <w:t>，</w:t>
            </w:r>
            <w:r>
              <w:rPr>
                <w:rFonts w:ascii="Times New Roman" w:hAnsi="Times New Roman" w:eastAsia="宋体" w:cs="Times New Roman"/>
                <w:color w:val="auto"/>
                <w:kern w:val="0"/>
                <w:sz w:val="21"/>
                <w:szCs w:val="21"/>
                <w:highlight w:val="none"/>
                <w:u w:val="none"/>
              </w:rPr>
              <w:t>5）</w:t>
            </w:r>
          </w:p>
        </w:tc>
        <w:tc>
          <w:tcPr>
            <w:tcW w:w="600" w:type="pct"/>
            <w:shd w:val="clear" w:color="auto" w:fill="auto"/>
            <w:noWrap w:val="0"/>
            <w:tcMar>
              <w:top w:w="0" w:type="dxa"/>
              <w:left w:w="28" w:type="dxa"/>
              <w:bottom w:w="0" w:type="dxa"/>
              <w:right w:w="28" w:type="dxa"/>
            </w:tcMar>
            <w:vAlign w:val="center"/>
          </w:tcPr>
          <w:p w14:paraId="3AC687B3">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auto"/>
                <w:kern w:val="0"/>
                <w:sz w:val="21"/>
                <w:szCs w:val="21"/>
                <w:highlight w:val="none"/>
                <w:u w:val="none"/>
              </w:rPr>
            </w:pPr>
            <w:r>
              <w:rPr>
                <w:rFonts w:hint="eastAsia" w:ascii="Times New Roman" w:hAnsi="Times New Roman" w:eastAsia="宋体" w:cs="Times New Roman"/>
                <w:color w:val="auto"/>
                <w:kern w:val="0"/>
                <w:sz w:val="21"/>
                <w:szCs w:val="21"/>
                <w:highlight w:val="none"/>
                <w:u w:val="none"/>
              </w:rPr>
              <w:t>9.92E-292</w:t>
            </w:r>
          </w:p>
        </w:tc>
        <w:tc>
          <w:tcPr>
            <w:tcW w:w="600" w:type="pct"/>
            <w:shd w:val="clear" w:color="auto" w:fill="auto"/>
            <w:noWrap w:val="0"/>
            <w:tcMar>
              <w:top w:w="0" w:type="dxa"/>
              <w:left w:w="28" w:type="dxa"/>
              <w:bottom w:w="0" w:type="dxa"/>
              <w:right w:w="28" w:type="dxa"/>
            </w:tcMar>
            <w:vAlign w:val="center"/>
          </w:tcPr>
          <w:p w14:paraId="52F5EB96">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auto"/>
                <w:kern w:val="0"/>
                <w:sz w:val="21"/>
                <w:szCs w:val="21"/>
                <w:highlight w:val="none"/>
                <w:u w:val="none"/>
              </w:rPr>
            </w:pPr>
            <w:r>
              <w:rPr>
                <w:rFonts w:hint="eastAsia" w:ascii="Times New Roman" w:hAnsi="Times New Roman" w:eastAsia="宋体" w:cs="Times New Roman"/>
                <w:color w:val="auto"/>
                <w:kern w:val="0"/>
                <w:sz w:val="21"/>
                <w:szCs w:val="21"/>
                <w:highlight w:val="none"/>
                <w:u w:val="none"/>
              </w:rPr>
              <w:t>5.42E-59</w:t>
            </w:r>
          </w:p>
        </w:tc>
        <w:tc>
          <w:tcPr>
            <w:tcW w:w="600" w:type="pct"/>
            <w:shd w:val="clear" w:color="auto" w:fill="auto"/>
            <w:noWrap w:val="0"/>
            <w:tcMar>
              <w:top w:w="0" w:type="dxa"/>
              <w:left w:w="28" w:type="dxa"/>
              <w:bottom w:w="0" w:type="dxa"/>
              <w:right w:w="28" w:type="dxa"/>
            </w:tcMar>
            <w:vAlign w:val="center"/>
          </w:tcPr>
          <w:p w14:paraId="23DA2D45">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auto"/>
                <w:kern w:val="0"/>
                <w:sz w:val="21"/>
                <w:szCs w:val="21"/>
                <w:highlight w:val="none"/>
                <w:u w:val="none"/>
              </w:rPr>
            </w:pPr>
            <w:r>
              <w:rPr>
                <w:rFonts w:hint="eastAsia" w:ascii="Times New Roman" w:hAnsi="Times New Roman" w:eastAsia="宋体" w:cs="Times New Roman"/>
                <w:color w:val="auto"/>
                <w:kern w:val="0"/>
                <w:sz w:val="21"/>
                <w:szCs w:val="21"/>
                <w:highlight w:val="none"/>
                <w:u w:val="none"/>
              </w:rPr>
              <w:t>1.09E-29</w:t>
            </w:r>
          </w:p>
        </w:tc>
        <w:tc>
          <w:tcPr>
            <w:tcW w:w="600" w:type="pct"/>
            <w:shd w:val="clear" w:color="auto" w:fill="auto"/>
            <w:noWrap w:val="0"/>
            <w:tcMar>
              <w:top w:w="0" w:type="dxa"/>
              <w:left w:w="28" w:type="dxa"/>
              <w:bottom w:w="0" w:type="dxa"/>
              <w:right w:w="28" w:type="dxa"/>
            </w:tcMar>
            <w:vAlign w:val="center"/>
          </w:tcPr>
          <w:p w14:paraId="2FBB1A9D">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auto"/>
                <w:kern w:val="0"/>
                <w:sz w:val="21"/>
                <w:szCs w:val="21"/>
                <w:highlight w:val="none"/>
                <w:u w:val="none"/>
              </w:rPr>
            </w:pPr>
            <w:r>
              <w:rPr>
                <w:rFonts w:hint="eastAsia" w:ascii="Times New Roman" w:hAnsi="Times New Roman" w:eastAsia="宋体" w:cs="Times New Roman"/>
                <w:color w:val="auto"/>
                <w:kern w:val="0"/>
                <w:sz w:val="21"/>
                <w:szCs w:val="21"/>
                <w:highlight w:val="none"/>
                <w:u w:val="none"/>
              </w:rPr>
              <w:t>6.84E-15</w:t>
            </w:r>
          </w:p>
        </w:tc>
        <w:tc>
          <w:tcPr>
            <w:tcW w:w="600" w:type="pct"/>
            <w:shd w:val="clear" w:color="auto" w:fill="auto"/>
            <w:noWrap w:val="0"/>
            <w:tcMar>
              <w:top w:w="0" w:type="dxa"/>
              <w:left w:w="28" w:type="dxa"/>
              <w:bottom w:w="0" w:type="dxa"/>
              <w:right w:w="28" w:type="dxa"/>
            </w:tcMar>
            <w:vAlign w:val="center"/>
          </w:tcPr>
          <w:p w14:paraId="5FF61620">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auto"/>
                <w:kern w:val="0"/>
                <w:sz w:val="21"/>
                <w:szCs w:val="21"/>
                <w:highlight w:val="none"/>
                <w:u w:val="none"/>
              </w:rPr>
            </w:pPr>
            <w:r>
              <w:rPr>
                <w:rFonts w:hint="eastAsia" w:ascii="Times New Roman" w:hAnsi="Times New Roman" w:eastAsia="宋体" w:cs="Times New Roman"/>
                <w:color w:val="auto"/>
                <w:kern w:val="0"/>
                <w:sz w:val="21"/>
                <w:szCs w:val="21"/>
                <w:highlight w:val="none"/>
                <w:u w:val="none"/>
              </w:rPr>
              <w:t>6.89E-10</w:t>
            </w:r>
          </w:p>
        </w:tc>
        <w:tc>
          <w:tcPr>
            <w:tcW w:w="600" w:type="pct"/>
            <w:shd w:val="clear" w:color="auto" w:fill="auto"/>
            <w:noWrap w:val="0"/>
            <w:tcMar>
              <w:top w:w="0" w:type="dxa"/>
              <w:left w:w="28" w:type="dxa"/>
              <w:bottom w:w="0" w:type="dxa"/>
              <w:right w:w="28" w:type="dxa"/>
            </w:tcMar>
            <w:vAlign w:val="center"/>
          </w:tcPr>
          <w:p w14:paraId="10BB1971">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auto"/>
                <w:kern w:val="0"/>
                <w:sz w:val="21"/>
                <w:szCs w:val="21"/>
                <w:highlight w:val="none"/>
                <w:u w:val="none"/>
              </w:rPr>
            </w:pPr>
            <w:r>
              <w:rPr>
                <w:rFonts w:hint="eastAsia" w:ascii="Times New Roman" w:hAnsi="Times New Roman" w:eastAsia="宋体" w:cs="Times New Roman"/>
                <w:color w:val="auto"/>
                <w:kern w:val="0"/>
                <w:sz w:val="21"/>
                <w:szCs w:val="21"/>
                <w:highlight w:val="none"/>
                <w:u w:val="none"/>
              </w:rPr>
              <w:t>2.37E-07</w:t>
            </w:r>
          </w:p>
        </w:tc>
        <w:tc>
          <w:tcPr>
            <w:tcW w:w="600" w:type="pct"/>
            <w:shd w:val="clear" w:color="auto" w:fill="auto"/>
            <w:noWrap w:val="0"/>
            <w:tcMar>
              <w:top w:w="0" w:type="dxa"/>
              <w:left w:w="28" w:type="dxa"/>
              <w:bottom w:w="0" w:type="dxa"/>
              <w:right w:w="28" w:type="dxa"/>
            </w:tcMar>
            <w:vAlign w:val="center"/>
          </w:tcPr>
          <w:p w14:paraId="1E0F451A">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auto"/>
                <w:kern w:val="0"/>
                <w:sz w:val="21"/>
                <w:szCs w:val="21"/>
                <w:highlight w:val="none"/>
                <w:u w:val="none"/>
              </w:rPr>
            </w:pPr>
            <w:r>
              <w:rPr>
                <w:rFonts w:hint="eastAsia" w:ascii="Times New Roman" w:hAnsi="Times New Roman" w:eastAsia="宋体" w:cs="Times New Roman"/>
                <w:color w:val="auto"/>
                <w:kern w:val="0"/>
                <w:sz w:val="21"/>
                <w:szCs w:val="21"/>
                <w:highlight w:val="none"/>
                <w:u w:val="none"/>
              </w:rPr>
              <w:t>8.24E-06</w:t>
            </w:r>
          </w:p>
        </w:tc>
      </w:tr>
      <w:tr w14:paraId="4CD87B9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95" w:type="pct"/>
            <w:noWrap w:val="0"/>
            <w:tcMar>
              <w:top w:w="0" w:type="dxa"/>
              <w:left w:w="28" w:type="dxa"/>
              <w:bottom w:w="0" w:type="dxa"/>
              <w:right w:w="28" w:type="dxa"/>
            </w:tcMar>
            <w:vAlign w:val="center"/>
          </w:tcPr>
          <w:p w14:paraId="23160F8D">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auto"/>
                <w:kern w:val="0"/>
                <w:sz w:val="21"/>
                <w:szCs w:val="21"/>
                <w:highlight w:val="none"/>
                <w:u w:val="none"/>
              </w:rPr>
            </w:pPr>
            <w:r>
              <w:rPr>
                <w:rFonts w:ascii="Times New Roman" w:hAnsi="Times New Roman" w:eastAsia="宋体" w:cs="Times New Roman"/>
                <w:color w:val="auto"/>
                <w:kern w:val="0"/>
                <w:sz w:val="21"/>
                <w:szCs w:val="21"/>
                <w:highlight w:val="none"/>
                <w:u w:val="none"/>
              </w:rPr>
              <w:t>（10，10）</w:t>
            </w:r>
          </w:p>
        </w:tc>
        <w:tc>
          <w:tcPr>
            <w:tcW w:w="600" w:type="pct"/>
            <w:noWrap w:val="0"/>
            <w:tcMar>
              <w:top w:w="0" w:type="dxa"/>
              <w:left w:w="28" w:type="dxa"/>
              <w:bottom w:w="0" w:type="dxa"/>
              <w:right w:w="28" w:type="dxa"/>
            </w:tcMar>
            <w:vAlign w:val="center"/>
          </w:tcPr>
          <w:p w14:paraId="35067F72">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auto"/>
                <w:kern w:val="0"/>
                <w:sz w:val="21"/>
                <w:szCs w:val="21"/>
                <w:highlight w:val="none"/>
                <w:u w:val="none"/>
              </w:rPr>
            </w:pPr>
            <w:r>
              <w:rPr>
                <w:rFonts w:hint="eastAsia" w:ascii="Times New Roman" w:hAnsi="Times New Roman" w:eastAsia="宋体" w:cs="Times New Roman"/>
                <w:color w:val="auto"/>
                <w:kern w:val="0"/>
                <w:sz w:val="21"/>
                <w:szCs w:val="21"/>
                <w:highlight w:val="none"/>
                <w:u w:val="none"/>
              </w:rPr>
              <w:t>0.00E+00</w:t>
            </w:r>
          </w:p>
        </w:tc>
        <w:tc>
          <w:tcPr>
            <w:tcW w:w="600" w:type="pct"/>
            <w:noWrap w:val="0"/>
            <w:tcMar>
              <w:top w:w="0" w:type="dxa"/>
              <w:left w:w="28" w:type="dxa"/>
              <w:bottom w:w="0" w:type="dxa"/>
              <w:right w:w="28" w:type="dxa"/>
            </w:tcMar>
            <w:vAlign w:val="center"/>
          </w:tcPr>
          <w:p w14:paraId="49A84CC8">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auto"/>
                <w:kern w:val="0"/>
                <w:sz w:val="21"/>
                <w:szCs w:val="21"/>
                <w:highlight w:val="none"/>
                <w:u w:val="none"/>
              </w:rPr>
            </w:pPr>
            <w:r>
              <w:rPr>
                <w:rFonts w:hint="eastAsia" w:ascii="Times New Roman" w:hAnsi="Times New Roman" w:eastAsia="宋体" w:cs="Times New Roman"/>
                <w:color w:val="auto"/>
                <w:kern w:val="0"/>
                <w:sz w:val="21"/>
                <w:szCs w:val="21"/>
                <w:highlight w:val="none"/>
                <w:u w:val="none"/>
              </w:rPr>
              <w:t>1.79E-233</w:t>
            </w:r>
          </w:p>
        </w:tc>
        <w:tc>
          <w:tcPr>
            <w:tcW w:w="600" w:type="pct"/>
            <w:noWrap w:val="0"/>
            <w:tcMar>
              <w:top w:w="0" w:type="dxa"/>
              <w:left w:w="28" w:type="dxa"/>
              <w:bottom w:w="0" w:type="dxa"/>
              <w:right w:w="28" w:type="dxa"/>
            </w:tcMar>
            <w:vAlign w:val="center"/>
          </w:tcPr>
          <w:p w14:paraId="201EBBE2">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auto"/>
                <w:kern w:val="0"/>
                <w:sz w:val="21"/>
                <w:szCs w:val="21"/>
                <w:highlight w:val="none"/>
                <w:u w:val="none"/>
              </w:rPr>
            </w:pPr>
            <w:r>
              <w:rPr>
                <w:rFonts w:hint="eastAsia" w:ascii="Times New Roman" w:hAnsi="Times New Roman" w:eastAsia="宋体" w:cs="Times New Roman"/>
                <w:color w:val="auto"/>
                <w:kern w:val="0"/>
                <w:sz w:val="21"/>
                <w:szCs w:val="21"/>
                <w:highlight w:val="none"/>
                <w:u w:val="none"/>
              </w:rPr>
              <w:t>3.74E-117</w:t>
            </w:r>
          </w:p>
        </w:tc>
        <w:tc>
          <w:tcPr>
            <w:tcW w:w="600" w:type="pct"/>
            <w:noWrap w:val="0"/>
            <w:tcMar>
              <w:top w:w="0" w:type="dxa"/>
              <w:left w:w="28" w:type="dxa"/>
              <w:bottom w:w="0" w:type="dxa"/>
              <w:right w:w="28" w:type="dxa"/>
            </w:tcMar>
            <w:vAlign w:val="center"/>
          </w:tcPr>
          <w:p w14:paraId="2F04D318">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auto"/>
                <w:kern w:val="0"/>
                <w:sz w:val="21"/>
                <w:szCs w:val="21"/>
                <w:highlight w:val="none"/>
                <w:u w:val="none"/>
              </w:rPr>
            </w:pPr>
            <w:r>
              <w:rPr>
                <w:rFonts w:hint="eastAsia" w:ascii="Times New Roman" w:hAnsi="Times New Roman" w:eastAsia="宋体" w:cs="Times New Roman"/>
                <w:color w:val="auto"/>
                <w:kern w:val="0"/>
                <w:sz w:val="21"/>
                <w:szCs w:val="21"/>
                <w:highlight w:val="none"/>
                <w:u w:val="none"/>
              </w:rPr>
              <w:t>7.63E-59</w:t>
            </w:r>
          </w:p>
        </w:tc>
        <w:tc>
          <w:tcPr>
            <w:tcW w:w="600" w:type="pct"/>
            <w:noWrap w:val="0"/>
            <w:tcMar>
              <w:top w:w="0" w:type="dxa"/>
              <w:left w:w="28" w:type="dxa"/>
              <w:bottom w:w="0" w:type="dxa"/>
              <w:right w:w="28" w:type="dxa"/>
            </w:tcMar>
            <w:vAlign w:val="center"/>
          </w:tcPr>
          <w:p w14:paraId="2EF6A612">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auto"/>
                <w:kern w:val="0"/>
                <w:sz w:val="21"/>
                <w:szCs w:val="21"/>
                <w:highlight w:val="none"/>
                <w:u w:val="none"/>
              </w:rPr>
            </w:pPr>
            <w:r>
              <w:rPr>
                <w:rFonts w:hint="eastAsia" w:ascii="Times New Roman" w:hAnsi="Times New Roman" w:eastAsia="宋体" w:cs="Times New Roman"/>
                <w:color w:val="auto"/>
                <w:kern w:val="0"/>
                <w:sz w:val="21"/>
                <w:szCs w:val="21"/>
                <w:highlight w:val="none"/>
                <w:u w:val="none"/>
              </w:rPr>
              <w:t>2.48E-39</w:t>
            </w:r>
          </w:p>
        </w:tc>
        <w:tc>
          <w:tcPr>
            <w:tcW w:w="600" w:type="pct"/>
            <w:noWrap w:val="0"/>
            <w:tcMar>
              <w:top w:w="0" w:type="dxa"/>
              <w:left w:w="28" w:type="dxa"/>
              <w:bottom w:w="0" w:type="dxa"/>
              <w:right w:w="28" w:type="dxa"/>
            </w:tcMar>
            <w:vAlign w:val="center"/>
          </w:tcPr>
          <w:p w14:paraId="38BEBB0A">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auto"/>
                <w:kern w:val="0"/>
                <w:sz w:val="21"/>
                <w:szCs w:val="21"/>
                <w:highlight w:val="none"/>
                <w:u w:val="none"/>
              </w:rPr>
            </w:pPr>
            <w:r>
              <w:rPr>
                <w:rFonts w:hint="eastAsia" w:ascii="Times New Roman" w:hAnsi="Times New Roman" w:eastAsia="宋体" w:cs="Times New Roman"/>
                <w:color w:val="auto"/>
                <w:kern w:val="0"/>
                <w:sz w:val="21"/>
                <w:szCs w:val="21"/>
                <w:highlight w:val="none"/>
                <w:u w:val="none"/>
              </w:rPr>
              <w:t>1.53E-29</w:t>
            </w:r>
          </w:p>
        </w:tc>
        <w:tc>
          <w:tcPr>
            <w:tcW w:w="600" w:type="pct"/>
            <w:noWrap w:val="0"/>
            <w:tcMar>
              <w:top w:w="0" w:type="dxa"/>
              <w:left w:w="28" w:type="dxa"/>
              <w:bottom w:w="0" w:type="dxa"/>
              <w:right w:w="28" w:type="dxa"/>
            </w:tcMar>
            <w:vAlign w:val="center"/>
          </w:tcPr>
          <w:p w14:paraId="4BC45191">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auto"/>
                <w:kern w:val="0"/>
                <w:sz w:val="21"/>
                <w:szCs w:val="21"/>
                <w:highlight w:val="none"/>
                <w:u w:val="none"/>
              </w:rPr>
            </w:pPr>
            <w:r>
              <w:rPr>
                <w:rFonts w:hint="eastAsia" w:ascii="Times New Roman" w:hAnsi="Times New Roman" w:eastAsia="宋体" w:cs="Times New Roman"/>
                <w:color w:val="auto"/>
                <w:kern w:val="0"/>
                <w:sz w:val="21"/>
                <w:szCs w:val="21"/>
                <w:highlight w:val="none"/>
                <w:u w:val="none"/>
              </w:rPr>
              <w:t>1.21E-23</w:t>
            </w:r>
          </w:p>
        </w:tc>
      </w:tr>
      <w:tr w14:paraId="23149E6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95" w:type="pct"/>
            <w:noWrap w:val="0"/>
            <w:tcMar>
              <w:top w:w="0" w:type="dxa"/>
              <w:left w:w="28" w:type="dxa"/>
              <w:bottom w:w="0" w:type="dxa"/>
              <w:right w:w="28" w:type="dxa"/>
            </w:tcMar>
            <w:vAlign w:val="center"/>
          </w:tcPr>
          <w:p w14:paraId="13BEED95">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auto"/>
                <w:kern w:val="0"/>
                <w:sz w:val="21"/>
                <w:szCs w:val="21"/>
                <w:highlight w:val="none"/>
                <w:u w:val="none"/>
              </w:rPr>
            </w:pPr>
            <w:r>
              <w:rPr>
                <w:rFonts w:ascii="Times New Roman" w:hAnsi="Times New Roman" w:eastAsia="宋体" w:cs="Times New Roman"/>
                <w:color w:val="auto"/>
                <w:kern w:val="0"/>
                <w:sz w:val="21"/>
                <w:szCs w:val="21"/>
                <w:highlight w:val="none"/>
                <w:u w:val="none"/>
              </w:rPr>
              <w:t>（50，50）</w:t>
            </w:r>
          </w:p>
        </w:tc>
        <w:tc>
          <w:tcPr>
            <w:tcW w:w="600" w:type="pct"/>
            <w:shd w:val="clear" w:color="auto" w:fill="auto"/>
            <w:noWrap w:val="0"/>
            <w:tcMar>
              <w:top w:w="0" w:type="dxa"/>
              <w:left w:w="28" w:type="dxa"/>
              <w:bottom w:w="0" w:type="dxa"/>
              <w:right w:w="28" w:type="dxa"/>
            </w:tcMar>
            <w:vAlign w:val="center"/>
          </w:tcPr>
          <w:p w14:paraId="4449AE9E">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auto"/>
                <w:kern w:val="0"/>
                <w:sz w:val="21"/>
                <w:szCs w:val="21"/>
                <w:highlight w:val="none"/>
                <w:u w:val="none"/>
                <w:lang w:val="en-US" w:eastAsia="zh-CN" w:bidi="ar-SA"/>
              </w:rPr>
            </w:pPr>
            <w:r>
              <w:rPr>
                <w:rFonts w:hint="eastAsia" w:ascii="Times New Roman" w:hAnsi="Times New Roman" w:eastAsia="宋体" w:cs="Times New Roman"/>
                <w:color w:val="auto"/>
                <w:kern w:val="0"/>
                <w:sz w:val="21"/>
                <w:szCs w:val="21"/>
                <w:highlight w:val="none"/>
                <w:u w:val="none"/>
              </w:rPr>
              <w:t>0.00E+00</w:t>
            </w:r>
          </w:p>
        </w:tc>
        <w:tc>
          <w:tcPr>
            <w:tcW w:w="600" w:type="pct"/>
            <w:shd w:val="clear" w:color="auto" w:fill="auto"/>
            <w:noWrap w:val="0"/>
            <w:tcMar>
              <w:top w:w="0" w:type="dxa"/>
              <w:left w:w="28" w:type="dxa"/>
              <w:bottom w:w="0" w:type="dxa"/>
              <w:right w:w="28" w:type="dxa"/>
            </w:tcMar>
            <w:vAlign w:val="center"/>
          </w:tcPr>
          <w:p w14:paraId="0C02F4B3">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auto"/>
                <w:kern w:val="0"/>
                <w:sz w:val="21"/>
                <w:szCs w:val="21"/>
                <w:highlight w:val="none"/>
                <w:u w:val="none"/>
                <w:lang w:val="en-US" w:eastAsia="zh-CN" w:bidi="ar-SA"/>
              </w:rPr>
            </w:pPr>
            <w:r>
              <w:rPr>
                <w:rFonts w:hint="eastAsia" w:ascii="Times New Roman" w:hAnsi="Times New Roman" w:eastAsia="宋体" w:cs="Times New Roman"/>
                <w:color w:val="auto"/>
                <w:kern w:val="0"/>
                <w:sz w:val="21"/>
                <w:szCs w:val="21"/>
                <w:highlight w:val="none"/>
                <w:u w:val="none"/>
              </w:rPr>
              <w:t>0.00E+00</w:t>
            </w:r>
          </w:p>
        </w:tc>
        <w:tc>
          <w:tcPr>
            <w:tcW w:w="600" w:type="pct"/>
            <w:shd w:val="clear" w:color="auto" w:fill="auto"/>
            <w:noWrap w:val="0"/>
            <w:tcMar>
              <w:top w:w="0" w:type="dxa"/>
              <w:left w:w="28" w:type="dxa"/>
              <w:bottom w:w="0" w:type="dxa"/>
              <w:right w:w="28" w:type="dxa"/>
            </w:tcMar>
            <w:vAlign w:val="center"/>
          </w:tcPr>
          <w:p w14:paraId="06CEB11E">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auto"/>
                <w:kern w:val="0"/>
                <w:sz w:val="21"/>
                <w:szCs w:val="21"/>
                <w:highlight w:val="none"/>
                <w:u w:val="none"/>
                <w:lang w:val="en-US" w:eastAsia="zh-CN" w:bidi="ar-SA"/>
              </w:rPr>
            </w:pPr>
            <w:r>
              <w:rPr>
                <w:rFonts w:hint="eastAsia" w:ascii="Times New Roman" w:hAnsi="Times New Roman" w:eastAsia="宋体" w:cs="Times New Roman"/>
                <w:color w:val="auto"/>
                <w:kern w:val="0"/>
                <w:sz w:val="21"/>
                <w:szCs w:val="21"/>
                <w:highlight w:val="none"/>
                <w:u w:val="none"/>
              </w:rPr>
              <w:t>0.00E+00</w:t>
            </w:r>
          </w:p>
        </w:tc>
        <w:tc>
          <w:tcPr>
            <w:tcW w:w="600" w:type="pct"/>
            <w:shd w:val="clear" w:color="auto" w:fill="auto"/>
            <w:noWrap w:val="0"/>
            <w:tcMar>
              <w:top w:w="0" w:type="dxa"/>
              <w:left w:w="28" w:type="dxa"/>
              <w:bottom w:w="0" w:type="dxa"/>
              <w:right w:w="28" w:type="dxa"/>
            </w:tcMar>
            <w:vAlign w:val="center"/>
          </w:tcPr>
          <w:p w14:paraId="4496A677">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auto"/>
                <w:kern w:val="0"/>
                <w:sz w:val="21"/>
                <w:szCs w:val="21"/>
                <w:highlight w:val="none"/>
                <w:u w:val="none"/>
                <w:lang w:val="en-US" w:eastAsia="zh-CN" w:bidi="ar-SA"/>
              </w:rPr>
            </w:pPr>
            <w:r>
              <w:rPr>
                <w:rFonts w:hint="eastAsia" w:ascii="Times New Roman" w:hAnsi="Times New Roman" w:eastAsia="宋体" w:cs="Times New Roman"/>
                <w:color w:val="auto"/>
                <w:kern w:val="0"/>
                <w:sz w:val="21"/>
                <w:szCs w:val="21"/>
                <w:highlight w:val="none"/>
                <w:u w:val="none"/>
              </w:rPr>
              <w:t>0.00E+00</w:t>
            </w:r>
          </w:p>
        </w:tc>
        <w:tc>
          <w:tcPr>
            <w:tcW w:w="600" w:type="pct"/>
            <w:shd w:val="clear" w:color="auto" w:fill="auto"/>
            <w:noWrap w:val="0"/>
            <w:tcMar>
              <w:top w:w="0" w:type="dxa"/>
              <w:left w:w="28" w:type="dxa"/>
              <w:bottom w:w="0" w:type="dxa"/>
              <w:right w:w="28" w:type="dxa"/>
            </w:tcMar>
            <w:vAlign w:val="center"/>
          </w:tcPr>
          <w:p w14:paraId="47F84AF8">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auto"/>
                <w:kern w:val="0"/>
                <w:sz w:val="21"/>
                <w:szCs w:val="21"/>
                <w:highlight w:val="none"/>
                <w:u w:val="none"/>
                <w:lang w:val="en-US" w:eastAsia="zh-CN" w:bidi="ar-SA"/>
              </w:rPr>
            </w:pPr>
            <w:r>
              <w:rPr>
                <w:rFonts w:hint="eastAsia" w:ascii="Times New Roman" w:hAnsi="Times New Roman" w:eastAsia="宋体" w:cs="Times New Roman"/>
                <w:color w:val="auto"/>
                <w:kern w:val="0"/>
                <w:sz w:val="21"/>
                <w:szCs w:val="21"/>
                <w:highlight w:val="none"/>
                <w:u w:val="none"/>
              </w:rPr>
              <w:t>0.00E+00</w:t>
            </w:r>
          </w:p>
        </w:tc>
        <w:tc>
          <w:tcPr>
            <w:tcW w:w="600" w:type="pct"/>
            <w:shd w:val="clear" w:color="auto" w:fill="auto"/>
            <w:noWrap w:val="0"/>
            <w:tcMar>
              <w:top w:w="0" w:type="dxa"/>
              <w:left w:w="28" w:type="dxa"/>
              <w:bottom w:w="0" w:type="dxa"/>
              <w:right w:w="28" w:type="dxa"/>
            </w:tcMar>
            <w:vAlign w:val="center"/>
          </w:tcPr>
          <w:p w14:paraId="60C28C09">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auto"/>
                <w:kern w:val="0"/>
                <w:sz w:val="21"/>
                <w:szCs w:val="21"/>
                <w:highlight w:val="none"/>
                <w:u w:val="none"/>
                <w:lang w:val="en-US" w:eastAsia="zh-CN" w:bidi="ar-SA"/>
              </w:rPr>
            </w:pPr>
            <w:r>
              <w:rPr>
                <w:rFonts w:hint="eastAsia" w:ascii="Times New Roman" w:hAnsi="Times New Roman" w:eastAsia="宋体" w:cs="Times New Roman"/>
                <w:color w:val="auto"/>
                <w:kern w:val="0"/>
                <w:sz w:val="21"/>
                <w:szCs w:val="21"/>
                <w:highlight w:val="none"/>
                <w:u w:val="none"/>
              </w:rPr>
              <w:t>0.00E+00</w:t>
            </w:r>
          </w:p>
        </w:tc>
        <w:tc>
          <w:tcPr>
            <w:tcW w:w="600" w:type="pct"/>
            <w:shd w:val="clear" w:color="auto" w:fill="auto"/>
            <w:noWrap w:val="0"/>
            <w:tcMar>
              <w:top w:w="0" w:type="dxa"/>
              <w:left w:w="28" w:type="dxa"/>
              <w:bottom w:w="0" w:type="dxa"/>
              <w:right w:w="28" w:type="dxa"/>
            </w:tcMar>
            <w:vAlign w:val="center"/>
          </w:tcPr>
          <w:p w14:paraId="09AB61DD">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auto"/>
                <w:kern w:val="0"/>
                <w:sz w:val="21"/>
                <w:szCs w:val="21"/>
                <w:highlight w:val="none"/>
                <w:u w:val="none"/>
                <w:lang w:val="en-US" w:eastAsia="zh-CN" w:bidi="ar-SA"/>
              </w:rPr>
            </w:pPr>
            <w:r>
              <w:rPr>
                <w:rFonts w:hint="eastAsia" w:ascii="Times New Roman" w:hAnsi="Times New Roman" w:eastAsia="宋体" w:cs="Times New Roman"/>
                <w:color w:val="auto"/>
                <w:kern w:val="0"/>
                <w:sz w:val="21"/>
                <w:szCs w:val="21"/>
                <w:highlight w:val="none"/>
                <w:u w:val="none"/>
              </w:rPr>
              <w:t>0.00E+00</w:t>
            </w:r>
          </w:p>
        </w:tc>
      </w:tr>
      <w:tr w14:paraId="33615D6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95" w:type="pct"/>
            <w:noWrap w:val="0"/>
            <w:tcMar>
              <w:top w:w="0" w:type="dxa"/>
              <w:left w:w="28" w:type="dxa"/>
              <w:bottom w:w="0" w:type="dxa"/>
              <w:right w:w="28" w:type="dxa"/>
            </w:tcMar>
            <w:vAlign w:val="center"/>
          </w:tcPr>
          <w:p w14:paraId="5577BC42">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auto"/>
                <w:kern w:val="0"/>
                <w:sz w:val="21"/>
                <w:szCs w:val="21"/>
                <w:highlight w:val="none"/>
                <w:u w:val="none"/>
              </w:rPr>
            </w:pPr>
            <w:r>
              <w:rPr>
                <w:rFonts w:ascii="Times New Roman" w:hAnsi="Times New Roman" w:eastAsia="宋体" w:cs="Times New Roman"/>
                <w:color w:val="auto"/>
                <w:kern w:val="0"/>
                <w:sz w:val="21"/>
                <w:szCs w:val="21"/>
                <w:highlight w:val="none"/>
                <w:u w:val="none"/>
              </w:rPr>
              <w:t>（100</w:t>
            </w:r>
            <w:r>
              <w:rPr>
                <w:rFonts w:hint="eastAsia" w:ascii="Times New Roman" w:hAnsi="Times New Roman" w:eastAsia="宋体" w:cs="Times New Roman"/>
                <w:color w:val="auto"/>
                <w:kern w:val="0"/>
                <w:sz w:val="21"/>
                <w:szCs w:val="21"/>
                <w:highlight w:val="none"/>
                <w:u w:val="none"/>
                <w:lang w:eastAsia="zh-CN"/>
              </w:rPr>
              <w:t>，</w:t>
            </w:r>
            <w:r>
              <w:rPr>
                <w:rFonts w:ascii="Times New Roman" w:hAnsi="Times New Roman" w:eastAsia="宋体" w:cs="Times New Roman"/>
                <w:color w:val="auto"/>
                <w:kern w:val="0"/>
                <w:sz w:val="21"/>
                <w:szCs w:val="21"/>
                <w:highlight w:val="none"/>
                <w:u w:val="none"/>
              </w:rPr>
              <w:t>100）</w:t>
            </w:r>
          </w:p>
        </w:tc>
        <w:tc>
          <w:tcPr>
            <w:tcW w:w="600" w:type="pct"/>
            <w:shd w:val="clear" w:color="auto" w:fill="auto"/>
            <w:noWrap w:val="0"/>
            <w:tcMar>
              <w:top w:w="0" w:type="dxa"/>
              <w:left w:w="28" w:type="dxa"/>
              <w:bottom w:w="0" w:type="dxa"/>
              <w:right w:w="28" w:type="dxa"/>
            </w:tcMar>
            <w:vAlign w:val="center"/>
          </w:tcPr>
          <w:p w14:paraId="05E06B62">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auto"/>
                <w:kern w:val="0"/>
                <w:sz w:val="21"/>
                <w:szCs w:val="21"/>
                <w:highlight w:val="none"/>
                <w:u w:val="none"/>
                <w:lang w:val="en-US" w:eastAsia="zh-CN" w:bidi="ar-SA"/>
              </w:rPr>
            </w:pPr>
            <w:r>
              <w:rPr>
                <w:rFonts w:hint="eastAsia" w:ascii="Times New Roman" w:hAnsi="Times New Roman" w:eastAsia="宋体" w:cs="Times New Roman"/>
                <w:color w:val="auto"/>
                <w:kern w:val="0"/>
                <w:sz w:val="21"/>
                <w:szCs w:val="21"/>
                <w:highlight w:val="none"/>
                <w:u w:val="none"/>
              </w:rPr>
              <w:t>0.00E+00</w:t>
            </w:r>
          </w:p>
        </w:tc>
        <w:tc>
          <w:tcPr>
            <w:tcW w:w="600" w:type="pct"/>
            <w:shd w:val="clear" w:color="auto" w:fill="auto"/>
            <w:noWrap w:val="0"/>
            <w:tcMar>
              <w:top w:w="0" w:type="dxa"/>
              <w:left w:w="28" w:type="dxa"/>
              <w:bottom w:w="0" w:type="dxa"/>
              <w:right w:w="28" w:type="dxa"/>
            </w:tcMar>
            <w:vAlign w:val="center"/>
          </w:tcPr>
          <w:p w14:paraId="6D49FA98">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auto"/>
                <w:kern w:val="0"/>
                <w:sz w:val="21"/>
                <w:szCs w:val="21"/>
                <w:highlight w:val="none"/>
                <w:u w:val="none"/>
                <w:lang w:val="en-US" w:eastAsia="zh-CN" w:bidi="ar-SA"/>
              </w:rPr>
            </w:pPr>
            <w:r>
              <w:rPr>
                <w:rFonts w:hint="eastAsia" w:ascii="Times New Roman" w:hAnsi="Times New Roman" w:eastAsia="宋体" w:cs="Times New Roman"/>
                <w:color w:val="auto"/>
                <w:kern w:val="0"/>
                <w:sz w:val="21"/>
                <w:szCs w:val="21"/>
                <w:highlight w:val="none"/>
                <w:u w:val="none"/>
              </w:rPr>
              <w:t>0.00E+00</w:t>
            </w:r>
          </w:p>
        </w:tc>
        <w:tc>
          <w:tcPr>
            <w:tcW w:w="600" w:type="pct"/>
            <w:shd w:val="clear" w:color="auto" w:fill="auto"/>
            <w:noWrap w:val="0"/>
            <w:tcMar>
              <w:top w:w="0" w:type="dxa"/>
              <w:left w:w="28" w:type="dxa"/>
              <w:bottom w:w="0" w:type="dxa"/>
              <w:right w:w="28" w:type="dxa"/>
            </w:tcMar>
            <w:vAlign w:val="center"/>
          </w:tcPr>
          <w:p w14:paraId="2F50A563">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auto"/>
                <w:kern w:val="0"/>
                <w:sz w:val="21"/>
                <w:szCs w:val="21"/>
                <w:highlight w:val="none"/>
                <w:u w:val="none"/>
                <w:lang w:val="en-US" w:eastAsia="zh-CN" w:bidi="ar-SA"/>
              </w:rPr>
            </w:pPr>
            <w:r>
              <w:rPr>
                <w:rFonts w:hint="eastAsia" w:ascii="Times New Roman" w:hAnsi="Times New Roman" w:eastAsia="宋体" w:cs="Times New Roman"/>
                <w:color w:val="auto"/>
                <w:kern w:val="0"/>
                <w:sz w:val="21"/>
                <w:szCs w:val="21"/>
                <w:highlight w:val="none"/>
                <w:u w:val="none"/>
              </w:rPr>
              <w:t>0.00E+00</w:t>
            </w:r>
          </w:p>
        </w:tc>
        <w:tc>
          <w:tcPr>
            <w:tcW w:w="600" w:type="pct"/>
            <w:shd w:val="clear" w:color="auto" w:fill="auto"/>
            <w:noWrap w:val="0"/>
            <w:tcMar>
              <w:top w:w="0" w:type="dxa"/>
              <w:left w:w="28" w:type="dxa"/>
              <w:bottom w:w="0" w:type="dxa"/>
              <w:right w:w="28" w:type="dxa"/>
            </w:tcMar>
            <w:vAlign w:val="center"/>
          </w:tcPr>
          <w:p w14:paraId="4B44D9EC">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auto"/>
                <w:kern w:val="0"/>
                <w:sz w:val="21"/>
                <w:szCs w:val="21"/>
                <w:highlight w:val="none"/>
                <w:u w:val="none"/>
                <w:lang w:val="en-US" w:eastAsia="zh-CN" w:bidi="ar-SA"/>
              </w:rPr>
            </w:pPr>
            <w:r>
              <w:rPr>
                <w:rFonts w:hint="eastAsia" w:ascii="Times New Roman" w:hAnsi="Times New Roman" w:eastAsia="宋体" w:cs="Times New Roman"/>
                <w:color w:val="auto"/>
                <w:kern w:val="0"/>
                <w:sz w:val="21"/>
                <w:szCs w:val="21"/>
                <w:highlight w:val="none"/>
                <w:u w:val="none"/>
              </w:rPr>
              <w:t>0.00E+00</w:t>
            </w:r>
          </w:p>
        </w:tc>
        <w:tc>
          <w:tcPr>
            <w:tcW w:w="600" w:type="pct"/>
            <w:shd w:val="clear" w:color="auto" w:fill="auto"/>
            <w:noWrap w:val="0"/>
            <w:tcMar>
              <w:top w:w="0" w:type="dxa"/>
              <w:left w:w="28" w:type="dxa"/>
              <w:bottom w:w="0" w:type="dxa"/>
              <w:right w:w="28" w:type="dxa"/>
            </w:tcMar>
            <w:vAlign w:val="center"/>
          </w:tcPr>
          <w:p w14:paraId="7AA40C9B">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auto"/>
                <w:kern w:val="0"/>
                <w:sz w:val="21"/>
                <w:szCs w:val="21"/>
                <w:highlight w:val="none"/>
                <w:u w:val="none"/>
                <w:lang w:val="en-US" w:eastAsia="zh-CN" w:bidi="ar-SA"/>
              </w:rPr>
            </w:pPr>
            <w:r>
              <w:rPr>
                <w:rFonts w:hint="eastAsia" w:ascii="Times New Roman" w:hAnsi="Times New Roman" w:eastAsia="宋体" w:cs="Times New Roman"/>
                <w:color w:val="auto"/>
                <w:kern w:val="0"/>
                <w:sz w:val="21"/>
                <w:szCs w:val="21"/>
                <w:highlight w:val="none"/>
                <w:u w:val="none"/>
              </w:rPr>
              <w:t>0.00E+00</w:t>
            </w:r>
          </w:p>
        </w:tc>
        <w:tc>
          <w:tcPr>
            <w:tcW w:w="600" w:type="pct"/>
            <w:shd w:val="clear" w:color="auto" w:fill="auto"/>
            <w:noWrap w:val="0"/>
            <w:tcMar>
              <w:top w:w="0" w:type="dxa"/>
              <w:left w:w="28" w:type="dxa"/>
              <w:bottom w:w="0" w:type="dxa"/>
              <w:right w:w="28" w:type="dxa"/>
            </w:tcMar>
            <w:vAlign w:val="center"/>
          </w:tcPr>
          <w:p w14:paraId="3DF172B5">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auto"/>
                <w:kern w:val="0"/>
                <w:sz w:val="21"/>
                <w:szCs w:val="21"/>
                <w:highlight w:val="none"/>
                <w:u w:val="none"/>
                <w:lang w:val="en-US" w:eastAsia="zh-CN" w:bidi="ar-SA"/>
              </w:rPr>
            </w:pPr>
            <w:r>
              <w:rPr>
                <w:rFonts w:hint="eastAsia" w:ascii="Times New Roman" w:hAnsi="Times New Roman" w:eastAsia="宋体" w:cs="Times New Roman"/>
                <w:color w:val="auto"/>
                <w:kern w:val="0"/>
                <w:sz w:val="21"/>
                <w:szCs w:val="21"/>
                <w:highlight w:val="none"/>
                <w:u w:val="none"/>
              </w:rPr>
              <w:t>0.00E+00</w:t>
            </w:r>
          </w:p>
        </w:tc>
        <w:tc>
          <w:tcPr>
            <w:tcW w:w="600" w:type="pct"/>
            <w:shd w:val="clear" w:color="auto" w:fill="auto"/>
            <w:noWrap w:val="0"/>
            <w:tcMar>
              <w:top w:w="0" w:type="dxa"/>
              <w:left w:w="28" w:type="dxa"/>
              <w:bottom w:w="0" w:type="dxa"/>
              <w:right w:w="28" w:type="dxa"/>
            </w:tcMar>
            <w:vAlign w:val="center"/>
          </w:tcPr>
          <w:p w14:paraId="732A46C3">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auto"/>
                <w:kern w:val="0"/>
                <w:sz w:val="21"/>
                <w:szCs w:val="21"/>
                <w:highlight w:val="none"/>
                <w:u w:val="none"/>
                <w:lang w:val="en-US" w:eastAsia="zh-CN" w:bidi="ar-SA"/>
              </w:rPr>
            </w:pPr>
            <w:r>
              <w:rPr>
                <w:rFonts w:hint="eastAsia" w:ascii="Times New Roman" w:hAnsi="Times New Roman" w:eastAsia="宋体" w:cs="Times New Roman"/>
                <w:color w:val="auto"/>
                <w:kern w:val="0"/>
                <w:sz w:val="21"/>
                <w:szCs w:val="21"/>
                <w:highlight w:val="none"/>
                <w:u w:val="none"/>
              </w:rPr>
              <w:t>0.00E+00</w:t>
            </w:r>
          </w:p>
        </w:tc>
      </w:tr>
      <w:tr w14:paraId="6368CCD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95" w:type="pct"/>
            <w:noWrap w:val="0"/>
            <w:tcMar>
              <w:top w:w="0" w:type="dxa"/>
              <w:left w:w="28" w:type="dxa"/>
              <w:bottom w:w="0" w:type="dxa"/>
              <w:right w:w="28" w:type="dxa"/>
            </w:tcMar>
            <w:vAlign w:val="center"/>
          </w:tcPr>
          <w:p w14:paraId="01CDC5B8">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auto"/>
                <w:kern w:val="0"/>
                <w:sz w:val="21"/>
                <w:szCs w:val="21"/>
                <w:highlight w:val="none"/>
                <w:u w:val="none"/>
              </w:rPr>
            </w:pPr>
            <w:r>
              <w:rPr>
                <w:rFonts w:ascii="Times New Roman" w:hAnsi="Times New Roman" w:eastAsia="宋体" w:cs="Times New Roman"/>
                <w:color w:val="auto"/>
                <w:kern w:val="0"/>
                <w:sz w:val="21"/>
                <w:szCs w:val="21"/>
                <w:highlight w:val="none"/>
                <w:u w:val="none"/>
              </w:rPr>
              <w:t>（200</w:t>
            </w:r>
            <w:r>
              <w:rPr>
                <w:rFonts w:hint="eastAsia" w:ascii="Times New Roman" w:hAnsi="Times New Roman" w:eastAsia="宋体" w:cs="Times New Roman"/>
                <w:color w:val="auto"/>
                <w:kern w:val="0"/>
                <w:sz w:val="21"/>
                <w:szCs w:val="21"/>
                <w:highlight w:val="none"/>
                <w:u w:val="none"/>
                <w:lang w:eastAsia="zh-CN"/>
              </w:rPr>
              <w:t>，</w:t>
            </w:r>
            <w:r>
              <w:rPr>
                <w:rFonts w:ascii="Times New Roman" w:hAnsi="Times New Roman" w:eastAsia="宋体" w:cs="Times New Roman"/>
                <w:color w:val="auto"/>
                <w:kern w:val="0"/>
                <w:sz w:val="21"/>
                <w:szCs w:val="21"/>
                <w:highlight w:val="none"/>
                <w:u w:val="none"/>
              </w:rPr>
              <w:t>200）</w:t>
            </w:r>
          </w:p>
        </w:tc>
        <w:tc>
          <w:tcPr>
            <w:tcW w:w="600" w:type="pct"/>
            <w:shd w:val="clear" w:color="auto" w:fill="auto"/>
            <w:noWrap w:val="0"/>
            <w:tcMar>
              <w:top w:w="0" w:type="dxa"/>
              <w:left w:w="28" w:type="dxa"/>
              <w:bottom w:w="0" w:type="dxa"/>
              <w:right w:w="28" w:type="dxa"/>
            </w:tcMar>
            <w:vAlign w:val="center"/>
          </w:tcPr>
          <w:p w14:paraId="73842A09">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auto"/>
                <w:kern w:val="0"/>
                <w:sz w:val="21"/>
                <w:szCs w:val="21"/>
                <w:highlight w:val="none"/>
                <w:u w:val="none"/>
                <w:lang w:val="en-US" w:eastAsia="zh-CN" w:bidi="ar-SA"/>
              </w:rPr>
            </w:pPr>
            <w:r>
              <w:rPr>
                <w:rFonts w:hint="eastAsia" w:ascii="Times New Roman" w:hAnsi="Times New Roman" w:eastAsia="宋体" w:cs="Times New Roman"/>
                <w:color w:val="auto"/>
                <w:kern w:val="0"/>
                <w:sz w:val="21"/>
                <w:szCs w:val="21"/>
                <w:highlight w:val="none"/>
                <w:u w:val="none"/>
              </w:rPr>
              <w:t>0.00E+00</w:t>
            </w:r>
          </w:p>
        </w:tc>
        <w:tc>
          <w:tcPr>
            <w:tcW w:w="600" w:type="pct"/>
            <w:shd w:val="clear" w:color="auto" w:fill="auto"/>
            <w:noWrap w:val="0"/>
            <w:tcMar>
              <w:top w:w="0" w:type="dxa"/>
              <w:left w:w="28" w:type="dxa"/>
              <w:bottom w:w="0" w:type="dxa"/>
              <w:right w:w="28" w:type="dxa"/>
            </w:tcMar>
            <w:vAlign w:val="center"/>
          </w:tcPr>
          <w:p w14:paraId="39550D20">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auto"/>
                <w:kern w:val="0"/>
                <w:sz w:val="21"/>
                <w:szCs w:val="21"/>
                <w:highlight w:val="none"/>
                <w:u w:val="none"/>
                <w:lang w:val="en-US" w:eastAsia="zh-CN" w:bidi="ar-SA"/>
              </w:rPr>
            </w:pPr>
            <w:r>
              <w:rPr>
                <w:rFonts w:hint="eastAsia" w:ascii="Times New Roman" w:hAnsi="Times New Roman" w:eastAsia="宋体" w:cs="Times New Roman"/>
                <w:color w:val="auto"/>
                <w:kern w:val="0"/>
                <w:sz w:val="21"/>
                <w:szCs w:val="21"/>
                <w:highlight w:val="none"/>
                <w:u w:val="none"/>
              </w:rPr>
              <w:t>0.00E+00</w:t>
            </w:r>
          </w:p>
        </w:tc>
        <w:tc>
          <w:tcPr>
            <w:tcW w:w="600" w:type="pct"/>
            <w:shd w:val="clear" w:color="auto" w:fill="auto"/>
            <w:noWrap w:val="0"/>
            <w:tcMar>
              <w:top w:w="0" w:type="dxa"/>
              <w:left w:w="28" w:type="dxa"/>
              <w:bottom w:w="0" w:type="dxa"/>
              <w:right w:w="28" w:type="dxa"/>
            </w:tcMar>
            <w:vAlign w:val="center"/>
          </w:tcPr>
          <w:p w14:paraId="0BFE4062">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auto"/>
                <w:kern w:val="0"/>
                <w:sz w:val="21"/>
                <w:szCs w:val="21"/>
                <w:highlight w:val="none"/>
                <w:u w:val="none"/>
                <w:lang w:val="en-US" w:eastAsia="zh-CN" w:bidi="ar-SA"/>
              </w:rPr>
            </w:pPr>
            <w:r>
              <w:rPr>
                <w:rFonts w:hint="eastAsia" w:ascii="Times New Roman" w:hAnsi="Times New Roman" w:eastAsia="宋体" w:cs="Times New Roman"/>
                <w:color w:val="auto"/>
                <w:kern w:val="0"/>
                <w:sz w:val="21"/>
                <w:szCs w:val="21"/>
                <w:highlight w:val="none"/>
                <w:u w:val="none"/>
              </w:rPr>
              <w:t>0.00E+00</w:t>
            </w:r>
          </w:p>
        </w:tc>
        <w:tc>
          <w:tcPr>
            <w:tcW w:w="600" w:type="pct"/>
            <w:shd w:val="clear" w:color="auto" w:fill="auto"/>
            <w:noWrap w:val="0"/>
            <w:tcMar>
              <w:top w:w="0" w:type="dxa"/>
              <w:left w:w="28" w:type="dxa"/>
              <w:bottom w:w="0" w:type="dxa"/>
              <w:right w:w="28" w:type="dxa"/>
            </w:tcMar>
            <w:vAlign w:val="center"/>
          </w:tcPr>
          <w:p w14:paraId="703E4A3A">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auto"/>
                <w:kern w:val="0"/>
                <w:sz w:val="21"/>
                <w:szCs w:val="21"/>
                <w:highlight w:val="none"/>
                <w:u w:val="none"/>
                <w:lang w:val="en-US" w:eastAsia="zh-CN" w:bidi="ar-SA"/>
              </w:rPr>
            </w:pPr>
            <w:r>
              <w:rPr>
                <w:rFonts w:hint="eastAsia" w:ascii="Times New Roman" w:hAnsi="Times New Roman" w:eastAsia="宋体" w:cs="Times New Roman"/>
                <w:color w:val="auto"/>
                <w:kern w:val="0"/>
                <w:sz w:val="21"/>
                <w:szCs w:val="21"/>
                <w:highlight w:val="none"/>
                <w:u w:val="none"/>
              </w:rPr>
              <w:t>0.00E+00</w:t>
            </w:r>
          </w:p>
        </w:tc>
        <w:tc>
          <w:tcPr>
            <w:tcW w:w="600" w:type="pct"/>
            <w:shd w:val="clear" w:color="auto" w:fill="auto"/>
            <w:noWrap w:val="0"/>
            <w:tcMar>
              <w:top w:w="0" w:type="dxa"/>
              <w:left w:w="28" w:type="dxa"/>
              <w:bottom w:w="0" w:type="dxa"/>
              <w:right w:w="28" w:type="dxa"/>
            </w:tcMar>
            <w:vAlign w:val="center"/>
          </w:tcPr>
          <w:p w14:paraId="393AA040">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auto"/>
                <w:kern w:val="0"/>
                <w:sz w:val="21"/>
                <w:szCs w:val="21"/>
                <w:highlight w:val="none"/>
                <w:u w:val="none"/>
                <w:lang w:val="en-US" w:eastAsia="zh-CN" w:bidi="ar-SA"/>
              </w:rPr>
            </w:pPr>
            <w:r>
              <w:rPr>
                <w:rFonts w:hint="eastAsia" w:ascii="Times New Roman" w:hAnsi="Times New Roman" w:eastAsia="宋体" w:cs="Times New Roman"/>
                <w:color w:val="auto"/>
                <w:kern w:val="0"/>
                <w:sz w:val="21"/>
                <w:szCs w:val="21"/>
                <w:highlight w:val="none"/>
                <w:u w:val="none"/>
              </w:rPr>
              <w:t>0.00E+00</w:t>
            </w:r>
          </w:p>
        </w:tc>
        <w:tc>
          <w:tcPr>
            <w:tcW w:w="600" w:type="pct"/>
            <w:shd w:val="clear" w:color="auto" w:fill="auto"/>
            <w:noWrap w:val="0"/>
            <w:tcMar>
              <w:top w:w="0" w:type="dxa"/>
              <w:left w:w="28" w:type="dxa"/>
              <w:bottom w:w="0" w:type="dxa"/>
              <w:right w:w="28" w:type="dxa"/>
            </w:tcMar>
            <w:vAlign w:val="center"/>
          </w:tcPr>
          <w:p w14:paraId="0BF3EC1C">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auto"/>
                <w:kern w:val="0"/>
                <w:sz w:val="21"/>
                <w:szCs w:val="21"/>
                <w:highlight w:val="none"/>
                <w:u w:val="none"/>
                <w:lang w:val="en-US" w:eastAsia="zh-CN" w:bidi="ar-SA"/>
              </w:rPr>
            </w:pPr>
            <w:r>
              <w:rPr>
                <w:rFonts w:hint="eastAsia" w:ascii="Times New Roman" w:hAnsi="Times New Roman" w:eastAsia="宋体" w:cs="Times New Roman"/>
                <w:color w:val="auto"/>
                <w:kern w:val="0"/>
                <w:sz w:val="21"/>
                <w:szCs w:val="21"/>
                <w:highlight w:val="none"/>
                <w:u w:val="none"/>
              </w:rPr>
              <w:t>0.00E+00</w:t>
            </w:r>
          </w:p>
        </w:tc>
        <w:tc>
          <w:tcPr>
            <w:tcW w:w="600" w:type="pct"/>
            <w:shd w:val="clear" w:color="auto" w:fill="auto"/>
            <w:noWrap w:val="0"/>
            <w:tcMar>
              <w:top w:w="0" w:type="dxa"/>
              <w:left w:w="28" w:type="dxa"/>
              <w:bottom w:w="0" w:type="dxa"/>
              <w:right w:w="28" w:type="dxa"/>
            </w:tcMar>
            <w:vAlign w:val="center"/>
          </w:tcPr>
          <w:p w14:paraId="64316684">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auto"/>
                <w:kern w:val="0"/>
                <w:sz w:val="21"/>
                <w:szCs w:val="21"/>
                <w:highlight w:val="none"/>
                <w:u w:val="none"/>
                <w:lang w:val="en-US" w:eastAsia="zh-CN" w:bidi="ar-SA"/>
              </w:rPr>
            </w:pPr>
            <w:r>
              <w:rPr>
                <w:rFonts w:hint="eastAsia" w:ascii="Times New Roman" w:hAnsi="Times New Roman" w:eastAsia="宋体" w:cs="Times New Roman"/>
                <w:color w:val="auto"/>
                <w:kern w:val="0"/>
                <w:sz w:val="21"/>
                <w:szCs w:val="21"/>
                <w:highlight w:val="none"/>
                <w:u w:val="none"/>
              </w:rPr>
              <w:t>0.00E+00</w:t>
            </w:r>
          </w:p>
        </w:tc>
      </w:tr>
      <w:tr w14:paraId="6476361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95" w:type="pct"/>
            <w:noWrap w:val="0"/>
            <w:tcMar>
              <w:top w:w="0" w:type="dxa"/>
              <w:left w:w="28" w:type="dxa"/>
              <w:bottom w:w="0" w:type="dxa"/>
              <w:right w:w="28" w:type="dxa"/>
            </w:tcMar>
            <w:vAlign w:val="center"/>
          </w:tcPr>
          <w:p w14:paraId="204E9BEE">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auto"/>
                <w:kern w:val="0"/>
                <w:sz w:val="21"/>
                <w:szCs w:val="21"/>
                <w:highlight w:val="none"/>
                <w:u w:val="none"/>
              </w:rPr>
            </w:pPr>
            <w:r>
              <w:rPr>
                <w:rFonts w:ascii="Times New Roman" w:hAnsi="Times New Roman" w:eastAsia="宋体" w:cs="Times New Roman"/>
                <w:color w:val="auto"/>
                <w:kern w:val="0"/>
                <w:sz w:val="21"/>
                <w:szCs w:val="21"/>
                <w:highlight w:val="none"/>
                <w:u w:val="none"/>
              </w:rPr>
              <w:t>（300</w:t>
            </w:r>
            <w:r>
              <w:rPr>
                <w:rFonts w:hint="eastAsia" w:ascii="Times New Roman" w:hAnsi="Times New Roman" w:eastAsia="宋体" w:cs="Times New Roman"/>
                <w:color w:val="auto"/>
                <w:kern w:val="0"/>
                <w:sz w:val="21"/>
                <w:szCs w:val="21"/>
                <w:highlight w:val="none"/>
                <w:u w:val="none"/>
                <w:lang w:eastAsia="zh-CN"/>
              </w:rPr>
              <w:t>，</w:t>
            </w:r>
            <w:r>
              <w:rPr>
                <w:rFonts w:ascii="Times New Roman" w:hAnsi="Times New Roman" w:eastAsia="宋体" w:cs="Times New Roman"/>
                <w:color w:val="auto"/>
                <w:kern w:val="0"/>
                <w:sz w:val="21"/>
                <w:szCs w:val="21"/>
                <w:highlight w:val="none"/>
                <w:u w:val="none"/>
              </w:rPr>
              <w:t>300）</w:t>
            </w:r>
          </w:p>
        </w:tc>
        <w:tc>
          <w:tcPr>
            <w:tcW w:w="600" w:type="pct"/>
            <w:shd w:val="clear" w:color="auto" w:fill="auto"/>
            <w:noWrap w:val="0"/>
            <w:tcMar>
              <w:top w:w="0" w:type="dxa"/>
              <w:left w:w="28" w:type="dxa"/>
              <w:bottom w:w="0" w:type="dxa"/>
              <w:right w:w="28" w:type="dxa"/>
            </w:tcMar>
            <w:vAlign w:val="center"/>
          </w:tcPr>
          <w:p w14:paraId="2C02DB2F">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auto"/>
                <w:kern w:val="0"/>
                <w:sz w:val="21"/>
                <w:szCs w:val="21"/>
                <w:highlight w:val="none"/>
                <w:u w:val="none"/>
                <w:lang w:val="en-US" w:eastAsia="zh-CN" w:bidi="ar-SA"/>
              </w:rPr>
            </w:pPr>
            <w:r>
              <w:rPr>
                <w:rFonts w:hint="eastAsia" w:ascii="Times New Roman" w:hAnsi="Times New Roman" w:eastAsia="宋体" w:cs="Times New Roman"/>
                <w:color w:val="auto"/>
                <w:kern w:val="0"/>
                <w:sz w:val="21"/>
                <w:szCs w:val="21"/>
                <w:highlight w:val="none"/>
                <w:u w:val="none"/>
              </w:rPr>
              <w:t>0.00E+00</w:t>
            </w:r>
          </w:p>
        </w:tc>
        <w:tc>
          <w:tcPr>
            <w:tcW w:w="600" w:type="pct"/>
            <w:shd w:val="clear" w:color="auto" w:fill="auto"/>
            <w:noWrap w:val="0"/>
            <w:tcMar>
              <w:top w:w="0" w:type="dxa"/>
              <w:left w:w="28" w:type="dxa"/>
              <w:bottom w:w="0" w:type="dxa"/>
              <w:right w:w="28" w:type="dxa"/>
            </w:tcMar>
            <w:vAlign w:val="center"/>
          </w:tcPr>
          <w:p w14:paraId="03AAB093">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auto"/>
                <w:kern w:val="0"/>
                <w:sz w:val="21"/>
                <w:szCs w:val="21"/>
                <w:highlight w:val="none"/>
                <w:u w:val="none"/>
                <w:lang w:val="en-US" w:eastAsia="zh-CN" w:bidi="ar-SA"/>
              </w:rPr>
            </w:pPr>
            <w:r>
              <w:rPr>
                <w:rFonts w:hint="eastAsia" w:ascii="Times New Roman" w:hAnsi="Times New Roman" w:eastAsia="宋体" w:cs="Times New Roman"/>
                <w:color w:val="auto"/>
                <w:kern w:val="0"/>
                <w:sz w:val="21"/>
                <w:szCs w:val="21"/>
                <w:highlight w:val="none"/>
                <w:u w:val="none"/>
              </w:rPr>
              <w:t>0.00E+00</w:t>
            </w:r>
          </w:p>
        </w:tc>
        <w:tc>
          <w:tcPr>
            <w:tcW w:w="600" w:type="pct"/>
            <w:shd w:val="clear" w:color="auto" w:fill="auto"/>
            <w:noWrap w:val="0"/>
            <w:tcMar>
              <w:top w:w="0" w:type="dxa"/>
              <w:left w:w="28" w:type="dxa"/>
              <w:bottom w:w="0" w:type="dxa"/>
              <w:right w:w="28" w:type="dxa"/>
            </w:tcMar>
            <w:vAlign w:val="center"/>
          </w:tcPr>
          <w:p w14:paraId="4C8869D6">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auto"/>
                <w:kern w:val="0"/>
                <w:sz w:val="21"/>
                <w:szCs w:val="21"/>
                <w:highlight w:val="none"/>
                <w:u w:val="none"/>
                <w:lang w:val="en-US" w:eastAsia="zh-CN" w:bidi="ar-SA"/>
              </w:rPr>
            </w:pPr>
            <w:r>
              <w:rPr>
                <w:rFonts w:hint="eastAsia" w:ascii="Times New Roman" w:hAnsi="Times New Roman" w:eastAsia="宋体" w:cs="Times New Roman"/>
                <w:color w:val="auto"/>
                <w:kern w:val="0"/>
                <w:sz w:val="21"/>
                <w:szCs w:val="21"/>
                <w:highlight w:val="none"/>
                <w:u w:val="none"/>
              </w:rPr>
              <w:t>0.00E+00</w:t>
            </w:r>
          </w:p>
        </w:tc>
        <w:tc>
          <w:tcPr>
            <w:tcW w:w="600" w:type="pct"/>
            <w:shd w:val="clear" w:color="auto" w:fill="auto"/>
            <w:noWrap w:val="0"/>
            <w:tcMar>
              <w:top w:w="0" w:type="dxa"/>
              <w:left w:w="28" w:type="dxa"/>
              <w:bottom w:w="0" w:type="dxa"/>
              <w:right w:w="28" w:type="dxa"/>
            </w:tcMar>
            <w:vAlign w:val="center"/>
          </w:tcPr>
          <w:p w14:paraId="7218651E">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auto"/>
                <w:kern w:val="0"/>
                <w:sz w:val="21"/>
                <w:szCs w:val="21"/>
                <w:highlight w:val="none"/>
                <w:u w:val="none"/>
                <w:lang w:val="en-US" w:eastAsia="zh-CN" w:bidi="ar-SA"/>
              </w:rPr>
            </w:pPr>
            <w:r>
              <w:rPr>
                <w:rFonts w:hint="eastAsia" w:ascii="Times New Roman" w:hAnsi="Times New Roman" w:eastAsia="宋体" w:cs="Times New Roman"/>
                <w:color w:val="auto"/>
                <w:kern w:val="0"/>
                <w:sz w:val="21"/>
                <w:szCs w:val="21"/>
                <w:highlight w:val="none"/>
                <w:u w:val="none"/>
              </w:rPr>
              <w:t>0.00E+00</w:t>
            </w:r>
          </w:p>
        </w:tc>
        <w:tc>
          <w:tcPr>
            <w:tcW w:w="600" w:type="pct"/>
            <w:shd w:val="clear" w:color="auto" w:fill="auto"/>
            <w:noWrap w:val="0"/>
            <w:tcMar>
              <w:top w:w="0" w:type="dxa"/>
              <w:left w:w="28" w:type="dxa"/>
              <w:bottom w:w="0" w:type="dxa"/>
              <w:right w:w="28" w:type="dxa"/>
            </w:tcMar>
            <w:vAlign w:val="center"/>
          </w:tcPr>
          <w:p w14:paraId="1F30E9E5">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auto"/>
                <w:kern w:val="0"/>
                <w:sz w:val="21"/>
                <w:szCs w:val="21"/>
                <w:highlight w:val="none"/>
                <w:u w:val="none"/>
                <w:lang w:val="en-US" w:eastAsia="zh-CN" w:bidi="ar-SA"/>
              </w:rPr>
            </w:pPr>
            <w:r>
              <w:rPr>
                <w:rFonts w:hint="eastAsia" w:ascii="Times New Roman" w:hAnsi="Times New Roman" w:eastAsia="宋体" w:cs="Times New Roman"/>
                <w:color w:val="auto"/>
                <w:kern w:val="0"/>
                <w:sz w:val="21"/>
                <w:szCs w:val="21"/>
                <w:highlight w:val="none"/>
                <w:u w:val="none"/>
              </w:rPr>
              <w:t>0.00E+00</w:t>
            </w:r>
          </w:p>
        </w:tc>
        <w:tc>
          <w:tcPr>
            <w:tcW w:w="600" w:type="pct"/>
            <w:shd w:val="clear" w:color="auto" w:fill="auto"/>
            <w:noWrap w:val="0"/>
            <w:tcMar>
              <w:top w:w="0" w:type="dxa"/>
              <w:left w:w="28" w:type="dxa"/>
              <w:bottom w:w="0" w:type="dxa"/>
              <w:right w:w="28" w:type="dxa"/>
            </w:tcMar>
            <w:vAlign w:val="center"/>
          </w:tcPr>
          <w:p w14:paraId="22C61A91">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auto"/>
                <w:kern w:val="0"/>
                <w:sz w:val="21"/>
                <w:szCs w:val="21"/>
                <w:highlight w:val="none"/>
                <w:u w:val="none"/>
                <w:lang w:val="en-US" w:eastAsia="zh-CN" w:bidi="ar-SA"/>
              </w:rPr>
            </w:pPr>
            <w:r>
              <w:rPr>
                <w:rFonts w:hint="eastAsia" w:ascii="Times New Roman" w:hAnsi="Times New Roman" w:eastAsia="宋体" w:cs="Times New Roman"/>
                <w:color w:val="auto"/>
                <w:kern w:val="0"/>
                <w:sz w:val="21"/>
                <w:szCs w:val="21"/>
                <w:highlight w:val="none"/>
                <w:u w:val="none"/>
              </w:rPr>
              <w:t>0.00E+00</w:t>
            </w:r>
          </w:p>
        </w:tc>
        <w:tc>
          <w:tcPr>
            <w:tcW w:w="600" w:type="pct"/>
            <w:shd w:val="clear" w:color="auto" w:fill="auto"/>
            <w:noWrap w:val="0"/>
            <w:tcMar>
              <w:top w:w="0" w:type="dxa"/>
              <w:left w:w="28" w:type="dxa"/>
              <w:bottom w:w="0" w:type="dxa"/>
              <w:right w:w="28" w:type="dxa"/>
            </w:tcMar>
            <w:vAlign w:val="center"/>
          </w:tcPr>
          <w:p w14:paraId="17EC9629">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auto"/>
                <w:kern w:val="0"/>
                <w:sz w:val="21"/>
                <w:szCs w:val="21"/>
                <w:highlight w:val="none"/>
                <w:u w:val="none"/>
                <w:lang w:val="en-US" w:eastAsia="zh-CN" w:bidi="ar-SA"/>
              </w:rPr>
            </w:pPr>
            <w:r>
              <w:rPr>
                <w:rFonts w:hint="eastAsia" w:ascii="Times New Roman" w:hAnsi="Times New Roman" w:eastAsia="宋体" w:cs="Times New Roman"/>
                <w:color w:val="auto"/>
                <w:kern w:val="0"/>
                <w:sz w:val="21"/>
                <w:szCs w:val="21"/>
                <w:highlight w:val="none"/>
                <w:u w:val="none"/>
              </w:rPr>
              <w:t>0.00E+00</w:t>
            </w:r>
          </w:p>
        </w:tc>
      </w:tr>
      <w:tr w14:paraId="564E809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95" w:type="pct"/>
            <w:noWrap w:val="0"/>
            <w:tcMar>
              <w:top w:w="0" w:type="dxa"/>
              <w:left w:w="28" w:type="dxa"/>
              <w:bottom w:w="0" w:type="dxa"/>
              <w:right w:w="28" w:type="dxa"/>
            </w:tcMar>
            <w:vAlign w:val="center"/>
          </w:tcPr>
          <w:p w14:paraId="4146490A">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auto"/>
                <w:kern w:val="0"/>
                <w:sz w:val="21"/>
                <w:szCs w:val="21"/>
                <w:highlight w:val="none"/>
                <w:u w:val="none"/>
              </w:rPr>
            </w:pPr>
            <w:r>
              <w:rPr>
                <w:rFonts w:ascii="Times New Roman" w:hAnsi="Times New Roman" w:eastAsia="宋体" w:cs="Times New Roman"/>
                <w:color w:val="auto"/>
                <w:kern w:val="0"/>
                <w:sz w:val="21"/>
                <w:szCs w:val="21"/>
                <w:highlight w:val="none"/>
                <w:u w:val="none"/>
              </w:rPr>
              <w:t>（400</w:t>
            </w:r>
            <w:r>
              <w:rPr>
                <w:rFonts w:hint="eastAsia" w:ascii="Times New Roman" w:hAnsi="Times New Roman" w:eastAsia="宋体" w:cs="Times New Roman"/>
                <w:color w:val="auto"/>
                <w:kern w:val="0"/>
                <w:sz w:val="21"/>
                <w:szCs w:val="21"/>
                <w:highlight w:val="none"/>
                <w:u w:val="none"/>
                <w:lang w:eastAsia="zh-CN"/>
              </w:rPr>
              <w:t>，</w:t>
            </w:r>
            <w:r>
              <w:rPr>
                <w:rFonts w:ascii="Times New Roman" w:hAnsi="Times New Roman" w:eastAsia="宋体" w:cs="Times New Roman"/>
                <w:color w:val="auto"/>
                <w:kern w:val="0"/>
                <w:sz w:val="21"/>
                <w:szCs w:val="21"/>
                <w:highlight w:val="none"/>
                <w:u w:val="none"/>
              </w:rPr>
              <w:t>400）</w:t>
            </w:r>
          </w:p>
        </w:tc>
        <w:tc>
          <w:tcPr>
            <w:tcW w:w="600" w:type="pct"/>
            <w:shd w:val="clear" w:color="auto" w:fill="auto"/>
            <w:noWrap w:val="0"/>
            <w:tcMar>
              <w:top w:w="0" w:type="dxa"/>
              <w:left w:w="28" w:type="dxa"/>
              <w:bottom w:w="0" w:type="dxa"/>
              <w:right w:w="28" w:type="dxa"/>
            </w:tcMar>
            <w:vAlign w:val="center"/>
          </w:tcPr>
          <w:p w14:paraId="1E71C2C5">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auto"/>
                <w:kern w:val="0"/>
                <w:sz w:val="21"/>
                <w:szCs w:val="21"/>
                <w:highlight w:val="none"/>
                <w:u w:val="none"/>
                <w:lang w:val="en-US" w:eastAsia="zh-CN" w:bidi="ar-SA"/>
              </w:rPr>
            </w:pPr>
            <w:r>
              <w:rPr>
                <w:rFonts w:hint="eastAsia" w:ascii="Times New Roman" w:hAnsi="Times New Roman" w:eastAsia="宋体" w:cs="Times New Roman"/>
                <w:color w:val="auto"/>
                <w:kern w:val="0"/>
                <w:sz w:val="21"/>
                <w:szCs w:val="21"/>
                <w:highlight w:val="none"/>
                <w:u w:val="none"/>
              </w:rPr>
              <w:t>0.00E+00</w:t>
            </w:r>
          </w:p>
        </w:tc>
        <w:tc>
          <w:tcPr>
            <w:tcW w:w="600" w:type="pct"/>
            <w:shd w:val="clear" w:color="auto" w:fill="auto"/>
            <w:noWrap w:val="0"/>
            <w:tcMar>
              <w:top w:w="0" w:type="dxa"/>
              <w:left w:w="28" w:type="dxa"/>
              <w:bottom w:w="0" w:type="dxa"/>
              <w:right w:w="28" w:type="dxa"/>
            </w:tcMar>
            <w:vAlign w:val="center"/>
          </w:tcPr>
          <w:p w14:paraId="2456A134">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auto"/>
                <w:kern w:val="0"/>
                <w:sz w:val="21"/>
                <w:szCs w:val="21"/>
                <w:highlight w:val="none"/>
                <w:u w:val="none"/>
                <w:lang w:val="en-US" w:eastAsia="zh-CN" w:bidi="ar-SA"/>
              </w:rPr>
            </w:pPr>
            <w:r>
              <w:rPr>
                <w:rFonts w:hint="eastAsia" w:ascii="Times New Roman" w:hAnsi="Times New Roman" w:eastAsia="宋体" w:cs="Times New Roman"/>
                <w:color w:val="auto"/>
                <w:kern w:val="0"/>
                <w:sz w:val="21"/>
                <w:szCs w:val="21"/>
                <w:highlight w:val="none"/>
                <w:u w:val="none"/>
              </w:rPr>
              <w:t>0.00E+00</w:t>
            </w:r>
          </w:p>
        </w:tc>
        <w:tc>
          <w:tcPr>
            <w:tcW w:w="600" w:type="pct"/>
            <w:shd w:val="clear" w:color="auto" w:fill="auto"/>
            <w:noWrap w:val="0"/>
            <w:tcMar>
              <w:top w:w="0" w:type="dxa"/>
              <w:left w:w="28" w:type="dxa"/>
              <w:bottom w:w="0" w:type="dxa"/>
              <w:right w:w="28" w:type="dxa"/>
            </w:tcMar>
            <w:vAlign w:val="center"/>
          </w:tcPr>
          <w:p w14:paraId="538DB5BA">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auto"/>
                <w:kern w:val="0"/>
                <w:sz w:val="21"/>
                <w:szCs w:val="21"/>
                <w:highlight w:val="none"/>
                <w:u w:val="none"/>
                <w:lang w:val="en-US" w:eastAsia="zh-CN" w:bidi="ar-SA"/>
              </w:rPr>
            </w:pPr>
            <w:r>
              <w:rPr>
                <w:rFonts w:hint="eastAsia" w:ascii="Times New Roman" w:hAnsi="Times New Roman" w:eastAsia="宋体" w:cs="Times New Roman"/>
                <w:color w:val="auto"/>
                <w:kern w:val="0"/>
                <w:sz w:val="21"/>
                <w:szCs w:val="21"/>
                <w:highlight w:val="none"/>
                <w:u w:val="none"/>
              </w:rPr>
              <w:t>0.00E+00</w:t>
            </w:r>
          </w:p>
        </w:tc>
        <w:tc>
          <w:tcPr>
            <w:tcW w:w="600" w:type="pct"/>
            <w:shd w:val="clear" w:color="auto" w:fill="auto"/>
            <w:noWrap w:val="0"/>
            <w:tcMar>
              <w:top w:w="0" w:type="dxa"/>
              <w:left w:w="28" w:type="dxa"/>
              <w:bottom w:w="0" w:type="dxa"/>
              <w:right w:w="28" w:type="dxa"/>
            </w:tcMar>
            <w:vAlign w:val="center"/>
          </w:tcPr>
          <w:p w14:paraId="74DD9957">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auto"/>
                <w:kern w:val="0"/>
                <w:sz w:val="21"/>
                <w:szCs w:val="21"/>
                <w:highlight w:val="none"/>
                <w:u w:val="none"/>
                <w:lang w:val="en-US" w:eastAsia="zh-CN" w:bidi="ar-SA"/>
              </w:rPr>
            </w:pPr>
            <w:r>
              <w:rPr>
                <w:rFonts w:hint="eastAsia" w:ascii="Times New Roman" w:hAnsi="Times New Roman" w:eastAsia="宋体" w:cs="Times New Roman"/>
                <w:color w:val="auto"/>
                <w:kern w:val="0"/>
                <w:sz w:val="21"/>
                <w:szCs w:val="21"/>
                <w:highlight w:val="none"/>
                <w:u w:val="none"/>
              </w:rPr>
              <w:t>0.00E+00</w:t>
            </w:r>
          </w:p>
        </w:tc>
        <w:tc>
          <w:tcPr>
            <w:tcW w:w="600" w:type="pct"/>
            <w:shd w:val="clear" w:color="auto" w:fill="auto"/>
            <w:noWrap w:val="0"/>
            <w:tcMar>
              <w:top w:w="0" w:type="dxa"/>
              <w:left w:w="28" w:type="dxa"/>
              <w:bottom w:w="0" w:type="dxa"/>
              <w:right w:w="28" w:type="dxa"/>
            </w:tcMar>
            <w:vAlign w:val="center"/>
          </w:tcPr>
          <w:p w14:paraId="17463475">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auto"/>
                <w:kern w:val="0"/>
                <w:sz w:val="21"/>
                <w:szCs w:val="21"/>
                <w:highlight w:val="none"/>
                <w:u w:val="none"/>
                <w:lang w:val="en-US" w:eastAsia="zh-CN" w:bidi="ar-SA"/>
              </w:rPr>
            </w:pPr>
            <w:r>
              <w:rPr>
                <w:rFonts w:hint="eastAsia" w:ascii="Times New Roman" w:hAnsi="Times New Roman" w:eastAsia="宋体" w:cs="Times New Roman"/>
                <w:color w:val="auto"/>
                <w:kern w:val="0"/>
                <w:sz w:val="21"/>
                <w:szCs w:val="21"/>
                <w:highlight w:val="none"/>
                <w:u w:val="none"/>
              </w:rPr>
              <w:t>0.00E+00</w:t>
            </w:r>
          </w:p>
        </w:tc>
        <w:tc>
          <w:tcPr>
            <w:tcW w:w="600" w:type="pct"/>
            <w:shd w:val="clear" w:color="auto" w:fill="auto"/>
            <w:noWrap w:val="0"/>
            <w:tcMar>
              <w:top w:w="0" w:type="dxa"/>
              <w:left w:w="28" w:type="dxa"/>
              <w:bottom w:w="0" w:type="dxa"/>
              <w:right w:w="28" w:type="dxa"/>
            </w:tcMar>
            <w:vAlign w:val="center"/>
          </w:tcPr>
          <w:p w14:paraId="250296E5">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auto"/>
                <w:kern w:val="0"/>
                <w:sz w:val="21"/>
                <w:szCs w:val="21"/>
                <w:highlight w:val="none"/>
                <w:u w:val="none"/>
                <w:lang w:val="en-US" w:eastAsia="zh-CN" w:bidi="ar-SA"/>
              </w:rPr>
            </w:pPr>
            <w:r>
              <w:rPr>
                <w:rFonts w:hint="eastAsia" w:ascii="Times New Roman" w:hAnsi="Times New Roman" w:eastAsia="宋体" w:cs="Times New Roman"/>
                <w:color w:val="auto"/>
                <w:kern w:val="0"/>
                <w:sz w:val="21"/>
                <w:szCs w:val="21"/>
                <w:highlight w:val="none"/>
                <w:u w:val="none"/>
              </w:rPr>
              <w:t>0.00E+00</w:t>
            </w:r>
          </w:p>
        </w:tc>
        <w:tc>
          <w:tcPr>
            <w:tcW w:w="600" w:type="pct"/>
            <w:shd w:val="clear" w:color="auto" w:fill="auto"/>
            <w:noWrap w:val="0"/>
            <w:tcMar>
              <w:top w:w="0" w:type="dxa"/>
              <w:left w:w="28" w:type="dxa"/>
              <w:bottom w:w="0" w:type="dxa"/>
              <w:right w:w="28" w:type="dxa"/>
            </w:tcMar>
            <w:vAlign w:val="center"/>
          </w:tcPr>
          <w:p w14:paraId="7325A2D5">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auto"/>
                <w:kern w:val="0"/>
                <w:sz w:val="21"/>
                <w:szCs w:val="21"/>
                <w:highlight w:val="none"/>
                <w:u w:val="none"/>
                <w:lang w:val="en-US" w:eastAsia="zh-CN" w:bidi="ar-SA"/>
              </w:rPr>
            </w:pPr>
            <w:r>
              <w:rPr>
                <w:rFonts w:hint="eastAsia" w:ascii="Times New Roman" w:hAnsi="Times New Roman" w:eastAsia="宋体" w:cs="Times New Roman"/>
                <w:color w:val="auto"/>
                <w:kern w:val="0"/>
                <w:sz w:val="21"/>
                <w:szCs w:val="21"/>
                <w:highlight w:val="none"/>
                <w:u w:val="none"/>
              </w:rPr>
              <w:t>0.00E+00</w:t>
            </w:r>
          </w:p>
        </w:tc>
      </w:tr>
      <w:tr w14:paraId="493DEF8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95" w:type="pct"/>
            <w:noWrap w:val="0"/>
            <w:tcMar>
              <w:top w:w="0" w:type="dxa"/>
              <w:left w:w="28" w:type="dxa"/>
              <w:bottom w:w="0" w:type="dxa"/>
              <w:right w:w="28" w:type="dxa"/>
            </w:tcMar>
            <w:vAlign w:val="center"/>
          </w:tcPr>
          <w:p w14:paraId="63782BC9">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auto"/>
                <w:kern w:val="0"/>
                <w:sz w:val="21"/>
                <w:szCs w:val="21"/>
                <w:highlight w:val="none"/>
                <w:u w:val="none"/>
              </w:rPr>
            </w:pPr>
            <w:r>
              <w:rPr>
                <w:rFonts w:ascii="Times New Roman" w:hAnsi="Times New Roman" w:eastAsia="宋体" w:cs="Times New Roman"/>
                <w:color w:val="auto"/>
                <w:kern w:val="0"/>
                <w:sz w:val="21"/>
                <w:szCs w:val="21"/>
                <w:highlight w:val="none"/>
                <w:u w:val="none"/>
              </w:rPr>
              <w:t>（500，500）</w:t>
            </w:r>
          </w:p>
        </w:tc>
        <w:tc>
          <w:tcPr>
            <w:tcW w:w="600" w:type="pct"/>
            <w:shd w:val="clear" w:color="auto" w:fill="auto"/>
            <w:noWrap w:val="0"/>
            <w:tcMar>
              <w:top w:w="0" w:type="dxa"/>
              <w:left w:w="28" w:type="dxa"/>
              <w:bottom w:w="0" w:type="dxa"/>
              <w:right w:w="28" w:type="dxa"/>
            </w:tcMar>
            <w:vAlign w:val="center"/>
          </w:tcPr>
          <w:p w14:paraId="72C82B54">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auto"/>
                <w:kern w:val="0"/>
                <w:sz w:val="21"/>
                <w:szCs w:val="21"/>
                <w:highlight w:val="none"/>
                <w:u w:val="none"/>
                <w:lang w:val="en-US" w:eastAsia="zh-CN" w:bidi="ar-SA"/>
              </w:rPr>
            </w:pPr>
            <w:r>
              <w:rPr>
                <w:rFonts w:hint="eastAsia" w:ascii="Times New Roman" w:hAnsi="Times New Roman" w:eastAsia="宋体" w:cs="Times New Roman"/>
                <w:color w:val="auto"/>
                <w:kern w:val="0"/>
                <w:sz w:val="21"/>
                <w:szCs w:val="21"/>
                <w:highlight w:val="none"/>
                <w:u w:val="none"/>
              </w:rPr>
              <w:t>0.00E+00</w:t>
            </w:r>
          </w:p>
        </w:tc>
        <w:tc>
          <w:tcPr>
            <w:tcW w:w="600" w:type="pct"/>
            <w:shd w:val="clear" w:color="auto" w:fill="auto"/>
            <w:noWrap w:val="0"/>
            <w:tcMar>
              <w:top w:w="0" w:type="dxa"/>
              <w:left w:w="28" w:type="dxa"/>
              <w:bottom w:w="0" w:type="dxa"/>
              <w:right w:w="28" w:type="dxa"/>
            </w:tcMar>
            <w:vAlign w:val="center"/>
          </w:tcPr>
          <w:p w14:paraId="167FFD5E">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auto"/>
                <w:kern w:val="0"/>
                <w:sz w:val="21"/>
                <w:szCs w:val="21"/>
                <w:highlight w:val="none"/>
                <w:u w:val="none"/>
                <w:lang w:val="en-US" w:eastAsia="zh-CN" w:bidi="ar-SA"/>
              </w:rPr>
            </w:pPr>
            <w:r>
              <w:rPr>
                <w:rFonts w:hint="eastAsia" w:ascii="Times New Roman" w:hAnsi="Times New Roman" w:eastAsia="宋体" w:cs="Times New Roman"/>
                <w:color w:val="auto"/>
                <w:kern w:val="0"/>
                <w:sz w:val="21"/>
                <w:szCs w:val="21"/>
                <w:highlight w:val="none"/>
                <w:u w:val="none"/>
              </w:rPr>
              <w:t>0.00E+00</w:t>
            </w:r>
          </w:p>
        </w:tc>
        <w:tc>
          <w:tcPr>
            <w:tcW w:w="600" w:type="pct"/>
            <w:shd w:val="clear" w:color="auto" w:fill="auto"/>
            <w:noWrap w:val="0"/>
            <w:tcMar>
              <w:top w:w="0" w:type="dxa"/>
              <w:left w:w="28" w:type="dxa"/>
              <w:bottom w:w="0" w:type="dxa"/>
              <w:right w:w="28" w:type="dxa"/>
            </w:tcMar>
            <w:vAlign w:val="center"/>
          </w:tcPr>
          <w:p w14:paraId="2558CF63">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auto"/>
                <w:kern w:val="0"/>
                <w:sz w:val="21"/>
                <w:szCs w:val="21"/>
                <w:highlight w:val="none"/>
                <w:u w:val="none"/>
                <w:lang w:val="en-US" w:eastAsia="zh-CN" w:bidi="ar-SA"/>
              </w:rPr>
            </w:pPr>
            <w:r>
              <w:rPr>
                <w:rFonts w:hint="eastAsia" w:ascii="Times New Roman" w:hAnsi="Times New Roman" w:eastAsia="宋体" w:cs="Times New Roman"/>
                <w:color w:val="auto"/>
                <w:kern w:val="0"/>
                <w:sz w:val="21"/>
                <w:szCs w:val="21"/>
                <w:highlight w:val="none"/>
                <w:u w:val="none"/>
              </w:rPr>
              <w:t>0.00E+00</w:t>
            </w:r>
          </w:p>
        </w:tc>
        <w:tc>
          <w:tcPr>
            <w:tcW w:w="600" w:type="pct"/>
            <w:shd w:val="clear" w:color="auto" w:fill="auto"/>
            <w:noWrap w:val="0"/>
            <w:tcMar>
              <w:top w:w="0" w:type="dxa"/>
              <w:left w:w="28" w:type="dxa"/>
              <w:bottom w:w="0" w:type="dxa"/>
              <w:right w:w="28" w:type="dxa"/>
            </w:tcMar>
            <w:vAlign w:val="center"/>
          </w:tcPr>
          <w:p w14:paraId="6C6B416C">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auto"/>
                <w:kern w:val="0"/>
                <w:sz w:val="21"/>
                <w:szCs w:val="21"/>
                <w:highlight w:val="none"/>
                <w:u w:val="none"/>
                <w:lang w:val="en-US" w:eastAsia="zh-CN" w:bidi="ar-SA"/>
              </w:rPr>
            </w:pPr>
            <w:r>
              <w:rPr>
                <w:rFonts w:hint="eastAsia" w:ascii="Times New Roman" w:hAnsi="Times New Roman" w:eastAsia="宋体" w:cs="Times New Roman"/>
                <w:color w:val="auto"/>
                <w:kern w:val="0"/>
                <w:sz w:val="21"/>
                <w:szCs w:val="21"/>
                <w:highlight w:val="none"/>
                <w:u w:val="none"/>
              </w:rPr>
              <w:t>0.00E+00</w:t>
            </w:r>
          </w:p>
        </w:tc>
        <w:tc>
          <w:tcPr>
            <w:tcW w:w="600" w:type="pct"/>
            <w:shd w:val="clear" w:color="auto" w:fill="auto"/>
            <w:noWrap w:val="0"/>
            <w:tcMar>
              <w:top w:w="0" w:type="dxa"/>
              <w:left w:w="28" w:type="dxa"/>
              <w:bottom w:w="0" w:type="dxa"/>
              <w:right w:w="28" w:type="dxa"/>
            </w:tcMar>
            <w:vAlign w:val="center"/>
          </w:tcPr>
          <w:p w14:paraId="1B0C899A">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auto"/>
                <w:kern w:val="0"/>
                <w:sz w:val="21"/>
                <w:szCs w:val="21"/>
                <w:highlight w:val="none"/>
                <w:u w:val="none"/>
                <w:lang w:val="en-US" w:eastAsia="zh-CN" w:bidi="ar-SA"/>
              </w:rPr>
            </w:pPr>
            <w:r>
              <w:rPr>
                <w:rFonts w:hint="eastAsia" w:ascii="Times New Roman" w:hAnsi="Times New Roman" w:eastAsia="宋体" w:cs="Times New Roman"/>
                <w:color w:val="auto"/>
                <w:kern w:val="0"/>
                <w:sz w:val="21"/>
                <w:szCs w:val="21"/>
                <w:highlight w:val="none"/>
                <w:u w:val="none"/>
              </w:rPr>
              <w:t>0.00E+00</w:t>
            </w:r>
          </w:p>
        </w:tc>
        <w:tc>
          <w:tcPr>
            <w:tcW w:w="600" w:type="pct"/>
            <w:shd w:val="clear" w:color="auto" w:fill="auto"/>
            <w:noWrap w:val="0"/>
            <w:tcMar>
              <w:top w:w="0" w:type="dxa"/>
              <w:left w:w="28" w:type="dxa"/>
              <w:bottom w:w="0" w:type="dxa"/>
              <w:right w:w="28" w:type="dxa"/>
            </w:tcMar>
            <w:vAlign w:val="center"/>
          </w:tcPr>
          <w:p w14:paraId="59A365E5">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auto"/>
                <w:kern w:val="0"/>
                <w:sz w:val="21"/>
                <w:szCs w:val="21"/>
                <w:highlight w:val="none"/>
                <w:u w:val="none"/>
                <w:lang w:val="en-US" w:eastAsia="zh-CN" w:bidi="ar-SA"/>
              </w:rPr>
            </w:pPr>
            <w:r>
              <w:rPr>
                <w:rFonts w:hint="eastAsia" w:ascii="Times New Roman" w:hAnsi="Times New Roman" w:eastAsia="宋体" w:cs="Times New Roman"/>
                <w:color w:val="auto"/>
                <w:kern w:val="0"/>
                <w:sz w:val="21"/>
                <w:szCs w:val="21"/>
                <w:highlight w:val="none"/>
                <w:u w:val="none"/>
              </w:rPr>
              <w:t>0.00E+00</w:t>
            </w:r>
          </w:p>
        </w:tc>
        <w:tc>
          <w:tcPr>
            <w:tcW w:w="600" w:type="pct"/>
            <w:shd w:val="clear" w:color="auto" w:fill="auto"/>
            <w:noWrap w:val="0"/>
            <w:tcMar>
              <w:top w:w="0" w:type="dxa"/>
              <w:left w:w="28" w:type="dxa"/>
              <w:bottom w:w="0" w:type="dxa"/>
              <w:right w:w="28" w:type="dxa"/>
            </w:tcMar>
            <w:vAlign w:val="center"/>
          </w:tcPr>
          <w:p w14:paraId="6A419D3C">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auto"/>
                <w:kern w:val="0"/>
                <w:sz w:val="21"/>
                <w:szCs w:val="21"/>
                <w:highlight w:val="none"/>
                <w:u w:val="none"/>
                <w:lang w:val="en-US" w:eastAsia="zh-CN" w:bidi="ar-SA"/>
              </w:rPr>
            </w:pPr>
            <w:r>
              <w:rPr>
                <w:rFonts w:hint="eastAsia" w:ascii="Times New Roman" w:hAnsi="Times New Roman" w:eastAsia="宋体" w:cs="Times New Roman"/>
                <w:color w:val="auto"/>
                <w:kern w:val="0"/>
                <w:sz w:val="21"/>
                <w:szCs w:val="21"/>
                <w:highlight w:val="none"/>
                <w:u w:val="none"/>
              </w:rPr>
              <w:t>0.00E+00</w:t>
            </w:r>
          </w:p>
        </w:tc>
      </w:tr>
      <w:tr w14:paraId="234D093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95" w:type="pct"/>
            <w:noWrap w:val="0"/>
            <w:tcMar>
              <w:top w:w="0" w:type="dxa"/>
              <w:left w:w="28" w:type="dxa"/>
              <w:bottom w:w="0" w:type="dxa"/>
              <w:right w:w="28" w:type="dxa"/>
            </w:tcMar>
            <w:vAlign w:val="center"/>
          </w:tcPr>
          <w:p w14:paraId="47DEB97A">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none"/>
                <w:lang w:val="en-US" w:eastAsia="zh-CN"/>
              </w:rPr>
            </w:pPr>
            <w:r>
              <w:rPr>
                <w:rFonts w:hint="eastAsia" w:ascii="Times New Roman" w:hAnsi="Times New Roman" w:eastAsia="宋体" w:cs="Times New Roman"/>
                <w:color w:val="auto"/>
                <w:kern w:val="0"/>
                <w:sz w:val="21"/>
                <w:szCs w:val="21"/>
                <w:highlight w:val="none"/>
                <w:u w:val="none"/>
                <w:lang w:val="en-US" w:eastAsia="zh-CN"/>
              </w:rPr>
              <w:t>（1000,1000）</w:t>
            </w:r>
          </w:p>
        </w:tc>
        <w:tc>
          <w:tcPr>
            <w:tcW w:w="600" w:type="pct"/>
            <w:shd w:val="clear" w:color="auto" w:fill="auto"/>
            <w:noWrap w:val="0"/>
            <w:tcMar>
              <w:top w:w="0" w:type="dxa"/>
              <w:left w:w="28" w:type="dxa"/>
              <w:bottom w:w="0" w:type="dxa"/>
              <w:right w:w="28" w:type="dxa"/>
            </w:tcMar>
            <w:vAlign w:val="center"/>
          </w:tcPr>
          <w:p w14:paraId="0F4AD1EB">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auto"/>
                <w:kern w:val="0"/>
                <w:sz w:val="21"/>
                <w:szCs w:val="21"/>
                <w:highlight w:val="none"/>
                <w:u w:val="none"/>
                <w:lang w:val="en-US" w:eastAsia="zh-CN" w:bidi="ar-SA"/>
              </w:rPr>
            </w:pPr>
            <w:r>
              <w:rPr>
                <w:rFonts w:hint="eastAsia" w:ascii="Times New Roman" w:hAnsi="Times New Roman" w:eastAsia="宋体" w:cs="Times New Roman"/>
                <w:color w:val="auto"/>
                <w:kern w:val="0"/>
                <w:sz w:val="21"/>
                <w:szCs w:val="21"/>
                <w:highlight w:val="none"/>
                <w:u w:val="none"/>
              </w:rPr>
              <w:t>0.00E+00</w:t>
            </w:r>
          </w:p>
        </w:tc>
        <w:tc>
          <w:tcPr>
            <w:tcW w:w="600" w:type="pct"/>
            <w:shd w:val="clear" w:color="auto" w:fill="auto"/>
            <w:noWrap w:val="0"/>
            <w:tcMar>
              <w:top w:w="0" w:type="dxa"/>
              <w:left w:w="28" w:type="dxa"/>
              <w:bottom w:w="0" w:type="dxa"/>
              <w:right w:w="28" w:type="dxa"/>
            </w:tcMar>
            <w:vAlign w:val="center"/>
          </w:tcPr>
          <w:p w14:paraId="40206C4A">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auto"/>
                <w:kern w:val="0"/>
                <w:sz w:val="21"/>
                <w:szCs w:val="21"/>
                <w:highlight w:val="none"/>
                <w:u w:val="none"/>
                <w:lang w:val="en-US" w:eastAsia="zh-CN" w:bidi="ar-SA"/>
              </w:rPr>
            </w:pPr>
            <w:r>
              <w:rPr>
                <w:rFonts w:hint="eastAsia" w:ascii="Times New Roman" w:hAnsi="Times New Roman" w:eastAsia="宋体" w:cs="Times New Roman"/>
                <w:color w:val="auto"/>
                <w:kern w:val="0"/>
                <w:sz w:val="21"/>
                <w:szCs w:val="21"/>
                <w:highlight w:val="none"/>
                <w:u w:val="none"/>
              </w:rPr>
              <w:t>0.00E+00</w:t>
            </w:r>
          </w:p>
        </w:tc>
        <w:tc>
          <w:tcPr>
            <w:tcW w:w="600" w:type="pct"/>
            <w:shd w:val="clear" w:color="auto" w:fill="auto"/>
            <w:noWrap w:val="0"/>
            <w:tcMar>
              <w:top w:w="0" w:type="dxa"/>
              <w:left w:w="28" w:type="dxa"/>
              <w:bottom w:w="0" w:type="dxa"/>
              <w:right w:w="28" w:type="dxa"/>
            </w:tcMar>
            <w:vAlign w:val="center"/>
          </w:tcPr>
          <w:p w14:paraId="5B3329CD">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auto"/>
                <w:kern w:val="0"/>
                <w:sz w:val="21"/>
                <w:szCs w:val="21"/>
                <w:highlight w:val="none"/>
                <w:u w:val="none"/>
                <w:lang w:val="en-US" w:eastAsia="zh-CN" w:bidi="ar-SA"/>
              </w:rPr>
            </w:pPr>
            <w:r>
              <w:rPr>
                <w:rFonts w:hint="eastAsia" w:ascii="Times New Roman" w:hAnsi="Times New Roman" w:eastAsia="宋体" w:cs="Times New Roman"/>
                <w:color w:val="auto"/>
                <w:kern w:val="0"/>
                <w:sz w:val="21"/>
                <w:szCs w:val="21"/>
                <w:highlight w:val="none"/>
                <w:u w:val="none"/>
              </w:rPr>
              <w:t>0.00E+00</w:t>
            </w:r>
          </w:p>
        </w:tc>
        <w:tc>
          <w:tcPr>
            <w:tcW w:w="600" w:type="pct"/>
            <w:shd w:val="clear" w:color="auto" w:fill="auto"/>
            <w:noWrap w:val="0"/>
            <w:tcMar>
              <w:top w:w="0" w:type="dxa"/>
              <w:left w:w="28" w:type="dxa"/>
              <w:bottom w:w="0" w:type="dxa"/>
              <w:right w:w="28" w:type="dxa"/>
            </w:tcMar>
            <w:vAlign w:val="center"/>
          </w:tcPr>
          <w:p w14:paraId="1F861B4A">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auto"/>
                <w:kern w:val="0"/>
                <w:sz w:val="21"/>
                <w:szCs w:val="21"/>
                <w:highlight w:val="none"/>
                <w:u w:val="none"/>
                <w:lang w:val="en-US" w:eastAsia="zh-CN" w:bidi="ar-SA"/>
              </w:rPr>
            </w:pPr>
            <w:r>
              <w:rPr>
                <w:rFonts w:hint="eastAsia" w:ascii="Times New Roman" w:hAnsi="Times New Roman" w:eastAsia="宋体" w:cs="Times New Roman"/>
                <w:color w:val="auto"/>
                <w:kern w:val="0"/>
                <w:sz w:val="21"/>
                <w:szCs w:val="21"/>
                <w:highlight w:val="none"/>
                <w:u w:val="none"/>
              </w:rPr>
              <w:t>0.00E+00</w:t>
            </w:r>
          </w:p>
        </w:tc>
        <w:tc>
          <w:tcPr>
            <w:tcW w:w="600" w:type="pct"/>
            <w:shd w:val="clear" w:color="auto" w:fill="auto"/>
            <w:noWrap w:val="0"/>
            <w:tcMar>
              <w:top w:w="0" w:type="dxa"/>
              <w:left w:w="28" w:type="dxa"/>
              <w:bottom w:w="0" w:type="dxa"/>
              <w:right w:w="28" w:type="dxa"/>
            </w:tcMar>
            <w:vAlign w:val="center"/>
          </w:tcPr>
          <w:p w14:paraId="2D78E4BA">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auto"/>
                <w:kern w:val="0"/>
                <w:sz w:val="21"/>
                <w:szCs w:val="21"/>
                <w:highlight w:val="none"/>
                <w:u w:val="none"/>
                <w:lang w:val="en-US" w:eastAsia="zh-CN" w:bidi="ar-SA"/>
              </w:rPr>
            </w:pPr>
            <w:r>
              <w:rPr>
                <w:rFonts w:hint="eastAsia" w:ascii="Times New Roman" w:hAnsi="Times New Roman" w:eastAsia="宋体" w:cs="Times New Roman"/>
                <w:color w:val="auto"/>
                <w:kern w:val="0"/>
                <w:sz w:val="21"/>
                <w:szCs w:val="21"/>
                <w:highlight w:val="none"/>
                <w:u w:val="none"/>
              </w:rPr>
              <w:t>0.00E+00</w:t>
            </w:r>
          </w:p>
        </w:tc>
        <w:tc>
          <w:tcPr>
            <w:tcW w:w="600" w:type="pct"/>
            <w:shd w:val="clear" w:color="auto" w:fill="auto"/>
            <w:noWrap w:val="0"/>
            <w:tcMar>
              <w:top w:w="0" w:type="dxa"/>
              <w:left w:w="28" w:type="dxa"/>
              <w:bottom w:w="0" w:type="dxa"/>
              <w:right w:w="28" w:type="dxa"/>
            </w:tcMar>
            <w:vAlign w:val="center"/>
          </w:tcPr>
          <w:p w14:paraId="5CDE4A33">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auto"/>
                <w:kern w:val="0"/>
                <w:sz w:val="21"/>
                <w:szCs w:val="21"/>
                <w:highlight w:val="none"/>
                <w:u w:val="none"/>
                <w:lang w:val="en-US" w:eastAsia="zh-CN" w:bidi="ar-SA"/>
              </w:rPr>
            </w:pPr>
            <w:r>
              <w:rPr>
                <w:rFonts w:hint="eastAsia" w:ascii="Times New Roman" w:hAnsi="Times New Roman" w:eastAsia="宋体" w:cs="Times New Roman"/>
                <w:color w:val="auto"/>
                <w:kern w:val="0"/>
                <w:sz w:val="21"/>
                <w:szCs w:val="21"/>
                <w:highlight w:val="none"/>
                <w:u w:val="none"/>
              </w:rPr>
              <w:t>0.00E+00</w:t>
            </w:r>
          </w:p>
        </w:tc>
        <w:tc>
          <w:tcPr>
            <w:tcW w:w="600" w:type="pct"/>
            <w:shd w:val="clear" w:color="auto" w:fill="auto"/>
            <w:noWrap w:val="0"/>
            <w:tcMar>
              <w:top w:w="0" w:type="dxa"/>
              <w:left w:w="28" w:type="dxa"/>
              <w:bottom w:w="0" w:type="dxa"/>
              <w:right w:w="28" w:type="dxa"/>
            </w:tcMar>
            <w:vAlign w:val="center"/>
          </w:tcPr>
          <w:p w14:paraId="41B5BB27">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auto"/>
                <w:kern w:val="0"/>
                <w:sz w:val="21"/>
                <w:szCs w:val="21"/>
                <w:highlight w:val="none"/>
                <w:u w:val="none"/>
                <w:lang w:val="en-US" w:eastAsia="zh-CN" w:bidi="ar-SA"/>
              </w:rPr>
            </w:pPr>
            <w:r>
              <w:rPr>
                <w:rFonts w:hint="eastAsia" w:ascii="Times New Roman" w:hAnsi="Times New Roman" w:eastAsia="宋体" w:cs="Times New Roman"/>
                <w:color w:val="auto"/>
                <w:kern w:val="0"/>
                <w:sz w:val="21"/>
                <w:szCs w:val="21"/>
                <w:highlight w:val="none"/>
                <w:u w:val="none"/>
              </w:rPr>
              <w:t>0.00E+00</w:t>
            </w:r>
          </w:p>
        </w:tc>
      </w:tr>
    </w:tbl>
    <w:p w14:paraId="219D5A01">
      <w:pPr>
        <w:bidi w:val="0"/>
        <w:rPr>
          <w:rFonts w:hint="eastAsia"/>
          <w:highlight w:val="none"/>
          <w:u w:val="none"/>
          <w:lang w:val="en-US" w:eastAsia="zh-CN"/>
        </w:rPr>
      </w:pPr>
      <w:r>
        <w:rPr>
          <w:rFonts w:hint="eastAsia"/>
          <w:highlight w:val="none"/>
          <w:u w:val="none"/>
          <w:lang w:val="en-US" w:eastAsia="zh-CN"/>
        </w:rPr>
        <w:t>经预测，污染物最大浓度处为泄漏点，超标距离最远为5m，1000d时砷下游最大浓度为3360mg/L、锌下游最大浓度为363mg/L、铅下游最大浓度为53.1mg/L。从预测结果可以看出，非正常工况下，污染物在运移过程中随着地下水稀释作用，浓度逐渐降低，随着时间增长，污染物运移范围随之扩大，但都在厂界范围内。</w:t>
      </w:r>
    </w:p>
    <w:p w14:paraId="31593034">
      <w:pPr>
        <w:bidi w:val="0"/>
        <w:rPr>
          <w:rFonts w:hint="eastAsia"/>
          <w:highlight w:val="none"/>
          <w:u w:val="none"/>
          <w:lang w:val="en-US" w:eastAsia="zh-CN"/>
        </w:rPr>
      </w:pPr>
      <w:r>
        <w:rPr>
          <w:rFonts w:hint="eastAsia"/>
          <w:highlight w:val="none"/>
          <w:u w:val="none"/>
          <w:lang w:val="en-US" w:eastAsia="zh-CN"/>
        </w:rPr>
        <w:t>因此，项目需严格按照设计要求进行防渗处理。根据本项目建设特点，采用源头控制、分区防渗、地下水长期监测等措施，防止地下水发生污染。当地下水发生污染后，采取积极有效的应急措施。因此在采取以上措施后，建设项目对地下水环境的影响较小，本建设项目对地下水环境的影响可以接受。</w:t>
      </w:r>
    </w:p>
    <w:p w14:paraId="7796EE48">
      <w:pPr>
        <w:pStyle w:val="9"/>
        <w:numPr>
          <w:ilvl w:val="2"/>
          <w:numId w:val="1"/>
        </w:numPr>
        <w:bidi w:val="0"/>
        <w:ind w:left="709" w:leftChars="0" w:hanging="709" w:firstLineChars="0"/>
        <w:rPr>
          <w:rFonts w:hint="eastAsia"/>
          <w:highlight w:val="none"/>
          <w:lang w:val="en-US" w:eastAsia="zh-CN"/>
        </w:rPr>
      </w:pPr>
      <w:r>
        <w:rPr>
          <w:rFonts w:hint="eastAsia"/>
          <w:highlight w:val="none"/>
          <w:lang w:val="en-US" w:eastAsia="zh-CN"/>
        </w:rPr>
        <w:t>噪声环境影响分析</w:t>
      </w:r>
    </w:p>
    <w:p w14:paraId="043D01F4">
      <w:pPr>
        <w:rPr>
          <w:rFonts w:hint="eastAsia"/>
          <w:highlight w:val="none"/>
          <w:lang w:val="en-US" w:eastAsia="zh-CN"/>
        </w:rPr>
      </w:pPr>
      <w:r>
        <w:rPr>
          <w:rFonts w:hint="eastAsia"/>
          <w:highlight w:val="none"/>
          <w:lang w:val="en-US" w:eastAsia="zh-CN"/>
        </w:rPr>
        <w:t>本项目治理完成后没有噪声源，因此对项目周围环境敏感点无影响。</w:t>
      </w:r>
    </w:p>
    <w:p w14:paraId="3067904E">
      <w:pPr>
        <w:pStyle w:val="9"/>
        <w:numPr>
          <w:ilvl w:val="2"/>
          <w:numId w:val="1"/>
        </w:numPr>
        <w:bidi w:val="0"/>
        <w:ind w:left="709" w:leftChars="0" w:hanging="709" w:firstLineChars="0"/>
        <w:rPr>
          <w:rFonts w:hint="eastAsia"/>
          <w:highlight w:val="none"/>
          <w:lang w:val="en-US" w:eastAsia="zh-CN"/>
        </w:rPr>
      </w:pPr>
      <w:r>
        <w:rPr>
          <w:rFonts w:hint="eastAsia"/>
          <w:highlight w:val="none"/>
          <w:lang w:val="en-US" w:eastAsia="zh-CN"/>
        </w:rPr>
        <w:t>固体废物影响分析</w:t>
      </w:r>
    </w:p>
    <w:p w14:paraId="75D7627E">
      <w:pPr>
        <w:rPr>
          <w:rFonts w:hint="eastAsia"/>
          <w:highlight w:val="none"/>
          <w:lang w:val="en-US" w:eastAsia="zh-CN"/>
        </w:rPr>
      </w:pPr>
      <w:r>
        <w:rPr>
          <w:rFonts w:hint="eastAsia"/>
          <w:highlight w:val="none"/>
          <w:lang w:val="en-US" w:eastAsia="zh-CN"/>
        </w:rPr>
        <w:t>本项目废渣填埋场渗滤液采用一体化废水处理设备处理，治理过程中会产生少量污泥，污泥属于一般固废，运往就近砖厂进行资源化利用。渗滤液的产生主要集中在废渣填埋前期（一般为废渣填埋后6个月内），后续在表面阻隔层无破损的情况下，废渣填埋场的渗滤液产生量不大，且呈逐步减少趋势，一定时间后，渗滤液的产生量会几乎为零，治理完成后不会产生固废。本项目固体废物均能得到妥善处置，项目固体废物妥善处置后对环境影响小，禁止将固废随意丢弃。</w:t>
      </w:r>
    </w:p>
    <w:p w14:paraId="521B4E25">
      <w:pPr>
        <w:pStyle w:val="9"/>
        <w:numPr>
          <w:ilvl w:val="2"/>
          <w:numId w:val="1"/>
        </w:numPr>
        <w:bidi w:val="0"/>
        <w:ind w:left="709" w:leftChars="0" w:hanging="709" w:firstLineChars="0"/>
        <w:rPr>
          <w:rFonts w:hint="eastAsia"/>
          <w:highlight w:val="none"/>
          <w:lang w:val="en-US" w:eastAsia="zh-CN"/>
        </w:rPr>
      </w:pPr>
      <w:r>
        <w:rPr>
          <w:rFonts w:hint="eastAsia"/>
          <w:highlight w:val="none"/>
          <w:lang w:val="en-US" w:eastAsia="zh-CN"/>
        </w:rPr>
        <w:t>土壤环境环境影响分析</w:t>
      </w:r>
    </w:p>
    <w:p w14:paraId="7D525403">
      <w:pPr>
        <w:rPr>
          <w:rFonts w:hint="eastAsia"/>
          <w:highlight w:val="none"/>
          <w:lang w:val="en-US" w:eastAsia="zh-CN"/>
        </w:rPr>
      </w:pPr>
      <w:r>
        <w:rPr>
          <w:rFonts w:hint="eastAsia"/>
          <w:highlight w:val="none"/>
          <w:lang w:val="en-US" w:eastAsia="zh-CN"/>
        </w:rPr>
        <w:t>根据前文分析，本项目土壤环境影响评价等级为二级，本项目为历史遗留废渣进行治理项目，采用填埋法处理，由于严格按照要求采取防渗措施，在正常工况下不会发生渗滤液泄漏进入土壤，因此垂直入渗造成土壤污染主要为事故工况下，渗滤液垂直渗入土壤，渗滤液中的重金属污染因子对土壤环境造成的影响。</w:t>
      </w:r>
    </w:p>
    <w:p w14:paraId="33C23E81">
      <w:pPr>
        <w:rPr>
          <w:rFonts w:hint="eastAsia"/>
          <w:highlight w:val="none"/>
          <w:lang w:val="en-US" w:eastAsia="zh-CN"/>
        </w:rPr>
      </w:pPr>
      <w:r>
        <w:rPr>
          <w:rFonts w:hint="eastAsia"/>
          <w:highlight w:val="none"/>
          <w:lang w:val="en-US" w:eastAsia="zh-CN"/>
        </w:rPr>
        <w:t>本项目将设填埋场将地块内历史遗留的废渣进行收集填埋处理，填埋场将按照《一般工业固体废物贮存和填埋污染控制标准》（GB18599-2020）设计，采用双层土工布夹HDPE土工膜的复合衬垫层防渗处理，渗滤液收集池池体采用防渗水泥构筑钢筋混凝土结构，并做好收集池防渗，项目填埋场产生的渗滤液经渗滤液收集池收集，经一体化污水处理设备处理达标后，采用防腐、防漏的罐车集中清运至湖南黄金天岳矿业有限公司垂拱洞尾矿库废水处理站进行处理。</w:t>
      </w:r>
    </w:p>
    <w:p w14:paraId="41B1CB78">
      <w:pPr>
        <w:rPr>
          <w:rFonts w:hint="eastAsia"/>
          <w:highlight w:val="none"/>
          <w:lang w:val="en-US" w:eastAsia="zh-CN"/>
        </w:rPr>
      </w:pPr>
      <w:r>
        <w:rPr>
          <w:rFonts w:hint="eastAsia"/>
          <w:highlight w:val="none"/>
          <w:lang w:val="en-US" w:eastAsia="zh-CN"/>
        </w:rPr>
        <w:t>本工程严格控制进入填埋场的废渣来源，禁止其他危险废物混入填埋场，并严格按照要求对填埋场、渗滤液收集池做好防渗措施。同时本项目为重金属治理项目，将废渣清理后进行填埋，待工程完成后，可降低废渣重金属析出，控制污染扩散途径，可减少对周边土壤重金属的污染。</w:t>
      </w:r>
    </w:p>
    <w:p w14:paraId="4F5A11A8">
      <w:pPr>
        <w:rPr>
          <w:rFonts w:hint="eastAsia"/>
          <w:highlight w:val="none"/>
          <w:lang w:val="en-US" w:eastAsia="zh-CN"/>
        </w:rPr>
      </w:pPr>
      <w:r>
        <w:rPr>
          <w:rFonts w:hint="eastAsia"/>
          <w:highlight w:val="none"/>
          <w:lang w:val="en-US" w:eastAsia="zh-CN"/>
        </w:rPr>
        <w:t>本项目采取了相应的土壤污染防控措施，按照“源头控制、过程防控”相结合的原，从污染物的产生、运移、扩散全阶段进行了控制，在采取以上措施后，本项目对土壤环境影响较小。</w:t>
      </w:r>
    </w:p>
    <w:p w14:paraId="5BD262FE">
      <w:pPr>
        <w:pStyle w:val="9"/>
        <w:numPr>
          <w:ilvl w:val="2"/>
          <w:numId w:val="1"/>
        </w:numPr>
        <w:bidi w:val="0"/>
        <w:ind w:left="709" w:leftChars="0" w:hanging="709" w:firstLineChars="0"/>
        <w:rPr>
          <w:rFonts w:hint="eastAsia"/>
          <w:highlight w:val="none"/>
          <w:lang w:val="en-US" w:eastAsia="zh-CN"/>
        </w:rPr>
      </w:pPr>
      <w:r>
        <w:rPr>
          <w:rFonts w:hint="eastAsia"/>
          <w:highlight w:val="none"/>
          <w:lang w:val="en-US" w:eastAsia="zh-CN"/>
        </w:rPr>
        <w:t>生态环境环境影响分析</w:t>
      </w:r>
    </w:p>
    <w:p w14:paraId="2C15F9E7">
      <w:pPr>
        <w:rPr>
          <w:rFonts w:hint="eastAsia"/>
          <w:highlight w:val="none"/>
          <w:lang w:val="en-US" w:eastAsia="zh-CN"/>
        </w:rPr>
      </w:pPr>
      <w:r>
        <w:rPr>
          <w:rFonts w:hint="eastAsia"/>
          <w:highlight w:val="none"/>
          <w:lang w:val="en-US" w:eastAsia="zh-CN"/>
        </w:rPr>
        <w:t>项目的建设将会对治理区域进行绿化治理，项目完成后区域将增加绿化面积。因此项目的建设可以改善项目生态环境现状，对生态景观进行恢复，对局部景观起到了改善作用。项目建设将恢复以往的生态环境，又有机结合了人工生态环境，使人与自然和谐相处，美化了景观。</w:t>
      </w:r>
    </w:p>
    <w:p w14:paraId="6CFD6ABD">
      <w:pPr>
        <w:rPr>
          <w:rFonts w:hint="eastAsia"/>
          <w:highlight w:val="none"/>
          <w:lang w:val="en-US" w:eastAsia="zh-CN"/>
        </w:rPr>
      </w:pPr>
      <w:r>
        <w:rPr>
          <w:rFonts w:hint="eastAsia"/>
          <w:highlight w:val="none"/>
          <w:lang w:val="en-US" w:eastAsia="zh-CN"/>
        </w:rPr>
        <w:t>由于植被恢复从人工种植到形成稳定自维持的生态系统是逐步实现的，因此建设方在人工种植植被后，应加强管理与观察植被发展变化情况，促使重建植被朝着顺行演替的方向发展，最终建立一个稳定的、自维持的生态系统，确保工程生态恢复工程实施的有效性。</w:t>
      </w:r>
    </w:p>
    <w:p w14:paraId="12F1230D">
      <w:pPr>
        <w:rPr>
          <w:rFonts w:hint="eastAsia"/>
          <w:highlight w:val="none"/>
          <w:lang w:val="en-US" w:eastAsia="zh-CN"/>
        </w:rPr>
      </w:pPr>
      <w:r>
        <w:rPr>
          <w:rFonts w:hint="eastAsia"/>
          <w:highlight w:val="none"/>
          <w:lang w:val="en-US" w:eastAsia="zh-CN"/>
        </w:rPr>
        <w:t>评价区域没有濒危和珍稀保护物种，不会引起物种灭绝。本工程实施后现有的裸露土地将会由花、草等植物所取代，而使得物种更为丰富，异质化得到加强，提高了当地物种多样性从而改善生态环境。</w:t>
      </w:r>
    </w:p>
    <w:p w14:paraId="5F075E39">
      <w:pPr>
        <w:rPr>
          <w:rFonts w:hint="eastAsia"/>
          <w:highlight w:val="none"/>
          <w:lang w:val="en-US" w:eastAsia="zh-CN"/>
        </w:rPr>
      </w:pPr>
      <w:r>
        <w:rPr>
          <w:rFonts w:hint="eastAsia"/>
          <w:highlight w:val="none"/>
          <w:lang w:val="en-US" w:eastAsia="zh-CN"/>
        </w:rPr>
        <w:t>项目实施后，区域遗留废渣污染、水土流失得到有效治理，废渣得到清理。裸露地表经生态修复后，生态环境大大改善，区域生态景观也得到大大改善。</w:t>
      </w:r>
    </w:p>
    <w:p w14:paraId="4ED2B5E1">
      <w:pPr>
        <w:pStyle w:val="9"/>
        <w:numPr>
          <w:ilvl w:val="2"/>
          <w:numId w:val="1"/>
        </w:numPr>
        <w:bidi w:val="0"/>
        <w:ind w:left="709" w:leftChars="0" w:hanging="709" w:firstLineChars="0"/>
        <w:rPr>
          <w:rFonts w:hint="eastAsia"/>
          <w:lang w:val="en-US" w:eastAsia="zh-CN"/>
        </w:rPr>
      </w:pPr>
      <w:r>
        <w:rPr>
          <w:rFonts w:hint="eastAsia"/>
          <w:lang w:val="en-US" w:eastAsia="zh-CN"/>
        </w:rPr>
        <w:t>运输影响分析</w:t>
      </w:r>
    </w:p>
    <w:p w14:paraId="6F898E7B">
      <w:pPr>
        <w:rPr>
          <w:rFonts w:hint="eastAsia"/>
          <w:highlight w:val="none"/>
          <w:lang w:val="en-US" w:eastAsia="zh-CN"/>
        </w:rPr>
      </w:pPr>
      <w:r>
        <w:rPr>
          <w:rFonts w:hint="eastAsia"/>
          <w:highlight w:val="none"/>
          <w:lang w:val="en-US" w:eastAsia="zh-CN"/>
        </w:rPr>
        <w:t>项目在封场后需要定期将渗滤液运往湖南黄金天岳矿业有限公司垂拱洞尾矿库废水处理站进行处理。</w:t>
      </w:r>
    </w:p>
    <w:p w14:paraId="771C6EAD">
      <w:pPr>
        <w:rPr>
          <w:rFonts w:hint="eastAsia"/>
          <w:highlight w:val="none"/>
          <w:lang w:val="en-US" w:eastAsia="zh-CN"/>
        </w:rPr>
      </w:pPr>
      <w:r>
        <w:rPr>
          <w:rFonts w:hint="eastAsia"/>
          <w:highlight w:val="none"/>
          <w:lang w:val="en-US" w:eastAsia="zh-CN"/>
        </w:rPr>
        <w:t>渗滤液运输过程主要影响为渗滤液滴漏以及运输噪声等环境污染现象。因此渗滤液运输需采用防腐的罐车收集运输，并带有渗滤水收集装置，防止渗滤液洒落污染环境。运输过程应加强监管，确保容器稳固，不泄漏、不倒塌、不坠落、不损坏，防止渗滤液的渗漏。</w:t>
      </w:r>
    </w:p>
    <w:p w14:paraId="6E7F000B">
      <w:pPr>
        <w:rPr>
          <w:rFonts w:hint="eastAsia"/>
          <w:highlight w:val="none"/>
          <w:lang w:val="en-US" w:eastAsia="zh-CN"/>
        </w:rPr>
      </w:pPr>
      <w:r>
        <w:rPr>
          <w:rFonts w:hint="eastAsia"/>
          <w:highlight w:val="none"/>
          <w:lang w:val="en-US" w:eastAsia="zh-CN"/>
        </w:rPr>
        <w:t>渗滤液运输过程通过采取尽量避开学校、医院、居民集中区、集中式饮用水源保护区、自然保护区等优化运输线路方式，运输车在运输过程中，控制好车辆的行驶速度，经过村庄或居民区时夜间禁止鸣笛，避免噪声扰民现象。因此，在采取以上措施后渗滤液运输对周边环境的影响较小。</w:t>
      </w:r>
    </w:p>
    <w:p w14:paraId="4CF1BA97">
      <w:pPr>
        <w:pStyle w:val="9"/>
        <w:numPr>
          <w:ilvl w:val="2"/>
          <w:numId w:val="1"/>
        </w:numPr>
        <w:bidi w:val="0"/>
        <w:ind w:left="709" w:leftChars="0" w:hanging="709" w:firstLineChars="0"/>
        <w:rPr>
          <w:rFonts w:hint="eastAsia"/>
          <w:lang w:val="en-US" w:eastAsia="zh-CN"/>
        </w:rPr>
      </w:pPr>
      <w:bookmarkStart w:id="73" w:name="_Toc17311"/>
      <w:r>
        <w:rPr>
          <w:rFonts w:hint="eastAsia"/>
          <w:lang w:val="en-US" w:eastAsia="zh-CN"/>
        </w:rPr>
        <w:t>取土场环境影响分析</w:t>
      </w:r>
      <w:bookmarkEnd w:id="73"/>
    </w:p>
    <w:p w14:paraId="48F785A0">
      <w:pPr>
        <w:rPr>
          <w:rFonts w:hint="eastAsia"/>
          <w:highlight w:val="none"/>
          <w:lang w:val="en-US" w:eastAsia="zh-CN"/>
        </w:rPr>
      </w:pPr>
      <w:r>
        <w:rPr>
          <w:rFonts w:hint="eastAsia"/>
          <w:highlight w:val="none"/>
          <w:lang w:val="en-US" w:eastAsia="zh-CN"/>
        </w:rPr>
        <w:t>（1）取土场设置合理性分析</w:t>
      </w:r>
    </w:p>
    <w:p w14:paraId="2F5FC95C">
      <w:pPr>
        <w:rPr>
          <w:rFonts w:hint="eastAsia"/>
          <w:highlight w:val="yellow"/>
          <w:lang w:val="en-US" w:eastAsia="zh-CN"/>
        </w:rPr>
      </w:pPr>
      <w:r>
        <w:rPr>
          <w:rFonts w:hint="eastAsia"/>
          <w:highlight w:val="none"/>
          <w:lang w:val="en-US" w:eastAsia="zh-CN"/>
        </w:rPr>
        <w:t>本项目设1处取土场，</w:t>
      </w:r>
      <w:r>
        <w:rPr>
          <w:rFonts w:hint="default"/>
          <w:highlight w:val="none"/>
          <w:lang w:val="en-US" w:eastAsia="zh-CN"/>
        </w:rPr>
        <w:t>取土场选址位于其</w:t>
      </w:r>
      <w:r>
        <w:rPr>
          <w:rFonts w:hint="eastAsia"/>
          <w:highlight w:val="none"/>
          <w:lang w:val="en-US" w:eastAsia="zh-CN"/>
        </w:rPr>
        <w:t>东北2.7</w:t>
      </w:r>
      <w:r>
        <w:rPr>
          <w:rFonts w:hint="default"/>
          <w:highlight w:val="none"/>
          <w:lang w:val="en-US" w:eastAsia="zh-CN"/>
        </w:rPr>
        <w:t>km（经度113°34′26.27″，纬度28°39′51.3</w:t>
      </w:r>
      <w:r>
        <w:rPr>
          <w:rFonts w:hint="eastAsia"/>
          <w:highlight w:val="none"/>
          <w:lang w:val="en-US" w:eastAsia="zh-CN"/>
        </w:rPr>
        <w:t>7</w:t>
      </w:r>
      <w:r>
        <w:rPr>
          <w:rFonts w:hint="default"/>
          <w:highlight w:val="none"/>
          <w:lang w:val="en-US" w:eastAsia="zh-CN"/>
        </w:rPr>
        <w:t>″），临时占地</w:t>
      </w:r>
      <w:r>
        <w:rPr>
          <w:rFonts w:hint="eastAsia"/>
          <w:highlight w:val="none"/>
          <w:lang w:val="en-US" w:eastAsia="zh-CN"/>
        </w:rPr>
        <w:t>3668</w:t>
      </w:r>
      <w:r>
        <w:rPr>
          <w:rFonts w:hint="default"/>
          <w:highlight w:val="none"/>
          <w:lang w:val="en-US" w:eastAsia="zh-CN"/>
        </w:rPr>
        <w:t>m</w:t>
      </w:r>
      <w:r>
        <w:rPr>
          <w:rFonts w:hint="default"/>
          <w:highlight w:val="none"/>
          <w:vertAlign w:val="superscript"/>
          <w:lang w:val="en-US" w:eastAsia="zh-CN"/>
        </w:rPr>
        <w:t>2</w:t>
      </w:r>
      <w:r>
        <w:rPr>
          <w:rFonts w:hint="eastAsia"/>
          <w:highlight w:val="none"/>
          <w:lang w:val="en-US" w:eastAsia="zh-CN"/>
        </w:rPr>
        <w:t>。用地类型为林地，受人类活动影响，目前仅有少量灌木和杂草，未占用基本农田和天然保护林及生态公益林，无保护植物分布，也无动物通道分布，没有占用泄洪通道和水利灌溉设施，这样集中取土可以有效地防止多处开挖取土造成的大量的水土流失，取土场选址是合理的；同时通过对取土场容量进行校核计算，本项目总取土量约16271m</w:t>
      </w:r>
      <w:r>
        <w:rPr>
          <w:rFonts w:hint="eastAsia"/>
          <w:highlight w:val="none"/>
          <w:vertAlign w:val="superscript"/>
          <w:lang w:val="en-US" w:eastAsia="zh-CN"/>
        </w:rPr>
        <w:t>3</w:t>
      </w:r>
      <w:r>
        <w:rPr>
          <w:rFonts w:hint="eastAsia"/>
          <w:highlight w:val="none"/>
          <w:lang w:val="en-US" w:eastAsia="zh-CN"/>
        </w:rPr>
        <w:t>，小于取土场储量30000m</w:t>
      </w:r>
      <w:r>
        <w:rPr>
          <w:rFonts w:hint="eastAsia"/>
          <w:highlight w:val="none"/>
          <w:vertAlign w:val="superscript"/>
          <w:lang w:val="en-US" w:eastAsia="zh-CN"/>
        </w:rPr>
        <w:t>3</w:t>
      </w:r>
      <w:r>
        <w:rPr>
          <w:rFonts w:hint="eastAsia"/>
          <w:highlight w:val="none"/>
          <w:lang w:val="en-US" w:eastAsia="zh-CN"/>
        </w:rPr>
        <w:t>，其储量满足本项目需求。</w:t>
      </w:r>
    </w:p>
    <w:p w14:paraId="2C984699">
      <w:pPr>
        <w:rPr>
          <w:rFonts w:hint="eastAsia"/>
          <w:highlight w:val="none"/>
          <w:lang w:val="en-US" w:eastAsia="zh-CN"/>
        </w:rPr>
      </w:pPr>
      <w:r>
        <w:rPr>
          <w:rFonts w:hint="eastAsia"/>
          <w:highlight w:val="none"/>
          <w:lang w:val="en-US" w:eastAsia="zh-CN"/>
        </w:rPr>
        <w:t>通过现场调查，取土场四周均为林地，生长有杉木、松木和灌木等；无珍稀濒危保护动植物分布，也无动物通道分布。从环境保护角度分析，设置较为合理。取土场有一定坡地，在取土完毕后可以恢复为林地，恢复方向可行。项目取土过程中，应综合考虑运输条件以及最大限度的减少取土运输对周边居民的影响。</w:t>
      </w:r>
    </w:p>
    <w:p w14:paraId="11761A0F">
      <w:pPr>
        <w:rPr>
          <w:rFonts w:hint="eastAsia"/>
          <w:highlight w:val="none"/>
          <w:lang w:val="en-US" w:eastAsia="zh-CN"/>
        </w:rPr>
      </w:pPr>
      <w:r>
        <w:rPr>
          <w:rFonts w:hint="eastAsia"/>
          <w:highlight w:val="none"/>
          <w:lang w:val="en-US" w:eastAsia="zh-CN"/>
        </w:rPr>
        <w:t>（2）取土场环境影响及环保要求</w:t>
      </w:r>
    </w:p>
    <w:p w14:paraId="06BE417A">
      <w:pPr>
        <w:rPr>
          <w:rFonts w:hint="eastAsia"/>
          <w:highlight w:val="none"/>
          <w:lang w:val="en-US" w:eastAsia="zh-CN"/>
        </w:rPr>
      </w:pPr>
      <w:r>
        <w:rPr>
          <w:rFonts w:hint="eastAsia"/>
          <w:highlight w:val="none"/>
          <w:lang w:val="en-US" w:eastAsia="zh-CN"/>
        </w:rPr>
        <w:t>取土场取土作业过程中，不可避免有土方或弃土方临时堆置，由于地表植被破坏，如防护措施不当，遇雨天可能造成水土流失，并可能对周边的农田造成污染。因此，要求在取土前应事先进行取土场的进场、开挖、堆放料及后期的生态恢复措施设计，并按设计事先修建必要的截排水措施，取土时严格按设计进行施工，注意开挖的稳定性。取土结束后，应立即对取土场进行后期恢复治理，防止水土流失。对取土完成的表面不利用的，及时复垦或绿化。采取以上措施后，取土场环境影响可控。</w:t>
      </w:r>
    </w:p>
    <w:p w14:paraId="7CA92D23">
      <w:pPr>
        <w:rPr>
          <w:rFonts w:hint="eastAsia"/>
          <w:highlight w:val="yellow"/>
          <w:lang w:val="en-US" w:eastAsia="zh-CN"/>
        </w:rPr>
      </w:pPr>
      <w:r>
        <w:rPr>
          <w:rFonts w:hint="eastAsia"/>
          <w:highlight w:val="yellow"/>
          <w:lang w:val="en-US" w:eastAsia="zh-CN"/>
        </w:rPr>
        <w:br w:type="page"/>
      </w:r>
    </w:p>
    <w:p w14:paraId="4097D68F">
      <w:pPr>
        <w:pStyle w:val="7"/>
        <w:bidi w:val="0"/>
        <w:jc w:val="center"/>
        <w:rPr>
          <w:rFonts w:hint="eastAsia"/>
          <w:highlight w:val="none"/>
          <w:lang w:val="en-US" w:eastAsia="zh-CN"/>
        </w:rPr>
      </w:pPr>
      <w:bookmarkStart w:id="74" w:name="_Toc30512"/>
      <w:r>
        <w:rPr>
          <w:rFonts w:hint="eastAsia"/>
          <w:highlight w:val="none"/>
          <w:lang w:val="en-US" w:eastAsia="zh-CN"/>
        </w:rPr>
        <w:t>环境风险分析</w:t>
      </w:r>
      <w:bookmarkEnd w:id="74"/>
    </w:p>
    <w:p w14:paraId="510346B3">
      <w:pPr>
        <w:pStyle w:val="8"/>
        <w:numPr>
          <w:ilvl w:val="1"/>
          <w:numId w:val="1"/>
        </w:numPr>
        <w:tabs>
          <w:tab w:val="clear" w:pos="420"/>
        </w:tabs>
        <w:bidi w:val="0"/>
        <w:ind w:left="567" w:leftChars="0" w:hanging="567" w:firstLineChars="0"/>
        <w:rPr>
          <w:rFonts w:hint="default"/>
          <w:highlight w:val="none"/>
          <w:lang w:val="en-US" w:eastAsia="zh-CN"/>
        </w:rPr>
      </w:pPr>
      <w:bookmarkStart w:id="75" w:name="_Toc2089"/>
      <w:bookmarkStart w:id="76" w:name="_Toc3293"/>
      <w:r>
        <w:rPr>
          <w:rFonts w:hint="eastAsia"/>
          <w:highlight w:val="none"/>
          <w:lang w:val="en-US" w:eastAsia="zh-CN"/>
        </w:rPr>
        <w:t>概述</w:t>
      </w:r>
      <w:bookmarkEnd w:id="75"/>
    </w:p>
    <w:p w14:paraId="64599EEC">
      <w:pPr>
        <w:pStyle w:val="9"/>
        <w:numPr>
          <w:ilvl w:val="2"/>
          <w:numId w:val="1"/>
        </w:numPr>
        <w:bidi w:val="0"/>
        <w:ind w:left="709" w:leftChars="0" w:hanging="709" w:firstLineChars="0"/>
        <w:rPr>
          <w:rFonts w:hint="default"/>
          <w:highlight w:val="none"/>
          <w:lang w:val="en-US" w:eastAsia="zh-CN"/>
        </w:rPr>
      </w:pPr>
      <w:r>
        <w:rPr>
          <w:rFonts w:hint="eastAsia"/>
          <w:highlight w:val="none"/>
          <w:lang w:val="en-US" w:eastAsia="zh-CN"/>
        </w:rPr>
        <w:t>评价原则</w:t>
      </w:r>
      <w:bookmarkEnd w:id="76"/>
    </w:p>
    <w:p w14:paraId="4D2D8AA5">
      <w:pPr>
        <w:bidi w:val="0"/>
        <w:rPr>
          <w:rFonts w:hint="eastAsia"/>
          <w:highlight w:val="none"/>
          <w:u w:val="none" w:color="auto"/>
          <w:lang w:val="en-US" w:eastAsia="zh-CN"/>
        </w:rPr>
      </w:pPr>
      <w:r>
        <w:rPr>
          <w:rFonts w:hint="eastAsia"/>
          <w:highlight w:val="none"/>
          <w:u w:val="none" w:color="auto"/>
          <w:lang w:val="en-US" w:eastAsia="zh-CN"/>
        </w:rPr>
        <w:t>环境风险是指突发性事故造成重大环境污染的事件，具有危害性大、影响范围广等特点，同时风险发生又有很大的不确定性，可能不会发生，但一旦发生，对环境会产生较大影响。</w:t>
      </w:r>
    </w:p>
    <w:p w14:paraId="32203DC4">
      <w:pPr>
        <w:bidi w:val="0"/>
        <w:rPr>
          <w:rFonts w:hint="eastAsia"/>
          <w:highlight w:val="none"/>
          <w:u w:val="none" w:color="auto"/>
          <w:lang w:val="en-US" w:eastAsia="zh-CN"/>
        </w:rPr>
      </w:pPr>
      <w:r>
        <w:rPr>
          <w:rFonts w:hint="eastAsia"/>
          <w:highlight w:val="none"/>
          <w:u w:val="none" w:color="auto"/>
          <w:lang w:val="en-US" w:eastAsia="zh-CN"/>
        </w:rPr>
        <w:t>环境风险评价的目的是分析和预测建设项目存在的潜在危险、有害因素，建设项目建设和运营期可能发生的突发性事件或事故（一般不包括人为破坏及自然灾害），引起有毒有害和易燃易爆等物质泄漏以及泄漏事故引起的火灾或爆炸，所造成的人身安全与环境影响和损害程度，提出合理可行的防范、应急与减缓措施，以使建设项目事故率、损失和环境影响达到可接受水平。根据国家环保总局《关于进一步加强环境影响评价管理防范环境风险的通知》（环发</w:t>
      </w:r>
      <w:r>
        <w:rPr>
          <w:rFonts w:hint="eastAsia" w:ascii="宋体" w:hAnsi="宋体" w:eastAsia="宋体" w:cs="宋体"/>
          <w:highlight w:val="none"/>
          <w:u w:val="none" w:color="auto"/>
          <w:lang w:val="en-US" w:eastAsia="zh-CN"/>
        </w:rPr>
        <w:t>〔</w:t>
      </w:r>
      <w:r>
        <w:rPr>
          <w:rFonts w:hint="eastAsia"/>
          <w:highlight w:val="none"/>
          <w:u w:val="none" w:color="auto"/>
          <w:lang w:val="en-US" w:eastAsia="zh-CN"/>
        </w:rPr>
        <w:t>2012</w:t>
      </w:r>
      <w:r>
        <w:rPr>
          <w:rFonts w:hint="eastAsia" w:ascii="宋体" w:hAnsi="宋体" w:eastAsia="宋体" w:cs="宋体"/>
          <w:highlight w:val="none"/>
          <w:u w:val="none" w:color="auto"/>
          <w:lang w:val="en-US" w:eastAsia="zh-CN"/>
        </w:rPr>
        <w:t>〕</w:t>
      </w:r>
      <w:r>
        <w:rPr>
          <w:rFonts w:hint="eastAsia"/>
          <w:highlight w:val="none"/>
          <w:u w:val="none" w:color="auto"/>
          <w:lang w:val="en-US" w:eastAsia="zh-CN"/>
        </w:rPr>
        <w:t>77号）的要求：“新、改、扩建相关建设项目环境影响评价应按照相应技术导则要求，科学预测评价突发性事件或事故可能引发的环境风险，提出环境风险防范和应急措施”。本评价根据《建设项目环境风险评价技术导则》（HJ169-2018）的规定要求对拟建项目的环境风险进行评价，同时根据建设项目环境风险可能影响的范围与程度，提出缓解环境风险的建议措施。</w:t>
      </w:r>
    </w:p>
    <w:p w14:paraId="1C0C3E49">
      <w:pPr>
        <w:pStyle w:val="9"/>
        <w:numPr>
          <w:ilvl w:val="2"/>
          <w:numId w:val="1"/>
        </w:numPr>
        <w:bidi w:val="0"/>
        <w:ind w:left="709" w:leftChars="0" w:hanging="709" w:firstLineChars="0"/>
        <w:rPr>
          <w:rFonts w:hint="default"/>
          <w:highlight w:val="none"/>
          <w:lang w:val="en-US" w:eastAsia="zh-CN"/>
        </w:rPr>
      </w:pPr>
      <w:bookmarkStart w:id="77" w:name="_Toc19579"/>
      <w:r>
        <w:rPr>
          <w:rFonts w:hint="eastAsia"/>
          <w:highlight w:val="none"/>
          <w:lang w:val="en-US" w:eastAsia="zh-CN"/>
        </w:rPr>
        <w:t>评价工作程序</w:t>
      </w:r>
      <w:bookmarkEnd w:id="77"/>
    </w:p>
    <w:p w14:paraId="2A88E36D">
      <w:pPr>
        <w:bidi w:val="0"/>
        <w:rPr>
          <w:rFonts w:hint="default"/>
          <w:highlight w:val="none"/>
          <w:u w:val="none" w:color="auto"/>
          <w:lang w:val="en-US" w:eastAsia="zh-CN"/>
        </w:rPr>
      </w:pPr>
      <w:r>
        <w:rPr>
          <w:rFonts w:hint="eastAsia"/>
          <w:highlight w:val="none"/>
          <w:u w:val="none" w:color="auto"/>
          <w:lang w:val="en-US" w:eastAsia="zh-CN"/>
        </w:rPr>
        <w:t>根据《建设项目环境风险评价技术导则》（HJ169-2018），评价工作程序见图6.1-1。</w:t>
      </w:r>
    </w:p>
    <w:p w14:paraId="4F16AB25">
      <w:pPr>
        <w:bidi w:val="0"/>
        <w:ind w:left="0" w:leftChars="0" w:firstLine="0" w:firstLineChars="0"/>
        <w:jc w:val="center"/>
        <w:rPr>
          <w:rFonts w:hint="eastAsia"/>
          <w:highlight w:val="none"/>
          <w:u w:val="none" w:color="auto"/>
          <w:lang w:val="en-US" w:eastAsia="zh-CN"/>
        </w:rPr>
      </w:pPr>
      <w:r>
        <w:rPr>
          <w:rFonts w:hint="default" w:ascii="Times New Roman" w:hAnsi="Times New Roman" w:cs="Times New Roman"/>
          <w:color w:val="000000"/>
          <w:highlight w:val="none"/>
          <w:u w:val="none" w:color="auto"/>
        </w:rPr>
        <w:drawing>
          <wp:inline distT="0" distB="0" distL="114300" distR="114300">
            <wp:extent cx="4535805" cy="4932045"/>
            <wp:effectExtent l="0" t="0" r="17145" b="1905"/>
            <wp:docPr id="3" name="图片 9"/>
            <wp:cNvGraphicFramePr/>
            <a:graphic xmlns:a="http://schemas.openxmlformats.org/drawingml/2006/main">
              <a:graphicData uri="http://schemas.openxmlformats.org/drawingml/2006/picture">
                <pic:pic xmlns:pic="http://schemas.openxmlformats.org/drawingml/2006/picture">
                  <pic:nvPicPr>
                    <pic:cNvPr id="3" name="图片 9"/>
                    <pic:cNvPicPr/>
                  </pic:nvPicPr>
                  <pic:blipFill>
                    <a:blip r:embed="rId78"/>
                    <a:stretch>
                      <a:fillRect/>
                    </a:stretch>
                  </pic:blipFill>
                  <pic:spPr>
                    <a:xfrm>
                      <a:off x="0" y="0"/>
                      <a:ext cx="4535805" cy="4932045"/>
                    </a:xfrm>
                    <a:prstGeom prst="rect">
                      <a:avLst/>
                    </a:prstGeom>
                    <a:noFill/>
                    <a:ln>
                      <a:noFill/>
                    </a:ln>
                  </pic:spPr>
                </pic:pic>
              </a:graphicData>
            </a:graphic>
          </wp:inline>
        </w:drawing>
      </w:r>
    </w:p>
    <w:p w14:paraId="0029AD67">
      <w:pPr>
        <w:ind w:left="0" w:leftChars="0" w:firstLine="0" w:firstLineChars="0"/>
        <w:jc w:val="center"/>
        <w:rPr>
          <w:rFonts w:hint="eastAsia"/>
          <w:b/>
          <w:bCs/>
          <w:sz w:val="21"/>
          <w:szCs w:val="21"/>
          <w:highlight w:val="none"/>
          <w:u w:val="none" w:color="auto"/>
          <w:lang w:val="en-US" w:eastAsia="zh-CN"/>
        </w:rPr>
      </w:pPr>
      <w:r>
        <w:rPr>
          <w:rFonts w:hint="eastAsia"/>
          <w:b/>
          <w:bCs/>
          <w:sz w:val="21"/>
          <w:szCs w:val="21"/>
          <w:highlight w:val="none"/>
          <w:u w:val="none" w:color="auto"/>
          <w:lang w:val="en-US" w:eastAsia="zh-CN"/>
        </w:rPr>
        <w:t>图6.1-1  评价工作程序</w:t>
      </w:r>
    </w:p>
    <w:p w14:paraId="436DAED7">
      <w:pPr>
        <w:pStyle w:val="9"/>
        <w:numPr>
          <w:ilvl w:val="2"/>
          <w:numId w:val="1"/>
        </w:numPr>
        <w:bidi w:val="0"/>
        <w:ind w:left="709" w:leftChars="0" w:hanging="709" w:firstLineChars="0"/>
        <w:rPr>
          <w:rFonts w:hint="eastAsia"/>
          <w:highlight w:val="none"/>
          <w:lang w:val="en-US" w:eastAsia="zh-CN"/>
        </w:rPr>
      </w:pPr>
      <w:r>
        <w:rPr>
          <w:rFonts w:hint="eastAsia"/>
          <w:highlight w:val="none"/>
          <w:lang w:val="en-US" w:eastAsia="zh-CN"/>
        </w:rPr>
        <w:t>评价工作内容</w:t>
      </w:r>
    </w:p>
    <w:p w14:paraId="30068452">
      <w:pPr>
        <w:bidi w:val="0"/>
        <w:rPr>
          <w:rFonts w:hint="eastAsia"/>
          <w:highlight w:val="none"/>
          <w:lang w:val="en-US" w:eastAsia="zh-CN"/>
        </w:rPr>
      </w:pPr>
      <w:r>
        <w:rPr>
          <w:rFonts w:hint="eastAsia"/>
          <w:highlight w:val="none"/>
          <w:lang w:val="en-US" w:eastAsia="zh-CN"/>
        </w:rPr>
        <w:t>本项目环境风险评价工作内容主要包括以下几个方面：</w:t>
      </w:r>
    </w:p>
    <w:p w14:paraId="43536666">
      <w:pPr>
        <w:bidi w:val="0"/>
        <w:rPr>
          <w:rFonts w:hint="eastAsia"/>
          <w:highlight w:val="none"/>
          <w:lang w:val="en-US" w:eastAsia="zh-CN"/>
        </w:rPr>
      </w:pPr>
      <w:r>
        <w:rPr>
          <w:rFonts w:hint="eastAsia"/>
          <w:highlight w:val="none"/>
          <w:lang w:val="en-US" w:eastAsia="zh-CN"/>
        </w:rPr>
        <w:t>（1）风险调查、环境风险潜势初判、风险识别、风险事故情形分析、风险预测与评价、环境风险管理等。</w:t>
      </w:r>
    </w:p>
    <w:p w14:paraId="0F465B28">
      <w:pPr>
        <w:bidi w:val="0"/>
        <w:rPr>
          <w:rFonts w:hint="eastAsia"/>
          <w:highlight w:val="none"/>
          <w:lang w:val="en-US" w:eastAsia="zh-CN"/>
        </w:rPr>
      </w:pPr>
      <w:r>
        <w:rPr>
          <w:rFonts w:hint="eastAsia"/>
          <w:highlight w:val="none"/>
          <w:lang w:val="en-US" w:eastAsia="zh-CN"/>
        </w:rPr>
        <w:t>（2）基于风险调查，分析建设项目物质及工艺系统危险性和环境敏感性，进行风险潜势的判断，确定风险评价等级。</w:t>
      </w:r>
    </w:p>
    <w:p w14:paraId="3400EA7C">
      <w:pPr>
        <w:bidi w:val="0"/>
        <w:rPr>
          <w:rFonts w:hint="eastAsia"/>
          <w:highlight w:val="none"/>
          <w:lang w:val="en-US" w:eastAsia="zh-CN"/>
        </w:rPr>
      </w:pPr>
      <w:r>
        <w:rPr>
          <w:rFonts w:hint="eastAsia"/>
          <w:highlight w:val="none"/>
          <w:lang w:val="en-US" w:eastAsia="zh-CN"/>
        </w:rPr>
        <w:t>（3）风险识别及风险事故情形分析应明确危险物质在生产系统中的主要分布，筛选具有代表性的风险事故情形，合理设定事故源项。</w:t>
      </w:r>
    </w:p>
    <w:p w14:paraId="5A834CF5">
      <w:pPr>
        <w:bidi w:val="0"/>
        <w:rPr>
          <w:rFonts w:hint="eastAsia"/>
          <w:highlight w:val="none"/>
          <w:lang w:val="en-US" w:eastAsia="zh-CN"/>
        </w:rPr>
      </w:pPr>
      <w:r>
        <w:rPr>
          <w:rFonts w:hint="eastAsia"/>
          <w:highlight w:val="none"/>
          <w:lang w:val="en-US" w:eastAsia="zh-CN"/>
        </w:rPr>
        <w:t>（4）各环境要素（大气、地表水、地下水）按确定的评价工作等级分别开展预测评价，分析说明环境风险危害范围与程度，提出环境风险防范的基本要求。</w:t>
      </w:r>
    </w:p>
    <w:p w14:paraId="4B80D53B">
      <w:pPr>
        <w:bidi w:val="0"/>
        <w:rPr>
          <w:rFonts w:hint="eastAsia"/>
          <w:highlight w:val="none"/>
          <w:lang w:val="en-US" w:eastAsia="zh-CN"/>
        </w:rPr>
      </w:pPr>
      <w:r>
        <w:rPr>
          <w:rFonts w:hint="eastAsia"/>
          <w:highlight w:val="none"/>
          <w:lang w:val="en-US" w:eastAsia="zh-CN"/>
        </w:rPr>
        <w:t>（5）提出环境风险管理对策，明确环境风险防范措施及突发环境事件应急预案编制要求。</w:t>
      </w:r>
    </w:p>
    <w:p w14:paraId="62968614">
      <w:pPr>
        <w:pStyle w:val="8"/>
        <w:numPr>
          <w:ilvl w:val="1"/>
          <w:numId w:val="1"/>
        </w:numPr>
        <w:tabs>
          <w:tab w:val="clear" w:pos="420"/>
        </w:tabs>
        <w:bidi w:val="0"/>
        <w:ind w:left="567" w:leftChars="0" w:hanging="567" w:firstLineChars="0"/>
        <w:rPr>
          <w:rFonts w:hint="default"/>
          <w:highlight w:val="none"/>
          <w:lang w:val="en-US" w:eastAsia="zh-CN"/>
        </w:rPr>
      </w:pPr>
      <w:bookmarkStart w:id="78" w:name="_Toc3466"/>
      <w:r>
        <w:rPr>
          <w:rFonts w:hint="eastAsia"/>
          <w:highlight w:val="none"/>
          <w:lang w:val="en-US" w:eastAsia="zh-CN"/>
        </w:rPr>
        <w:t>风险调查</w:t>
      </w:r>
      <w:bookmarkEnd w:id="78"/>
    </w:p>
    <w:p w14:paraId="599BE336">
      <w:pPr>
        <w:pStyle w:val="9"/>
        <w:numPr>
          <w:ilvl w:val="2"/>
          <w:numId w:val="1"/>
        </w:numPr>
        <w:bidi w:val="0"/>
        <w:ind w:left="709" w:leftChars="0" w:hanging="709" w:firstLineChars="0"/>
        <w:rPr>
          <w:rFonts w:hint="eastAsia"/>
          <w:highlight w:val="none"/>
          <w:lang w:val="en-US" w:eastAsia="zh-CN"/>
        </w:rPr>
      </w:pPr>
      <w:r>
        <w:rPr>
          <w:rFonts w:hint="eastAsia"/>
          <w:highlight w:val="none"/>
          <w:lang w:val="en-US" w:eastAsia="zh-CN"/>
        </w:rPr>
        <w:t>项目风险源调查</w:t>
      </w:r>
    </w:p>
    <w:p w14:paraId="5B8941B9">
      <w:pPr>
        <w:bidi w:val="0"/>
        <w:rPr>
          <w:rFonts w:hint="default"/>
          <w:highlight w:val="yellow"/>
          <w:lang w:val="en-US" w:eastAsia="zh-CN"/>
        </w:rPr>
      </w:pPr>
      <w:r>
        <w:rPr>
          <w:rFonts w:hint="default"/>
          <w:highlight w:val="none"/>
          <w:lang w:val="en-US" w:eastAsia="zh-CN"/>
        </w:rPr>
        <w:t>根据《建设项目环境风险评价技术导则》（HJ169-2018）表B.1突发环境事件风险物质及临界量、表B.2其他危险物质临界量推荐值，以及《危险化学品重大危险源辨识》（GB18218-2018），项目</w:t>
      </w:r>
      <w:r>
        <w:rPr>
          <w:rFonts w:hint="eastAsia"/>
          <w:highlight w:val="none"/>
          <w:lang w:val="en-US" w:eastAsia="zh-CN"/>
        </w:rPr>
        <w:t>一体化污水处理装置</w:t>
      </w:r>
      <w:r>
        <w:rPr>
          <w:rFonts w:hint="default"/>
          <w:highlight w:val="none"/>
          <w:lang w:val="en-US" w:eastAsia="zh-CN"/>
        </w:rPr>
        <w:t>使用</w:t>
      </w:r>
      <w:r>
        <w:rPr>
          <w:rFonts w:hint="eastAsia"/>
          <w:highlight w:val="none"/>
          <w:lang w:val="en-US" w:eastAsia="zh-CN"/>
        </w:rPr>
        <w:t>的PAM、硫酸及生物制剂等</w:t>
      </w:r>
      <w:r>
        <w:rPr>
          <w:rFonts w:hint="default"/>
          <w:highlight w:val="none"/>
          <w:lang w:val="en-US" w:eastAsia="zh-CN"/>
        </w:rPr>
        <w:t>为突发环境事件风险物质。</w:t>
      </w:r>
    </w:p>
    <w:p w14:paraId="1DCC8237">
      <w:pPr>
        <w:pStyle w:val="9"/>
        <w:numPr>
          <w:ilvl w:val="2"/>
          <w:numId w:val="1"/>
        </w:numPr>
        <w:bidi w:val="0"/>
        <w:ind w:left="709" w:leftChars="0" w:hanging="709" w:firstLineChars="0"/>
        <w:rPr>
          <w:rFonts w:hint="default"/>
          <w:highlight w:val="none"/>
          <w:lang w:val="en-US" w:eastAsia="zh-CN"/>
        </w:rPr>
      </w:pPr>
      <w:r>
        <w:rPr>
          <w:rFonts w:hint="default"/>
          <w:highlight w:val="none"/>
          <w:lang w:val="en-US" w:eastAsia="zh-CN"/>
        </w:rPr>
        <w:t>环境敏感目标调查</w:t>
      </w:r>
    </w:p>
    <w:p w14:paraId="2CB14301">
      <w:pPr>
        <w:rPr>
          <w:rFonts w:hint="default"/>
          <w:highlight w:val="none"/>
          <w:lang w:val="en-US" w:eastAsia="zh-CN"/>
        </w:rPr>
      </w:pPr>
      <w:r>
        <w:rPr>
          <w:rFonts w:hint="default"/>
          <w:highlight w:val="none"/>
          <w:lang w:val="en-US" w:eastAsia="zh-CN"/>
        </w:rPr>
        <w:t>经现场调查，本项目周边环境风险敏感目标见表6.2-</w:t>
      </w:r>
      <w:r>
        <w:rPr>
          <w:rFonts w:hint="eastAsia"/>
          <w:highlight w:val="none"/>
          <w:lang w:val="en-US" w:eastAsia="zh-CN"/>
        </w:rPr>
        <w:t>1</w:t>
      </w:r>
      <w:r>
        <w:rPr>
          <w:rFonts w:hint="default"/>
          <w:highlight w:val="none"/>
          <w:lang w:val="en-US" w:eastAsia="zh-CN"/>
        </w:rPr>
        <w:t>。</w:t>
      </w:r>
    </w:p>
    <w:p w14:paraId="05B2E674">
      <w:pPr>
        <w:bidi w:val="0"/>
        <w:ind w:left="0" w:leftChars="0" w:firstLine="0" w:firstLineChars="0"/>
        <w:jc w:val="center"/>
        <w:rPr>
          <w:rFonts w:hint="default"/>
          <w:b/>
          <w:bCs/>
          <w:sz w:val="21"/>
          <w:szCs w:val="21"/>
          <w:highlight w:val="none"/>
          <w:lang w:val="en-US" w:eastAsia="zh-CN"/>
        </w:rPr>
      </w:pPr>
      <w:r>
        <w:rPr>
          <w:rFonts w:hint="eastAsia"/>
          <w:b/>
          <w:bCs/>
          <w:sz w:val="21"/>
          <w:szCs w:val="21"/>
          <w:highlight w:val="none"/>
          <w:lang w:val="en-US" w:eastAsia="zh-CN"/>
        </w:rPr>
        <w:t>表6.2-1  项目厂址周围环境敏感目标分布情况一览表</w:t>
      </w:r>
    </w:p>
    <w:tbl>
      <w:tblPr>
        <w:tblStyle w:val="106"/>
        <w:tblW w:w="5225"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0" w:type="dxa"/>
          <w:bottom w:w="0" w:type="dxa"/>
          <w:right w:w="0" w:type="dxa"/>
        </w:tblCellMar>
      </w:tblPr>
      <w:tblGrid>
        <w:gridCol w:w="912"/>
        <w:gridCol w:w="694"/>
        <w:gridCol w:w="82"/>
        <w:gridCol w:w="2369"/>
        <w:gridCol w:w="942"/>
        <w:gridCol w:w="65"/>
        <w:gridCol w:w="1121"/>
        <w:gridCol w:w="849"/>
        <w:gridCol w:w="750"/>
        <w:gridCol w:w="1728"/>
      </w:tblGrid>
      <w:tr w14:paraId="7B5C107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3" w:hRule="atLeast"/>
          <w:tblHeader/>
        </w:trPr>
        <w:tc>
          <w:tcPr>
            <w:tcW w:w="480" w:type="pct"/>
            <w:vMerge w:val="restart"/>
            <w:vAlign w:val="center"/>
          </w:tcPr>
          <w:p w14:paraId="7FBEED5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bCs/>
                <w:sz w:val="21"/>
                <w:szCs w:val="21"/>
                <w:highlight w:val="none"/>
              </w:rPr>
            </w:pPr>
            <w:r>
              <w:rPr>
                <w:rFonts w:hint="default" w:ascii="Times New Roman" w:hAnsi="Times New Roman" w:cs="Times New Roman"/>
                <w:b/>
                <w:bCs/>
                <w:sz w:val="21"/>
                <w:szCs w:val="21"/>
                <w:highlight w:val="none"/>
              </w:rPr>
              <w:t>类别</w:t>
            </w:r>
          </w:p>
        </w:tc>
        <w:tc>
          <w:tcPr>
            <w:tcW w:w="4519" w:type="pct"/>
            <w:gridSpan w:val="9"/>
            <w:vAlign w:val="center"/>
          </w:tcPr>
          <w:p w14:paraId="6582A93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bCs/>
                <w:sz w:val="21"/>
                <w:szCs w:val="21"/>
                <w:highlight w:val="none"/>
              </w:rPr>
            </w:pPr>
            <w:r>
              <w:rPr>
                <w:rFonts w:hint="default" w:ascii="Times New Roman" w:hAnsi="Times New Roman" w:cs="Times New Roman"/>
                <w:b/>
                <w:bCs/>
                <w:sz w:val="21"/>
                <w:szCs w:val="21"/>
                <w:highlight w:val="none"/>
              </w:rPr>
              <w:t>环境敏感特征</w:t>
            </w:r>
          </w:p>
        </w:tc>
      </w:tr>
      <w:tr w14:paraId="0B1F31C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4" w:hRule="atLeast"/>
          <w:tblHeader/>
        </w:trPr>
        <w:tc>
          <w:tcPr>
            <w:tcW w:w="480" w:type="pct"/>
            <w:vMerge w:val="continue"/>
            <w:vAlign w:val="center"/>
          </w:tcPr>
          <w:p w14:paraId="364292B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bCs/>
                <w:sz w:val="21"/>
                <w:szCs w:val="21"/>
                <w:highlight w:val="none"/>
              </w:rPr>
            </w:pPr>
          </w:p>
        </w:tc>
        <w:tc>
          <w:tcPr>
            <w:tcW w:w="365" w:type="pct"/>
            <w:vAlign w:val="center"/>
          </w:tcPr>
          <w:p w14:paraId="43F9968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bCs/>
                <w:sz w:val="21"/>
                <w:szCs w:val="21"/>
                <w:highlight w:val="none"/>
              </w:rPr>
            </w:pPr>
            <w:r>
              <w:rPr>
                <w:rFonts w:hint="default" w:ascii="Times New Roman" w:hAnsi="Times New Roman" w:cs="Times New Roman"/>
                <w:b/>
                <w:bCs/>
                <w:sz w:val="21"/>
                <w:szCs w:val="21"/>
                <w:highlight w:val="none"/>
              </w:rPr>
              <w:t>序号</w:t>
            </w:r>
          </w:p>
        </w:tc>
        <w:tc>
          <w:tcPr>
            <w:tcW w:w="1287" w:type="pct"/>
            <w:gridSpan w:val="2"/>
            <w:vAlign w:val="center"/>
          </w:tcPr>
          <w:p w14:paraId="3D08477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bCs/>
                <w:sz w:val="21"/>
                <w:szCs w:val="21"/>
                <w:highlight w:val="none"/>
              </w:rPr>
            </w:pPr>
            <w:r>
              <w:rPr>
                <w:rFonts w:hint="default" w:ascii="Times New Roman" w:hAnsi="Times New Roman" w:cs="Times New Roman"/>
                <w:b/>
                <w:bCs/>
                <w:sz w:val="21"/>
                <w:szCs w:val="21"/>
                <w:highlight w:val="none"/>
              </w:rPr>
              <w:t>敏感目标名称</w:t>
            </w:r>
          </w:p>
        </w:tc>
        <w:tc>
          <w:tcPr>
            <w:tcW w:w="495" w:type="pct"/>
            <w:vAlign w:val="center"/>
          </w:tcPr>
          <w:p w14:paraId="5B97405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bCs/>
                <w:sz w:val="21"/>
                <w:szCs w:val="21"/>
                <w:highlight w:val="none"/>
              </w:rPr>
            </w:pPr>
            <w:r>
              <w:rPr>
                <w:rFonts w:hint="default" w:ascii="Times New Roman" w:hAnsi="Times New Roman" w:cs="Times New Roman"/>
                <w:b/>
                <w:bCs/>
                <w:sz w:val="21"/>
                <w:szCs w:val="21"/>
                <w:highlight w:val="none"/>
              </w:rPr>
              <w:t>相对方位</w:t>
            </w:r>
          </w:p>
        </w:tc>
        <w:tc>
          <w:tcPr>
            <w:tcW w:w="623" w:type="pct"/>
            <w:gridSpan w:val="2"/>
            <w:vAlign w:val="center"/>
          </w:tcPr>
          <w:p w14:paraId="1B6379E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bCs/>
                <w:sz w:val="21"/>
                <w:szCs w:val="21"/>
                <w:highlight w:val="none"/>
              </w:rPr>
            </w:pPr>
            <w:r>
              <w:rPr>
                <w:rFonts w:hint="default" w:ascii="Times New Roman" w:hAnsi="Times New Roman" w:cs="Times New Roman"/>
                <w:b/>
                <w:bCs/>
                <w:sz w:val="21"/>
                <w:szCs w:val="21"/>
                <w:highlight w:val="none"/>
              </w:rPr>
              <w:t>距离/m</w:t>
            </w:r>
          </w:p>
        </w:tc>
        <w:tc>
          <w:tcPr>
            <w:tcW w:w="838" w:type="pct"/>
            <w:gridSpan w:val="2"/>
            <w:vAlign w:val="center"/>
          </w:tcPr>
          <w:p w14:paraId="4049A14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bCs/>
                <w:sz w:val="21"/>
                <w:szCs w:val="21"/>
                <w:highlight w:val="none"/>
              </w:rPr>
            </w:pPr>
            <w:r>
              <w:rPr>
                <w:rFonts w:hint="default" w:ascii="Times New Roman" w:hAnsi="Times New Roman" w:cs="Times New Roman"/>
                <w:b/>
                <w:bCs/>
                <w:sz w:val="21"/>
                <w:szCs w:val="21"/>
                <w:highlight w:val="none"/>
              </w:rPr>
              <w:t>属性</w:t>
            </w:r>
          </w:p>
        </w:tc>
        <w:tc>
          <w:tcPr>
            <w:tcW w:w="908" w:type="pct"/>
            <w:vAlign w:val="center"/>
          </w:tcPr>
          <w:p w14:paraId="0115120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bCs/>
                <w:sz w:val="21"/>
                <w:szCs w:val="21"/>
                <w:highlight w:val="none"/>
              </w:rPr>
            </w:pPr>
            <w:r>
              <w:rPr>
                <w:rFonts w:hint="default" w:ascii="Times New Roman" w:hAnsi="Times New Roman" w:cs="Times New Roman"/>
                <w:b/>
                <w:bCs/>
                <w:sz w:val="21"/>
                <w:szCs w:val="21"/>
                <w:highlight w:val="none"/>
              </w:rPr>
              <w:t>人口数</w:t>
            </w:r>
          </w:p>
        </w:tc>
      </w:tr>
      <w:tr w14:paraId="69B033C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480" w:type="pct"/>
            <w:vMerge w:val="restart"/>
            <w:vAlign w:val="center"/>
          </w:tcPr>
          <w:p w14:paraId="70F7C9F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环境空气</w:t>
            </w:r>
          </w:p>
        </w:tc>
        <w:tc>
          <w:tcPr>
            <w:tcW w:w="365" w:type="pct"/>
            <w:vAlign w:val="center"/>
          </w:tcPr>
          <w:p w14:paraId="09C90F5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1</w:t>
            </w:r>
          </w:p>
        </w:tc>
        <w:tc>
          <w:tcPr>
            <w:tcW w:w="1287" w:type="pct"/>
            <w:gridSpan w:val="2"/>
            <w:shd w:val="clear" w:color="auto" w:fill="auto"/>
            <w:vAlign w:val="center"/>
          </w:tcPr>
          <w:p w14:paraId="60149676">
            <w:pPr>
              <w:spacing w:line="240" w:lineRule="auto"/>
              <w:ind w:firstLine="0" w:firstLineChars="0"/>
              <w:jc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cs="Times New Roman"/>
                <w:color w:val="auto"/>
                <w:kern w:val="2"/>
                <w:sz w:val="21"/>
                <w:szCs w:val="21"/>
                <w:highlight w:val="none"/>
                <w:u w:val="none" w:color="auto"/>
                <w:lang w:val="en-US" w:eastAsia="zh-CN" w:bidi="ar-SA"/>
              </w:rPr>
              <w:t>垂拱组</w:t>
            </w:r>
          </w:p>
        </w:tc>
        <w:tc>
          <w:tcPr>
            <w:tcW w:w="495" w:type="pct"/>
            <w:shd w:val="clear" w:color="auto" w:fill="auto"/>
            <w:vAlign w:val="center"/>
          </w:tcPr>
          <w:p w14:paraId="0DBF60E5">
            <w:pPr>
              <w:spacing w:line="240" w:lineRule="auto"/>
              <w:ind w:firstLine="0" w:firstLineChars="0"/>
              <w:jc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cs="Times New Roman"/>
                <w:color w:val="auto"/>
                <w:kern w:val="2"/>
                <w:sz w:val="21"/>
                <w:szCs w:val="21"/>
                <w:highlight w:val="none"/>
                <w:u w:val="none" w:color="auto"/>
                <w:lang w:val="en-US" w:eastAsia="zh-CN" w:bidi="ar-SA"/>
              </w:rPr>
              <w:t>北</w:t>
            </w:r>
          </w:p>
        </w:tc>
        <w:tc>
          <w:tcPr>
            <w:tcW w:w="623" w:type="pct"/>
            <w:gridSpan w:val="2"/>
            <w:shd w:val="clear" w:color="auto" w:fill="auto"/>
            <w:vAlign w:val="center"/>
          </w:tcPr>
          <w:p w14:paraId="582FA9D2">
            <w:pPr>
              <w:spacing w:line="240" w:lineRule="auto"/>
              <w:ind w:firstLine="0" w:firstLineChars="0"/>
              <w:jc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cs="Times New Roman"/>
                <w:color w:val="auto"/>
                <w:kern w:val="2"/>
                <w:sz w:val="21"/>
                <w:szCs w:val="21"/>
                <w:highlight w:val="none"/>
                <w:u w:val="none" w:color="auto"/>
                <w:lang w:val="en-US" w:eastAsia="zh-CN" w:bidi="ar-SA"/>
              </w:rPr>
              <w:t>270m</w:t>
            </w:r>
          </w:p>
        </w:tc>
        <w:tc>
          <w:tcPr>
            <w:tcW w:w="838" w:type="pct"/>
            <w:gridSpan w:val="2"/>
            <w:shd w:val="clear" w:color="auto" w:fill="auto"/>
            <w:vAlign w:val="center"/>
          </w:tcPr>
          <w:p w14:paraId="1EF523B5">
            <w:pPr>
              <w:spacing w:line="240" w:lineRule="auto"/>
              <w:ind w:firstLine="0" w:firstLineChars="0"/>
              <w:jc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cs="Times New Roman"/>
                <w:color w:val="auto"/>
                <w:kern w:val="2"/>
                <w:sz w:val="21"/>
                <w:szCs w:val="21"/>
                <w:highlight w:val="none"/>
                <w:u w:val="none" w:color="auto"/>
                <w:lang w:val="en-US" w:eastAsia="zh-CN" w:bidi="ar-SA"/>
              </w:rPr>
              <w:t>学校</w:t>
            </w:r>
          </w:p>
        </w:tc>
        <w:tc>
          <w:tcPr>
            <w:tcW w:w="908" w:type="pct"/>
            <w:shd w:val="clear" w:color="auto" w:fill="auto"/>
            <w:vAlign w:val="center"/>
          </w:tcPr>
          <w:p w14:paraId="7EA5AEE7">
            <w:pPr>
              <w:spacing w:line="240" w:lineRule="auto"/>
              <w:ind w:firstLine="0" w:firstLineChars="0"/>
              <w:jc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cs="Times New Roman"/>
                <w:color w:val="auto"/>
                <w:kern w:val="2"/>
                <w:sz w:val="21"/>
                <w:szCs w:val="21"/>
                <w:highlight w:val="none"/>
                <w:u w:val="none" w:color="auto"/>
                <w:lang w:val="en-US" w:eastAsia="zh-CN" w:bidi="ar-SA"/>
              </w:rPr>
              <w:t>约5户</w:t>
            </w:r>
          </w:p>
        </w:tc>
      </w:tr>
      <w:tr w14:paraId="651B1E3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480" w:type="pct"/>
            <w:vMerge w:val="continue"/>
            <w:vAlign w:val="center"/>
          </w:tcPr>
          <w:p w14:paraId="2782F1D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highlight w:val="none"/>
              </w:rPr>
            </w:pPr>
          </w:p>
        </w:tc>
        <w:tc>
          <w:tcPr>
            <w:tcW w:w="365" w:type="pct"/>
            <w:vAlign w:val="center"/>
          </w:tcPr>
          <w:p w14:paraId="5404196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2</w:t>
            </w:r>
          </w:p>
        </w:tc>
        <w:tc>
          <w:tcPr>
            <w:tcW w:w="1287" w:type="pct"/>
            <w:gridSpan w:val="2"/>
            <w:shd w:val="clear" w:color="auto" w:fill="auto"/>
            <w:vAlign w:val="center"/>
          </w:tcPr>
          <w:p w14:paraId="52EF4DE8">
            <w:pPr>
              <w:spacing w:line="240" w:lineRule="auto"/>
              <w:ind w:firstLine="0" w:firstLineChars="0"/>
              <w:jc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cs="Times New Roman"/>
                <w:color w:val="auto"/>
                <w:kern w:val="2"/>
                <w:sz w:val="21"/>
                <w:szCs w:val="21"/>
                <w:highlight w:val="none"/>
                <w:u w:val="none" w:color="auto"/>
                <w:lang w:val="en-US" w:eastAsia="zh-CN" w:bidi="ar-SA"/>
              </w:rPr>
              <w:t>仙人组</w:t>
            </w:r>
          </w:p>
        </w:tc>
        <w:tc>
          <w:tcPr>
            <w:tcW w:w="495" w:type="pct"/>
            <w:shd w:val="clear" w:color="auto" w:fill="auto"/>
            <w:vAlign w:val="center"/>
          </w:tcPr>
          <w:p w14:paraId="3C4CFA95">
            <w:pPr>
              <w:spacing w:line="240" w:lineRule="auto"/>
              <w:ind w:firstLine="0" w:firstLineChars="0"/>
              <w:jc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cs="Times New Roman"/>
                <w:color w:val="auto"/>
                <w:kern w:val="2"/>
                <w:sz w:val="21"/>
                <w:szCs w:val="21"/>
                <w:highlight w:val="none"/>
                <w:u w:val="none" w:color="auto"/>
                <w:lang w:val="en-US" w:eastAsia="zh-CN" w:bidi="ar-SA"/>
              </w:rPr>
              <w:t>西北</w:t>
            </w:r>
          </w:p>
        </w:tc>
        <w:tc>
          <w:tcPr>
            <w:tcW w:w="623" w:type="pct"/>
            <w:gridSpan w:val="2"/>
            <w:shd w:val="clear" w:color="auto" w:fill="auto"/>
            <w:vAlign w:val="center"/>
          </w:tcPr>
          <w:p w14:paraId="39F3D9D9">
            <w:pPr>
              <w:spacing w:line="240" w:lineRule="auto"/>
              <w:ind w:firstLine="0" w:firstLineChars="0"/>
              <w:jc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cs="Times New Roman"/>
                <w:color w:val="auto"/>
                <w:kern w:val="2"/>
                <w:sz w:val="21"/>
                <w:szCs w:val="21"/>
                <w:highlight w:val="none"/>
                <w:u w:val="none" w:color="auto"/>
                <w:lang w:val="en-US" w:eastAsia="zh-CN" w:bidi="ar-SA"/>
              </w:rPr>
              <w:t>480m</w:t>
            </w:r>
          </w:p>
        </w:tc>
        <w:tc>
          <w:tcPr>
            <w:tcW w:w="838" w:type="pct"/>
            <w:gridSpan w:val="2"/>
            <w:shd w:val="clear" w:color="auto" w:fill="auto"/>
            <w:vAlign w:val="center"/>
          </w:tcPr>
          <w:p w14:paraId="41B6907A">
            <w:pPr>
              <w:spacing w:line="240" w:lineRule="auto"/>
              <w:ind w:firstLine="0" w:firstLineChars="0"/>
              <w:jc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cs="Times New Roman"/>
                <w:color w:val="auto"/>
                <w:kern w:val="2"/>
                <w:sz w:val="21"/>
                <w:szCs w:val="21"/>
                <w:highlight w:val="none"/>
                <w:u w:val="none" w:color="auto"/>
                <w:lang w:val="en-US" w:eastAsia="zh-CN" w:bidi="ar-SA"/>
              </w:rPr>
              <w:t>居住区</w:t>
            </w:r>
          </w:p>
        </w:tc>
        <w:tc>
          <w:tcPr>
            <w:tcW w:w="908" w:type="pct"/>
            <w:shd w:val="clear" w:color="auto" w:fill="auto"/>
            <w:vAlign w:val="center"/>
          </w:tcPr>
          <w:p w14:paraId="48E7014C">
            <w:pPr>
              <w:spacing w:line="240" w:lineRule="auto"/>
              <w:ind w:firstLine="0" w:firstLineChars="0"/>
              <w:jc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cs="Times New Roman"/>
                <w:color w:val="auto"/>
                <w:kern w:val="2"/>
                <w:sz w:val="21"/>
                <w:szCs w:val="21"/>
                <w:highlight w:val="none"/>
                <w:u w:val="none" w:color="auto"/>
                <w:lang w:val="en-US" w:eastAsia="zh-CN" w:bidi="ar-SA"/>
              </w:rPr>
              <w:t>约8户</w:t>
            </w:r>
          </w:p>
        </w:tc>
      </w:tr>
      <w:tr w14:paraId="2CBD5E2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480" w:type="pct"/>
            <w:vMerge w:val="continue"/>
            <w:vAlign w:val="center"/>
          </w:tcPr>
          <w:p w14:paraId="3768503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highlight w:val="none"/>
              </w:rPr>
            </w:pPr>
          </w:p>
        </w:tc>
        <w:tc>
          <w:tcPr>
            <w:tcW w:w="365" w:type="pct"/>
            <w:vAlign w:val="center"/>
          </w:tcPr>
          <w:p w14:paraId="56A38E3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3</w:t>
            </w:r>
          </w:p>
        </w:tc>
        <w:tc>
          <w:tcPr>
            <w:tcW w:w="1287" w:type="pct"/>
            <w:gridSpan w:val="2"/>
            <w:shd w:val="clear" w:color="auto" w:fill="auto"/>
            <w:vAlign w:val="center"/>
          </w:tcPr>
          <w:p w14:paraId="72976F58">
            <w:pPr>
              <w:spacing w:line="240" w:lineRule="auto"/>
              <w:ind w:firstLine="0" w:firstLineChars="0"/>
              <w:jc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cs="Times New Roman"/>
                <w:color w:val="auto"/>
                <w:kern w:val="2"/>
                <w:sz w:val="21"/>
                <w:szCs w:val="21"/>
                <w:highlight w:val="none"/>
                <w:u w:val="none" w:color="auto"/>
                <w:lang w:val="en-US" w:eastAsia="zh-CN" w:bidi="ar-SA"/>
              </w:rPr>
              <w:t>鲁沅洞</w:t>
            </w:r>
          </w:p>
        </w:tc>
        <w:tc>
          <w:tcPr>
            <w:tcW w:w="495" w:type="pct"/>
            <w:shd w:val="clear" w:color="auto" w:fill="auto"/>
            <w:vAlign w:val="center"/>
          </w:tcPr>
          <w:p w14:paraId="0905E23A">
            <w:pPr>
              <w:spacing w:line="240" w:lineRule="auto"/>
              <w:ind w:firstLine="0" w:firstLineChars="0"/>
              <w:jc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cs="Times New Roman"/>
                <w:color w:val="auto"/>
                <w:kern w:val="2"/>
                <w:sz w:val="21"/>
                <w:szCs w:val="21"/>
                <w:highlight w:val="none"/>
                <w:u w:val="none" w:color="auto"/>
                <w:lang w:val="en-US" w:eastAsia="zh-CN" w:bidi="ar-SA"/>
              </w:rPr>
              <w:t>西南</w:t>
            </w:r>
          </w:p>
        </w:tc>
        <w:tc>
          <w:tcPr>
            <w:tcW w:w="623" w:type="pct"/>
            <w:gridSpan w:val="2"/>
            <w:shd w:val="clear" w:color="auto" w:fill="auto"/>
            <w:vAlign w:val="center"/>
          </w:tcPr>
          <w:p w14:paraId="5BBEA2E6">
            <w:pPr>
              <w:spacing w:line="240" w:lineRule="auto"/>
              <w:ind w:firstLine="0" w:firstLineChars="0"/>
              <w:jc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cs="Times New Roman"/>
                <w:color w:val="auto"/>
                <w:kern w:val="2"/>
                <w:sz w:val="21"/>
                <w:szCs w:val="21"/>
                <w:highlight w:val="none"/>
                <w:u w:val="none" w:color="auto"/>
                <w:lang w:val="en-US" w:eastAsia="zh-CN" w:bidi="ar-SA"/>
              </w:rPr>
              <w:t>500m</w:t>
            </w:r>
          </w:p>
        </w:tc>
        <w:tc>
          <w:tcPr>
            <w:tcW w:w="838" w:type="pct"/>
            <w:gridSpan w:val="2"/>
            <w:shd w:val="clear" w:color="auto" w:fill="auto"/>
            <w:vAlign w:val="center"/>
          </w:tcPr>
          <w:p w14:paraId="64325664">
            <w:pPr>
              <w:spacing w:line="240" w:lineRule="auto"/>
              <w:ind w:firstLine="0" w:firstLineChars="0"/>
              <w:jc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cs="Times New Roman"/>
                <w:color w:val="auto"/>
                <w:kern w:val="2"/>
                <w:sz w:val="21"/>
                <w:szCs w:val="21"/>
                <w:highlight w:val="none"/>
                <w:u w:val="none" w:color="auto"/>
                <w:lang w:val="en-US" w:eastAsia="zh-CN" w:bidi="ar-SA"/>
              </w:rPr>
              <w:t>居住区</w:t>
            </w:r>
          </w:p>
        </w:tc>
        <w:tc>
          <w:tcPr>
            <w:tcW w:w="908" w:type="pct"/>
            <w:shd w:val="clear" w:color="auto" w:fill="auto"/>
            <w:vAlign w:val="center"/>
          </w:tcPr>
          <w:p w14:paraId="6A552D46">
            <w:pPr>
              <w:spacing w:line="240" w:lineRule="auto"/>
              <w:ind w:firstLine="0" w:firstLineChars="0"/>
              <w:jc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cs="Times New Roman"/>
                <w:color w:val="auto"/>
                <w:kern w:val="2"/>
                <w:sz w:val="21"/>
                <w:szCs w:val="21"/>
                <w:highlight w:val="none"/>
                <w:u w:val="none" w:color="auto"/>
                <w:lang w:val="en-US" w:eastAsia="zh-CN" w:bidi="ar-SA"/>
              </w:rPr>
              <w:t>约15户</w:t>
            </w:r>
          </w:p>
        </w:tc>
      </w:tr>
      <w:tr w14:paraId="455355C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480" w:type="pct"/>
            <w:vMerge w:val="continue"/>
            <w:vAlign w:val="center"/>
          </w:tcPr>
          <w:p w14:paraId="5A109AA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highlight w:val="none"/>
              </w:rPr>
            </w:pPr>
          </w:p>
        </w:tc>
        <w:tc>
          <w:tcPr>
            <w:tcW w:w="365" w:type="pct"/>
            <w:vAlign w:val="center"/>
          </w:tcPr>
          <w:p w14:paraId="697BCB8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4</w:t>
            </w:r>
          </w:p>
        </w:tc>
        <w:tc>
          <w:tcPr>
            <w:tcW w:w="1287" w:type="pct"/>
            <w:gridSpan w:val="2"/>
            <w:shd w:val="clear" w:color="auto" w:fill="auto"/>
            <w:vAlign w:val="center"/>
          </w:tcPr>
          <w:p w14:paraId="1A0DE5A0">
            <w:pPr>
              <w:spacing w:line="240" w:lineRule="auto"/>
              <w:ind w:firstLine="0" w:firstLineChars="0"/>
              <w:jc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cs="Times New Roman"/>
                <w:color w:val="auto"/>
                <w:kern w:val="2"/>
                <w:sz w:val="21"/>
                <w:szCs w:val="21"/>
                <w:highlight w:val="none"/>
                <w:u w:val="none" w:color="auto"/>
                <w:lang w:val="en-US" w:eastAsia="zh-CN" w:bidi="ar-SA"/>
              </w:rPr>
              <w:t>炭坡</w:t>
            </w:r>
          </w:p>
        </w:tc>
        <w:tc>
          <w:tcPr>
            <w:tcW w:w="495" w:type="pct"/>
            <w:shd w:val="clear" w:color="auto" w:fill="auto"/>
            <w:vAlign w:val="center"/>
          </w:tcPr>
          <w:p w14:paraId="7E553AF3">
            <w:pPr>
              <w:spacing w:line="240" w:lineRule="auto"/>
              <w:ind w:firstLine="0" w:firstLineChars="0"/>
              <w:jc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cs="Times New Roman"/>
                <w:color w:val="auto"/>
                <w:kern w:val="2"/>
                <w:sz w:val="21"/>
                <w:szCs w:val="21"/>
                <w:highlight w:val="none"/>
                <w:u w:val="none" w:color="auto"/>
                <w:lang w:val="en-US" w:eastAsia="zh-CN" w:bidi="ar-SA"/>
              </w:rPr>
              <w:t>南</w:t>
            </w:r>
          </w:p>
        </w:tc>
        <w:tc>
          <w:tcPr>
            <w:tcW w:w="623" w:type="pct"/>
            <w:gridSpan w:val="2"/>
            <w:shd w:val="clear" w:color="auto" w:fill="auto"/>
            <w:vAlign w:val="center"/>
          </w:tcPr>
          <w:p w14:paraId="7CD5BF1D">
            <w:pPr>
              <w:spacing w:line="240" w:lineRule="auto"/>
              <w:ind w:firstLine="0" w:firstLineChars="0"/>
              <w:jc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cs="Times New Roman"/>
                <w:color w:val="auto"/>
                <w:kern w:val="2"/>
                <w:sz w:val="21"/>
                <w:szCs w:val="21"/>
                <w:highlight w:val="none"/>
                <w:u w:val="none" w:color="auto"/>
                <w:lang w:val="en-US" w:eastAsia="zh-CN" w:bidi="ar-SA"/>
              </w:rPr>
              <w:t>490m</w:t>
            </w:r>
          </w:p>
        </w:tc>
        <w:tc>
          <w:tcPr>
            <w:tcW w:w="838" w:type="pct"/>
            <w:gridSpan w:val="2"/>
            <w:shd w:val="clear" w:color="auto" w:fill="auto"/>
            <w:vAlign w:val="center"/>
          </w:tcPr>
          <w:p w14:paraId="3952A489">
            <w:pPr>
              <w:spacing w:line="240" w:lineRule="auto"/>
              <w:ind w:firstLine="0" w:firstLineChars="0"/>
              <w:jc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cs="Times New Roman"/>
                <w:color w:val="auto"/>
                <w:kern w:val="2"/>
                <w:sz w:val="21"/>
                <w:szCs w:val="21"/>
                <w:highlight w:val="none"/>
                <w:u w:val="none" w:color="auto"/>
                <w:lang w:val="en-US" w:eastAsia="zh-CN" w:bidi="ar-SA"/>
              </w:rPr>
              <w:t>居住区</w:t>
            </w:r>
          </w:p>
        </w:tc>
        <w:tc>
          <w:tcPr>
            <w:tcW w:w="908" w:type="pct"/>
            <w:shd w:val="clear" w:color="auto" w:fill="auto"/>
            <w:vAlign w:val="center"/>
          </w:tcPr>
          <w:p w14:paraId="3885F51B">
            <w:pPr>
              <w:spacing w:line="240" w:lineRule="auto"/>
              <w:ind w:firstLine="0" w:firstLineChars="0"/>
              <w:jc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cs="Times New Roman"/>
                <w:color w:val="auto"/>
                <w:kern w:val="2"/>
                <w:sz w:val="21"/>
                <w:szCs w:val="21"/>
                <w:highlight w:val="none"/>
                <w:u w:val="none" w:color="auto"/>
                <w:lang w:val="en-US" w:eastAsia="zh-CN" w:bidi="ar-SA"/>
              </w:rPr>
              <w:t>约2户</w:t>
            </w:r>
          </w:p>
        </w:tc>
      </w:tr>
      <w:tr w14:paraId="4BEEC42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480" w:type="pct"/>
            <w:vMerge w:val="continue"/>
            <w:vAlign w:val="center"/>
          </w:tcPr>
          <w:p w14:paraId="0CBFE13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highlight w:val="none"/>
              </w:rPr>
            </w:pPr>
          </w:p>
        </w:tc>
        <w:tc>
          <w:tcPr>
            <w:tcW w:w="3611" w:type="pct"/>
            <w:gridSpan w:val="8"/>
            <w:vAlign w:val="center"/>
          </w:tcPr>
          <w:p w14:paraId="7F13B5F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厂址周边500m范围内人口数小计</w:t>
            </w:r>
          </w:p>
        </w:tc>
        <w:tc>
          <w:tcPr>
            <w:tcW w:w="908" w:type="pct"/>
            <w:vAlign w:val="center"/>
          </w:tcPr>
          <w:p w14:paraId="100536D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cs="Times New Roman"/>
                <w:sz w:val="21"/>
                <w:szCs w:val="21"/>
                <w:highlight w:val="none"/>
                <w:lang w:val="en-US" w:eastAsia="zh-CN"/>
              </w:rPr>
              <w:t>˂</w:t>
            </w:r>
            <w:r>
              <w:rPr>
                <w:rFonts w:hint="eastAsia" w:cs="Times New Roman"/>
                <w:sz w:val="21"/>
                <w:szCs w:val="21"/>
                <w:highlight w:val="none"/>
                <w:lang w:val="en-US" w:eastAsia="zh-CN"/>
              </w:rPr>
              <w:t>500</w:t>
            </w:r>
            <w:r>
              <w:rPr>
                <w:rFonts w:hint="eastAsia" w:ascii="Times New Roman" w:hAnsi="Times New Roman" w:cs="Times New Roman"/>
                <w:sz w:val="21"/>
                <w:szCs w:val="21"/>
                <w:highlight w:val="none"/>
                <w:lang w:val="en-US" w:eastAsia="zh-CN"/>
              </w:rPr>
              <w:t>人</w:t>
            </w:r>
          </w:p>
        </w:tc>
      </w:tr>
      <w:tr w14:paraId="3C63596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480" w:type="pct"/>
            <w:vMerge w:val="continue"/>
            <w:vAlign w:val="center"/>
          </w:tcPr>
          <w:p w14:paraId="2C86203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highlight w:val="none"/>
              </w:rPr>
            </w:pPr>
          </w:p>
        </w:tc>
        <w:tc>
          <w:tcPr>
            <w:tcW w:w="3611" w:type="pct"/>
            <w:gridSpan w:val="8"/>
            <w:vAlign w:val="center"/>
          </w:tcPr>
          <w:p w14:paraId="35C8D52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厂址周边5km范围内人口数小计</w:t>
            </w:r>
          </w:p>
        </w:tc>
        <w:tc>
          <w:tcPr>
            <w:tcW w:w="908" w:type="pct"/>
            <w:vAlign w:val="center"/>
          </w:tcPr>
          <w:p w14:paraId="603817C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lang w:val="en-US" w:eastAsia="zh-CN"/>
              </w:rPr>
              <w:t>˂</w:t>
            </w:r>
            <w:r>
              <w:rPr>
                <w:rFonts w:hint="eastAsia" w:cs="Times New Roman"/>
                <w:sz w:val="21"/>
                <w:szCs w:val="21"/>
                <w:highlight w:val="none"/>
                <w:lang w:val="en-US" w:eastAsia="zh-CN"/>
              </w:rPr>
              <w:t>1</w:t>
            </w:r>
            <w:r>
              <w:rPr>
                <w:rFonts w:hint="default" w:ascii="Times New Roman" w:hAnsi="Times New Roman" w:cs="Times New Roman"/>
                <w:sz w:val="21"/>
                <w:szCs w:val="21"/>
                <w:highlight w:val="none"/>
              </w:rPr>
              <w:t>万人</w:t>
            </w:r>
          </w:p>
        </w:tc>
      </w:tr>
      <w:tr w14:paraId="78828B3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480" w:type="pct"/>
            <w:vMerge w:val="continue"/>
            <w:vAlign w:val="center"/>
          </w:tcPr>
          <w:p w14:paraId="45D38E1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highlight w:val="none"/>
              </w:rPr>
            </w:pPr>
          </w:p>
        </w:tc>
        <w:tc>
          <w:tcPr>
            <w:tcW w:w="3611" w:type="pct"/>
            <w:gridSpan w:val="8"/>
            <w:vAlign w:val="center"/>
          </w:tcPr>
          <w:p w14:paraId="45D2456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大气环境敏感程度E值</w:t>
            </w:r>
          </w:p>
        </w:tc>
        <w:tc>
          <w:tcPr>
            <w:tcW w:w="908" w:type="pct"/>
            <w:vAlign w:val="center"/>
          </w:tcPr>
          <w:p w14:paraId="4356B57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sz w:val="21"/>
                <w:szCs w:val="21"/>
                <w:highlight w:val="none"/>
                <w:lang w:eastAsia="zh-CN"/>
              </w:rPr>
            </w:pPr>
            <w:r>
              <w:rPr>
                <w:rFonts w:hint="default" w:ascii="Times New Roman" w:hAnsi="Times New Roman" w:cs="Times New Roman"/>
                <w:sz w:val="21"/>
                <w:szCs w:val="21"/>
                <w:highlight w:val="none"/>
              </w:rPr>
              <w:t>E</w:t>
            </w:r>
            <w:r>
              <w:rPr>
                <w:rFonts w:hint="eastAsia" w:cs="Times New Roman"/>
                <w:sz w:val="21"/>
                <w:szCs w:val="21"/>
                <w:highlight w:val="none"/>
                <w:lang w:val="en-US" w:eastAsia="zh-CN"/>
              </w:rPr>
              <w:t>3</w:t>
            </w:r>
          </w:p>
        </w:tc>
      </w:tr>
      <w:tr w14:paraId="523241A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480" w:type="pct"/>
            <w:vMerge w:val="restart"/>
            <w:vAlign w:val="center"/>
          </w:tcPr>
          <w:p w14:paraId="2642265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地表水</w:t>
            </w:r>
          </w:p>
        </w:tc>
        <w:tc>
          <w:tcPr>
            <w:tcW w:w="4519" w:type="pct"/>
            <w:gridSpan w:val="9"/>
            <w:vAlign w:val="center"/>
          </w:tcPr>
          <w:p w14:paraId="43594B5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bCs/>
                <w:sz w:val="21"/>
                <w:szCs w:val="21"/>
                <w:highlight w:val="none"/>
              </w:rPr>
            </w:pPr>
            <w:r>
              <w:rPr>
                <w:rFonts w:hint="default" w:ascii="Times New Roman" w:hAnsi="Times New Roman" w:cs="Times New Roman"/>
                <w:b/>
                <w:bCs/>
                <w:sz w:val="21"/>
                <w:szCs w:val="21"/>
                <w:highlight w:val="none"/>
              </w:rPr>
              <w:t>受纳水体</w:t>
            </w:r>
          </w:p>
        </w:tc>
      </w:tr>
      <w:tr w14:paraId="014904E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480" w:type="pct"/>
            <w:vMerge w:val="continue"/>
            <w:vAlign w:val="center"/>
          </w:tcPr>
          <w:p w14:paraId="58B2A81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highlight w:val="none"/>
              </w:rPr>
            </w:pPr>
          </w:p>
        </w:tc>
        <w:tc>
          <w:tcPr>
            <w:tcW w:w="408" w:type="pct"/>
            <w:gridSpan w:val="2"/>
            <w:vAlign w:val="center"/>
          </w:tcPr>
          <w:p w14:paraId="2DB8AE7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bCs/>
                <w:sz w:val="21"/>
                <w:szCs w:val="21"/>
                <w:highlight w:val="none"/>
              </w:rPr>
            </w:pPr>
            <w:r>
              <w:rPr>
                <w:rFonts w:hint="default" w:ascii="Times New Roman" w:hAnsi="Times New Roman" w:cs="Times New Roman"/>
                <w:b/>
                <w:bCs/>
                <w:sz w:val="21"/>
                <w:szCs w:val="21"/>
                <w:highlight w:val="none"/>
              </w:rPr>
              <w:t>序号</w:t>
            </w:r>
          </w:p>
        </w:tc>
        <w:tc>
          <w:tcPr>
            <w:tcW w:w="1245" w:type="pct"/>
            <w:vAlign w:val="center"/>
          </w:tcPr>
          <w:p w14:paraId="23EDA6D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bCs/>
                <w:sz w:val="21"/>
                <w:szCs w:val="21"/>
                <w:highlight w:val="none"/>
              </w:rPr>
            </w:pPr>
            <w:r>
              <w:rPr>
                <w:rFonts w:hint="default" w:ascii="Times New Roman" w:hAnsi="Times New Roman" w:cs="Times New Roman"/>
                <w:b/>
                <w:bCs/>
                <w:sz w:val="21"/>
                <w:szCs w:val="21"/>
                <w:highlight w:val="none"/>
              </w:rPr>
              <w:t>受纳水体名称</w:t>
            </w:r>
          </w:p>
        </w:tc>
        <w:tc>
          <w:tcPr>
            <w:tcW w:w="1118" w:type="pct"/>
            <w:gridSpan w:val="3"/>
            <w:vAlign w:val="center"/>
          </w:tcPr>
          <w:p w14:paraId="7FE0564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bCs/>
                <w:sz w:val="21"/>
                <w:szCs w:val="21"/>
                <w:highlight w:val="none"/>
              </w:rPr>
            </w:pPr>
            <w:r>
              <w:rPr>
                <w:rFonts w:hint="default" w:ascii="Times New Roman" w:hAnsi="Times New Roman" w:cs="Times New Roman"/>
                <w:b/>
                <w:bCs/>
                <w:sz w:val="21"/>
                <w:szCs w:val="21"/>
                <w:highlight w:val="none"/>
              </w:rPr>
              <w:t>排放点水域环境功能</w:t>
            </w:r>
          </w:p>
        </w:tc>
        <w:tc>
          <w:tcPr>
            <w:tcW w:w="1746" w:type="pct"/>
            <w:gridSpan w:val="3"/>
            <w:vAlign w:val="center"/>
          </w:tcPr>
          <w:p w14:paraId="071C1E5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bCs/>
                <w:sz w:val="21"/>
                <w:szCs w:val="21"/>
                <w:highlight w:val="none"/>
              </w:rPr>
            </w:pPr>
            <w:r>
              <w:rPr>
                <w:rFonts w:hint="default" w:ascii="Times New Roman" w:hAnsi="Times New Roman" w:cs="Times New Roman"/>
                <w:b/>
                <w:bCs/>
                <w:sz w:val="21"/>
                <w:szCs w:val="21"/>
                <w:highlight w:val="none"/>
              </w:rPr>
              <w:t>24h内流经范围/km</w:t>
            </w:r>
          </w:p>
        </w:tc>
      </w:tr>
      <w:tr w14:paraId="4FA0B7A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480" w:type="pct"/>
            <w:vMerge w:val="continue"/>
            <w:vAlign w:val="center"/>
          </w:tcPr>
          <w:p w14:paraId="08D918D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highlight w:val="none"/>
              </w:rPr>
            </w:pPr>
          </w:p>
        </w:tc>
        <w:tc>
          <w:tcPr>
            <w:tcW w:w="408" w:type="pct"/>
            <w:gridSpan w:val="2"/>
            <w:vAlign w:val="center"/>
          </w:tcPr>
          <w:p w14:paraId="48A8FA6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1</w:t>
            </w:r>
          </w:p>
        </w:tc>
        <w:tc>
          <w:tcPr>
            <w:tcW w:w="1245" w:type="pct"/>
            <w:vAlign w:val="center"/>
          </w:tcPr>
          <w:p w14:paraId="20671E6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highlight w:val="none"/>
              </w:rPr>
            </w:pPr>
            <w:r>
              <w:rPr>
                <w:rFonts w:hint="eastAsia"/>
                <w:sz w:val="21"/>
                <w:szCs w:val="21"/>
                <w:highlight w:val="none"/>
                <w:lang w:val="en-US" w:eastAsia="zh-CN"/>
              </w:rPr>
              <w:t>山涧小溪</w:t>
            </w:r>
          </w:p>
        </w:tc>
        <w:tc>
          <w:tcPr>
            <w:tcW w:w="1118" w:type="pct"/>
            <w:gridSpan w:val="3"/>
            <w:shd w:val="clear" w:color="auto" w:fill="auto"/>
            <w:vAlign w:val="center"/>
          </w:tcPr>
          <w:p w14:paraId="488B069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东，紧邻，</w:t>
            </w:r>
          </w:p>
        </w:tc>
        <w:tc>
          <w:tcPr>
            <w:tcW w:w="1746" w:type="pct"/>
            <w:gridSpan w:val="3"/>
            <w:vAlign w:val="center"/>
          </w:tcPr>
          <w:p w14:paraId="593E751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r>
      <w:tr w14:paraId="6A6512E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480" w:type="pct"/>
            <w:vMerge w:val="continue"/>
            <w:vAlign w:val="center"/>
          </w:tcPr>
          <w:p w14:paraId="7B44993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highlight w:val="none"/>
              </w:rPr>
            </w:pPr>
          </w:p>
        </w:tc>
        <w:tc>
          <w:tcPr>
            <w:tcW w:w="408" w:type="pct"/>
            <w:gridSpan w:val="2"/>
            <w:vAlign w:val="center"/>
          </w:tcPr>
          <w:p w14:paraId="7D490BD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2</w:t>
            </w:r>
          </w:p>
        </w:tc>
        <w:tc>
          <w:tcPr>
            <w:tcW w:w="1245" w:type="pct"/>
            <w:vAlign w:val="center"/>
          </w:tcPr>
          <w:p w14:paraId="3ADA564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highlight w:val="none"/>
              </w:rPr>
            </w:pPr>
            <w:r>
              <w:rPr>
                <w:rFonts w:hint="eastAsia"/>
                <w:sz w:val="21"/>
                <w:szCs w:val="21"/>
                <w:highlight w:val="none"/>
                <w:lang w:val="en-US" w:eastAsia="zh-CN"/>
              </w:rPr>
              <w:t>垂拱水库</w:t>
            </w:r>
          </w:p>
        </w:tc>
        <w:tc>
          <w:tcPr>
            <w:tcW w:w="1118" w:type="pct"/>
            <w:gridSpan w:val="3"/>
            <w:shd w:val="clear" w:color="auto" w:fill="auto"/>
            <w:vAlign w:val="center"/>
          </w:tcPr>
          <w:p w14:paraId="6262F54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东北，530m，水库，</w:t>
            </w:r>
          </w:p>
          <w:p w14:paraId="5E50EA0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灌溉</w:t>
            </w:r>
          </w:p>
        </w:tc>
        <w:tc>
          <w:tcPr>
            <w:tcW w:w="1746" w:type="pct"/>
            <w:gridSpan w:val="3"/>
            <w:vAlign w:val="center"/>
          </w:tcPr>
          <w:p w14:paraId="62A5D11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r>
      <w:tr w14:paraId="2AFE3DC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480" w:type="pct"/>
            <w:vMerge w:val="continue"/>
            <w:vAlign w:val="center"/>
          </w:tcPr>
          <w:p w14:paraId="6D0CB67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highlight w:val="none"/>
              </w:rPr>
            </w:pPr>
          </w:p>
        </w:tc>
        <w:tc>
          <w:tcPr>
            <w:tcW w:w="4519" w:type="pct"/>
            <w:gridSpan w:val="9"/>
            <w:vAlign w:val="center"/>
          </w:tcPr>
          <w:p w14:paraId="154FBB8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bCs/>
                <w:sz w:val="21"/>
                <w:szCs w:val="21"/>
                <w:highlight w:val="none"/>
              </w:rPr>
            </w:pPr>
            <w:r>
              <w:rPr>
                <w:rFonts w:hint="default" w:ascii="Times New Roman" w:hAnsi="Times New Roman" w:cs="Times New Roman"/>
                <w:b/>
                <w:bCs/>
                <w:sz w:val="21"/>
                <w:szCs w:val="21"/>
                <w:highlight w:val="none"/>
              </w:rPr>
              <w:t>内陆水体排放点下游10km（近岸海域一个潮周期最大水平距离两倍）范围内敏感目标</w:t>
            </w:r>
          </w:p>
        </w:tc>
      </w:tr>
      <w:tr w14:paraId="0B3F455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480" w:type="pct"/>
            <w:vMerge w:val="continue"/>
            <w:vAlign w:val="center"/>
          </w:tcPr>
          <w:p w14:paraId="763553D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highlight w:val="none"/>
              </w:rPr>
            </w:pPr>
          </w:p>
        </w:tc>
        <w:tc>
          <w:tcPr>
            <w:tcW w:w="408" w:type="pct"/>
            <w:gridSpan w:val="2"/>
            <w:vAlign w:val="center"/>
          </w:tcPr>
          <w:p w14:paraId="28B0B1A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bCs/>
                <w:sz w:val="21"/>
                <w:szCs w:val="21"/>
                <w:highlight w:val="none"/>
              </w:rPr>
            </w:pPr>
            <w:r>
              <w:rPr>
                <w:rFonts w:hint="default" w:ascii="Times New Roman" w:hAnsi="Times New Roman" w:cs="Times New Roman"/>
                <w:b/>
                <w:bCs/>
                <w:sz w:val="21"/>
                <w:szCs w:val="21"/>
                <w:highlight w:val="none"/>
              </w:rPr>
              <w:t>序号</w:t>
            </w:r>
          </w:p>
        </w:tc>
        <w:tc>
          <w:tcPr>
            <w:tcW w:w="1245" w:type="pct"/>
            <w:vAlign w:val="center"/>
          </w:tcPr>
          <w:p w14:paraId="1ACFEF3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bCs/>
                <w:sz w:val="21"/>
                <w:szCs w:val="21"/>
                <w:highlight w:val="none"/>
              </w:rPr>
            </w:pPr>
            <w:r>
              <w:rPr>
                <w:rFonts w:hint="default" w:ascii="Times New Roman" w:hAnsi="Times New Roman" w:cs="Times New Roman"/>
                <w:b/>
                <w:bCs/>
                <w:sz w:val="21"/>
                <w:szCs w:val="21"/>
                <w:highlight w:val="none"/>
              </w:rPr>
              <w:t>敏感目标名称</w:t>
            </w:r>
          </w:p>
        </w:tc>
        <w:tc>
          <w:tcPr>
            <w:tcW w:w="529" w:type="pct"/>
            <w:gridSpan w:val="2"/>
            <w:vAlign w:val="center"/>
          </w:tcPr>
          <w:p w14:paraId="1D13782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bCs/>
                <w:sz w:val="21"/>
                <w:szCs w:val="21"/>
                <w:highlight w:val="none"/>
              </w:rPr>
            </w:pPr>
            <w:r>
              <w:rPr>
                <w:rFonts w:hint="default" w:ascii="Times New Roman" w:hAnsi="Times New Roman" w:cs="Times New Roman"/>
                <w:b/>
                <w:bCs/>
                <w:sz w:val="21"/>
                <w:szCs w:val="21"/>
                <w:highlight w:val="none"/>
              </w:rPr>
              <w:t>环境敏感特征</w:t>
            </w:r>
          </w:p>
        </w:tc>
        <w:tc>
          <w:tcPr>
            <w:tcW w:w="1035" w:type="pct"/>
            <w:gridSpan w:val="2"/>
            <w:vAlign w:val="center"/>
          </w:tcPr>
          <w:p w14:paraId="6B90C77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bCs/>
                <w:sz w:val="21"/>
                <w:szCs w:val="21"/>
                <w:highlight w:val="none"/>
              </w:rPr>
            </w:pPr>
            <w:r>
              <w:rPr>
                <w:rFonts w:hint="default" w:ascii="Times New Roman" w:hAnsi="Times New Roman" w:cs="Times New Roman"/>
                <w:b/>
                <w:bCs/>
                <w:sz w:val="21"/>
                <w:szCs w:val="21"/>
                <w:highlight w:val="none"/>
              </w:rPr>
              <w:t>水质目标</w:t>
            </w:r>
          </w:p>
        </w:tc>
        <w:tc>
          <w:tcPr>
            <w:tcW w:w="1300" w:type="pct"/>
            <w:gridSpan w:val="2"/>
            <w:vAlign w:val="center"/>
          </w:tcPr>
          <w:p w14:paraId="619BE54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bCs/>
                <w:sz w:val="21"/>
                <w:szCs w:val="21"/>
                <w:highlight w:val="none"/>
              </w:rPr>
            </w:pPr>
            <w:r>
              <w:rPr>
                <w:rFonts w:hint="default" w:ascii="Times New Roman" w:hAnsi="Times New Roman" w:cs="Times New Roman"/>
                <w:b/>
                <w:bCs/>
                <w:sz w:val="21"/>
                <w:szCs w:val="21"/>
                <w:highlight w:val="none"/>
              </w:rPr>
              <w:t>与排放点距离/m</w:t>
            </w:r>
          </w:p>
        </w:tc>
      </w:tr>
      <w:tr w14:paraId="40E784C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480" w:type="pct"/>
            <w:vMerge w:val="continue"/>
            <w:vAlign w:val="center"/>
          </w:tcPr>
          <w:p w14:paraId="62303CF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highlight w:val="none"/>
              </w:rPr>
            </w:pPr>
          </w:p>
        </w:tc>
        <w:tc>
          <w:tcPr>
            <w:tcW w:w="408" w:type="pct"/>
            <w:gridSpan w:val="2"/>
            <w:vAlign w:val="center"/>
          </w:tcPr>
          <w:p w14:paraId="3E13323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1</w:t>
            </w:r>
          </w:p>
        </w:tc>
        <w:tc>
          <w:tcPr>
            <w:tcW w:w="1245" w:type="pct"/>
            <w:vAlign w:val="center"/>
          </w:tcPr>
          <w:p w14:paraId="087E63D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c>
          <w:tcPr>
            <w:tcW w:w="529" w:type="pct"/>
            <w:gridSpan w:val="2"/>
            <w:vAlign w:val="center"/>
          </w:tcPr>
          <w:p w14:paraId="608E112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c>
          <w:tcPr>
            <w:tcW w:w="1035" w:type="pct"/>
            <w:gridSpan w:val="2"/>
            <w:vAlign w:val="center"/>
          </w:tcPr>
          <w:p w14:paraId="42F5FDC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c>
          <w:tcPr>
            <w:tcW w:w="1300" w:type="pct"/>
            <w:gridSpan w:val="2"/>
            <w:vAlign w:val="center"/>
          </w:tcPr>
          <w:p w14:paraId="45CA4B1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r>
      <w:tr w14:paraId="01D519C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480" w:type="pct"/>
            <w:vMerge w:val="continue"/>
            <w:vAlign w:val="center"/>
          </w:tcPr>
          <w:p w14:paraId="1AFA042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highlight w:val="none"/>
              </w:rPr>
            </w:pPr>
          </w:p>
        </w:tc>
        <w:tc>
          <w:tcPr>
            <w:tcW w:w="3611" w:type="pct"/>
            <w:gridSpan w:val="8"/>
            <w:vAlign w:val="center"/>
          </w:tcPr>
          <w:p w14:paraId="58B2CDE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地表水环境敏感程度E值</w:t>
            </w:r>
          </w:p>
        </w:tc>
        <w:tc>
          <w:tcPr>
            <w:tcW w:w="908" w:type="pct"/>
            <w:vAlign w:val="center"/>
          </w:tcPr>
          <w:p w14:paraId="2CF7EE2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sz w:val="21"/>
                <w:szCs w:val="21"/>
                <w:highlight w:val="none"/>
                <w:lang w:eastAsia="zh-CN"/>
              </w:rPr>
            </w:pPr>
            <w:r>
              <w:rPr>
                <w:rFonts w:hint="default" w:ascii="Times New Roman" w:hAnsi="Times New Roman" w:cs="Times New Roman"/>
                <w:sz w:val="21"/>
                <w:szCs w:val="21"/>
                <w:highlight w:val="none"/>
              </w:rPr>
              <w:t>E</w:t>
            </w:r>
            <w:r>
              <w:rPr>
                <w:rFonts w:hint="eastAsia" w:cs="Times New Roman"/>
                <w:sz w:val="21"/>
                <w:szCs w:val="21"/>
                <w:highlight w:val="none"/>
                <w:lang w:val="en-US" w:eastAsia="zh-CN"/>
              </w:rPr>
              <w:t>3</w:t>
            </w:r>
          </w:p>
        </w:tc>
      </w:tr>
      <w:tr w14:paraId="2350F6B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480" w:type="pct"/>
            <w:vMerge w:val="restart"/>
            <w:vAlign w:val="center"/>
          </w:tcPr>
          <w:p w14:paraId="7C0DCDF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地下水</w:t>
            </w:r>
          </w:p>
        </w:tc>
        <w:tc>
          <w:tcPr>
            <w:tcW w:w="408" w:type="pct"/>
            <w:gridSpan w:val="2"/>
            <w:vAlign w:val="center"/>
          </w:tcPr>
          <w:p w14:paraId="1636667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bCs/>
                <w:sz w:val="21"/>
                <w:szCs w:val="21"/>
                <w:highlight w:val="none"/>
              </w:rPr>
            </w:pPr>
            <w:r>
              <w:rPr>
                <w:rFonts w:hint="default" w:ascii="Times New Roman" w:hAnsi="Times New Roman" w:cs="Times New Roman"/>
                <w:b/>
                <w:bCs/>
                <w:sz w:val="21"/>
                <w:szCs w:val="21"/>
                <w:highlight w:val="none"/>
              </w:rPr>
              <w:t>序号</w:t>
            </w:r>
          </w:p>
        </w:tc>
        <w:tc>
          <w:tcPr>
            <w:tcW w:w="1245" w:type="pct"/>
            <w:vAlign w:val="center"/>
          </w:tcPr>
          <w:p w14:paraId="6E8F6DD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bCs/>
                <w:sz w:val="21"/>
                <w:szCs w:val="21"/>
                <w:highlight w:val="none"/>
              </w:rPr>
            </w:pPr>
            <w:r>
              <w:rPr>
                <w:rFonts w:hint="default" w:ascii="Times New Roman" w:hAnsi="Times New Roman" w:cs="Times New Roman"/>
                <w:b/>
                <w:bCs/>
                <w:sz w:val="21"/>
                <w:szCs w:val="21"/>
                <w:highlight w:val="none"/>
              </w:rPr>
              <w:t>环境敏感区名称</w:t>
            </w:r>
          </w:p>
        </w:tc>
        <w:tc>
          <w:tcPr>
            <w:tcW w:w="529" w:type="pct"/>
            <w:gridSpan w:val="2"/>
            <w:vAlign w:val="center"/>
          </w:tcPr>
          <w:p w14:paraId="553292F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bCs/>
                <w:sz w:val="21"/>
                <w:szCs w:val="21"/>
                <w:highlight w:val="none"/>
              </w:rPr>
            </w:pPr>
            <w:r>
              <w:rPr>
                <w:rFonts w:hint="default" w:ascii="Times New Roman" w:hAnsi="Times New Roman" w:cs="Times New Roman"/>
                <w:b/>
                <w:bCs/>
                <w:sz w:val="21"/>
                <w:szCs w:val="21"/>
                <w:highlight w:val="none"/>
              </w:rPr>
              <w:t>环境敏感特征</w:t>
            </w:r>
          </w:p>
        </w:tc>
        <w:tc>
          <w:tcPr>
            <w:tcW w:w="589" w:type="pct"/>
            <w:vAlign w:val="center"/>
          </w:tcPr>
          <w:p w14:paraId="3E13EFC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bCs/>
                <w:sz w:val="21"/>
                <w:szCs w:val="21"/>
                <w:highlight w:val="none"/>
              </w:rPr>
            </w:pPr>
            <w:r>
              <w:rPr>
                <w:rFonts w:hint="default" w:ascii="Times New Roman" w:hAnsi="Times New Roman" w:cs="Times New Roman"/>
                <w:b/>
                <w:bCs/>
                <w:sz w:val="21"/>
                <w:szCs w:val="21"/>
                <w:highlight w:val="none"/>
              </w:rPr>
              <w:t>水质目标</w:t>
            </w:r>
          </w:p>
        </w:tc>
        <w:tc>
          <w:tcPr>
            <w:tcW w:w="838" w:type="pct"/>
            <w:gridSpan w:val="2"/>
            <w:vAlign w:val="center"/>
          </w:tcPr>
          <w:p w14:paraId="202E97C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bCs/>
                <w:sz w:val="21"/>
                <w:szCs w:val="21"/>
                <w:highlight w:val="none"/>
              </w:rPr>
            </w:pPr>
            <w:r>
              <w:rPr>
                <w:rFonts w:hint="default" w:ascii="Times New Roman" w:hAnsi="Times New Roman" w:cs="Times New Roman"/>
                <w:b/>
                <w:bCs/>
                <w:sz w:val="21"/>
                <w:szCs w:val="21"/>
                <w:highlight w:val="none"/>
              </w:rPr>
              <w:t>包气带防污性能</w:t>
            </w:r>
          </w:p>
        </w:tc>
        <w:tc>
          <w:tcPr>
            <w:tcW w:w="908" w:type="pct"/>
            <w:vAlign w:val="center"/>
          </w:tcPr>
          <w:p w14:paraId="4DA07A1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bCs/>
                <w:sz w:val="21"/>
                <w:szCs w:val="21"/>
                <w:highlight w:val="none"/>
              </w:rPr>
            </w:pPr>
            <w:r>
              <w:rPr>
                <w:rFonts w:hint="default" w:ascii="Times New Roman" w:hAnsi="Times New Roman" w:cs="Times New Roman"/>
                <w:b/>
                <w:bCs/>
                <w:sz w:val="21"/>
                <w:szCs w:val="21"/>
                <w:highlight w:val="none"/>
              </w:rPr>
              <w:t>与下游厂界距离/m</w:t>
            </w:r>
          </w:p>
        </w:tc>
      </w:tr>
      <w:tr w14:paraId="6E80B76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480" w:type="pct"/>
            <w:vMerge w:val="continue"/>
            <w:vAlign w:val="center"/>
          </w:tcPr>
          <w:p w14:paraId="4BD1FC4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highlight w:val="none"/>
              </w:rPr>
            </w:pPr>
          </w:p>
        </w:tc>
        <w:tc>
          <w:tcPr>
            <w:tcW w:w="408" w:type="pct"/>
            <w:gridSpan w:val="2"/>
            <w:vAlign w:val="center"/>
          </w:tcPr>
          <w:p w14:paraId="722CFE5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1</w:t>
            </w:r>
          </w:p>
        </w:tc>
        <w:tc>
          <w:tcPr>
            <w:tcW w:w="4110" w:type="pct"/>
            <w:gridSpan w:val="7"/>
            <w:vAlign w:val="center"/>
          </w:tcPr>
          <w:p w14:paraId="5D73A00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highlight w:val="none"/>
                <w:lang w:eastAsia="zh-CN"/>
              </w:rPr>
            </w:pPr>
            <w:r>
              <w:rPr>
                <w:rFonts w:hint="default" w:ascii="Times New Roman" w:hAnsi="Times New Roman" w:cs="Times New Roman"/>
                <w:sz w:val="21"/>
                <w:szCs w:val="21"/>
                <w:highlight w:val="none"/>
              </w:rPr>
              <w:t>不涉及地下水集中式饮用水源区与特殊地下水资源保护区</w:t>
            </w:r>
            <w:r>
              <w:rPr>
                <w:rFonts w:hint="default" w:ascii="Times New Roman" w:hAnsi="Times New Roman" w:cs="Times New Roman"/>
                <w:sz w:val="21"/>
                <w:szCs w:val="21"/>
                <w:highlight w:val="none"/>
                <w:lang w:eastAsia="zh-CN"/>
              </w:rPr>
              <w:t>，</w:t>
            </w:r>
            <w:r>
              <w:rPr>
                <w:rFonts w:hint="eastAsia" w:ascii="Times New Roman" w:hAnsi="Times New Roman" w:cs="Times New Roman"/>
                <w:sz w:val="21"/>
                <w:szCs w:val="21"/>
                <w:highlight w:val="none"/>
                <w:lang w:val="en-US" w:eastAsia="zh-CN"/>
              </w:rPr>
              <w:t>部分居民饮用地下水，</w:t>
            </w:r>
            <w:r>
              <w:rPr>
                <w:rFonts w:hint="default" w:ascii="Times New Roman" w:hAnsi="Times New Roman" w:cs="Times New Roman"/>
                <w:sz w:val="21"/>
                <w:szCs w:val="21"/>
                <w:highlight w:val="none"/>
                <w:lang w:eastAsia="zh-CN"/>
              </w:rPr>
              <w:t>根据地勘资料项目所在地，Mb≥1.0m，1.0×10</w:t>
            </w:r>
            <w:r>
              <w:rPr>
                <w:rFonts w:hint="default" w:ascii="Times New Roman" w:hAnsi="Times New Roman" w:cs="Times New Roman"/>
                <w:sz w:val="21"/>
                <w:szCs w:val="21"/>
                <w:highlight w:val="none"/>
                <w:vertAlign w:val="superscript"/>
                <w:lang w:eastAsia="zh-CN"/>
              </w:rPr>
              <w:t>-6</w:t>
            </w:r>
            <w:r>
              <w:rPr>
                <w:rFonts w:hint="default" w:ascii="Times New Roman" w:hAnsi="Times New Roman" w:cs="Times New Roman"/>
                <w:sz w:val="21"/>
                <w:szCs w:val="21"/>
                <w:highlight w:val="none"/>
                <w:lang w:eastAsia="zh-CN"/>
              </w:rPr>
              <w:t>cm/s˂K≤1.0×10</w:t>
            </w:r>
            <w:r>
              <w:rPr>
                <w:rFonts w:hint="default" w:ascii="Times New Roman" w:hAnsi="Times New Roman" w:cs="Times New Roman"/>
                <w:sz w:val="21"/>
                <w:szCs w:val="21"/>
                <w:highlight w:val="none"/>
                <w:vertAlign w:val="superscript"/>
                <w:lang w:eastAsia="zh-CN"/>
              </w:rPr>
              <w:t>-4</w:t>
            </w:r>
            <w:r>
              <w:rPr>
                <w:rFonts w:hint="default" w:ascii="Times New Roman" w:hAnsi="Times New Roman" w:cs="Times New Roman"/>
                <w:sz w:val="21"/>
                <w:szCs w:val="21"/>
                <w:highlight w:val="none"/>
                <w:lang w:eastAsia="zh-CN"/>
              </w:rPr>
              <w:t>cm/s，且分布连续、稳定</w:t>
            </w:r>
          </w:p>
        </w:tc>
      </w:tr>
      <w:tr w14:paraId="03FD143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480" w:type="pct"/>
            <w:vMerge w:val="continue"/>
            <w:vAlign w:val="center"/>
          </w:tcPr>
          <w:p w14:paraId="0C88AF2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highlight w:val="none"/>
              </w:rPr>
            </w:pPr>
          </w:p>
        </w:tc>
        <w:tc>
          <w:tcPr>
            <w:tcW w:w="3611" w:type="pct"/>
            <w:gridSpan w:val="8"/>
            <w:vAlign w:val="center"/>
          </w:tcPr>
          <w:p w14:paraId="70B0E3B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地下水环境敏感程度E值</w:t>
            </w:r>
          </w:p>
        </w:tc>
        <w:tc>
          <w:tcPr>
            <w:tcW w:w="908" w:type="pct"/>
            <w:vAlign w:val="center"/>
          </w:tcPr>
          <w:p w14:paraId="6A6F0A1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sz w:val="21"/>
                <w:szCs w:val="21"/>
                <w:highlight w:val="none"/>
                <w:lang w:eastAsia="zh-CN"/>
              </w:rPr>
            </w:pPr>
            <w:r>
              <w:rPr>
                <w:rFonts w:hint="default" w:ascii="Times New Roman" w:hAnsi="Times New Roman" w:cs="Times New Roman"/>
                <w:sz w:val="21"/>
                <w:szCs w:val="21"/>
                <w:highlight w:val="none"/>
              </w:rPr>
              <w:t>E</w:t>
            </w:r>
            <w:r>
              <w:rPr>
                <w:rFonts w:hint="eastAsia" w:cs="Times New Roman"/>
                <w:sz w:val="21"/>
                <w:szCs w:val="21"/>
                <w:highlight w:val="none"/>
                <w:lang w:val="en-US" w:eastAsia="zh-CN"/>
              </w:rPr>
              <w:t>2</w:t>
            </w:r>
          </w:p>
        </w:tc>
      </w:tr>
    </w:tbl>
    <w:p w14:paraId="29451952">
      <w:pPr>
        <w:pStyle w:val="8"/>
        <w:numPr>
          <w:ilvl w:val="1"/>
          <w:numId w:val="1"/>
        </w:numPr>
        <w:tabs>
          <w:tab w:val="clear" w:pos="420"/>
        </w:tabs>
        <w:bidi w:val="0"/>
        <w:ind w:left="567" w:leftChars="0" w:hanging="567" w:firstLineChars="0"/>
        <w:rPr>
          <w:rFonts w:hint="eastAsia"/>
          <w:highlight w:val="none"/>
          <w:lang w:val="en-US" w:eastAsia="zh-CN"/>
        </w:rPr>
      </w:pPr>
      <w:bookmarkStart w:id="79" w:name="_Toc15862"/>
      <w:bookmarkStart w:id="80" w:name="_Toc15781"/>
      <w:r>
        <w:rPr>
          <w:rFonts w:hint="default"/>
          <w:highlight w:val="none"/>
          <w:lang w:val="en-US" w:eastAsia="zh-CN"/>
        </w:rPr>
        <w:t>环境风险潜势初判</w:t>
      </w:r>
      <w:bookmarkEnd w:id="79"/>
      <w:bookmarkEnd w:id="80"/>
    </w:p>
    <w:p w14:paraId="628E34F5">
      <w:pPr>
        <w:pStyle w:val="9"/>
        <w:numPr>
          <w:ilvl w:val="2"/>
          <w:numId w:val="1"/>
        </w:numPr>
        <w:bidi w:val="0"/>
        <w:ind w:left="709" w:leftChars="0" w:hanging="709" w:firstLineChars="0"/>
        <w:rPr>
          <w:rFonts w:hint="eastAsia"/>
          <w:highlight w:val="none"/>
          <w:lang w:val="en-US" w:eastAsia="zh-CN"/>
        </w:rPr>
      </w:pPr>
      <w:r>
        <w:rPr>
          <w:rFonts w:hint="eastAsia"/>
          <w:highlight w:val="none"/>
          <w:lang w:val="en-US" w:eastAsia="zh-CN"/>
        </w:rPr>
        <w:t>环境风险潜势划分</w:t>
      </w:r>
    </w:p>
    <w:p w14:paraId="5C069623">
      <w:pPr>
        <w:bidi w:val="0"/>
        <w:rPr>
          <w:rFonts w:hint="default"/>
          <w:highlight w:val="none"/>
          <w:lang w:val="en-US" w:eastAsia="zh-CN"/>
        </w:rPr>
      </w:pPr>
      <w:r>
        <w:rPr>
          <w:rFonts w:hint="default"/>
          <w:highlight w:val="none"/>
          <w:lang w:val="en-US" w:eastAsia="zh-CN"/>
        </w:rPr>
        <w:t>根据建设项目设计的物质和工艺系统的危险性及其所在地的环境敏感程度，结合事故情形下环境影响途径，对建设项目潜在环境危害程度进行概化分析，按照表</w:t>
      </w:r>
      <w:r>
        <w:rPr>
          <w:rFonts w:hint="eastAsia"/>
          <w:highlight w:val="none"/>
          <w:lang w:val="en-US" w:eastAsia="zh-CN"/>
        </w:rPr>
        <w:t>6.4</w:t>
      </w:r>
      <w:r>
        <w:rPr>
          <w:rFonts w:hint="default"/>
          <w:highlight w:val="none"/>
          <w:lang w:val="en-US" w:eastAsia="zh-CN"/>
        </w:rPr>
        <w:t>-1确定环境风险潜势。</w:t>
      </w:r>
    </w:p>
    <w:p w14:paraId="362452E0">
      <w:pPr>
        <w:bidi w:val="0"/>
        <w:ind w:left="0" w:leftChars="0" w:firstLine="0" w:firstLineChars="0"/>
        <w:jc w:val="center"/>
        <w:rPr>
          <w:rFonts w:hint="default"/>
          <w:b/>
          <w:bCs/>
          <w:sz w:val="21"/>
          <w:szCs w:val="21"/>
          <w:highlight w:val="none"/>
          <w:lang w:val="en-US" w:eastAsia="zh-CN"/>
        </w:rPr>
      </w:pPr>
      <w:r>
        <w:rPr>
          <w:rFonts w:hint="default"/>
          <w:b/>
          <w:bCs/>
          <w:sz w:val="21"/>
          <w:szCs w:val="21"/>
          <w:highlight w:val="none"/>
          <w:lang w:val="en-US" w:eastAsia="zh-CN"/>
        </w:rPr>
        <w:t>表</w:t>
      </w:r>
      <w:r>
        <w:rPr>
          <w:rFonts w:hint="eastAsia"/>
          <w:b/>
          <w:bCs/>
          <w:sz w:val="21"/>
          <w:szCs w:val="21"/>
          <w:highlight w:val="none"/>
          <w:lang w:val="en-US" w:eastAsia="zh-CN"/>
        </w:rPr>
        <w:t>6.3</w:t>
      </w:r>
      <w:r>
        <w:rPr>
          <w:rFonts w:hint="default"/>
          <w:b/>
          <w:bCs/>
          <w:sz w:val="21"/>
          <w:szCs w:val="21"/>
          <w:highlight w:val="none"/>
          <w:lang w:val="en-US" w:eastAsia="zh-CN"/>
        </w:rPr>
        <w:t>-1  建设项目环境风险潜势划分</w:t>
      </w:r>
    </w:p>
    <w:tbl>
      <w:tblPr>
        <w:tblStyle w:val="35"/>
        <w:tblW w:w="4999"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2341"/>
        <w:gridCol w:w="1735"/>
        <w:gridCol w:w="1735"/>
        <w:gridCol w:w="1735"/>
        <w:gridCol w:w="1740"/>
      </w:tblGrid>
      <w:tr w14:paraId="681EE9B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23" w:hRule="atLeast"/>
          <w:tblHeader/>
          <w:jc w:val="center"/>
        </w:trPr>
        <w:tc>
          <w:tcPr>
            <w:tcW w:w="1261" w:type="pct"/>
            <w:vMerge w:val="restart"/>
            <w:noWrap w:val="0"/>
            <w:vAlign w:val="center"/>
          </w:tcPr>
          <w:p w14:paraId="778F9CD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bCs/>
                <w:sz w:val="21"/>
                <w:szCs w:val="21"/>
                <w:highlight w:val="none"/>
                <w:lang w:val="en-US" w:eastAsia="zh-CN"/>
              </w:rPr>
            </w:pPr>
            <w:r>
              <w:rPr>
                <w:rFonts w:hint="default"/>
                <w:b/>
                <w:bCs/>
                <w:sz w:val="21"/>
                <w:szCs w:val="21"/>
                <w:highlight w:val="none"/>
                <w:lang w:val="en-US" w:eastAsia="zh-CN"/>
              </w:rPr>
              <w:t>环境敏感程度（E）</w:t>
            </w:r>
          </w:p>
        </w:tc>
        <w:tc>
          <w:tcPr>
            <w:tcW w:w="3738" w:type="pct"/>
            <w:gridSpan w:val="4"/>
            <w:noWrap w:val="0"/>
            <w:vAlign w:val="center"/>
          </w:tcPr>
          <w:p w14:paraId="7B0BC56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bCs/>
                <w:sz w:val="21"/>
                <w:szCs w:val="21"/>
                <w:highlight w:val="none"/>
                <w:lang w:val="en-US" w:eastAsia="zh-CN"/>
              </w:rPr>
            </w:pPr>
            <w:r>
              <w:rPr>
                <w:rFonts w:hint="default"/>
                <w:b/>
                <w:bCs/>
                <w:sz w:val="21"/>
                <w:szCs w:val="21"/>
                <w:highlight w:val="none"/>
                <w:lang w:val="en-US" w:eastAsia="zh-CN"/>
              </w:rPr>
              <w:t>危险物质及工艺系统危险性（P）</w:t>
            </w:r>
          </w:p>
        </w:tc>
      </w:tr>
      <w:tr w14:paraId="4D60ADE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1261" w:type="pct"/>
            <w:vMerge w:val="continue"/>
            <w:noWrap w:val="0"/>
            <w:vAlign w:val="center"/>
          </w:tcPr>
          <w:p w14:paraId="14EBBA6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bCs/>
                <w:sz w:val="21"/>
                <w:szCs w:val="21"/>
                <w:highlight w:val="none"/>
                <w:lang w:val="en-US" w:eastAsia="zh-CN"/>
              </w:rPr>
            </w:pPr>
          </w:p>
        </w:tc>
        <w:tc>
          <w:tcPr>
            <w:tcW w:w="934" w:type="pct"/>
            <w:noWrap w:val="0"/>
            <w:vAlign w:val="center"/>
          </w:tcPr>
          <w:p w14:paraId="29CA714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bCs/>
                <w:sz w:val="21"/>
                <w:szCs w:val="21"/>
                <w:highlight w:val="none"/>
                <w:lang w:val="en-US" w:eastAsia="zh-CN"/>
              </w:rPr>
            </w:pPr>
            <w:r>
              <w:rPr>
                <w:rFonts w:hint="default"/>
                <w:b/>
                <w:bCs/>
                <w:sz w:val="21"/>
                <w:szCs w:val="21"/>
                <w:highlight w:val="none"/>
                <w:lang w:val="en-US" w:eastAsia="zh-CN"/>
              </w:rPr>
              <w:t>极高危害（P1）</w:t>
            </w:r>
          </w:p>
        </w:tc>
        <w:tc>
          <w:tcPr>
            <w:tcW w:w="934" w:type="pct"/>
            <w:noWrap w:val="0"/>
            <w:vAlign w:val="center"/>
          </w:tcPr>
          <w:p w14:paraId="7834953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bCs/>
                <w:sz w:val="21"/>
                <w:szCs w:val="21"/>
                <w:highlight w:val="none"/>
                <w:lang w:val="en-US" w:eastAsia="zh-CN"/>
              </w:rPr>
            </w:pPr>
            <w:r>
              <w:rPr>
                <w:rFonts w:hint="default"/>
                <w:b/>
                <w:bCs/>
                <w:sz w:val="21"/>
                <w:szCs w:val="21"/>
                <w:highlight w:val="none"/>
                <w:lang w:val="en-US" w:eastAsia="zh-CN"/>
              </w:rPr>
              <w:t>高度危害（P2）</w:t>
            </w:r>
          </w:p>
        </w:tc>
        <w:tc>
          <w:tcPr>
            <w:tcW w:w="934" w:type="pct"/>
            <w:noWrap w:val="0"/>
            <w:vAlign w:val="center"/>
          </w:tcPr>
          <w:p w14:paraId="2AD7449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bCs/>
                <w:sz w:val="21"/>
                <w:szCs w:val="21"/>
                <w:highlight w:val="none"/>
                <w:lang w:val="en-US" w:eastAsia="zh-CN"/>
              </w:rPr>
            </w:pPr>
            <w:r>
              <w:rPr>
                <w:rFonts w:hint="default"/>
                <w:b/>
                <w:bCs/>
                <w:sz w:val="21"/>
                <w:szCs w:val="21"/>
                <w:highlight w:val="none"/>
                <w:lang w:val="en-US" w:eastAsia="zh-CN"/>
              </w:rPr>
              <w:t>中度危害（P3）</w:t>
            </w:r>
          </w:p>
        </w:tc>
        <w:tc>
          <w:tcPr>
            <w:tcW w:w="936" w:type="pct"/>
            <w:noWrap w:val="0"/>
            <w:vAlign w:val="center"/>
          </w:tcPr>
          <w:p w14:paraId="0C0CE7F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bCs/>
                <w:sz w:val="21"/>
                <w:szCs w:val="21"/>
                <w:highlight w:val="none"/>
                <w:lang w:val="en-US" w:eastAsia="zh-CN"/>
              </w:rPr>
            </w:pPr>
            <w:r>
              <w:rPr>
                <w:rFonts w:hint="default"/>
                <w:b/>
                <w:bCs/>
                <w:sz w:val="21"/>
                <w:szCs w:val="21"/>
                <w:highlight w:val="none"/>
                <w:lang w:val="en-US" w:eastAsia="zh-CN"/>
              </w:rPr>
              <w:t>轻度危害（P4）</w:t>
            </w:r>
          </w:p>
        </w:tc>
      </w:tr>
      <w:tr w14:paraId="5CB63D5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61" w:type="pct"/>
            <w:noWrap w:val="0"/>
            <w:vAlign w:val="center"/>
          </w:tcPr>
          <w:p w14:paraId="5CFA7C9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lang w:val="en-US" w:eastAsia="zh-CN"/>
              </w:rPr>
            </w:pPr>
            <w:r>
              <w:rPr>
                <w:rFonts w:hint="default"/>
                <w:sz w:val="21"/>
                <w:szCs w:val="21"/>
                <w:highlight w:val="none"/>
                <w:lang w:val="en-US" w:eastAsia="zh-CN"/>
              </w:rPr>
              <w:t>环境高度敏感区（E1）</w:t>
            </w:r>
          </w:p>
        </w:tc>
        <w:tc>
          <w:tcPr>
            <w:tcW w:w="934" w:type="pct"/>
            <w:noWrap w:val="0"/>
            <w:vAlign w:val="center"/>
          </w:tcPr>
          <w:p w14:paraId="2627914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lang w:val="en-US" w:eastAsia="zh-CN"/>
              </w:rPr>
            </w:pPr>
            <w:r>
              <w:rPr>
                <w:rFonts w:hint="default"/>
                <w:sz w:val="21"/>
                <w:szCs w:val="21"/>
                <w:highlight w:val="none"/>
                <w:lang w:val="en-US" w:eastAsia="zh-CN"/>
              </w:rPr>
              <w:t>IV</w:t>
            </w:r>
            <w:r>
              <w:rPr>
                <w:rFonts w:hint="default"/>
                <w:sz w:val="21"/>
                <w:szCs w:val="21"/>
                <w:highlight w:val="none"/>
                <w:vertAlign w:val="superscript"/>
                <w:lang w:val="en-US" w:eastAsia="zh-CN"/>
              </w:rPr>
              <w:t>+</w:t>
            </w:r>
          </w:p>
        </w:tc>
        <w:tc>
          <w:tcPr>
            <w:tcW w:w="934" w:type="pct"/>
            <w:noWrap w:val="0"/>
            <w:vAlign w:val="center"/>
          </w:tcPr>
          <w:p w14:paraId="6F661D1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lang w:val="en-US" w:eastAsia="zh-CN"/>
              </w:rPr>
            </w:pPr>
            <w:r>
              <w:rPr>
                <w:rFonts w:hint="default"/>
                <w:sz w:val="21"/>
                <w:szCs w:val="21"/>
                <w:highlight w:val="none"/>
                <w:lang w:val="en-US" w:eastAsia="zh-CN"/>
              </w:rPr>
              <w:t>IV</w:t>
            </w:r>
          </w:p>
        </w:tc>
        <w:tc>
          <w:tcPr>
            <w:tcW w:w="934" w:type="pct"/>
            <w:noWrap w:val="0"/>
            <w:vAlign w:val="center"/>
          </w:tcPr>
          <w:p w14:paraId="10182D3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lang w:val="en-US" w:eastAsia="zh-CN"/>
              </w:rPr>
            </w:pPr>
            <w:r>
              <w:rPr>
                <w:rFonts w:hint="default"/>
                <w:sz w:val="21"/>
                <w:szCs w:val="21"/>
                <w:highlight w:val="none"/>
                <w:lang w:val="en-US" w:eastAsia="zh-CN"/>
              </w:rPr>
              <w:t>Ⅲ</w:t>
            </w:r>
          </w:p>
        </w:tc>
        <w:tc>
          <w:tcPr>
            <w:tcW w:w="936" w:type="pct"/>
            <w:noWrap w:val="0"/>
            <w:vAlign w:val="center"/>
          </w:tcPr>
          <w:p w14:paraId="721644D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lang w:val="en-US" w:eastAsia="zh-CN"/>
              </w:rPr>
            </w:pPr>
            <w:r>
              <w:rPr>
                <w:rFonts w:hint="default"/>
                <w:sz w:val="21"/>
                <w:szCs w:val="21"/>
                <w:highlight w:val="none"/>
                <w:lang w:val="en-US" w:eastAsia="zh-CN"/>
              </w:rPr>
              <w:t>Ⅲ</w:t>
            </w:r>
          </w:p>
        </w:tc>
      </w:tr>
      <w:tr w14:paraId="05094BB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61" w:type="pct"/>
            <w:noWrap w:val="0"/>
            <w:vAlign w:val="center"/>
          </w:tcPr>
          <w:p w14:paraId="445B873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lang w:val="en-US" w:eastAsia="zh-CN"/>
              </w:rPr>
            </w:pPr>
            <w:r>
              <w:rPr>
                <w:rFonts w:hint="default"/>
                <w:sz w:val="21"/>
                <w:szCs w:val="21"/>
                <w:highlight w:val="none"/>
                <w:lang w:val="en-US" w:eastAsia="zh-CN"/>
              </w:rPr>
              <w:t>环境中度敏感区（E2）</w:t>
            </w:r>
          </w:p>
        </w:tc>
        <w:tc>
          <w:tcPr>
            <w:tcW w:w="934" w:type="pct"/>
            <w:noWrap w:val="0"/>
            <w:vAlign w:val="center"/>
          </w:tcPr>
          <w:p w14:paraId="2922932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lang w:val="en-US" w:eastAsia="zh-CN"/>
              </w:rPr>
            </w:pPr>
            <w:r>
              <w:rPr>
                <w:rFonts w:hint="default"/>
                <w:sz w:val="21"/>
                <w:szCs w:val="21"/>
                <w:highlight w:val="none"/>
                <w:lang w:val="en-US" w:eastAsia="zh-CN"/>
              </w:rPr>
              <w:t>IV</w:t>
            </w:r>
          </w:p>
        </w:tc>
        <w:tc>
          <w:tcPr>
            <w:tcW w:w="934" w:type="pct"/>
            <w:noWrap w:val="0"/>
            <w:vAlign w:val="center"/>
          </w:tcPr>
          <w:p w14:paraId="39B304F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lang w:val="en-US" w:eastAsia="zh-CN"/>
              </w:rPr>
            </w:pPr>
            <w:r>
              <w:rPr>
                <w:rFonts w:hint="default"/>
                <w:sz w:val="21"/>
                <w:szCs w:val="21"/>
                <w:highlight w:val="none"/>
                <w:lang w:val="en-US" w:eastAsia="zh-CN"/>
              </w:rPr>
              <w:t>Ⅲ</w:t>
            </w:r>
          </w:p>
        </w:tc>
        <w:tc>
          <w:tcPr>
            <w:tcW w:w="934" w:type="pct"/>
            <w:noWrap w:val="0"/>
            <w:vAlign w:val="center"/>
          </w:tcPr>
          <w:p w14:paraId="327056D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lang w:val="en-US" w:eastAsia="zh-CN"/>
              </w:rPr>
            </w:pPr>
            <w:r>
              <w:rPr>
                <w:rFonts w:hint="default"/>
                <w:sz w:val="21"/>
                <w:szCs w:val="21"/>
                <w:highlight w:val="none"/>
                <w:lang w:val="en-US" w:eastAsia="zh-CN"/>
              </w:rPr>
              <w:t>Ⅲ</w:t>
            </w:r>
          </w:p>
        </w:tc>
        <w:tc>
          <w:tcPr>
            <w:tcW w:w="936" w:type="pct"/>
            <w:noWrap w:val="0"/>
            <w:vAlign w:val="center"/>
          </w:tcPr>
          <w:p w14:paraId="1EEF207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lang w:val="en-US" w:eastAsia="zh-CN"/>
              </w:rPr>
            </w:pPr>
            <w:r>
              <w:rPr>
                <w:rFonts w:hint="default"/>
                <w:sz w:val="21"/>
                <w:szCs w:val="21"/>
                <w:highlight w:val="none"/>
                <w:lang w:val="en-US" w:eastAsia="zh-CN"/>
              </w:rPr>
              <w:t>Ⅱ</w:t>
            </w:r>
          </w:p>
        </w:tc>
      </w:tr>
      <w:tr w14:paraId="5C809CD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61" w:type="pct"/>
            <w:noWrap w:val="0"/>
            <w:vAlign w:val="center"/>
          </w:tcPr>
          <w:p w14:paraId="5E4686C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lang w:val="en-US" w:eastAsia="zh-CN"/>
              </w:rPr>
            </w:pPr>
            <w:r>
              <w:rPr>
                <w:rFonts w:hint="default"/>
                <w:sz w:val="21"/>
                <w:szCs w:val="21"/>
                <w:highlight w:val="none"/>
                <w:lang w:val="en-US" w:eastAsia="zh-CN"/>
              </w:rPr>
              <w:t>环境低度敏感区（E3）</w:t>
            </w:r>
          </w:p>
        </w:tc>
        <w:tc>
          <w:tcPr>
            <w:tcW w:w="934" w:type="pct"/>
            <w:noWrap w:val="0"/>
            <w:vAlign w:val="center"/>
          </w:tcPr>
          <w:p w14:paraId="3F4EAAD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lang w:val="en-US" w:eastAsia="zh-CN"/>
              </w:rPr>
            </w:pPr>
            <w:r>
              <w:rPr>
                <w:rFonts w:hint="default"/>
                <w:sz w:val="21"/>
                <w:szCs w:val="21"/>
                <w:highlight w:val="none"/>
                <w:lang w:val="en-US" w:eastAsia="zh-CN"/>
              </w:rPr>
              <w:t>Ⅲ</w:t>
            </w:r>
          </w:p>
        </w:tc>
        <w:tc>
          <w:tcPr>
            <w:tcW w:w="934" w:type="pct"/>
            <w:noWrap w:val="0"/>
            <w:vAlign w:val="center"/>
          </w:tcPr>
          <w:p w14:paraId="7777879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lang w:val="en-US" w:eastAsia="zh-CN"/>
              </w:rPr>
            </w:pPr>
            <w:r>
              <w:rPr>
                <w:rFonts w:hint="default"/>
                <w:sz w:val="21"/>
                <w:szCs w:val="21"/>
                <w:highlight w:val="none"/>
                <w:lang w:val="en-US" w:eastAsia="zh-CN"/>
              </w:rPr>
              <w:t>Ⅲ</w:t>
            </w:r>
          </w:p>
        </w:tc>
        <w:tc>
          <w:tcPr>
            <w:tcW w:w="934" w:type="pct"/>
            <w:noWrap w:val="0"/>
            <w:vAlign w:val="center"/>
          </w:tcPr>
          <w:p w14:paraId="3086645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lang w:val="en-US" w:eastAsia="zh-CN"/>
              </w:rPr>
            </w:pPr>
            <w:r>
              <w:rPr>
                <w:rFonts w:hint="default"/>
                <w:sz w:val="21"/>
                <w:szCs w:val="21"/>
                <w:highlight w:val="none"/>
                <w:lang w:val="en-US" w:eastAsia="zh-CN"/>
              </w:rPr>
              <w:t>Ⅱ</w:t>
            </w:r>
          </w:p>
        </w:tc>
        <w:tc>
          <w:tcPr>
            <w:tcW w:w="936" w:type="pct"/>
            <w:noWrap w:val="0"/>
            <w:vAlign w:val="center"/>
          </w:tcPr>
          <w:p w14:paraId="310FB93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lang w:val="en-US" w:eastAsia="zh-CN"/>
              </w:rPr>
            </w:pPr>
            <w:r>
              <w:rPr>
                <w:rFonts w:hint="default"/>
                <w:sz w:val="21"/>
                <w:szCs w:val="21"/>
                <w:highlight w:val="none"/>
                <w:lang w:val="en-US" w:eastAsia="zh-CN"/>
              </w:rPr>
              <w:t>Ⅰ</w:t>
            </w:r>
          </w:p>
        </w:tc>
      </w:tr>
      <w:tr w14:paraId="7DECDB2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000" w:type="pct"/>
            <w:gridSpan w:val="5"/>
            <w:noWrap w:val="0"/>
            <w:vAlign w:val="center"/>
          </w:tcPr>
          <w:p w14:paraId="2124614A">
            <w:pPr>
              <w:keepNext w:val="0"/>
              <w:keepLines w:val="0"/>
              <w:pageBreakBefore w:val="0"/>
              <w:widowControl w:val="0"/>
              <w:kinsoku/>
              <w:wordWrap/>
              <w:overflowPunct/>
              <w:topLinePunct w:val="0"/>
              <w:autoSpaceDE/>
              <w:autoSpaceDN/>
              <w:bidi w:val="0"/>
              <w:adjustRightInd/>
              <w:snapToGrid/>
              <w:spacing w:line="360" w:lineRule="auto"/>
              <w:ind w:firstLine="0" w:firstLineChars="0"/>
              <w:jc w:val="both"/>
              <w:textAlignment w:val="auto"/>
              <w:rPr>
                <w:rFonts w:hint="default"/>
                <w:b/>
                <w:bCs/>
                <w:sz w:val="21"/>
                <w:szCs w:val="21"/>
                <w:highlight w:val="none"/>
                <w:lang w:val="en-US" w:eastAsia="zh-CN"/>
              </w:rPr>
            </w:pPr>
            <w:r>
              <w:rPr>
                <w:rFonts w:hint="default"/>
                <w:b/>
                <w:bCs/>
                <w:sz w:val="21"/>
                <w:szCs w:val="21"/>
                <w:highlight w:val="none"/>
                <w:lang w:val="en-US" w:eastAsia="zh-CN"/>
              </w:rPr>
              <w:t>注：IV</w:t>
            </w:r>
            <w:r>
              <w:rPr>
                <w:rFonts w:hint="default"/>
                <w:b/>
                <w:bCs/>
                <w:sz w:val="21"/>
                <w:szCs w:val="21"/>
                <w:highlight w:val="none"/>
                <w:vertAlign w:val="superscript"/>
                <w:lang w:val="en-US" w:eastAsia="zh-CN"/>
              </w:rPr>
              <w:t>+</w:t>
            </w:r>
            <w:r>
              <w:rPr>
                <w:rFonts w:hint="default"/>
                <w:b/>
                <w:bCs/>
                <w:sz w:val="21"/>
                <w:szCs w:val="21"/>
                <w:highlight w:val="none"/>
                <w:lang w:val="en-US" w:eastAsia="zh-CN"/>
              </w:rPr>
              <w:t>为极高环境风险</w:t>
            </w:r>
            <w:r>
              <w:rPr>
                <w:rFonts w:hint="eastAsia"/>
                <w:b/>
                <w:bCs/>
                <w:sz w:val="21"/>
                <w:szCs w:val="21"/>
                <w:highlight w:val="none"/>
                <w:lang w:val="en-US" w:eastAsia="zh-CN"/>
              </w:rPr>
              <w:t>。</w:t>
            </w:r>
          </w:p>
        </w:tc>
      </w:tr>
    </w:tbl>
    <w:p w14:paraId="15F7D3A6">
      <w:pPr>
        <w:pStyle w:val="9"/>
        <w:numPr>
          <w:ilvl w:val="2"/>
          <w:numId w:val="1"/>
        </w:numPr>
        <w:bidi w:val="0"/>
        <w:ind w:left="709" w:leftChars="0" w:hanging="709" w:firstLineChars="0"/>
        <w:rPr>
          <w:rFonts w:hint="default"/>
          <w:highlight w:val="none"/>
          <w:lang w:val="en-US" w:eastAsia="zh-CN"/>
        </w:rPr>
      </w:pPr>
      <w:r>
        <w:rPr>
          <w:rFonts w:hint="default"/>
          <w:highlight w:val="none"/>
          <w:lang w:val="en-US" w:eastAsia="zh-CN"/>
        </w:rPr>
        <w:t>危险物质及工艺系统危险性（P）的分级确定</w:t>
      </w:r>
    </w:p>
    <w:p w14:paraId="6A3CB609">
      <w:pPr>
        <w:bidi w:val="0"/>
        <w:rPr>
          <w:rFonts w:hint="default"/>
          <w:highlight w:val="yellow"/>
          <w:lang w:val="en-US" w:eastAsia="zh-CN"/>
        </w:rPr>
      </w:pPr>
      <w:r>
        <w:rPr>
          <w:rFonts w:hint="default"/>
          <w:highlight w:val="none"/>
          <w:lang w:val="en-US" w:eastAsia="zh-CN"/>
        </w:rPr>
        <w:t>分析建设项目生产、使用、储存过程中涉及的有毒有害、易燃易爆物质，参照《建设项目环境风险评价技术导则》</w:t>
      </w:r>
      <w:r>
        <w:rPr>
          <w:rFonts w:hint="eastAsia"/>
          <w:highlight w:val="none"/>
          <w:lang w:val="en-US" w:eastAsia="zh-CN"/>
        </w:rPr>
        <w:t>（</w:t>
      </w:r>
      <w:r>
        <w:rPr>
          <w:rFonts w:hint="default"/>
          <w:highlight w:val="none"/>
          <w:lang w:val="en-US" w:eastAsia="zh-CN"/>
        </w:rPr>
        <w:t>HJ169</w:t>
      </w:r>
      <w:r>
        <w:rPr>
          <w:rFonts w:hint="eastAsia"/>
          <w:highlight w:val="none"/>
          <w:lang w:val="en-US" w:eastAsia="zh-CN"/>
        </w:rPr>
        <w:t>-</w:t>
      </w:r>
      <w:r>
        <w:rPr>
          <w:rFonts w:hint="default"/>
          <w:highlight w:val="none"/>
          <w:lang w:val="en-US" w:eastAsia="zh-CN"/>
        </w:rPr>
        <w:t>2018</w:t>
      </w:r>
      <w:r>
        <w:rPr>
          <w:rFonts w:hint="eastAsia"/>
          <w:highlight w:val="none"/>
          <w:lang w:val="en-US" w:eastAsia="zh-CN"/>
        </w:rPr>
        <w:t>）</w:t>
      </w:r>
      <w:r>
        <w:rPr>
          <w:rFonts w:hint="default"/>
          <w:highlight w:val="none"/>
          <w:lang w:val="en-US" w:eastAsia="zh-CN"/>
        </w:rPr>
        <w:t>附录B确定危险物质的临界量。定量分析危险物质数量与临界量的比值（Q）和所属行业及生产工艺特点（M），按《建设项目环境风险评价技术导则》</w:t>
      </w:r>
      <w:r>
        <w:rPr>
          <w:rFonts w:hint="eastAsia"/>
          <w:highlight w:val="none"/>
          <w:lang w:val="en-US" w:eastAsia="zh-CN"/>
        </w:rPr>
        <w:t>（</w:t>
      </w:r>
      <w:r>
        <w:rPr>
          <w:rFonts w:hint="default"/>
          <w:highlight w:val="none"/>
          <w:lang w:val="en-US" w:eastAsia="zh-CN"/>
        </w:rPr>
        <w:t>HJ169</w:t>
      </w:r>
      <w:r>
        <w:rPr>
          <w:rFonts w:hint="eastAsia"/>
          <w:highlight w:val="none"/>
          <w:lang w:val="en-US" w:eastAsia="zh-CN"/>
        </w:rPr>
        <w:t>-</w:t>
      </w:r>
      <w:r>
        <w:rPr>
          <w:rFonts w:hint="default"/>
          <w:highlight w:val="none"/>
          <w:lang w:val="en-US" w:eastAsia="zh-CN"/>
        </w:rPr>
        <w:t>2018</w:t>
      </w:r>
      <w:r>
        <w:rPr>
          <w:rFonts w:hint="eastAsia"/>
          <w:highlight w:val="none"/>
          <w:lang w:val="en-US" w:eastAsia="zh-CN"/>
        </w:rPr>
        <w:t>）</w:t>
      </w:r>
      <w:r>
        <w:rPr>
          <w:rFonts w:hint="default"/>
          <w:highlight w:val="none"/>
          <w:lang w:val="en-US" w:eastAsia="zh-CN"/>
        </w:rPr>
        <w:t>附录C对危险物质及工艺系统危险性（P）等级进行判断。</w:t>
      </w:r>
    </w:p>
    <w:p w14:paraId="1C6FA0A7">
      <w:pPr>
        <w:pStyle w:val="10"/>
        <w:numPr>
          <w:ilvl w:val="3"/>
          <w:numId w:val="1"/>
        </w:numPr>
        <w:bidi w:val="0"/>
        <w:ind w:left="850" w:leftChars="0" w:hanging="850" w:firstLineChars="0"/>
        <w:rPr>
          <w:rFonts w:hint="default"/>
          <w:highlight w:val="none"/>
          <w:lang w:val="en-US" w:eastAsia="zh-CN"/>
        </w:rPr>
      </w:pPr>
      <w:r>
        <w:rPr>
          <w:rFonts w:hint="default"/>
          <w:highlight w:val="none"/>
          <w:lang w:val="en-US" w:eastAsia="zh-CN"/>
        </w:rPr>
        <w:t>危险物质数量与临界量比值（Q）</w:t>
      </w:r>
    </w:p>
    <w:p w14:paraId="7CDC39DF">
      <w:pPr>
        <w:bidi w:val="0"/>
        <w:rPr>
          <w:rFonts w:hint="default"/>
          <w:highlight w:val="none"/>
          <w:lang w:val="en-US" w:eastAsia="zh-CN"/>
        </w:rPr>
      </w:pPr>
      <w:r>
        <w:rPr>
          <w:rFonts w:hint="default"/>
          <w:highlight w:val="none"/>
          <w:lang w:val="en-US" w:eastAsia="zh-CN"/>
        </w:rPr>
        <w:t>根据《建设项目环境风险评价技术导则》（HJ169-2018）附表B和附录C突发环境事件风险物质及临界量表，根据本项目环境风险物质最大存在总量（以折纯计）与其对应的临界量，计算（Q），计算公式如下：</w:t>
      </w:r>
    </w:p>
    <w:p w14:paraId="47EC2333">
      <w:pPr>
        <w:bidi w:val="0"/>
        <w:ind w:left="0" w:leftChars="0" w:firstLine="0" w:firstLineChars="0"/>
        <w:jc w:val="center"/>
        <w:rPr>
          <w:rFonts w:hint="default"/>
          <w:highlight w:val="none"/>
          <w:lang w:val="en-US" w:eastAsia="zh-CN"/>
        </w:rPr>
      </w:pPr>
      <w:r>
        <w:rPr>
          <w:rFonts w:hint="default"/>
          <w:highlight w:val="none"/>
          <w:lang w:val="en-US" w:eastAsia="zh-CN"/>
        </w:rPr>
        <w:object>
          <v:shape id="_x0000_i1043" o:spt="75" type="#_x0000_t75" style="height:35.25pt;width:110.25pt;" o:ole="t" filled="f" o:preferrelative="t" stroked="f" coordsize="21600,21600">
            <v:path/>
            <v:fill on="f" focussize="0,0"/>
            <v:stroke on="f" joinstyle="miter"/>
            <v:imagedata r:id="rId80" o:title=""/>
            <o:lock v:ext="edit" aspectratio="t"/>
            <w10:wrap type="none"/>
            <w10:anchorlock/>
          </v:shape>
          <o:OLEObject Type="Embed" ProgID="Equation.DSMT4" ShapeID="_x0000_i1043" DrawAspect="Content" ObjectID="_1468075739" r:id="rId79">
            <o:LockedField>false</o:LockedField>
          </o:OLEObject>
        </w:object>
      </w:r>
    </w:p>
    <w:p w14:paraId="2877FA82">
      <w:pPr>
        <w:bidi w:val="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式中：q</w:t>
      </w:r>
      <w:r>
        <w:rPr>
          <w:rFonts w:hint="default" w:ascii="Times New Roman" w:hAnsi="Times New Roman" w:cs="Times New Roman"/>
          <w:highlight w:val="none"/>
          <w:vertAlign w:val="subscript"/>
          <w:lang w:val="en-US" w:eastAsia="zh-CN"/>
        </w:rPr>
        <w:t>1</w:t>
      </w:r>
      <w:r>
        <w:rPr>
          <w:rFonts w:hint="default" w:ascii="Times New Roman" w:hAnsi="Times New Roman" w:cs="Times New Roman"/>
          <w:highlight w:val="none"/>
          <w:lang w:val="en-US" w:eastAsia="zh-CN"/>
        </w:rPr>
        <w:t>、q</w:t>
      </w:r>
      <w:r>
        <w:rPr>
          <w:rFonts w:hint="default" w:ascii="Times New Roman" w:hAnsi="Times New Roman" w:cs="Times New Roman"/>
          <w:highlight w:val="none"/>
          <w:vertAlign w:val="subscript"/>
          <w:lang w:val="en-US" w:eastAsia="zh-CN"/>
        </w:rPr>
        <w:t>2</w:t>
      </w:r>
      <w:r>
        <w:rPr>
          <w:rFonts w:hint="default" w:ascii="Times New Roman" w:hAnsi="Times New Roman" w:cs="Times New Roman"/>
          <w:highlight w:val="none"/>
          <w:lang w:val="en-US" w:eastAsia="zh-CN"/>
        </w:rPr>
        <w:t>、</w:t>
      </w:r>
      <w:r>
        <w:rPr>
          <w:rFonts w:hint="eastAsia" w:ascii="Times New Roman" w:hAnsi="Times New Roman" w:cs="Times New Roman"/>
          <w:highlight w:val="none"/>
          <w:lang w:val="en-US" w:eastAsia="zh-CN"/>
        </w:rPr>
        <w:t>...</w:t>
      </w:r>
      <w:r>
        <w:rPr>
          <w:rFonts w:hint="default" w:ascii="Times New Roman" w:hAnsi="Times New Roman" w:cs="Times New Roman"/>
          <w:highlight w:val="none"/>
          <w:lang w:val="en-US" w:eastAsia="zh-CN"/>
        </w:rPr>
        <w:t>q</w:t>
      </w:r>
      <w:r>
        <w:rPr>
          <w:rFonts w:hint="default" w:ascii="Times New Roman" w:hAnsi="Times New Roman" w:cs="Times New Roman"/>
          <w:highlight w:val="none"/>
          <w:vertAlign w:val="subscript"/>
          <w:lang w:val="en-US" w:eastAsia="zh-CN"/>
        </w:rPr>
        <w:t>n</w:t>
      </w:r>
      <w:r>
        <w:rPr>
          <w:rFonts w:hint="default" w:ascii="Times New Roman" w:hAnsi="Times New Roman" w:cs="Times New Roman"/>
          <w:highlight w:val="none"/>
          <w:lang w:val="en-US" w:eastAsia="zh-CN"/>
        </w:rPr>
        <w:t>——每种环境风险物质的最大存在总量，t；</w:t>
      </w:r>
    </w:p>
    <w:p w14:paraId="4716C477">
      <w:pPr>
        <w:bidi w:val="0"/>
        <w:ind w:firstLine="1200" w:firstLineChars="500"/>
        <w:rPr>
          <w:rFonts w:hint="default"/>
          <w:highlight w:val="none"/>
          <w:lang w:val="en-US" w:eastAsia="zh-CN"/>
        </w:rPr>
      </w:pPr>
      <w:r>
        <w:rPr>
          <w:rFonts w:hint="default"/>
          <w:highlight w:val="none"/>
          <w:lang w:val="en-US" w:eastAsia="zh-CN"/>
        </w:rPr>
        <w:t>Q</w:t>
      </w:r>
      <w:r>
        <w:rPr>
          <w:rFonts w:hint="default"/>
          <w:highlight w:val="none"/>
          <w:vertAlign w:val="subscript"/>
          <w:lang w:val="en-US" w:eastAsia="zh-CN"/>
        </w:rPr>
        <w:t>1</w:t>
      </w:r>
      <w:r>
        <w:rPr>
          <w:rFonts w:hint="default"/>
          <w:highlight w:val="none"/>
          <w:lang w:val="en-US" w:eastAsia="zh-CN"/>
        </w:rPr>
        <w:t>、Q</w:t>
      </w:r>
      <w:r>
        <w:rPr>
          <w:rFonts w:hint="default"/>
          <w:highlight w:val="none"/>
          <w:vertAlign w:val="subscript"/>
          <w:lang w:val="en-US" w:eastAsia="zh-CN"/>
        </w:rPr>
        <w:t>2</w:t>
      </w:r>
      <w:r>
        <w:rPr>
          <w:rFonts w:hint="default"/>
          <w:highlight w:val="none"/>
          <w:lang w:val="en-US" w:eastAsia="zh-CN"/>
        </w:rPr>
        <w:t>、</w:t>
      </w:r>
      <w:r>
        <w:rPr>
          <w:rFonts w:hint="eastAsia"/>
          <w:highlight w:val="none"/>
          <w:lang w:val="en-US" w:eastAsia="zh-CN"/>
        </w:rPr>
        <w:t>...</w:t>
      </w:r>
      <w:r>
        <w:rPr>
          <w:rFonts w:hint="default"/>
          <w:highlight w:val="none"/>
          <w:lang w:val="en-US" w:eastAsia="zh-CN"/>
        </w:rPr>
        <w:t>Q</w:t>
      </w:r>
      <w:r>
        <w:rPr>
          <w:rFonts w:hint="default"/>
          <w:highlight w:val="none"/>
          <w:vertAlign w:val="subscript"/>
          <w:lang w:val="en-US" w:eastAsia="zh-CN"/>
        </w:rPr>
        <w:t>n</w:t>
      </w:r>
      <w:r>
        <w:rPr>
          <w:rFonts w:hint="default"/>
          <w:highlight w:val="none"/>
          <w:lang w:val="en-US" w:eastAsia="zh-CN"/>
        </w:rPr>
        <w:t>——每种环境风险物质相对应的临界量，t。</w:t>
      </w:r>
    </w:p>
    <w:p w14:paraId="704C104C">
      <w:pPr>
        <w:bidi w:val="0"/>
        <w:rPr>
          <w:rFonts w:hint="default" w:ascii="Times New Roman" w:hAnsi="Times New Roman" w:cs="Times New Roman"/>
          <w:highlight w:val="yellow"/>
          <w:lang w:val="en-US" w:eastAsia="zh-CN"/>
        </w:rPr>
      </w:pPr>
      <w:r>
        <w:rPr>
          <w:rFonts w:hint="default" w:ascii="Times New Roman" w:hAnsi="Times New Roman" w:cs="Times New Roman"/>
          <w:highlight w:val="none"/>
          <w:lang w:val="en-US" w:eastAsia="zh-CN"/>
        </w:rPr>
        <w:t>计算出Q值后，将Q值划分为4级，分别为Q&lt;1，该项目环境风险潜势为Ⅰ；当Q≥1有三种情况，1≤Q&lt;10；10≤Q&lt;100；Q≥100）。</w:t>
      </w:r>
    </w:p>
    <w:p w14:paraId="698BFA58">
      <w:pPr>
        <w:bidi w:val="0"/>
        <w:ind w:left="0" w:leftChars="0" w:firstLine="0" w:firstLineChars="0"/>
        <w:jc w:val="center"/>
        <w:rPr>
          <w:rFonts w:hint="default"/>
          <w:b/>
          <w:bCs/>
          <w:sz w:val="21"/>
          <w:szCs w:val="21"/>
          <w:highlight w:val="none"/>
          <w:lang w:val="en-US" w:eastAsia="zh-CN"/>
        </w:rPr>
      </w:pPr>
      <w:r>
        <w:rPr>
          <w:rFonts w:hint="default"/>
          <w:b/>
          <w:bCs/>
          <w:sz w:val="21"/>
          <w:szCs w:val="21"/>
          <w:highlight w:val="none"/>
          <w:lang w:val="en-US" w:eastAsia="zh-CN"/>
        </w:rPr>
        <w:t>表</w:t>
      </w:r>
      <w:r>
        <w:rPr>
          <w:rFonts w:hint="eastAsia"/>
          <w:b/>
          <w:bCs/>
          <w:sz w:val="21"/>
          <w:szCs w:val="21"/>
          <w:highlight w:val="none"/>
          <w:lang w:val="en-US" w:eastAsia="zh-CN"/>
        </w:rPr>
        <w:t>6.3</w:t>
      </w:r>
      <w:r>
        <w:rPr>
          <w:rFonts w:hint="default"/>
          <w:b/>
          <w:bCs/>
          <w:sz w:val="21"/>
          <w:szCs w:val="21"/>
          <w:highlight w:val="none"/>
          <w:lang w:val="en-US" w:eastAsia="zh-CN"/>
        </w:rPr>
        <w:t>-2  本项目环境风险物质数量与临界量比值</w:t>
      </w:r>
    </w:p>
    <w:tbl>
      <w:tblPr>
        <w:tblStyle w:val="36"/>
        <w:tblW w:w="4997"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4392"/>
        <w:gridCol w:w="1099"/>
        <w:gridCol w:w="1108"/>
        <w:gridCol w:w="1537"/>
        <w:gridCol w:w="1146"/>
      </w:tblGrid>
      <w:tr w14:paraId="1AB68A5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blHeader/>
        </w:trPr>
        <w:tc>
          <w:tcPr>
            <w:tcW w:w="2366" w:type="pct"/>
            <w:vMerge w:val="restart"/>
            <w:vAlign w:val="center"/>
          </w:tcPr>
          <w:p w14:paraId="04FE01B4">
            <w:pPr>
              <w:keepNext w:val="0"/>
              <w:keepLines w:val="0"/>
              <w:pageBreakBefore w:val="0"/>
              <w:kinsoku/>
              <w:wordWrap/>
              <w:overflowPunct/>
              <w:topLinePunct w:val="0"/>
              <w:autoSpaceDE/>
              <w:autoSpaceDN/>
              <w:bidi w:val="0"/>
              <w:adjustRightInd/>
              <w:snapToGrid/>
              <w:spacing w:line="240" w:lineRule="auto"/>
              <w:ind w:firstLine="0" w:firstLineChars="0"/>
              <w:jc w:val="center"/>
              <w:rPr>
                <w:b/>
                <w:bCs/>
                <w:color w:val="auto"/>
                <w:sz w:val="21"/>
                <w:szCs w:val="21"/>
                <w:highlight w:val="none"/>
              </w:rPr>
            </w:pPr>
            <w:r>
              <w:rPr>
                <w:b/>
                <w:bCs/>
                <w:color w:val="auto"/>
                <w:sz w:val="21"/>
                <w:szCs w:val="21"/>
                <w:highlight w:val="none"/>
              </w:rPr>
              <w:t>危险物质名称</w:t>
            </w:r>
          </w:p>
        </w:tc>
        <w:tc>
          <w:tcPr>
            <w:tcW w:w="1189" w:type="pct"/>
            <w:gridSpan w:val="2"/>
            <w:vAlign w:val="center"/>
          </w:tcPr>
          <w:p w14:paraId="3B96642C">
            <w:pPr>
              <w:keepNext w:val="0"/>
              <w:keepLines w:val="0"/>
              <w:pageBreakBefore w:val="0"/>
              <w:kinsoku/>
              <w:wordWrap/>
              <w:overflowPunct/>
              <w:topLinePunct w:val="0"/>
              <w:autoSpaceDE/>
              <w:autoSpaceDN/>
              <w:bidi w:val="0"/>
              <w:adjustRightInd/>
              <w:snapToGrid/>
              <w:spacing w:line="240" w:lineRule="auto"/>
              <w:ind w:firstLine="0" w:firstLineChars="0"/>
              <w:jc w:val="center"/>
              <w:rPr>
                <w:b/>
                <w:bCs/>
                <w:color w:val="auto"/>
                <w:sz w:val="21"/>
                <w:szCs w:val="21"/>
                <w:highlight w:val="none"/>
              </w:rPr>
            </w:pPr>
            <w:r>
              <w:rPr>
                <w:b/>
                <w:bCs/>
                <w:color w:val="auto"/>
                <w:sz w:val="21"/>
                <w:szCs w:val="21"/>
                <w:highlight w:val="none"/>
              </w:rPr>
              <w:t>最大</w:t>
            </w:r>
            <w:r>
              <w:rPr>
                <w:rFonts w:hint="eastAsia"/>
                <w:b/>
                <w:bCs/>
                <w:color w:val="auto"/>
                <w:sz w:val="21"/>
                <w:szCs w:val="21"/>
                <w:highlight w:val="none"/>
              </w:rPr>
              <w:t>存在</w:t>
            </w:r>
            <w:r>
              <w:rPr>
                <w:b/>
                <w:bCs/>
                <w:color w:val="auto"/>
                <w:sz w:val="21"/>
                <w:szCs w:val="21"/>
                <w:highlight w:val="none"/>
              </w:rPr>
              <w:t>量（t）</w:t>
            </w:r>
          </w:p>
        </w:tc>
        <w:tc>
          <w:tcPr>
            <w:tcW w:w="827" w:type="pct"/>
            <w:vMerge w:val="restart"/>
            <w:vAlign w:val="center"/>
          </w:tcPr>
          <w:p w14:paraId="7CE1BDFA">
            <w:pPr>
              <w:keepNext w:val="0"/>
              <w:keepLines w:val="0"/>
              <w:pageBreakBefore w:val="0"/>
              <w:kinsoku/>
              <w:wordWrap/>
              <w:overflowPunct/>
              <w:topLinePunct w:val="0"/>
              <w:autoSpaceDE/>
              <w:autoSpaceDN/>
              <w:bidi w:val="0"/>
              <w:adjustRightInd/>
              <w:snapToGrid/>
              <w:spacing w:line="240" w:lineRule="auto"/>
              <w:ind w:firstLine="0" w:firstLineChars="0"/>
              <w:jc w:val="center"/>
              <w:rPr>
                <w:b/>
                <w:bCs/>
                <w:color w:val="auto"/>
                <w:sz w:val="21"/>
                <w:szCs w:val="21"/>
                <w:highlight w:val="none"/>
              </w:rPr>
            </w:pPr>
            <w:r>
              <w:rPr>
                <w:b/>
                <w:bCs/>
                <w:color w:val="auto"/>
                <w:sz w:val="21"/>
                <w:szCs w:val="21"/>
                <w:highlight w:val="none"/>
              </w:rPr>
              <w:t>临界量（t）</w:t>
            </w:r>
          </w:p>
        </w:tc>
        <w:tc>
          <w:tcPr>
            <w:tcW w:w="617" w:type="pct"/>
            <w:vMerge w:val="restart"/>
            <w:vAlign w:val="center"/>
          </w:tcPr>
          <w:p w14:paraId="7B6D79BE">
            <w:pPr>
              <w:keepNext w:val="0"/>
              <w:keepLines w:val="0"/>
              <w:pageBreakBefore w:val="0"/>
              <w:kinsoku/>
              <w:wordWrap/>
              <w:overflowPunct/>
              <w:topLinePunct w:val="0"/>
              <w:autoSpaceDE/>
              <w:autoSpaceDN/>
              <w:bidi w:val="0"/>
              <w:adjustRightInd/>
              <w:snapToGrid/>
              <w:spacing w:line="240" w:lineRule="auto"/>
              <w:ind w:firstLine="0" w:firstLineChars="0"/>
              <w:jc w:val="center"/>
              <w:rPr>
                <w:b/>
                <w:bCs/>
                <w:color w:val="auto"/>
                <w:sz w:val="21"/>
                <w:szCs w:val="21"/>
                <w:highlight w:val="none"/>
              </w:rPr>
            </w:pPr>
            <w:r>
              <w:rPr>
                <w:b/>
                <w:bCs/>
                <w:color w:val="auto"/>
                <w:sz w:val="21"/>
                <w:szCs w:val="21"/>
                <w:highlight w:val="none"/>
              </w:rPr>
              <w:t>q/Q</w:t>
            </w:r>
          </w:p>
        </w:tc>
      </w:tr>
      <w:tr w14:paraId="7CDD687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blHeader/>
        </w:trPr>
        <w:tc>
          <w:tcPr>
            <w:tcW w:w="2366" w:type="pct"/>
            <w:vMerge w:val="continue"/>
            <w:vAlign w:val="center"/>
          </w:tcPr>
          <w:p w14:paraId="1097916F">
            <w:pPr>
              <w:keepNext w:val="0"/>
              <w:keepLines w:val="0"/>
              <w:pageBreakBefore w:val="0"/>
              <w:kinsoku/>
              <w:wordWrap/>
              <w:overflowPunct/>
              <w:topLinePunct w:val="0"/>
              <w:autoSpaceDE/>
              <w:autoSpaceDN/>
              <w:bidi w:val="0"/>
              <w:adjustRightInd/>
              <w:snapToGrid/>
              <w:spacing w:line="240" w:lineRule="auto"/>
              <w:ind w:firstLine="0" w:firstLineChars="0"/>
              <w:jc w:val="center"/>
              <w:rPr>
                <w:color w:val="auto"/>
                <w:sz w:val="21"/>
                <w:szCs w:val="21"/>
                <w:highlight w:val="none"/>
              </w:rPr>
            </w:pPr>
          </w:p>
        </w:tc>
        <w:tc>
          <w:tcPr>
            <w:tcW w:w="592" w:type="pct"/>
            <w:vAlign w:val="center"/>
          </w:tcPr>
          <w:p w14:paraId="5FA75443">
            <w:pPr>
              <w:keepNext w:val="0"/>
              <w:keepLines w:val="0"/>
              <w:pageBreakBefore w:val="0"/>
              <w:kinsoku/>
              <w:wordWrap/>
              <w:overflowPunct/>
              <w:topLinePunct w:val="0"/>
              <w:autoSpaceDE/>
              <w:autoSpaceDN/>
              <w:bidi w:val="0"/>
              <w:adjustRightInd/>
              <w:snapToGrid/>
              <w:spacing w:line="240" w:lineRule="auto"/>
              <w:ind w:firstLine="0" w:firstLineChars="0"/>
              <w:jc w:val="center"/>
              <w:rPr>
                <w:b/>
                <w:bCs/>
                <w:color w:val="auto"/>
                <w:sz w:val="21"/>
                <w:szCs w:val="21"/>
                <w:highlight w:val="none"/>
              </w:rPr>
            </w:pPr>
            <w:r>
              <w:rPr>
                <w:rFonts w:hint="eastAsia"/>
                <w:b/>
                <w:bCs/>
                <w:color w:val="auto"/>
                <w:sz w:val="21"/>
                <w:szCs w:val="21"/>
                <w:highlight w:val="none"/>
                <w:lang w:eastAsia="zh-CN"/>
              </w:rPr>
              <w:t>储存量</w:t>
            </w:r>
          </w:p>
        </w:tc>
        <w:tc>
          <w:tcPr>
            <w:tcW w:w="596" w:type="pct"/>
            <w:vAlign w:val="center"/>
          </w:tcPr>
          <w:p w14:paraId="2FB55BF6">
            <w:pPr>
              <w:keepNext w:val="0"/>
              <w:keepLines w:val="0"/>
              <w:pageBreakBefore w:val="0"/>
              <w:kinsoku/>
              <w:wordWrap/>
              <w:overflowPunct/>
              <w:topLinePunct w:val="0"/>
              <w:autoSpaceDE/>
              <w:autoSpaceDN/>
              <w:bidi w:val="0"/>
              <w:adjustRightInd/>
              <w:snapToGrid/>
              <w:spacing w:line="240" w:lineRule="auto"/>
              <w:ind w:firstLine="0" w:firstLineChars="0"/>
              <w:jc w:val="center"/>
              <w:rPr>
                <w:b/>
                <w:bCs/>
                <w:color w:val="auto"/>
                <w:sz w:val="21"/>
                <w:szCs w:val="21"/>
                <w:highlight w:val="none"/>
              </w:rPr>
            </w:pPr>
            <w:r>
              <w:rPr>
                <w:rFonts w:hint="eastAsia"/>
                <w:b/>
                <w:bCs/>
                <w:color w:val="auto"/>
                <w:sz w:val="21"/>
                <w:szCs w:val="21"/>
                <w:highlight w:val="none"/>
                <w:lang w:eastAsia="zh-CN"/>
              </w:rPr>
              <w:t>在线量</w:t>
            </w:r>
          </w:p>
        </w:tc>
        <w:tc>
          <w:tcPr>
            <w:tcW w:w="827" w:type="pct"/>
            <w:vMerge w:val="continue"/>
            <w:vAlign w:val="center"/>
          </w:tcPr>
          <w:p w14:paraId="568AF40D">
            <w:pPr>
              <w:keepNext w:val="0"/>
              <w:keepLines w:val="0"/>
              <w:pageBreakBefore w:val="0"/>
              <w:kinsoku/>
              <w:wordWrap/>
              <w:overflowPunct/>
              <w:topLinePunct w:val="0"/>
              <w:autoSpaceDE/>
              <w:autoSpaceDN/>
              <w:bidi w:val="0"/>
              <w:adjustRightInd/>
              <w:snapToGrid/>
              <w:spacing w:line="240" w:lineRule="auto"/>
              <w:ind w:firstLine="0" w:firstLineChars="0"/>
              <w:jc w:val="center"/>
              <w:rPr>
                <w:b/>
                <w:bCs/>
                <w:color w:val="auto"/>
                <w:sz w:val="21"/>
                <w:szCs w:val="21"/>
                <w:highlight w:val="none"/>
              </w:rPr>
            </w:pPr>
          </w:p>
        </w:tc>
        <w:tc>
          <w:tcPr>
            <w:tcW w:w="617" w:type="pct"/>
            <w:vMerge w:val="continue"/>
            <w:vAlign w:val="center"/>
          </w:tcPr>
          <w:p w14:paraId="3B5EFB74">
            <w:pPr>
              <w:keepNext w:val="0"/>
              <w:keepLines w:val="0"/>
              <w:pageBreakBefore w:val="0"/>
              <w:kinsoku/>
              <w:wordWrap/>
              <w:overflowPunct/>
              <w:topLinePunct w:val="0"/>
              <w:autoSpaceDE/>
              <w:autoSpaceDN/>
              <w:bidi w:val="0"/>
              <w:adjustRightInd/>
              <w:snapToGrid/>
              <w:spacing w:line="240" w:lineRule="auto"/>
              <w:ind w:firstLine="0" w:firstLineChars="0"/>
              <w:jc w:val="center"/>
              <w:rPr>
                <w:b/>
                <w:bCs/>
                <w:color w:val="auto"/>
                <w:sz w:val="21"/>
                <w:szCs w:val="21"/>
                <w:highlight w:val="none"/>
              </w:rPr>
            </w:pPr>
          </w:p>
        </w:tc>
      </w:tr>
      <w:tr w14:paraId="3991378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366" w:type="pct"/>
            <w:shd w:val="clear" w:color="auto" w:fill="auto"/>
            <w:vAlign w:val="center"/>
          </w:tcPr>
          <w:p w14:paraId="38D2BF04">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液碱</w:t>
            </w:r>
          </w:p>
        </w:tc>
        <w:tc>
          <w:tcPr>
            <w:tcW w:w="592" w:type="pct"/>
            <w:shd w:val="clear" w:color="auto" w:fill="auto"/>
            <w:vAlign w:val="center"/>
          </w:tcPr>
          <w:p w14:paraId="1277D6EE">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0.1</w:t>
            </w:r>
          </w:p>
        </w:tc>
        <w:tc>
          <w:tcPr>
            <w:tcW w:w="596" w:type="pct"/>
            <w:shd w:val="clear" w:color="auto" w:fill="auto"/>
            <w:vAlign w:val="center"/>
          </w:tcPr>
          <w:p w14:paraId="3D3F61B4">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top"/>
              <w:rPr>
                <w:rFonts w:hint="eastAsia" w:ascii="Times New Roman" w:hAnsi="Times New Roman" w:eastAsia="宋体"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w:t>
            </w:r>
          </w:p>
        </w:tc>
        <w:tc>
          <w:tcPr>
            <w:tcW w:w="827" w:type="pct"/>
            <w:vAlign w:val="center"/>
          </w:tcPr>
          <w:p w14:paraId="5495865E">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50</w:t>
            </w:r>
          </w:p>
        </w:tc>
        <w:tc>
          <w:tcPr>
            <w:tcW w:w="617" w:type="pct"/>
            <w:vAlign w:val="center"/>
          </w:tcPr>
          <w:p w14:paraId="6F0B4036">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0.002</w:t>
            </w:r>
          </w:p>
        </w:tc>
      </w:tr>
      <w:tr w14:paraId="5988280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366" w:type="pct"/>
            <w:shd w:val="clear" w:color="auto" w:fill="auto"/>
            <w:vAlign w:val="center"/>
          </w:tcPr>
          <w:p w14:paraId="55C05398">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top"/>
              <w:rPr>
                <w:rFonts w:hint="eastAsia" w:ascii="Times New Roman" w:hAnsi="Times New Roman" w:eastAsia="宋体"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硫酸</w:t>
            </w:r>
          </w:p>
        </w:tc>
        <w:tc>
          <w:tcPr>
            <w:tcW w:w="592" w:type="pct"/>
            <w:shd w:val="clear" w:color="auto" w:fill="auto"/>
            <w:vAlign w:val="center"/>
          </w:tcPr>
          <w:p w14:paraId="0DE2768D">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0.05</w:t>
            </w:r>
          </w:p>
        </w:tc>
        <w:tc>
          <w:tcPr>
            <w:tcW w:w="596" w:type="pct"/>
            <w:shd w:val="clear" w:color="auto" w:fill="auto"/>
            <w:vAlign w:val="center"/>
          </w:tcPr>
          <w:p w14:paraId="24CBFFEF">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top"/>
              <w:rPr>
                <w:rFonts w:hint="eastAsia" w:ascii="Times New Roman" w:hAnsi="Times New Roman" w:eastAsia="宋体"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w:t>
            </w:r>
          </w:p>
        </w:tc>
        <w:tc>
          <w:tcPr>
            <w:tcW w:w="827" w:type="pct"/>
            <w:vAlign w:val="center"/>
          </w:tcPr>
          <w:p w14:paraId="2D649C77">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10</w:t>
            </w:r>
          </w:p>
        </w:tc>
        <w:tc>
          <w:tcPr>
            <w:tcW w:w="617" w:type="pct"/>
            <w:vAlign w:val="center"/>
          </w:tcPr>
          <w:p w14:paraId="74FB1E83">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0.005</w:t>
            </w:r>
          </w:p>
        </w:tc>
      </w:tr>
      <w:tr w14:paraId="1B61F21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366" w:type="pct"/>
            <w:shd w:val="clear" w:color="auto" w:fill="auto"/>
            <w:vAlign w:val="center"/>
          </w:tcPr>
          <w:p w14:paraId="22201307">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PAC</w:t>
            </w:r>
          </w:p>
        </w:tc>
        <w:tc>
          <w:tcPr>
            <w:tcW w:w="592" w:type="pct"/>
            <w:shd w:val="clear" w:color="auto" w:fill="auto"/>
            <w:vAlign w:val="center"/>
          </w:tcPr>
          <w:p w14:paraId="3A05DAAF">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0.1</w:t>
            </w:r>
          </w:p>
        </w:tc>
        <w:tc>
          <w:tcPr>
            <w:tcW w:w="596" w:type="pct"/>
            <w:shd w:val="clear" w:color="auto" w:fill="auto"/>
            <w:vAlign w:val="center"/>
          </w:tcPr>
          <w:p w14:paraId="7488B221">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top"/>
              <w:rPr>
                <w:rFonts w:hint="eastAsia" w:ascii="Times New Roman" w:hAnsi="Times New Roman" w:eastAsia="宋体"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w:t>
            </w:r>
          </w:p>
        </w:tc>
        <w:tc>
          <w:tcPr>
            <w:tcW w:w="827" w:type="pct"/>
            <w:vAlign w:val="center"/>
          </w:tcPr>
          <w:p w14:paraId="141C6D1B">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50</w:t>
            </w:r>
          </w:p>
        </w:tc>
        <w:tc>
          <w:tcPr>
            <w:tcW w:w="617" w:type="pct"/>
            <w:vAlign w:val="center"/>
          </w:tcPr>
          <w:p w14:paraId="5E13513C">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0.002</w:t>
            </w:r>
          </w:p>
        </w:tc>
      </w:tr>
      <w:tr w14:paraId="5607E65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366" w:type="pct"/>
            <w:shd w:val="clear" w:color="auto" w:fill="auto"/>
            <w:vAlign w:val="center"/>
          </w:tcPr>
          <w:p w14:paraId="159DCE0B">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生物制剂</w:t>
            </w:r>
          </w:p>
        </w:tc>
        <w:tc>
          <w:tcPr>
            <w:tcW w:w="592" w:type="pct"/>
            <w:shd w:val="clear" w:color="auto" w:fill="auto"/>
            <w:vAlign w:val="center"/>
          </w:tcPr>
          <w:p w14:paraId="1E102B4A">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0.1</w:t>
            </w:r>
          </w:p>
        </w:tc>
        <w:tc>
          <w:tcPr>
            <w:tcW w:w="596" w:type="pct"/>
            <w:shd w:val="clear" w:color="auto" w:fill="auto"/>
            <w:vAlign w:val="center"/>
          </w:tcPr>
          <w:p w14:paraId="6BCAD66D">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top"/>
              <w:rPr>
                <w:rFonts w:hint="eastAsia" w:ascii="Times New Roman" w:hAnsi="Times New Roman" w:eastAsia="宋体"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w:t>
            </w:r>
          </w:p>
        </w:tc>
        <w:tc>
          <w:tcPr>
            <w:tcW w:w="827" w:type="pct"/>
            <w:vAlign w:val="center"/>
          </w:tcPr>
          <w:p w14:paraId="12920CB9">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50</w:t>
            </w:r>
          </w:p>
        </w:tc>
        <w:tc>
          <w:tcPr>
            <w:tcW w:w="617" w:type="pct"/>
            <w:vAlign w:val="center"/>
          </w:tcPr>
          <w:p w14:paraId="611EA906">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0.002</w:t>
            </w:r>
          </w:p>
        </w:tc>
      </w:tr>
      <w:tr w14:paraId="2D441DB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382" w:type="pct"/>
            <w:gridSpan w:val="4"/>
            <w:vAlign w:val="center"/>
          </w:tcPr>
          <w:p w14:paraId="4B546B8F">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top"/>
              <w:rPr>
                <w:rFonts w:ascii="Times New Roman" w:hAnsi="Times New Roman" w:eastAsia="宋体" w:cs="Times New Roman"/>
                <w:color w:val="auto"/>
                <w:kern w:val="0"/>
                <w:sz w:val="21"/>
                <w:szCs w:val="21"/>
                <w:highlight w:val="none"/>
                <w:lang w:bidi="ar"/>
              </w:rPr>
            </w:pPr>
            <w:r>
              <w:rPr>
                <w:rFonts w:ascii="Times New Roman" w:hAnsi="Times New Roman" w:eastAsia="宋体" w:cs="Times New Roman"/>
                <w:color w:val="auto"/>
                <w:kern w:val="0"/>
                <w:sz w:val="21"/>
                <w:szCs w:val="21"/>
                <w:highlight w:val="none"/>
                <w:lang w:bidi="ar"/>
              </w:rPr>
              <w:t>合计</w:t>
            </w:r>
          </w:p>
        </w:tc>
        <w:tc>
          <w:tcPr>
            <w:tcW w:w="617" w:type="pct"/>
            <w:vAlign w:val="center"/>
          </w:tcPr>
          <w:p w14:paraId="6AD27172">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0.011</w:t>
            </w:r>
          </w:p>
        </w:tc>
      </w:tr>
      <w:tr w14:paraId="3802048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000" w:type="pct"/>
            <w:gridSpan w:val="5"/>
            <w:vAlign w:val="center"/>
          </w:tcPr>
          <w:p w14:paraId="0847E215">
            <w:pPr>
              <w:keepNext w:val="0"/>
              <w:keepLines w:val="0"/>
              <w:pageBreakBefore w:val="0"/>
              <w:kinsoku/>
              <w:wordWrap/>
              <w:overflowPunct/>
              <w:topLinePunct w:val="0"/>
              <w:autoSpaceDE/>
              <w:autoSpaceDN/>
              <w:bidi w:val="0"/>
              <w:adjustRightInd/>
              <w:snapToGrid/>
              <w:spacing w:line="240" w:lineRule="auto"/>
              <w:ind w:left="0" w:leftChars="0" w:firstLine="0" w:firstLineChars="0"/>
              <w:rPr>
                <w:b/>
                <w:bCs/>
                <w:color w:val="auto"/>
                <w:sz w:val="21"/>
                <w:szCs w:val="21"/>
                <w:highlight w:val="none"/>
              </w:rPr>
            </w:pPr>
            <w:r>
              <w:rPr>
                <w:rFonts w:hint="eastAsia"/>
                <w:b/>
                <w:bCs/>
                <w:color w:val="auto"/>
                <w:sz w:val="21"/>
                <w:szCs w:val="21"/>
                <w:highlight w:val="none"/>
              </w:rPr>
              <w:t>注：</w:t>
            </w:r>
            <w:r>
              <w:rPr>
                <w:rFonts w:hint="eastAsia"/>
                <w:b/>
                <w:bCs/>
                <w:color w:val="auto"/>
                <w:sz w:val="21"/>
                <w:szCs w:val="21"/>
                <w:highlight w:val="none"/>
                <w:lang w:val="en-US" w:eastAsia="zh-CN"/>
              </w:rPr>
              <w:t>液碱、PAC和生物制剂</w:t>
            </w:r>
            <w:r>
              <w:rPr>
                <w:rFonts w:hint="eastAsia"/>
                <w:b/>
                <w:bCs/>
                <w:color w:val="auto"/>
                <w:sz w:val="21"/>
                <w:szCs w:val="21"/>
                <w:highlight w:val="none"/>
              </w:rPr>
              <w:t>参照“健康危险急性毒性物质（类别3）：50”。</w:t>
            </w:r>
          </w:p>
        </w:tc>
      </w:tr>
    </w:tbl>
    <w:p w14:paraId="43F9F853">
      <w:pPr>
        <w:rPr>
          <w:rFonts w:hint="default"/>
          <w:highlight w:val="yellow"/>
          <w:lang w:val="en-US" w:eastAsia="zh-CN"/>
        </w:rPr>
      </w:pPr>
      <w:r>
        <w:rPr>
          <w:rFonts w:hint="default" w:ascii="Times New Roman" w:hAnsi="Times New Roman" w:cs="Times New Roman"/>
          <w:highlight w:val="none"/>
          <w:lang w:val="en-US" w:eastAsia="zh-CN"/>
        </w:rPr>
        <w:t>根据上表的计算结果，本项目环境风险物质最大存在总量与临界量比值为Q=</w:t>
      </w:r>
      <w:r>
        <w:rPr>
          <w:rFonts w:hint="eastAsia" w:cs="Times New Roman"/>
          <w:highlight w:val="none"/>
          <w:lang w:val="en-US" w:eastAsia="zh-CN"/>
        </w:rPr>
        <w:t>0.011</w:t>
      </w:r>
      <w:r>
        <w:rPr>
          <w:rFonts w:hint="default" w:ascii="Times New Roman" w:hAnsi="Times New Roman" w:cs="Times New Roman"/>
          <w:highlight w:val="none"/>
          <w:lang w:val="en-US" w:eastAsia="zh-CN"/>
        </w:rPr>
        <w:t>，为Q&lt;1。因此，本项目风险潜势为I。</w:t>
      </w:r>
    </w:p>
    <w:p w14:paraId="01C647BB">
      <w:pPr>
        <w:pStyle w:val="8"/>
        <w:numPr>
          <w:ilvl w:val="1"/>
          <w:numId w:val="1"/>
        </w:numPr>
        <w:tabs>
          <w:tab w:val="clear" w:pos="420"/>
        </w:tabs>
        <w:bidi w:val="0"/>
        <w:ind w:left="567" w:leftChars="0" w:hanging="567" w:firstLineChars="0"/>
        <w:rPr>
          <w:rFonts w:hint="eastAsia"/>
          <w:highlight w:val="none"/>
          <w:lang w:val="en-US" w:eastAsia="zh-CN"/>
        </w:rPr>
      </w:pPr>
      <w:bookmarkStart w:id="81" w:name="_Toc28347"/>
      <w:r>
        <w:rPr>
          <w:rFonts w:hint="eastAsia"/>
          <w:highlight w:val="none"/>
          <w:lang w:val="en-US" w:eastAsia="zh-CN"/>
        </w:rPr>
        <w:t>环境风险评价工作等级划分及评价范围</w:t>
      </w:r>
      <w:bookmarkEnd w:id="81"/>
    </w:p>
    <w:p w14:paraId="31A3D216">
      <w:pPr>
        <w:bidi w:val="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环境风险评价工作等级划分为一级、二级、三级。根据建设项目涉及的物质及工艺系统危险性和所在地的环境敏感性确定环境风险潜势，按照下表确定评价工作等级。风险潜势为Ⅳ及以上，进行一级评价；风险潜势为Ⅲ，进行二级评价；风险潜势为Ⅱ，进行三级评价；风险潜势为I，可开展简单分析。</w:t>
      </w:r>
    </w:p>
    <w:p w14:paraId="0DDCC12D">
      <w:pPr>
        <w:ind w:left="0" w:leftChars="0" w:firstLine="0" w:firstLineChars="0"/>
        <w:jc w:val="center"/>
        <w:rPr>
          <w:rFonts w:hint="eastAsia"/>
          <w:b/>
          <w:bCs/>
          <w:sz w:val="21"/>
          <w:szCs w:val="21"/>
          <w:highlight w:val="none"/>
          <w:lang w:val="en-US" w:eastAsia="zh-CN"/>
        </w:rPr>
      </w:pPr>
      <w:r>
        <w:rPr>
          <w:rFonts w:hint="eastAsia"/>
          <w:b/>
          <w:bCs/>
          <w:sz w:val="21"/>
          <w:szCs w:val="21"/>
          <w:highlight w:val="none"/>
          <w:lang w:val="en-US" w:eastAsia="zh-CN"/>
        </w:rPr>
        <w:t>表6.4-1  环境风险评价工作等级划分</w:t>
      </w:r>
    </w:p>
    <w:tbl>
      <w:tblPr>
        <w:tblStyle w:val="106"/>
        <w:tblW w:w="4998" w:type="pct"/>
        <w:tblInd w:w="0" w:type="dxa"/>
        <w:tblBorders>
          <w:top w:val="single" w:color="auto" w:sz="12" w:space="0"/>
          <w:left w:val="single" w:color="auto" w:sz="12" w:space="0"/>
          <w:bottom w:val="single" w:color="auto" w:sz="12" w:space="0"/>
          <w:right w:val="single" w:color="auto" w:sz="12" w:space="0"/>
          <w:insideH w:val="single" w:color="000000" w:sz="2" w:space="0"/>
          <w:insideV w:val="single" w:color="000000" w:sz="2" w:space="0"/>
        </w:tblBorders>
        <w:tblLayout w:type="autofit"/>
        <w:tblCellMar>
          <w:top w:w="0" w:type="dxa"/>
          <w:left w:w="0" w:type="dxa"/>
          <w:bottom w:w="0" w:type="dxa"/>
          <w:right w:w="0" w:type="dxa"/>
        </w:tblCellMar>
      </w:tblPr>
      <w:tblGrid>
        <w:gridCol w:w="1821"/>
        <w:gridCol w:w="1818"/>
        <w:gridCol w:w="1812"/>
        <w:gridCol w:w="1818"/>
        <w:gridCol w:w="1829"/>
      </w:tblGrid>
      <w:tr w14:paraId="3055E098">
        <w:tblPrEx>
          <w:tblBorders>
            <w:top w:val="single" w:color="auto" w:sz="12" w:space="0"/>
            <w:left w:val="single" w:color="auto" w:sz="12" w:space="0"/>
            <w:bottom w:val="single" w:color="auto" w:sz="12" w:space="0"/>
            <w:right w:val="single" w:color="auto" w:sz="1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1001" w:type="pct"/>
            <w:vAlign w:val="center"/>
          </w:tcPr>
          <w:p w14:paraId="4C8E9CC3">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cs="Times New Roman"/>
                <w:b/>
                <w:bCs/>
                <w:sz w:val="21"/>
                <w:szCs w:val="21"/>
                <w:highlight w:val="none"/>
                <w:lang w:val="en-US" w:eastAsia="zh-CN"/>
              </w:rPr>
            </w:pPr>
            <w:r>
              <w:rPr>
                <w:rFonts w:hint="default" w:ascii="Times New Roman" w:hAnsi="Times New Roman" w:cs="Times New Roman"/>
                <w:b/>
                <w:bCs/>
                <w:sz w:val="21"/>
                <w:szCs w:val="21"/>
                <w:highlight w:val="none"/>
                <w:lang w:val="en-US" w:eastAsia="zh-CN"/>
              </w:rPr>
              <w:t>环境风险潜势</w:t>
            </w:r>
          </w:p>
        </w:tc>
        <w:tc>
          <w:tcPr>
            <w:tcW w:w="999" w:type="pct"/>
            <w:vAlign w:val="center"/>
          </w:tcPr>
          <w:p w14:paraId="7ACE6D7B">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cs="Times New Roman"/>
                <w:b/>
                <w:bCs/>
                <w:sz w:val="21"/>
                <w:szCs w:val="21"/>
                <w:highlight w:val="none"/>
                <w:lang w:val="en-US" w:eastAsia="zh-CN"/>
              </w:rPr>
            </w:pPr>
            <w:r>
              <w:rPr>
                <w:rFonts w:hint="default" w:ascii="Times New Roman" w:hAnsi="Times New Roman" w:cs="Times New Roman"/>
                <w:b/>
                <w:bCs/>
                <w:sz w:val="21"/>
                <w:szCs w:val="21"/>
                <w:highlight w:val="none"/>
                <w:lang w:val="en-US" w:eastAsia="zh-CN"/>
              </w:rPr>
              <w:t>Ⅳ、Ⅳ</w:t>
            </w:r>
            <w:r>
              <w:rPr>
                <w:rFonts w:hint="default" w:ascii="Times New Roman" w:hAnsi="Times New Roman" w:cs="Times New Roman"/>
                <w:b/>
                <w:bCs/>
                <w:sz w:val="21"/>
                <w:szCs w:val="21"/>
                <w:highlight w:val="none"/>
                <w:vertAlign w:val="superscript"/>
                <w:lang w:val="en-US" w:eastAsia="zh-CN"/>
              </w:rPr>
              <w:t>+</w:t>
            </w:r>
          </w:p>
        </w:tc>
        <w:tc>
          <w:tcPr>
            <w:tcW w:w="996" w:type="pct"/>
            <w:vAlign w:val="center"/>
          </w:tcPr>
          <w:p w14:paraId="42BF9D72">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cs="Times New Roman"/>
                <w:b/>
                <w:bCs/>
                <w:sz w:val="21"/>
                <w:szCs w:val="21"/>
                <w:highlight w:val="none"/>
                <w:lang w:val="en-US" w:eastAsia="zh-CN"/>
              </w:rPr>
            </w:pPr>
            <w:r>
              <w:rPr>
                <w:rFonts w:hint="default" w:ascii="Times New Roman" w:hAnsi="Times New Roman" w:cs="Times New Roman"/>
                <w:b/>
                <w:bCs/>
                <w:sz w:val="21"/>
                <w:szCs w:val="21"/>
                <w:highlight w:val="none"/>
                <w:lang w:val="en-US" w:eastAsia="zh-CN"/>
              </w:rPr>
              <w:t>Ⅲ</w:t>
            </w:r>
          </w:p>
        </w:tc>
        <w:tc>
          <w:tcPr>
            <w:tcW w:w="999" w:type="pct"/>
            <w:vAlign w:val="center"/>
          </w:tcPr>
          <w:p w14:paraId="57460A92">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cs="Times New Roman"/>
                <w:b/>
                <w:bCs/>
                <w:sz w:val="21"/>
                <w:szCs w:val="21"/>
                <w:highlight w:val="none"/>
                <w:lang w:val="en-US" w:eastAsia="zh-CN"/>
              </w:rPr>
            </w:pPr>
            <w:r>
              <w:rPr>
                <w:rFonts w:hint="default" w:ascii="Times New Roman" w:hAnsi="Times New Roman" w:cs="Times New Roman"/>
                <w:b/>
                <w:bCs/>
                <w:sz w:val="21"/>
                <w:szCs w:val="21"/>
                <w:highlight w:val="none"/>
                <w:lang w:val="en-US" w:eastAsia="zh-CN"/>
              </w:rPr>
              <w:t>Ⅱ</w:t>
            </w:r>
          </w:p>
        </w:tc>
        <w:tc>
          <w:tcPr>
            <w:tcW w:w="1003" w:type="pct"/>
            <w:vAlign w:val="center"/>
          </w:tcPr>
          <w:p w14:paraId="32C828AB">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cs="Times New Roman"/>
                <w:b/>
                <w:bCs/>
                <w:sz w:val="21"/>
                <w:szCs w:val="21"/>
                <w:highlight w:val="none"/>
                <w:lang w:val="en-US" w:eastAsia="zh-CN"/>
              </w:rPr>
            </w:pPr>
            <w:r>
              <w:rPr>
                <w:rFonts w:hint="default" w:ascii="Times New Roman" w:hAnsi="Times New Roman" w:cs="Times New Roman"/>
                <w:b/>
                <w:bCs/>
                <w:sz w:val="21"/>
                <w:szCs w:val="21"/>
                <w:highlight w:val="none"/>
                <w:lang w:val="en-US" w:eastAsia="zh-CN"/>
              </w:rPr>
              <w:t>Ⅰ</w:t>
            </w:r>
          </w:p>
        </w:tc>
      </w:tr>
      <w:tr w14:paraId="26271D80">
        <w:tblPrEx>
          <w:tblBorders>
            <w:top w:val="single" w:color="auto" w:sz="12" w:space="0"/>
            <w:left w:val="single" w:color="auto" w:sz="12" w:space="0"/>
            <w:bottom w:val="single" w:color="auto" w:sz="12" w:space="0"/>
            <w:right w:val="single" w:color="auto" w:sz="1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1001" w:type="pct"/>
            <w:vAlign w:val="center"/>
          </w:tcPr>
          <w:p w14:paraId="5629C0B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评价工作等级</w:t>
            </w:r>
          </w:p>
        </w:tc>
        <w:tc>
          <w:tcPr>
            <w:tcW w:w="999" w:type="pct"/>
            <w:vAlign w:val="center"/>
          </w:tcPr>
          <w:p w14:paraId="4337A2C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一</w:t>
            </w:r>
          </w:p>
        </w:tc>
        <w:tc>
          <w:tcPr>
            <w:tcW w:w="996" w:type="pct"/>
            <w:vAlign w:val="center"/>
          </w:tcPr>
          <w:p w14:paraId="20FD357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二</w:t>
            </w:r>
          </w:p>
        </w:tc>
        <w:tc>
          <w:tcPr>
            <w:tcW w:w="999" w:type="pct"/>
            <w:vAlign w:val="center"/>
          </w:tcPr>
          <w:p w14:paraId="2BBB8B5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三</w:t>
            </w:r>
          </w:p>
        </w:tc>
        <w:tc>
          <w:tcPr>
            <w:tcW w:w="1003" w:type="pct"/>
            <w:vAlign w:val="center"/>
          </w:tcPr>
          <w:p w14:paraId="2907CD9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简单分析</w:t>
            </w:r>
            <w:r>
              <w:rPr>
                <w:rFonts w:hint="default" w:ascii="Times New Roman" w:hAnsi="Times New Roman" w:cs="Times New Roman"/>
                <w:sz w:val="21"/>
                <w:szCs w:val="21"/>
                <w:highlight w:val="none"/>
                <w:vertAlign w:val="superscript"/>
                <w:lang w:val="en-US" w:eastAsia="zh-CN"/>
              </w:rPr>
              <w:t>a</w:t>
            </w:r>
          </w:p>
        </w:tc>
      </w:tr>
      <w:tr w14:paraId="7C5C6FDB">
        <w:tblPrEx>
          <w:tblBorders>
            <w:top w:val="single" w:color="auto" w:sz="12" w:space="0"/>
            <w:left w:val="single" w:color="auto" w:sz="12" w:space="0"/>
            <w:bottom w:val="single" w:color="auto" w:sz="12" w:space="0"/>
            <w:right w:val="single" w:color="auto" w:sz="1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5000" w:type="pct"/>
            <w:gridSpan w:val="5"/>
            <w:vAlign w:val="center"/>
          </w:tcPr>
          <w:p w14:paraId="4BE86573">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vertAlign w:val="superscript"/>
                <w:lang w:val="en-US" w:eastAsia="zh-CN"/>
              </w:rPr>
              <w:t>a</w:t>
            </w:r>
            <w:r>
              <w:rPr>
                <w:rFonts w:hint="default" w:ascii="Times New Roman" w:hAnsi="Times New Roman" w:cs="Times New Roman"/>
                <w:sz w:val="21"/>
                <w:szCs w:val="21"/>
                <w:highlight w:val="none"/>
                <w:lang w:val="en-US" w:eastAsia="zh-CN"/>
              </w:rPr>
              <w:t>是相对于详细评价工作内容而言，在描述危险物质、环境影响途径、环境危害后果、风险防控措施等方面给出定性的说明。</w:t>
            </w:r>
          </w:p>
        </w:tc>
      </w:tr>
    </w:tbl>
    <w:p w14:paraId="0A279144">
      <w:pPr>
        <w:bidi w:val="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根据环境风险潜势分析可知，项目环境风险潜势为Ⅰ，根据表6.</w:t>
      </w:r>
      <w:r>
        <w:rPr>
          <w:rFonts w:hint="eastAsia" w:cs="Times New Roman"/>
          <w:highlight w:val="none"/>
          <w:lang w:val="en-US" w:eastAsia="zh-CN"/>
        </w:rPr>
        <w:t>4</w:t>
      </w:r>
      <w:r>
        <w:rPr>
          <w:rFonts w:hint="default" w:ascii="Times New Roman" w:hAnsi="Times New Roman" w:cs="Times New Roman"/>
          <w:highlight w:val="none"/>
          <w:lang w:val="en-US" w:eastAsia="zh-CN"/>
        </w:rPr>
        <w:t>-1可知，本项目环境风险评价</w:t>
      </w:r>
      <w:r>
        <w:rPr>
          <w:rFonts w:hint="eastAsia" w:cs="Times New Roman"/>
          <w:highlight w:val="none"/>
          <w:lang w:val="en-US" w:eastAsia="zh-CN"/>
        </w:rPr>
        <w:t>工作为</w:t>
      </w:r>
      <w:r>
        <w:rPr>
          <w:rFonts w:hint="default" w:ascii="Times New Roman" w:hAnsi="Times New Roman" w:cs="Times New Roman"/>
          <w:highlight w:val="none"/>
          <w:lang w:val="en-US" w:eastAsia="zh-CN"/>
        </w:rPr>
        <w:t>简单分析</w:t>
      </w:r>
      <w:r>
        <w:rPr>
          <w:rFonts w:hint="eastAsia" w:cs="Times New Roman"/>
          <w:highlight w:val="none"/>
          <w:lang w:val="en-US" w:eastAsia="zh-CN"/>
        </w:rPr>
        <w:t>，无需设置各要素环境风险评价范围。</w:t>
      </w:r>
    </w:p>
    <w:p w14:paraId="2856CF31">
      <w:pPr>
        <w:pStyle w:val="8"/>
        <w:numPr>
          <w:ilvl w:val="1"/>
          <w:numId w:val="1"/>
        </w:numPr>
        <w:tabs>
          <w:tab w:val="clear" w:pos="420"/>
        </w:tabs>
        <w:bidi w:val="0"/>
        <w:ind w:left="567" w:leftChars="0" w:hanging="567" w:firstLineChars="0"/>
        <w:rPr>
          <w:rFonts w:hint="default"/>
          <w:highlight w:val="none"/>
          <w:lang w:val="en-US" w:eastAsia="zh-CN"/>
        </w:rPr>
      </w:pPr>
      <w:bookmarkStart w:id="82" w:name="_Toc19265"/>
      <w:r>
        <w:rPr>
          <w:rFonts w:hint="eastAsia"/>
          <w:highlight w:val="none"/>
          <w:lang w:val="en-US" w:eastAsia="zh-CN"/>
        </w:rPr>
        <w:t>环境风险识别</w:t>
      </w:r>
      <w:bookmarkEnd w:id="82"/>
    </w:p>
    <w:p w14:paraId="060B759C">
      <w:pPr>
        <w:bidi w:val="0"/>
        <w:rPr>
          <w:rFonts w:hint="eastAsia"/>
          <w:highlight w:val="none"/>
          <w:lang w:val="en-US" w:eastAsia="zh-CN"/>
        </w:rPr>
      </w:pPr>
      <w:r>
        <w:rPr>
          <w:rFonts w:hint="eastAsia"/>
          <w:highlight w:val="none"/>
          <w:lang w:val="en-US" w:eastAsia="zh-CN"/>
        </w:rPr>
        <w:t>（1）风险识别包括物质危险性识别、生产系统危险性识别和危险物质向环境转移途径识别。</w:t>
      </w:r>
    </w:p>
    <w:p w14:paraId="3C67E33E">
      <w:pPr>
        <w:bidi w:val="0"/>
        <w:rPr>
          <w:rFonts w:hint="eastAsia"/>
          <w:highlight w:val="none"/>
          <w:lang w:val="en-US" w:eastAsia="zh-CN"/>
        </w:rPr>
      </w:pPr>
      <w:r>
        <w:rPr>
          <w:rFonts w:hint="eastAsia"/>
          <w:highlight w:val="none"/>
          <w:lang w:val="en-US" w:eastAsia="zh-CN"/>
        </w:rPr>
        <w:t>（2）物质危险性识别包括主要原材料及辅助材料、燃料、中间产品、副产品、最终产品、污染物以及火灾和爆炸伴生/次生物等。</w:t>
      </w:r>
    </w:p>
    <w:p w14:paraId="2F8360CF">
      <w:pPr>
        <w:bidi w:val="0"/>
        <w:rPr>
          <w:rFonts w:hint="eastAsia"/>
          <w:highlight w:val="yellow"/>
          <w:lang w:val="en-US" w:eastAsia="zh-CN"/>
        </w:rPr>
      </w:pPr>
      <w:r>
        <w:rPr>
          <w:rFonts w:hint="eastAsia"/>
          <w:highlight w:val="none"/>
          <w:lang w:val="en-US" w:eastAsia="zh-CN"/>
        </w:rPr>
        <w:t>（3）生产设施风险识别包括主要生产装置、储运设施、公用工程、辅助生产设施及环保设施等。识别危险物质影响环境的途径，分析可能影响的环境敏感目标。</w:t>
      </w:r>
    </w:p>
    <w:p w14:paraId="28AA17E5">
      <w:pPr>
        <w:pStyle w:val="9"/>
        <w:numPr>
          <w:ilvl w:val="2"/>
          <w:numId w:val="1"/>
        </w:numPr>
        <w:bidi w:val="0"/>
        <w:ind w:left="709" w:leftChars="0" w:hanging="709" w:firstLineChars="0"/>
        <w:rPr>
          <w:rFonts w:hint="default"/>
          <w:highlight w:val="none"/>
          <w:lang w:val="en-US" w:eastAsia="zh-CN"/>
        </w:rPr>
      </w:pPr>
      <w:r>
        <w:rPr>
          <w:rFonts w:hint="eastAsia"/>
          <w:highlight w:val="none"/>
          <w:lang w:val="en-US" w:eastAsia="zh-CN"/>
        </w:rPr>
        <w:t>物质危险性识别</w:t>
      </w:r>
    </w:p>
    <w:p w14:paraId="5CE09306">
      <w:pPr>
        <w:bidi w:val="0"/>
        <w:rPr>
          <w:rFonts w:hint="eastAsia"/>
          <w:highlight w:val="none"/>
          <w:lang w:val="en-US" w:eastAsia="zh-CN"/>
        </w:rPr>
      </w:pPr>
      <w:r>
        <w:rPr>
          <w:rFonts w:hint="eastAsia"/>
          <w:highlight w:val="none"/>
          <w:lang w:val="en-US" w:eastAsia="zh-CN"/>
        </w:rPr>
        <w:t>物质风险识别的范围包括主要原辅材料及生产过程排放的“三废”污染物等。本次物质危险性参考项目有关工程资料对照环境风险导则附录A.1对项目可能涉及的有毒有害、易燃易爆物质进行危险性识别和综合评价，确定环境风险评价因子。对照《建设项目环境风险评价技术导则》（HJ169-2018）附录B，本项目涉及到的风险物质主要有液碱、PAM、硫酸及生物制剂等。</w:t>
      </w:r>
    </w:p>
    <w:p w14:paraId="5DAFEB88">
      <w:pPr>
        <w:bidi w:val="0"/>
        <w:ind w:left="0" w:leftChars="0" w:firstLine="0" w:firstLineChars="0"/>
        <w:jc w:val="center"/>
        <w:rPr>
          <w:rFonts w:hint="eastAsia"/>
          <w:b/>
          <w:bCs/>
          <w:sz w:val="21"/>
          <w:szCs w:val="21"/>
          <w:highlight w:val="none"/>
          <w:lang w:val="en-US" w:eastAsia="zh-CN"/>
        </w:rPr>
      </w:pPr>
      <w:r>
        <w:rPr>
          <w:rFonts w:hint="eastAsia"/>
          <w:b/>
          <w:bCs/>
          <w:sz w:val="21"/>
          <w:szCs w:val="21"/>
          <w:highlight w:val="none"/>
          <w:lang w:val="en-US" w:eastAsia="zh-CN"/>
        </w:rPr>
        <w:t>表6.5-1  风险物质理化性质一览表</w:t>
      </w:r>
    </w:p>
    <w:tbl>
      <w:tblPr>
        <w:tblStyle w:val="106"/>
        <w:tblW w:w="5483"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541"/>
        <w:gridCol w:w="913"/>
        <w:gridCol w:w="510"/>
        <w:gridCol w:w="551"/>
        <w:gridCol w:w="725"/>
        <w:gridCol w:w="684"/>
        <w:gridCol w:w="1106"/>
        <w:gridCol w:w="3840"/>
        <w:gridCol w:w="1111"/>
      </w:tblGrid>
      <w:tr w14:paraId="7C9B1D8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0" w:hRule="atLeast"/>
          <w:tblHeader/>
          <w:jc w:val="center"/>
        </w:trPr>
        <w:tc>
          <w:tcPr>
            <w:tcW w:w="270" w:type="pct"/>
            <w:vAlign w:val="center"/>
          </w:tcPr>
          <w:p w14:paraId="74AE570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
                <w:bCs/>
                <w:sz w:val="21"/>
                <w:szCs w:val="21"/>
                <w:highlight w:val="none"/>
                <w:lang w:eastAsia="en-US"/>
              </w:rPr>
            </w:pPr>
            <w:r>
              <w:rPr>
                <w:b/>
                <w:bCs/>
                <w:sz w:val="21"/>
                <w:szCs w:val="21"/>
                <w:highlight w:val="none"/>
                <w:lang w:eastAsia="en-US"/>
              </w:rPr>
              <w:t>序号</w:t>
            </w:r>
          </w:p>
        </w:tc>
        <w:tc>
          <w:tcPr>
            <w:tcW w:w="457" w:type="pct"/>
            <w:vAlign w:val="center"/>
          </w:tcPr>
          <w:p w14:paraId="49EBAD8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
                <w:bCs/>
                <w:sz w:val="21"/>
                <w:szCs w:val="21"/>
                <w:highlight w:val="none"/>
                <w:lang w:eastAsia="en-US"/>
              </w:rPr>
            </w:pPr>
            <w:r>
              <w:rPr>
                <w:b/>
                <w:bCs/>
                <w:sz w:val="21"/>
                <w:szCs w:val="21"/>
                <w:highlight w:val="none"/>
                <w:lang w:eastAsia="en-US"/>
              </w:rPr>
              <w:t>物质名称</w:t>
            </w:r>
          </w:p>
        </w:tc>
        <w:tc>
          <w:tcPr>
            <w:tcW w:w="255" w:type="pct"/>
            <w:vAlign w:val="center"/>
          </w:tcPr>
          <w:p w14:paraId="42D6C32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
                <w:bCs/>
                <w:sz w:val="21"/>
                <w:szCs w:val="21"/>
                <w:highlight w:val="none"/>
                <w:lang w:eastAsia="en-US"/>
              </w:rPr>
            </w:pPr>
            <w:r>
              <w:rPr>
                <w:b/>
                <w:bCs/>
                <w:sz w:val="21"/>
                <w:szCs w:val="21"/>
                <w:highlight w:val="none"/>
                <w:lang w:eastAsia="en-US"/>
              </w:rPr>
              <w:t>相态</w:t>
            </w:r>
          </w:p>
        </w:tc>
        <w:tc>
          <w:tcPr>
            <w:tcW w:w="275" w:type="pct"/>
            <w:vAlign w:val="center"/>
          </w:tcPr>
          <w:p w14:paraId="515DA5B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
                <w:bCs/>
                <w:sz w:val="21"/>
                <w:szCs w:val="21"/>
                <w:highlight w:val="none"/>
                <w:lang w:eastAsia="en-US"/>
              </w:rPr>
            </w:pPr>
            <w:r>
              <w:rPr>
                <w:b/>
                <w:bCs/>
                <w:sz w:val="21"/>
                <w:szCs w:val="21"/>
                <w:highlight w:val="none"/>
                <w:lang w:eastAsia="en-US"/>
              </w:rPr>
              <w:t>毒性</w:t>
            </w:r>
          </w:p>
        </w:tc>
        <w:tc>
          <w:tcPr>
            <w:tcW w:w="363" w:type="pct"/>
            <w:vAlign w:val="center"/>
          </w:tcPr>
          <w:p w14:paraId="7D2D7EC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
                <w:bCs/>
                <w:sz w:val="21"/>
                <w:szCs w:val="21"/>
                <w:highlight w:val="none"/>
                <w:lang w:eastAsia="en-US"/>
              </w:rPr>
            </w:pPr>
            <w:r>
              <w:rPr>
                <w:b/>
                <w:bCs/>
                <w:sz w:val="21"/>
                <w:szCs w:val="21"/>
                <w:highlight w:val="none"/>
                <w:lang w:eastAsia="en-US"/>
              </w:rPr>
              <w:t>腐蚀性</w:t>
            </w:r>
          </w:p>
        </w:tc>
        <w:tc>
          <w:tcPr>
            <w:tcW w:w="342" w:type="pct"/>
            <w:vAlign w:val="center"/>
          </w:tcPr>
          <w:p w14:paraId="7F5415C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
                <w:bCs/>
                <w:sz w:val="21"/>
                <w:szCs w:val="21"/>
                <w:highlight w:val="none"/>
                <w:lang w:eastAsia="en-US"/>
              </w:rPr>
            </w:pPr>
            <w:r>
              <w:rPr>
                <w:b/>
                <w:bCs/>
                <w:sz w:val="21"/>
                <w:szCs w:val="21"/>
                <w:highlight w:val="none"/>
                <w:lang w:eastAsia="en-US"/>
              </w:rPr>
              <w:t>易燃性</w:t>
            </w:r>
          </w:p>
        </w:tc>
        <w:tc>
          <w:tcPr>
            <w:tcW w:w="554" w:type="pct"/>
            <w:vAlign w:val="center"/>
          </w:tcPr>
          <w:p w14:paraId="6C3D4A0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b/>
                <w:bCs/>
                <w:sz w:val="21"/>
                <w:szCs w:val="21"/>
                <w:highlight w:val="none"/>
                <w:lang w:val="en-US" w:eastAsia="zh-CN"/>
              </w:rPr>
            </w:pPr>
            <w:r>
              <w:rPr>
                <w:b/>
                <w:bCs/>
                <w:sz w:val="21"/>
                <w:szCs w:val="21"/>
                <w:highlight w:val="none"/>
                <w:lang w:eastAsia="en-US"/>
              </w:rPr>
              <w:t>是否属于</w:t>
            </w:r>
            <w:r>
              <w:rPr>
                <w:rFonts w:hint="eastAsia"/>
                <w:b/>
                <w:bCs/>
                <w:sz w:val="21"/>
                <w:szCs w:val="21"/>
                <w:highlight w:val="none"/>
                <w:lang w:val="en-US" w:eastAsia="zh-CN"/>
              </w:rPr>
              <w:t>环境风险物质</w:t>
            </w:r>
          </w:p>
        </w:tc>
        <w:tc>
          <w:tcPr>
            <w:tcW w:w="1923" w:type="pct"/>
            <w:vAlign w:val="center"/>
          </w:tcPr>
          <w:p w14:paraId="6A1532D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
                <w:bCs/>
                <w:sz w:val="21"/>
                <w:szCs w:val="21"/>
                <w:highlight w:val="none"/>
                <w:lang w:eastAsia="en-US"/>
              </w:rPr>
            </w:pPr>
            <w:r>
              <w:rPr>
                <w:b/>
                <w:bCs/>
                <w:sz w:val="21"/>
                <w:szCs w:val="21"/>
                <w:highlight w:val="none"/>
                <w:lang w:eastAsia="en-US"/>
              </w:rPr>
              <w:t>理化性质</w:t>
            </w:r>
          </w:p>
        </w:tc>
        <w:tc>
          <w:tcPr>
            <w:tcW w:w="556" w:type="pct"/>
            <w:vAlign w:val="center"/>
          </w:tcPr>
          <w:p w14:paraId="18B7994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b/>
                <w:bCs/>
                <w:sz w:val="21"/>
                <w:szCs w:val="21"/>
                <w:highlight w:val="none"/>
                <w:lang w:val="en-US" w:eastAsia="zh-CN"/>
              </w:rPr>
            </w:pPr>
            <w:r>
              <w:rPr>
                <w:rFonts w:hint="eastAsia"/>
                <w:b/>
                <w:bCs/>
                <w:sz w:val="21"/>
                <w:szCs w:val="21"/>
                <w:highlight w:val="none"/>
                <w:lang w:val="en-US" w:eastAsia="zh-CN"/>
              </w:rPr>
              <w:t>分布位置</w:t>
            </w:r>
          </w:p>
        </w:tc>
      </w:tr>
      <w:tr w14:paraId="76AFA09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270" w:type="pct"/>
            <w:vAlign w:val="center"/>
          </w:tcPr>
          <w:p w14:paraId="46C9478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sz w:val="21"/>
                <w:szCs w:val="21"/>
                <w:highlight w:val="none"/>
                <w:lang w:eastAsia="en-US"/>
              </w:rPr>
            </w:pPr>
            <w:r>
              <w:rPr>
                <w:sz w:val="21"/>
                <w:szCs w:val="21"/>
                <w:highlight w:val="none"/>
                <w:lang w:eastAsia="en-US"/>
              </w:rPr>
              <w:t>1</w:t>
            </w:r>
          </w:p>
        </w:tc>
        <w:tc>
          <w:tcPr>
            <w:tcW w:w="457" w:type="pct"/>
            <w:vAlign w:val="center"/>
          </w:tcPr>
          <w:p w14:paraId="5A7D92E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sz w:val="21"/>
                <w:szCs w:val="21"/>
                <w:highlight w:val="none"/>
                <w:lang w:eastAsia="en-US"/>
              </w:rPr>
            </w:pPr>
            <w:r>
              <w:rPr>
                <w:rFonts w:hint="eastAsia"/>
                <w:sz w:val="21"/>
                <w:szCs w:val="21"/>
                <w:highlight w:val="none"/>
                <w:lang w:val="en-US" w:eastAsia="en-US"/>
              </w:rPr>
              <w:t>液碱</w:t>
            </w:r>
          </w:p>
        </w:tc>
        <w:tc>
          <w:tcPr>
            <w:tcW w:w="255" w:type="pct"/>
            <w:vAlign w:val="center"/>
          </w:tcPr>
          <w:p w14:paraId="5C2C935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sz w:val="21"/>
                <w:szCs w:val="21"/>
                <w:highlight w:val="none"/>
                <w:lang w:eastAsia="en-US"/>
              </w:rPr>
            </w:pPr>
            <w:r>
              <w:rPr>
                <w:sz w:val="21"/>
                <w:szCs w:val="21"/>
                <w:highlight w:val="none"/>
                <w:lang w:eastAsia="en-US"/>
              </w:rPr>
              <w:t>液</w:t>
            </w:r>
          </w:p>
        </w:tc>
        <w:tc>
          <w:tcPr>
            <w:tcW w:w="275" w:type="pct"/>
            <w:vAlign w:val="center"/>
          </w:tcPr>
          <w:p w14:paraId="51CFC94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sz w:val="21"/>
                <w:szCs w:val="21"/>
                <w:highlight w:val="none"/>
                <w:lang w:eastAsia="en-US"/>
              </w:rPr>
            </w:pPr>
            <w:r>
              <w:rPr>
                <w:sz w:val="21"/>
                <w:szCs w:val="21"/>
                <w:highlight w:val="none"/>
                <w:lang w:eastAsia="en-US"/>
              </w:rPr>
              <w:t>√</w:t>
            </w:r>
          </w:p>
        </w:tc>
        <w:tc>
          <w:tcPr>
            <w:tcW w:w="363" w:type="pct"/>
            <w:vAlign w:val="center"/>
          </w:tcPr>
          <w:p w14:paraId="2D58970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sz w:val="21"/>
                <w:szCs w:val="21"/>
                <w:highlight w:val="none"/>
                <w:lang w:eastAsia="en-US"/>
              </w:rPr>
            </w:pPr>
            <w:r>
              <w:rPr>
                <w:sz w:val="21"/>
                <w:szCs w:val="21"/>
                <w:highlight w:val="none"/>
                <w:lang w:eastAsia="en-US"/>
              </w:rPr>
              <w:t>√</w:t>
            </w:r>
          </w:p>
        </w:tc>
        <w:tc>
          <w:tcPr>
            <w:tcW w:w="342" w:type="pct"/>
            <w:vAlign w:val="center"/>
          </w:tcPr>
          <w:p w14:paraId="64705F8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sz w:val="21"/>
                <w:szCs w:val="21"/>
                <w:highlight w:val="none"/>
                <w:lang w:eastAsia="en-US"/>
              </w:rPr>
            </w:pPr>
            <w:r>
              <w:rPr>
                <w:sz w:val="21"/>
                <w:szCs w:val="21"/>
                <w:highlight w:val="none"/>
                <w:lang w:eastAsia="en-US"/>
              </w:rPr>
              <w:t>—</w:t>
            </w:r>
          </w:p>
        </w:tc>
        <w:tc>
          <w:tcPr>
            <w:tcW w:w="554" w:type="pct"/>
            <w:vAlign w:val="center"/>
          </w:tcPr>
          <w:p w14:paraId="702CD36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sz w:val="21"/>
                <w:szCs w:val="21"/>
                <w:highlight w:val="none"/>
                <w:lang w:val="en-US" w:eastAsia="zh-CN"/>
              </w:rPr>
            </w:pPr>
            <w:r>
              <w:rPr>
                <w:rFonts w:hint="eastAsia"/>
                <w:sz w:val="21"/>
                <w:szCs w:val="21"/>
                <w:highlight w:val="none"/>
                <w:lang w:val="en-US" w:eastAsia="zh-CN"/>
              </w:rPr>
              <w:t>否</w:t>
            </w:r>
          </w:p>
        </w:tc>
        <w:tc>
          <w:tcPr>
            <w:tcW w:w="1923" w:type="pct"/>
            <w:vAlign w:val="center"/>
          </w:tcPr>
          <w:p w14:paraId="4DA78F5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sz w:val="21"/>
                <w:szCs w:val="21"/>
                <w:highlight w:val="none"/>
                <w:lang w:eastAsia="zh-CN"/>
              </w:rPr>
            </w:pPr>
            <w:r>
              <w:rPr>
                <w:sz w:val="21"/>
                <w:szCs w:val="21"/>
                <w:highlight w:val="none"/>
                <w:lang w:eastAsia="zh-CN"/>
              </w:rPr>
              <w:t>纯品为无色透明液体</w:t>
            </w:r>
            <w:r>
              <w:rPr>
                <w:rFonts w:hint="eastAsia"/>
                <w:sz w:val="21"/>
                <w:szCs w:val="21"/>
                <w:highlight w:val="none"/>
                <w:lang w:eastAsia="zh-CN"/>
              </w:rPr>
              <w:t>，</w:t>
            </w:r>
            <w:r>
              <w:rPr>
                <w:rFonts w:hint="default"/>
                <w:sz w:val="21"/>
                <w:szCs w:val="21"/>
                <w:highlight w:val="none"/>
                <w:lang w:eastAsia="zh-CN"/>
              </w:rPr>
              <w:fldChar w:fldCharType="begin"/>
            </w:r>
            <w:r>
              <w:rPr>
                <w:rFonts w:hint="default"/>
                <w:sz w:val="21"/>
                <w:szCs w:val="21"/>
                <w:highlight w:val="none"/>
                <w:lang w:eastAsia="zh-CN"/>
              </w:rPr>
              <w:instrText xml:space="preserve"> HYPERLINK "https://baike.baidu.com/item/%E7%9B%B8%E5%AF%B9%E5%AF%86%E5%BA%A6/0?fromModule=lemma_inlink" \t "https://baike.baidu.com/item/%E6%B6%B2%E7%A2%B1/_blank" </w:instrText>
            </w:r>
            <w:r>
              <w:rPr>
                <w:rFonts w:hint="default"/>
                <w:sz w:val="21"/>
                <w:szCs w:val="21"/>
                <w:highlight w:val="none"/>
                <w:lang w:eastAsia="zh-CN"/>
              </w:rPr>
              <w:fldChar w:fldCharType="separate"/>
            </w:r>
            <w:r>
              <w:rPr>
                <w:rFonts w:hint="default"/>
                <w:sz w:val="21"/>
                <w:szCs w:val="21"/>
                <w:highlight w:val="none"/>
                <w:lang w:eastAsia="zh-CN"/>
              </w:rPr>
              <w:t>相对密度</w:t>
            </w:r>
            <w:r>
              <w:rPr>
                <w:rFonts w:hint="default"/>
                <w:sz w:val="21"/>
                <w:szCs w:val="21"/>
                <w:highlight w:val="none"/>
                <w:lang w:eastAsia="zh-CN"/>
              </w:rPr>
              <w:fldChar w:fldCharType="end"/>
            </w:r>
            <w:r>
              <w:rPr>
                <w:rFonts w:hint="eastAsia"/>
                <w:sz w:val="21"/>
                <w:szCs w:val="21"/>
                <w:highlight w:val="none"/>
                <w:lang w:val="en-US" w:eastAsia="zh-CN"/>
              </w:rPr>
              <w:t>2.12</w:t>
            </w:r>
            <w:r>
              <w:rPr>
                <w:rFonts w:hint="default"/>
                <w:sz w:val="21"/>
                <w:szCs w:val="21"/>
                <w:highlight w:val="none"/>
                <w:lang w:eastAsia="zh-CN"/>
              </w:rPr>
              <w:t>，熔点318.4℃，沸点1390℃。易溶于水、乙醇和甘油，溶解时释放大量热量，溶液呈强碱性</w:t>
            </w:r>
            <w:r>
              <w:rPr>
                <w:rFonts w:hint="eastAsia"/>
                <w:sz w:val="21"/>
                <w:szCs w:val="21"/>
                <w:highlight w:val="none"/>
                <w:lang w:eastAsia="zh-CN"/>
              </w:rPr>
              <w:t>。</w:t>
            </w:r>
          </w:p>
        </w:tc>
        <w:tc>
          <w:tcPr>
            <w:tcW w:w="556" w:type="pct"/>
            <w:vAlign w:val="center"/>
          </w:tcPr>
          <w:p w14:paraId="1ED5001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sz w:val="21"/>
                <w:szCs w:val="21"/>
                <w:highlight w:val="none"/>
                <w:lang w:val="en-US" w:eastAsia="zh-CN"/>
              </w:rPr>
            </w:pPr>
            <w:r>
              <w:rPr>
                <w:rFonts w:hint="eastAsia"/>
                <w:sz w:val="21"/>
                <w:szCs w:val="21"/>
                <w:highlight w:val="none"/>
                <w:lang w:val="en-US" w:eastAsia="zh-CN"/>
              </w:rPr>
              <w:t>一体化污水处理装置区</w:t>
            </w:r>
          </w:p>
        </w:tc>
      </w:tr>
      <w:tr w14:paraId="57FF0E9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1881" w:hRule="atLeast"/>
          <w:jc w:val="center"/>
        </w:trPr>
        <w:tc>
          <w:tcPr>
            <w:tcW w:w="270" w:type="pct"/>
            <w:vAlign w:val="center"/>
          </w:tcPr>
          <w:p w14:paraId="6FB8517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sz w:val="21"/>
                <w:szCs w:val="21"/>
                <w:highlight w:val="none"/>
                <w:lang w:eastAsia="en-US"/>
              </w:rPr>
            </w:pPr>
            <w:r>
              <w:rPr>
                <w:sz w:val="21"/>
                <w:szCs w:val="21"/>
                <w:highlight w:val="none"/>
                <w:lang w:eastAsia="en-US"/>
              </w:rPr>
              <w:t>2</w:t>
            </w:r>
          </w:p>
        </w:tc>
        <w:tc>
          <w:tcPr>
            <w:tcW w:w="457" w:type="pct"/>
            <w:vAlign w:val="center"/>
          </w:tcPr>
          <w:p w14:paraId="7803D6E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sz w:val="21"/>
                <w:szCs w:val="21"/>
                <w:highlight w:val="none"/>
                <w:lang w:eastAsia="en-US"/>
              </w:rPr>
            </w:pPr>
            <w:r>
              <w:rPr>
                <w:rFonts w:hint="eastAsia"/>
                <w:sz w:val="21"/>
                <w:szCs w:val="21"/>
                <w:highlight w:val="none"/>
                <w:lang w:val="en-US" w:eastAsia="en-US"/>
              </w:rPr>
              <w:t>硫酸</w:t>
            </w:r>
          </w:p>
        </w:tc>
        <w:tc>
          <w:tcPr>
            <w:tcW w:w="255" w:type="pct"/>
            <w:vAlign w:val="center"/>
          </w:tcPr>
          <w:p w14:paraId="081CF95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sz w:val="21"/>
                <w:szCs w:val="21"/>
                <w:highlight w:val="none"/>
                <w:lang w:eastAsia="en-US"/>
              </w:rPr>
            </w:pPr>
            <w:r>
              <w:rPr>
                <w:sz w:val="21"/>
                <w:szCs w:val="21"/>
                <w:highlight w:val="none"/>
                <w:lang w:eastAsia="en-US"/>
              </w:rPr>
              <w:t>液</w:t>
            </w:r>
          </w:p>
        </w:tc>
        <w:tc>
          <w:tcPr>
            <w:tcW w:w="275" w:type="pct"/>
            <w:vAlign w:val="center"/>
          </w:tcPr>
          <w:p w14:paraId="1F323D4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sz w:val="21"/>
                <w:szCs w:val="21"/>
                <w:highlight w:val="none"/>
                <w:lang w:eastAsia="en-US"/>
              </w:rPr>
            </w:pPr>
            <w:r>
              <w:rPr>
                <w:sz w:val="21"/>
                <w:szCs w:val="21"/>
                <w:highlight w:val="none"/>
                <w:lang w:eastAsia="en-US"/>
              </w:rPr>
              <w:t>√</w:t>
            </w:r>
          </w:p>
        </w:tc>
        <w:tc>
          <w:tcPr>
            <w:tcW w:w="363" w:type="pct"/>
            <w:vAlign w:val="center"/>
          </w:tcPr>
          <w:p w14:paraId="3593432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sz w:val="21"/>
                <w:szCs w:val="21"/>
                <w:highlight w:val="none"/>
                <w:lang w:eastAsia="en-US"/>
              </w:rPr>
            </w:pPr>
            <w:r>
              <w:rPr>
                <w:sz w:val="21"/>
                <w:szCs w:val="21"/>
                <w:highlight w:val="none"/>
                <w:lang w:eastAsia="en-US"/>
              </w:rPr>
              <w:t>√</w:t>
            </w:r>
          </w:p>
        </w:tc>
        <w:tc>
          <w:tcPr>
            <w:tcW w:w="342" w:type="pct"/>
            <w:vAlign w:val="center"/>
          </w:tcPr>
          <w:p w14:paraId="344CD1F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sz w:val="21"/>
                <w:szCs w:val="21"/>
                <w:highlight w:val="none"/>
                <w:lang w:eastAsia="en-US"/>
              </w:rPr>
            </w:pPr>
            <w:r>
              <w:rPr>
                <w:sz w:val="21"/>
                <w:szCs w:val="21"/>
                <w:highlight w:val="none"/>
                <w:lang w:eastAsia="en-US"/>
              </w:rPr>
              <w:t>—</w:t>
            </w:r>
          </w:p>
        </w:tc>
        <w:tc>
          <w:tcPr>
            <w:tcW w:w="554" w:type="pct"/>
            <w:vAlign w:val="center"/>
          </w:tcPr>
          <w:p w14:paraId="16BB5BB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sz w:val="21"/>
                <w:szCs w:val="21"/>
                <w:highlight w:val="none"/>
                <w:lang w:eastAsia="en-US"/>
              </w:rPr>
            </w:pPr>
            <w:r>
              <w:rPr>
                <w:sz w:val="21"/>
                <w:szCs w:val="21"/>
                <w:highlight w:val="none"/>
                <w:lang w:eastAsia="en-US"/>
              </w:rPr>
              <w:t>是</w:t>
            </w:r>
          </w:p>
        </w:tc>
        <w:tc>
          <w:tcPr>
            <w:tcW w:w="1923" w:type="pct"/>
            <w:shd w:val="clear" w:color="auto" w:fill="auto"/>
            <w:vAlign w:val="center"/>
          </w:tcPr>
          <w:p w14:paraId="413C95FC">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kern w:val="2"/>
                <w:sz w:val="21"/>
                <w:szCs w:val="21"/>
                <w:highlight w:val="none"/>
                <w:u w:val="none"/>
                <w:lang w:val="en-US" w:eastAsia="zh-CN" w:bidi="ar-SA"/>
              </w:rPr>
            </w:pPr>
            <w:r>
              <w:rPr>
                <w:rFonts w:hint="default" w:ascii="Times New Roman" w:hAnsi="Times New Roman" w:cs="Times New Roman"/>
                <w:sz w:val="21"/>
                <w:szCs w:val="21"/>
                <w:highlight w:val="none"/>
                <w:u w:val="none"/>
                <w:lang w:val="en-US" w:eastAsia="zh-CN"/>
              </w:rPr>
              <w:t>硫酸是一种无机化合物，化学式是H</w:t>
            </w:r>
            <w:r>
              <w:rPr>
                <w:rFonts w:hint="default" w:ascii="Times New Roman" w:hAnsi="Times New Roman" w:cs="Times New Roman"/>
                <w:sz w:val="21"/>
                <w:szCs w:val="21"/>
                <w:highlight w:val="none"/>
                <w:u w:val="none"/>
                <w:vertAlign w:val="subscript"/>
                <w:lang w:val="en-US" w:eastAsia="zh-CN"/>
              </w:rPr>
              <w:t>2</w:t>
            </w:r>
            <w:r>
              <w:rPr>
                <w:rFonts w:hint="default" w:ascii="Times New Roman" w:hAnsi="Times New Roman" w:cs="Times New Roman"/>
                <w:sz w:val="21"/>
                <w:szCs w:val="21"/>
                <w:highlight w:val="none"/>
                <w:u w:val="none"/>
                <w:lang w:val="en-US" w:eastAsia="zh-CN"/>
              </w:rPr>
              <w:t>SO</w:t>
            </w:r>
            <w:r>
              <w:rPr>
                <w:rFonts w:hint="default" w:ascii="Times New Roman" w:hAnsi="Times New Roman" w:cs="Times New Roman"/>
                <w:sz w:val="21"/>
                <w:szCs w:val="21"/>
                <w:highlight w:val="none"/>
                <w:u w:val="none"/>
                <w:vertAlign w:val="subscript"/>
                <w:lang w:val="en-US" w:eastAsia="zh-CN"/>
              </w:rPr>
              <w:t>4</w:t>
            </w:r>
            <w:r>
              <w:rPr>
                <w:rFonts w:hint="default" w:ascii="Times New Roman" w:hAnsi="Times New Roman" w:cs="Times New Roman"/>
                <w:sz w:val="21"/>
                <w:szCs w:val="21"/>
                <w:highlight w:val="none"/>
                <w:u w:val="none"/>
                <w:lang w:val="en-US" w:eastAsia="zh-CN"/>
              </w:rPr>
              <w:t>，是硫的最重要的</w:t>
            </w:r>
            <w:r>
              <w:rPr>
                <w:rFonts w:hint="default" w:ascii="Times New Roman" w:hAnsi="Times New Roman" w:cs="Times New Roman"/>
                <w:sz w:val="21"/>
                <w:szCs w:val="21"/>
                <w:highlight w:val="none"/>
                <w:u w:val="none"/>
                <w:lang w:val="en-US" w:eastAsia="zh-CN"/>
              </w:rPr>
              <w:fldChar w:fldCharType="begin"/>
            </w:r>
            <w:r>
              <w:rPr>
                <w:rFonts w:hint="default" w:ascii="Times New Roman" w:hAnsi="Times New Roman" w:cs="Times New Roman"/>
                <w:sz w:val="21"/>
                <w:szCs w:val="21"/>
                <w:highlight w:val="none"/>
                <w:u w:val="none"/>
                <w:lang w:val="en-US" w:eastAsia="zh-CN"/>
              </w:rPr>
              <w:instrText xml:space="preserve"> HYPERLINK "https://baike.baidu.com/item/%E5%90%AB%E6%B0%A7%E9%85%B8/155450?fromModule=lemma_inlink" \t "https://baike.baidu.com/item/%E7%A1%AB%E9%85%B8/_blank" </w:instrText>
            </w:r>
            <w:r>
              <w:rPr>
                <w:rFonts w:hint="default" w:ascii="Times New Roman" w:hAnsi="Times New Roman" w:cs="Times New Roman"/>
                <w:sz w:val="21"/>
                <w:szCs w:val="21"/>
                <w:highlight w:val="none"/>
                <w:u w:val="none"/>
                <w:lang w:val="en-US" w:eastAsia="zh-CN"/>
              </w:rPr>
              <w:fldChar w:fldCharType="separate"/>
            </w:r>
            <w:r>
              <w:rPr>
                <w:rFonts w:hint="default" w:ascii="Times New Roman" w:hAnsi="Times New Roman" w:cs="Times New Roman"/>
                <w:sz w:val="21"/>
                <w:szCs w:val="21"/>
                <w:highlight w:val="none"/>
                <w:u w:val="none"/>
                <w:lang w:val="en-US" w:eastAsia="zh-CN"/>
              </w:rPr>
              <w:t>含氧酸</w:t>
            </w:r>
            <w:r>
              <w:rPr>
                <w:rFonts w:hint="default" w:ascii="Times New Roman" w:hAnsi="Times New Roman" w:cs="Times New Roman"/>
                <w:sz w:val="21"/>
                <w:szCs w:val="21"/>
                <w:highlight w:val="none"/>
                <w:u w:val="none"/>
                <w:lang w:val="en-US" w:eastAsia="zh-CN"/>
              </w:rPr>
              <w:fldChar w:fldCharType="end"/>
            </w:r>
            <w:r>
              <w:rPr>
                <w:rFonts w:hint="default" w:ascii="Times New Roman" w:hAnsi="Times New Roman" w:cs="Times New Roman"/>
                <w:sz w:val="21"/>
                <w:szCs w:val="21"/>
                <w:highlight w:val="none"/>
                <w:u w:val="none"/>
                <w:lang w:val="en-US" w:eastAsia="zh-CN"/>
              </w:rPr>
              <w:t>。纯净的硫酸为无色油状液体，10.36℃时结晶，通常使用的是它的各种不同浓度的水溶液，用</w:t>
            </w:r>
            <w:r>
              <w:rPr>
                <w:rFonts w:hint="default" w:ascii="Times New Roman" w:hAnsi="Times New Roman" w:cs="Times New Roman"/>
                <w:sz w:val="21"/>
                <w:szCs w:val="21"/>
                <w:highlight w:val="none"/>
                <w:u w:val="none"/>
                <w:lang w:val="en-US" w:eastAsia="zh-CN"/>
              </w:rPr>
              <w:fldChar w:fldCharType="begin"/>
            </w:r>
            <w:r>
              <w:rPr>
                <w:rFonts w:hint="default" w:ascii="Times New Roman" w:hAnsi="Times New Roman" w:cs="Times New Roman"/>
                <w:sz w:val="21"/>
                <w:szCs w:val="21"/>
                <w:highlight w:val="none"/>
                <w:u w:val="none"/>
                <w:lang w:val="en-US" w:eastAsia="zh-CN"/>
              </w:rPr>
              <w:instrText xml:space="preserve"> HYPERLINK "https://baike.baidu.com/item/%E5%A1%94%E5%BC%8F%E6%B3%95/3715254?fromModule=lemma_inlink" \t "https://baike.baidu.com/item/%E7%A1%AB%E9%85%B8/_blank" </w:instrText>
            </w:r>
            <w:r>
              <w:rPr>
                <w:rFonts w:hint="default" w:ascii="Times New Roman" w:hAnsi="Times New Roman" w:cs="Times New Roman"/>
                <w:sz w:val="21"/>
                <w:szCs w:val="21"/>
                <w:highlight w:val="none"/>
                <w:u w:val="none"/>
                <w:lang w:val="en-US" w:eastAsia="zh-CN"/>
              </w:rPr>
              <w:fldChar w:fldCharType="separate"/>
            </w:r>
            <w:r>
              <w:rPr>
                <w:rFonts w:hint="default" w:ascii="Times New Roman" w:hAnsi="Times New Roman" w:cs="Times New Roman"/>
                <w:sz w:val="21"/>
                <w:szCs w:val="21"/>
                <w:highlight w:val="none"/>
                <w:u w:val="none"/>
                <w:lang w:val="en-US" w:eastAsia="zh-CN"/>
              </w:rPr>
              <w:t>塔式法</w:t>
            </w:r>
            <w:r>
              <w:rPr>
                <w:rFonts w:hint="default" w:ascii="Times New Roman" w:hAnsi="Times New Roman" w:cs="Times New Roman"/>
                <w:sz w:val="21"/>
                <w:szCs w:val="21"/>
                <w:highlight w:val="none"/>
                <w:u w:val="none"/>
                <w:lang w:val="en-US" w:eastAsia="zh-CN"/>
              </w:rPr>
              <w:fldChar w:fldCharType="end"/>
            </w:r>
            <w:r>
              <w:rPr>
                <w:rFonts w:hint="default" w:ascii="Times New Roman" w:hAnsi="Times New Roman" w:cs="Times New Roman"/>
                <w:sz w:val="21"/>
                <w:szCs w:val="21"/>
                <w:highlight w:val="none"/>
                <w:u w:val="none"/>
                <w:lang w:val="en-US" w:eastAsia="zh-CN"/>
              </w:rPr>
              <w:t>和</w:t>
            </w:r>
            <w:r>
              <w:rPr>
                <w:rFonts w:hint="default" w:ascii="Times New Roman" w:hAnsi="Times New Roman" w:cs="Times New Roman"/>
                <w:sz w:val="21"/>
                <w:szCs w:val="21"/>
                <w:highlight w:val="none"/>
                <w:u w:val="none"/>
                <w:lang w:val="en-US" w:eastAsia="zh-CN"/>
              </w:rPr>
              <w:fldChar w:fldCharType="begin"/>
            </w:r>
            <w:r>
              <w:rPr>
                <w:rFonts w:hint="default" w:ascii="Times New Roman" w:hAnsi="Times New Roman" w:cs="Times New Roman"/>
                <w:sz w:val="21"/>
                <w:szCs w:val="21"/>
                <w:highlight w:val="none"/>
                <w:u w:val="none"/>
                <w:lang w:val="en-US" w:eastAsia="zh-CN"/>
              </w:rPr>
              <w:instrText xml:space="preserve"> HYPERLINK "https://baike.baidu.com/item/%E6%8E%A5%E8%A7%A6%E6%B3%95/9609604?fromModule=lemma_inlink" \t "https://baike.baidu.com/item/%E7%A1%AB%E9%85%B8/_blank" </w:instrText>
            </w:r>
            <w:r>
              <w:rPr>
                <w:rFonts w:hint="default" w:ascii="Times New Roman" w:hAnsi="Times New Roman" w:cs="Times New Roman"/>
                <w:sz w:val="21"/>
                <w:szCs w:val="21"/>
                <w:highlight w:val="none"/>
                <w:u w:val="none"/>
                <w:lang w:val="en-US" w:eastAsia="zh-CN"/>
              </w:rPr>
              <w:fldChar w:fldCharType="separate"/>
            </w:r>
            <w:r>
              <w:rPr>
                <w:rFonts w:hint="default" w:ascii="Times New Roman" w:hAnsi="Times New Roman" w:cs="Times New Roman"/>
                <w:sz w:val="21"/>
                <w:szCs w:val="21"/>
                <w:highlight w:val="none"/>
                <w:u w:val="none"/>
                <w:lang w:val="en-US" w:eastAsia="zh-CN"/>
              </w:rPr>
              <w:t>接触法</w:t>
            </w:r>
            <w:r>
              <w:rPr>
                <w:rFonts w:hint="default" w:ascii="Times New Roman" w:hAnsi="Times New Roman" w:cs="Times New Roman"/>
                <w:sz w:val="21"/>
                <w:szCs w:val="21"/>
                <w:highlight w:val="none"/>
                <w:u w:val="none"/>
                <w:lang w:val="en-US" w:eastAsia="zh-CN"/>
              </w:rPr>
              <w:fldChar w:fldCharType="end"/>
            </w:r>
            <w:r>
              <w:rPr>
                <w:rFonts w:hint="default" w:ascii="Times New Roman" w:hAnsi="Times New Roman" w:cs="Times New Roman"/>
                <w:sz w:val="21"/>
                <w:szCs w:val="21"/>
                <w:highlight w:val="none"/>
                <w:u w:val="none"/>
                <w:lang w:val="en-US" w:eastAsia="zh-CN"/>
              </w:rPr>
              <w:t>制取。前者所得为粗制稀硫酸，质量分数一般在75%左右；后者可得质量分数98.3%的浓硫酸，沸点338℃，相对密度1.84。</w:t>
            </w:r>
          </w:p>
        </w:tc>
        <w:tc>
          <w:tcPr>
            <w:tcW w:w="556" w:type="pct"/>
            <w:shd w:val="clear" w:color="auto" w:fill="auto"/>
            <w:vAlign w:val="center"/>
          </w:tcPr>
          <w:p w14:paraId="5E0670C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en-US" w:bidi="ar-SA"/>
              </w:rPr>
            </w:pPr>
            <w:r>
              <w:rPr>
                <w:rFonts w:hint="eastAsia"/>
                <w:sz w:val="21"/>
                <w:szCs w:val="21"/>
                <w:highlight w:val="none"/>
                <w:lang w:val="en-US" w:eastAsia="zh-CN"/>
              </w:rPr>
              <w:t>一体化污水处理装置区</w:t>
            </w:r>
          </w:p>
        </w:tc>
      </w:tr>
      <w:tr w14:paraId="080F12F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270" w:type="pct"/>
            <w:vAlign w:val="center"/>
          </w:tcPr>
          <w:p w14:paraId="7999DAD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sz w:val="21"/>
                <w:szCs w:val="21"/>
                <w:highlight w:val="none"/>
                <w:lang w:eastAsia="en-US"/>
              </w:rPr>
            </w:pPr>
            <w:r>
              <w:rPr>
                <w:sz w:val="21"/>
                <w:szCs w:val="21"/>
                <w:highlight w:val="none"/>
                <w:lang w:eastAsia="en-US"/>
              </w:rPr>
              <w:t>3</w:t>
            </w:r>
          </w:p>
        </w:tc>
        <w:tc>
          <w:tcPr>
            <w:tcW w:w="457" w:type="pct"/>
            <w:vAlign w:val="center"/>
          </w:tcPr>
          <w:p w14:paraId="4B6A691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sz w:val="21"/>
                <w:szCs w:val="21"/>
                <w:highlight w:val="none"/>
                <w:lang w:eastAsia="en-US"/>
              </w:rPr>
            </w:pPr>
            <w:r>
              <w:rPr>
                <w:rFonts w:hint="eastAsia"/>
                <w:sz w:val="21"/>
                <w:szCs w:val="21"/>
                <w:highlight w:val="none"/>
                <w:lang w:val="en-US" w:eastAsia="en-US"/>
              </w:rPr>
              <w:t>PAM</w:t>
            </w:r>
          </w:p>
        </w:tc>
        <w:tc>
          <w:tcPr>
            <w:tcW w:w="255" w:type="pct"/>
            <w:vAlign w:val="center"/>
          </w:tcPr>
          <w:p w14:paraId="5AD7A91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sz w:val="21"/>
                <w:szCs w:val="21"/>
                <w:highlight w:val="none"/>
                <w:lang w:eastAsia="zh-CN"/>
              </w:rPr>
            </w:pPr>
            <w:r>
              <w:rPr>
                <w:rFonts w:hint="eastAsia"/>
                <w:sz w:val="21"/>
                <w:szCs w:val="21"/>
                <w:highlight w:val="none"/>
                <w:lang w:val="en-US" w:eastAsia="zh-CN"/>
              </w:rPr>
              <w:t>固</w:t>
            </w:r>
          </w:p>
        </w:tc>
        <w:tc>
          <w:tcPr>
            <w:tcW w:w="275" w:type="pct"/>
            <w:vAlign w:val="center"/>
          </w:tcPr>
          <w:p w14:paraId="6EBDCA6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sz w:val="21"/>
                <w:szCs w:val="21"/>
                <w:highlight w:val="none"/>
                <w:lang w:eastAsia="en-US"/>
              </w:rPr>
            </w:pPr>
            <w:r>
              <w:rPr>
                <w:sz w:val="21"/>
                <w:szCs w:val="21"/>
                <w:highlight w:val="none"/>
                <w:lang w:eastAsia="en-US"/>
              </w:rPr>
              <w:t>—</w:t>
            </w:r>
          </w:p>
        </w:tc>
        <w:tc>
          <w:tcPr>
            <w:tcW w:w="363" w:type="pct"/>
            <w:vAlign w:val="center"/>
          </w:tcPr>
          <w:p w14:paraId="70E9E96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sz w:val="21"/>
                <w:szCs w:val="21"/>
                <w:highlight w:val="none"/>
                <w:lang w:eastAsia="en-US"/>
              </w:rPr>
            </w:pPr>
            <w:r>
              <w:rPr>
                <w:sz w:val="21"/>
                <w:szCs w:val="21"/>
                <w:highlight w:val="none"/>
                <w:lang w:eastAsia="en-US"/>
              </w:rPr>
              <w:t>—</w:t>
            </w:r>
          </w:p>
        </w:tc>
        <w:tc>
          <w:tcPr>
            <w:tcW w:w="342" w:type="pct"/>
            <w:vAlign w:val="center"/>
          </w:tcPr>
          <w:p w14:paraId="696CEA4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sz w:val="21"/>
                <w:szCs w:val="21"/>
                <w:highlight w:val="none"/>
                <w:lang w:eastAsia="en-US"/>
              </w:rPr>
            </w:pPr>
            <w:r>
              <w:rPr>
                <w:sz w:val="21"/>
                <w:szCs w:val="21"/>
                <w:highlight w:val="none"/>
                <w:lang w:eastAsia="en-US"/>
              </w:rPr>
              <w:t>—</w:t>
            </w:r>
          </w:p>
        </w:tc>
        <w:tc>
          <w:tcPr>
            <w:tcW w:w="554" w:type="pct"/>
            <w:vAlign w:val="center"/>
          </w:tcPr>
          <w:p w14:paraId="67A43CC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sz w:val="21"/>
                <w:szCs w:val="21"/>
                <w:highlight w:val="none"/>
                <w:lang w:val="en-US" w:eastAsia="zh-CN"/>
              </w:rPr>
            </w:pPr>
            <w:r>
              <w:rPr>
                <w:rFonts w:hint="eastAsia"/>
                <w:sz w:val="21"/>
                <w:szCs w:val="21"/>
                <w:highlight w:val="none"/>
                <w:lang w:val="en-US" w:eastAsia="zh-CN"/>
              </w:rPr>
              <w:t>是</w:t>
            </w:r>
          </w:p>
        </w:tc>
        <w:tc>
          <w:tcPr>
            <w:tcW w:w="1923" w:type="pct"/>
            <w:vAlign w:val="center"/>
          </w:tcPr>
          <w:p w14:paraId="7EDA462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highlight w:val="none"/>
                <w:lang w:val="en-US" w:eastAsia="zh-CN"/>
              </w:rPr>
            </w:pPr>
            <w:r>
              <w:rPr>
                <w:rFonts w:hint="eastAsia"/>
                <w:sz w:val="21"/>
                <w:szCs w:val="21"/>
                <w:highlight w:val="none"/>
                <w:lang w:val="en-US" w:eastAsia="zh-CN"/>
              </w:rPr>
              <w:t>外观为白色颗粒（或粉末状），易溶于水，几乎不溶于苯、乙醚、丙酮等有机溶剂，</w:t>
            </w:r>
            <w:r>
              <w:rPr>
                <w:rFonts w:hint="default" w:ascii="Times New Roman" w:hAnsi="Times New Roman" w:cs="Times New Roman"/>
                <w:sz w:val="21"/>
                <w:szCs w:val="21"/>
                <w:highlight w:val="none"/>
                <w:lang w:val="en-US" w:eastAsia="zh-CN"/>
              </w:rPr>
              <w:t>23℃时密度为1.302克/毫升，</w:t>
            </w:r>
            <w:r>
              <w:rPr>
                <w:rFonts w:hint="eastAsia" w:ascii="Times New Roman" w:hAnsi="Times New Roman" w:cs="Times New Roman"/>
                <w:sz w:val="21"/>
                <w:szCs w:val="21"/>
                <w:highlight w:val="none"/>
                <w:lang w:val="en-US" w:eastAsia="zh-CN"/>
              </w:rPr>
              <w:t>主要用于废水处理</w:t>
            </w:r>
            <w:r>
              <w:rPr>
                <w:rFonts w:hint="eastAsia" w:cs="Times New Roman"/>
                <w:sz w:val="21"/>
                <w:szCs w:val="21"/>
                <w:highlight w:val="none"/>
                <w:lang w:val="en-US" w:eastAsia="zh-CN"/>
              </w:rPr>
              <w:t>，</w:t>
            </w:r>
            <w:r>
              <w:rPr>
                <w:rFonts w:hint="default" w:ascii="Times New Roman" w:hAnsi="Times New Roman" w:cs="Times New Roman"/>
                <w:sz w:val="21"/>
                <w:szCs w:val="21"/>
                <w:highlight w:val="none"/>
                <w:lang w:val="en-US" w:eastAsia="zh-CN"/>
              </w:rPr>
              <w:t>通过电中和、架桥吸附实现絮凝；极性基团吸附颗粒；机械作用增强分散相网状结构</w:t>
            </w:r>
            <w:r>
              <w:rPr>
                <w:rFonts w:hint="eastAsia" w:ascii="Times New Roman" w:hAnsi="Times New Roman" w:cs="Times New Roman"/>
                <w:sz w:val="21"/>
                <w:szCs w:val="21"/>
                <w:highlight w:val="none"/>
                <w:lang w:val="en-US" w:eastAsia="zh-CN"/>
              </w:rPr>
              <w:t>。</w:t>
            </w:r>
          </w:p>
        </w:tc>
        <w:tc>
          <w:tcPr>
            <w:tcW w:w="556" w:type="pct"/>
            <w:shd w:val="clear" w:color="auto" w:fill="auto"/>
            <w:vAlign w:val="center"/>
          </w:tcPr>
          <w:p w14:paraId="617E1CB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一体化污水处理装置区</w:t>
            </w:r>
          </w:p>
        </w:tc>
      </w:tr>
      <w:tr w14:paraId="1178E51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0" w:hRule="atLeast"/>
          <w:jc w:val="center"/>
        </w:trPr>
        <w:tc>
          <w:tcPr>
            <w:tcW w:w="270" w:type="pct"/>
            <w:vAlign w:val="center"/>
          </w:tcPr>
          <w:p w14:paraId="03AB049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4</w:t>
            </w:r>
          </w:p>
        </w:tc>
        <w:tc>
          <w:tcPr>
            <w:tcW w:w="457" w:type="pct"/>
            <w:vAlign w:val="center"/>
          </w:tcPr>
          <w:p w14:paraId="18BB7FB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lang w:eastAsia="zh-CN"/>
              </w:rPr>
            </w:pPr>
            <w:r>
              <w:rPr>
                <w:rFonts w:hint="eastAsia"/>
                <w:sz w:val="21"/>
                <w:szCs w:val="21"/>
                <w:highlight w:val="none"/>
                <w:lang w:val="en-US" w:eastAsia="zh-CN"/>
              </w:rPr>
              <w:t>生物制剂</w:t>
            </w:r>
          </w:p>
        </w:tc>
        <w:tc>
          <w:tcPr>
            <w:tcW w:w="255" w:type="pct"/>
            <w:vAlign w:val="center"/>
          </w:tcPr>
          <w:p w14:paraId="0078AA7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sz w:val="21"/>
                <w:szCs w:val="21"/>
                <w:highlight w:val="none"/>
                <w:lang w:eastAsia="en-US"/>
              </w:rPr>
            </w:pPr>
            <w:r>
              <w:rPr>
                <w:rFonts w:hint="eastAsia"/>
                <w:sz w:val="21"/>
                <w:szCs w:val="21"/>
                <w:highlight w:val="none"/>
                <w:lang w:val="en-US" w:eastAsia="zh-CN"/>
              </w:rPr>
              <w:t>固/</w:t>
            </w:r>
            <w:r>
              <w:rPr>
                <w:sz w:val="21"/>
                <w:szCs w:val="21"/>
                <w:highlight w:val="none"/>
                <w:lang w:eastAsia="en-US"/>
              </w:rPr>
              <w:t>液</w:t>
            </w:r>
          </w:p>
        </w:tc>
        <w:tc>
          <w:tcPr>
            <w:tcW w:w="275" w:type="pct"/>
            <w:vAlign w:val="center"/>
          </w:tcPr>
          <w:p w14:paraId="110BAAD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sz w:val="21"/>
                <w:szCs w:val="21"/>
                <w:highlight w:val="none"/>
                <w:lang w:eastAsia="en-US"/>
              </w:rPr>
            </w:pPr>
            <w:r>
              <w:rPr>
                <w:sz w:val="21"/>
                <w:szCs w:val="21"/>
                <w:highlight w:val="none"/>
                <w:lang w:eastAsia="en-US"/>
              </w:rPr>
              <w:t>—</w:t>
            </w:r>
          </w:p>
        </w:tc>
        <w:tc>
          <w:tcPr>
            <w:tcW w:w="363" w:type="pct"/>
            <w:vAlign w:val="center"/>
          </w:tcPr>
          <w:p w14:paraId="363218A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sz w:val="21"/>
                <w:szCs w:val="21"/>
                <w:highlight w:val="none"/>
                <w:lang w:eastAsia="en-US"/>
              </w:rPr>
            </w:pPr>
            <w:r>
              <w:rPr>
                <w:sz w:val="21"/>
                <w:szCs w:val="21"/>
                <w:highlight w:val="none"/>
                <w:lang w:eastAsia="en-US"/>
              </w:rPr>
              <w:t>—</w:t>
            </w:r>
          </w:p>
        </w:tc>
        <w:tc>
          <w:tcPr>
            <w:tcW w:w="342" w:type="pct"/>
            <w:vAlign w:val="center"/>
          </w:tcPr>
          <w:p w14:paraId="011AE47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sz w:val="21"/>
                <w:szCs w:val="21"/>
                <w:highlight w:val="none"/>
                <w:lang w:eastAsia="en-US"/>
              </w:rPr>
            </w:pPr>
            <w:r>
              <w:rPr>
                <w:sz w:val="21"/>
                <w:szCs w:val="21"/>
                <w:highlight w:val="none"/>
                <w:lang w:eastAsia="en-US"/>
              </w:rPr>
              <w:t>—</w:t>
            </w:r>
          </w:p>
        </w:tc>
        <w:tc>
          <w:tcPr>
            <w:tcW w:w="554" w:type="pct"/>
            <w:vAlign w:val="center"/>
          </w:tcPr>
          <w:p w14:paraId="1C4B9C2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sz w:val="21"/>
                <w:szCs w:val="21"/>
                <w:highlight w:val="none"/>
                <w:lang w:val="en-US" w:eastAsia="zh-CN"/>
              </w:rPr>
            </w:pPr>
            <w:r>
              <w:rPr>
                <w:rFonts w:hint="eastAsia"/>
                <w:sz w:val="21"/>
                <w:szCs w:val="21"/>
                <w:highlight w:val="none"/>
                <w:lang w:val="en-US" w:eastAsia="zh-CN"/>
              </w:rPr>
              <w:t>是</w:t>
            </w:r>
          </w:p>
        </w:tc>
        <w:tc>
          <w:tcPr>
            <w:tcW w:w="1923" w:type="pct"/>
            <w:vAlign w:val="center"/>
          </w:tcPr>
          <w:p w14:paraId="796E120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生物制剂为金属捕捉剂，是一种与</w:t>
            </w:r>
            <w:r>
              <w:rPr>
                <w:rFonts w:hint="eastAsia"/>
                <w:sz w:val="21"/>
                <w:szCs w:val="21"/>
                <w:highlight w:val="none"/>
                <w:lang w:val="en-US" w:eastAsia="zh-CN"/>
              </w:rPr>
              <w:fldChar w:fldCharType="begin"/>
            </w:r>
            <w:r>
              <w:rPr>
                <w:rFonts w:hint="eastAsia"/>
                <w:sz w:val="21"/>
                <w:szCs w:val="21"/>
                <w:highlight w:val="none"/>
                <w:lang w:val="en-US" w:eastAsia="zh-CN"/>
              </w:rPr>
              <w:instrText xml:space="preserve"> HYPERLINK "https://baike.baidu.com/item/%E9%87%8D%E9%87%91%E5%B1%9E/22099?fromModule=lemma_inlink" \t "https://baike.baidu.com/item/%E9%87%8D%E9%87%91%E5%B1%9E%E7%A6%BB%E5%AD%90%E6%8D%95%E6%8D%89%E5%89%82/_blank" </w:instrText>
            </w:r>
            <w:r>
              <w:rPr>
                <w:rFonts w:hint="eastAsia"/>
                <w:sz w:val="21"/>
                <w:szCs w:val="21"/>
                <w:highlight w:val="none"/>
                <w:lang w:val="en-US" w:eastAsia="zh-CN"/>
              </w:rPr>
              <w:fldChar w:fldCharType="separate"/>
            </w:r>
            <w:r>
              <w:rPr>
                <w:rFonts w:hint="eastAsia"/>
                <w:sz w:val="21"/>
                <w:szCs w:val="21"/>
                <w:highlight w:val="none"/>
                <w:lang w:val="en-US" w:eastAsia="zh-CN"/>
              </w:rPr>
              <w:t>重金属</w:t>
            </w:r>
            <w:r>
              <w:rPr>
                <w:rFonts w:hint="eastAsia"/>
                <w:sz w:val="21"/>
                <w:szCs w:val="21"/>
                <w:highlight w:val="none"/>
                <w:lang w:val="en-US" w:eastAsia="zh-CN"/>
              </w:rPr>
              <w:fldChar w:fldCharType="end"/>
            </w:r>
            <w:r>
              <w:rPr>
                <w:rFonts w:hint="eastAsia"/>
                <w:sz w:val="21"/>
                <w:szCs w:val="21"/>
                <w:highlight w:val="none"/>
                <w:lang w:val="en-US" w:eastAsia="zh-CN"/>
              </w:rPr>
              <w:t>离子强力螯合的化工药剂，因能在常温和很宽的PH值条件范围内，与废水中的Cu</w:t>
            </w:r>
            <w:r>
              <w:rPr>
                <w:rFonts w:hint="eastAsia"/>
                <w:sz w:val="21"/>
                <w:szCs w:val="21"/>
                <w:highlight w:val="none"/>
                <w:vertAlign w:val="superscript"/>
                <w:lang w:val="en-US" w:eastAsia="zh-CN"/>
              </w:rPr>
              <w:t>2+</w:t>
            </w:r>
            <w:r>
              <w:rPr>
                <w:rFonts w:hint="eastAsia"/>
                <w:sz w:val="21"/>
                <w:szCs w:val="21"/>
                <w:highlight w:val="none"/>
                <w:lang w:val="en-US" w:eastAsia="zh-CN"/>
              </w:rPr>
              <w:t>、Cd</w:t>
            </w:r>
            <w:r>
              <w:rPr>
                <w:rFonts w:hint="eastAsia"/>
                <w:sz w:val="21"/>
                <w:szCs w:val="21"/>
                <w:highlight w:val="none"/>
                <w:vertAlign w:val="superscript"/>
                <w:lang w:val="en-US" w:eastAsia="zh-CN"/>
              </w:rPr>
              <w:t>2+</w:t>
            </w:r>
            <w:r>
              <w:rPr>
                <w:rFonts w:hint="eastAsia"/>
                <w:sz w:val="21"/>
                <w:szCs w:val="21"/>
                <w:highlight w:val="none"/>
                <w:lang w:val="en-US" w:eastAsia="zh-CN"/>
              </w:rPr>
              <w:t>、Hg</w:t>
            </w:r>
            <w:r>
              <w:rPr>
                <w:rFonts w:hint="eastAsia"/>
                <w:sz w:val="21"/>
                <w:szCs w:val="21"/>
                <w:highlight w:val="none"/>
                <w:vertAlign w:val="superscript"/>
                <w:lang w:val="en-US" w:eastAsia="zh-CN"/>
              </w:rPr>
              <w:t>2+</w:t>
            </w:r>
            <w:r>
              <w:rPr>
                <w:rFonts w:hint="eastAsia"/>
                <w:sz w:val="21"/>
                <w:szCs w:val="21"/>
                <w:highlight w:val="none"/>
                <w:lang w:val="en-US" w:eastAsia="zh-CN"/>
              </w:rPr>
              <w:t>、Pb</w:t>
            </w:r>
            <w:r>
              <w:rPr>
                <w:rFonts w:hint="eastAsia"/>
                <w:sz w:val="21"/>
                <w:szCs w:val="21"/>
                <w:highlight w:val="none"/>
                <w:vertAlign w:val="superscript"/>
                <w:lang w:val="en-US" w:eastAsia="zh-CN"/>
              </w:rPr>
              <w:t>2+</w:t>
            </w:r>
            <w:r>
              <w:rPr>
                <w:rFonts w:hint="eastAsia"/>
                <w:sz w:val="21"/>
                <w:szCs w:val="21"/>
                <w:highlight w:val="none"/>
                <w:lang w:val="en-US" w:eastAsia="zh-CN"/>
              </w:rPr>
              <w:t>、Mn</w:t>
            </w:r>
            <w:r>
              <w:rPr>
                <w:rFonts w:hint="eastAsia"/>
                <w:sz w:val="21"/>
                <w:szCs w:val="21"/>
                <w:highlight w:val="none"/>
                <w:vertAlign w:val="superscript"/>
                <w:lang w:val="en-US" w:eastAsia="zh-CN"/>
              </w:rPr>
              <w:t>2+</w:t>
            </w:r>
            <w:r>
              <w:rPr>
                <w:rFonts w:hint="eastAsia"/>
                <w:sz w:val="21"/>
                <w:szCs w:val="21"/>
                <w:highlight w:val="none"/>
                <w:lang w:val="en-US" w:eastAsia="zh-CN"/>
              </w:rPr>
              <w:t>、Ni</w:t>
            </w:r>
            <w:r>
              <w:rPr>
                <w:rFonts w:hint="eastAsia"/>
                <w:sz w:val="21"/>
                <w:szCs w:val="21"/>
                <w:highlight w:val="none"/>
                <w:vertAlign w:val="superscript"/>
                <w:lang w:val="en-US" w:eastAsia="zh-CN"/>
              </w:rPr>
              <w:t>2+</w:t>
            </w:r>
            <w:r>
              <w:rPr>
                <w:rFonts w:hint="eastAsia"/>
                <w:sz w:val="21"/>
                <w:szCs w:val="21"/>
                <w:highlight w:val="none"/>
                <w:lang w:val="en-US" w:eastAsia="zh-CN"/>
              </w:rPr>
              <w:t>、Zn</w:t>
            </w:r>
            <w:r>
              <w:rPr>
                <w:rFonts w:hint="eastAsia"/>
                <w:sz w:val="21"/>
                <w:szCs w:val="21"/>
                <w:highlight w:val="none"/>
                <w:vertAlign w:val="superscript"/>
                <w:lang w:val="en-US" w:eastAsia="zh-CN"/>
              </w:rPr>
              <w:t>2+</w:t>
            </w:r>
            <w:r>
              <w:rPr>
                <w:rFonts w:hint="eastAsia"/>
                <w:sz w:val="21"/>
                <w:szCs w:val="21"/>
                <w:highlight w:val="none"/>
                <w:lang w:val="en-US" w:eastAsia="zh-CN"/>
              </w:rPr>
              <w:t>、Cr</w:t>
            </w:r>
            <w:r>
              <w:rPr>
                <w:rFonts w:hint="eastAsia"/>
                <w:sz w:val="21"/>
                <w:szCs w:val="21"/>
                <w:highlight w:val="none"/>
                <w:vertAlign w:val="superscript"/>
                <w:lang w:val="en-US" w:eastAsia="zh-CN"/>
              </w:rPr>
              <w:t>3+</w:t>
            </w:r>
            <w:r>
              <w:rPr>
                <w:rFonts w:hint="eastAsia"/>
                <w:sz w:val="21"/>
                <w:szCs w:val="21"/>
                <w:highlight w:val="none"/>
                <w:lang w:val="en-US" w:eastAsia="zh-CN"/>
              </w:rPr>
              <w:t>等各种重金属离子进行化学反应，并在短时间内迅速生成不溶性、低含水量、容易过滤去除的絮状沉淀。</w:t>
            </w:r>
          </w:p>
        </w:tc>
        <w:tc>
          <w:tcPr>
            <w:tcW w:w="556" w:type="pct"/>
            <w:shd w:val="clear" w:color="auto" w:fill="auto"/>
            <w:vAlign w:val="center"/>
          </w:tcPr>
          <w:p w14:paraId="1BCF9A6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一体化污水处理装置区</w:t>
            </w:r>
          </w:p>
        </w:tc>
      </w:tr>
    </w:tbl>
    <w:p w14:paraId="0DADBEFF">
      <w:pPr>
        <w:pStyle w:val="9"/>
        <w:numPr>
          <w:ilvl w:val="2"/>
          <w:numId w:val="1"/>
        </w:numPr>
        <w:bidi w:val="0"/>
        <w:ind w:left="709" w:leftChars="0" w:hanging="709" w:firstLineChars="0"/>
        <w:rPr>
          <w:rFonts w:hint="eastAsia"/>
          <w:highlight w:val="none"/>
          <w:lang w:val="en-US" w:eastAsia="zh-CN"/>
        </w:rPr>
      </w:pPr>
      <w:r>
        <w:rPr>
          <w:rFonts w:hint="eastAsia"/>
          <w:highlight w:val="none"/>
          <w:lang w:val="en-US" w:eastAsia="zh-CN"/>
        </w:rPr>
        <w:t>生产系统危险性识别</w:t>
      </w:r>
    </w:p>
    <w:p w14:paraId="62329D4A">
      <w:pPr>
        <w:bidi w:val="0"/>
        <w:rPr>
          <w:rFonts w:hint="eastAsia"/>
          <w:highlight w:val="none"/>
          <w:lang w:val="en-US" w:eastAsia="zh-CN"/>
        </w:rPr>
      </w:pPr>
      <w:r>
        <w:rPr>
          <w:rFonts w:hint="eastAsia"/>
          <w:highlight w:val="none"/>
          <w:lang w:val="en-US" w:eastAsia="zh-CN"/>
        </w:rPr>
        <w:t>生产系统危险性识别是通过对生产装置、贮运系统、公用工程系统、环保设施及辅助生产设施等运行过程中存在的危险因素和可能发生的风险类型进行识别。本项目生产系统危险性识别主要考虑填埋场填埋区、渗滤液收集池、一体化废水处理装置区等，具体生产系统危险性识别内容如下表所示。</w:t>
      </w:r>
    </w:p>
    <w:p w14:paraId="3AFBFDDF">
      <w:pPr>
        <w:ind w:left="0" w:leftChars="0" w:firstLine="0" w:firstLineChars="0"/>
        <w:jc w:val="center"/>
        <w:rPr>
          <w:rFonts w:hint="eastAsia"/>
          <w:b/>
          <w:bCs/>
          <w:sz w:val="21"/>
          <w:szCs w:val="21"/>
          <w:highlight w:val="none"/>
          <w:lang w:val="en-US" w:eastAsia="zh-CN"/>
        </w:rPr>
      </w:pPr>
      <w:r>
        <w:rPr>
          <w:rFonts w:hint="eastAsia"/>
          <w:b/>
          <w:bCs/>
          <w:sz w:val="21"/>
          <w:szCs w:val="21"/>
          <w:highlight w:val="none"/>
          <w:lang w:val="en-US" w:eastAsia="zh-CN"/>
        </w:rPr>
        <w:t>表6.5-2  本项目生产系统危险性识别一览表</w:t>
      </w:r>
    </w:p>
    <w:tbl>
      <w:tblPr>
        <w:tblStyle w:val="36"/>
        <w:tblW w:w="5045"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651"/>
        <w:gridCol w:w="1401"/>
        <w:gridCol w:w="1520"/>
        <w:gridCol w:w="2446"/>
        <w:gridCol w:w="1857"/>
        <w:gridCol w:w="1497"/>
      </w:tblGrid>
      <w:tr w14:paraId="3401675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blHeader/>
          <w:jc w:val="center"/>
        </w:trPr>
        <w:tc>
          <w:tcPr>
            <w:tcW w:w="347" w:type="pct"/>
            <w:vAlign w:val="center"/>
          </w:tcPr>
          <w:p w14:paraId="3950AADB">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b/>
                <w:bCs/>
                <w:sz w:val="21"/>
                <w:szCs w:val="21"/>
                <w:highlight w:val="none"/>
                <w:lang w:val="en-US" w:eastAsia="zh-CN"/>
              </w:rPr>
            </w:pPr>
            <w:r>
              <w:rPr>
                <w:rFonts w:hint="eastAsia"/>
                <w:b/>
                <w:bCs/>
                <w:sz w:val="21"/>
                <w:szCs w:val="21"/>
                <w:highlight w:val="none"/>
                <w:lang w:val="en-US" w:eastAsia="zh-CN"/>
              </w:rPr>
              <w:t>序号</w:t>
            </w:r>
          </w:p>
        </w:tc>
        <w:tc>
          <w:tcPr>
            <w:tcW w:w="747" w:type="pct"/>
            <w:vAlign w:val="center"/>
          </w:tcPr>
          <w:p w14:paraId="4CD95F73">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b/>
                <w:bCs/>
                <w:sz w:val="21"/>
                <w:szCs w:val="21"/>
                <w:highlight w:val="none"/>
                <w:lang w:val="en-US" w:eastAsia="zh-CN"/>
              </w:rPr>
            </w:pPr>
            <w:r>
              <w:rPr>
                <w:rFonts w:hint="eastAsia"/>
                <w:b/>
                <w:bCs/>
                <w:sz w:val="21"/>
                <w:szCs w:val="21"/>
                <w:highlight w:val="none"/>
                <w:lang w:val="en-US" w:eastAsia="zh-CN"/>
              </w:rPr>
              <w:t>危险单元</w:t>
            </w:r>
          </w:p>
        </w:tc>
        <w:tc>
          <w:tcPr>
            <w:tcW w:w="810" w:type="pct"/>
            <w:vAlign w:val="center"/>
          </w:tcPr>
          <w:p w14:paraId="44EE3D46">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b/>
                <w:bCs/>
                <w:sz w:val="21"/>
                <w:szCs w:val="21"/>
                <w:highlight w:val="none"/>
                <w:lang w:val="en-US" w:eastAsia="zh-CN"/>
              </w:rPr>
            </w:pPr>
            <w:r>
              <w:rPr>
                <w:rFonts w:hint="eastAsia"/>
                <w:b/>
                <w:bCs/>
                <w:sz w:val="21"/>
                <w:szCs w:val="21"/>
                <w:highlight w:val="none"/>
                <w:lang w:val="en-US" w:eastAsia="zh-CN"/>
              </w:rPr>
              <w:t>风险源</w:t>
            </w:r>
          </w:p>
        </w:tc>
        <w:tc>
          <w:tcPr>
            <w:tcW w:w="1304" w:type="pct"/>
            <w:vAlign w:val="center"/>
          </w:tcPr>
          <w:p w14:paraId="3FD5D482">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b/>
                <w:bCs/>
                <w:sz w:val="21"/>
                <w:szCs w:val="21"/>
                <w:highlight w:val="none"/>
                <w:lang w:val="en-US" w:eastAsia="zh-CN"/>
              </w:rPr>
            </w:pPr>
            <w:r>
              <w:rPr>
                <w:rFonts w:hint="eastAsia"/>
                <w:b/>
                <w:bCs/>
                <w:sz w:val="21"/>
                <w:szCs w:val="21"/>
                <w:highlight w:val="none"/>
                <w:lang w:val="en-US" w:eastAsia="zh-CN"/>
              </w:rPr>
              <w:t>事故触发因素</w:t>
            </w:r>
          </w:p>
        </w:tc>
        <w:tc>
          <w:tcPr>
            <w:tcW w:w="990" w:type="pct"/>
            <w:vAlign w:val="center"/>
          </w:tcPr>
          <w:p w14:paraId="0A3F294D">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b/>
                <w:bCs/>
                <w:sz w:val="21"/>
                <w:szCs w:val="21"/>
                <w:highlight w:val="none"/>
                <w:lang w:val="en-US" w:eastAsia="zh-CN"/>
              </w:rPr>
            </w:pPr>
            <w:r>
              <w:rPr>
                <w:rFonts w:hint="eastAsia"/>
                <w:b/>
                <w:bCs/>
                <w:sz w:val="21"/>
                <w:szCs w:val="21"/>
                <w:highlight w:val="none"/>
                <w:lang w:val="en-US" w:eastAsia="zh-CN"/>
              </w:rPr>
              <w:t>主要危险物质</w:t>
            </w:r>
          </w:p>
        </w:tc>
        <w:tc>
          <w:tcPr>
            <w:tcW w:w="798" w:type="pct"/>
            <w:vAlign w:val="center"/>
          </w:tcPr>
          <w:p w14:paraId="5ACA87A2">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b/>
                <w:bCs/>
                <w:sz w:val="21"/>
                <w:szCs w:val="21"/>
                <w:highlight w:val="none"/>
                <w:lang w:val="en-US" w:eastAsia="zh-CN"/>
              </w:rPr>
            </w:pPr>
            <w:r>
              <w:rPr>
                <w:rFonts w:hint="eastAsia"/>
                <w:b/>
                <w:bCs/>
                <w:sz w:val="21"/>
                <w:szCs w:val="21"/>
                <w:highlight w:val="none"/>
                <w:lang w:val="en-US" w:eastAsia="zh-CN"/>
              </w:rPr>
              <w:t>主要事故类型</w:t>
            </w:r>
          </w:p>
        </w:tc>
      </w:tr>
      <w:tr w14:paraId="691B725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347" w:type="pct"/>
            <w:vAlign w:val="center"/>
          </w:tcPr>
          <w:p w14:paraId="46182285">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1</w:t>
            </w:r>
          </w:p>
        </w:tc>
        <w:tc>
          <w:tcPr>
            <w:tcW w:w="747" w:type="pct"/>
            <w:vAlign w:val="center"/>
          </w:tcPr>
          <w:p w14:paraId="135DEE3D">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填埋场填埋区</w:t>
            </w:r>
          </w:p>
        </w:tc>
        <w:tc>
          <w:tcPr>
            <w:tcW w:w="810" w:type="pct"/>
            <w:vAlign w:val="center"/>
          </w:tcPr>
          <w:p w14:paraId="38886E13">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none"/>
                <w:lang w:val="en-US" w:eastAsia="zh-CN"/>
              </w:rPr>
            </w:pPr>
            <w:r>
              <w:rPr>
                <w:rFonts w:hint="default" w:ascii="Times New Roman" w:hAnsi="Times New Roman" w:cs="Times New Roman"/>
                <w:sz w:val="21"/>
                <w:szCs w:val="21"/>
                <w:highlight w:val="none"/>
                <w:lang w:val="en-US" w:eastAsia="zh-CN"/>
              </w:rPr>
              <w:t>第</w:t>
            </w:r>
            <w:r>
              <w:rPr>
                <w:rFonts w:hint="default" w:ascii="Times New Roman" w:hAnsi="Times New Roman" w:eastAsia="宋体" w:cs="Times New Roman"/>
                <w:sz w:val="21"/>
                <w:szCs w:val="21"/>
                <w:highlight w:val="none"/>
                <w:lang w:val="en-US" w:eastAsia="zh-CN"/>
              </w:rPr>
              <w:t>Ⅰ</w:t>
            </w:r>
            <w:r>
              <w:rPr>
                <w:rFonts w:hint="default" w:ascii="Times New Roman" w:hAnsi="Times New Roman" w:cs="Times New Roman"/>
                <w:sz w:val="21"/>
                <w:szCs w:val="21"/>
                <w:highlight w:val="none"/>
                <w:lang w:val="en-US" w:eastAsia="zh-CN"/>
              </w:rPr>
              <w:t>类和Ⅱ类一般固废</w:t>
            </w:r>
          </w:p>
        </w:tc>
        <w:tc>
          <w:tcPr>
            <w:tcW w:w="1304" w:type="pct"/>
            <w:vAlign w:val="center"/>
          </w:tcPr>
          <w:p w14:paraId="35E3BAC0">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sz w:val="21"/>
                <w:szCs w:val="21"/>
                <w:highlight w:val="none"/>
                <w:lang w:val="en-US" w:eastAsia="zh-CN"/>
              </w:rPr>
            </w:pPr>
            <w:r>
              <w:rPr>
                <w:rFonts w:hint="eastAsia"/>
                <w:sz w:val="21"/>
                <w:szCs w:val="21"/>
                <w:highlight w:val="none"/>
                <w:lang w:val="en-US" w:eastAsia="zh-CN"/>
              </w:rPr>
              <w:t>溃坝或防渗层破损</w:t>
            </w:r>
          </w:p>
        </w:tc>
        <w:tc>
          <w:tcPr>
            <w:tcW w:w="990" w:type="pct"/>
            <w:vAlign w:val="center"/>
          </w:tcPr>
          <w:p w14:paraId="4CAF7150">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none"/>
                <w:lang w:val="en-US" w:eastAsia="zh-CN"/>
              </w:rPr>
            </w:pPr>
            <w:r>
              <w:rPr>
                <w:rFonts w:hint="default" w:ascii="Times New Roman" w:hAnsi="Times New Roman" w:cs="Times New Roman"/>
                <w:sz w:val="21"/>
                <w:szCs w:val="21"/>
                <w:highlight w:val="none"/>
                <w:lang w:val="en-US" w:eastAsia="zh-CN"/>
              </w:rPr>
              <w:t>第</w:t>
            </w:r>
            <w:r>
              <w:rPr>
                <w:rFonts w:hint="default" w:ascii="Times New Roman" w:hAnsi="Times New Roman" w:eastAsia="宋体" w:cs="Times New Roman"/>
                <w:sz w:val="21"/>
                <w:szCs w:val="21"/>
                <w:highlight w:val="none"/>
                <w:lang w:val="en-US" w:eastAsia="zh-CN"/>
              </w:rPr>
              <w:t>Ⅰ</w:t>
            </w:r>
            <w:r>
              <w:rPr>
                <w:rFonts w:hint="default" w:ascii="Times New Roman" w:hAnsi="Times New Roman" w:cs="Times New Roman"/>
                <w:sz w:val="21"/>
                <w:szCs w:val="21"/>
                <w:highlight w:val="none"/>
                <w:lang w:val="en-US" w:eastAsia="zh-CN"/>
              </w:rPr>
              <w:t>类和Ⅱ类一般固废</w:t>
            </w:r>
          </w:p>
        </w:tc>
        <w:tc>
          <w:tcPr>
            <w:tcW w:w="798" w:type="pct"/>
            <w:vAlign w:val="center"/>
          </w:tcPr>
          <w:p w14:paraId="3495E739">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sz w:val="21"/>
                <w:szCs w:val="21"/>
                <w:highlight w:val="none"/>
                <w:lang w:val="en-US" w:eastAsia="zh-CN"/>
              </w:rPr>
            </w:pPr>
            <w:r>
              <w:rPr>
                <w:rFonts w:hint="eastAsia"/>
                <w:sz w:val="21"/>
                <w:szCs w:val="21"/>
                <w:highlight w:val="none"/>
                <w:lang w:val="en-US" w:eastAsia="zh-CN"/>
              </w:rPr>
              <w:t>溃坝、防渗层破坏或者老化</w:t>
            </w:r>
          </w:p>
        </w:tc>
      </w:tr>
      <w:tr w14:paraId="5EEAFCB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347" w:type="pct"/>
            <w:vAlign w:val="center"/>
          </w:tcPr>
          <w:p w14:paraId="2F3D40B1">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sz w:val="21"/>
                <w:szCs w:val="21"/>
                <w:highlight w:val="none"/>
                <w:lang w:val="en-US" w:eastAsia="zh-CN"/>
              </w:rPr>
            </w:pPr>
            <w:r>
              <w:rPr>
                <w:rFonts w:hint="eastAsia"/>
                <w:sz w:val="21"/>
                <w:szCs w:val="21"/>
                <w:highlight w:val="none"/>
                <w:lang w:val="en-US" w:eastAsia="zh-CN"/>
              </w:rPr>
              <w:t>2</w:t>
            </w:r>
          </w:p>
        </w:tc>
        <w:tc>
          <w:tcPr>
            <w:tcW w:w="747" w:type="pct"/>
            <w:vAlign w:val="center"/>
          </w:tcPr>
          <w:p w14:paraId="1D2D4F3C">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none"/>
                <w:lang w:val="en-US" w:eastAsia="zh-CN"/>
              </w:rPr>
            </w:pPr>
            <w:r>
              <w:rPr>
                <w:rFonts w:hint="eastAsia" w:cs="Times New Roman"/>
                <w:sz w:val="21"/>
                <w:szCs w:val="21"/>
                <w:highlight w:val="none"/>
                <w:lang w:val="en-US" w:eastAsia="zh-CN"/>
              </w:rPr>
              <w:t>渗滤液罐车</w:t>
            </w:r>
          </w:p>
        </w:tc>
        <w:tc>
          <w:tcPr>
            <w:tcW w:w="810" w:type="pct"/>
            <w:vAlign w:val="center"/>
          </w:tcPr>
          <w:p w14:paraId="5CEA7F73">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sz w:val="21"/>
                <w:szCs w:val="21"/>
                <w:highlight w:val="none"/>
                <w:lang w:val="en-US" w:eastAsia="zh-CN"/>
              </w:rPr>
            </w:pPr>
            <w:r>
              <w:rPr>
                <w:rFonts w:hint="eastAsia" w:cs="Times New Roman"/>
                <w:sz w:val="21"/>
                <w:szCs w:val="21"/>
                <w:highlight w:val="none"/>
                <w:lang w:val="en-US" w:eastAsia="zh-CN"/>
              </w:rPr>
              <w:t>渗滤液罐车</w:t>
            </w:r>
          </w:p>
        </w:tc>
        <w:tc>
          <w:tcPr>
            <w:tcW w:w="1304" w:type="pct"/>
            <w:vAlign w:val="center"/>
          </w:tcPr>
          <w:p w14:paraId="6CD32A15">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sz w:val="21"/>
                <w:szCs w:val="21"/>
                <w:highlight w:val="none"/>
                <w:lang w:val="en-US" w:eastAsia="zh-CN"/>
              </w:rPr>
            </w:pPr>
            <w:r>
              <w:rPr>
                <w:rFonts w:hint="eastAsia"/>
                <w:sz w:val="21"/>
                <w:szCs w:val="21"/>
                <w:highlight w:val="none"/>
                <w:lang w:val="en-US" w:eastAsia="zh-CN"/>
              </w:rPr>
              <w:t>运输事故</w:t>
            </w:r>
          </w:p>
        </w:tc>
        <w:tc>
          <w:tcPr>
            <w:tcW w:w="990" w:type="pct"/>
            <w:vAlign w:val="center"/>
          </w:tcPr>
          <w:p w14:paraId="45E34293">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sz w:val="21"/>
                <w:szCs w:val="21"/>
                <w:highlight w:val="none"/>
                <w:lang w:val="en-US" w:eastAsia="zh-CN"/>
              </w:rPr>
            </w:pPr>
            <w:r>
              <w:rPr>
                <w:rFonts w:hint="eastAsia"/>
                <w:sz w:val="21"/>
                <w:szCs w:val="21"/>
                <w:highlight w:val="none"/>
                <w:lang w:val="en-US" w:eastAsia="zh-CN"/>
              </w:rPr>
              <w:t>渗滤液泄漏</w:t>
            </w:r>
          </w:p>
        </w:tc>
        <w:tc>
          <w:tcPr>
            <w:tcW w:w="798" w:type="pct"/>
            <w:vAlign w:val="center"/>
          </w:tcPr>
          <w:p w14:paraId="7CC046FA">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有毒有害物料泄漏；废水污染物超标排放</w:t>
            </w:r>
          </w:p>
        </w:tc>
      </w:tr>
      <w:tr w14:paraId="21CA2D4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347" w:type="pct"/>
            <w:vAlign w:val="center"/>
          </w:tcPr>
          <w:p w14:paraId="1BDD174C">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3</w:t>
            </w:r>
          </w:p>
        </w:tc>
        <w:tc>
          <w:tcPr>
            <w:tcW w:w="747" w:type="pct"/>
            <w:vAlign w:val="center"/>
          </w:tcPr>
          <w:p w14:paraId="4520F44B">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sz w:val="21"/>
                <w:szCs w:val="21"/>
                <w:highlight w:val="none"/>
                <w:lang w:val="en-US" w:eastAsia="zh-CN"/>
              </w:rPr>
            </w:pPr>
            <w:r>
              <w:rPr>
                <w:rFonts w:hint="eastAsia"/>
                <w:sz w:val="21"/>
                <w:szCs w:val="21"/>
                <w:highlight w:val="none"/>
                <w:lang w:val="en-US" w:eastAsia="zh-CN"/>
              </w:rPr>
              <w:t>渗滤液收集池</w:t>
            </w:r>
          </w:p>
        </w:tc>
        <w:tc>
          <w:tcPr>
            <w:tcW w:w="810" w:type="pct"/>
            <w:vAlign w:val="center"/>
          </w:tcPr>
          <w:p w14:paraId="664DD910">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sz w:val="21"/>
                <w:szCs w:val="21"/>
                <w:highlight w:val="none"/>
                <w:lang w:val="en-US" w:eastAsia="zh-CN"/>
              </w:rPr>
            </w:pPr>
            <w:r>
              <w:rPr>
                <w:rFonts w:hint="eastAsia"/>
                <w:sz w:val="21"/>
                <w:szCs w:val="21"/>
                <w:highlight w:val="none"/>
                <w:lang w:val="en-US" w:eastAsia="zh-CN"/>
              </w:rPr>
              <w:t>渗滤液</w:t>
            </w:r>
          </w:p>
        </w:tc>
        <w:tc>
          <w:tcPr>
            <w:tcW w:w="1304" w:type="pct"/>
            <w:vAlign w:val="center"/>
          </w:tcPr>
          <w:p w14:paraId="60EC5580">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防渗池破坏，渗滤液泄露</w:t>
            </w:r>
          </w:p>
        </w:tc>
        <w:tc>
          <w:tcPr>
            <w:tcW w:w="990" w:type="pct"/>
            <w:vAlign w:val="center"/>
          </w:tcPr>
          <w:p w14:paraId="3B28FCE8">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渗滤液泄漏</w:t>
            </w:r>
          </w:p>
        </w:tc>
        <w:tc>
          <w:tcPr>
            <w:tcW w:w="798" w:type="pct"/>
            <w:vAlign w:val="center"/>
          </w:tcPr>
          <w:p w14:paraId="723FE2E1">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有毒有害物料泄漏；废水污染物超标排放</w:t>
            </w:r>
          </w:p>
        </w:tc>
      </w:tr>
      <w:tr w14:paraId="47CDD94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347" w:type="pct"/>
            <w:vAlign w:val="center"/>
          </w:tcPr>
          <w:p w14:paraId="670EEA69">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4</w:t>
            </w:r>
          </w:p>
        </w:tc>
        <w:tc>
          <w:tcPr>
            <w:tcW w:w="747" w:type="pct"/>
            <w:vAlign w:val="center"/>
          </w:tcPr>
          <w:p w14:paraId="5B64A525">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废水处理站</w:t>
            </w:r>
          </w:p>
        </w:tc>
        <w:tc>
          <w:tcPr>
            <w:tcW w:w="810" w:type="pct"/>
            <w:vAlign w:val="center"/>
          </w:tcPr>
          <w:p w14:paraId="1D8C314F">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sz w:val="21"/>
                <w:szCs w:val="21"/>
                <w:highlight w:val="none"/>
                <w:lang w:val="en-US" w:eastAsia="zh-CN"/>
              </w:rPr>
            </w:pPr>
            <w:r>
              <w:rPr>
                <w:rFonts w:hint="default"/>
                <w:sz w:val="21"/>
                <w:szCs w:val="21"/>
                <w:highlight w:val="none"/>
                <w:lang w:val="en-US" w:eastAsia="zh-CN"/>
              </w:rPr>
              <w:t>液碱、PAM、硫酸及生物制剂</w:t>
            </w:r>
            <w:r>
              <w:rPr>
                <w:rFonts w:hint="eastAsia"/>
                <w:sz w:val="21"/>
                <w:szCs w:val="21"/>
                <w:highlight w:val="none"/>
                <w:lang w:val="en-US" w:eastAsia="zh-CN"/>
              </w:rPr>
              <w:t>等药剂</w:t>
            </w:r>
          </w:p>
        </w:tc>
        <w:tc>
          <w:tcPr>
            <w:tcW w:w="1304" w:type="pct"/>
            <w:vAlign w:val="center"/>
          </w:tcPr>
          <w:p w14:paraId="5CD0EAAC">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sz w:val="21"/>
                <w:szCs w:val="21"/>
                <w:highlight w:val="none"/>
                <w:lang w:val="en-US" w:eastAsia="zh-CN"/>
              </w:rPr>
            </w:pPr>
            <w:r>
              <w:rPr>
                <w:rFonts w:hint="eastAsia"/>
                <w:sz w:val="21"/>
                <w:szCs w:val="21"/>
                <w:highlight w:val="none"/>
                <w:lang w:val="en-US" w:eastAsia="zh-CN"/>
              </w:rPr>
              <w:t>储存容器破损</w:t>
            </w:r>
          </w:p>
        </w:tc>
        <w:tc>
          <w:tcPr>
            <w:tcW w:w="990" w:type="pct"/>
            <w:vAlign w:val="center"/>
          </w:tcPr>
          <w:p w14:paraId="7D14F893">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sz w:val="21"/>
                <w:szCs w:val="21"/>
                <w:highlight w:val="none"/>
                <w:lang w:val="en-US" w:eastAsia="zh-CN"/>
              </w:rPr>
            </w:pPr>
            <w:r>
              <w:rPr>
                <w:rFonts w:hint="eastAsia"/>
                <w:sz w:val="21"/>
                <w:szCs w:val="21"/>
                <w:highlight w:val="none"/>
                <w:lang w:val="en-US" w:eastAsia="zh-CN"/>
              </w:rPr>
              <w:t>液碱、PAM、硫酸及生物制剂等</w:t>
            </w:r>
          </w:p>
        </w:tc>
        <w:tc>
          <w:tcPr>
            <w:tcW w:w="798" w:type="pct"/>
            <w:vAlign w:val="center"/>
          </w:tcPr>
          <w:p w14:paraId="39101DFD">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有毒有害物料泄漏</w:t>
            </w:r>
          </w:p>
        </w:tc>
      </w:tr>
    </w:tbl>
    <w:p w14:paraId="4977E275">
      <w:pPr>
        <w:pStyle w:val="8"/>
        <w:numPr>
          <w:ilvl w:val="1"/>
          <w:numId w:val="1"/>
        </w:numPr>
        <w:tabs>
          <w:tab w:val="clear" w:pos="420"/>
        </w:tabs>
        <w:bidi w:val="0"/>
        <w:ind w:left="567" w:leftChars="0" w:hanging="567" w:firstLineChars="0"/>
        <w:rPr>
          <w:rFonts w:hint="eastAsia"/>
          <w:highlight w:val="none"/>
          <w:lang w:val="en-US" w:eastAsia="zh-CN"/>
        </w:rPr>
      </w:pPr>
      <w:bookmarkStart w:id="83" w:name="_Toc2653"/>
      <w:r>
        <w:rPr>
          <w:rFonts w:hint="eastAsia"/>
          <w:highlight w:val="none"/>
          <w:lang w:val="en-US" w:eastAsia="zh-CN"/>
        </w:rPr>
        <w:t>风险影响分析</w:t>
      </w:r>
      <w:bookmarkEnd w:id="83"/>
    </w:p>
    <w:p w14:paraId="25AC822F">
      <w:pPr>
        <w:pStyle w:val="9"/>
        <w:numPr>
          <w:ilvl w:val="2"/>
          <w:numId w:val="1"/>
        </w:numPr>
        <w:bidi w:val="0"/>
        <w:ind w:left="709" w:leftChars="0" w:hanging="709" w:firstLineChars="0"/>
        <w:rPr>
          <w:rFonts w:hint="default"/>
          <w:lang w:val="en-US" w:eastAsia="zh-CN"/>
        </w:rPr>
      </w:pPr>
      <w:r>
        <w:rPr>
          <w:rFonts w:hint="eastAsia"/>
          <w:lang w:val="en-US" w:eastAsia="zh-CN"/>
        </w:rPr>
        <w:t>挡渣坝溃坝事故分析</w:t>
      </w:r>
    </w:p>
    <w:p w14:paraId="7EFE85A8">
      <w:pPr>
        <w:bidi w:val="0"/>
        <w:rPr>
          <w:rFonts w:hint="eastAsia"/>
          <w:highlight w:val="none"/>
          <w:lang w:val="en-US" w:eastAsia="zh-CN"/>
        </w:rPr>
      </w:pPr>
      <w:r>
        <w:rPr>
          <w:rFonts w:hint="eastAsia"/>
          <w:highlight w:val="none"/>
          <w:lang w:val="en-US" w:eastAsia="zh-CN"/>
        </w:rPr>
        <w:t>挡渣坝溃决后，填埋场的废渣如同泥石流一样向场外泄出，不仅使填埋场周边受到环境污染，也使得周边生态受到破坏，甚至威胁生命。一旦挡渣坝发生挡渣坝溃决，填埋场的工业废渣将会最先涌入溪沟，多余的废渣会冲向下游的农田及林地。本项目填埋场库容有限，且挡渣坝高度不高，下游村庄不会被废渣淹没。因此，本项目溃坝对当地居民影响不大，主要为下游旱地会可能受到一定覆盖和污染。</w:t>
      </w:r>
    </w:p>
    <w:p w14:paraId="2A5224D0">
      <w:pPr>
        <w:pStyle w:val="9"/>
        <w:numPr>
          <w:ilvl w:val="2"/>
          <w:numId w:val="1"/>
        </w:numPr>
        <w:bidi w:val="0"/>
        <w:ind w:left="709" w:leftChars="0" w:hanging="709" w:firstLineChars="0"/>
        <w:rPr>
          <w:rFonts w:hint="eastAsia"/>
          <w:lang w:val="en-US" w:eastAsia="zh-CN"/>
        </w:rPr>
      </w:pPr>
      <w:r>
        <w:rPr>
          <w:rFonts w:hint="eastAsia"/>
          <w:lang w:val="en-US" w:eastAsia="zh-CN"/>
        </w:rPr>
        <w:t>渗滤液泄露事故分析</w:t>
      </w:r>
    </w:p>
    <w:p w14:paraId="11B9E0D3">
      <w:pPr>
        <w:bidi w:val="0"/>
        <w:rPr>
          <w:rFonts w:hint="eastAsia"/>
          <w:highlight w:val="none"/>
          <w:lang w:val="en-US" w:eastAsia="zh-CN"/>
        </w:rPr>
      </w:pPr>
      <w:r>
        <w:rPr>
          <w:rFonts w:hint="eastAsia"/>
          <w:highlight w:val="none"/>
          <w:lang w:val="en-US" w:eastAsia="zh-CN"/>
        </w:rPr>
        <w:t>渗滤液在渗滤液收集池内进行储存，环评考虑渗滤液储存过程产生的风险。渗滤液收集池防渗层破裂后，渗滤液通过裂口直接进入地下，渗滤液中重金属浓度较高，渗入地下的重金属首先进入包气带污染土壤，再通过包气带下渗进入地下含水层，引起区域地下水、土壤水质恶化。</w:t>
      </w:r>
    </w:p>
    <w:p w14:paraId="043D9C3A">
      <w:pPr>
        <w:bidi w:val="0"/>
        <w:rPr>
          <w:rFonts w:hint="eastAsia"/>
          <w:highlight w:val="none"/>
          <w:lang w:val="en-US" w:eastAsia="zh-CN"/>
        </w:rPr>
      </w:pPr>
      <w:r>
        <w:rPr>
          <w:rFonts w:hint="eastAsia"/>
          <w:highlight w:val="none"/>
          <w:lang w:val="en-US" w:eastAsia="zh-CN"/>
        </w:rPr>
        <w:t>若防渗衬层破裂位置位于废渣填埋场下游，渗入地下的渗滤液量大大增加，对土壤和地下水的影响程度将加剧。</w:t>
      </w:r>
    </w:p>
    <w:p w14:paraId="7795114F">
      <w:pPr>
        <w:pStyle w:val="9"/>
        <w:numPr>
          <w:ilvl w:val="2"/>
          <w:numId w:val="1"/>
        </w:numPr>
        <w:bidi w:val="0"/>
        <w:ind w:left="709" w:leftChars="0" w:hanging="709" w:firstLineChars="0"/>
        <w:rPr>
          <w:rFonts w:hint="eastAsia"/>
          <w:lang w:val="en-US" w:eastAsia="zh-CN"/>
        </w:rPr>
      </w:pPr>
      <w:bookmarkStart w:id="84" w:name="_Toc5470"/>
      <w:r>
        <w:rPr>
          <w:rFonts w:hint="eastAsia"/>
          <w:lang w:val="en-US" w:eastAsia="zh-CN"/>
        </w:rPr>
        <w:t>渗滤液运输事故分析</w:t>
      </w:r>
      <w:bookmarkEnd w:id="84"/>
    </w:p>
    <w:p w14:paraId="60A8C5E3">
      <w:pPr>
        <w:bidi w:val="0"/>
        <w:rPr>
          <w:rFonts w:hint="eastAsia"/>
          <w:highlight w:val="none"/>
          <w:lang w:val="en-US" w:eastAsia="zh-CN"/>
        </w:rPr>
      </w:pPr>
      <w:r>
        <w:rPr>
          <w:rFonts w:hint="eastAsia"/>
          <w:highlight w:val="none"/>
          <w:lang w:val="en-US" w:eastAsia="zh-CN"/>
        </w:rPr>
        <w:t>项目治理后产生的渗滤液，经一体化污水处理设备处理后，采用密封式的罐车运至湖南黄金天岳矿业有限公司垂拱洞尾矿库废水处理站进行处理。在渗滤液运输过程中可能发生事故，特别是在涉水路段和跨桥区域。因此在运输过程应加强监管，确保容器稳固，不泄漏、不倒塌、不坠落、不损坏，防止渗滤液的渗漏。运输应按规定路线行驶，途经村庄等要减速慢行，不可在居民区和人口稠密区停。在采取以上措施后很难发生渗滤液运输泄漏和污染事故。</w:t>
      </w:r>
    </w:p>
    <w:p w14:paraId="7527054F">
      <w:pPr>
        <w:pStyle w:val="9"/>
        <w:numPr>
          <w:ilvl w:val="2"/>
          <w:numId w:val="1"/>
        </w:numPr>
        <w:bidi w:val="0"/>
        <w:ind w:left="709" w:leftChars="0" w:hanging="709" w:firstLineChars="0"/>
        <w:rPr>
          <w:rFonts w:hint="eastAsia"/>
          <w:lang w:val="en-US" w:eastAsia="zh-CN"/>
        </w:rPr>
      </w:pPr>
      <w:bookmarkStart w:id="85" w:name="_Toc22865"/>
      <w:r>
        <w:rPr>
          <w:rFonts w:hint="eastAsia"/>
          <w:lang w:val="en-US" w:eastAsia="zh-CN"/>
        </w:rPr>
        <w:t>防渗层破坏事故分析</w:t>
      </w:r>
      <w:bookmarkEnd w:id="85"/>
    </w:p>
    <w:p w14:paraId="0A7D2364">
      <w:pPr>
        <w:bidi w:val="0"/>
        <w:rPr>
          <w:rFonts w:hint="eastAsia"/>
          <w:highlight w:val="none"/>
          <w:lang w:val="en-US" w:eastAsia="zh-CN"/>
        </w:rPr>
      </w:pPr>
      <w:r>
        <w:rPr>
          <w:rFonts w:hint="eastAsia"/>
          <w:highlight w:val="none"/>
          <w:lang w:val="en-US" w:eastAsia="zh-CN"/>
        </w:rPr>
        <w:t>本项目选择HDPE防渗膜作为一般</w:t>
      </w:r>
      <w:r>
        <w:rPr>
          <w:rFonts w:hint="default" w:ascii="Times New Roman" w:hAnsi="Times New Roman" w:cs="Times New Roman"/>
          <w:highlight w:val="none"/>
          <w:lang w:val="en-US" w:eastAsia="zh-CN"/>
        </w:rPr>
        <w:t>Ⅱ</w:t>
      </w:r>
      <w:r>
        <w:rPr>
          <w:rFonts w:hint="eastAsia"/>
          <w:highlight w:val="none"/>
          <w:lang w:val="en-US" w:eastAsia="zh-CN"/>
        </w:rPr>
        <w:t>类固废填埋场的主要防渗材料。HDPE防渗膜的质量以及施工手段和水平，直接影响防渗效果，选择质量好的防渗膜和施工经验丰富的厂商，方能保证废渣填埋场的安全可靠性。如果防渗层不按规定施工，或填埋作业时不慎将防渗层损坏，渗滤液易通过防渗层渗入库底土层，易造成地下水受到污染。</w:t>
      </w:r>
    </w:p>
    <w:p w14:paraId="46094A02">
      <w:pPr>
        <w:pStyle w:val="8"/>
        <w:numPr>
          <w:ilvl w:val="1"/>
          <w:numId w:val="1"/>
        </w:numPr>
        <w:tabs>
          <w:tab w:val="clear" w:pos="420"/>
        </w:tabs>
        <w:bidi w:val="0"/>
        <w:ind w:left="567" w:leftChars="0" w:hanging="567" w:firstLineChars="0"/>
        <w:rPr>
          <w:rFonts w:hint="eastAsia"/>
          <w:highlight w:val="none"/>
          <w:lang w:val="en-US" w:eastAsia="zh-CN"/>
        </w:rPr>
      </w:pPr>
      <w:bookmarkStart w:id="86" w:name="_Toc11122"/>
      <w:r>
        <w:rPr>
          <w:rFonts w:hint="eastAsia"/>
          <w:highlight w:val="none"/>
          <w:lang w:val="en-US" w:eastAsia="zh-CN"/>
        </w:rPr>
        <w:t>环境风险防范措施</w:t>
      </w:r>
      <w:bookmarkEnd w:id="86"/>
    </w:p>
    <w:p w14:paraId="7E4FD7BF">
      <w:pPr>
        <w:pStyle w:val="9"/>
        <w:numPr>
          <w:ilvl w:val="2"/>
          <w:numId w:val="1"/>
        </w:numPr>
        <w:bidi w:val="0"/>
        <w:ind w:left="709" w:leftChars="0" w:hanging="709" w:firstLineChars="0"/>
        <w:rPr>
          <w:rFonts w:hint="eastAsia"/>
          <w:lang w:val="en-US" w:eastAsia="zh-CN"/>
        </w:rPr>
      </w:pPr>
      <w:bookmarkStart w:id="87" w:name="_Toc7976"/>
      <w:r>
        <w:rPr>
          <w:rFonts w:hint="eastAsia"/>
          <w:lang w:val="en-US" w:eastAsia="zh-CN"/>
        </w:rPr>
        <w:t>挡渣坝溃坝防范措施</w:t>
      </w:r>
    </w:p>
    <w:p w14:paraId="066863C2">
      <w:pPr>
        <w:bidi w:val="0"/>
        <w:rPr>
          <w:rFonts w:hint="eastAsia"/>
          <w:highlight w:val="none"/>
          <w:lang w:val="en-US" w:eastAsia="zh-CN"/>
        </w:rPr>
      </w:pPr>
      <w:r>
        <w:rPr>
          <w:rFonts w:hint="eastAsia"/>
          <w:highlight w:val="none"/>
          <w:lang w:val="en-US" w:eastAsia="zh-CN"/>
        </w:rPr>
        <w:t>（1）挡渣坝坝址在设计时应选择在地质基础条件好的地方，应有抗地震、抗山洪、抗废渣堆体挤压的强度。</w:t>
      </w:r>
    </w:p>
    <w:p w14:paraId="3CFC23E4">
      <w:pPr>
        <w:bidi w:val="0"/>
        <w:rPr>
          <w:rFonts w:hint="eastAsia"/>
          <w:highlight w:val="none"/>
          <w:lang w:val="en-US" w:eastAsia="zh-CN"/>
        </w:rPr>
      </w:pPr>
      <w:r>
        <w:rPr>
          <w:rFonts w:hint="eastAsia"/>
          <w:highlight w:val="none"/>
          <w:lang w:val="en-US" w:eastAsia="zh-CN"/>
        </w:rPr>
        <w:t>（2）精心设计，从设计上把好关，确保填埋场的稳定性和安全性。</w:t>
      </w:r>
    </w:p>
    <w:p w14:paraId="12388CE3">
      <w:pPr>
        <w:bidi w:val="0"/>
        <w:rPr>
          <w:rFonts w:hint="eastAsia"/>
          <w:highlight w:val="none"/>
          <w:lang w:val="en-US" w:eastAsia="zh-CN"/>
        </w:rPr>
      </w:pPr>
      <w:r>
        <w:rPr>
          <w:rFonts w:hint="eastAsia"/>
          <w:highlight w:val="none"/>
          <w:lang w:val="en-US" w:eastAsia="zh-CN"/>
        </w:rPr>
        <w:t>（3）严格按设计图纸要求施工，严禁偷工减料；施工现场监理到位，严格把关，确保施工质量。</w:t>
      </w:r>
    </w:p>
    <w:p w14:paraId="57B61B3C">
      <w:pPr>
        <w:bidi w:val="0"/>
        <w:rPr>
          <w:rFonts w:hint="eastAsia"/>
          <w:highlight w:val="none"/>
          <w:lang w:val="en-US" w:eastAsia="zh-CN"/>
        </w:rPr>
      </w:pPr>
      <w:r>
        <w:rPr>
          <w:rFonts w:hint="eastAsia"/>
          <w:highlight w:val="none"/>
          <w:lang w:val="en-US" w:eastAsia="zh-CN"/>
        </w:rPr>
        <w:t>（4）确保场内排水系统的畅通，在雨季特别是暴雨期应加强对填埋场、挡渣坝的巡逻检查，如发现挡渣坝出现裂缝应采取补救措施。挡渣坝溃决后应立即采取抢救措施，可在填埋场下游设缓冲地带。同时配备必需的通信设施，保持与地方政府的联系，如发现坝体开裂等垮坝征兆，应立即组织力量进行抢修和安全加固。</w:t>
      </w:r>
    </w:p>
    <w:p w14:paraId="0388FD03">
      <w:pPr>
        <w:bidi w:val="0"/>
        <w:rPr>
          <w:rFonts w:hint="eastAsia"/>
          <w:highlight w:val="none"/>
          <w:lang w:val="en-US" w:eastAsia="zh-CN"/>
        </w:rPr>
      </w:pPr>
      <w:r>
        <w:rPr>
          <w:rFonts w:hint="eastAsia"/>
          <w:highlight w:val="none"/>
          <w:lang w:val="en-US" w:eastAsia="zh-CN"/>
        </w:rPr>
        <w:t>（5）严格进行规范管理，按设计要求设置专人严格管理，落实责任。填埋场封场后，应按规定进行生态修复和日常管理、维护，确保填埋场的稳定。</w:t>
      </w:r>
    </w:p>
    <w:p w14:paraId="5A3BAE99">
      <w:pPr>
        <w:bidi w:val="0"/>
        <w:rPr>
          <w:rFonts w:hint="eastAsia"/>
          <w:highlight w:val="none"/>
          <w:lang w:val="en-US" w:eastAsia="zh-CN"/>
        </w:rPr>
      </w:pPr>
      <w:r>
        <w:rPr>
          <w:rFonts w:hint="eastAsia"/>
          <w:highlight w:val="none"/>
          <w:lang w:val="en-US" w:eastAsia="zh-CN"/>
        </w:rPr>
        <w:t>（6）严格按国家有关规定，定期对填埋场和挡渣坝安全性和稳定性进行评价，发现问题及时解决。</w:t>
      </w:r>
    </w:p>
    <w:p w14:paraId="25202859">
      <w:pPr>
        <w:pStyle w:val="9"/>
        <w:numPr>
          <w:ilvl w:val="2"/>
          <w:numId w:val="1"/>
        </w:numPr>
        <w:bidi w:val="0"/>
        <w:ind w:left="709" w:leftChars="0" w:hanging="709" w:firstLineChars="0"/>
        <w:rPr>
          <w:rFonts w:hint="eastAsia"/>
          <w:lang w:val="en-US" w:eastAsia="zh-CN"/>
        </w:rPr>
      </w:pPr>
      <w:r>
        <w:rPr>
          <w:rFonts w:hint="eastAsia"/>
          <w:lang w:val="en-US" w:eastAsia="zh-CN"/>
        </w:rPr>
        <w:t>渗滤液泄露防范措施</w:t>
      </w:r>
      <w:bookmarkEnd w:id="87"/>
    </w:p>
    <w:p w14:paraId="58881769">
      <w:pPr>
        <w:rPr>
          <w:rFonts w:hint="eastAsia"/>
          <w:highlight w:val="none"/>
          <w:lang w:val="en-US" w:eastAsia="zh-CN"/>
        </w:rPr>
      </w:pPr>
      <w:r>
        <w:rPr>
          <w:rFonts w:hint="eastAsia"/>
          <w:highlight w:val="none"/>
          <w:lang w:val="en-US" w:eastAsia="zh-CN"/>
        </w:rPr>
        <w:t>针对上述可能产生的环境风险，提出的环境风险防范措施有：</w:t>
      </w:r>
    </w:p>
    <w:p w14:paraId="7FADCA9D">
      <w:pPr>
        <w:rPr>
          <w:rFonts w:hint="eastAsia"/>
          <w:highlight w:val="none"/>
          <w:lang w:val="en-US" w:eastAsia="zh-CN"/>
        </w:rPr>
      </w:pPr>
      <w:r>
        <w:rPr>
          <w:rFonts w:hint="eastAsia"/>
          <w:highlight w:val="none"/>
          <w:lang w:val="en-US" w:eastAsia="zh-CN"/>
        </w:rPr>
        <w:t>（1）精心设计，从设计上把好关，确保废渣填埋场的稳定性和安全性。严格按设计图纸要求施工，严禁偷工减料；在工程施工过程中必须实施工程与环境监理制度，以便确保施工质量。</w:t>
      </w:r>
    </w:p>
    <w:p w14:paraId="17DA97CE">
      <w:pPr>
        <w:rPr>
          <w:rFonts w:hint="eastAsia"/>
          <w:highlight w:val="none"/>
          <w:lang w:val="en-US" w:eastAsia="zh-CN"/>
        </w:rPr>
      </w:pPr>
      <w:r>
        <w:rPr>
          <w:rFonts w:hint="eastAsia"/>
          <w:highlight w:val="none"/>
          <w:lang w:val="en-US" w:eastAsia="zh-CN"/>
        </w:rPr>
        <w:t>（2）根据工程地质报告，做好防漏、防渗处理，确保渗滤液能够有效收集，不渗入基础土壤中与地下水系中；在设计时应选择在地质基础条件好的地方，应有抗地震、抗山洪、抗挤压的强度。</w:t>
      </w:r>
    </w:p>
    <w:p w14:paraId="791FB94A">
      <w:pPr>
        <w:rPr>
          <w:rFonts w:hint="eastAsia"/>
          <w:highlight w:val="none"/>
          <w:lang w:val="en-US" w:eastAsia="zh-CN"/>
        </w:rPr>
      </w:pPr>
      <w:r>
        <w:rPr>
          <w:rFonts w:hint="eastAsia"/>
          <w:highlight w:val="none"/>
          <w:lang w:val="en-US" w:eastAsia="zh-CN"/>
        </w:rPr>
        <w:t>（3）严格进行规范管理，按设计要求设置专人严格管理，落实责任。确保场内排水系统和库周截洪沟的畅通，在雨季特别是暴雨期应加强对废渣填埋场、围堤坝的巡逻检查，如发现围堤坝出现裂缝应采取补救措施。</w:t>
      </w:r>
    </w:p>
    <w:p w14:paraId="401B5684">
      <w:pPr>
        <w:rPr>
          <w:rFonts w:hint="eastAsia"/>
          <w:highlight w:val="none"/>
          <w:lang w:val="en-US" w:eastAsia="zh-CN"/>
        </w:rPr>
      </w:pPr>
      <w:r>
        <w:rPr>
          <w:rFonts w:hint="eastAsia"/>
          <w:highlight w:val="none"/>
          <w:lang w:val="en-US" w:eastAsia="zh-CN"/>
        </w:rPr>
        <w:t>（4）建立防止渗滤液污染地下水的应急措施，区域设置监控井。在运行期间加强对渗滤水收集处置系统、地下监测井的监测，一旦发生事故，要立即启动应急预案，采取切实有效的应急措施，将事故风险降低到最小。</w:t>
      </w:r>
    </w:p>
    <w:p w14:paraId="44777C78">
      <w:pPr>
        <w:rPr>
          <w:rFonts w:hint="eastAsia"/>
          <w:highlight w:val="none"/>
          <w:lang w:val="en-US" w:eastAsia="zh-CN"/>
        </w:rPr>
      </w:pPr>
      <w:r>
        <w:rPr>
          <w:rFonts w:hint="eastAsia"/>
          <w:highlight w:val="none"/>
          <w:lang w:val="en-US" w:eastAsia="zh-CN"/>
        </w:rPr>
        <w:t>（5）如发现填埋场衬底破裂，此时的对策是加强对地下水的抽吸，并通过开孔灌注粘合剂办法，进行裂缝密封或以硅碳溶液来修补废渣填埋场垫层的破损部位，可解决垫层不严的渗漏污染问题。如废渣填埋场地下水监测井发现地下水污染类同于填埋场的渗滤水，可在截留坝外侧建造地下垂直渗滤墙至地下10m以下处，隔断被污染地下水向外漫渗。</w:t>
      </w:r>
    </w:p>
    <w:p w14:paraId="644AA1C4">
      <w:pPr>
        <w:rPr>
          <w:rFonts w:hint="eastAsia"/>
          <w:highlight w:val="none"/>
          <w:lang w:val="en-US" w:eastAsia="zh-CN"/>
        </w:rPr>
      </w:pPr>
      <w:r>
        <w:rPr>
          <w:rFonts w:hint="eastAsia"/>
          <w:highlight w:val="none"/>
          <w:lang w:val="en-US" w:eastAsia="zh-CN"/>
        </w:rPr>
        <w:t>（6）制定应急救援预案：为了确保废渣填埋场的安全运行，防止突发事故的发生，并能在发生意外时，迅速准确，有条不紊地处理和控制事故。把事故造成的损失和对环境污染的影响减小到最低程度。废渣填埋场应结合实际情况，本着立足“自救为主，外援为辅，统一指挥，当机立断”原则，制订事故应急预案。</w:t>
      </w:r>
    </w:p>
    <w:p w14:paraId="4D7D3061">
      <w:pPr>
        <w:pStyle w:val="9"/>
        <w:numPr>
          <w:ilvl w:val="2"/>
          <w:numId w:val="1"/>
        </w:numPr>
        <w:bidi w:val="0"/>
        <w:ind w:left="709" w:leftChars="0" w:hanging="709" w:firstLineChars="0"/>
        <w:rPr>
          <w:rFonts w:hint="eastAsia"/>
          <w:lang w:val="en-US" w:eastAsia="zh-CN"/>
        </w:rPr>
      </w:pPr>
      <w:bookmarkStart w:id="88" w:name="_Toc14979"/>
      <w:r>
        <w:rPr>
          <w:rFonts w:hint="eastAsia"/>
          <w:lang w:val="en-US" w:eastAsia="zh-CN"/>
        </w:rPr>
        <w:t>渗滤液运输事故防范措施</w:t>
      </w:r>
      <w:bookmarkEnd w:id="88"/>
    </w:p>
    <w:p w14:paraId="109027A8">
      <w:pPr>
        <w:rPr>
          <w:rFonts w:hint="eastAsia"/>
          <w:highlight w:val="none"/>
          <w:lang w:val="en-US" w:eastAsia="zh-CN"/>
        </w:rPr>
      </w:pPr>
      <w:r>
        <w:rPr>
          <w:rFonts w:hint="eastAsia"/>
          <w:highlight w:val="none"/>
          <w:lang w:val="en-US" w:eastAsia="zh-CN"/>
        </w:rPr>
        <w:t>（1）加强对渗滤液运输车辆的管理和保养，确保容器稳固，不泄漏、不倒塌、不坠落、不损坏，防止渗滤液的渗漏。运输应按规定路线行驶，途经村庄等要减速慢行，尽可能不在居民区和人口稠密区停留。</w:t>
      </w:r>
    </w:p>
    <w:p w14:paraId="3457645C">
      <w:pPr>
        <w:rPr>
          <w:rFonts w:hint="eastAsia"/>
          <w:highlight w:val="none"/>
          <w:lang w:val="en-US" w:eastAsia="zh-CN"/>
        </w:rPr>
      </w:pPr>
      <w:r>
        <w:rPr>
          <w:rFonts w:hint="eastAsia"/>
          <w:highlight w:val="none"/>
          <w:lang w:val="en-US" w:eastAsia="zh-CN"/>
        </w:rPr>
        <w:t>（2）应在输送环节上尽可能的减少人为的不安全行为，如不遵守交通规则，误操作等。最大程度减少交通事导致散落的可能。</w:t>
      </w:r>
    </w:p>
    <w:p w14:paraId="60C3FA2D">
      <w:pPr>
        <w:rPr>
          <w:rFonts w:hint="eastAsia"/>
          <w:highlight w:val="none"/>
          <w:lang w:val="en-US" w:eastAsia="zh-CN"/>
        </w:rPr>
      </w:pPr>
      <w:r>
        <w:rPr>
          <w:rFonts w:hint="eastAsia"/>
          <w:highlight w:val="none"/>
          <w:lang w:val="en-US" w:eastAsia="zh-CN"/>
        </w:rPr>
        <w:t>（3）制定应急救援预案，一旦发生渗滤液运输事故，立即启动应急预案，有条不紊地处理和控制事故，把事故造成的损失和对环境污染的影响减小到最低程度。</w:t>
      </w:r>
    </w:p>
    <w:p w14:paraId="7FEC542A">
      <w:pPr>
        <w:pStyle w:val="9"/>
        <w:numPr>
          <w:ilvl w:val="2"/>
          <w:numId w:val="1"/>
        </w:numPr>
        <w:bidi w:val="0"/>
        <w:ind w:left="709" w:leftChars="0" w:hanging="709" w:firstLineChars="0"/>
        <w:rPr>
          <w:rFonts w:hint="eastAsia"/>
          <w:lang w:val="en-US" w:eastAsia="zh-CN"/>
        </w:rPr>
      </w:pPr>
      <w:bookmarkStart w:id="89" w:name="_Toc5401"/>
      <w:r>
        <w:rPr>
          <w:rFonts w:hint="eastAsia"/>
          <w:lang w:val="en-US" w:eastAsia="zh-CN"/>
        </w:rPr>
        <w:t>废渣填埋场防渗层破坏防范措施</w:t>
      </w:r>
      <w:bookmarkEnd w:id="89"/>
    </w:p>
    <w:p w14:paraId="1A80CF62">
      <w:pPr>
        <w:rPr>
          <w:rFonts w:hint="eastAsia"/>
          <w:highlight w:val="none"/>
          <w:lang w:val="en-US" w:eastAsia="zh-CN"/>
        </w:rPr>
      </w:pPr>
      <w:r>
        <w:rPr>
          <w:rFonts w:hint="eastAsia"/>
          <w:highlight w:val="none"/>
          <w:lang w:val="en-US" w:eastAsia="zh-CN"/>
        </w:rPr>
        <w:t>（1）防渗层基础施工必须夯实均匀，严把基础层施工质量关，应清除场地内的一切尖硬物体，如树根、石块，场地应平整、压实；</w:t>
      </w:r>
    </w:p>
    <w:p w14:paraId="221217CD">
      <w:pPr>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（2）防渗材料应选用有一定厚度的优质材料，按工程设计要求确保HDPE防渗层和粘土保护层的施工质量，尽量避免在低于5℃的条件下进行防渗层施工，以防止HDPE膜在低温下变脆，产生裂纹；</w:t>
      </w:r>
    </w:p>
    <w:p w14:paraId="64BC4BEF">
      <w:pPr>
        <w:rPr>
          <w:rFonts w:hint="eastAsia"/>
          <w:highlight w:val="none"/>
          <w:lang w:val="en-US" w:eastAsia="zh-CN"/>
        </w:rPr>
      </w:pPr>
      <w:r>
        <w:rPr>
          <w:rFonts w:hint="eastAsia"/>
          <w:highlight w:val="none"/>
          <w:lang w:val="en-US" w:eastAsia="zh-CN"/>
        </w:rPr>
        <w:t>（3）初次填埋时，固废中的尖硬物体应拣出，防止压实机压实时挤压尖硬物体而现在刺破防渗层，如发现防渗层有破损现象，应及时修补，不留后患；</w:t>
      </w:r>
    </w:p>
    <w:p w14:paraId="45447342">
      <w:pPr>
        <w:rPr>
          <w:rFonts w:hint="eastAsia"/>
          <w:highlight w:val="none"/>
          <w:lang w:val="en-US" w:eastAsia="zh-CN"/>
        </w:rPr>
      </w:pPr>
      <w:r>
        <w:rPr>
          <w:rFonts w:hint="eastAsia"/>
          <w:highlight w:val="none"/>
          <w:lang w:val="en-US" w:eastAsia="zh-CN"/>
        </w:rPr>
        <w:t>（4）定期对地下水进行日常监测，发现监测井水质异常，应立即分析原因，如发现场地衬里破坏，应及时将破坏区域隔离，并进行防渗膜修补，尽量减少渗滤液下渗对地下水的污染；</w:t>
      </w:r>
    </w:p>
    <w:p w14:paraId="15B07F60">
      <w:pPr>
        <w:rPr>
          <w:rFonts w:hint="eastAsia"/>
          <w:highlight w:val="none"/>
          <w:lang w:val="en-US" w:eastAsia="zh-CN"/>
        </w:rPr>
      </w:pPr>
      <w:r>
        <w:rPr>
          <w:rFonts w:hint="eastAsia"/>
          <w:highlight w:val="none"/>
          <w:lang w:val="en-US" w:eastAsia="zh-CN"/>
        </w:rPr>
        <w:t>（5）及时排出渗滤液，防止化学腐蚀加速防渗材料的老化。</w:t>
      </w:r>
    </w:p>
    <w:p w14:paraId="3B32C2DD">
      <w:pPr>
        <w:pStyle w:val="8"/>
        <w:numPr>
          <w:ilvl w:val="1"/>
          <w:numId w:val="1"/>
        </w:numPr>
        <w:tabs>
          <w:tab w:val="clear" w:pos="420"/>
        </w:tabs>
        <w:bidi w:val="0"/>
        <w:ind w:left="567" w:leftChars="0" w:hanging="567" w:firstLineChars="0"/>
        <w:rPr>
          <w:rFonts w:hint="eastAsia"/>
          <w:highlight w:val="none"/>
          <w:lang w:val="en-US" w:eastAsia="zh-CN"/>
        </w:rPr>
      </w:pPr>
      <w:bookmarkStart w:id="90" w:name="_Toc22436"/>
      <w:r>
        <w:rPr>
          <w:rFonts w:hint="eastAsia"/>
          <w:highlight w:val="none"/>
          <w:lang w:val="en-US" w:eastAsia="zh-CN"/>
        </w:rPr>
        <w:t>应急预案</w:t>
      </w:r>
      <w:bookmarkEnd w:id="90"/>
    </w:p>
    <w:p w14:paraId="45DE970D">
      <w:pPr>
        <w:bidi w:val="0"/>
        <w:rPr>
          <w:rFonts w:hint="eastAsia"/>
          <w:highlight w:val="none"/>
          <w:lang w:val="en-US" w:eastAsia="zh-CN"/>
        </w:rPr>
      </w:pPr>
      <w:r>
        <w:rPr>
          <w:rFonts w:hint="eastAsia"/>
          <w:highlight w:val="none"/>
          <w:lang w:val="en-US" w:eastAsia="zh-CN"/>
        </w:rPr>
        <w:t>为了提高突发事件的预警和应急处理能力，保障填埋场各类风险发生后，参与救援的人员都有具体分工，并能够迅速、准确、高效地展开抢险救援工作，最大限度地降低事故造成的人员伤亡、财产损失和社会影响，建立应急救援预案，作为救援行动的指南。按照国家相关规定要求</w:t>
      </w:r>
      <w:r>
        <w:rPr>
          <w:rFonts w:hint="eastAsia" w:cs="Times New Roman"/>
          <w:b w:val="0"/>
          <w:bCs w:val="0"/>
          <w:color w:val="auto"/>
          <w:sz w:val="24"/>
          <w:szCs w:val="32"/>
          <w:highlight w:val="none"/>
          <w:u w:val="none" w:color="auto"/>
          <w:vertAlign w:val="baseline"/>
          <w:lang w:val="en-US" w:eastAsia="zh-CN"/>
        </w:rPr>
        <w:t>及《湖南省突发环境事件应急预案管理办法（修订版）》（湘环发〔2024〕49号）中要求</w:t>
      </w:r>
      <w:r>
        <w:rPr>
          <w:rFonts w:hint="eastAsia"/>
          <w:highlight w:val="none"/>
          <w:lang w:val="en-US" w:eastAsia="zh-CN"/>
        </w:rPr>
        <w:t>，应根据填埋场实际环境风险情景，判定本项目是否属于豁免管理，如不属于则需编制突发环境事件应急预案，突发环境事件应急预案纲要见表6.8-1。</w:t>
      </w:r>
    </w:p>
    <w:p w14:paraId="5EFEC406">
      <w:pPr>
        <w:ind w:left="0" w:leftChars="0" w:firstLine="0" w:firstLineChars="0"/>
        <w:jc w:val="center"/>
        <w:rPr>
          <w:rFonts w:hint="eastAsia"/>
          <w:b/>
          <w:bCs/>
          <w:sz w:val="21"/>
          <w:szCs w:val="21"/>
          <w:highlight w:val="none"/>
          <w:lang w:val="en-US" w:eastAsia="zh-CN"/>
        </w:rPr>
      </w:pPr>
      <w:r>
        <w:rPr>
          <w:rFonts w:hint="eastAsia"/>
          <w:b/>
          <w:bCs/>
          <w:sz w:val="21"/>
          <w:szCs w:val="21"/>
          <w:highlight w:val="none"/>
          <w:lang w:val="en-US" w:eastAsia="zh-CN"/>
        </w:rPr>
        <w:t>表6.8-1  环境风险突发事故应急预案</w:t>
      </w:r>
    </w:p>
    <w:tbl>
      <w:tblPr>
        <w:tblStyle w:val="35"/>
        <w:tblW w:w="5127"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0" w:type="dxa"/>
          <w:bottom w:w="0" w:type="dxa"/>
          <w:right w:w="0" w:type="dxa"/>
        </w:tblCellMar>
      </w:tblPr>
      <w:tblGrid>
        <w:gridCol w:w="609"/>
        <w:gridCol w:w="1968"/>
        <w:gridCol w:w="6756"/>
      </w:tblGrid>
      <w:tr w14:paraId="60F38F4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0" w:hRule="atLeast"/>
          <w:tblHeader/>
          <w:jc w:val="center"/>
        </w:trPr>
        <w:tc>
          <w:tcPr>
            <w:tcW w:w="326" w:type="pct"/>
            <w:noWrap w:val="0"/>
            <w:vAlign w:val="center"/>
          </w:tcPr>
          <w:p w14:paraId="69E0B685">
            <w:pPr>
              <w:spacing w:line="360" w:lineRule="auto"/>
              <w:ind w:left="0" w:leftChars="0" w:firstLine="0" w:firstLineChars="0"/>
              <w:jc w:val="center"/>
              <w:rPr>
                <w:rFonts w:hint="eastAsia"/>
                <w:b/>
                <w:bCs/>
                <w:sz w:val="21"/>
                <w:szCs w:val="21"/>
                <w:highlight w:val="none"/>
                <w:lang w:val="en-US" w:eastAsia="zh-CN"/>
              </w:rPr>
            </w:pPr>
            <w:r>
              <w:rPr>
                <w:rFonts w:hint="eastAsia"/>
                <w:b/>
                <w:bCs/>
                <w:sz w:val="21"/>
                <w:szCs w:val="21"/>
                <w:highlight w:val="none"/>
                <w:lang w:val="en-US" w:eastAsia="zh-CN"/>
              </w:rPr>
              <w:t>序号</w:t>
            </w:r>
          </w:p>
        </w:tc>
        <w:tc>
          <w:tcPr>
            <w:tcW w:w="1054" w:type="pct"/>
            <w:noWrap w:val="0"/>
            <w:vAlign w:val="center"/>
          </w:tcPr>
          <w:p w14:paraId="181C1344">
            <w:pPr>
              <w:spacing w:line="360" w:lineRule="auto"/>
              <w:ind w:left="0" w:leftChars="0" w:firstLine="0" w:firstLineChars="0"/>
              <w:jc w:val="center"/>
              <w:rPr>
                <w:rFonts w:hint="eastAsia"/>
                <w:b/>
                <w:bCs/>
                <w:sz w:val="21"/>
                <w:szCs w:val="21"/>
                <w:highlight w:val="none"/>
                <w:lang w:val="en-US" w:eastAsia="zh-CN"/>
              </w:rPr>
            </w:pPr>
            <w:r>
              <w:rPr>
                <w:rFonts w:hint="eastAsia"/>
                <w:b/>
                <w:bCs/>
                <w:sz w:val="21"/>
                <w:szCs w:val="21"/>
                <w:highlight w:val="none"/>
                <w:lang w:val="en-US" w:eastAsia="zh-CN"/>
              </w:rPr>
              <w:t>项目</w:t>
            </w:r>
          </w:p>
        </w:tc>
        <w:tc>
          <w:tcPr>
            <w:tcW w:w="3618" w:type="pct"/>
            <w:noWrap w:val="0"/>
            <w:vAlign w:val="center"/>
          </w:tcPr>
          <w:p w14:paraId="31893E66">
            <w:pPr>
              <w:spacing w:line="360" w:lineRule="auto"/>
              <w:ind w:left="0" w:leftChars="0" w:firstLine="0" w:firstLineChars="0"/>
              <w:jc w:val="center"/>
              <w:rPr>
                <w:rFonts w:hint="eastAsia"/>
                <w:b/>
                <w:bCs/>
                <w:sz w:val="21"/>
                <w:szCs w:val="21"/>
                <w:highlight w:val="none"/>
                <w:lang w:val="en-US" w:eastAsia="zh-CN"/>
              </w:rPr>
            </w:pPr>
            <w:r>
              <w:rPr>
                <w:rFonts w:hint="eastAsia"/>
                <w:b/>
                <w:bCs/>
                <w:sz w:val="21"/>
                <w:szCs w:val="21"/>
                <w:highlight w:val="none"/>
                <w:lang w:val="en-US" w:eastAsia="zh-CN"/>
              </w:rPr>
              <w:t>内容及要求</w:t>
            </w:r>
          </w:p>
        </w:tc>
      </w:tr>
      <w:tr w14:paraId="25643B1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326" w:type="pct"/>
            <w:noWrap w:val="0"/>
            <w:vAlign w:val="center"/>
          </w:tcPr>
          <w:p w14:paraId="194C8597">
            <w:pPr>
              <w:spacing w:line="240" w:lineRule="auto"/>
              <w:ind w:left="0" w:leftChars="0" w:firstLine="0" w:firstLineChars="0"/>
              <w:jc w:val="center"/>
              <w:rPr>
                <w:rFonts w:hint="eastAsia"/>
                <w:sz w:val="21"/>
                <w:szCs w:val="21"/>
                <w:highlight w:val="none"/>
                <w:lang w:val="en-US" w:eastAsia="zh-CN"/>
              </w:rPr>
            </w:pPr>
            <w:r>
              <w:rPr>
                <w:rFonts w:hint="eastAsia"/>
                <w:sz w:val="21"/>
                <w:szCs w:val="21"/>
                <w:highlight w:val="none"/>
                <w:lang w:val="en-US" w:eastAsia="zh-CN"/>
              </w:rPr>
              <w:t>1</w:t>
            </w:r>
          </w:p>
        </w:tc>
        <w:tc>
          <w:tcPr>
            <w:tcW w:w="1054" w:type="pct"/>
            <w:noWrap w:val="0"/>
            <w:vAlign w:val="center"/>
          </w:tcPr>
          <w:p w14:paraId="5C1E0EB0">
            <w:pPr>
              <w:spacing w:line="240" w:lineRule="auto"/>
              <w:ind w:left="0" w:leftChars="0" w:firstLine="0" w:firstLineChars="0"/>
              <w:jc w:val="center"/>
              <w:rPr>
                <w:rFonts w:hint="eastAsia"/>
                <w:sz w:val="21"/>
                <w:szCs w:val="21"/>
                <w:highlight w:val="none"/>
                <w:lang w:val="en-US" w:eastAsia="zh-CN"/>
              </w:rPr>
            </w:pPr>
            <w:r>
              <w:rPr>
                <w:rFonts w:hint="eastAsia"/>
                <w:sz w:val="21"/>
                <w:szCs w:val="21"/>
                <w:highlight w:val="none"/>
                <w:lang w:val="en-US" w:eastAsia="zh-CN"/>
              </w:rPr>
              <w:t>危险源情况</w:t>
            </w:r>
          </w:p>
        </w:tc>
        <w:tc>
          <w:tcPr>
            <w:tcW w:w="3618" w:type="pct"/>
            <w:noWrap w:val="0"/>
            <w:vAlign w:val="center"/>
          </w:tcPr>
          <w:p w14:paraId="259E9EB5">
            <w:pPr>
              <w:spacing w:line="240" w:lineRule="auto"/>
              <w:ind w:left="0" w:leftChars="0" w:firstLine="0" w:firstLineChars="0"/>
              <w:jc w:val="center"/>
              <w:rPr>
                <w:rFonts w:hint="eastAsia"/>
                <w:sz w:val="21"/>
                <w:szCs w:val="21"/>
                <w:highlight w:val="none"/>
                <w:lang w:val="en-US" w:eastAsia="zh-CN"/>
              </w:rPr>
            </w:pPr>
            <w:r>
              <w:rPr>
                <w:rFonts w:hint="eastAsia"/>
                <w:sz w:val="21"/>
                <w:szCs w:val="21"/>
                <w:highlight w:val="none"/>
                <w:lang w:val="en-US" w:eastAsia="zh-CN"/>
              </w:rPr>
              <w:t>详细说明危险源类型、数量、分布及其对环境的风险。</w:t>
            </w:r>
          </w:p>
        </w:tc>
      </w:tr>
      <w:tr w14:paraId="0483AFF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326" w:type="pct"/>
            <w:noWrap w:val="0"/>
            <w:vAlign w:val="center"/>
          </w:tcPr>
          <w:p w14:paraId="00753910">
            <w:pPr>
              <w:spacing w:line="240" w:lineRule="auto"/>
              <w:ind w:left="0" w:leftChars="0" w:firstLine="0" w:firstLineChars="0"/>
              <w:jc w:val="center"/>
              <w:rPr>
                <w:rFonts w:hint="eastAsia"/>
                <w:sz w:val="21"/>
                <w:szCs w:val="21"/>
                <w:highlight w:val="none"/>
                <w:lang w:val="en-US" w:eastAsia="zh-CN"/>
              </w:rPr>
            </w:pPr>
            <w:r>
              <w:rPr>
                <w:rFonts w:hint="eastAsia"/>
                <w:sz w:val="21"/>
                <w:szCs w:val="21"/>
                <w:highlight w:val="none"/>
                <w:lang w:val="en-US" w:eastAsia="zh-CN"/>
              </w:rPr>
              <w:t>2</w:t>
            </w:r>
          </w:p>
        </w:tc>
        <w:tc>
          <w:tcPr>
            <w:tcW w:w="1054" w:type="pct"/>
            <w:noWrap w:val="0"/>
            <w:vAlign w:val="center"/>
          </w:tcPr>
          <w:p w14:paraId="3963AF82">
            <w:pPr>
              <w:spacing w:line="240" w:lineRule="auto"/>
              <w:ind w:left="0" w:leftChars="0" w:firstLine="0" w:firstLineChars="0"/>
              <w:jc w:val="center"/>
              <w:rPr>
                <w:rFonts w:hint="eastAsia"/>
                <w:sz w:val="21"/>
                <w:szCs w:val="21"/>
                <w:highlight w:val="none"/>
                <w:lang w:val="en-US" w:eastAsia="zh-CN"/>
              </w:rPr>
            </w:pPr>
            <w:r>
              <w:rPr>
                <w:rFonts w:hint="eastAsia"/>
                <w:sz w:val="21"/>
                <w:szCs w:val="21"/>
                <w:highlight w:val="none"/>
                <w:lang w:val="en-US" w:eastAsia="zh-CN"/>
              </w:rPr>
              <w:t>应急计划区</w:t>
            </w:r>
          </w:p>
        </w:tc>
        <w:tc>
          <w:tcPr>
            <w:tcW w:w="3618" w:type="pct"/>
            <w:noWrap w:val="0"/>
            <w:vAlign w:val="center"/>
          </w:tcPr>
          <w:p w14:paraId="543F8686">
            <w:pPr>
              <w:spacing w:line="240" w:lineRule="auto"/>
              <w:ind w:left="0" w:leftChars="0" w:firstLine="0" w:firstLineChars="0"/>
              <w:jc w:val="center"/>
              <w:rPr>
                <w:rFonts w:hint="eastAsia"/>
                <w:sz w:val="21"/>
                <w:szCs w:val="21"/>
                <w:highlight w:val="none"/>
                <w:lang w:val="en-US" w:eastAsia="zh-CN"/>
              </w:rPr>
            </w:pPr>
            <w:r>
              <w:rPr>
                <w:rFonts w:hint="eastAsia"/>
                <w:sz w:val="21"/>
                <w:szCs w:val="21"/>
                <w:highlight w:val="none"/>
                <w:lang w:val="en-US" w:eastAsia="zh-CN"/>
              </w:rPr>
              <w:t>填埋场填埋区、渗滤液收集池、一体化废水处理装置区等。</w:t>
            </w:r>
          </w:p>
        </w:tc>
      </w:tr>
      <w:tr w14:paraId="600B8B6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326" w:type="pct"/>
            <w:noWrap w:val="0"/>
            <w:vAlign w:val="center"/>
          </w:tcPr>
          <w:p w14:paraId="6B76FC58">
            <w:pPr>
              <w:spacing w:line="240" w:lineRule="auto"/>
              <w:ind w:left="0" w:leftChars="0" w:firstLine="0" w:firstLineChars="0"/>
              <w:jc w:val="center"/>
              <w:rPr>
                <w:rFonts w:hint="eastAsia"/>
                <w:sz w:val="21"/>
                <w:szCs w:val="21"/>
                <w:highlight w:val="none"/>
                <w:lang w:val="en-US" w:eastAsia="zh-CN"/>
              </w:rPr>
            </w:pPr>
            <w:r>
              <w:rPr>
                <w:rFonts w:hint="eastAsia"/>
                <w:sz w:val="21"/>
                <w:szCs w:val="21"/>
                <w:highlight w:val="none"/>
                <w:lang w:val="en-US" w:eastAsia="zh-CN"/>
              </w:rPr>
              <w:t>3</w:t>
            </w:r>
          </w:p>
        </w:tc>
        <w:tc>
          <w:tcPr>
            <w:tcW w:w="1054" w:type="pct"/>
            <w:noWrap w:val="0"/>
            <w:vAlign w:val="center"/>
          </w:tcPr>
          <w:p w14:paraId="576763D4">
            <w:pPr>
              <w:spacing w:line="240" w:lineRule="auto"/>
              <w:ind w:left="0" w:leftChars="0" w:firstLine="0" w:firstLineChars="0"/>
              <w:jc w:val="center"/>
              <w:rPr>
                <w:rFonts w:hint="eastAsia"/>
                <w:sz w:val="21"/>
                <w:szCs w:val="21"/>
                <w:highlight w:val="none"/>
                <w:lang w:val="en-US" w:eastAsia="zh-CN"/>
              </w:rPr>
            </w:pPr>
            <w:r>
              <w:rPr>
                <w:rFonts w:hint="eastAsia"/>
                <w:sz w:val="21"/>
                <w:szCs w:val="21"/>
                <w:highlight w:val="none"/>
                <w:lang w:val="en-US" w:eastAsia="zh-CN"/>
              </w:rPr>
              <w:t>应急组织</w:t>
            </w:r>
          </w:p>
        </w:tc>
        <w:tc>
          <w:tcPr>
            <w:tcW w:w="3618" w:type="pct"/>
            <w:noWrap w:val="0"/>
            <w:vAlign w:val="center"/>
          </w:tcPr>
          <w:p w14:paraId="294F7EAF">
            <w:pPr>
              <w:spacing w:line="240" w:lineRule="auto"/>
              <w:ind w:left="0" w:leftChars="0" w:firstLine="0" w:firstLineChars="0"/>
              <w:jc w:val="center"/>
              <w:rPr>
                <w:rFonts w:hint="eastAsia"/>
                <w:sz w:val="21"/>
                <w:szCs w:val="21"/>
                <w:highlight w:val="none"/>
                <w:lang w:val="en-US" w:eastAsia="zh-CN"/>
              </w:rPr>
            </w:pPr>
            <w:r>
              <w:rPr>
                <w:rFonts w:hint="eastAsia"/>
                <w:sz w:val="21"/>
                <w:szCs w:val="21"/>
                <w:highlight w:val="none"/>
                <w:lang w:val="en-US" w:eastAsia="zh-CN"/>
              </w:rPr>
              <w:t>成立建设单位应急指挥小组，由建设单位领导层担任小组长，负责现场全面指挥，专业救援队伍负责事故控制、救援和善后处理。</w:t>
            </w:r>
          </w:p>
        </w:tc>
      </w:tr>
      <w:tr w14:paraId="6D51668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326" w:type="pct"/>
            <w:noWrap w:val="0"/>
            <w:vAlign w:val="center"/>
          </w:tcPr>
          <w:p w14:paraId="06157D9A">
            <w:pPr>
              <w:spacing w:line="240" w:lineRule="auto"/>
              <w:ind w:left="0" w:leftChars="0" w:firstLine="0" w:firstLineChars="0"/>
              <w:jc w:val="center"/>
              <w:rPr>
                <w:rFonts w:hint="eastAsia"/>
                <w:sz w:val="21"/>
                <w:szCs w:val="21"/>
                <w:highlight w:val="none"/>
                <w:lang w:val="en-US" w:eastAsia="zh-CN"/>
              </w:rPr>
            </w:pPr>
            <w:r>
              <w:rPr>
                <w:rFonts w:hint="eastAsia"/>
                <w:sz w:val="21"/>
                <w:szCs w:val="21"/>
                <w:highlight w:val="none"/>
                <w:lang w:val="en-US" w:eastAsia="zh-CN"/>
              </w:rPr>
              <w:t>4</w:t>
            </w:r>
          </w:p>
        </w:tc>
        <w:tc>
          <w:tcPr>
            <w:tcW w:w="1054" w:type="pct"/>
            <w:noWrap w:val="0"/>
            <w:vAlign w:val="center"/>
          </w:tcPr>
          <w:p w14:paraId="7736F592">
            <w:pPr>
              <w:spacing w:line="240" w:lineRule="auto"/>
              <w:ind w:left="0" w:leftChars="0" w:firstLine="0" w:firstLineChars="0"/>
              <w:jc w:val="center"/>
              <w:rPr>
                <w:rFonts w:hint="eastAsia"/>
                <w:sz w:val="21"/>
                <w:szCs w:val="21"/>
                <w:highlight w:val="none"/>
                <w:lang w:val="en-US" w:eastAsia="zh-CN"/>
              </w:rPr>
            </w:pPr>
            <w:r>
              <w:rPr>
                <w:rFonts w:hint="eastAsia"/>
                <w:sz w:val="21"/>
                <w:szCs w:val="21"/>
                <w:highlight w:val="none"/>
                <w:lang w:val="en-US" w:eastAsia="zh-CN"/>
              </w:rPr>
              <w:t>应急状态分类应急响应程序</w:t>
            </w:r>
          </w:p>
        </w:tc>
        <w:tc>
          <w:tcPr>
            <w:tcW w:w="3618" w:type="pct"/>
            <w:noWrap w:val="0"/>
            <w:vAlign w:val="center"/>
          </w:tcPr>
          <w:p w14:paraId="76329B9A">
            <w:pPr>
              <w:spacing w:line="240" w:lineRule="auto"/>
              <w:ind w:left="0" w:leftChars="0" w:firstLine="0" w:firstLineChars="0"/>
              <w:jc w:val="center"/>
              <w:rPr>
                <w:rFonts w:hint="eastAsia"/>
                <w:sz w:val="21"/>
                <w:szCs w:val="21"/>
                <w:highlight w:val="none"/>
                <w:lang w:val="en-US" w:eastAsia="zh-CN"/>
              </w:rPr>
            </w:pPr>
            <w:r>
              <w:rPr>
                <w:rFonts w:hint="eastAsia"/>
                <w:sz w:val="21"/>
                <w:szCs w:val="21"/>
                <w:highlight w:val="none"/>
                <w:lang w:val="en-US" w:eastAsia="zh-CN"/>
              </w:rPr>
              <w:t>规定环境风险事故的级别及相应的应急状态分类，以此制定相应的应急响应程序。</w:t>
            </w:r>
          </w:p>
        </w:tc>
      </w:tr>
      <w:tr w14:paraId="5E66C35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326" w:type="pct"/>
            <w:noWrap w:val="0"/>
            <w:vAlign w:val="center"/>
          </w:tcPr>
          <w:p w14:paraId="14D16C31">
            <w:pPr>
              <w:spacing w:line="240" w:lineRule="auto"/>
              <w:ind w:left="0" w:leftChars="0" w:firstLine="0" w:firstLineChars="0"/>
              <w:jc w:val="center"/>
              <w:rPr>
                <w:rFonts w:hint="eastAsia"/>
                <w:sz w:val="21"/>
                <w:szCs w:val="21"/>
                <w:highlight w:val="none"/>
                <w:lang w:val="en-US" w:eastAsia="zh-CN"/>
              </w:rPr>
            </w:pPr>
            <w:r>
              <w:rPr>
                <w:rFonts w:hint="eastAsia"/>
                <w:sz w:val="21"/>
                <w:szCs w:val="21"/>
                <w:highlight w:val="none"/>
                <w:lang w:val="en-US" w:eastAsia="zh-CN"/>
              </w:rPr>
              <w:t>5</w:t>
            </w:r>
          </w:p>
        </w:tc>
        <w:tc>
          <w:tcPr>
            <w:tcW w:w="1054" w:type="pct"/>
            <w:noWrap w:val="0"/>
            <w:vAlign w:val="center"/>
          </w:tcPr>
          <w:p w14:paraId="2241B1B4">
            <w:pPr>
              <w:spacing w:line="240" w:lineRule="auto"/>
              <w:ind w:left="0" w:leftChars="0" w:firstLine="0" w:firstLineChars="0"/>
              <w:jc w:val="center"/>
              <w:rPr>
                <w:rFonts w:hint="eastAsia"/>
                <w:sz w:val="21"/>
                <w:szCs w:val="21"/>
                <w:highlight w:val="none"/>
                <w:lang w:val="en-US" w:eastAsia="zh-CN"/>
              </w:rPr>
            </w:pPr>
            <w:r>
              <w:rPr>
                <w:rFonts w:hint="eastAsia"/>
                <w:sz w:val="21"/>
                <w:szCs w:val="21"/>
                <w:highlight w:val="none"/>
                <w:lang w:val="en-US" w:eastAsia="zh-CN"/>
              </w:rPr>
              <w:t>应急设施设备与材料</w:t>
            </w:r>
          </w:p>
        </w:tc>
        <w:tc>
          <w:tcPr>
            <w:tcW w:w="3618" w:type="pct"/>
            <w:noWrap w:val="0"/>
            <w:vAlign w:val="center"/>
          </w:tcPr>
          <w:p w14:paraId="4E0170F3">
            <w:pPr>
              <w:spacing w:line="240" w:lineRule="auto"/>
              <w:ind w:left="0" w:leftChars="0" w:firstLine="0" w:firstLineChars="0"/>
              <w:jc w:val="center"/>
              <w:rPr>
                <w:rFonts w:hint="eastAsia"/>
                <w:sz w:val="21"/>
                <w:szCs w:val="21"/>
                <w:highlight w:val="none"/>
                <w:lang w:val="en-US" w:eastAsia="zh-CN"/>
              </w:rPr>
            </w:pPr>
            <w:r>
              <w:rPr>
                <w:rFonts w:hint="eastAsia"/>
                <w:sz w:val="21"/>
                <w:szCs w:val="21"/>
                <w:highlight w:val="none"/>
                <w:lang w:val="en-US" w:eastAsia="zh-CN"/>
              </w:rPr>
              <w:t>应设置防火灾、泄漏事故的应急设施、设备与材料。</w:t>
            </w:r>
          </w:p>
        </w:tc>
      </w:tr>
      <w:tr w14:paraId="2FF4103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326" w:type="pct"/>
            <w:noWrap w:val="0"/>
            <w:vAlign w:val="center"/>
          </w:tcPr>
          <w:p w14:paraId="52BDADF6">
            <w:pPr>
              <w:spacing w:line="240" w:lineRule="auto"/>
              <w:ind w:left="0" w:leftChars="0" w:firstLine="0" w:firstLineChars="0"/>
              <w:jc w:val="center"/>
              <w:rPr>
                <w:rFonts w:hint="eastAsia"/>
                <w:sz w:val="21"/>
                <w:szCs w:val="21"/>
                <w:highlight w:val="none"/>
                <w:lang w:val="en-US" w:eastAsia="zh-CN"/>
              </w:rPr>
            </w:pPr>
            <w:r>
              <w:rPr>
                <w:rFonts w:hint="eastAsia"/>
                <w:sz w:val="21"/>
                <w:szCs w:val="21"/>
                <w:highlight w:val="none"/>
                <w:lang w:val="en-US" w:eastAsia="zh-CN"/>
              </w:rPr>
              <w:t>6</w:t>
            </w:r>
          </w:p>
        </w:tc>
        <w:tc>
          <w:tcPr>
            <w:tcW w:w="1054" w:type="pct"/>
            <w:noWrap w:val="0"/>
            <w:vAlign w:val="center"/>
          </w:tcPr>
          <w:p w14:paraId="12ECE08A">
            <w:pPr>
              <w:spacing w:line="240" w:lineRule="auto"/>
              <w:ind w:left="0" w:leftChars="0" w:firstLine="0" w:firstLineChars="0"/>
              <w:jc w:val="center"/>
              <w:rPr>
                <w:rFonts w:hint="eastAsia"/>
                <w:sz w:val="21"/>
                <w:szCs w:val="21"/>
                <w:highlight w:val="none"/>
                <w:lang w:val="en-US" w:eastAsia="zh-CN"/>
              </w:rPr>
            </w:pPr>
            <w:r>
              <w:rPr>
                <w:rFonts w:hint="eastAsia"/>
                <w:sz w:val="21"/>
                <w:szCs w:val="21"/>
                <w:highlight w:val="none"/>
                <w:lang w:val="en-US" w:eastAsia="zh-CN"/>
              </w:rPr>
              <w:t>应急通讯通告与交通</w:t>
            </w:r>
          </w:p>
        </w:tc>
        <w:tc>
          <w:tcPr>
            <w:tcW w:w="3618" w:type="pct"/>
            <w:noWrap w:val="0"/>
            <w:vAlign w:val="center"/>
          </w:tcPr>
          <w:p w14:paraId="4BBFD100">
            <w:pPr>
              <w:spacing w:line="240" w:lineRule="auto"/>
              <w:ind w:left="0" w:leftChars="0" w:firstLine="0" w:firstLineChars="0"/>
              <w:jc w:val="center"/>
              <w:rPr>
                <w:rFonts w:hint="eastAsia"/>
                <w:sz w:val="21"/>
                <w:szCs w:val="21"/>
                <w:highlight w:val="none"/>
                <w:lang w:val="en-US" w:eastAsia="zh-CN"/>
              </w:rPr>
            </w:pPr>
            <w:r>
              <w:rPr>
                <w:rFonts w:hint="eastAsia"/>
                <w:sz w:val="21"/>
                <w:szCs w:val="21"/>
                <w:highlight w:val="none"/>
                <w:lang w:val="en-US" w:eastAsia="zh-CN"/>
              </w:rPr>
              <w:t>规定应急状态下的通讯、通告方式和交通保障、管理等事项。</w:t>
            </w:r>
          </w:p>
        </w:tc>
      </w:tr>
      <w:tr w14:paraId="3C3EA81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326" w:type="pct"/>
            <w:noWrap w:val="0"/>
            <w:vAlign w:val="center"/>
          </w:tcPr>
          <w:p w14:paraId="412F5C66">
            <w:pPr>
              <w:spacing w:line="240" w:lineRule="auto"/>
              <w:ind w:left="0" w:leftChars="0" w:firstLine="0" w:firstLineChars="0"/>
              <w:jc w:val="center"/>
              <w:rPr>
                <w:rFonts w:hint="eastAsia"/>
                <w:sz w:val="21"/>
                <w:szCs w:val="21"/>
                <w:highlight w:val="none"/>
                <w:lang w:val="en-US" w:eastAsia="zh-CN"/>
              </w:rPr>
            </w:pPr>
            <w:r>
              <w:rPr>
                <w:rFonts w:hint="eastAsia"/>
                <w:sz w:val="21"/>
                <w:szCs w:val="21"/>
                <w:highlight w:val="none"/>
                <w:lang w:val="en-US" w:eastAsia="zh-CN"/>
              </w:rPr>
              <w:t>7</w:t>
            </w:r>
          </w:p>
        </w:tc>
        <w:tc>
          <w:tcPr>
            <w:tcW w:w="1054" w:type="pct"/>
            <w:noWrap w:val="0"/>
            <w:vAlign w:val="center"/>
          </w:tcPr>
          <w:p w14:paraId="05A38C9B">
            <w:pPr>
              <w:spacing w:line="240" w:lineRule="auto"/>
              <w:ind w:left="0" w:leftChars="0" w:firstLine="0" w:firstLineChars="0"/>
              <w:jc w:val="center"/>
              <w:rPr>
                <w:rFonts w:hint="eastAsia"/>
                <w:sz w:val="21"/>
                <w:szCs w:val="21"/>
                <w:highlight w:val="none"/>
                <w:lang w:val="en-US" w:eastAsia="zh-CN"/>
              </w:rPr>
            </w:pPr>
            <w:r>
              <w:rPr>
                <w:rFonts w:hint="eastAsia"/>
                <w:sz w:val="21"/>
                <w:szCs w:val="21"/>
                <w:highlight w:val="none"/>
                <w:lang w:val="en-US" w:eastAsia="zh-CN"/>
              </w:rPr>
              <w:t>应急环境监测及事故后评价</w:t>
            </w:r>
          </w:p>
        </w:tc>
        <w:tc>
          <w:tcPr>
            <w:tcW w:w="3618" w:type="pct"/>
            <w:noWrap w:val="0"/>
            <w:vAlign w:val="center"/>
          </w:tcPr>
          <w:p w14:paraId="022426A6">
            <w:pPr>
              <w:spacing w:line="240" w:lineRule="auto"/>
              <w:ind w:left="0" w:leftChars="0" w:firstLine="0" w:firstLineChars="0"/>
              <w:jc w:val="center"/>
              <w:rPr>
                <w:rFonts w:hint="eastAsia"/>
                <w:sz w:val="21"/>
                <w:szCs w:val="21"/>
                <w:highlight w:val="none"/>
                <w:lang w:val="en-US" w:eastAsia="zh-CN"/>
              </w:rPr>
            </w:pPr>
            <w:r>
              <w:rPr>
                <w:rFonts w:hint="eastAsia"/>
                <w:sz w:val="21"/>
                <w:szCs w:val="21"/>
                <w:highlight w:val="none"/>
                <w:lang w:val="en-US" w:eastAsia="zh-CN"/>
              </w:rPr>
              <w:t>由专业人员对事故现场进行应急监测分析，对事故性质、严重程度等所造成的环境危害后果进行评估，吸取经验教训避免再次发生事故，为指挥部门提供决策依据。</w:t>
            </w:r>
          </w:p>
        </w:tc>
      </w:tr>
      <w:tr w14:paraId="0FB7EBA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326" w:type="pct"/>
            <w:noWrap w:val="0"/>
            <w:vAlign w:val="center"/>
          </w:tcPr>
          <w:p w14:paraId="51CFFF80">
            <w:pPr>
              <w:spacing w:line="240" w:lineRule="auto"/>
              <w:ind w:left="0" w:leftChars="0" w:firstLine="0" w:firstLineChars="0"/>
              <w:jc w:val="center"/>
              <w:rPr>
                <w:rFonts w:hint="eastAsia"/>
                <w:sz w:val="21"/>
                <w:szCs w:val="21"/>
                <w:highlight w:val="none"/>
                <w:lang w:val="en-US" w:eastAsia="zh-CN"/>
              </w:rPr>
            </w:pPr>
            <w:r>
              <w:rPr>
                <w:rFonts w:hint="eastAsia"/>
                <w:sz w:val="21"/>
                <w:szCs w:val="21"/>
                <w:highlight w:val="none"/>
                <w:lang w:val="en-US" w:eastAsia="zh-CN"/>
              </w:rPr>
              <w:t>8</w:t>
            </w:r>
          </w:p>
        </w:tc>
        <w:tc>
          <w:tcPr>
            <w:tcW w:w="1054" w:type="pct"/>
            <w:noWrap w:val="0"/>
            <w:vAlign w:val="center"/>
          </w:tcPr>
          <w:p w14:paraId="14B4671A">
            <w:pPr>
              <w:spacing w:line="240" w:lineRule="auto"/>
              <w:ind w:left="0" w:leftChars="0" w:firstLine="0" w:firstLineChars="0"/>
              <w:jc w:val="center"/>
              <w:rPr>
                <w:rFonts w:hint="eastAsia"/>
                <w:sz w:val="21"/>
                <w:szCs w:val="21"/>
                <w:highlight w:val="none"/>
                <w:lang w:val="en-US" w:eastAsia="zh-CN"/>
              </w:rPr>
            </w:pPr>
            <w:r>
              <w:rPr>
                <w:rFonts w:hint="eastAsia"/>
                <w:sz w:val="21"/>
                <w:szCs w:val="21"/>
                <w:highlight w:val="none"/>
                <w:lang w:val="en-US" w:eastAsia="zh-CN"/>
              </w:rPr>
              <w:t>应急防护措施及需使用器材</w:t>
            </w:r>
          </w:p>
        </w:tc>
        <w:tc>
          <w:tcPr>
            <w:tcW w:w="3618" w:type="pct"/>
            <w:noWrap w:val="0"/>
            <w:vAlign w:val="center"/>
          </w:tcPr>
          <w:p w14:paraId="3A6B77CE">
            <w:pPr>
              <w:spacing w:line="240" w:lineRule="auto"/>
              <w:ind w:left="0" w:leftChars="0" w:firstLine="0" w:firstLineChars="0"/>
              <w:jc w:val="center"/>
              <w:rPr>
                <w:rFonts w:hint="eastAsia"/>
                <w:sz w:val="21"/>
                <w:szCs w:val="21"/>
                <w:highlight w:val="none"/>
                <w:lang w:val="en-US" w:eastAsia="zh-CN"/>
              </w:rPr>
            </w:pPr>
            <w:r>
              <w:rPr>
                <w:rFonts w:hint="eastAsia"/>
                <w:sz w:val="21"/>
                <w:szCs w:val="21"/>
                <w:highlight w:val="none"/>
                <w:lang w:val="en-US" w:eastAsia="zh-CN"/>
              </w:rPr>
              <w:t>事故现场：控制事故发展，防止扩大、蔓延及连锁反应，清除现场泄露物，降低危害等相应的设施器材配备。临近地区：控制防火区域，控制和消除环境污染的措施及相应的设备配备。</w:t>
            </w:r>
          </w:p>
        </w:tc>
      </w:tr>
      <w:tr w14:paraId="77576F6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326" w:type="pct"/>
            <w:noWrap w:val="0"/>
            <w:vAlign w:val="center"/>
          </w:tcPr>
          <w:p w14:paraId="6E7C2DD5">
            <w:pPr>
              <w:spacing w:line="240" w:lineRule="auto"/>
              <w:ind w:left="0" w:leftChars="0" w:firstLine="0" w:firstLineChars="0"/>
              <w:jc w:val="center"/>
              <w:rPr>
                <w:rFonts w:hint="eastAsia"/>
                <w:sz w:val="21"/>
                <w:szCs w:val="21"/>
                <w:highlight w:val="none"/>
                <w:lang w:val="en-US" w:eastAsia="zh-CN"/>
              </w:rPr>
            </w:pPr>
            <w:r>
              <w:rPr>
                <w:rFonts w:hint="eastAsia"/>
                <w:sz w:val="21"/>
                <w:szCs w:val="21"/>
                <w:highlight w:val="none"/>
                <w:lang w:val="en-US" w:eastAsia="zh-CN"/>
              </w:rPr>
              <w:t>9</w:t>
            </w:r>
          </w:p>
        </w:tc>
        <w:tc>
          <w:tcPr>
            <w:tcW w:w="1054" w:type="pct"/>
            <w:noWrap w:val="0"/>
            <w:vAlign w:val="center"/>
          </w:tcPr>
          <w:p w14:paraId="3B351B76">
            <w:pPr>
              <w:spacing w:line="240" w:lineRule="auto"/>
              <w:ind w:left="0" w:leftChars="0" w:firstLine="0" w:firstLineChars="0"/>
              <w:jc w:val="center"/>
              <w:rPr>
                <w:rFonts w:hint="eastAsia"/>
                <w:sz w:val="21"/>
                <w:szCs w:val="21"/>
                <w:highlight w:val="none"/>
                <w:lang w:val="en-US" w:eastAsia="zh-CN"/>
              </w:rPr>
            </w:pPr>
            <w:r>
              <w:rPr>
                <w:rFonts w:hint="eastAsia"/>
                <w:sz w:val="21"/>
                <w:szCs w:val="21"/>
                <w:highlight w:val="none"/>
                <w:lang w:val="en-US" w:eastAsia="zh-CN"/>
              </w:rPr>
              <w:t>应急剂量控制撤离组织计划医疗救护与保护公众健康</w:t>
            </w:r>
          </w:p>
        </w:tc>
        <w:tc>
          <w:tcPr>
            <w:tcW w:w="3618" w:type="pct"/>
            <w:noWrap w:val="0"/>
            <w:vAlign w:val="center"/>
          </w:tcPr>
          <w:p w14:paraId="2B7692A3">
            <w:pPr>
              <w:spacing w:line="240" w:lineRule="auto"/>
              <w:ind w:left="0" w:leftChars="0" w:firstLine="0" w:firstLineChars="0"/>
              <w:jc w:val="center"/>
              <w:rPr>
                <w:rFonts w:hint="eastAsia"/>
                <w:sz w:val="21"/>
                <w:szCs w:val="21"/>
                <w:highlight w:val="none"/>
                <w:lang w:val="en-US" w:eastAsia="zh-CN"/>
              </w:rPr>
            </w:pPr>
            <w:r>
              <w:rPr>
                <w:rFonts w:hint="eastAsia"/>
                <w:sz w:val="21"/>
                <w:szCs w:val="21"/>
                <w:highlight w:val="none"/>
                <w:lang w:val="en-US" w:eastAsia="zh-CN"/>
              </w:rPr>
              <w:t>事故现场：事故处理人员制定毒物的应急剂量，现场及临近装置人员的撤离组织计划和紧急救护方案。临近地区：制定受事故影响的临近地区内人员对毒物的应急剂量，公众的疏散组织计划和紧急救护方案</w:t>
            </w:r>
          </w:p>
        </w:tc>
      </w:tr>
      <w:tr w14:paraId="075EBCD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326" w:type="pct"/>
            <w:noWrap w:val="0"/>
            <w:vAlign w:val="center"/>
          </w:tcPr>
          <w:p w14:paraId="32E2486D">
            <w:pPr>
              <w:spacing w:line="240" w:lineRule="auto"/>
              <w:ind w:left="0" w:leftChars="0" w:firstLine="0" w:firstLineChars="0"/>
              <w:jc w:val="center"/>
              <w:rPr>
                <w:rFonts w:hint="eastAsia"/>
                <w:sz w:val="21"/>
                <w:szCs w:val="21"/>
                <w:highlight w:val="none"/>
                <w:lang w:val="en-US" w:eastAsia="zh-CN"/>
              </w:rPr>
            </w:pPr>
            <w:r>
              <w:rPr>
                <w:rFonts w:hint="eastAsia"/>
                <w:sz w:val="21"/>
                <w:szCs w:val="21"/>
                <w:highlight w:val="none"/>
                <w:lang w:val="en-US" w:eastAsia="zh-CN"/>
              </w:rPr>
              <w:t>10</w:t>
            </w:r>
          </w:p>
        </w:tc>
        <w:tc>
          <w:tcPr>
            <w:tcW w:w="1054" w:type="pct"/>
            <w:noWrap w:val="0"/>
            <w:vAlign w:val="center"/>
          </w:tcPr>
          <w:p w14:paraId="4F0EDC42">
            <w:pPr>
              <w:spacing w:line="240" w:lineRule="auto"/>
              <w:ind w:left="0" w:leftChars="0" w:firstLine="0" w:firstLineChars="0"/>
              <w:jc w:val="center"/>
              <w:rPr>
                <w:rFonts w:hint="eastAsia"/>
                <w:sz w:val="21"/>
                <w:szCs w:val="21"/>
                <w:highlight w:val="none"/>
                <w:lang w:val="en-US" w:eastAsia="zh-CN"/>
              </w:rPr>
            </w:pPr>
            <w:r>
              <w:rPr>
                <w:rFonts w:hint="eastAsia"/>
                <w:sz w:val="21"/>
                <w:szCs w:val="21"/>
                <w:highlight w:val="none"/>
                <w:lang w:val="en-US" w:eastAsia="zh-CN"/>
              </w:rPr>
              <w:t>应急状态中止恢复措施</w:t>
            </w:r>
          </w:p>
        </w:tc>
        <w:tc>
          <w:tcPr>
            <w:tcW w:w="3618" w:type="pct"/>
            <w:noWrap w:val="0"/>
            <w:vAlign w:val="center"/>
          </w:tcPr>
          <w:p w14:paraId="27DABBBC">
            <w:pPr>
              <w:spacing w:line="240" w:lineRule="auto"/>
              <w:ind w:left="0" w:leftChars="0" w:firstLine="0" w:firstLineChars="0"/>
              <w:jc w:val="center"/>
              <w:rPr>
                <w:rFonts w:hint="eastAsia"/>
                <w:sz w:val="21"/>
                <w:szCs w:val="21"/>
                <w:highlight w:val="none"/>
                <w:lang w:val="en-US" w:eastAsia="zh-CN"/>
              </w:rPr>
            </w:pPr>
            <w:r>
              <w:rPr>
                <w:rFonts w:hint="eastAsia"/>
                <w:sz w:val="21"/>
                <w:szCs w:val="21"/>
                <w:highlight w:val="none"/>
                <w:lang w:val="en-US" w:eastAsia="zh-CN"/>
              </w:rPr>
              <w:t>事故现场：规定应急状态终止秩序；事故现场善后处理，回复生产措施。临近地区：解除事故警戒，公众返回和善后恢复措施。</w:t>
            </w:r>
          </w:p>
        </w:tc>
      </w:tr>
      <w:tr w14:paraId="7CB41E2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326" w:type="pct"/>
            <w:noWrap w:val="0"/>
            <w:vAlign w:val="center"/>
          </w:tcPr>
          <w:p w14:paraId="37D2E115">
            <w:pPr>
              <w:spacing w:line="240" w:lineRule="auto"/>
              <w:ind w:left="0" w:leftChars="0" w:firstLine="0" w:firstLineChars="0"/>
              <w:jc w:val="center"/>
              <w:rPr>
                <w:rFonts w:hint="eastAsia"/>
                <w:sz w:val="21"/>
                <w:szCs w:val="21"/>
                <w:highlight w:val="none"/>
                <w:lang w:val="en-US" w:eastAsia="zh-CN"/>
              </w:rPr>
            </w:pPr>
            <w:r>
              <w:rPr>
                <w:rFonts w:hint="eastAsia"/>
                <w:sz w:val="21"/>
                <w:szCs w:val="21"/>
                <w:highlight w:val="none"/>
                <w:lang w:val="en-US" w:eastAsia="zh-CN"/>
              </w:rPr>
              <w:t>11</w:t>
            </w:r>
          </w:p>
        </w:tc>
        <w:tc>
          <w:tcPr>
            <w:tcW w:w="1054" w:type="pct"/>
            <w:noWrap w:val="0"/>
            <w:vAlign w:val="center"/>
          </w:tcPr>
          <w:p w14:paraId="4CEF7047">
            <w:pPr>
              <w:spacing w:line="240" w:lineRule="auto"/>
              <w:ind w:left="0" w:leftChars="0" w:firstLine="0" w:firstLineChars="0"/>
              <w:jc w:val="center"/>
              <w:rPr>
                <w:rFonts w:hint="eastAsia"/>
                <w:sz w:val="21"/>
                <w:szCs w:val="21"/>
                <w:highlight w:val="none"/>
                <w:lang w:val="en-US" w:eastAsia="zh-CN"/>
              </w:rPr>
            </w:pPr>
            <w:r>
              <w:rPr>
                <w:rFonts w:hint="eastAsia"/>
                <w:sz w:val="21"/>
                <w:szCs w:val="21"/>
                <w:highlight w:val="none"/>
                <w:lang w:val="en-US" w:eastAsia="zh-CN"/>
              </w:rPr>
              <w:t>人员培训与演习</w:t>
            </w:r>
          </w:p>
        </w:tc>
        <w:tc>
          <w:tcPr>
            <w:tcW w:w="3618" w:type="pct"/>
            <w:noWrap w:val="0"/>
            <w:vAlign w:val="center"/>
          </w:tcPr>
          <w:p w14:paraId="56870617">
            <w:pPr>
              <w:spacing w:line="240" w:lineRule="auto"/>
              <w:ind w:left="0" w:leftChars="0" w:firstLine="0" w:firstLineChars="0"/>
              <w:jc w:val="center"/>
              <w:rPr>
                <w:rFonts w:hint="eastAsia"/>
                <w:sz w:val="21"/>
                <w:szCs w:val="21"/>
                <w:highlight w:val="none"/>
                <w:lang w:val="en-US" w:eastAsia="zh-CN"/>
              </w:rPr>
            </w:pPr>
            <w:r>
              <w:rPr>
                <w:rFonts w:hint="eastAsia"/>
                <w:sz w:val="21"/>
                <w:szCs w:val="21"/>
                <w:highlight w:val="none"/>
                <w:lang w:val="en-US" w:eastAsia="zh-CN"/>
              </w:rPr>
              <w:t>应急计划制定后，平时安排事故处理人员进行相关知识培训并进行事故应急处理演习；对工厂工人进行安全卫生教育。</w:t>
            </w:r>
          </w:p>
        </w:tc>
      </w:tr>
      <w:tr w14:paraId="182D72D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326" w:type="pct"/>
            <w:noWrap w:val="0"/>
            <w:vAlign w:val="center"/>
          </w:tcPr>
          <w:p w14:paraId="6117192E">
            <w:pPr>
              <w:spacing w:line="240" w:lineRule="auto"/>
              <w:ind w:left="0" w:leftChars="0" w:firstLine="0" w:firstLineChars="0"/>
              <w:jc w:val="center"/>
              <w:rPr>
                <w:rFonts w:hint="eastAsia"/>
                <w:sz w:val="21"/>
                <w:szCs w:val="21"/>
                <w:highlight w:val="none"/>
                <w:lang w:val="en-US" w:eastAsia="zh-CN"/>
              </w:rPr>
            </w:pPr>
            <w:r>
              <w:rPr>
                <w:rFonts w:hint="eastAsia"/>
                <w:sz w:val="21"/>
                <w:szCs w:val="21"/>
                <w:highlight w:val="none"/>
                <w:lang w:val="en-US" w:eastAsia="zh-CN"/>
              </w:rPr>
              <w:t>12</w:t>
            </w:r>
          </w:p>
        </w:tc>
        <w:tc>
          <w:tcPr>
            <w:tcW w:w="1054" w:type="pct"/>
            <w:noWrap w:val="0"/>
            <w:vAlign w:val="center"/>
          </w:tcPr>
          <w:p w14:paraId="410B7D4D">
            <w:pPr>
              <w:spacing w:line="240" w:lineRule="auto"/>
              <w:ind w:left="0" w:leftChars="0" w:firstLine="0" w:firstLineChars="0"/>
              <w:jc w:val="center"/>
              <w:rPr>
                <w:rFonts w:hint="eastAsia"/>
                <w:sz w:val="21"/>
                <w:szCs w:val="21"/>
                <w:highlight w:val="none"/>
                <w:lang w:val="en-US" w:eastAsia="zh-CN"/>
              </w:rPr>
            </w:pPr>
            <w:r>
              <w:rPr>
                <w:rFonts w:hint="eastAsia"/>
                <w:sz w:val="21"/>
                <w:szCs w:val="21"/>
                <w:highlight w:val="none"/>
                <w:lang w:val="en-US" w:eastAsia="zh-CN"/>
              </w:rPr>
              <w:t>公众教育信息发布</w:t>
            </w:r>
          </w:p>
        </w:tc>
        <w:tc>
          <w:tcPr>
            <w:tcW w:w="3618" w:type="pct"/>
            <w:noWrap w:val="0"/>
            <w:vAlign w:val="center"/>
          </w:tcPr>
          <w:p w14:paraId="225E3650">
            <w:pPr>
              <w:spacing w:line="240" w:lineRule="auto"/>
              <w:ind w:left="0" w:leftChars="0" w:firstLine="0" w:firstLineChars="0"/>
              <w:jc w:val="center"/>
              <w:rPr>
                <w:rFonts w:hint="eastAsia"/>
                <w:sz w:val="21"/>
                <w:szCs w:val="21"/>
                <w:highlight w:val="none"/>
                <w:lang w:val="en-US" w:eastAsia="zh-CN"/>
              </w:rPr>
            </w:pPr>
            <w:r>
              <w:rPr>
                <w:rFonts w:hint="eastAsia"/>
                <w:sz w:val="21"/>
                <w:szCs w:val="21"/>
                <w:highlight w:val="none"/>
                <w:lang w:val="en-US" w:eastAsia="zh-CN"/>
              </w:rPr>
              <w:t>对项目临近地区公众开展环境风险事故预防教育，应急知识培训并定期发布相关信息。</w:t>
            </w:r>
          </w:p>
        </w:tc>
      </w:tr>
      <w:tr w14:paraId="6A79861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326" w:type="pct"/>
            <w:noWrap w:val="0"/>
            <w:vAlign w:val="center"/>
          </w:tcPr>
          <w:p w14:paraId="11190476">
            <w:pPr>
              <w:spacing w:line="240" w:lineRule="auto"/>
              <w:ind w:left="0" w:leftChars="0" w:firstLine="0" w:firstLineChars="0"/>
              <w:jc w:val="center"/>
              <w:rPr>
                <w:rFonts w:hint="eastAsia"/>
                <w:sz w:val="21"/>
                <w:szCs w:val="21"/>
                <w:highlight w:val="none"/>
                <w:lang w:val="en-US" w:eastAsia="zh-CN"/>
              </w:rPr>
            </w:pPr>
            <w:r>
              <w:rPr>
                <w:rFonts w:hint="eastAsia"/>
                <w:sz w:val="21"/>
                <w:szCs w:val="21"/>
                <w:highlight w:val="none"/>
                <w:lang w:val="en-US" w:eastAsia="zh-CN"/>
              </w:rPr>
              <w:t>13</w:t>
            </w:r>
          </w:p>
        </w:tc>
        <w:tc>
          <w:tcPr>
            <w:tcW w:w="1054" w:type="pct"/>
            <w:noWrap w:val="0"/>
            <w:vAlign w:val="center"/>
          </w:tcPr>
          <w:p w14:paraId="4E9F05FB">
            <w:pPr>
              <w:spacing w:line="240" w:lineRule="auto"/>
              <w:ind w:left="0" w:leftChars="0" w:firstLine="0" w:firstLineChars="0"/>
              <w:jc w:val="center"/>
              <w:rPr>
                <w:rFonts w:hint="eastAsia"/>
                <w:sz w:val="21"/>
                <w:szCs w:val="21"/>
                <w:highlight w:val="none"/>
                <w:lang w:val="en-US" w:eastAsia="zh-CN"/>
              </w:rPr>
            </w:pPr>
            <w:r>
              <w:rPr>
                <w:rFonts w:hint="eastAsia"/>
                <w:sz w:val="21"/>
                <w:szCs w:val="21"/>
                <w:highlight w:val="none"/>
                <w:lang w:val="en-US" w:eastAsia="zh-CN"/>
              </w:rPr>
              <w:t>记录和报告</w:t>
            </w:r>
          </w:p>
        </w:tc>
        <w:tc>
          <w:tcPr>
            <w:tcW w:w="3618" w:type="pct"/>
            <w:noWrap w:val="0"/>
            <w:vAlign w:val="center"/>
          </w:tcPr>
          <w:p w14:paraId="16A30FB6">
            <w:pPr>
              <w:spacing w:line="240" w:lineRule="auto"/>
              <w:ind w:left="0" w:leftChars="0" w:firstLine="0" w:firstLineChars="0"/>
              <w:jc w:val="center"/>
              <w:rPr>
                <w:rFonts w:hint="eastAsia"/>
                <w:sz w:val="21"/>
                <w:szCs w:val="21"/>
                <w:highlight w:val="none"/>
                <w:lang w:val="en-US" w:eastAsia="zh-CN"/>
              </w:rPr>
            </w:pPr>
            <w:r>
              <w:rPr>
                <w:rFonts w:hint="eastAsia"/>
                <w:sz w:val="21"/>
                <w:szCs w:val="21"/>
                <w:highlight w:val="none"/>
                <w:lang w:val="en-US" w:eastAsia="zh-CN"/>
              </w:rPr>
              <w:t>设应急事故专门记录，建立档案和报告制度，设专门部门负责管理。</w:t>
            </w:r>
          </w:p>
        </w:tc>
      </w:tr>
      <w:tr w14:paraId="24C0A94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326" w:type="pct"/>
            <w:noWrap w:val="0"/>
            <w:vAlign w:val="center"/>
          </w:tcPr>
          <w:p w14:paraId="18E5511B">
            <w:pPr>
              <w:spacing w:line="240" w:lineRule="auto"/>
              <w:ind w:left="0" w:leftChars="0" w:firstLine="0" w:firstLineChars="0"/>
              <w:jc w:val="center"/>
              <w:rPr>
                <w:rFonts w:hint="eastAsia"/>
                <w:sz w:val="21"/>
                <w:szCs w:val="21"/>
                <w:highlight w:val="none"/>
                <w:lang w:val="en-US" w:eastAsia="zh-CN"/>
              </w:rPr>
            </w:pPr>
            <w:r>
              <w:rPr>
                <w:rFonts w:hint="eastAsia"/>
                <w:sz w:val="21"/>
                <w:szCs w:val="21"/>
                <w:highlight w:val="none"/>
                <w:lang w:val="en-US" w:eastAsia="zh-CN"/>
              </w:rPr>
              <w:t>14</w:t>
            </w:r>
          </w:p>
        </w:tc>
        <w:tc>
          <w:tcPr>
            <w:tcW w:w="1054" w:type="pct"/>
            <w:noWrap w:val="0"/>
            <w:vAlign w:val="center"/>
          </w:tcPr>
          <w:p w14:paraId="38CDA018">
            <w:pPr>
              <w:spacing w:line="240" w:lineRule="auto"/>
              <w:ind w:left="0" w:leftChars="0" w:firstLine="0" w:firstLineChars="0"/>
              <w:jc w:val="center"/>
              <w:rPr>
                <w:rFonts w:hint="eastAsia"/>
                <w:sz w:val="21"/>
                <w:szCs w:val="21"/>
                <w:highlight w:val="none"/>
                <w:lang w:val="en-US" w:eastAsia="zh-CN"/>
              </w:rPr>
            </w:pPr>
            <w:r>
              <w:rPr>
                <w:rFonts w:hint="eastAsia"/>
                <w:sz w:val="21"/>
                <w:szCs w:val="21"/>
                <w:highlight w:val="none"/>
                <w:lang w:val="en-US" w:eastAsia="zh-CN"/>
              </w:rPr>
              <w:t>附件</w:t>
            </w:r>
          </w:p>
        </w:tc>
        <w:tc>
          <w:tcPr>
            <w:tcW w:w="3618" w:type="pct"/>
            <w:noWrap w:val="0"/>
            <w:vAlign w:val="center"/>
          </w:tcPr>
          <w:p w14:paraId="2538A3D7">
            <w:pPr>
              <w:spacing w:line="240" w:lineRule="auto"/>
              <w:ind w:left="0" w:leftChars="0" w:firstLine="0" w:firstLineChars="0"/>
              <w:jc w:val="center"/>
              <w:rPr>
                <w:rFonts w:hint="eastAsia"/>
                <w:sz w:val="21"/>
                <w:szCs w:val="21"/>
                <w:highlight w:val="none"/>
                <w:lang w:val="en-US" w:eastAsia="zh-CN"/>
              </w:rPr>
            </w:pPr>
            <w:r>
              <w:rPr>
                <w:rFonts w:hint="eastAsia"/>
                <w:sz w:val="21"/>
                <w:szCs w:val="21"/>
                <w:highlight w:val="none"/>
                <w:lang w:val="en-US" w:eastAsia="zh-CN"/>
              </w:rPr>
              <w:t>准备并形成环境风险事故应急处理有关的附件材料。</w:t>
            </w:r>
          </w:p>
        </w:tc>
      </w:tr>
    </w:tbl>
    <w:p w14:paraId="4C6B7BBA">
      <w:pPr>
        <w:pStyle w:val="8"/>
        <w:numPr>
          <w:ilvl w:val="1"/>
          <w:numId w:val="1"/>
        </w:numPr>
        <w:tabs>
          <w:tab w:val="clear" w:pos="420"/>
        </w:tabs>
        <w:bidi w:val="0"/>
        <w:ind w:left="567" w:leftChars="0" w:hanging="567" w:firstLineChars="0"/>
        <w:rPr>
          <w:rFonts w:hint="default"/>
          <w:highlight w:val="none"/>
          <w:lang w:val="en-US" w:eastAsia="zh-CN"/>
        </w:rPr>
      </w:pPr>
      <w:bookmarkStart w:id="91" w:name="_Toc25775"/>
      <w:r>
        <w:rPr>
          <w:rFonts w:hint="eastAsia"/>
          <w:highlight w:val="none"/>
          <w:lang w:val="en-US" w:eastAsia="zh-CN"/>
        </w:rPr>
        <w:t>结论</w:t>
      </w:r>
      <w:bookmarkEnd w:id="91"/>
    </w:p>
    <w:p w14:paraId="0778108B">
      <w:pPr>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本项目涉及风险物质主要为液碱、PAM、硫酸及生物制剂等，对照《建设项目环境风险评价技术导则》（HJ169-2018）附录B中对应临界量，项目所涉及的危险物质的Q值属</w:t>
      </w:r>
      <w:r>
        <w:rPr>
          <w:rFonts w:hint="eastAsia" w:ascii="宋体" w:hAnsi="宋体" w:eastAsia="宋体" w:cs="宋体"/>
          <w:highlight w:val="none"/>
          <w:lang w:val="en-US" w:eastAsia="zh-CN"/>
        </w:rPr>
        <w:t>“</w:t>
      </w:r>
      <w:r>
        <w:rPr>
          <w:rFonts w:hint="default" w:ascii="Times New Roman" w:hAnsi="Times New Roman" w:cs="Times New Roman"/>
          <w:highlight w:val="none"/>
          <w:lang w:val="en-US" w:eastAsia="zh-CN"/>
        </w:rPr>
        <w:t>Q˂1</w:t>
      </w:r>
      <w:r>
        <w:rPr>
          <w:rFonts w:hint="eastAsia" w:ascii="宋体" w:hAnsi="宋体" w:eastAsia="宋体" w:cs="宋体"/>
          <w:highlight w:val="none"/>
          <w:lang w:val="en-US" w:eastAsia="zh-CN"/>
        </w:rPr>
        <w:t>”</w:t>
      </w:r>
      <w:r>
        <w:rPr>
          <w:rFonts w:hint="default" w:ascii="Times New Roman" w:hAnsi="Times New Roman" w:cs="Times New Roman"/>
          <w:highlight w:val="none"/>
          <w:lang w:val="en-US" w:eastAsia="zh-CN"/>
        </w:rPr>
        <w:t>，本项目环境风险潜势分级为</w:t>
      </w:r>
      <w:r>
        <w:rPr>
          <w:rFonts w:hint="default" w:ascii="Times New Roman" w:hAnsi="Times New Roman" w:eastAsia="宋体" w:cs="Times New Roman"/>
          <w:highlight w:val="none"/>
          <w:lang w:val="en-US" w:eastAsia="zh-CN"/>
        </w:rPr>
        <w:t>Ⅰ</w:t>
      </w:r>
      <w:r>
        <w:rPr>
          <w:rFonts w:hint="default" w:ascii="Times New Roman" w:hAnsi="Times New Roman" w:cs="Times New Roman"/>
          <w:highlight w:val="none"/>
          <w:lang w:val="en-US" w:eastAsia="zh-CN"/>
        </w:rPr>
        <w:t>。</w:t>
      </w:r>
    </w:p>
    <w:p w14:paraId="1CE814E0">
      <w:pPr>
        <w:rPr>
          <w:rFonts w:hint="eastAsia"/>
          <w:highlight w:val="none"/>
          <w:lang w:val="en-US" w:eastAsia="zh-CN"/>
        </w:rPr>
      </w:pPr>
      <w:r>
        <w:rPr>
          <w:rFonts w:hint="eastAsia"/>
          <w:highlight w:val="none"/>
          <w:lang w:val="en-US" w:eastAsia="zh-CN"/>
        </w:rPr>
        <w:t>项目建设存在环境风险，参照《建设项目环境风险评价技术导则》（HJ169-2018）为指导，通过风险识别、风险分析和后果预测，提出项目的风险防范措施和应急预案，为工程建设和环境管理提供技术决策依据，把环境风险尽可能降低至可接受水平，项目环境风险可防控，项目需严格落实安全评价报告、环评报告提出的安全防范措施、风险防范措施，项目建成投产后，建设单位需及时组织编制突发环境事件应急预案并备案，定期进行应急演练，可最大限度地降低环境风险，把事故对环境的影响降到最小程度。</w:t>
      </w:r>
    </w:p>
    <w:p w14:paraId="71F24B04">
      <w:pPr>
        <w:rPr>
          <w:rFonts w:hint="eastAsia"/>
          <w:highlight w:val="none"/>
          <w:lang w:val="en-US" w:eastAsia="zh-CN"/>
        </w:rPr>
      </w:pPr>
      <w:r>
        <w:rPr>
          <w:rFonts w:hint="eastAsia"/>
          <w:highlight w:val="none"/>
          <w:lang w:val="en-US" w:eastAsia="zh-CN"/>
        </w:rPr>
        <w:t>总体而言，通过加强风险防范措施，本项目风险程度为可以接受水平。</w:t>
      </w:r>
    </w:p>
    <w:p w14:paraId="7CDCE1E4">
      <w:pPr>
        <w:rPr>
          <w:rFonts w:hint="eastAsia"/>
          <w:highlight w:val="yellow"/>
          <w:lang w:val="en-US" w:eastAsia="zh-CN"/>
        </w:rPr>
      </w:pPr>
      <w:r>
        <w:rPr>
          <w:rFonts w:hint="eastAsia"/>
          <w:highlight w:val="yellow"/>
          <w:lang w:val="en-US" w:eastAsia="zh-CN"/>
        </w:rPr>
        <w:br w:type="page"/>
      </w:r>
    </w:p>
    <w:p w14:paraId="739D73AD">
      <w:pPr>
        <w:pStyle w:val="7"/>
        <w:bidi w:val="0"/>
        <w:jc w:val="center"/>
        <w:rPr>
          <w:rFonts w:hint="eastAsia"/>
          <w:highlight w:val="none"/>
          <w:lang w:val="en-US" w:eastAsia="zh-CN"/>
        </w:rPr>
      </w:pPr>
      <w:bookmarkStart w:id="92" w:name="_Toc2264"/>
      <w:r>
        <w:rPr>
          <w:rFonts w:hint="eastAsia"/>
          <w:highlight w:val="none"/>
          <w:lang w:val="en-US" w:eastAsia="zh-CN"/>
        </w:rPr>
        <w:t>环境保护措施及其技术经济论证</w:t>
      </w:r>
      <w:bookmarkEnd w:id="92"/>
    </w:p>
    <w:p w14:paraId="7D997C48">
      <w:pPr>
        <w:pStyle w:val="8"/>
        <w:numPr>
          <w:ilvl w:val="1"/>
          <w:numId w:val="1"/>
        </w:numPr>
        <w:tabs>
          <w:tab w:val="clear" w:pos="420"/>
        </w:tabs>
        <w:bidi w:val="0"/>
        <w:ind w:left="567" w:leftChars="0" w:hanging="567" w:firstLineChars="0"/>
        <w:rPr>
          <w:rFonts w:hint="default"/>
          <w:highlight w:val="none"/>
          <w:lang w:val="en-US" w:eastAsia="zh-CN"/>
        </w:rPr>
      </w:pPr>
      <w:bookmarkStart w:id="93" w:name="_Toc31217"/>
      <w:r>
        <w:rPr>
          <w:rFonts w:hint="eastAsia"/>
          <w:highlight w:val="none"/>
          <w:lang w:val="en-US" w:eastAsia="zh-CN"/>
        </w:rPr>
        <w:t>施工期环境保护措施</w:t>
      </w:r>
      <w:bookmarkEnd w:id="93"/>
    </w:p>
    <w:p w14:paraId="7922C34A">
      <w:pPr>
        <w:pStyle w:val="9"/>
        <w:numPr>
          <w:ilvl w:val="2"/>
          <w:numId w:val="1"/>
        </w:numPr>
        <w:bidi w:val="0"/>
        <w:ind w:left="709" w:leftChars="0" w:hanging="709" w:firstLineChars="0"/>
        <w:rPr>
          <w:rFonts w:hint="eastAsia"/>
          <w:highlight w:val="none"/>
          <w:lang w:val="en-US" w:eastAsia="zh-CN"/>
        </w:rPr>
      </w:pPr>
      <w:r>
        <w:rPr>
          <w:rFonts w:hint="eastAsia"/>
          <w:highlight w:val="none"/>
          <w:lang w:val="en-US" w:eastAsia="zh-CN"/>
        </w:rPr>
        <w:t>大气污染防治与控制措施</w:t>
      </w:r>
    </w:p>
    <w:p w14:paraId="44F4986A">
      <w:pPr>
        <w:bidi w:val="0"/>
        <w:rPr>
          <w:rFonts w:hint="eastAsia"/>
          <w:b/>
          <w:bCs/>
          <w:lang w:val="en-US" w:eastAsia="zh-CN"/>
        </w:rPr>
      </w:pPr>
      <w:r>
        <w:rPr>
          <w:rFonts w:hint="eastAsia"/>
          <w:b/>
          <w:bCs/>
          <w:lang w:val="en-US" w:eastAsia="zh-CN"/>
        </w:rPr>
        <w:t>（1）施工扬尘</w:t>
      </w:r>
    </w:p>
    <w:p w14:paraId="06BD55DF">
      <w:pPr>
        <w:bidi w:val="0"/>
        <w:rPr>
          <w:rFonts w:hint="eastAsia"/>
          <w:lang w:val="en-US" w:eastAsia="zh-CN"/>
        </w:rPr>
      </w:pPr>
      <w:r>
        <w:rPr>
          <w:rFonts w:hint="eastAsia"/>
          <w:lang w:val="en-US" w:eastAsia="zh-CN"/>
        </w:rPr>
        <w:t>施工期扬尘的防治，采取的措施如下：</w:t>
      </w:r>
    </w:p>
    <w:p w14:paraId="276A1ACD">
      <w:pPr>
        <w:bidi w:val="0"/>
        <w:rPr>
          <w:rFonts w:hint="eastAsia"/>
          <w:lang w:val="en-US" w:eastAsia="zh-CN"/>
        </w:rPr>
      </w:pPr>
      <w:r>
        <w:rPr>
          <w:rFonts w:hint="eastAsia"/>
          <w:lang w:val="en-US" w:eastAsia="zh-CN"/>
        </w:rPr>
        <w:t>①加强施工过程的环境管理，合理安排施工工期，对露天开挖区进行分区开挖；实行清洁生产、文明施工；搞好环保宣传和教育工作，努力提高施工人员的环保意识，杜绝粗放式施工。</w:t>
      </w:r>
    </w:p>
    <w:p w14:paraId="4361993A">
      <w:pPr>
        <w:bidi w:val="0"/>
        <w:rPr>
          <w:rFonts w:hint="eastAsia"/>
          <w:lang w:val="en-US" w:eastAsia="zh-CN"/>
        </w:rPr>
      </w:pPr>
      <w:r>
        <w:rPr>
          <w:rFonts w:hint="eastAsia"/>
          <w:lang w:val="en-US" w:eastAsia="zh-CN"/>
        </w:rPr>
        <w:t>②建筑材料运输应采取遮盖运输方式，加强道路洒水抑尘和车辆冲洗等措施；在废渣运输装卸、堆存、运输时采取遮挡、围栏、防尘网、密封运输等扬尘防治措施；废渣运输的车辆必须要有塑料内衬和帆布盖顶，进行遮挡或密封运输；施工场地设置洗车平台，所有出场车辆均按要求进行清洗后方能行驶出治理区，避免将粉尘带出治理区对沿途造成二次污染。</w:t>
      </w:r>
    </w:p>
    <w:p w14:paraId="4666F257">
      <w:pPr>
        <w:bidi w:val="0"/>
        <w:rPr>
          <w:rFonts w:hint="eastAsia"/>
          <w:lang w:val="en-US" w:eastAsia="zh-CN"/>
        </w:rPr>
      </w:pPr>
      <w:r>
        <w:rPr>
          <w:rFonts w:hint="eastAsia"/>
          <w:lang w:val="en-US" w:eastAsia="zh-CN"/>
        </w:rPr>
        <w:t>③施工现场要设围栏或部分围栏，缩小施工现场扬尘扩散范围。</w:t>
      </w:r>
    </w:p>
    <w:p w14:paraId="20B91AF5">
      <w:pPr>
        <w:bidi w:val="0"/>
        <w:rPr>
          <w:rFonts w:hint="eastAsia"/>
          <w:lang w:val="en-US" w:eastAsia="zh-CN"/>
        </w:rPr>
      </w:pPr>
      <w:r>
        <w:rPr>
          <w:rFonts w:hint="eastAsia"/>
          <w:lang w:val="en-US" w:eastAsia="zh-CN"/>
        </w:rPr>
        <w:t>④废渣或土石方开挖时，对作业面和土堆适当喷水，使其保持一定湿度，以减少扬尘量。而且开挖的泥土和建筑垃圾要及时运走，集中收集后填埋至废渣填埋场内，以防长期堆放表面干燥而起尘或被雨水冲刷。</w:t>
      </w:r>
    </w:p>
    <w:p w14:paraId="6F967C41">
      <w:pPr>
        <w:bidi w:val="0"/>
        <w:rPr>
          <w:rFonts w:hint="eastAsia"/>
          <w:highlight w:val="none"/>
          <w:lang w:val="en-US" w:eastAsia="zh-CN"/>
        </w:rPr>
      </w:pPr>
      <w:r>
        <w:rPr>
          <w:rFonts w:hint="eastAsia"/>
          <w:highlight w:val="none"/>
          <w:lang w:val="en-US" w:eastAsia="zh-CN"/>
        </w:rPr>
        <w:t>⑤运输车辆应完好，不应装载过满，并尽量采取遮盖、密闭措施，减少沿途抛洒，并及时清扫散落在地面上的泥土和建筑材料，冲洗轮胎，定时洒水，以减少运输过程中的扬尘。</w:t>
      </w:r>
    </w:p>
    <w:p w14:paraId="0C4DE277">
      <w:pPr>
        <w:bidi w:val="0"/>
        <w:rPr>
          <w:rFonts w:hint="eastAsia"/>
          <w:highlight w:val="none"/>
          <w:lang w:val="en-US" w:eastAsia="zh-CN"/>
        </w:rPr>
      </w:pPr>
      <w:r>
        <w:rPr>
          <w:rFonts w:hint="eastAsia"/>
          <w:highlight w:val="none"/>
          <w:lang w:val="en-US" w:eastAsia="zh-CN"/>
        </w:rPr>
        <w:t>⑥采用商品混凝土，需要必须进行现场搅拌砂浆、混凝土时，应尽量做到不洒、不漏、不剩、不倒；混凝土搅拌应设置在棚内，混凝土搅拌时要有喷雾降尘措施。</w:t>
      </w:r>
    </w:p>
    <w:p w14:paraId="0D5E093B">
      <w:pPr>
        <w:bidi w:val="0"/>
        <w:rPr>
          <w:rFonts w:hint="eastAsia"/>
          <w:highlight w:val="none"/>
          <w:lang w:val="en-US" w:eastAsia="zh-CN"/>
        </w:rPr>
      </w:pPr>
      <w:r>
        <w:rPr>
          <w:rFonts w:hint="eastAsia"/>
          <w:highlight w:val="none"/>
          <w:lang w:val="en-US" w:eastAsia="zh-CN"/>
        </w:rPr>
        <w:t>⑦施工期出场车辆宜经过草垫帘或浅水坑清掉裹胎烂泥，减少尘土飞扬对沿途的影响。</w:t>
      </w:r>
    </w:p>
    <w:p w14:paraId="0A358546">
      <w:pPr>
        <w:bidi w:val="0"/>
        <w:rPr>
          <w:rFonts w:hint="eastAsia"/>
          <w:highlight w:val="none"/>
          <w:lang w:val="en-US" w:eastAsia="zh-CN"/>
        </w:rPr>
      </w:pPr>
      <w:r>
        <w:rPr>
          <w:rFonts w:hint="eastAsia"/>
          <w:highlight w:val="none"/>
          <w:lang w:val="en-US" w:eastAsia="zh-CN"/>
        </w:rPr>
        <w:t>⑧当风速过大时，应停止施工作业，并对堆存的水泥等建筑材料采取遮盖措施。</w:t>
      </w:r>
    </w:p>
    <w:p w14:paraId="2D9138FD">
      <w:pPr>
        <w:bidi w:val="0"/>
        <w:rPr>
          <w:rFonts w:hint="eastAsia"/>
          <w:highlight w:val="none"/>
          <w:lang w:val="en-US" w:eastAsia="zh-CN"/>
        </w:rPr>
      </w:pPr>
      <w:r>
        <w:rPr>
          <w:rFonts w:hint="eastAsia"/>
          <w:highlight w:val="none"/>
          <w:lang w:val="en-US" w:eastAsia="zh-CN"/>
        </w:rPr>
        <w:t>⑨施工过程应及时清理堆放在场地上的弃土，现场只存放回填土方、弃土，土石方挖掘完后，应及时运送到需要填方的低洼处，减轻施工水土流失，防止二次扬尘。干燥季节应及时对现场存放的土方洒水，以保持其表面湿润，减少扬尘产生量。</w:t>
      </w:r>
    </w:p>
    <w:p w14:paraId="2D598C72">
      <w:pPr>
        <w:bidi w:val="0"/>
        <w:rPr>
          <w:rFonts w:hint="eastAsia"/>
          <w:highlight w:val="none"/>
          <w:lang w:val="en-US" w:eastAsia="zh-CN"/>
        </w:rPr>
      </w:pPr>
      <w:r>
        <w:rPr>
          <w:rFonts w:hint="eastAsia"/>
          <w:highlight w:val="none"/>
          <w:lang w:val="en-US" w:eastAsia="zh-CN"/>
        </w:rPr>
        <w:t>⑩土石方堆放应集中，裸露的场地和集中堆放的土石方应采取覆盖、固化或绿化等措施。</w:t>
      </w:r>
    </w:p>
    <w:p w14:paraId="1A71B89B">
      <w:pPr>
        <w:bidi w:val="0"/>
        <w:rPr>
          <w:rFonts w:hint="eastAsia"/>
          <w:highlight w:val="none"/>
          <w:lang w:val="en-US" w:eastAsia="zh-CN"/>
        </w:rPr>
      </w:pPr>
      <w:r>
        <w:rPr>
          <w:rFonts w:hint="eastAsia" w:ascii="宋体" w:hAnsi="宋体" w:eastAsia="宋体" w:cs="宋体"/>
          <w:highlight w:val="none"/>
          <w:lang w:val="en-US" w:eastAsia="zh-CN"/>
        </w:rPr>
        <w:t>⑪</w:t>
      </w:r>
      <w:r>
        <w:rPr>
          <w:rFonts w:hint="eastAsia"/>
          <w:highlight w:val="none"/>
          <w:lang w:val="en-US" w:eastAsia="zh-CN"/>
        </w:rPr>
        <w:t>尽量选取对周围环境影响较小的运输路线，并且限制施工区内运输车辆的速度，将卡车在施工场地的车速减少到10km/h，其他区域减少至30km/h以下。</w:t>
      </w:r>
    </w:p>
    <w:p w14:paraId="19BA3DC9">
      <w:pPr>
        <w:bidi w:val="0"/>
        <w:rPr>
          <w:rFonts w:hint="eastAsia"/>
          <w:b/>
          <w:bCs/>
          <w:lang w:val="en-US" w:eastAsia="zh-CN"/>
        </w:rPr>
      </w:pPr>
      <w:r>
        <w:rPr>
          <w:rFonts w:hint="eastAsia"/>
          <w:b/>
          <w:bCs/>
          <w:lang w:val="en-US" w:eastAsia="zh-CN"/>
        </w:rPr>
        <w:t>（2）施工机械及汽车尾气</w:t>
      </w:r>
    </w:p>
    <w:p w14:paraId="02224BFB">
      <w:pPr>
        <w:bidi w:val="0"/>
        <w:rPr>
          <w:rFonts w:hint="eastAsia"/>
          <w:lang w:val="en-US" w:eastAsia="zh-CN"/>
        </w:rPr>
      </w:pPr>
      <w:r>
        <w:rPr>
          <w:rFonts w:hint="eastAsia"/>
          <w:lang w:val="en-US" w:eastAsia="zh-CN"/>
        </w:rPr>
        <w:t>施工期间运输和施工机械废气污染防治措施：</w:t>
      </w:r>
    </w:p>
    <w:p w14:paraId="166ECE79">
      <w:pPr>
        <w:bidi w:val="0"/>
        <w:rPr>
          <w:rFonts w:hint="eastAsia"/>
          <w:lang w:val="en-US" w:eastAsia="zh-CN"/>
        </w:rPr>
      </w:pPr>
      <w:r>
        <w:rPr>
          <w:rFonts w:hint="eastAsia"/>
          <w:lang w:val="en-US" w:eastAsia="zh-CN"/>
        </w:rPr>
        <w:t>对清挖机械及运输车辆产生的尾气，建设单位应加强大型施工机械和车辆的管理，执行定期检查维护制度，清挖场地内所有燃油机械和车辆尾气排放应执行《汽车大气污染物排放标准》（GB14761.1-93），施工机械使用无铅汽油等优质燃料，严格执行《在用汽车报废标准》，推行强制更新报废制度。特别是对发动机耗油多、效率低、排放尾气严重超标的老旧车辆，应予更新。</w:t>
      </w:r>
    </w:p>
    <w:p w14:paraId="42E0BFE6">
      <w:pPr>
        <w:bidi w:val="0"/>
        <w:rPr>
          <w:rFonts w:hint="eastAsia"/>
          <w:b/>
          <w:bCs/>
          <w:lang w:val="en-US" w:eastAsia="zh-CN"/>
        </w:rPr>
      </w:pPr>
      <w:r>
        <w:rPr>
          <w:rFonts w:hint="eastAsia"/>
          <w:b/>
          <w:bCs/>
          <w:lang w:val="en-US" w:eastAsia="zh-CN"/>
        </w:rPr>
        <w:t>（3）废渣运输扬尘防治措施</w:t>
      </w:r>
    </w:p>
    <w:p w14:paraId="0674A24D">
      <w:pPr>
        <w:bidi w:val="0"/>
        <w:rPr>
          <w:rFonts w:hint="eastAsia"/>
          <w:lang w:val="en-US" w:eastAsia="zh-CN"/>
        </w:rPr>
      </w:pPr>
      <w:r>
        <w:rPr>
          <w:rFonts w:hint="eastAsia"/>
          <w:lang w:val="en-US" w:eastAsia="zh-CN"/>
        </w:rPr>
        <w:t>场内道路为泥结石路面，扬尘产生量较少；卡车运输时加盖苫布，防止固体废物的洒落，同时对运输道路定期清理，保持路面干净；对道路进行定期洒水保湿，保持运输路面一定的湿度；车辆进出场地进行冲洗，可有效避免运输过程中粉尘的产生。通过以上措施可有效避免或减少扬尘的产生，项目运输不会对周边大气环境产生较大影响。</w:t>
      </w:r>
    </w:p>
    <w:p w14:paraId="68E6FCBB">
      <w:pPr>
        <w:bidi w:val="0"/>
        <w:rPr>
          <w:rFonts w:hint="eastAsia"/>
          <w:b/>
          <w:bCs/>
          <w:lang w:val="en-US" w:eastAsia="zh-CN"/>
        </w:rPr>
      </w:pPr>
      <w:r>
        <w:rPr>
          <w:rFonts w:hint="eastAsia"/>
          <w:b/>
          <w:bCs/>
          <w:lang w:val="en-US" w:eastAsia="zh-CN"/>
        </w:rPr>
        <w:t>（4）填埋扬尘防治措施</w:t>
      </w:r>
    </w:p>
    <w:p w14:paraId="03FEDD8B">
      <w:pPr>
        <w:bidi w:val="0"/>
        <w:rPr>
          <w:rFonts w:hint="eastAsia"/>
          <w:highlight w:val="none"/>
          <w:lang w:val="en-US" w:eastAsia="zh-CN"/>
        </w:rPr>
      </w:pPr>
      <w:r>
        <w:rPr>
          <w:rFonts w:hint="eastAsia"/>
          <w:highlight w:val="none"/>
          <w:lang w:val="en-US" w:eastAsia="zh-CN"/>
        </w:rPr>
        <w:t>本工程采取了分单元作业的方式，在完成填埋量时将采取覆土种植植被的处理方式。采用覆土种植方法可有效降低处置场扬尘量，同时，可大大降低处置场运行期间的填埋物的裸露面，由于填埋物裸露面积的减小，将会有效减小处置场扬尘量，采用洒水降尘的方式，保持废渣填埋场表面有一定的湿度，可降低40%~70%的扬尘量，对抑制灰场扬尘效果明显。</w:t>
      </w:r>
    </w:p>
    <w:p w14:paraId="418850EC">
      <w:pPr>
        <w:bidi w:val="0"/>
        <w:rPr>
          <w:rFonts w:hint="eastAsia"/>
          <w:highlight w:val="none"/>
          <w:lang w:val="en-US" w:eastAsia="zh-CN"/>
        </w:rPr>
      </w:pPr>
      <w:r>
        <w:rPr>
          <w:rFonts w:hint="eastAsia"/>
          <w:highlight w:val="none"/>
          <w:lang w:val="en-US" w:eastAsia="zh-CN"/>
        </w:rPr>
        <w:t>为控制堆填过程中产生扬尘污染，对裸露在外的废渣采取压实及覆膜等措施。对已完成摊铺碾压的作业区需采用0.1mm厚无纺土工布，进行临时覆盖，为了避免临时覆盖物被风掀起，在临时覆盖膜表面布置混凝土重力压块。混凝土重力压块采用网格法进行布置，每点布置两块混凝土重力压块，以达到控制扬尘的目的。为防止雨天雨水与未最终覆盖的钻井废弃物泥饼接触，通过堆体表面渗透进入堆体内增加渗滤液产量，同时起到雨污分流的目的，作业面还要做好雨期覆盖。</w:t>
      </w:r>
    </w:p>
    <w:p w14:paraId="1B098731">
      <w:pPr>
        <w:numPr>
          <w:ilvl w:val="0"/>
          <w:numId w:val="0"/>
        </w:numPr>
        <w:bidi w:val="0"/>
        <w:ind w:leftChars="200"/>
        <w:rPr>
          <w:rFonts w:hint="eastAsia"/>
          <w:b/>
          <w:bCs/>
          <w:lang w:val="en-US" w:eastAsia="zh-CN"/>
        </w:rPr>
      </w:pPr>
      <w:r>
        <w:rPr>
          <w:rFonts w:hint="eastAsia"/>
          <w:b/>
          <w:bCs/>
          <w:lang w:val="en-US" w:eastAsia="zh-CN"/>
        </w:rPr>
        <w:t>（4）可行性分析</w:t>
      </w:r>
    </w:p>
    <w:p w14:paraId="46E55175">
      <w:pPr>
        <w:bidi w:val="0"/>
        <w:rPr>
          <w:rFonts w:hint="eastAsia"/>
          <w:lang w:val="en-US" w:eastAsia="zh-CN"/>
        </w:rPr>
      </w:pPr>
      <w:r>
        <w:rPr>
          <w:rFonts w:hint="eastAsia"/>
          <w:lang w:val="en-US" w:eastAsia="zh-CN"/>
        </w:rPr>
        <w:t>上述保护措施是建设项目常用的大气降尘等保护措施，能有效减少施工对大气环境的影响，被实践检验为行之有效的生态保护措施。只要做到“六个不开工”和实现“六个100%”。“六个不开工”即审批手续不全不开工、围挡不合要求不开工、地面硬化不到位不开工、冲洗排放设备不到位不开工、保洁人员不到位不开工。“六个100%”即工地内非施工区裸土覆盖率100%、施工现场围挡率100%、工地路面硬化率100%、拆除工地（非爆破拆除）拆除与建筑垃圾装载湿式作业法100%、工程车辆驶离工地车轮冲洗率100%、暂不建设场地绿化率100%。可最大程度的减少对敏感点和周边大气环境的影响。</w:t>
      </w:r>
    </w:p>
    <w:p w14:paraId="4841D187">
      <w:pPr>
        <w:pStyle w:val="9"/>
        <w:numPr>
          <w:ilvl w:val="2"/>
          <w:numId w:val="1"/>
        </w:numPr>
        <w:bidi w:val="0"/>
        <w:ind w:left="709" w:leftChars="0" w:hanging="709" w:firstLineChars="0"/>
        <w:rPr>
          <w:rFonts w:hint="eastAsia"/>
          <w:highlight w:val="none"/>
          <w:lang w:val="en-US" w:eastAsia="zh-CN"/>
        </w:rPr>
      </w:pPr>
      <w:r>
        <w:rPr>
          <w:rFonts w:hint="eastAsia"/>
          <w:highlight w:val="none"/>
          <w:lang w:val="en-US" w:eastAsia="zh-CN"/>
        </w:rPr>
        <w:t>水污染防治措施</w:t>
      </w:r>
    </w:p>
    <w:p w14:paraId="72C0D8DE">
      <w:pPr>
        <w:bidi w:val="0"/>
        <w:rPr>
          <w:rFonts w:hint="eastAsia"/>
          <w:highlight w:val="none"/>
          <w:lang w:val="en-US" w:eastAsia="zh-CN"/>
        </w:rPr>
      </w:pPr>
      <w:r>
        <w:rPr>
          <w:rFonts w:hint="eastAsia"/>
          <w:highlight w:val="none"/>
          <w:lang w:val="en-US" w:eastAsia="zh-CN"/>
        </w:rPr>
        <w:t>本项目施工期废水主要清挖过程中雨季产生的淋溶水、渗滤液、车辆冲洗废水以及生活污水。</w:t>
      </w:r>
    </w:p>
    <w:p w14:paraId="021EC884">
      <w:pPr>
        <w:bidi w:val="0"/>
        <w:rPr>
          <w:rFonts w:hint="eastAsia"/>
          <w:highlight w:val="none"/>
          <w:lang w:val="en-US" w:eastAsia="zh-CN"/>
        </w:rPr>
      </w:pPr>
      <w:r>
        <w:rPr>
          <w:rFonts w:hint="eastAsia"/>
          <w:highlight w:val="none"/>
          <w:lang w:val="en-US" w:eastAsia="zh-CN"/>
        </w:rPr>
        <w:t>（1）清挖过程中雨季产生的淋溶水</w:t>
      </w:r>
    </w:p>
    <w:p w14:paraId="1D5C0825">
      <w:pPr>
        <w:bidi w:val="0"/>
        <w:rPr>
          <w:rFonts w:hint="eastAsia"/>
          <w:highlight w:val="none"/>
          <w:lang w:val="en-US" w:eastAsia="zh-CN"/>
        </w:rPr>
      </w:pPr>
      <w:r>
        <w:rPr>
          <w:rFonts w:hint="eastAsia"/>
          <w:highlight w:val="none"/>
          <w:lang w:val="en-US" w:eastAsia="zh-CN"/>
        </w:rPr>
        <w:t>清挖过程中雨季产生的淋溶水采用一套一体化设备进行处理达标后回用于洒水抑尘。场地清挖过程中雨季产生的淋溶水主要污染物为重金属离子，拟采用的一体化设备主要工艺为生物制剂+絮凝沉淀，重金属离子去除率达到90%以上，经处理后满足中表1第一类污染物最高允许排放浓度及表4第二类污染物最高允许排放浓度一级标准。场地清挖过程中雨季产生的淋溶水污染防治措施可行。</w:t>
      </w:r>
    </w:p>
    <w:p w14:paraId="1E4F9226">
      <w:pPr>
        <w:bidi w:val="0"/>
        <w:rPr>
          <w:rFonts w:hint="default"/>
          <w:highlight w:val="none"/>
          <w:lang w:val="en-US" w:eastAsia="zh-CN"/>
        </w:rPr>
      </w:pPr>
      <w:r>
        <w:rPr>
          <w:rFonts w:hint="eastAsia"/>
          <w:highlight w:val="none"/>
          <w:lang w:val="en-US" w:eastAsia="zh-CN"/>
        </w:rPr>
        <w:t>（2）渗滤液</w:t>
      </w:r>
    </w:p>
    <w:p w14:paraId="7DEC5893">
      <w:pPr>
        <w:bidi w:val="0"/>
        <w:rPr>
          <w:rFonts w:hint="eastAsia"/>
          <w:highlight w:val="none"/>
          <w:lang w:val="en-US" w:eastAsia="zh-CN"/>
        </w:rPr>
      </w:pPr>
      <w:r>
        <w:rPr>
          <w:rFonts w:hint="eastAsia"/>
          <w:highlight w:val="none"/>
          <w:lang w:val="en-US" w:eastAsia="zh-CN"/>
        </w:rPr>
        <w:t>本项目施工期填埋场产生的渗滤液经一体化污水处理装置处理后由槽罐车托运至湖南黄金天岳矿业有限公司垂拱洞尾矿库废水处理站进行处理。</w:t>
      </w:r>
    </w:p>
    <w:p w14:paraId="0DFA08D4">
      <w:pPr>
        <w:bidi w:val="0"/>
        <w:rPr>
          <w:rFonts w:hint="eastAsia"/>
          <w:highlight w:val="none"/>
          <w:lang w:val="en-US" w:eastAsia="zh-CN"/>
        </w:rPr>
      </w:pPr>
      <w:r>
        <w:rPr>
          <w:rFonts w:hint="eastAsia"/>
          <w:highlight w:val="none"/>
          <w:lang w:val="en-US" w:eastAsia="zh-CN"/>
        </w:rPr>
        <w:t>（3）车辆冲洗废水</w:t>
      </w:r>
    </w:p>
    <w:p w14:paraId="6CF2A0AE">
      <w:pPr>
        <w:bidi w:val="0"/>
        <w:rPr>
          <w:rFonts w:hint="eastAsia"/>
          <w:highlight w:val="none"/>
          <w:lang w:val="en-US" w:eastAsia="zh-CN"/>
        </w:rPr>
      </w:pPr>
      <w:r>
        <w:rPr>
          <w:rFonts w:hint="eastAsia"/>
          <w:highlight w:val="none"/>
          <w:lang w:val="en-US" w:eastAsia="zh-CN"/>
        </w:rPr>
        <w:t>在项目地进出口设置洗车平台，洗车废水采用集水池收集，再使用一体化废水处理设备进行处理，经处理后用于洒水降尘，不外排。</w:t>
      </w:r>
    </w:p>
    <w:p w14:paraId="22446539">
      <w:pPr>
        <w:bidi w:val="0"/>
        <w:rPr>
          <w:rFonts w:hint="eastAsia"/>
          <w:highlight w:val="none"/>
          <w:lang w:val="en-US" w:eastAsia="zh-CN"/>
        </w:rPr>
      </w:pPr>
      <w:r>
        <w:rPr>
          <w:rFonts w:hint="eastAsia"/>
          <w:highlight w:val="none"/>
          <w:lang w:val="en-US" w:eastAsia="zh-CN"/>
        </w:rPr>
        <w:t>（4）生活废水</w:t>
      </w:r>
    </w:p>
    <w:p w14:paraId="58B11747">
      <w:pPr>
        <w:bidi w:val="0"/>
        <w:rPr>
          <w:rFonts w:hint="eastAsia"/>
          <w:highlight w:val="none"/>
          <w:lang w:val="en-US" w:eastAsia="zh-CN"/>
        </w:rPr>
      </w:pPr>
      <w:r>
        <w:rPr>
          <w:rFonts w:hint="eastAsia"/>
          <w:highlight w:val="none"/>
          <w:lang w:val="en-US" w:eastAsia="zh-CN"/>
        </w:rPr>
        <w:t>生活污水经化粪池处理后用于农肥，不外排。本项目生活废水产生量较少，成分简单，污染防治措施可行。</w:t>
      </w:r>
    </w:p>
    <w:p w14:paraId="54F9B568">
      <w:pPr>
        <w:bidi w:val="0"/>
        <w:rPr>
          <w:rFonts w:hint="eastAsia"/>
          <w:highlight w:val="none"/>
          <w:lang w:val="en-US" w:eastAsia="zh-CN"/>
        </w:rPr>
      </w:pPr>
      <w:r>
        <w:rPr>
          <w:rFonts w:hint="eastAsia"/>
          <w:highlight w:val="none"/>
          <w:lang w:val="en-US" w:eastAsia="zh-CN"/>
        </w:rPr>
        <w:t>因此，本项目废水处理措施可行。</w:t>
      </w:r>
    </w:p>
    <w:p w14:paraId="577052F9">
      <w:pPr>
        <w:pStyle w:val="9"/>
        <w:numPr>
          <w:ilvl w:val="2"/>
          <w:numId w:val="1"/>
        </w:numPr>
        <w:bidi w:val="0"/>
        <w:ind w:left="709" w:leftChars="0" w:hanging="709" w:firstLineChars="0"/>
        <w:rPr>
          <w:rFonts w:hint="eastAsia"/>
          <w:highlight w:val="none"/>
          <w:lang w:val="en-US" w:eastAsia="zh-CN"/>
        </w:rPr>
      </w:pPr>
      <w:r>
        <w:rPr>
          <w:rFonts w:hint="eastAsia"/>
          <w:highlight w:val="none"/>
          <w:lang w:val="en-US" w:eastAsia="zh-CN"/>
        </w:rPr>
        <w:t>声环境保护措施</w:t>
      </w:r>
    </w:p>
    <w:p w14:paraId="33B5BBAF">
      <w:pPr>
        <w:bidi w:val="0"/>
        <w:rPr>
          <w:rFonts w:hint="eastAsia"/>
          <w:highlight w:val="none"/>
          <w:lang w:val="en-US" w:eastAsia="zh-CN"/>
        </w:rPr>
      </w:pPr>
      <w:r>
        <w:rPr>
          <w:rFonts w:hint="eastAsia"/>
          <w:highlight w:val="none"/>
          <w:lang w:val="en-US" w:eastAsia="zh-CN"/>
        </w:rPr>
        <w:t>建议施工方采取以下措施以避免或减缓此不利影响：</w:t>
      </w:r>
    </w:p>
    <w:p w14:paraId="0BAF25C9">
      <w:pPr>
        <w:bidi w:val="0"/>
        <w:rPr>
          <w:rFonts w:hint="eastAsia"/>
          <w:highlight w:val="none"/>
          <w:lang w:val="en-US" w:eastAsia="zh-CN"/>
        </w:rPr>
      </w:pPr>
      <w:r>
        <w:rPr>
          <w:rFonts w:hint="eastAsia"/>
          <w:highlight w:val="none"/>
          <w:lang w:val="en-US" w:eastAsia="zh-CN"/>
        </w:rPr>
        <w:t>（1）合理安排施工时间，制订科学的施工计划，应尽可能避免大量高噪声设备同时使用，将噪声级较大的施工活动尽量安排在白天，夜间（22：00-06：00）禁止施工。</w:t>
      </w:r>
    </w:p>
    <w:p w14:paraId="1BB39DA9">
      <w:pPr>
        <w:bidi w:val="0"/>
        <w:rPr>
          <w:rFonts w:hint="eastAsia"/>
          <w:highlight w:val="none"/>
          <w:lang w:val="en-US" w:eastAsia="zh-CN"/>
        </w:rPr>
      </w:pPr>
      <w:r>
        <w:rPr>
          <w:rFonts w:hint="eastAsia"/>
          <w:highlight w:val="none"/>
          <w:lang w:val="en-US" w:eastAsia="zh-CN"/>
        </w:rPr>
        <w:t>（2）合理布置施工布局，避免在同一地点安排大量动力机械设备，以避免局部声级过高。</w:t>
      </w:r>
    </w:p>
    <w:p w14:paraId="22C16368">
      <w:pPr>
        <w:bidi w:val="0"/>
        <w:rPr>
          <w:rFonts w:hint="eastAsia"/>
          <w:highlight w:val="none"/>
          <w:lang w:val="en-US" w:eastAsia="zh-CN"/>
        </w:rPr>
      </w:pPr>
      <w:r>
        <w:rPr>
          <w:rFonts w:hint="eastAsia"/>
          <w:highlight w:val="none"/>
          <w:lang w:val="en-US" w:eastAsia="zh-CN"/>
        </w:rPr>
        <w:t>（3）降低设备声级。设备选型上尽量采用低噪声设备，如以液压机械代替燃油机械，振捣器采用高频振捣器等。固定机械设备与挖土、运土机械，如挖土机、推土机等，可以通过排气管消音器和隔离发动机振动部件的方法降低噪声。由于机械设备会由于松动部件的振动或消音器的损坏而增加其工作时的声级，因此对动力机械设备应进行定期的维修、养护。闲置不用的设备应立即关闭，运输车辆进入现场应减速，并禁止鸣笛。</w:t>
      </w:r>
    </w:p>
    <w:p w14:paraId="56079C02">
      <w:pPr>
        <w:bidi w:val="0"/>
        <w:rPr>
          <w:rFonts w:hint="eastAsia"/>
          <w:highlight w:val="none"/>
          <w:lang w:val="en-US" w:eastAsia="zh-CN"/>
        </w:rPr>
      </w:pPr>
      <w:r>
        <w:rPr>
          <w:rFonts w:hint="eastAsia"/>
          <w:highlight w:val="none"/>
          <w:lang w:val="en-US" w:eastAsia="zh-CN"/>
        </w:rPr>
        <w:t>（4）降低人为噪声。</w:t>
      </w:r>
    </w:p>
    <w:p w14:paraId="66EE13D6">
      <w:pPr>
        <w:bidi w:val="0"/>
        <w:rPr>
          <w:rFonts w:hint="eastAsia"/>
          <w:highlight w:val="none"/>
          <w:lang w:val="en-US" w:eastAsia="zh-CN"/>
        </w:rPr>
      </w:pPr>
      <w:r>
        <w:rPr>
          <w:rFonts w:hint="eastAsia"/>
          <w:highlight w:val="none"/>
          <w:lang w:val="en-US" w:eastAsia="zh-CN"/>
        </w:rPr>
        <w:t>（5）施工企业对施工噪声进行自律，文明施工，砂石等原料选择在白天运输、卸落，施工员工休息时尽量避免大声喧哗，避免因施工噪声产生纠纷。</w:t>
      </w:r>
    </w:p>
    <w:p w14:paraId="438EBC3A">
      <w:pPr>
        <w:bidi w:val="0"/>
        <w:rPr>
          <w:rFonts w:hint="eastAsia"/>
          <w:highlight w:val="none"/>
          <w:lang w:val="en-US" w:eastAsia="zh-CN"/>
        </w:rPr>
      </w:pPr>
      <w:r>
        <w:rPr>
          <w:rFonts w:hint="eastAsia"/>
          <w:highlight w:val="none"/>
          <w:lang w:val="en-US" w:eastAsia="zh-CN"/>
        </w:rPr>
        <w:t>施工期环境影响为短期影响，施工结束后即可消除。但考虑施工期对周围环境的影响，要求建设单位在建设过程中必须认真遵守各项管理制度，落实本报告提出的防治措施及建议，做到文明施工、严格管理、缩短工期，力争将项目建设过程中对周围环境产生的影响降到最低限度。</w:t>
      </w:r>
    </w:p>
    <w:p w14:paraId="7F6960F6">
      <w:pPr>
        <w:bidi w:val="0"/>
        <w:rPr>
          <w:rFonts w:hint="eastAsia"/>
          <w:highlight w:val="none"/>
          <w:lang w:val="en-US" w:eastAsia="zh-CN"/>
        </w:rPr>
      </w:pPr>
      <w:r>
        <w:rPr>
          <w:rFonts w:hint="eastAsia"/>
          <w:highlight w:val="none"/>
          <w:lang w:val="en-US" w:eastAsia="zh-CN"/>
        </w:rPr>
        <w:t>上述施工期噪声控制措施均为噪声污染控制常见措施，技术成熟，可控性较强，措施可行。</w:t>
      </w:r>
    </w:p>
    <w:p w14:paraId="3B937679">
      <w:pPr>
        <w:pStyle w:val="9"/>
        <w:numPr>
          <w:ilvl w:val="2"/>
          <w:numId w:val="1"/>
        </w:numPr>
        <w:bidi w:val="0"/>
        <w:ind w:left="709" w:leftChars="0" w:hanging="709" w:firstLineChars="0"/>
        <w:rPr>
          <w:rFonts w:hint="eastAsia"/>
          <w:highlight w:val="none"/>
          <w:lang w:val="en-US" w:eastAsia="zh-CN"/>
        </w:rPr>
      </w:pPr>
      <w:r>
        <w:rPr>
          <w:rFonts w:hint="eastAsia"/>
          <w:highlight w:val="none"/>
          <w:lang w:val="en-US" w:eastAsia="zh-CN"/>
        </w:rPr>
        <w:t>固废处理及处置措施</w:t>
      </w:r>
    </w:p>
    <w:p w14:paraId="7BA5C32F">
      <w:pPr>
        <w:bidi w:val="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固废主要为生活垃圾、一般</w:t>
      </w:r>
      <w:r>
        <w:rPr>
          <w:rFonts w:hint="default" w:ascii="Times New Roman" w:hAnsi="Times New Roman" w:eastAsia="宋体" w:cs="Times New Roman"/>
          <w:highlight w:val="none"/>
          <w:lang w:val="en-US" w:eastAsia="zh-CN"/>
        </w:rPr>
        <w:t>Ⅰ类</w:t>
      </w:r>
      <w:r>
        <w:rPr>
          <w:rFonts w:hint="eastAsia" w:ascii="Times New Roman" w:hAnsi="Times New Roman" w:cs="Times New Roman"/>
          <w:highlight w:val="none"/>
          <w:lang w:val="en-US" w:eastAsia="zh-CN"/>
        </w:rPr>
        <w:t>及</w:t>
      </w:r>
      <w:r>
        <w:rPr>
          <w:rFonts w:hint="default" w:ascii="Times New Roman" w:hAnsi="Times New Roman" w:cs="Times New Roman"/>
          <w:highlight w:val="none"/>
          <w:lang w:val="en-US" w:eastAsia="zh-CN"/>
        </w:rPr>
        <w:t>Ⅱ类固体废物（遗留废渣）、</w:t>
      </w:r>
      <w:r>
        <w:rPr>
          <w:rFonts w:hint="eastAsia" w:ascii="Times New Roman" w:hAnsi="Times New Roman" w:cs="Times New Roman"/>
          <w:highlight w:val="none"/>
          <w:lang w:val="en-US" w:eastAsia="zh-CN"/>
        </w:rPr>
        <w:t>废渣填埋场</w:t>
      </w:r>
      <w:r>
        <w:rPr>
          <w:rFonts w:hint="default" w:ascii="Times New Roman" w:hAnsi="Times New Roman" w:cs="Times New Roman"/>
          <w:highlight w:val="none"/>
          <w:lang w:val="en-US" w:eastAsia="zh-CN"/>
        </w:rPr>
        <w:t>建设产生的废防渗材料、废包装袋</w:t>
      </w:r>
      <w:r>
        <w:rPr>
          <w:rFonts w:hint="eastAsia" w:cs="Times New Roman"/>
          <w:highlight w:val="none"/>
          <w:lang w:val="en-US" w:eastAsia="zh-CN"/>
        </w:rPr>
        <w:t>、建筑垃圾</w:t>
      </w:r>
      <w:r>
        <w:rPr>
          <w:rFonts w:hint="eastAsia" w:ascii="Times New Roman" w:hAnsi="Times New Roman" w:cs="Times New Roman"/>
          <w:highlight w:val="none"/>
          <w:lang w:val="en-US" w:eastAsia="zh-CN"/>
        </w:rPr>
        <w:t>及污水处理污泥</w:t>
      </w:r>
      <w:r>
        <w:rPr>
          <w:rFonts w:hint="default" w:ascii="Times New Roman" w:hAnsi="Times New Roman" w:cs="Times New Roman"/>
          <w:highlight w:val="none"/>
          <w:lang w:val="en-US" w:eastAsia="zh-CN"/>
        </w:rPr>
        <w:t>。</w:t>
      </w:r>
    </w:p>
    <w:p w14:paraId="23E9BB60">
      <w:pPr>
        <w:pStyle w:val="10"/>
        <w:numPr>
          <w:ilvl w:val="3"/>
          <w:numId w:val="1"/>
        </w:numPr>
        <w:bidi w:val="0"/>
        <w:ind w:left="850" w:leftChars="0" w:hanging="850" w:firstLineChars="0"/>
        <w:rPr>
          <w:rFonts w:hint="eastAsia"/>
          <w:lang w:val="en-US" w:eastAsia="zh-CN"/>
        </w:rPr>
      </w:pPr>
      <w:r>
        <w:rPr>
          <w:rFonts w:hint="eastAsia"/>
          <w:lang w:val="en-US" w:eastAsia="zh-CN"/>
        </w:rPr>
        <w:t>施工固体废物保护措施</w:t>
      </w:r>
    </w:p>
    <w:p w14:paraId="456031F5">
      <w:pPr>
        <w:bidi w:val="0"/>
        <w:rPr>
          <w:rFonts w:hint="eastAsia"/>
          <w:highlight w:val="none"/>
          <w:lang w:val="en-US" w:eastAsia="zh-CN"/>
        </w:rPr>
      </w:pPr>
      <w:r>
        <w:rPr>
          <w:rFonts w:hint="eastAsia"/>
          <w:highlight w:val="none"/>
          <w:lang w:val="en-US" w:eastAsia="zh-CN"/>
        </w:rPr>
        <w:t>①本项目无生活营地，施工人员主要附近居民，生活垃圾可通过当地的垃圾处理系统处置。</w:t>
      </w:r>
    </w:p>
    <w:p w14:paraId="55C89656">
      <w:pPr>
        <w:bidi w:val="0"/>
        <w:rPr>
          <w:rFonts w:hint="eastAsia"/>
          <w:highlight w:val="none"/>
          <w:lang w:val="en-US" w:eastAsia="zh-CN"/>
        </w:rPr>
      </w:pPr>
      <w:r>
        <w:rPr>
          <w:rFonts w:hint="eastAsia"/>
          <w:highlight w:val="none"/>
          <w:lang w:val="en-US" w:eastAsia="zh-CN"/>
        </w:rPr>
        <w:t>②对于施工人员产生的分散垃圾，除对施工人员加强环境保护教育和有关宣传外，也应该增设一些分散的小型垃圾收集器（如废物收集箱），并派专人定时打扫清理。</w:t>
      </w:r>
    </w:p>
    <w:p w14:paraId="6753C594">
      <w:pPr>
        <w:bidi w:val="0"/>
        <w:rPr>
          <w:rFonts w:hint="eastAsia"/>
          <w:highlight w:val="none"/>
          <w:lang w:val="en-US" w:eastAsia="zh-CN"/>
        </w:rPr>
      </w:pPr>
      <w:r>
        <w:rPr>
          <w:rFonts w:hint="eastAsia"/>
          <w:highlight w:val="none"/>
          <w:lang w:val="en-US" w:eastAsia="zh-CN"/>
        </w:rPr>
        <w:t>③其中废防渗材料、废包装袋及建筑垃圾交由环卫部门统一清运。</w:t>
      </w:r>
    </w:p>
    <w:p w14:paraId="27963AA6">
      <w:pPr>
        <w:bidi w:val="0"/>
        <w:rPr>
          <w:rFonts w:hint="eastAsia"/>
          <w:highlight w:val="none"/>
          <w:lang w:val="en-US" w:eastAsia="zh-CN"/>
        </w:rPr>
      </w:pPr>
      <w:r>
        <w:rPr>
          <w:rFonts w:hint="eastAsia"/>
          <w:highlight w:val="none"/>
          <w:lang w:val="en-US" w:eastAsia="zh-CN"/>
        </w:rPr>
        <w:t>④施工过程中产生的废弃材料可回收的进行回收，施工过程中产生的建筑垃圾及时清运就地处理</w:t>
      </w:r>
    </w:p>
    <w:p w14:paraId="0C4C656E">
      <w:pPr>
        <w:bidi w:val="0"/>
        <w:rPr>
          <w:rFonts w:hint="eastAsia"/>
          <w:highlight w:val="none"/>
          <w:lang w:val="en-US" w:eastAsia="zh-CN"/>
        </w:rPr>
      </w:pPr>
      <w:r>
        <w:rPr>
          <w:rFonts w:hint="eastAsia"/>
          <w:highlight w:val="none"/>
          <w:lang w:val="en-US" w:eastAsia="zh-CN"/>
        </w:rPr>
        <w:t>⑤</w:t>
      </w:r>
      <w:r>
        <w:rPr>
          <w:rFonts w:hint="eastAsia" w:ascii="Times New Roman" w:hAnsi="Times New Roman" w:cs="Times New Roman"/>
          <w:highlight w:val="none"/>
          <w:lang w:val="en-US" w:eastAsia="zh-CN"/>
        </w:rPr>
        <w:t>污水处理污泥</w:t>
      </w:r>
      <w:r>
        <w:rPr>
          <w:rFonts w:hint="eastAsia"/>
          <w:highlight w:val="none"/>
          <w:lang w:val="en-US" w:eastAsia="zh-CN"/>
        </w:rPr>
        <w:t>经压滤处理后，运至填埋场填埋处理。</w:t>
      </w:r>
    </w:p>
    <w:p w14:paraId="194266E8">
      <w:pPr>
        <w:pStyle w:val="10"/>
        <w:numPr>
          <w:ilvl w:val="3"/>
          <w:numId w:val="1"/>
        </w:numPr>
        <w:bidi w:val="0"/>
        <w:ind w:left="850" w:leftChars="0" w:hanging="850" w:firstLineChars="0"/>
        <w:rPr>
          <w:rFonts w:hint="default"/>
          <w:lang w:val="en-US" w:eastAsia="zh-CN"/>
        </w:rPr>
      </w:pPr>
      <w:r>
        <w:rPr>
          <w:rFonts w:hint="default"/>
          <w:lang w:val="en-US" w:eastAsia="zh-CN"/>
        </w:rPr>
        <w:t>固废清挖、转移、填埋的相关要求</w:t>
      </w:r>
    </w:p>
    <w:p w14:paraId="4EF3AB5F">
      <w:pPr>
        <w:bidi w:val="0"/>
        <w:rPr>
          <w:rFonts w:hint="default" w:ascii="Times New Roman" w:hAnsi="Times New Roman" w:cs="Times New Roman"/>
          <w:highlight w:val="none"/>
          <w:lang w:val="en-US" w:eastAsia="zh-CN"/>
        </w:rPr>
      </w:pPr>
      <w:r>
        <w:rPr>
          <w:rFonts w:hint="eastAsia" w:ascii="Times New Roman" w:hAnsi="Times New Roman" w:cs="Times New Roman"/>
          <w:highlight w:val="none"/>
          <w:lang w:val="en-US" w:eastAsia="zh-CN"/>
        </w:rPr>
        <w:t>（一）</w:t>
      </w:r>
      <w:r>
        <w:rPr>
          <w:rFonts w:hint="default" w:ascii="Times New Roman" w:hAnsi="Times New Roman" w:cs="Times New Roman"/>
          <w:highlight w:val="none"/>
          <w:lang w:val="en-US" w:eastAsia="zh-CN"/>
        </w:rPr>
        <w:t>固废清挖的要求</w:t>
      </w:r>
    </w:p>
    <w:p w14:paraId="196A5DB5">
      <w:pPr>
        <w:bidi w:val="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本项目废渣堆积区开挖涉及</w:t>
      </w:r>
      <w:r>
        <w:rPr>
          <w:rFonts w:hint="default" w:ascii="Times New Roman" w:hAnsi="Times New Roman" w:eastAsia="宋体" w:cs="Times New Roman"/>
          <w:highlight w:val="none"/>
          <w:lang w:val="en-US" w:eastAsia="zh-CN"/>
        </w:rPr>
        <w:t>Ⅰ类</w:t>
      </w:r>
      <w:r>
        <w:rPr>
          <w:rFonts w:hint="default" w:ascii="Times New Roman" w:hAnsi="Times New Roman" w:cs="Times New Roman"/>
          <w:highlight w:val="none"/>
          <w:lang w:val="en-US" w:eastAsia="zh-CN"/>
        </w:rPr>
        <w:t>、Ⅱ类固废的开挖，为确保固废清挖效果，需按《建设用地土壤污染风险管控和修复监测技术导则》（HJ25.2-2019）的相关要求进行监测布点，确定最终固废的清理效果。</w:t>
      </w:r>
    </w:p>
    <w:p w14:paraId="3E57106E">
      <w:pPr>
        <w:bidi w:val="0"/>
        <w:rPr>
          <w:rFonts w:hint="eastAsia"/>
          <w:highlight w:val="none"/>
          <w:lang w:val="en-US" w:eastAsia="zh-CN"/>
        </w:rPr>
      </w:pPr>
      <w:r>
        <w:rPr>
          <w:rFonts w:hint="eastAsia"/>
          <w:highlight w:val="none"/>
          <w:lang w:val="en-US" w:eastAsia="zh-CN"/>
        </w:rPr>
        <w:t>（二）固废转移的要求</w:t>
      </w:r>
    </w:p>
    <w:p w14:paraId="06CAAAE2">
      <w:pPr>
        <w:bidi w:val="0"/>
        <w:rPr>
          <w:rFonts w:hint="eastAsia"/>
          <w:highlight w:val="none"/>
          <w:lang w:val="en-US" w:eastAsia="zh-CN"/>
        </w:rPr>
      </w:pPr>
      <w:r>
        <w:rPr>
          <w:rFonts w:hint="eastAsia"/>
          <w:highlight w:val="none"/>
          <w:lang w:val="en-US" w:eastAsia="zh-CN"/>
        </w:rPr>
        <w:t>本项目涉及一般工业固体废物的转运，一般工业固体废物收集、运输、贮存应满足《一般工业固体废物贮存和填埋污染控制标准》（GB18599-2020）要求。</w:t>
      </w:r>
    </w:p>
    <w:p w14:paraId="3312C2C3">
      <w:pPr>
        <w:bidi w:val="0"/>
        <w:rPr>
          <w:rFonts w:hint="eastAsia"/>
          <w:highlight w:val="none"/>
          <w:lang w:val="en-US" w:eastAsia="zh-CN"/>
        </w:rPr>
      </w:pPr>
      <w:r>
        <w:rPr>
          <w:rFonts w:hint="eastAsia"/>
          <w:highlight w:val="none"/>
          <w:lang w:val="en-US" w:eastAsia="zh-CN"/>
        </w:rPr>
        <w:t>（三）固废填埋的要求</w:t>
      </w:r>
    </w:p>
    <w:p w14:paraId="22319B2A">
      <w:pPr>
        <w:bidi w:val="0"/>
        <w:rPr>
          <w:rFonts w:hint="eastAsia"/>
          <w:highlight w:val="none"/>
          <w:lang w:val="en-US" w:eastAsia="zh-CN"/>
        </w:rPr>
      </w:pPr>
      <w:r>
        <w:rPr>
          <w:rFonts w:hint="eastAsia"/>
          <w:highlight w:val="none"/>
          <w:lang w:val="en-US" w:eastAsia="zh-CN"/>
        </w:rPr>
        <w:fldChar w:fldCharType="begin"/>
      </w:r>
      <w:r>
        <w:rPr>
          <w:rFonts w:hint="eastAsia"/>
          <w:highlight w:val="none"/>
          <w:lang w:val="en-US" w:eastAsia="zh-CN"/>
        </w:rPr>
        <w:instrText xml:space="preserve"> = 1 \* GB3 </w:instrText>
      </w:r>
      <w:r>
        <w:rPr>
          <w:rFonts w:hint="eastAsia"/>
          <w:highlight w:val="none"/>
          <w:lang w:val="en-US" w:eastAsia="zh-CN"/>
        </w:rPr>
        <w:fldChar w:fldCharType="separate"/>
      </w:r>
      <w:r>
        <w:rPr>
          <w:rFonts w:hint="eastAsia"/>
          <w:highlight w:val="none"/>
          <w:lang w:val="en-US" w:eastAsia="zh-CN"/>
        </w:rPr>
        <w:t>①</w:t>
      </w:r>
      <w:r>
        <w:rPr>
          <w:rFonts w:hint="eastAsia"/>
          <w:highlight w:val="none"/>
          <w:lang w:val="en-US" w:eastAsia="zh-CN"/>
        </w:rPr>
        <w:fldChar w:fldCharType="end"/>
      </w:r>
      <w:r>
        <w:rPr>
          <w:rFonts w:hint="eastAsia"/>
          <w:highlight w:val="none"/>
          <w:lang w:val="en-US" w:eastAsia="zh-CN"/>
        </w:rPr>
        <w:t>进场固体废物按作业单元进行填埋，每天一个工作单元填埋作业过程，单元填埋作业完成后或遇恶劣天气须暂停填埋作业时，可进行临时场地覆盖，临时场地覆盖采用场地清基土或防渗材料。</w:t>
      </w:r>
    </w:p>
    <w:p w14:paraId="29ED8C61">
      <w:pPr>
        <w:bidi w:val="0"/>
        <w:rPr>
          <w:rFonts w:hint="eastAsia"/>
          <w:highlight w:val="none"/>
          <w:lang w:val="en-US" w:eastAsia="zh-CN"/>
        </w:rPr>
      </w:pPr>
      <w:r>
        <w:rPr>
          <w:rFonts w:hint="eastAsia"/>
          <w:highlight w:val="none"/>
          <w:lang w:val="en-US" w:eastAsia="zh-CN"/>
        </w:rPr>
        <w:fldChar w:fldCharType="begin"/>
      </w:r>
      <w:r>
        <w:rPr>
          <w:rFonts w:hint="eastAsia"/>
          <w:highlight w:val="none"/>
          <w:lang w:val="en-US" w:eastAsia="zh-CN"/>
        </w:rPr>
        <w:instrText xml:space="preserve"> = 2 \* GB3 </w:instrText>
      </w:r>
      <w:r>
        <w:rPr>
          <w:rFonts w:hint="eastAsia"/>
          <w:highlight w:val="none"/>
          <w:lang w:val="en-US" w:eastAsia="zh-CN"/>
        </w:rPr>
        <w:fldChar w:fldCharType="separate"/>
      </w:r>
      <w:r>
        <w:rPr>
          <w:rFonts w:hint="eastAsia"/>
          <w:highlight w:val="none"/>
          <w:lang w:val="en-US" w:eastAsia="zh-CN"/>
        </w:rPr>
        <w:t>②</w:t>
      </w:r>
      <w:r>
        <w:rPr>
          <w:rFonts w:hint="eastAsia"/>
          <w:highlight w:val="none"/>
          <w:lang w:val="en-US" w:eastAsia="zh-CN"/>
        </w:rPr>
        <w:fldChar w:fldCharType="end"/>
      </w:r>
      <w:r>
        <w:rPr>
          <w:rFonts w:hint="eastAsia"/>
          <w:highlight w:val="none"/>
          <w:lang w:val="en-US" w:eastAsia="zh-CN"/>
        </w:rPr>
        <w:t>各遗留废渣堆经取样复检满足入场标准后方可进入废渣填埋场，按规定的速度、线路运至填埋作业区，在管理人员指挥下，采用分层、分单元摊铺、碾压、逐日覆盖的填埋作业方式。</w:t>
      </w:r>
    </w:p>
    <w:p w14:paraId="3E050004">
      <w:pPr>
        <w:bidi w:val="0"/>
        <w:rPr>
          <w:rFonts w:hint="eastAsia"/>
          <w:highlight w:val="none"/>
          <w:lang w:val="en-US" w:eastAsia="zh-CN"/>
        </w:rPr>
      </w:pPr>
      <w:r>
        <w:rPr>
          <w:rFonts w:hint="eastAsia"/>
          <w:highlight w:val="none"/>
          <w:lang w:val="en-US" w:eastAsia="zh-CN"/>
        </w:rPr>
        <w:fldChar w:fldCharType="begin"/>
      </w:r>
      <w:r>
        <w:rPr>
          <w:rFonts w:hint="eastAsia"/>
          <w:highlight w:val="none"/>
          <w:lang w:val="en-US" w:eastAsia="zh-CN"/>
        </w:rPr>
        <w:instrText xml:space="preserve"> = 3 \* GB3 </w:instrText>
      </w:r>
      <w:r>
        <w:rPr>
          <w:rFonts w:hint="eastAsia"/>
          <w:highlight w:val="none"/>
          <w:lang w:val="en-US" w:eastAsia="zh-CN"/>
        </w:rPr>
        <w:fldChar w:fldCharType="separate"/>
      </w:r>
      <w:r>
        <w:rPr>
          <w:rFonts w:hint="eastAsia"/>
          <w:highlight w:val="none"/>
          <w:lang w:val="en-US" w:eastAsia="zh-CN"/>
        </w:rPr>
        <w:t>③</w:t>
      </w:r>
      <w:r>
        <w:rPr>
          <w:rFonts w:hint="eastAsia"/>
          <w:highlight w:val="none"/>
          <w:lang w:val="en-US" w:eastAsia="zh-CN"/>
        </w:rPr>
        <w:fldChar w:fldCharType="end"/>
      </w:r>
      <w:r>
        <w:rPr>
          <w:rFonts w:hint="eastAsia"/>
          <w:highlight w:val="none"/>
          <w:lang w:val="en-US" w:eastAsia="zh-CN"/>
        </w:rPr>
        <w:t>根据《一般工业固体废物贮存和填埋污染控制标准》（GB18599-2020）对于贮存场运行管理的要求，每天填埋作业结束后要求在固体废物表面采用1.0mm厚HDPE膜进行临时覆盖。为排除表层面上地表径流，减少渗滤液产生量，达到清污分流的目的，由渣堆外侧要形成一定的排水坡度，坡面雨水流入库区四周的截水沟。层与层之间设置2m宽的控制平台，填埋封场后外坡面的坡度应不大于1:3。</w:t>
      </w:r>
    </w:p>
    <w:p w14:paraId="41456948">
      <w:pPr>
        <w:bidi w:val="0"/>
        <w:rPr>
          <w:rFonts w:hint="eastAsia"/>
          <w:highlight w:val="none"/>
          <w:lang w:val="en-US" w:eastAsia="zh-CN"/>
        </w:rPr>
      </w:pPr>
      <w:r>
        <w:rPr>
          <w:rFonts w:hint="eastAsia"/>
          <w:highlight w:val="none"/>
          <w:lang w:val="en-US" w:eastAsia="zh-CN"/>
        </w:rPr>
        <w:fldChar w:fldCharType="begin"/>
      </w:r>
      <w:r>
        <w:rPr>
          <w:rFonts w:hint="eastAsia"/>
          <w:highlight w:val="none"/>
          <w:lang w:val="en-US" w:eastAsia="zh-CN"/>
        </w:rPr>
        <w:instrText xml:space="preserve"> = 4 \* GB3 </w:instrText>
      </w:r>
      <w:r>
        <w:rPr>
          <w:rFonts w:hint="eastAsia"/>
          <w:highlight w:val="none"/>
          <w:lang w:val="en-US" w:eastAsia="zh-CN"/>
        </w:rPr>
        <w:fldChar w:fldCharType="separate"/>
      </w:r>
      <w:r>
        <w:rPr>
          <w:rFonts w:hint="eastAsia"/>
          <w:highlight w:val="none"/>
          <w:lang w:val="en-US" w:eastAsia="zh-CN"/>
        </w:rPr>
        <w:t>④</w:t>
      </w:r>
      <w:r>
        <w:rPr>
          <w:rFonts w:hint="eastAsia"/>
          <w:highlight w:val="none"/>
          <w:lang w:val="en-US" w:eastAsia="zh-CN"/>
        </w:rPr>
        <w:fldChar w:fldCharType="end"/>
      </w:r>
      <w:r>
        <w:rPr>
          <w:rFonts w:hint="eastAsia"/>
          <w:highlight w:val="none"/>
          <w:lang w:val="en-US" w:eastAsia="zh-CN"/>
        </w:rPr>
        <w:t>废渣填埋场操作结束后及时进行终场覆盖，以利于填埋场区域的生态恢复和终场利用。</w:t>
      </w:r>
    </w:p>
    <w:p w14:paraId="580179AC">
      <w:pPr>
        <w:bidi w:val="0"/>
        <w:rPr>
          <w:rFonts w:hint="eastAsia"/>
          <w:highlight w:val="none"/>
          <w:lang w:val="en-US" w:eastAsia="zh-CN"/>
        </w:rPr>
      </w:pPr>
      <w:r>
        <w:rPr>
          <w:rFonts w:hint="eastAsia"/>
          <w:highlight w:val="none"/>
          <w:lang w:val="en-US" w:eastAsia="zh-CN"/>
        </w:rPr>
        <w:t>（四）一般固废采取填埋合理性分析</w:t>
      </w:r>
    </w:p>
    <w:p w14:paraId="341C8FD5">
      <w:pPr>
        <w:bidi w:val="0"/>
        <w:rPr>
          <w:rFonts w:hint="eastAsia"/>
          <w:highlight w:val="none"/>
          <w:lang w:val="en-US" w:eastAsia="zh-CN"/>
        </w:rPr>
      </w:pPr>
      <w:r>
        <w:rPr>
          <w:rFonts w:hint="eastAsia"/>
          <w:highlight w:val="none"/>
          <w:lang w:val="en-US" w:eastAsia="zh-CN"/>
        </w:rPr>
        <w:t>根据《一般工业固体废物贮存和填埋污染控制标准》（GB18599-2020）要求，本项目</w:t>
      </w:r>
      <w:r>
        <w:rPr>
          <w:rFonts w:hint="default" w:ascii="Times New Roman" w:hAnsi="Times New Roman" w:cs="Times New Roman"/>
          <w:highlight w:val="none"/>
          <w:lang w:val="en-US" w:eastAsia="zh-CN"/>
        </w:rPr>
        <w:t>Ⅰ类、Ⅱ</w:t>
      </w:r>
      <w:r>
        <w:rPr>
          <w:rFonts w:hint="eastAsia"/>
          <w:highlight w:val="none"/>
          <w:lang w:val="en-US" w:eastAsia="zh-CN"/>
        </w:rPr>
        <w:t>类一般固废采取填埋合理性分析具体如下：</w:t>
      </w:r>
    </w:p>
    <w:p w14:paraId="64279B2F">
      <w:pPr>
        <w:bidi w:val="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Ⅱ类场应采用单人工复合衬层作为防渗衬层；要求粘土衬层厚度应不小于0.75m，且经压实、人工改性等措施处理后的饱和渗透系数不应大于1×10</w:t>
      </w:r>
      <w:r>
        <w:rPr>
          <w:rFonts w:hint="default" w:ascii="Times New Roman" w:hAnsi="Times New Roman" w:cs="Times New Roman"/>
          <w:highlight w:val="none"/>
          <w:vertAlign w:val="superscript"/>
          <w:lang w:val="en-US" w:eastAsia="zh-CN"/>
        </w:rPr>
        <w:t>-7</w:t>
      </w:r>
      <w:r>
        <w:rPr>
          <w:rFonts w:hint="default" w:ascii="Times New Roman" w:hAnsi="Times New Roman" w:cs="Times New Roman"/>
          <w:highlight w:val="none"/>
          <w:lang w:val="en-US" w:eastAsia="zh-CN"/>
        </w:rPr>
        <w:t>cm/s。</w:t>
      </w:r>
    </w:p>
    <w:p w14:paraId="51DCA9B6">
      <w:pPr>
        <w:bidi w:val="0"/>
        <w:rPr>
          <w:rFonts w:hint="eastAsia"/>
          <w:highlight w:val="none"/>
          <w:lang w:val="en-US" w:eastAsia="zh-CN"/>
        </w:rPr>
      </w:pPr>
      <w:r>
        <w:rPr>
          <w:rFonts w:hint="eastAsia"/>
          <w:highlight w:val="none"/>
          <w:lang w:val="en-US" w:eastAsia="zh-CN"/>
        </w:rPr>
        <w:t>本项目废渣填埋场底层及边坡防渗从下到上依次为：</w:t>
      </w:r>
      <w:r>
        <w:rPr>
          <w:rFonts w:hint="default" w:ascii="Times New Roman" w:hAnsi="Times New Roman" w:cs="Times New Roman"/>
          <w:highlight w:val="none"/>
          <w:lang w:val="en-US" w:eastAsia="zh-CN"/>
        </w:rPr>
        <w:t>压实地基+75cm厚压实粘土+600g/m</w:t>
      </w:r>
      <w:r>
        <w:rPr>
          <w:rFonts w:hint="default" w:ascii="Times New Roman" w:hAnsi="Times New Roman" w:cs="Times New Roman"/>
          <w:highlight w:val="none"/>
          <w:vertAlign w:val="superscript"/>
          <w:lang w:val="en-US" w:eastAsia="zh-CN"/>
        </w:rPr>
        <w:t>2</w:t>
      </w:r>
      <w:r>
        <w:rPr>
          <w:rFonts w:hint="default" w:ascii="Times New Roman" w:hAnsi="Times New Roman" w:cs="Times New Roman"/>
          <w:highlight w:val="none"/>
          <w:lang w:val="en-US" w:eastAsia="zh-CN"/>
        </w:rPr>
        <w:t>无纺土工布+1.5mm厚双糙面HDPE土工膜+600g/m</w:t>
      </w:r>
      <w:r>
        <w:rPr>
          <w:rFonts w:hint="default" w:ascii="Times New Roman" w:hAnsi="Times New Roman" w:cs="Times New Roman"/>
          <w:highlight w:val="none"/>
          <w:vertAlign w:val="superscript"/>
          <w:lang w:val="en-US" w:eastAsia="zh-CN"/>
        </w:rPr>
        <w:t>2</w:t>
      </w:r>
      <w:r>
        <w:rPr>
          <w:rFonts w:hint="default" w:ascii="Times New Roman" w:hAnsi="Times New Roman" w:cs="Times New Roman"/>
          <w:highlight w:val="none"/>
          <w:lang w:val="en-US" w:eastAsia="zh-CN"/>
        </w:rPr>
        <w:t>无纺土工布</w:t>
      </w:r>
      <w:r>
        <w:rPr>
          <w:rFonts w:hint="eastAsia" w:ascii="Times New Roman" w:hAnsi="Times New Roman" w:cs="Times New Roman"/>
          <w:highlight w:val="none"/>
          <w:lang w:val="en-US" w:eastAsia="zh-CN"/>
        </w:rPr>
        <w:t>。</w:t>
      </w:r>
    </w:p>
    <w:p w14:paraId="3951A539">
      <w:pPr>
        <w:bidi w:val="0"/>
        <w:rPr>
          <w:rFonts w:hint="eastAsia"/>
          <w:highlight w:val="none"/>
          <w:lang w:val="en-US" w:eastAsia="zh-CN"/>
        </w:rPr>
      </w:pPr>
      <w:r>
        <w:rPr>
          <w:rFonts w:hint="eastAsia"/>
          <w:highlight w:val="none"/>
          <w:lang w:val="en-US" w:eastAsia="zh-CN"/>
        </w:rPr>
        <w:t>本项目最终覆盖层为多层结构，封场从下到上依次为：碾压平整废渣层+50cm厚防渗粘土+600g/m</w:t>
      </w:r>
      <w:r>
        <w:rPr>
          <w:rFonts w:hint="eastAsia"/>
          <w:highlight w:val="none"/>
          <w:vertAlign w:val="superscript"/>
          <w:lang w:val="en-US" w:eastAsia="zh-CN"/>
        </w:rPr>
        <w:t>2</w:t>
      </w:r>
      <w:r>
        <w:rPr>
          <w:rFonts w:hint="eastAsia"/>
          <w:highlight w:val="none"/>
          <w:lang w:val="en-US" w:eastAsia="zh-CN"/>
        </w:rPr>
        <w:t>土工布+1.0mm厚HDPE防渗土工膜+6.0mm厚土工排水网+400g/m</w:t>
      </w:r>
      <w:r>
        <w:rPr>
          <w:rFonts w:hint="eastAsia"/>
          <w:highlight w:val="none"/>
          <w:vertAlign w:val="superscript"/>
          <w:lang w:val="en-US" w:eastAsia="zh-CN"/>
        </w:rPr>
        <w:t>2</w:t>
      </w:r>
      <w:r>
        <w:rPr>
          <w:rFonts w:hint="eastAsia"/>
          <w:highlight w:val="none"/>
          <w:lang w:val="en-US" w:eastAsia="zh-CN"/>
        </w:rPr>
        <w:t>土工布+50cm厚自然土+50cm厚营养土+植被层，植被层采用铺设草皮+种植幼苗的方式。</w:t>
      </w:r>
    </w:p>
    <w:p w14:paraId="3BC11CB5">
      <w:pPr>
        <w:bidi w:val="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本项目在场地四周设置地下水监测井，定期进行地下水水质监测，符合</w:t>
      </w:r>
      <w:r>
        <w:rPr>
          <w:rFonts w:hint="eastAsia" w:ascii="宋体" w:hAnsi="宋体" w:eastAsia="宋体" w:cs="宋体"/>
          <w:highlight w:val="none"/>
          <w:lang w:val="en-US" w:eastAsia="zh-CN"/>
        </w:rPr>
        <w:t>“</w:t>
      </w:r>
      <w:r>
        <w:rPr>
          <w:rFonts w:hint="default" w:ascii="Times New Roman" w:hAnsi="Times New Roman" w:eastAsia="宋体" w:cs="Times New Roman"/>
          <w:highlight w:val="none"/>
          <w:lang w:val="en-US" w:eastAsia="zh-CN"/>
        </w:rPr>
        <w:t>Ⅱ</w:t>
      </w:r>
      <w:r>
        <w:rPr>
          <w:rFonts w:hint="default" w:ascii="Times New Roman" w:hAnsi="Times New Roman" w:cs="Times New Roman"/>
          <w:highlight w:val="none"/>
          <w:lang w:val="en-US" w:eastAsia="zh-CN"/>
        </w:rPr>
        <w:t>类场应设置渗漏监控系统监控防渗衬层的完整性</w:t>
      </w:r>
      <w:r>
        <w:rPr>
          <w:rFonts w:hint="eastAsia" w:ascii="宋体" w:hAnsi="宋体" w:eastAsia="宋体" w:cs="宋体"/>
          <w:highlight w:val="none"/>
          <w:lang w:val="en-US" w:eastAsia="zh-CN"/>
        </w:rPr>
        <w:t>”</w:t>
      </w:r>
      <w:r>
        <w:rPr>
          <w:rFonts w:hint="default" w:ascii="Times New Roman" w:hAnsi="Times New Roman" w:cs="Times New Roman"/>
          <w:highlight w:val="none"/>
          <w:lang w:val="en-US" w:eastAsia="zh-CN"/>
        </w:rPr>
        <w:t>的要求。</w:t>
      </w:r>
    </w:p>
    <w:p w14:paraId="735B4BB0">
      <w:pPr>
        <w:bidi w:val="0"/>
        <w:rPr>
          <w:rFonts w:hint="eastAsia"/>
          <w:highlight w:val="none"/>
          <w:lang w:val="en-US" w:eastAsia="zh-CN"/>
        </w:rPr>
      </w:pPr>
      <w:r>
        <w:rPr>
          <w:rFonts w:hint="eastAsia"/>
          <w:highlight w:val="none"/>
          <w:lang w:val="en-US" w:eastAsia="zh-CN"/>
        </w:rPr>
        <w:t>因此，本项目通过对废渣进行集中隔离和风险管控，对原废渣堆污染土壤进行有效隔离防渗处置，能有效控制污染源，解决废渣裸露状态，避免废渣中砷、镉等重金属经长年日晒雨淋而转移进入下游地表水体或土壤，避免造成污染扩散，降低重金属迁移风险，对区域土壤环境质量是有利的。</w:t>
      </w:r>
    </w:p>
    <w:p w14:paraId="71EBEF3F">
      <w:pPr>
        <w:bidi w:val="0"/>
        <w:rPr>
          <w:rFonts w:hint="eastAsia"/>
          <w:highlight w:val="none"/>
          <w:lang w:val="en-US" w:eastAsia="zh-CN"/>
        </w:rPr>
      </w:pPr>
      <w:r>
        <w:rPr>
          <w:rFonts w:hint="eastAsia"/>
          <w:highlight w:val="none"/>
          <w:lang w:val="en-US" w:eastAsia="zh-CN"/>
        </w:rPr>
        <w:t>上述措建设项目常用的固废保护措施，经济、技术可行，经上述措施有效处理和处置后遗留的固废能得到安全处置，大大降低对周边环境的影响。</w:t>
      </w:r>
    </w:p>
    <w:p w14:paraId="3EC84B72">
      <w:pPr>
        <w:pStyle w:val="9"/>
        <w:numPr>
          <w:ilvl w:val="2"/>
          <w:numId w:val="1"/>
        </w:numPr>
        <w:bidi w:val="0"/>
        <w:ind w:left="709" w:leftChars="0" w:hanging="709" w:firstLineChars="0"/>
        <w:rPr>
          <w:rFonts w:hint="eastAsia"/>
          <w:highlight w:val="none"/>
          <w:lang w:val="en-US" w:eastAsia="zh-CN"/>
        </w:rPr>
      </w:pPr>
      <w:r>
        <w:rPr>
          <w:rFonts w:hint="eastAsia"/>
          <w:highlight w:val="none"/>
          <w:lang w:val="en-US" w:eastAsia="zh-CN"/>
        </w:rPr>
        <w:t>生态环境保护措施</w:t>
      </w:r>
    </w:p>
    <w:p w14:paraId="00A1E483">
      <w:pPr>
        <w:bidi w:val="0"/>
        <w:rPr>
          <w:rFonts w:hint="eastAsia"/>
          <w:lang w:val="en-US" w:eastAsia="zh-CN"/>
        </w:rPr>
      </w:pPr>
      <w:r>
        <w:rPr>
          <w:rFonts w:hint="eastAsia"/>
          <w:lang w:val="en-US" w:eastAsia="zh-CN"/>
        </w:rPr>
        <w:t>（1）做好防漏、防渗、遮挡和拦挡措施，严格按照工程规范对废渣实施清理、运输及处置，明确治理范围，进行彻底全面的清理。</w:t>
      </w:r>
    </w:p>
    <w:p w14:paraId="6136DEE4">
      <w:pPr>
        <w:bidi w:val="0"/>
        <w:rPr>
          <w:rFonts w:hint="eastAsia"/>
          <w:lang w:val="en-US" w:eastAsia="zh-CN"/>
        </w:rPr>
      </w:pPr>
      <w:r>
        <w:rPr>
          <w:rFonts w:hint="eastAsia"/>
          <w:lang w:val="en-US" w:eastAsia="zh-CN"/>
        </w:rPr>
        <w:t>（2）必须加强管理，预先做好防护、迁移、覆盖等工作，避免在大雨季节进行大规模的渣堆开挖、修整工作；</w:t>
      </w:r>
    </w:p>
    <w:p w14:paraId="33F383A9">
      <w:pPr>
        <w:bidi w:val="0"/>
        <w:rPr>
          <w:rFonts w:hint="eastAsia"/>
          <w:lang w:val="en-US" w:eastAsia="zh-CN"/>
        </w:rPr>
      </w:pPr>
      <w:r>
        <w:rPr>
          <w:rFonts w:hint="eastAsia"/>
          <w:lang w:val="en-US" w:eastAsia="zh-CN"/>
        </w:rPr>
        <w:t>（3）严格按照废渣设定路线进行运输。</w:t>
      </w:r>
    </w:p>
    <w:p w14:paraId="5555A597">
      <w:pPr>
        <w:bidi w:val="0"/>
        <w:rPr>
          <w:rFonts w:hint="eastAsia"/>
          <w:lang w:val="en-US" w:eastAsia="zh-CN"/>
        </w:rPr>
      </w:pPr>
      <w:r>
        <w:rPr>
          <w:rFonts w:hint="eastAsia"/>
          <w:lang w:val="en-US" w:eastAsia="zh-CN"/>
        </w:rPr>
        <w:t>（4）对渣堆净挖方进行及时填压密实，以减少水土流失量和处置场地；</w:t>
      </w:r>
    </w:p>
    <w:p w14:paraId="27F08A08">
      <w:pPr>
        <w:bidi w:val="0"/>
        <w:rPr>
          <w:rFonts w:hint="eastAsia"/>
          <w:lang w:val="en-US" w:eastAsia="zh-CN"/>
        </w:rPr>
      </w:pPr>
      <w:r>
        <w:rPr>
          <w:rFonts w:hint="eastAsia"/>
          <w:lang w:val="en-US" w:eastAsia="zh-CN"/>
        </w:rPr>
        <w:t>（5）对于长时间裸露的开挖面和临时堆放的弃方，设置围堰或截洪沟，遇雨进行覆盖，以减少暴雨的冲刷。</w:t>
      </w:r>
    </w:p>
    <w:p w14:paraId="6F46E080">
      <w:pPr>
        <w:bidi w:val="0"/>
        <w:rPr>
          <w:rFonts w:hint="eastAsia"/>
          <w:lang w:val="en-US" w:eastAsia="zh-CN"/>
        </w:rPr>
      </w:pPr>
      <w:r>
        <w:rPr>
          <w:rFonts w:hint="eastAsia"/>
          <w:lang w:val="en-US" w:eastAsia="zh-CN"/>
        </w:rPr>
        <w:t>（6）施工时，施工活动要保证在施工活动范围内进行，施工便道、临时占地要尽量缩小范围，最大限度的降低对周边植被的损毁。</w:t>
      </w:r>
    </w:p>
    <w:p w14:paraId="1A7B2812">
      <w:pPr>
        <w:bidi w:val="0"/>
        <w:rPr>
          <w:rFonts w:hint="eastAsia"/>
          <w:lang w:val="en-US" w:eastAsia="zh-CN"/>
        </w:rPr>
      </w:pPr>
      <w:r>
        <w:rPr>
          <w:rFonts w:hint="eastAsia"/>
          <w:lang w:val="en-US" w:eastAsia="zh-CN"/>
        </w:rPr>
        <w:t>（7）强化施工管理，严格控制施工范围，防止对施工边界以外植被的破坏。</w:t>
      </w:r>
    </w:p>
    <w:p w14:paraId="71C83B1B">
      <w:pPr>
        <w:bidi w:val="0"/>
        <w:rPr>
          <w:rFonts w:hint="eastAsia"/>
          <w:lang w:val="en-US" w:eastAsia="zh-CN"/>
        </w:rPr>
      </w:pPr>
      <w:r>
        <w:rPr>
          <w:rFonts w:hint="eastAsia"/>
          <w:lang w:val="en-US" w:eastAsia="zh-CN"/>
        </w:rPr>
        <w:t>（8）为防止雨水直接冲刷开挖坡面，坡面应设坡度向下坡导流。为汇集流水在山坡下设排水沟，将水引至自然低洼区域排出。</w:t>
      </w:r>
    </w:p>
    <w:p w14:paraId="769D4A12">
      <w:pPr>
        <w:bidi w:val="0"/>
        <w:rPr>
          <w:rFonts w:hint="eastAsia"/>
          <w:lang w:val="en-US" w:eastAsia="zh-CN"/>
        </w:rPr>
      </w:pPr>
      <w:r>
        <w:rPr>
          <w:rFonts w:hint="eastAsia"/>
          <w:lang w:val="en-US" w:eastAsia="zh-CN"/>
        </w:rPr>
        <w:t>（9）临时占地在施工前也应保存好熟化土，施工结束后及时清理、松土、覆盖熟化土，复种或选择当地适宜植物及时恢复绿化。</w:t>
      </w:r>
    </w:p>
    <w:p w14:paraId="796B0CDD">
      <w:pPr>
        <w:bidi w:val="0"/>
        <w:rPr>
          <w:rFonts w:hint="eastAsia"/>
          <w:lang w:val="en-US" w:eastAsia="zh-CN"/>
        </w:rPr>
      </w:pPr>
      <w:r>
        <w:rPr>
          <w:rFonts w:hint="eastAsia"/>
          <w:lang w:val="en-US" w:eastAsia="zh-CN"/>
        </w:rPr>
        <w:t>（10）严禁随意弃土弃渣，对裸露边坡面应采用自然植被绿化护坡，减少水土流失。施工结束后，临时占地要进行清理整治，拆除临时建筑，平整地面，重新翻动受压后变得密实的土壤，洼地要覆土填平，并及时进行绿化，将水土流失造成的影响降低至最低。施工场地内大的树木，应移栽至场界，作为绿化植物。根据当地土壤、气候、挑选合适的植物类进行绿化。</w:t>
      </w:r>
    </w:p>
    <w:p w14:paraId="4E88A033">
      <w:pPr>
        <w:bidi w:val="0"/>
        <w:rPr>
          <w:rFonts w:hint="eastAsia"/>
          <w:lang w:val="en-US" w:eastAsia="zh-CN"/>
        </w:rPr>
      </w:pPr>
      <w:r>
        <w:rPr>
          <w:rFonts w:hint="eastAsia"/>
          <w:lang w:val="en-US" w:eastAsia="zh-CN"/>
        </w:rPr>
        <w:t>（11）临时道路要求优化临时占地的选址，尽量选择裸地，采取“永临结合”的方式，尽量减少对植被占用的影响。</w:t>
      </w:r>
    </w:p>
    <w:p w14:paraId="48285F13">
      <w:pPr>
        <w:bidi w:val="0"/>
        <w:rPr>
          <w:rFonts w:hint="eastAsia"/>
          <w:lang w:val="en-US" w:eastAsia="zh-CN"/>
        </w:rPr>
      </w:pPr>
      <w:r>
        <w:rPr>
          <w:rFonts w:hint="eastAsia"/>
          <w:lang w:val="en-US" w:eastAsia="zh-CN"/>
        </w:rPr>
        <w:t>（12）建筑材料堆放应设篷盖，防止雨水冲刷；尽量缩短施工周期，减少土地裸露时间；植被防护与恢复；合理安排工期、避免雨季施工，减少水土流失。</w:t>
      </w:r>
    </w:p>
    <w:p w14:paraId="5EAC6A74">
      <w:pPr>
        <w:bidi w:val="0"/>
        <w:rPr>
          <w:rFonts w:hint="default"/>
          <w:lang w:val="en-US" w:eastAsia="zh-CN"/>
        </w:rPr>
      </w:pPr>
      <w:r>
        <w:rPr>
          <w:rFonts w:hint="eastAsia"/>
          <w:lang w:val="en-US" w:eastAsia="zh-CN"/>
        </w:rPr>
        <w:t>（13）施工应避免在雨季施工，严禁就地倾倒覆压植被，同时采取护坡、挡土墙等防护措施。</w:t>
      </w:r>
    </w:p>
    <w:p w14:paraId="57891A90">
      <w:pPr>
        <w:bidi w:val="0"/>
        <w:rPr>
          <w:rFonts w:hint="eastAsia"/>
          <w:highlight w:val="yellow"/>
          <w:lang w:val="en-US" w:eastAsia="zh-CN"/>
        </w:rPr>
      </w:pPr>
      <w:r>
        <w:rPr>
          <w:rFonts w:hint="eastAsia"/>
          <w:lang w:val="en-US" w:eastAsia="zh-CN"/>
        </w:rPr>
        <w:t>因此，本项目实施阶段在采取相应的环保措施后，对周边的生态环境影响较小；实施完成后，对区域进行绿化，随着时间的推进，场内内生态环境逐步改善。</w:t>
      </w:r>
    </w:p>
    <w:p w14:paraId="4B7BC853">
      <w:pPr>
        <w:pStyle w:val="8"/>
        <w:numPr>
          <w:ilvl w:val="1"/>
          <w:numId w:val="1"/>
        </w:numPr>
        <w:tabs>
          <w:tab w:val="clear" w:pos="420"/>
        </w:tabs>
        <w:bidi w:val="0"/>
        <w:ind w:left="567" w:leftChars="0" w:hanging="567" w:firstLineChars="0"/>
        <w:rPr>
          <w:rFonts w:hint="eastAsia"/>
          <w:highlight w:val="none"/>
          <w:lang w:val="en-US" w:eastAsia="zh-CN"/>
        </w:rPr>
      </w:pPr>
      <w:bookmarkStart w:id="94" w:name="_Toc3992"/>
      <w:r>
        <w:rPr>
          <w:rFonts w:hint="eastAsia"/>
          <w:highlight w:val="none"/>
          <w:lang w:val="en-US" w:eastAsia="zh-CN"/>
        </w:rPr>
        <w:t>封场后环境保护措施</w:t>
      </w:r>
      <w:bookmarkEnd w:id="94"/>
    </w:p>
    <w:p w14:paraId="63998CE6">
      <w:pPr>
        <w:bidi w:val="0"/>
        <w:rPr>
          <w:rFonts w:hint="eastAsia"/>
          <w:lang w:val="en-US" w:eastAsia="zh-CN"/>
        </w:rPr>
      </w:pPr>
      <w:r>
        <w:rPr>
          <w:rFonts w:hint="eastAsia"/>
          <w:highlight w:val="none"/>
          <w:lang w:val="en-US" w:eastAsia="zh-CN"/>
        </w:rPr>
        <w:t>项目治理施工结束后应立即封场，按要求进行覆盖和绿化，制定并严格落实封场后环境管理制度，加强跟踪监测。加强对治理工程的日常管理，严禁随意开挖，注意工程排洪设施的维护；完工后的治理区未经设计论证和批准，不得重新启用或改作它用。</w:t>
      </w:r>
    </w:p>
    <w:p w14:paraId="4493E0AD">
      <w:pPr>
        <w:pStyle w:val="9"/>
        <w:numPr>
          <w:ilvl w:val="2"/>
          <w:numId w:val="1"/>
        </w:numPr>
        <w:bidi w:val="0"/>
        <w:ind w:left="709" w:leftChars="0" w:hanging="709" w:firstLineChars="0"/>
        <w:rPr>
          <w:rFonts w:hint="default"/>
          <w:highlight w:val="none"/>
          <w:lang w:val="en-US" w:eastAsia="zh-CN"/>
        </w:rPr>
      </w:pPr>
      <w:r>
        <w:rPr>
          <w:rFonts w:hint="eastAsia"/>
          <w:highlight w:val="none"/>
          <w:lang w:val="en-US" w:eastAsia="zh-CN"/>
        </w:rPr>
        <w:t>废气污染防治措施</w:t>
      </w:r>
    </w:p>
    <w:p w14:paraId="594B9575">
      <w:pPr>
        <w:bidi w:val="0"/>
        <w:rPr>
          <w:rFonts w:hint="eastAsia"/>
          <w:highlight w:val="none"/>
          <w:lang w:val="en-US" w:eastAsia="zh-CN"/>
        </w:rPr>
      </w:pPr>
      <w:r>
        <w:rPr>
          <w:rFonts w:hint="eastAsia"/>
          <w:highlight w:val="none"/>
          <w:lang w:val="en-US" w:eastAsia="zh-CN"/>
        </w:rPr>
        <w:t>治理区域绿化完成后基本无废气影响。</w:t>
      </w:r>
    </w:p>
    <w:p w14:paraId="3BCAB345">
      <w:pPr>
        <w:pStyle w:val="9"/>
        <w:numPr>
          <w:ilvl w:val="2"/>
          <w:numId w:val="1"/>
        </w:numPr>
        <w:bidi w:val="0"/>
        <w:ind w:left="709" w:leftChars="0" w:hanging="709" w:firstLineChars="0"/>
        <w:rPr>
          <w:rFonts w:hint="default"/>
          <w:highlight w:val="none"/>
          <w:lang w:val="en-US" w:eastAsia="zh-CN"/>
        </w:rPr>
      </w:pPr>
      <w:r>
        <w:rPr>
          <w:rFonts w:hint="eastAsia"/>
          <w:highlight w:val="none"/>
          <w:lang w:val="en-US" w:eastAsia="zh-CN"/>
        </w:rPr>
        <w:t>废水污染防治措施</w:t>
      </w:r>
    </w:p>
    <w:p w14:paraId="3E7C0A18">
      <w:pPr>
        <w:pStyle w:val="10"/>
        <w:numPr>
          <w:ilvl w:val="3"/>
          <w:numId w:val="1"/>
        </w:numPr>
        <w:bidi w:val="0"/>
        <w:ind w:left="850" w:leftChars="0" w:hanging="850" w:firstLineChars="0"/>
        <w:rPr>
          <w:rFonts w:hint="eastAsia"/>
          <w:lang w:val="en-US" w:eastAsia="zh-CN"/>
        </w:rPr>
      </w:pPr>
      <w:bookmarkStart w:id="95" w:name="_Toc24581"/>
      <w:r>
        <w:rPr>
          <w:rFonts w:hint="eastAsia"/>
          <w:lang w:val="en-US" w:eastAsia="zh-CN"/>
        </w:rPr>
        <w:t>废水产生及分类处置情况</w:t>
      </w:r>
      <w:bookmarkEnd w:id="95"/>
    </w:p>
    <w:p w14:paraId="0B2539E2">
      <w:pPr>
        <w:bidi w:val="0"/>
        <w:rPr>
          <w:rFonts w:hint="eastAsia" w:cs="Times New Roman"/>
          <w:b w:val="0"/>
          <w:bCs w:val="0"/>
          <w:color w:val="auto"/>
          <w:sz w:val="24"/>
          <w:szCs w:val="24"/>
          <w:highlight w:val="none"/>
          <w:u w:val="none" w:color="auto"/>
          <w:lang w:val="en-US" w:eastAsia="zh-CN"/>
        </w:rPr>
      </w:pPr>
      <w:r>
        <w:rPr>
          <w:rFonts w:hint="eastAsia" w:cs="Times New Roman"/>
          <w:b w:val="0"/>
          <w:bCs w:val="0"/>
          <w:color w:val="auto"/>
          <w:sz w:val="24"/>
          <w:szCs w:val="24"/>
          <w:highlight w:val="none"/>
          <w:u w:val="none" w:color="auto"/>
          <w:lang w:val="en-US" w:eastAsia="zh-CN"/>
        </w:rPr>
        <w:t>本项目封场后不设渗滤液排放口，将继续对项目产生的渗滤液进行处理，直到不再产生渗滤液为止，同时，填埋场封场后将继续按要求对周围地表水进行监测。本次环评要求封场后产生的渗滤液经收集池收集，经一体化污水处理设备处理达标后，采用防腐、防漏的罐车集中清运至湖南黄金天岳矿业有限公司垂拱洞尾矿库废水处理站进行处理，不得随意排放。</w:t>
      </w:r>
    </w:p>
    <w:p w14:paraId="09CEDA7F">
      <w:pPr>
        <w:bidi w:val="0"/>
        <w:ind w:left="0" w:leftChars="0" w:firstLine="0" w:firstLineChars="0"/>
        <w:jc w:val="center"/>
        <w:rPr>
          <w:rFonts w:hint="eastAsia" w:cs="Times New Roman"/>
          <w:b w:val="0"/>
          <w:bCs w:val="0"/>
          <w:color w:val="auto"/>
          <w:sz w:val="24"/>
          <w:szCs w:val="24"/>
          <w:highlight w:val="yellow"/>
          <w:u w:val="none" w:color="auto"/>
          <w:lang w:val="en-US" w:eastAsia="zh-CN"/>
        </w:rPr>
      </w:pPr>
      <w:r>
        <w:drawing>
          <wp:inline distT="0" distB="0" distL="114300" distR="114300">
            <wp:extent cx="3672205" cy="4319905"/>
            <wp:effectExtent l="0" t="0" r="4445" b="4445"/>
            <wp:docPr id="21" name="图片 22"/>
            <wp:cNvGraphicFramePr/>
            <a:graphic xmlns:a="http://schemas.openxmlformats.org/drawingml/2006/main">
              <a:graphicData uri="http://schemas.openxmlformats.org/drawingml/2006/picture">
                <pic:pic xmlns:pic="http://schemas.openxmlformats.org/drawingml/2006/picture">
                  <pic:nvPicPr>
                    <pic:cNvPr id="21" name="图片 22"/>
                    <pic:cNvPicPr/>
                  </pic:nvPicPr>
                  <pic:blipFill>
                    <a:blip r:embed="rId81"/>
                    <a:stretch>
                      <a:fillRect/>
                    </a:stretch>
                  </pic:blipFill>
                  <pic:spPr>
                    <a:xfrm>
                      <a:off x="0" y="0"/>
                      <a:ext cx="3672205" cy="4319905"/>
                    </a:xfrm>
                    <a:prstGeom prst="rect">
                      <a:avLst/>
                    </a:prstGeom>
                    <a:noFill/>
                    <a:ln>
                      <a:noFill/>
                    </a:ln>
                  </pic:spPr>
                </pic:pic>
              </a:graphicData>
            </a:graphic>
          </wp:inline>
        </w:drawing>
      </w:r>
    </w:p>
    <w:p w14:paraId="1D39F9E3">
      <w:pPr>
        <w:bidi w:val="0"/>
        <w:ind w:left="0" w:leftChars="0" w:firstLine="0" w:firstLineChars="0"/>
        <w:jc w:val="center"/>
        <w:rPr>
          <w:rFonts w:hint="default" w:cs="Times New Roman"/>
          <w:b/>
          <w:bCs/>
          <w:color w:val="auto"/>
          <w:sz w:val="21"/>
          <w:szCs w:val="21"/>
          <w:highlight w:val="none"/>
          <w:u w:val="none" w:color="auto"/>
          <w:lang w:val="en-US" w:eastAsia="zh-CN"/>
        </w:rPr>
      </w:pPr>
      <w:r>
        <w:rPr>
          <w:rFonts w:hint="eastAsia" w:cs="Times New Roman"/>
          <w:b/>
          <w:bCs/>
          <w:color w:val="auto"/>
          <w:sz w:val="21"/>
          <w:szCs w:val="21"/>
          <w:highlight w:val="none"/>
          <w:u w:val="none" w:color="auto"/>
          <w:lang w:val="en-US" w:eastAsia="zh-CN"/>
        </w:rPr>
        <w:t>图7.2-1  填埋场一体化污水处理工艺流程图</w:t>
      </w:r>
    </w:p>
    <w:p w14:paraId="31A0DEEB">
      <w:pPr>
        <w:bidi w:val="0"/>
        <w:rPr>
          <w:rFonts w:hint="eastAsia" w:cs="Times New Roman"/>
          <w:b w:val="0"/>
          <w:bCs w:val="0"/>
          <w:color w:val="auto"/>
          <w:sz w:val="24"/>
          <w:szCs w:val="24"/>
          <w:highlight w:val="none"/>
          <w:u w:val="none" w:color="auto"/>
          <w:lang w:val="en-US" w:eastAsia="zh-CN"/>
        </w:rPr>
      </w:pPr>
      <w:r>
        <w:rPr>
          <w:rFonts w:hint="eastAsia" w:cs="Times New Roman"/>
          <w:b w:val="0"/>
          <w:bCs w:val="0"/>
          <w:color w:val="auto"/>
          <w:sz w:val="24"/>
          <w:szCs w:val="24"/>
          <w:highlight w:val="none"/>
          <w:u w:val="none" w:color="auto"/>
          <w:lang w:val="en-US" w:eastAsia="zh-CN"/>
        </w:rPr>
        <w:t>工艺流程说明：废水在集水池进行水质水量调节，调节后废水经螺杆泵打入集装箱批次反应池，在中和反应池投加液碱调节废水pH值，再根据重金属离子浓度在配合反应池中加入重金属捕捉剂发生配合反应，生成重金属配合物，然后在絮凝反应池中加入少量絮凝剂进行絮凝反应，实现重金属离子的深度脱除，反应后废水进入沉淀池实现固液分离，分离后的上清液进入清水池，由清水池经硫酸回调至6~9，处理后的水优先回用后达标排放。</w:t>
      </w:r>
    </w:p>
    <w:p w14:paraId="3624F195">
      <w:pPr>
        <w:bidi w:val="0"/>
        <w:rPr>
          <w:rFonts w:hint="eastAsia" w:cs="Times New Roman"/>
          <w:b w:val="0"/>
          <w:bCs w:val="0"/>
          <w:color w:val="auto"/>
          <w:sz w:val="24"/>
          <w:szCs w:val="24"/>
          <w:highlight w:val="none"/>
          <w:u w:val="none" w:color="auto"/>
          <w:lang w:val="en-US" w:eastAsia="zh-CN"/>
        </w:rPr>
      </w:pPr>
      <w:r>
        <w:rPr>
          <w:rFonts w:hint="eastAsia" w:cs="Times New Roman"/>
          <w:b w:val="0"/>
          <w:bCs w:val="0"/>
          <w:color w:val="auto"/>
          <w:sz w:val="24"/>
          <w:szCs w:val="24"/>
          <w:highlight w:val="none"/>
          <w:u w:val="none" w:color="auto"/>
          <w:lang w:val="en-US" w:eastAsia="zh-CN"/>
        </w:rPr>
        <w:t>沉淀池的底流通过污泥泵输送至储泥池进行暂存，定期用污泥泵输送至压滤机进行压滤，最后对压滤后的泥饼进行安全处置，压滤机的滤液自流至废水收集池。</w:t>
      </w:r>
    </w:p>
    <w:p w14:paraId="1733D18D">
      <w:pPr>
        <w:pStyle w:val="10"/>
        <w:numPr>
          <w:ilvl w:val="3"/>
          <w:numId w:val="1"/>
        </w:numPr>
        <w:bidi w:val="0"/>
        <w:ind w:left="850" w:leftChars="0" w:hanging="850" w:firstLineChars="0"/>
        <w:rPr>
          <w:rFonts w:hint="eastAsia"/>
          <w:highlight w:val="none"/>
          <w:lang w:val="en-US" w:eastAsia="zh-CN"/>
        </w:rPr>
      </w:pPr>
      <w:r>
        <w:rPr>
          <w:rFonts w:hint="eastAsia"/>
          <w:highlight w:val="none"/>
          <w:lang w:val="en-US" w:eastAsia="zh-CN"/>
        </w:rPr>
        <w:t>湖南黄金天岳矿业有限公司垂拱洞尾矿库废水处理站依托可行性分析</w:t>
      </w:r>
    </w:p>
    <w:p w14:paraId="4F86A563">
      <w:pPr>
        <w:rPr>
          <w:rFonts w:hint="eastAsia" w:cs="Times New Roman"/>
          <w:highlight w:val="none"/>
          <w:lang w:val="en-US" w:eastAsia="zh-CN"/>
        </w:rPr>
      </w:pPr>
      <w:r>
        <w:rPr>
          <w:rFonts w:hint="default" w:ascii="Times New Roman" w:hAnsi="Times New Roman" w:cs="Times New Roman"/>
          <w:highlight w:val="none"/>
          <w:lang w:val="en-US" w:eastAsia="zh-CN"/>
        </w:rPr>
        <w:t>湖南黄金天岳矿业有限公司垂拱洞尾矿库废水处理站位于</w:t>
      </w:r>
      <w:r>
        <w:rPr>
          <w:rFonts w:hint="eastAsia" w:cs="Times New Roman"/>
          <w:highlight w:val="none"/>
          <w:lang w:val="en-US" w:eastAsia="zh-CN"/>
        </w:rPr>
        <w:t>平江县三阳乡垂拱洞</w:t>
      </w:r>
      <w:r>
        <w:rPr>
          <w:rFonts w:hint="default" w:ascii="Times New Roman" w:hAnsi="Times New Roman" w:cs="Times New Roman"/>
          <w:highlight w:val="none"/>
          <w:lang w:val="en-US" w:eastAsia="zh-CN"/>
        </w:rPr>
        <w:t>，主要对</w:t>
      </w:r>
      <w:r>
        <w:rPr>
          <w:rFonts w:hint="eastAsia" w:cs="Times New Roman"/>
          <w:highlight w:val="none"/>
          <w:lang w:val="en-US" w:eastAsia="zh-CN"/>
        </w:rPr>
        <w:t>金矿井下涌水</w:t>
      </w:r>
      <w:r>
        <w:rPr>
          <w:rFonts w:hint="default" w:ascii="Times New Roman" w:hAnsi="Times New Roman" w:cs="Times New Roman"/>
          <w:highlight w:val="none"/>
          <w:lang w:val="en-US" w:eastAsia="zh-CN"/>
        </w:rPr>
        <w:t>进行收集处理，设计规模处理为</w:t>
      </w:r>
      <w:r>
        <w:rPr>
          <w:rFonts w:hint="eastAsia" w:cs="Times New Roman"/>
          <w:highlight w:val="none"/>
          <w:lang w:val="en-US" w:eastAsia="zh-CN"/>
        </w:rPr>
        <w:t>200</w:t>
      </w:r>
      <w:r>
        <w:rPr>
          <w:rFonts w:hint="default" w:ascii="Times New Roman" w:hAnsi="Times New Roman" w:cs="Times New Roman"/>
          <w:highlight w:val="none"/>
          <w:lang w:val="en-US" w:eastAsia="zh-CN"/>
        </w:rPr>
        <w:t>m</w:t>
      </w:r>
      <w:r>
        <w:rPr>
          <w:rFonts w:hint="default" w:ascii="Times New Roman" w:hAnsi="Times New Roman" w:cs="Times New Roman"/>
          <w:highlight w:val="none"/>
          <w:vertAlign w:val="superscript"/>
          <w:lang w:val="en-US" w:eastAsia="zh-CN"/>
        </w:rPr>
        <w:t>3</w:t>
      </w:r>
      <w:r>
        <w:rPr>
          <w:rFonts w:hint="default" w:ascii="Times New Roman" w:hAnsi="Times New Roman" w:cs="Times New Roman"/>
          <w:highlight w:val="none"/>
          <w:lang w:val="en-US" w:eastAsia="zh-CN"/>
        </w:rPr>
        <w:t>/d，目前污水处理站实际运行污水处理量约</w:t>
      </w:r>
      <w:r>
        <w:rPr>
          <w:rFonts w:hint="eastAsia" w:cs="Times New Roman"/>
          <w:highlight w:val="none"/>
          <w:lang w:val="en-US" w:eastAsia="zh-CN"/>
        </w:rPr>
        <w:t>147</w:t>
      </w:r>
      <w:r>
        <w:rPr>
          <w:rFonts w:hint="default" w:ascii="Times New Roman" w:hAnsi="Times New Roman" w:cs="Times New Roman"/>
          <w:highlight w:val="none"/>
          <w:lang w:val="en-US" w:eastAsia="zh-CN"/>
        </w:rPr>
        <w:t>m</w:t>
      </w:r>
      <w:r>
        <w:rPr>
          <w:rFonts w:hint="default" w:ascii="Times New Roman" w:hAnsi="Times New Roman" w:cs="Times New Roman"/>
          <w:highlight w:val="none"/>
          <w:vertAlign w:val="superscript"/>
          <w:lang w:val="en-US" w:eastAsia="zh-CN"/>
        </w:rPr>
        <w:t>3</w:t>
      </w:r>
      <w:r>
        <w:rPr>
          <w:rFonts w:hint="default" w:ascii="Times New Roman" w:hAnsi="Times New Roman" w:cs="Times New Roman"/>
          <w:highlight w:val="none"/>
          <w:lang w:val="en-US" w:eastAsia="zh-CN"/>
        </w:rPr>
        <w:t>/d（剩余处理能力</w:t>
      </w:r>
      <w:r>
        <w:rPr>
          <w:rFonts w:hint="eastAsia" w:cs="Times New Roman"/>
          <w:highlight w:val="none"/>
          <w:lang w:val="en-US" w:eastAsia="zh-CN"/>
        </w:rPr>
        <w:t>53</w:t>
      </w:r>
      <w:r>
        <w:rPr>
          <w:rFonts w:hint="default" w:ascii="Times New Roman" w:hAnsi="Times New Roman" w:cs="Times New Roman"/>
          <w:highlight w:val="none"/>
          <w:lang w:val="en-US" w:eastAsia="zh-CN"/>
        </w:rPr>
        <w:t>m</w:t>
      </w:r>
      <w:r>
        <w:rPr>
          <w:rFonts w:hint="default" w:ascii="Times New Roman" w:hAnsi="Times New Roman" w:cs="Times New Roman"/>
          <w:highlight w:val="none"/>
          <w:vertAlign w:val="superscript"/>
          <w:lang w:val="en-US" w:eastAsia="zh-CN"/>
        </w:rPr>
        <w:t>3</w:t>
      </w:r>
      <w:r>
        <w:rPr>
          <w:rFonts w:hint="default" w:ascii="Times New Roman" w:hAnsi="Times New Roman" w:cs="Times New Roman"/>
          <w:highlight w:val="none"/>
          <w:lang w:val="en-US" w:eastAsia="zh-CN"/>
        </w:rPr>
        <w:t>/d），水处理采用</w:t>
      </w:r>
      <w:r>
        <w:rPr>
          <w:rFonts w:hint="eastAsia" w:ascii="宋体" w:hAnsi="宋体" w:eastAsia="宋体" w:cs="宋体"/>
          <w:highlight w:val="none"/>
          <w:lang w:val="en-US" w:eastAsia="zh-CN"/>
        </w:rPr>
        <w:t>“</w:t>
      </w:r>
      <w:r>
        <w:rPr>
          <w:rFonts w:hint="default" w:ascii="Times New Roman" w:hAnsi="Times New Roman" w:cs="Times New Roman"/>
          <w:highlight w:val="none"/>
          <w:lang w:val="en-US" w:eastAsia="zh-CN"/>
        </w:rPr>
        <w:t>pH调节+曝气+混凝沉淀+过滤</w:t>
      </w:r>
      <w:r>
        <w:rPr>
          <w:rFonts w:hint="eastAsia" w:ascii="宋体" w:hAnsi="宋体" w:eastAsia="宋体" w:cs="宋体"/>
          <w:highlight w:val="none"/>
          <w:lang w:val="en-US" w:eastAsia="zh-CN"/>
        </w:rPr>
        <w:t>”</w:t>
      </w:r>
      <w:r>
        <w:rPr>
          <w:rFonts w:hint="default" w:ascii="Times New Roman" w:hAnsi="Times New Roman" w:cs="Times New Roman"/>
          <w:highlight w:val="none"/>
          <w:lang w:val="en-US" w:eastAsia="zh-CN"/>
        </w:rPr>
        <w:t>工艺，废水处理工艺简介：含待处理废水通过人工格栅去除大颗粒物后进入集水池，然后经提升泵站泵入pH调节池，投加石灰乳/片碱充分搅拌混合反应调pH到7~8.5以上。在曝气搅拌作用下，金属离子在碱性条件下生成氢氧化物沉淀并以小悬浮物形式析出，自流进入反应池，水中悬浮物即形成粗大矾花式絮体物，废水经絮凝反应后自流至沉淀池进行泥水分离除去沉淀污泥物，出水进入到清水池中，自流排放至附近沟渠。沉淀池的污泥进入污泥池，排泥水排入污泥池，用污泥泵抽至压滤设备处理后的污泥外运，上清液回流到缓冲水池进行再处理，</w:t>
      </w:r>
      <w:r>
        <w:rPr>
          <w:rFonts w:hint="eastAsia" w:cs="Times New Roman"/>
          <w:highlight w:val="none"/>
          <w:lang w:val="en-US" w:eastAsia="zh-CN"/>
        </w:rPr>
        <w:t>根据例行监测报告，</w:t>
      </w:r>
      <w:r>
        <w:rPr>
          <w:rFonts w:hint="eastAsia"/>
          <w:highlight w:val="none"/>
          <w:lang w:val="en-US" w:eastAsia="zh-CN"/>
        </w:rPr>
        <w:t>湖南黄金天岳矿业有限公司垂拱洞尾矿库废水处理站</w:t>
      </w:r>
      <w:r>
        <w:rPr>
          <w:rFonts w:hint="default" w:ascii="Times New Roman" w:hAnsi="Times New Roman" w:cs="Times New Roman"/>
          <w:highlight w:val="none"/>
          <w:lang w:val="en-US" w:eastAsia="zh-CN"/>
        </w:rPr>
        <w:t>废水排放</w:t>
      </w:r>
      <w:r>
        <w:rPr>
          <w:rFonts w:hint="eastAsia" w:cs="Times New Roman"/>
          <w:highlight w:val="none"/>
          <w:lang w:val="en-US" w:eastAsia="zh-CN"/>
        </w:rPr>
        <w:t>满足</w:t>
      </w:r>
      <w:r>
        <w:rPr>
          <w:rFonts w:hint="default" w:ascii="Times New Roman" w:hAnsi="Times New Roman" w:cs="Times New Roman"/>
          <w:highlight w:val="none"/>
          <w:lang w:val="en-US" w:eastAsia="zh-CN"/>
        </w:rPr>
        <w:t>《污水综合排放标准》（GB8978-1996）</w:t>
      </w:r>
      <w:r>
        <w:rPr>
          <w:rFonts w:hint="eastAsia"/>
          <w:highlight w:val="none"/>
          <w:lang w:val="en-US" w:eastAsia="zh-CN"/>
        </w:rPr>
        <w:t>中表1第一类污染物最高允许排放浓度及表4第二类污染物最高允许排放浓度一级标准</w:t>
      </w:r>
      <w:r>
        <w:rPr>
          <w:rFonts w:hint="default" w:ascii="Times New Roman" w:hAnsi="Times New Roman" w:cs="Times New Roman"/>
          <w:highlight w:val="none"/>
          <w:lang w:val="en-US" w:eastAsia="zh-CN"/>
        </w:rPr>
        <w:t>及《农田灌溉水质标准》（GB5084-2021）表1、表2标准限值</w:t>
      </w:r>
      <w:r>
        <w:rPr>
          <w:rFonts w:hint="eastAsia" w:cs="Times New Roman"/>
          <w:highlight w:val="none"/>
          <w:lang w:val="en-US" w:eastAsia="zh-CN"/>
        </w:rPr>
        <w:t>。</w:t>
      </w:r>
    </w:p>
    <w:p w14:paraId="5F8FE237">
      <w:pPr>
        <w:rPr>
          <w:rFonts w:hint="eastAsia" w:cs="Times New Roman"/>
          <w:highlight w:val="none"/>
          <w:lang w:val="en-US" w:eastAsia="zh-CN"/>
        </w:rPr>
      </w:pPr>
      <w:r>
        <w:rPr>
          <w:rFonts w:hint="eastAsia" w:cs="Times New Roman"/>
          <w:highlight w:val="none"/>
          <w:lang w:val="en-US" w:eastAsia="zh-CN"/>
        </w:rPr>
        <w:t>本项目距上述湖南黄金天岳矿业有限公司垂拱洞尾矿库废水处理站约1公里，已经与湖南黄金天岳矿业有限公司签订了废水处理协议。项目渗滤液最大产生量约17.28m</w:t>
      </w:r>
      <w:r>
        <w:rPr>
          <w:rFonts w:hint="eastAsia" w:cs="Times New Roman"/>
          <w:highlight w:val="none"/>
          <w:vertAlign w:val="superscript"/>
          <w:lang w:val="en-US" w:eastAsia="zh-CN"/>
        </w:rPr>
        <w:t>3</w:t>
      </w:r>
      <w:r>
        <w:rPr>
          <w:rFonts w:hint="eastAsia" w:cs="Times New Roman"/>
          <w:highlight w:val="none"/>
          <w:lang w:val="en-US" w:eastAsia="zh-CN"/>
        </w:rPr>
        <w:t>/d，本项目填埋场渗滤液含有的重金属成份主要为砷、铅、汞、镉等，与湖南黄金天岳矿业有限公司垂拱洞尾矿库废水处理站废水性质一致，湖南黄金天岳矿业有限公司垂拱洞尾矿库废水处理站的处理工艺和处理能力（容量或流量）满足本项目渗滤液处理的要求。项目废水排放量很小，不会对湖南黄金天岳矿业有限公司垂拱洞尾矿库废水处理站正常运行产生冲击影响。</w:t>
      </w:r>
    </w:p>
    <w:p w14:paraId="729CB91B">
      <w:pPr>
        <w:rPr>
          <w:rFonts w:hint="eastAsia"/>
          <w:lang w:val="en-US" w:eastAsia="zh-CN"/>
        </w:rPr>
      </w:pPr>
      <w:r>
        <w:rPr>
          <w:rFonts w:hint="eastAsia" w:cs="Times New Roman"/>
          <w:highlight w:val="none"/>
          <w:lang w:val="en-US" w:eastAsia="zh-CN"/>
        </w:rPr>
        <w:t>综上分析，从湖南黄金天岳矿业有限公司垂拱洞尾矿库废水处理站处理能力、处理工艺、设计进出水水质等方面分析，本项目废水排放不会对湖南黄金天岳矿业有限公司垂拱洞尾矿库废水处理站造成较大的冲击和影响，项目废水纳入湖南黄金天岳矿业有限公司垂拱洞尾矿库废水处理站进一步处理可行。</w:t>
      </w:r>
    </w:p>
    <w:p w14:paraId="080C1C1B">
      <w:pPr>
        <w:pStyle w:val="10"/>
        <w:numPr>
          <w:ilvl w:val="3"/>
          <w:numId w:val="1"/>
        </w:numPr>
        <w:bidi w:val="0"/>
        <w:ind w:left="850" w:leftChars="0" w:hanging="850" w:firstLineChars="0"/>
        <w:rPr>
          <w:rFonts w:hint="eastAsia"/>
          <w:lang w:val="en-US" w:eastAsia="zh-CN"/>
        </w:rPr>
      </w:pPr>
      <w:r>
        <w:rPr>
          <w:rFonts w:hint="eastAsia"/>
          <w:lang w:val="en-US" w:eastAsia="zh-CN"/>
        </w:rPr>
        <w:t>废水处理工艺及处理规模可行性分析</w:t>
      </w:r>
    </w:p>
    <w:p w14:paraId="5EFBB621">
      <w:pPr>
        <w:bidi w:val="0"/>
        <w:rPr>
          <w:rFonts w:hint="default" w:cs="Times New Roman"/>
          <w:b w:val="0"/>
          <w:bCs w:val="0"/>
          <w:color w:val="auto"/>
          <w:sz w:val="24"/>
          <w:szCs w:val="24"/>
          <w:highlight w:val="none"/>
          <w:u w:val="none" w:color="auto"/>
          <w:lang w:val="en-US" w:eastAsia="zh-CN"/>
        </w:rPr>
      </w:pPr>
      <w:r>
        <w:rPr>
          <w:rFonts w:hint="eastAsia" w:cs="Times New Roman"/>
          <w:b w:val="0"/>
          <w:bCs w:val="0"/>
          <w:color w:val="auto"/>
          <w:sz w:val="24"/>
          <w:szCs w:val="24"/>
          <w:highlight w:val="none"/>
          <w:u w:val="none" w:color="auto"/>
          <w:lang w:val="en-US" w:eastAsia="zh-CN"/>
        </w:rPr>
        <w:t>化学沉淀法处理重金属废水具有工艺简单、去除范围广、经济实用等特点，是目前应用最为广泛的处理重金属废水的方法，对上述重金属处理效率可达到90%以上，本项目采取额的废水处理措施为可行性技术。</w:t>
      </w:r>
    </w:p>
    <w:p w14:paraId="773398B8">
      <w:pPr>
        <w:bidi w:val="0"/>
        <w:rPr>
          <w:rFonts w:hint="default" w:ascii="Times New Roman" w:hAnsi="Times New Roman" w:cs="Times New Roman"/>
          <w:b w:val="0"/>
          <w:bCs w:val="0"/>
          <w:color w:val="auto"/>
          <w:sz w:val="24"/>
          <w:szCs w:val="24"/>
          <w:highlight w:val="none"/>
          <w:u w:val="none" w:color="auto"/>
          <w:lang w:val="en-US" w:eastAsia="zh-CN"/>
        </w:rPr>
      </w:pPr>
      <w:bookmarkStart w:id="96" w:name="_Toc185506115"/>
      <w:bookmarkStart w:id="97" w:name="_Toc25186"/>
      <w:bookmarkStart w:id="98" w:name="_Toc17868"/>
      <w:bookmarkStart w:id="99" w:name="_Toc185506011"/>
      <w:bookmarkStart w:id="100" w:name="_Toc22652"/>
      <w:r>
        <w:rPr>
          <w:rFonts w:hint="default" w:ascii="Times New Roman" w:hAnsi="Times New Roman" w:cs="Times New Roman"/>
          <w:b w:val="0"/>
          <w:bCs w:val="0"/>
          <w:color w:val="auto"/>
          <w:sz w:val="24"/>
          <w:szCs w:val="24"/>
          <w:highlight w:val="none"/>
          <w:u w:val="none" w:color="auto"/>
          <w:lang w:val="en-US" w:eastAsia="zh-CN"/>
        </w:rPr>
        <w:t>根据《平江县三阳乡南尧村片区（垂拱组、仙人组）历史遗留重金属废渣整治项目</w:t>
      </w:r>
      <w:r>
        <w:rPr>
          <w:rFonts w:hint="eastAsia" w:ascii="Times New Roman" w:hAnsi="Times New Roman" w:cs="Times New Roman"/>
          <w:b w:val="0"/>
          <w:bCs w:val="0"/>
          <w:color w:val="auto"/>
          <w:sz w:val="24"/>
          <w:szCs w:val="24"/>
          <w:highlight w:val="none"/>
          <w:u w:val="none" w:color="auto"/>
          <w:lang w:val="en-US" w:eastAsia="zh-CN"/>
        </w:rPr>
        <w:t>初步设计</w:t>
      </w:r>
      <w:r>
        <w:rPr>
          <w:rFonts w:hint="default" w:ascii="Times New Roman" w:hAnsi="Times New Roman" w:cs="Times New Roman"/>
          <w:b w:val="0"/>
          <w:bCs w:val="0"/>
          <w:color w:val="auto"/>
          <w:sz w:val="24"/>
          <w:szCs w:val="24"/>
          <w:highlight w:val="none"/>
          <w:u w:val="none" w:color="auto"/>
          <w:lang w:val="en-US" w:eastAsia="zh-CN"/>
        </w:rPr>
        <w:t>》</w:t>
      </w:r>
      <w:bookmarkEnd w:id="96"/>
      <w:bookmarkEnd w:id="97"/>
      <w:bookmarkEnd w:id="98"/>
      <w:bookmarkEnd w:id="99"/>
      <w:bookmarkEnd w:id="100"/>
      <w:r>
        <w:rPr>
          <w:rFonts w:hint="default" w:ascii="Times New Roman" w:hAnsi="Times New Roman" w:cs="Times New Roman"/>
          <w:b w:val="0"/>
          <w:bCs w:val="0"/>
          <w:color w:val="auto"/>
          <w:sz w:val="24"/>
          <w:szCs w:val="24"/>
          <w:highlight w:val="none"/>
          <w:u w:val="none" w:color="auto"/>
          <w:lang w:val="en-US" w:eastAsia="zh-CN"/>
        </w:rPr>
        <w:t>，本项目废水处理站处理规模为</w:t>
      </w:r>
      <w:r>
        <w:rPr>
          <w:rFonts w:hint="eastAsia" w:ascii="Times New Roman" w:hAnsi="Times New Roman" w:cs="Times New Roman"/>
          <w:b w:val="0"/>
          <w:bCs w:val="0"/>
          <w:color w:val="auto"/>
          <w:sz w:val="24"/>
          <w:szCs w:val="24"/>
          <w:highlight w:val="none"/>
          <w:u w:val="none" w:color="auto"/>
          <w:lang w:val="en-US" w:eastAsia="zh-CN"/>
        </w:rPr>
        <w:t>25</w:t>
      </w:r>
      <w:r>
        <w:rPr>
          <w:rFonts w:hint="default" w:ascii="Times New Roman" w:hAnsi="Times New Roman" w:cs="Times New Roman"/>
          <w:b w:val="0"/>
          <w:bCs w:val="0"/>
          <w:color w:val="auto"/>
          <w:sz w:val="24"/>
          <w:szCs w:val="24"/>
          <w:highlight w:val="none"/>
          <w:u w:val="none" w:color="auto"/>
          <w:lang w:val="en-US" w:eastAsia="zh-CN"/>
        </w:rPr>
        <w:t>m</w:t>
      </w:r>
      <w:r>
        <w:rPr>
          <w:rFonts w:hint="default" w:ascii="Times New Roman" w:hAnsi="Times New Roman" w:cs="Times New Roman"/>
          <w:b w:val="0"/>
          <w:bCs w:val="0"/>
          <w:color w:val="auto"/>
          <w:sz w:val="24"/>
          <w:szCs w:val="24"/>
          <w:highlight w:val="none"/>
          <w:u w:val="none" w:color="auto"/>
          <w:vertAlign w:val="superscript"/>
          <w:lang w:val="en-US" w:eastAsia="zh-CN"/>
        </w:rPr>
        <w:t>3</w:t>
      </w:r>
      <w:r>
        <w:rPr>
          <w:rFonts w:hint="default" w:ascii="Times New Roman" w:hAnsi="Times New Roman" w:cs="Times New Roman"/>
          <w:b w:val="0"/>
          <w:bCs w:val="0"/>
          <w:color w:val="auto"/>
          <w:sz w:val="24"/>
          <w:szCs w:val="24"/>
          <w:highlight w:val="none"/>
          <w:u w:val="none" w:color="auto"/>
          <w:lang w:val="en-US" w:eastAsia="zh-CN"/>
        </w:rPr>
        <w:t>/d，根据前述工程分析内容，本项目</w:t>
      </w:r>
      <w:r>
        <w:rPr>
          <w:rFonts w:hint="eastAsia" w:cs="Times New Roman"/>
          <w:b w:val="0"/>
          <w:bCs w:val="0"/>
          <w:color w:val="auto"/>
          <w:sz w:val="24"/>
          <w:szCs w:val="24"/>
          <w:highlight w:val="none"/>
          <w:u w:val="none" w:color="auto"/>
          <w:lang w:val="en-US" w:eastAsia="zh-CN"/>
        </w:rPr>
        <w:t>施工期及</w:t>
      </w:r>
      <w:r>
        <w:rPr>
          <w:rFonts w:hint="eastAsia" w:ascii="Times New Roman" w:hAnsi="Times New Roman" w:cs="Times New Roman"/>
          <w:b w:val="0"/>
          <w:bCs w:val="0"/>
          <w:color w:val="auto"/>
          <w:sz w:val="24"/>
          <w:szCs w:val="24"/>
          <w:highlight w:val="none"/>
          <w:u w:val="none" w:color="auto"/>
          <w:lang w:val="en-US" w:eastAsia="zh-CN"/>
        </w:rPr>
        <w:t>封场后渗滤液</w:t>
      </w:r>
      <w:r>
        <w:rPr>
          <w:rFonts w:hint="eastAsia" w:cs="Times New Roman"/>
          <w:b w:val="0"/>
          <w:bCs w:val="0"/>
          <w:color w:val="auto"/>
          <w:sz w:val="24"/>
          <w:szCs w:val="24"/>
          <w:highlight w:val="none"/>
          <w:u w:val="none" w:color="auto"/>
          <w:lang w:val="en-US" w:eastAsia="zh-CN"/>
        </w:rPr>
        <w:t>最大</w:t>
      </w:r>
      <w:r>
        <w:rPr>
          <w:rFonts w:hint="eastAsia" w:ascii="Times New Roman" w:hAnsi="Times New Roman" w:cs="Times New Roman"/>
          <w:b w:val="0"/>
          <w:bCs w:val="0"/>
          <w:color w:val="auto"/>
          <w:sz w:val="24"/>
          <w:szCs w:val="24"/>
          <w:highlight w:val="none"/>
          <w:u w:val="none" w:color="auto"/>
          <w:lang w:val="en-US" w:eastAsia="zh-CN"/>
        </w:rPr>
        <w:t>产生量为</w:t>
      </w:r>
      <w:r>
        <w:rPr>
          <w:rFonts w:hint="eastAsia" w:cs="Times New Roman"/>
          <w:b w:val="0"/>
          <w:bCs w:val="0"/>
          <w:color w:val="auto"/>
          <w:sz w:val="24"/>
          <w:szCs w:val="24"/>
          <w:highlight w:val="none"/>
          <w:u w:val="none" w:color="auto"/>
          <w:lang w:val="en-US" w:eastAsia="zh-CN"/>
        </w:rPr>
        <w:t>17.28</w:t>
      </w:r>
      <w:r>
        <w:rPr>
          <w:rFonts w:hint="eastAsia" w:ascii="Times New Roman" w:hAnsi="Times New Roman" w:cs="Times New Roman"/>
          <w:b w:val="0"/>
          <w:bCs w:val="0"/>
          <w:color w:val="auto"/>
          <w:sz w:val="24"/>
          <w:szCs w:val="24"/>
          <w:highlight w:val="none"/>
          <w:u w:val="none" w:color="auto"/>
          <w:lang w:val="en-US" w:eastAsia="zh-CN"/>
        </w:rPr>
        <w:t>m</w:t>
      </w:r>
      <w:r>
        <w:rPr>
          <w:rFonts w:hint="eastAsia" w:ascii="Times New Roman" w:hAnsi="Times New Roman" w:cs="Times New Roman"/>
          <w:b w:val="0"/>
          <w:bCs w:val="0"/>
          <w:color w:val="auto"/>
          <w:sz w:val="24"/>
          <w:szCs w:val="24"/>
          <w:highlight w:val="none"/>
          <w:u w:val="none" w:color="auto"/>
          <w:vertAlign w:val="superscript"/>
          <w:lang w:val="en-US" w:eastAsia="zh-CN"/>
        </w:rPr>
        <w:t>3</w:t>
      </w:r>
      <w:r>
        <w:rPr>
          <w:rFonts w:hint="eastAsia" w:ascii="Times New Roman" w:hAnsi="Times New Roman" w:cs="Times New Roman"/>
          <w:b w:val="0"/>
          <w:bCs w:val="0"/>
          <w:color w:val="auto"/>
          <w:sz w:val="24"/>
          <w:szCs w:val="24"/>
          <w:highlight w:val="none"/>
          <w:u w:val="none" w:color="auto"/>
          <w:lang w:val="en-US" w:eastAsia="zh-CN"/>
        </w:rPr>
        <w:t>/d</w:t>
      </w:r>
      <w:r>
        <w:rPr>
          <w:rFonts w:hint="default" w:ascii="Times New Roman" w:hAnsi="Times New Roman" w:cs="Times New Roman"/>
          <w:b w:val="0"/>
          <w:bCs w:val="0"/>
          <w:color w:val="auto"/>
          <w:sz w:val="24"/>
          <w:szCs w:val="24"/>
          <w:highlight w:val="none"/>
          <w:u w:val="none" w:color="auto"/>
          <w:lang w:val="en-US" w:eastAsia="zh-CN"/>
        </w:rPr>
        <w:t>˂</w:t>
      </w:r>
      <w:r>
        <w:rPr>
          <w:rFonts w:hint="eastAsia" w:ascii="Times New Roman" w:hAnsi="Times New Roman" w:cs="Times New Roman"/>
          <w:b w:val="0"/>
          <w:bCs w:val="0"/>
          <w:color w:val="auto"/>
          <w:sz w:val="24"/>
          <w:szCs w:val="24"/>
          <w:highlight w:val="none"/>
          <w:u w:val="none" w:color="auto"/>
          <w:lang w:val="en-US" w:eastAsia="zh-CN"/>
        </w:rPr>
        <w:t>2</w:t>
      </w:r>
      <w:r>
        <w:rPr>
          <w:rFonts w:hint="default" w:ascii="Times New Roman" w:hAnsi="Times New Roman" w:cs="Times New Roman"/>
          <w:b w:val="0"/>
          <w:bCs w:val="0"/>
          <w:color w:val="auto"/>
          <w:sz w:val="24"/>
          <w:szCs w:val="24"/>
          <w:highlight w:val="none"/>
          <w:u w:val="none" w:color="auto"/>
          <w:lang w:val="en-US" w:eastAsia="zh-CN"/>
        </w:rPr>
        <w:t>5m</w:t>
      </w:r>
      <w:r>
        <w:rPr>
          <w:rFonts w:hint="default" w:ascii="Times New Roman" w:hAnsi="Times New Roman" w:cs="Times New Roman"/>
          <w:b w:val="0"/>
          <w:bCs w:val="0"/>
          <w:color w:val="auto"/>
          <w:sz w:val="24"/>
          <w:szCs w:val="24"/>
          <w:highlight w:val="none"/>
          <w:u w:val="none" w:color="auto"/>
          <w:vertAlign w:val="superscript"/>
          <w:lang w:val="en-US" w:eastAsia="zh-CN"/>
        </w:rPr>
        <w:t>3</w:t>
      </w:r>
      <w:r>
        <w:rPr>
          <w:rFonts w:hint="default" w:ascii="Times New Roman" w:hAnsi="Times New Roman" w:cs="Times New Roman"/>
          <w:b w:val="0"/>
          <w:bCs w:val="0"/>
          <w:color w:val="auto"/>
          <w:sz w:val="24"/>
          <w:szCs w:val="24"/>
          <w:highlight w:val="none"/>
          <w:u w:val="none" w:color="auto"/>
          <w:lang w:val="en-US" w:eastAsia="zh-CN"/>
        </w:rPr>
        <w:t>，本项目废水处理站处理规模可行。</w:t>
      </w:r>
    </w:p>
    <w:p w14:paraId="7D0ACED7">
      <w:pPr>
        <w:pStyle w:val="9"/>
        <w:numPr>
          <w:ilvl w:val="2"/>
          <w:numId w:val="1"/>
        </w:numPr>
        <w:bidi w:val="0"/>
        <w:ind w:left="709" w:leftChars="0" w:hanging="709" w:firstLineChars="0"/>
        <w:rPr>
          <w:rFonts w:hint="default"/>
          <w:highlight w:val="none"/>
          <w:u w:val="none" w:color="auto"/>
          <w:lang w:val="en-US" w:eastAsia="zh-CN"/>
        </w:rPr>
      </w:pPr>
      <w:r>
        <w:rPr>
          <w:rFonts w:hint="eastAsia"/>
          <w:highlight w:val="none"/>
          <w:u w:val="none" w:color="auto"/>
          <w:lang w:val="en-US" w:eastAsia="zh-CN"/>
        </w:rPr>
        <w:t>地下水污染防治措施</w:t>
      </w:r>
    </w:p>
    <w:p w14:paraId="624B8C4C">
      <w:pPr>
        <w:bidi w:val="0"/>
        <w:rPr>
          <w:rFonts w:hint="eastAsia"/>
          <w:highlight w:val="none"/>
          <w:lang w:val="en-US" w:eastAsia="zh-CN"/>
        </w:rPr>
      </w:pPr>
      <w:r>
        <w:rPr>
          <w:rFonts w:hint="eastAsia"/>
          <w:highlight w:val="none"/>
          <w:lang w:val="en-US" w:eastAsia="zh-CN"/>
        </w:rPr>
        <w:t>根据项目特征以及可能产生的主要污染源，如不采取合理的防治措施，污染物有可能渗入地下潜水，从而影响地下水环境。因此必须制定相应的地下水环境保护措施。本项目地下水污染防治措施按照“源头控制、分区防治、污染监控、应急响应”相结合的原则，从污染物的产生、入渗、扩散、应急响应进行控制。</w:t>
      </w:r>
    </w:p>
    <w:p w14:paraId="5E36EA3A">
      <w:pPr>
        <w:pStyle w:val="10"/>
        <w:numPr>
          <w:ilvl w:val="3"/>
          <w:numId w:val="1"/>
        </w:numPr>
        <w:bidi w:val="0"/>
        <w:ind w:left="850" w:leftChars="0" w:hanging="850" w:firstLineChars="0"/>
        <w:rPr>
          <w:rFonts w:hint="eastAsia"/>
          <w:highlight w:val="none"/>
          <w:lang w:val="en-US" w:eastAsia="zh-CN"/>
        </w:rPr>
      </w:pPr>
      <w:r>
        <w:rPr>
          <w:rFonts w:hint="eastAsia"/>
          <w:highlight w:val="none"/>
          <w:lang w:val="en-US" w:eastAsia="zh-CN"/>
        </w:rPr>
        <w:t>源头控制措施</w:t>
      </w:r>
    </w:p>
    <w:p w14:paraId="291D5CCA">
      <w:pPr>
        <w:bidi w:val="0"/>
        <w:rPr>
          <w:rFonts w:hint="eastAsia"/>
          <w:highlight w:val="none"/>
          <w:lang w:val="en-US" w:eastAsia="zh-CN"/>
        </w:rPr>
      </w:pPr>
      <w:r>
        <w:rPr>
          <w:rFonts w:hint="eastAsia"/>
          <w:highlight w:val="none"/>
          <w:lang w:val="en-US" w:eastAsia="zh-CN"/>
        </w:rPr>
        <w:t xml:space="preserve">对工程范围内的废水进行合理的治理和综合利用，尽可能从源头上减少可能污染物产生；严格按照国家相关规范要求，对工艺、管道、设备、污水储存及处理构筑物采取相应的措施，以防止和降低可能污染物的跑、冒、滴、漏，将污染物泄漏的环境风险事故降低到最低程度。 </w:t>
      </w:r>
    </w:p>
    <w:p w14:paraId="4B9903E0">
      <w:pPr>
        <w:bidi w:val="0"/>
        <w:rPr>
          <w:rFonts w:hint="eastAsia"/>
          <w:highlight w:val="none"/>
          <w:lang w:val="en-US" w:eastAsia="zh-CN"/>
        </w:rPr>
      </w:pPr>
      <w:r>
        <w:rPr>
          <w:rFonts w:hint="eastAsia"/>
          <w:highlight w:val="none"/>
          <w:lang w:val="en-US" w:eastAsia="zh-CN"/>
        </w:rPr>
        <w:t>1）尽可能减少表层的雨水入渗和降低场地地下水水位是主要防范措施。除了采取场地防渗工程外，应做好场地地下水导排系统、场地周边的截水沟工程。</w:t>
      </w:r>
    </w:p>
    <w:p w14:paraId="4C97C18E">
      <w:pPr>
        <w:bidi w:val="0"/>
        <w:rPr>
          <w:rFonts w:hint="eastAsia"/>
          <w:highlight w:val="none"/>
          <w:lang w:val="en-US" w:eastAsia="zh-CN"/>
        </w:rPr>
      </w:pPr>
      <w:r>
        <w:rPr>
          <w:rFonts w:hint="eastAsia"/>
          <w:highlight w:val="none"/>
          <w:lang w:val="en-US" w:eastAsia="zh-CN"/>
        </w:rPr>
        <w:t>2）项目建设过程需要对废渣填埋场进行全面工程防渗处理，并要预先清除上部全部耕植土及人工填土层，保证防渗工程下部基础质量可靠。</w:t>
      </w:r>
    </w:p>
    <w:p w14:paraId="7EED91FA">
      <w:pPr>
        <w:bidi w:val="0"/>
        <w:rPr>
          <w:rFonts w:hint="eastAsia"/>
          <w:highlight w:val="none"/>
          <w:lang w:val="en-US" w:eastAsia="zh-CN"/>
        </w:rPr>
      </w:pPr>
      <w:r>
        <w:rPr>
          <w:rFonts w:hint="eastAsia"/>
          <w:highlight w:val="none"/>
          <w:lang w:val="en-US" w:eastAsia="zh-CN"/>
        </w:rPr>
        <w:t>3）防渗工程需采取分区防渗处理；除了填埋区、渗滤液收集池等其他区域也应采取安全防渗措施，确保项目区域地下水水质安全。</w:t>
      </w:r>
    </w:p>
    <w:p w14:paraId="0E26DE24">
      <w:pPr>
        <w:bidi w:val="0"/>
        <w:rPr>
          <w:rFonts w:hint="eastAsia"/>
          <w:highlight w:val="none"/>
          <w:lang w:val="en-US" w:eastAsia="zh-CN"/>
        </w:rPr>
      </w:pPr>
      <w:r>
        <w:rPr>
          <w:rFonts w:hint="eastAsia"/>
          <w:highlight w:val="none"/>
          <w:lang w:val="en-US" w:eastAsia="zh-CN"/>
        </w:rPr>
        <w:t>4）建立废渣填埋场渗漏检测系统和周边地下水环境监测系统，分别对废渣填埋场渗滤液和废渣填埋场下游地下水水质进行连续期监测，掌握废渣填埋场运行状况。</w:t>
      </w:r>
    </w:p>
    <w:p w14:paraId="4DCACD79">
      <w:pPr>
        <w:bidi w:val="0"/>
        <w:rPr>
          <w:rFonts w:hint="eastAsia"/>
          <w:highlight w:val="none"/>
          <w:lang w:val="en-US" w:eastAsia="zh-CN"/>
        </w:rPr>
      </w:pPr>
      <w:r>
        <w:rPr>
          <w:rFonts w:hint="eastAsia"/>
          <w:highlight w:val="none"/>
          <w:lang w:val="en-US" w:eastAsia="zh-CN"/>
        </w:rPr>
        <w:t>5）对工艺、管道、设备、固废填埋、渗滤液收集池及废水处理装置等严格检查，有质量问题的及时更换，阀门采用优质产品，防止和降低“跑、冒、滴、漏”。</w:t>
      </w:r>
    </w:p>
    <w:p w14:paraId="50149989">
      <w:pPr>
        <w:bidi w:val="0"/>
        <w:rPr>
          <w:rFonts w:hint="eastAsia"/>
          <w:highlight w:val="none"/>
          <w:lang w:val="en-US" w:eastAsia="zh-CN"/>
        </w:rPr>
      </w:pPr>
      <w:r>
        <w:rPr>
          <w:rFonts w:hint="eastAsia"/>
          <w:highlight w:val="none"/>
          <w:lang w:val="en-US" w:eastAsia="zh-CN"/>
        </w:rPr>
        <w:t>6）为了防止突发事故，污染物外泄，造成对环境的污染，填埋区应设置专门的报警系统，一旦有事故发生，应立即检测修复，确保防渗层无破损。</w:t>
      </w:r>
    </w:p>
    <w:p w14:paraId="3FEEA1CA">
      <w:pPr>
        <w:pStyle w:val="10"/>
        <w:numPr>
          <w:ilvl w:val="3"/>
          <w:numId w:val="1"/>
        </w:numPr>
        <w:bidi w:val="0"/>
        <w:ind w:left="850" w:leftChars="0" w:hanging="850" w:firstLineChars="0"/>
        <w:rPr>
          <w:rFonts w:hint="eastAsia"/>
          <w:highlight w:val="none"/>
          <w:lang w:val="en-US" w:eastAsia="zh-CN"/>
        </w:rPr>
      </w:pPr>
      <w:r>
        <w:rPr>
          <w:rFonts w:hint="eastAsia"/>
          <w:highlight w:val="none"/>
          <w:lang w:val="en-US" w:eastAsia="zh-CN"/>
        </w:rPr>
        <w:t>分区防治措施</w:t>
      </w:r>
    </w:p>
    <w:p w14:paraId="15B0754D">
      <w:pPr>
        <w:bidi w:val="0"/>
        <w:rPr>
          <w:rFonts w:hint="eastAsia"/>
          <w:highlight w:val="none"/>
          <w:lang w:val="en-US" w:eastAsia="zh-CN"/>
        </w:rPr>
      </w:pPr>
      <w:r>
        <w:rPr>
          <w:rFonts w:hint="eastAsia"/>
          <w:highlight w:val="none"/>
          <w:lang w:val="en-US" w:eastAsia="zh-CN"/>
        </w:rPr>
        <w:t>结合各生产设备、管廊或管线、贮存与运输装置、污染物贮存与处理装置、事故应急装置等的布局，根据可能进入地下水环境的各种有毒有害原辅材料、中间物料和产品的泄漏（跑、冒、滴、漏）量及其他各类污染物的性质、产生量和排放量，划分污染防治区，提出不同区域的地面防渗方案，给出具体的防渗材料及防渗标准要求，建立防渗设施的检漏系统。</w:t>
      </w:r>
    </w:p>
    <w:p w14:paraId="048E0AEC">
      <w:pPr>
        <w:bidi w:val="0"/>
        <w:rPr>
          <w:rFonts w:hint="eastAsia"/>
          <w:highlight w:val="none"/>
          <w:lang w:val="en-US" w:eastAsia="zh-CN"/>
        </w:rPr>
      </w:pPr>
      <w:r>
        <w:rPr>
          <w:rFonts w:hint="eastAsia"/>
          <w:highlight w:val="none"/>
          <w:lang w:val="en-US" w:eastAsia="zh-CN"/>
        </w:rPr>
        <w:t xml:space="preserve">结合本项目地下水环境影响评价结果，针对可能发生的地下水污染，地下水防治以一般以水平防渗为主。针对场区生产设备、管道、污染物储存等布局，实行重点防渗区、一般防渗区和简单防渗区的划分。 </w:t>
      </w:r>
    </w:p>
    <w:p w14:paraId="11D195A7">
      <w:pPr>
        <w:bidi w:val="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（1）重点防渗区：重点防渗区为整个填埋区，包括坝体、填埋区域、渗滤液收集池。防渗措施要求：达到渗透系数小于1.0×10</w:t>
      </w:r>
      <w:r>
        <w:rPr>
          <w:rFonts w:hint="default" w:ascii="Times New Roman" w:hAnsi="Times New Roman" w:cs="Times New Roman"/>
          <w:highlight w:val="none"/>
          <w:vertAlign w:val="superscript"/>
          <w:lang w:val="en-US" w:eastAsia="zh-CN"/>
        </w:rPr>
        <w:t>-12</w:t>
      </w:r>
      <w:r>
        <w:rPr>
          <w:rFonts w:hint="default" w:ascii="Times New Roman" w:hAnsi="Times New Roman" w:cs="Times New Roman"/>
          <w:highlight w:val="none"/>
          <w:lang w:val="en-US" w:eastAsia="zh-CN"/>
        </w:rPr>
        <w:t>cm/s</w:t>
      </w:r>
      <w:r>
        <w:rPr>
          <w:rFonts w:hint="eastAsia" w:ascii="Times New Roman" w:hAnsi="Times New Roman" w:cs="Times New Roman"/>
          <w:highlight w:val="none"/>
          <w:lang w:val="en-US" w:eastAsia="zh-CN"/>
        </w:rPr>
        <w:t>的</w:t>
      </w:r>
      <w:r>
        <w:rPr>
          <w:rFonts w:hint="default" w:ascii="Times New Roman" w:hAnsi="Times New Roman" w:cs="Times New Roman"/>
          <w:highlight w:val="none"/>
          <w:lang w:val="en-US" w:eastAsia="zh-CN"/>
        </w:rPr>
        <w:t>防渗技术要求。</w:t>
      </w:r>
    </w:p>
    <w:p w14:paraId="00041AB2">
      <w:pPr>
        <w:bidi w:val="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①</w:t>
      </w:r>
      <w:r>
        <w:rPr>
          <w:rFonts w:hint="eastAsia" w:ascii="Times New Roman" w:hAnsi="Times New Roman" w:cs="Times New Roman"/>
          <w:highlight w:val="none"/>
          <w:lang w:val="en-US" w:eastAsia="zh-CN"/>
        </w:rPr>
        <w:t>废渣填埋场</w:t>
      </w:r>
      <w:r>
        <w:rPr>
          <w:rFonts w:hint="default" w:ascii="Times New Roman" w:hAnsi="Times New Roman" w:cs="Times New Roman"/>
          <w:highlight w:val="none"/>
          <w:lang w:val="en-US" w:eastAsia="zh-CN"/>
        </w:rPr>
        <w:t>防渗措施：应采用人工合成材料进行防渗处理，在</w:t>
      </w:r>
      <w:r>
        <w:rPr>
          <w:rFonts w:hint="eastAsia" w:ascii="Times New Roman" w:hAnsi="Times New Roman" w:cs="Times New Roman"/>
          <w:highlight w:val="none"/>
          <w:lang w:val="en-US" w:eastAsia="zh-CN"/>
        </w:rPr>
        <w:t>废渣填埋场</w:t>
      </w:r>
      <w:r>
        <w:rPr>
          <w:rFonts w:hint="default" w:ascii="Times New Roman" w:hAnsi="Times New Roman" w:cs="Times New Roman"/>
          <w:highlight w:val="none"/>
          <w:lang w:val="en-US" w:eastAsia="zh-CN"/>
        </w:rPr>
        <w:t>底部及库坡铺设土工防渗膜、渗滤液导排层、粘土层等，其渗透系数小于1.0×10</w:t>
      </w:r>
      <w:r>
        <w:rPr>
          <w:rFonts w:hint="default" w:ascii="Times New Roman" w:hAnsi="Times New Roman" w:cs="Times New Roman"/>
          <w:highlight w:val="none"/>
          <w:vertAlign w:val="superscript"/>
          <w:lang w:val="en-US" w:eastAsia="zh-CN"/>
        </w:rPr>
        <w:t>-12</w:t>
      </w:r>
      <w:r>
        <w:rPr>
          <w:rFonts w:hint="default" w:ascii="Times New Roman" w:hAnsi="Times New Roman" w:cs="Times New Roman"/>
          <w:highlight w:val="none"/>
          <w:lang w:val="en-US" w:eastAsia="zh-CN"/>
        </w:rPr>
        <w:t>cm/s。</w:t>
      </w:r>
    </w:p>
    <w:p w14:paraId="0D15D9B8">
      <w:pPr>
        <w:bidi w:val="0"/>
        <w:rPr>
          <w:rFonts w:hint="eastAsia"/>
          <w:highlight w:val="none"/>
          <w:lang w:val="en-US" w:eastAsia="zh-CN"/>
        </w:rPr>
      </w:pPr>
      <w:r>
        <w:rPr>
          <w:rFonts w:hint="eastAsia"/>
          <w:highlight w:val="none"/>
          <w:lang w:val="en-US" w:eastAsia="zh-CN"/>
        </w:rPr>
        <w:t>②渗滤液收集池：采用抗渗混凝土，池壁外侧及底板下混凝土与土层接触部分采用高分子或SBS防水卷材，外加挤塑板防护层。</w:t>
      </w:r>
    </w:p>
    <w:p w14:paraId="2DB4496B">
      <w:pPr>
        <w:bidi w:val="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2）一般防渗区：场地内可能会对地下水造成污染，但危害性或风险程度相对较低的建筑区，主要包括施工期废水处理区、车辆冲洗区。防渗措施要求：达到等效黏土防渗层Mb≥1.5m，K≤1×10</w:t>
      </w:r>
      <w:r>
        <w:rPr>
          <w:rFonts w:hint="default" w:ascii="Times New Roman" w:hAnsi="Times New Roman" w:cs="Times New Roman"/>
          <w:highlight w:val="none"/>
          <w:vertAlign w:val="superscript"/>
          <w:lang w:val="en-US" w:eastAsia="zh-CN"/>
        </w:rPr>
        <w:t>-7</w:t>
      </w:r>
      <w:r>
        <w:rPr>
          <w:rFonts w:hint="default" w:ascii="Times New Roman" w:hAnsi="Times New Roman" w:cs="Times New Roman"/>
          <w:highlight w:val="none"/>
          <w:lang w:val="en-US" w:eastAsia="zh-CN"/>
        </w:rPr>
        <w:t xml:space="preserve">cm/s的防渗技术要求。 </w:t>
      </w:r>
    </w:p>
    <w:p w14:paraId="6542F85B">
      <w:pPr>
        <w:bidi w:val="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一般防渗区构筑物，在抗渗钢纤维混凝土面层中掺水泥基渗透结晶型防水剂，其下铺砌砂石基层，原土夯实，可达到防渗的目的。对于混凝土中间的伸缩缝和与实体基础的缝隙，通过填充柔性材料达到防渗的目的，渗透系数不大于1.0×10</w:t>
      </w:r>
      <w:r>
        <w:rPr>
          <w:rFonts w:hint="default" w:ascii="Times New Roman" w:hAnsi="Times New Roman" w:cs="Times New Roman"/>
          <w:highlight w:val="none"/>
          <w:vertAlign w:val="superscript"/>
          <w:lang w:val="en-US" w:eastAsia="zh-CN"/>
        </w:rPr>
        <w:t>-7</w:t>
      </w:r>
      <w:r>
        <w:rPr>
          <w:rFonts w:hint="default" w:ascii="Times New Roman" w:hAnsi="Times New Roman" w:cs="Times New Roman"/>
          <w:highlight w:val="none"/>
          <w:lang w:val="en-US" w:eastAsia="zh-CN"/>
        </w:rPr>
        <w:t>cm/s。</w:t>
      </w:r>
    </w:p>
    <w:p w14:paraId="57AD37D8">
      <w:pPr>
        <w:bidi w:val="0"/>
        <w:rPr>
          <w:rFonts w:hint="eastAsia"/>
          <w:highlight w:val="none"/>
          <w:lang w:val="en-US" w:eastAsia="zh-CN"/>
        </w:rPr>
      </w:pPr>
      <w:r>
        <w:rPr>
          <w:rFonts w:hint="eastAsia"/>
          <w:highlight w:val="none"/>
          <w:lang w:val="en-US" w:eastAsia="zh-CN"/>
        </w:rPr>
        <w:t xml:space="preserve">3）简单防渗区：厂区内除上述以外的不会对地下水造成污染的区域。如道路区等。简单防渗区仅进行一般地面硬化即可。 </w:t>
      </w:r>
    </w:p>
    <w:p w14:paraId="6919E584">
      <w:pPr>
        <w:pStyle w:val="10"/>
        <w:numPr>
          <w:ilvl w:val="3"/>
          <w:numId w:val="1"/>
        </w:numPr>
        <w:bidi w:val="0"/>
        <w:ind w:left="850" w:leftChars="0" w:hanging="850" w:firstLineChars="0"/>
        <w:rPr>
          <w:rFonts w:hint="eastAsia"/>
          <w:highlight w:val="none"/>
          <w:lang w:val="en-US" w:eastAsia="zh-CN"/>
        </w:rPr>
      </w:pPr>
      <w:r>
        <w:rPr>
          <w:rFonts w:hint="eastAsia"/>
          <w:highlight w:val="none"/>
          <w:lang w:val="en-US" w:eastAsia="zh-CN"/>
        </w:rPr>
        <w:t>污染监控</w:t>
      </w:r>
    </w:p>
    <w:p w14:paraId="22799CE7">
      <w:pPr>
        <w:bidi w:val="0"/>
        <w:rPr>
          <w:rFonts w:hint="eastAsia"/>
          <w:lang w:val="en-US" w:eastAsia="zh-CN"/>
        </w:rPr>
      </w:pPr>
      <w:r>
        <w:rPr>
          <w:rFonts w:hint="eastAsia"/>
          <w:lang w:val="en-US" w:eastAsia="zh-CN"/>
        </w:rPr>
        <w:t>为了及时准确地掌握厂址周围地下水环境污染控制状况，本工程应建立地下水监控体系，包括建立完善的监测制度、配备先进的检测仪器和设备，科学、合理设置地下水污染监控井，及时发现污染、及时控制。</w:t>
      </w:r>
    </w:p>
    <w:p w14:paraId="46AE2AD1">
      <w:pPr>
        <w:bidi w:val="0"/>
        <w:rPr>
          <w:rFonts w:hint="eastAsia"/>
          <w:lang w:val="en-US" w:eastAsia="zh-CN"/>
        </w:rPr>
      </w:pPr>
      <w:r>
        <w:rPr>
          <w:rFonts w:hint="eastAsia"/>
          <w:lang w:val="en-US" w:eastAsia="zh-CN"/>
        </w:rPr>
        <w:t>通过地下水监测井监测数据及反馈启动应急处置方案，及时发现地下水污染事故及其影响范围和程度，为启动地下水应急措施提供信息保障。</w:t>
      </w:r>
    </w:p>
    <w:p w14:paraId="3152D24B">
      <w:pPr>
        <w:bidi w:val="0"/>
        <w:rPr>
          <w:rFonts w:hint="eastAsia"/>
          <w:b/>
          <w:bCs/>
          <w:highlight w:val="none"/>
          <w:lang w:val="en-US" w:eastAsia="zh-CN"/>
        </w:rPr>
      </w:pPr>
      <w:r>
        <w:rPr>
          <w:rFonts w:hint="eastAsia"/>
          <w:b/>
          <w:bCs/>
          <w:highlight w:val="none"/>
          <w:lang w:val="en-US" w:eastAsia="zh-CN"/>
        </w:rPr>
        <w:t>（1）布设原则</w:t>
      </w:r>
    </w:p>
    <w:p w14:paraId="049FDBD8">
      <w:pPr>
        <w:bidi w:val="0"/>
        <w:rPr>
          <w:rFonts w:hint="eastAsia"/>
          <w:highlight w:val="none"/>
          <w:lang w:val="en-US" w:eastAsia="zh-CN"/>
        </w:rPr>
      </w:pPr>
      <w:r>
        <w:rPr>
          <w:rFonts w:hint="eastAsia"/>
          <w:highlight w:val="none"/>
          <w:lang w:val="en-US" w:eastAsia="zh-CN"/>
        </w:rPr>
        <w:t>①加强重点污染防治区监测；</w:t>
      </w:r>
    </w:p>
    <w:p w14:paraId="2AA08B2D">
      <w:pPr>
        <w:bidi w:val="0"/>
        <w:rPr>
          <w:rFonts w:hint="eastAsia"/>
          <w:highlight w:val="none"/>
          <w:lang w:val="en-US" w:eastAsia="zh-CN"/>
        </w:rPr>
      </w:pPr>
      <w:r>
        <w:rPr>
          <w:rFonts w:hint="eastAsia"/>
          <w:highlight w:val="none"/>
          <w:lang w:val="en-US" w:eastAsia="zh-CN"/>
        </w:rPr>
        <w:t>②以潜水含水层地下水监测为主；</w:t>
      </w:r>
    </w:p>
    <w:p w14:paraId="1E29327B">
      <w:pPr>
        <w:bidi w:val="0"/>
        <w:rPr>
          <w:rFonts w:hint="eastAsia"/>
          <w:highlight w:val="yellow"/>
          <w:lang w:val="en-US" w:eastAsia="zh-CN"/>
        </w:rPr>
      </w:pPr>
      <w:r>
        <w:rPr>
          <w:rFonts w:hint="eastAsia"/>
          <w:highlight w:val="none"/>
          <w:lang w:val="en-US" w:eastAsia="zh-CN"/>
        </w:rPr>
        <w:t>③水质监测项目参照《地下水质量标准》相关要求和潜在污染源特征污染因子确定，各监测井可依据监测目的不同适当增加和减少监测项目。</w:t>
      </w:r>
    </w:p>
    <w:p w14:paraId="7C8643A4">
      <w:pPr>
        <w:bidi w:val="0"/>
        <w:rPr>
          <w:rFonts w:hint="eastAsia"/>
          <w:b/>
          <w:bCs/>
          <w:highlight w:val="none"/>
          <w:lang w:val="en-US" w:eastAsia="zh-CN"/>
        </w:rPr>
      </w:pPr>
      <w:r>
        <w:rPr>
          <w:rFonts w:hint="eastAsia"/>
          <w:b/>
          <w:bCs/>
          <w:highlight w:val="none"/>
          <w:lang w:val="en-US" w:eastAsia="zh-CN"/>
        </w:rPr>
        <w:t>（2）监测井布置</w:t>
      </w:r>
    </w:p>
    <w:p w14:paraId="2D50FDE8">
      <w:pPr>
        <w:bidi w:val="0"/>
        <w:rPr>
          <w:rFonts w:hint="eastAsia"/>
          <w:highlight w:val="none"/>
          <w:lang w:val="en-US" w:eastAsia="zh-CN"/>
        </w:rPr>
      </w:pPr>
      <w:r>
        <w:rPr>
          <w:rFonts w:hint="eastAsia"/>
          <w:highlight w:val="none"/>
          <w:lang w:val="en-US" w:eastAsia="zh-CN"/>
        </w:rPr>
        <w:t>1）监测井数量</w:t>
      </w:r>
    </w:p>
    <w:p w14:paraId="04CE16F4">
      <w:pPr>
        <w:bidi w:val="0"/>
        <w:rPr>
          <w:rFonts w:hint="eastAsia"/>
          <w:highlight w:val="none"/>
          <w:lang w:val="en-US" w:eastAsia="zh-CN"/>
        </w:rPr>
      </w:pPr>
      <w:r>
        <w:rPr>
          <w:rFonts w:hint="eastAsia"/>
          <w:highlight w:val="none"/>
          <w:lang w:val="en-US" w:eastAsia="zh-CN"/>
        </w:rPr>
        <w:t>根据《一般工业固体废物贮存和填埋污染控制标准》（GB 18599-2020）的要求及地下水监测点布设原则，本项目在废渣填埋场及上、下游共布设地下水水质监测井4眼，随时掌握地下水水质变化趋势。为避免污染物随孔壁渗入地下，建议成井时水泥封孔。</w:t>
      </w:r>
    </w:p>
    <w:p w14:paraId="58AD2C2A">
      <w:pPr>
        <w:bidi w:val="0"/>
        <w:rPr>
          <w:rFonts w:hint="eastAsia"/>
          <w:highlight w:val="none"/>
          <w:lang w:val="en-US" w:eastAsia="zh-CN"/>
        </w:rPr>
      </w:pPr>
      <w:r>
        <w:rPr>
          <w:rFonts w:hint="eastAsia"/>
          <w:highlight w:val="none"/>
          <w:lang w:val="en-US" w:eastAsia="zh-CN"/>
        </w:rPr>
        <w:t>填埋区上游布设1眼井，用于检测地下水上游背景值。填埋区两侧各布设1眼监测井，用于检测重点区对地下水的影响情况。工程区下游布设1眼监测井，用于检测下游地下水状况。另外，填埋区及渗滤液收集池地下水导排管出水口也作为一般</w:t>
      </w:r>
      <w:r>
        <w:rPr>
          <w:rFonts w:hint="default" w:ascii="Times New Roman" w:hAnsi="Times New Roman" w:cs="Times New Roman"/>
          <w:highlight w:val="none"/>
          <w:lang w:val="en-US" w:eastAsia="zh-CN"/>
        </w:rPr>
        <w:t>Ⅱ</w:t>
      </w:r>
      <w:r>
        <w:rPr>
          <w:rFonts w:hint="eastAsia"/>
          <w:highlight w:val="none"/>
          <w:lang w:val="en-US" w:eastAsia="zh-CN"/>
        </w:rPr>
        <w:t>类固废集中填埋场监测系统的一部分。</w:t>
      </w:r>
    </w:p>
    <w:p w14:paraId="75FAAE38">
      <w:pPr>
        <w:bidi w:val="0"/>
        <w:rPr>
          <w:rFonts w:hint="eastAsia"/>
          <w:highlight w:val="none"/>
          <w:lang w:val="en-US" w:eastAsia="zh-CN"/>
        </w:rPr>
      </w:pPr>
      <w:r>
        <w:rPr>
          <w:rFonts w:hint="eastAsia"/>
          <w:highlight w:val="none"/>
          <w:lang w:val="en-US" w:eastAsia="zh-CN"/>
        </w:rPr>
        <w:t>2）监测井布置</w:t>
      </w:r>
    </w:p>
    <w:p w14:paraId="223628A7">
      <w:pPr>
        <w:bidi w:val="0"/>
        <w:rPr>
          <w:rFonts w:hint="eastAsia"/>
          <w:highlight w:val="none"/>
          <w:lang w:val="en-US" w:eastAsia="zh-CN"/>
        </w:rPr>
      </w:pPr>
      <w:r>
        <w:rPr>
          <w:rFonts w:hint="eastAsia"/>
          <w:highlight w:val="none"/>
          <w:lang w:val="en-US" w:eastAsia="zh-CN"/>
        </w:rPr>
        <w:t>监测井布置详见图7.2-1。</w:t>
      </w:r>
    </w:p>
    <w:p w14:paraId="4905B545">
      <w:pPr>
        <w:bidi w:val="0"/>
        <w:ind w:left="0" w:leftChars="0" w:firstLine="0" w:firstLineChars="0"/>
        <w:jc w:val="center"/>
        <w:rPr>
          <w:rFonts w:hint="eastAsia"/>
          <w:b/>
          <w:bCs/>
          <w:sz w:val="21"/>
          <w:szCs w:val="21"/>
          <w:highlight w:val="none"/>
          <w:lang w:val="en-US" w:eastAsia="zh-CN"/>
        </w:rPr>
      </w:pPr>
      <w:r>
        <w:rPr>
          <w:rFonts w:hint="eastAsia"/>
          <w:b/>
          <w:bCs/>
          <w:sz w:val="21"/>
          <w:szCs w:val="21"/>
          <w:highlight w:val="none"/>
          <w:lang w:val="en-US" w:eastAsia="zh-CN"/>
        </w:rPr>
        <w:t>表7.2-1  地下水监测点一览表</w:t>
      </w:r>
    </w:p>
    <w:tbl>
      <w:tblPr>
        <w:tblStyle w:val="35"/>
        <w:tblW w:w="4996"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439"/>
        <w:gridCol w:w="2956"/>
        <w:gridCol w:w="2082"/>
        <w:gridCol w:w="1296"/>
        <w:gridCol w:w="1508"/>
      </w:tblGrid>
      <w:tr w14:paraId="118F6E2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0" w:hRule="atLeast"/>
          <w:tblHeader/>
          <w:jc w:val="center"/>
        </w:trPr>
        <w:tc>
          <w:tcPr>
            <w:tcW w:w="775" w:type="pct"/>
            <w:shd w:val="clear" w:color="auto" w:fill="auto"/>
            <w:noWrap w:val="0"/>
            <w:vAlign w:val="center"/>
          </w:tcPr>
          <w:p w14:paraId="1FC58879">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imes New Roman" w:hAnsi="Times New Roman" w:eastAsia="宋体" w:cs="Times New Roman"/>
                <w:b/>
                <w:bCs/>
                <w:kern w:val="2"/>
                <w:sz w:val="21"/>
                <w:szCs w:val="21"/>
                <w:highlight w:val="none"/>
                <w:lang w:val="en-US" w:eastAsia="zh-CN" w:bidi="ar-SA"/>
              </w:rPr>
            </w:pPr>
            <w:r>
              <w:rPr>
                <w:rFonts w:hint="eastAsia"/>
                <w:b/>
                <w:bCs/>
                <w:sz w:val="21"/>
                <w:szCs w:val="21"/>
                <w:highlight w:val="none"/>
                <w:lang w:val="en-US" w:eastAsia="zh-CN"/>
              </w:rPr>
              <w:t>监测点编号</w:t>
            </w:r>
          </w:p>
        </w:tc>
        <w:tc>
          <w:tcPr>
            <w:tcW w:w="1592" w:type="pct"/>
            <w:shd w:val="clear" w:color="auto" w:fill="auto"/>
            <w:noWrap w:val="0"/>
            <w:vAlign w:val="center"/>
          </w:tcPr>
          <w:p w14:paraId="1B28983E">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imes New Roman" w:hAnsi="Times New Roman" w:eastAsia="宋体" w:cs="Times New Roman"/>
                <w:b/>
                <w:bCs/>
                <w:kern w:val="2"/>
                <w:sz w:val="21"/>
                <w:szCs w:val="21"/>
                <w:highlight w:val="none"/>
                <w:lang w:val="en-US" w:eastAsia="zh-CN" w:bidi="ar-SA"/>
              </w:rPr>
            </w:pPr>
            <w:r>
              <w:rPr>
                <w:rFonts w:hint="eastAsia"/>
                <w:b/>
                <w:bCs/>
                <w:sz w:val="21"/>
                <w:szCs w:val="21"/>
                <w:highlight w:val="none"/>
                <w:lang w:val="en-US" w:eastAsia="zh-CN"/>
              </w:rPr>
              <w:t>位置</w:t>
            </w:r>
          </w:p>
        </w:tc>
        <w:tc>
          <w:tcPr>
            <w:tcW w:w="1121" w:type="pct"/>
            <w:shd w:val="clear" w:color="auto" w:fill="auto"/>
            <w:noWrap w:val="0"/>
            <w:vAlign w:val="center"/>
          </w:tcPr>
          <w:p w14:paraId="0B1DA2AD">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imes New Roman" w:hAnsi="Times New Roman" w:eastAsia="宋体" w:cs="Times New Roman"/>
                <w:b/>
                <w:bCs/>
                <w:kern w:val="2"/>
                <w:sz w:val="21"/>
                <w:szCs w:val="21"/>
                <w:highlight w:val="none"/>
                <w:lang w:val="en-US" w:eastAsia="zh-CN" w:bidi="ar-SA"/>
              </w:rPr>
            </w:pPr>
            <w:r>
              <w:rPr>
                <w:rFonts w:hint="eastAsia"/>
                <w:b/>
                <w:bCs/>
                <w:sz w:val="21"/>
                <w:szCs w:val="21"/>
                <w:highlight w:val="none"/>
                <w:lang w:val="en-US" w:eastAsia="zh-CN"/>
              </w:rPr>
              <w:t>功能</w:t>
            </w:r>
          </w:p>
        </w:tc>
        <w:tc>
          <w:tcPr>
            <w:tcW w:w="698" w:type="pct"/>
            <w:shd w:val="clear" w:color="auto" w:fill="auto"/>
            <w:noWrap w:val="0"/>
            <w:vAlign w:val="center"/>
          </w:tcPr>
          <w:p w14:paraId="5C80B33A">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imes New Roman" w:hAnsi="Times New Roman" w:eastAsia="宋体" w:cs="Times New Roman"/>
                <w:b/>
                <w:bCs/>
                <w:kern w:val="2"/>
                <w:sz w:val="21"/>
                <w:szCs w:val="21"/>
                <w:highlight w:val="none"/>
                <w:lang w:val="en-US" w:eastAsia="zh-CN" w:bidi="ar-SA"/>
              </w:rPr>
            </w:pPr>
            <w:r>
              <w:rPr>
                <w:rFonts w:hint="eastAsia"/>
                <w:b/>
                <w:bCs/>
                <w:sz w:val="21"/>
                <w:szCs w:val="21"/>
                <w:highlight w:val="none"/>
                <w:lang w:val="en-US" w:eastAsia="zh-CN"/>
              </w:rPr>
              <w:t>监测层位</w:t>
            </w:r>
          </w:p>
        </w:tc>
        <w:tc>
          <w:tcPr>
            <w:tcW w:w="812" w:type="pct"/>
            <w:shd w:val="clear" w:color="auto" w:fill="auto"/>
            <w:noWrap w:val="0"/>
            <w:vAlign w:val="center"/>
          </w:tcPr>
          <w:p w14:paraId="62A27922">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imes New Roman" w:hAnsi="Times New Roman" w:eastAsia="宋体" w:cs="Times New Roman"/>
                <w:b/>
                <w:bCs/>
                <w:kern w:val="2"/>
                <w:sz w:val="21"/>
                <w:szCs w:val="21"/>
                <w:highlight w:val="none"/>
                <w:lang w:val="en-US" w:eastAsia="zh-CN" w:bidi="ar-SA"/>
              </w:rPr>
            </w:pPr>
            <w:r>
              <w:rPr>
                <w:rFonts w:hint="eastAsia"/>
                <w:b/>
                <w:bCs/>
                <w:sz w:val="21"/>
                <w:szCs w:val="21"/>
                <w:highlight w:val="none"/>
                <w:lang w:val="en-US" w:eastAsia="zh-CN"/>
              </w:rPr>
              <w:t>备注</w:t>
            </w:r>
          </w:p>
        </w:tc>
      </w:tr>
      <w:tr w14:paraId="456CE24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75" w:type="pct"/>
            <w:noWrap w:val="0"/>
            <w:vAlign w:val="center"/>
          </w:tcPr>
          <w:p w14:paraId="0845150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D1</w:t>
            </w:r>
          </w:p>
        </w:tc>
        <w:tc>
          <w:tcPr>
            <w:tcW w:w="1592" w:type="pct"/>
            <w:noWrap w:val="0"/>
            <w:vAlign w:val="center"/>
          </w:tcPr>
          <w:p w14:paraId="74CEBDB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废渣填埋场上游</w:t>
            </w:r>
          </w:p>
        </w:tc>
        <w:tc>
          <w:tcPr>
            <w:tcW w:w="1121" w:type="pct"/>
            <w:noWrap w:val="0"/>
            <w:vAlign w:val="center"/>
          </w:tcPr>
          <w:p w14:paraId="02190C0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对照井</w:t>
            </w:r>
          </w:p>
        </w:tc>
        <w:tc>
          <w:tcPr>
            <w:tcW w:w="698" w:type="pct"/>
            <w:vMerge w:val="restart"/>
            <w:noWrap w:val="0"/>
            <w:vAlign w:val="center"/>
          </w:tcPr>
          <w:p w14:paraId="7B83521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潜水层</w:t>
            </w:r>
          </w:p>
        </w:tc>
        <w:tc>
          <w:tcPr>
            <w:tcW w:w="812" w:type="pct"/>
            <w:vMerge w:val="restart"/>
            <w:noWrap w:val="0"/>
            <w:vAlign w:val="center"/>
          </w:tcPr>
          <w:p w14:paraId="7AA2BDF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废渣填埋场</w:t>
            </w:r>
          </w:p>
        </w:tc>
      </w:tr>
      <w:tr w14:paraId="11DB975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75" w:type="pct"/>
            <w:noWrap w:val="0"/>
            <w:vAlign w:val="center"/>
          </w:tcPr>
          <w:p w14:paraId="6AFD7F2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D2</w:t>
            </w:r>
          </w:p>
        </w:tc>
        <w:tc>
          <w:tcPr>
            <w:tcW w:w="1592" w:type="pct"/>
            <w:noWrap w:val="0"/>
            <w:vAlign w:val="center"/>
          </w:tcPr>
          <w:p w14:paraId="7EEBF3A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废渣填埋场侧面</w:t>
            </w:r>
          </w:p>
        </w:tc>
        <w:tc>
          <w:tcPr>
            <w:tcW w:w="1121" w:type="pct"/>
            <w:noWrap w:val="0"/>
            <w:vAlign w:val="center"/>
          </w:tcPr>
          <w:p w14:paraId="1510FFE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污染扩散井</w:t>
            </w:r>
          </w:p>
        </w:tc>
        <w:tc>
          <w:tcPr>
            <w:tcW w:w="698" w:type="pct"/>
            <w:vMerge w:val="continue"/>
            <w:noWrap w:val="0"/>
            <w:vAlign w:val="center"/>
          </w:tcPr>
          <w:p w14:paraId="66F8FB0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lang w:val="en-US" w:eastAsia="zh-CN"/>
              </w:rPr>
            </w:pPr>
          </w:p>
        </w:tc>
        <w:tc>
          <w:tcPr>
            <w:tcW w:w="812" w:type="pct"/>
            <w:vMerge w:val="continue"/>
            <w:noWrap w:val="0"/>
            <w:vAlign w:val="center"/>
          </w:tcPr>
          <w:p w14:paraId="4F819A7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lang w:val="en-US" w:eastAsia="zh-CN"/>
              </w:rPr>
            </w:pPr>
          </w:p>
        </w:tc>
      </w:tr>
      <w:tr w14:paraId="748FC10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75" w:type="pct"/>
            <w:noWrap w:val="0"/>
            <w:vAlign w:val="center"/>
          </w:tcPr>
          <w:p w14:paraId="7145EA1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D3</w:t>
            </w:r>
          </w:p>
        </w:tc>
        <w:tc>
          <w:tcPr>
            <w:tcW w:w="1592" w:type="pct"/>
            <w:noWrap w:val="0"/>
            <w:vAlign w:val="center"/>
          </w:tcPr>
          <w:p w14:paraId="2CA8CB1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废渣填埋场侧面</w:t>
            </w:r>
          </w:p>
        </w:tc>
        <w:tc>
          <w:tcPr>
            <w:tcW w:w="1121" w:type="pct"/>
            <w:noWrap w:val="0"/>
            <w:vAlign w:val="center"/>
          </w:tcPr>
          <w:p w14:paraId="7614030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污染扩散井</w:t>
            </w:r>
          </w:p>
        </w:tc>
        <w:tc>
          <w:tcPr>
            <w:tcW w:w="698" w:type="pct"/>
            <w:vMerge w:val="continue"/>
            <w:noWrap w:val="0"/>
            <w:vAlign w:val="center"/>
          </w:tcPr>
          <w:p w14:paraId="6B4EB0B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lang w:val="en-US" w:eastAsia="zh-CN"/>
              </w:rPr>
            </w:pPr>
          </w:p>
        </w:tc>
        <w:tc>
          <w:tcPr>
            <w:tcW w:w="812" w:type="pct"/>
            <w:vMerge w:val="continue"/>
            <w:noWrap w:val="0"/>
            <w:vAlign w:val="center"/>
          </w:tcPr>
          <w:p w14:paraId="4B13915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lang w:val="en-US" w:eastAsia="zh-CN"/>
              </w:rPr>
            </w:pPr>
          </w:p>
        </w:tc>
      </w:tr>
      <w:tr w14:paraId="685DACE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75" w:type="pct"/>
            <w:noWrap w:val="0"/>
            <w:vAlign w:val="center"/>
          </w:tcPr>
          <w:p w14:paraId="03C78A1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D4</w:t>
            </w:r>
          </w:p>
        </w:tc>
        <w:tc>
          <w:tcPr>
            <w:tcW w:w="1592" w:type="pct"/>
            <w:noWrap w:val="0"/>
            <w:vAlign w:val="center"/>
          </w:tcPr>
          <w:p w14:paraId="5DF076E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废渣填埋场下游</w:t>
            </w:r>
          </w:p>
        </w:tc>
        <w:tc>
          <w:tcPr>
            <w:tcW w:w="1121" w:type="pct"/>
            <w:noWrap w:val="0"/>
            <w:vAlign w:val="center"/>
          </w:tcPr>
          <w:p w14:paraId="3704959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污染监视监测井</w:t>
            </w:r>
          </w:p>
        </w:tc>
        <w:tc>
          <w:tcPr>
            <w:tcW w:w="698" w:type="pct"/>
            <w:vMerge w:val="continue"/>
            <w:noWrap w:val="0"/>
            <w:vAlign w:val="center"/>
          </w:tcPr>
          <w:p w14:paraId="57604E0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lang w:val="en-US" w:eastAsia="zh-CN"/>
              </w:rPr>
            </w:pPr>
          </w:p>
        </w:tc>
        <w:tc>
          <w:tcPr>
            <w:tcW w:w="812" w:type="pct"/>
            <w:vMerge w:val="continue"/>
            <w:noWrap w:val="0"/>
            <w:vAlign w:val="center"/>
          </w:tcPr>
          <w:p w14:paraId="03D1E17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lang w:val="en-US" w:eastAsia="zh-CN"/>
              </w:rPr>
            </w:pPr>
          </w:p>
        </w:tc>
      </w:tr>
    </w:tbl>
    <w:p w14:paraId="4123805F">
      <w:pPr>
        <w:bidi w:val="0"/>
        <w:rPr>
          <w:rFonts w:hint="eastAsia"/>
          <w:highlight w:val="none"/>
          <w:lang w:val="en-US" w:eastAsia="zh-CN"/>
        </w:rPr>
      </w:pPr>
      <w:r>
        <w:rPr>
          <w:rFonts w:hint="eastAsia"/>
          <w:highlight w:val="none"/>
          <w:lang w:val="en-US" w:eastAsia="zh-CN"/>
        </w:rPr>
        <w:t>3）监测频率</w:t>
      </w:r>
    </w:p>
    <w:p w14:paraId="366656C8">
      <w:pPr>
        <w:bidi w:val="0"/>
        <w:rPr>
          <w:rFonts w:hint="eastAsia"/>
          <w:highlight w:val="none"/>
          <w:lang w:val="en-US" w:eastAsia="zh-CN"/>
        </w:rPr>
      </w:pPr>
      <w:r>
        <w:rPr>
          <w:rFonts w:hint="eastAsia"/>
          <w:highlight w:val="none"/>
          <w:lang w:val="en-US" w:eastAsia="zh-CN"/>
        </w:rPr>
        <w:t>监测频率和监测时间参照《一般工业固体废物贮存和填埋污染控制标准》（GB 18599-2020）10.3.3贮存场、填埋场地下水监测频次应符合以下要求：</w:t>
      </w:r>
    </w:p>
    <w:p w14:paraId="4657C54F">
      <w:pPr>
        <w:bidi w:val="0"/>
        <w:rPr>
          <w:rFonts w:hint="eastAsia"/>
          <w:highlight w:val="none"/>
          <w:lang w:val="en-US" w:eastAsia="zh-CN"/>
        </w:rPr>
      </w:pPr>
      <w:r>
        <w:rPr>
          <w:rFonts w:hint="eastAsia"/>
          <w:highlight w:val="none"/>
          <w:lang w:val="en-US" w:eastAsia="zh-CN"/>
        </w:rPr>
        <w:t>a）运行期间，企业自行监测频次至少每季度1次，每两次监测之间间隔不少于1个月，国家另有规定的除外；如周边有环境敏感区应增加监测频次，具体监测点位和频次依据环境影响评价结论确定。当发现地下水水质有被污染的迹象时，应及时查找原因并采取补救措施，防止污染进一步扩散；</w:t>
      </w:r>
    </w:p>
    <w:p w14:paraId="10DDD75B">
      <w:pPr>
        <w:bidi w:val="0"/>
        <w:rPr>
          <w:rFonts w:hint="eastAsia"/>
          <w:highlight w:val="none"/>
          <w:lang w:val="en-US" w:eastAsia="zh-CN"/>
        </w:rPr>
      </w:pPr>
      <w:r>
        <w:rPr>
          <w:rFonts w:hint="eastAsia"/>
          <w:highlight w:val="none"/>
          <w:lang w:val="en-US" w:eastAsia="zh-CN"/>
        </w:rPr>
        <w:t>b）封场后，地下水监测系统应继续正常运行，监测频次至少每半年1次，直到地下水水质连续2年不超出地下水本底水平。</w:t>
      </w:r>
    </w:p>
    <w:p w14:paraId="368F779F">
      <w:pPr>
        <w:bidi w:val="0"/>
        <w:rPr>
          <w:rFonts w:hint="eastAsia"/>
          <w:highlight w:val="none"/>
          <w:lang w:val="en-US" w:eastAsia="zh-CN"/>
        </w:rPr>
      </w:pPr>
      <w:r>
        <w:rPr>
          <w:rFonts w:hint="eastAsia"/>
          <w:highlight w:val="none"/>
          <w:lang w:val="en-US" w:eastAsia="zh-CN"/>
        </w:rPr>
        <w:t>因此确定本项目封场后地下水监测频次：封场后监测频次至少每半年1次，直到地下水水质连续2年不超出地下水本底水平。</w:t>
      </w:r>
    </w:p>
    <w:p w14:paraId="79FA2A40">
      <w:pPr>
        <w:bidi w:val="0"/>
        <w:rPr>
          <w:rFonts w:hint="eastAsia"/>
          <w:highlight w:val="none"/>
          <w:lang w:val="en-US" w:eastAsia="zh-CN"/>
        </w:rPr>
      </w:pPr>
      <w:r>
        <w:rPr>
          <w:rFonts w:hint="eastAsia"/>
          <w:highlight w:val="none"/>
          <w:lang w:val="en-US" w:eastAsia="zh-CN"/>
        </w:rPr>
        <w:t>4）监测项目</w:t>
      </w:r>
    </w:p>
    <w:p w14:paraId="1735396F">
      <w:pPr>
        <w:bidi w:val="0"/>
        <w:rPr>
          <w:rFonts w:hint="eastAsia"/>
          <w:highlight w:val="none"/>
          <w:lang w:val="en-US" w:eastAsia="zh-CN"/>
        </w:rPr>
      </w:pPr>
      <w:r>
        <w:rPr>
          <w:rFonts w:hint="eastAsia"/>
          <w:highlight w:val="none"/>
          <w:lang w:val="en-US" w:eastAsia="zh-CN"/>
        </w:rPr>
        <w:t>参照《一般工业固体废物贮存和填埋污染控制标准》（GB 18599-2020）10.3.4地下水监测因子由企业根据贮存及填埋废物的特性提出，必须具有代表性且能表征固体废物特性。常规测定项目应至少包括：浑浊度、pH、溶解性总固体、氯化物、硝酸盐（以N计）、亚硝酸盐（以N计）。地下水监测因子分析方法按照GB/T 14848执行。</w:t>
      </w:r>
    </w:p>
    <w:p w14:paraId="0E7BC559">
      <w:pPr>
        <w:bidi w:val="0"/>
        <w:rPr>
          <w:rFonts w:hint="eastAsia"/>
          <w:highlight w:val="none"/>
          <w:lang w:val="en-US" w:eastAsia="zh-CN"/>
        </w:rPr>
      </w:pPr>
      <w:r>
        <w:rPr>
          <w:rFonts w:hint="eastAsia"/>
          <w:highlight w:val="none"/>
          <w:lang w:val="en-US" w:eastAsia="zh-CN"/>
        </w:rPr>
        <w:t>因此本项目封场后地下水监测项目为：水位、pH、铬、镍、铜、锌、砷、镉、铅、汞、六价铬、氰化物、浑浊度、溶解性总固体、氯化物、硝酸盐、亚硝酸盐等。</w:t>
      </w:r>
    </w:p>
    <w:p w14:paraId="67A4C686">
      <w:pPr>
        <w:bidi w:val="0"/>
        <w:ind w:left="0" w:leftChars="0" w:firstLine="0" w:firstLineChars="0"/>
        <w:jc w:val="center"/>
        <w:rPr>
          <w:rFonts w:hint="eastAsia"/>
          <w:b/>
          <w:bCs/>
          <w:sz w:val="21"/>
          <w:szCs w:val="21"/>
          <w:highlight w:val="none"/>
          <w:lang w:val="en-US" w:eastAsia="zh-CN"/>
        </w:rPr>
      </w:pPr>
      <w:r>
        <w:rPr>
          <w:rFonts w:hint="eastAsia"/>
          <w:b/>
          <w:bCs/>
          <w:sz w:val="21"/>
          <w:szCs w:val="21"/>
          <w:highlight w:val="none"/>
          <w:lang w:val="en-US" w:eastAsia="zh-CN"/>
        </w:rPr>
        <w:t>表7.2-2  监测井分布一览表</w:t>
      </w:r>
    </w:p>
    <w:tbl>
      <w:tblPr>
        <w:tblStyle w:val="35"/>
        <w:tblW w:w="5046"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0" w:type="dxa"/>
          <w:bottom w:w="0" w:type="dxa"/>
          <w:right w:w="0" w:type="dxa"/>
        </w:tblCellMar>
      </w:tblPr>
      <w:tblGrid>
        <w:gridCol w:w="731"/>
        <w:gridCol w:w="1815"/>
        <w:gridCol w:w="2140"/>
        <w:gridCol w:w="2759"/>
        <w:gridCol w:w="1741"/>
      </w:tblGrid>
      <w:tr w14:paraId="103619F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0" w:hRule="atLeast"/>
          <w:tblHeader/>
          <w:jc w:val="center"/>
        </w:trPr>
        <w:tc>
          <w:tcPr>
            <w:tcW w:w="398" w:type="pct"/>
            <w:noWrap w:val="0"/>
            <w:vAlign w:val="center"/>
          </w:tcPr>
          <w:p w14:paraId="50AE44D1">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b/>
                <w:bCs/>
                <w:sz w:val="21"/>
                <w:szCs w:val="21"/>
                <w:highlight w:val="none"/>
                <w:lang w:val="en-US" w:eastAsia="zh-CN"/>
              </w:rPr>
            </w:pPr>
            <w:r>
              <w:rPr>
                <w:rFonts w:hint="eastAsia"/>
                <w:b/>
                <w:bCs/>
                <w:sz w:val="21"/>
                <w:szCs w:val="21"/>
                <w:highlight w:val="none"/>
                <w:lang w:val="en-US" w:eastAsia="zh-CN"/>
              </w:rPr>
              <w:t>序号</w:t>
            </w:r>
          </w:p>
        </w:tc>
        <w:tc>
          <w:tcPr>
            <w:tcW w:w="987" w:type="pct"/>
            <w:noWrap w:val="0"/>
            <w:vAlign w:val="center"/>
          </w:tcPr>
          <w:p w14:paraId="1B8C86A2">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b/>
                <w:bCs/>
                <w:sz w:val="21"/>
                <w:szCs w:val="21"/>
                <w:highlight w:val="none"/>
                <w:lang w:val="en-US" w:eastAsia="zh-CN"/>
              </w:rPr>
            </w:pPr>
            <w:r>
              <w:rPr>
                <w:rFonts w:hint="eastAsia"/>
                <w:b/>
                <w:bCs/>
                <w:sz w:val="21"/>
                <w:szCs w:val="21"/>
                <w:highlight w:val="none"/>
                <w:lang w:val="en-US" w:eastAsia="zh-CN"/>
              </w:rPr>
              <w:t>监控井</w:t>
            </w:r>
          </w:p>
        </w:tc>
        <w:tc>
          <w:tcPr>
            <w:tcW w:w="1164" w:type="pct"/>
            <w:noWrap w:val="0"/>
            <w:vAlign w:val="center"/>
          </w:tcPr>
          <w:p w14:paraId="699693C6">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b/>
                <w:bCs/>
                <w:sz w:val="21"/>
                <w:szCs w:val="21"/>
                <w:highlight w:val="none"/>
                <w:lang w:val="en-US" w:eastAsia="zh-CN"/>
              </w:rPr>
            </w:pPr>
            <w:r>
              <w:rPr>
                <w:rFonts w:hint="eastAsia"/>
                <w:b/>
                <w:bCs/>
                <w:sz w:val="21"/>
                <w:szCs w:val="21"/>
                <w:highlight w:val="none"/>
                <w:lang w:val="en-US" w:eastAsia="zh-CN"/>
              </w:rPr>
              <w:t>要求</w:t>
            </w:r>
          </w:p>
        </w:tc>
        <w:tc>
          <w:tcPr>
            <w:tcW w:w="1501" w:type="pct"/>
            <w:noWrap w:val="0"/>
            <w:vAlign w:val="center"/>
          </w:tcPr>
          <w:p w14:paraId="7C7E9E2E">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b/>
                <w:bCs/>
                <w:sz w:val="21"/>
                <w:szCs w:val="21"/>
                <w:highlight w:val="none"/>
                <w:lang w:val="en-US" w:eastAsia="zh-CN"/>
              </w:rPr>
            </w:pPr>
            <w:r>
              <w:rPr>
                <w:rFonts w:hint="eastAsia"/>
                <w:b/>
                <w:bCs/>
                <w:sz w:val="21"/>
                <w:szCs w:val="21"/>
                <w:highlight w:val="none"/>
                <w:lang w:val="en-US" w:eastAsia="zh-CN"/>
              </w:rPr>
              <w:t>监测因子</w:t>
            </w:r>
          </w:p>
        </w:tc>
        <w:tc>
          <w:tcPr>
            <w:tcW w:w="947" w:type="pct"/>
            <w:noWrap w:val="0"/>
            <w:vAlign w:val="center"/>
          </w:tcPr>
          <w:p w14:paraId="39B1EBC5">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b/>
                <w:bCs/>
                <w:sz w:val="21"/>
                <w:szCs w:val="21"/>
                <w:highlight w:val="none"/>
                <w:lang w:val="en-US" w:eastAsia="zh-CN"/>
              </w:rPr>
            </w:pPr>
            <w:r>
              <w:rPr>
                <w:rFonts w:hint="eastAsia"/>
                <w:b/>
                <w:bCs/>
                <w:sz w:val="21"/>
                <w:szCs w:val="21"/>
                <w:highlight w:val="none"/>
                <w:lang w:val="en-US" w:eastAsia="zh-CN"/>
              </w:rPr>
              <w:t>备注</w:t>
            </w:r>
          </w:p>
        </w:tc>
      </w:tr>
      <w:tr w14:paraId="3B8057E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398" w:type="pct"/>
            <w:noWrap w:val="0"/>
            <w:vAlign w:val="center"/>
          </w:tcPr>
          <w:p w14:paraId="74B0846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1</w:t>
            </w:r>
          </w:p>
        </w:tc>
        <w:tc>
          <w:tcPr>
            <w:tcW w:w="987" w:type="pct"/>
            <w:noWrap w:val="0"/>
            <w:vAlign w:val="center"/>
          </w:tcPr>
          <w:p w14:paraId="41C0157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废渣填埋场上游</w:t>
            </w:r>
          </w:p>
        </w:tc>
        <w:tc>
          <w:tcPr>
            <w:tcW w:w="1164" w:type="pct"/>
            <w:vMerge w:val="restart"/>
            <w:noWrap w:val="0"/>
            <w:vAlign w:val="center"/>
          </w:tcPr>
          <w:p w14:paraId="714659F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封场后监测频次至少每半年1次，直到地下水水质连续2年不超出地下水本底水平</w:t>
            </w:r>
          </w:p>
        </w:tc>
        <w:tc>
          <w:tcPr>
            <w:tcW w:w="1501" w:type="pct"/>
            <w:vMerge w:val="restart"/>
            <w:noWrap w:val="0"/>
            <w:vAlign w:val="center"/>
          </w:tcPr>
          <w:p w14:paraId="432173A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水位、pH、铬、镍、铜、锌、砷、镉、铅、汞、六价铬、氰化物、浑浊度、溶解性总固体、氯化物、硝酸盐、亚硝酸盐等</w:t>
            </w:r>
          </w:p>
        </w:tc>
        <w:tc>
          <w:tcPr>
            <w:tcW w:w="947" w:type="pct"/>
            <w:vMerge w:val="restart"/>
            <w:noWrap w:val="0"/>
            <w:vAlign w:val="center"/>
          </w:tcPr>
          <w:p w14:paraId="6F07D40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如发生污水泄漏事故或发现地下水污染现象时，应随时增加采样频次。</w:t>
            </w:r>
          </w:p>
        </w:tc>
      </w:tr>
      <w:tr w14:paraId="2343887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398" w:type="pct"/>
            <w:noWrap w:val="0"/>
            <w:vAlign w:val="center"/>
          </w:tcPr>
          <w:p w14:paraId="26C3920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2</w:t>
            </w:r>
          </w:p>
        </w:tc>
        <w:tc>
          <w:tcPr>
            <w:tcW w:w="987" w:type="pct"/>
            <w:noWrap w:val="0"/>
            <w:vAlign w:val="center"/>
          </w:tcPr>
          <w:p w14:paraId="1D8690E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废渣填埋场侧面</w:t>
            </w:r>
          </w:p>
        </w:tc>
        <w:tc>
          <w:tcPr>
            <w:tcW w:w="1164" w:type="pct"/>
            <w:vMerge w:val="continue"/>
            <w:noWrap w:val="0"/>
            <w:vAlign w:val="center"/>
          </w:tcPr>
          <w:p w14:paraId="444506E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lang w:val="en-US" w:eastAsia="zh-CN"/>
              </w:rPr>
            </w:pPr>
          </w:p>
        </w:tc>
        <w:tc>
          <w:tcPr>
            <w:tcW w:w="1501" w:type="pct"/>
            <w:vMerge w:val="continue"/>
            <w:noWrap w:val="0"/>
            <w:vAlign w:val="center"/>
          </w:tcPr>
          <w:p w14:paraId="4D5640D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lang w:val="en-US" w:eastAsia="zh-CN"/>
              </w:rPr>
            </w:pPr>
          </w:p>
        </w:tc>
        <w:tc>
          <w:tcPr>
            <w:tcW w:w="947" w:type="pct"/>
            <w:vMerge w:val="continue"/>
            <w:noWrap w:val="0"/>
            <w:vAlign w:val="center"/>
          </w:tcPr>
          <w:p w14:paraId="4D7C018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lang w:val="en-US" w:eastAsia="zh-CN"/>
              </w:rPr>
            </w:pPr>
          </w:p>
        </w:tc>
      </w:tr>
      <w:tr w14:paraId="74EE1C5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398" w:type="pct"/>
            <w:noWrap w:val="0"/>
            <w:vAlign w:val="center"/>
          </w:tcPr>
          <w:p w14:paraId="2B870C6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3</w:t>
            </w:r>
          </w:p>
        </w:tc>
        <w:tc>
          <w:tcPr>
            <w:tcW w:w="987" w:type="pct"/>
            <w:noWrap w:val="0"/>
            <w:vAlign w:val="center"/>
          </w:tcPr>
          <w:p w14:paraId="4CB84E5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废渣填埋场侧面</w:t>
            </w:r>
          </w:p>
        </w:tc>
        <w:tc>
          <w:tcPr>
            <w:tcW w:w="1164" w:type="pct"/>
            <w:vMerge w:val="continue"/>
            <w:noWrap w:val="0"/>
            <w:vAlign w:val="center"/>
          </w:tcPr>
          <w:p w14:paraId="450CEBE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lang w:val="en-US" w:eastAsia="zh-CN"/>
              </w:rPr>
            </w:pPr>
          </w:p>
        </w:tc>
        <w:tc>
          <w:tcPr>
            <w:tcW w:w="1501" w:type="pct"/>
            <w:vMerge w:val="continue"/>
            <w:noWrap w:val="0"/>
            <w:vAlign w:val="center"/>
          </w:tcPr>
          <w:p w14:paraId="37A4FB3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lang w:val="en-US" w:eastAsia="zh-CN"/>
              </w:rPr>
            </w:pPr>
          </w:p>
        </w:tc>
        <w:tc>
          <w:tcPr>
            <w:tcW w:w="947" w:type="pct"/>
            <w:vMerge w:val="continue"/>
            <w:noWrap w:val="0"/>
            <w:vAlign w:val="center"/>
          </w:tcPr>
          <w:p w14:paraId="08893B7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lang w:val="en-US" w:eastAsia="zh-CN"/>
              </w:rPr>
            </w:pPr>
          </w:p>
        </w:tc>
      </w:tr>
      <w:tr w14:paraId="1DDBE4C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398" w:type="pct"/>
            <w:noWrap w:val="0"/>
            <w:vAlign w:val="center"/>
          </w:tcPr>
          <w:p w14:paraId="6929F24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4</w:t>
            </w:r>
          </w:p>
        </w:tc>
        <w:tc>
          <w:tcPr>
            <w:tcW w:w="987" w:type="pct"/>
            <w:noWrap w:val="0"/>
            <w:vAlign w:val="center"/>
          </w:tcPr>
          <w:p w14:paraId="3D807E6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废渣填埋场下游</w:t>
            </w:r>
          </w:p>
        </w:tc>
        <w:tc>
          <w:tcPr>
            <w:tcW w:w="1164" w:type="pct"/>
            <w:vMerge w:val="continue"/>
            <w:noWrap w:val="0"/>
            <w:vAlign w:val="center"/>
          </w:tcPr>
          <w:p w14:paraId="5AA5F3E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lang w:val="en-US" w:eastAsia="zh-CN"/>
              </w:rPr>
            </w:pPr>
          </w:p>
        </w:tc>
        <w:tc>
          <w:tcPr>
            <w:tcW w:w="1501" w:type="pct"/>
            <w:vMerge w:val="continue"/>
            <w:noWrap w:val="0"/>
            <w:vAlign w:val="center"/>
          </w:tcPr>
          <w:p w14:paraId="3DA6D58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lang w:val="en-US" w:eastAsia="zh-CN"/>
              </w:rPr>
            </w:pPr>
          </w:p>
        </w:tc>
        <w:tc>
          <w:tcPr>
            <w:tcW w:w="947" w:type="pct"/>
            <w:vMerge w:val="continue"/>
            <w:noWrap w:val="0"/>
            <w:vAlign w:val="center"/>
          </w:tcPr>
          <w:p w14:paraId="77B35FE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lang w:val="en-US" w:eastAsia="zh-CN"/>
              </w:rPr>
            </w:pPr>
          </w:p>
        </w:tc>
      </w:tr>
    </w:tbl>
    <w:p w14:paraId="1CEE3008">
      <w:pPr>
        <w:bidi w:val="0"/>
        <w:rPr>
          <w:rFonts w:hint="eastAsia"/>
          <w:b/>
          <w:bCs/>
          <w:highlight w:val="none"/>
          <w:lang w:val="en-US" w:eastAsia="zh-CN"/>
        </w:rPr>
      </w:pPr>
      <w:r>
        <w:rPr>
          <w:rFonts w:hint="eastAsia"/>
          <w:b/>
          <w:bCs/>
          <w:highlight w:val="none"/>
          <w:lang w:val="en-US" w:eastAsia="zh-CN"/>
        </w:rPr>
        <w:t>（3）监测数据管理</w:t>
      </w:r>
    </w:p>
    <w:p w14:paraId="5E7B79DF">
      <w:pPr>
        <w:bidi w:val="0"/>
        <w:rPr>
          <w:rFonts w:hint="eastAsia"/>
          <w:highlight w:val="none"/>
          <w:lang w:val="en-US" w:eastAsia="zh-CN"/>
        </w:rPr>
      </w:pPr>
      <w:r>
        <w:rPr>
          <w:rFonts w:hint="eastAsia"/>
          <w:highlight w:val="none"/>
          <w:lang w:val="en-US" w:eastAsia="zh-CN"/>
        </w:rPr>
        <w:t>项目建成后，应重视生态环境保护工作，从事环境管理的机构应配备专职环保人员，负责环境监督管理工作，同时要加强对管理人员的环保培训，不断提高管理水平。</w:t>
      </w:r>
    </w:p>
    <w:p w14:paraId="58E7BBB5">
      <w:pPr>
        <w:bidi w:val="0"/>
        <w:rPr>
          <w:rFonts w:hint="eastAsia"/>
          <w:highlight w:val="none"/>
          <w:lang w:val="en-US" w:eastAsia="zh-CN"/>
        </w:rPr>
      </w:pPr>
      <w:r>
        <w:rPr>
          <w:rFonts w:hint="eastAsia"/>
          <w:highlight w:val="none"/>
          <w:lang w:val="en-US" w:eastAsia="zh-CN"/>
        </w:rPr>
        <w:t>对监测结果应按一般固废填埋场有关规定及时建立档案，并抄送生态环境行政主管部门，对于常规检测数据应该进行公开，特别是对填埋场所在区域的居民公开，满足法律中关于知情权的要求。发现污染和水质恶化时，要及时进行处理，开展系统调查，并上报有关部门。</w:t>
      </w:r>
    </w:p>
    <w:p w14:paraId="530E852A">
      <w:pPr>
        <w:bidi w:val="0"/>
        <w:rPr>
          <w:rFonts w:hint="eastAsia"/>
          <w:b/>
          <w:bCs/>
          <w:highlight w:val="none"/>
          <w:lang w:val="en-US" w:eastAsia="zh-CN"/>
        </w:rPr>
      </w:pPr>
      <w:r>
        <w:rPr>
          <w:rFonts w:hint="eastAsia"/>
          <w:b/>
          <w:bCs/>
          <w:highlight w:val="none"/>
          <w:lang w:val="en-US" w:eastAsia="zh-CN"/>
        </w:rPr>
        <w:t>（4）跟踪监测与信息公开计划</w:t>
      </w:r>
    </w:p>
    <w:p w14:paraId="5A6546E8">
      <w:pPr>
        <w:bidi w:val="0"/>
        <w:rPr>
          <w:rFonts w:hint="eastAsia"/>
          <w:highlight w:val="none"/>
          <w:lang w:val="en-US" w:eastAsia="zh-CN"/>
        </w:rPr>
      </w:pPr>
      <w:r>
        <w:rPr>
          <w:rFonts w:hint="eastAsia"/>
          <w:highlight w:val="none"/>
          <w:lang w:val="en-US" w:eastAsia="zh-CN"/>
        </w:rPr>
        <w:t>落实跟踪监测报告编制的责任主体，明确地下水环境跟踪监测报告的内容，一般应包括：</w:t>
      </w:r>
    </w:p>
    <w:p w14:paraId="2B20E194">
      <w:pPr>
        <w:bidi w:val="0"/>
        <w:rPr>
          <w:rFonts w:hint="eastAsia"/>
          <w:highlight w:val="none"/>
          <w:lang w:val="en-US" w:eastAsia="zh-CN"/>
        </w:rPr>
      </w:pPr>
      <w:r>
        <w:rPr>
          <w:rFonts w:hint="eastAsia"/>
          <w:highlight w:val="none"/>
          <w:lang w:val="en-US" w:eastAsia="zh-CN"/>
        </w:rPr>
        <w:t>①厂区所在场地及其影响区地下水环境跟踪监测数据，排放污染物的种类、数量、浓度。</w:t>
      </w:r>
    </w:p>
    <w:p w14:paraId="776225DA">
      <w:pPr>
        <w:bidi w:val="0"/>
        <w:rPr>
          <w:rFonts w:hint="eastAsia"/>
          <w:highlight w:val="none"/>
          <w:lang w:val="en-US" w:eastAsia="zh-CN"/>
        </w:rPr>
      </w:pPr>
      <w:r>
        <w:rPr>
          <w:rFonts w:hint="eastAsia"/>
          <w:highlight w:val="none"/>
          <w:lang w:val="en-US" w:eastAsia="zh-CN"/>
        </w:rPr>
        <w:t>②生产设备、管廊或管线、贮存与运输装置、污染物贮存与处理装置、事故应急装置等设施的运行状况、跑冒滴漏记录、维护记录。</w:t>
      </w:r>
    </w:p>
    <w:p w14:paraId="700345F3">
      <w:pPr>
        <w:bidi w:val="0"/>
        <w:rPr>
          <w:rFonts w:hint="eastAsia"/>
          <w:highlight w:val="none"/>
          <w:lang w:val="en-US" w:eastAsia="zh-CN"/>
        </w:rPr>
      </w:pPr>
      <w:r>
        <w:rPr>
          <w:rFonts w:hint="eastAsia"/>
          <w:highlight w:val="none"/>
          <w:lang w:val="en-US" w:eastAsia="zh-CN"/>
        </w:rPr>
        <w:t>③信息公开计划应至少包括特征因子的地下水环境检测值。</w:t>
      </w:r>
    </w:p>
    <w:p w14:paraId="59E89E6E">
      <w:pPr>
        <w:pStyle w:val="10"/>
        <w:numPr>
          <w:ilvl w:val="3"/>
          <w:numId w:val="1"/>
        </w:numPr>
        <w:bidi w:val="0"/>
        <w:ind w:left="850" w:leftChars="0" w:hanging="850" w:firstLineChars="0"/>
        <w:rPr>
          <w:rFonts w:hint="eastAsia"/>
          <w:highlight w:val="none"/>
          <w:lang w:val="en-US" w:eastAsia="zh-CN"/>
        </w:rPr>
      </w:pPr>
      <w:r>
        <w:rPr>
          <w:rFonts w:hint="eastAsia"/>
          <w:highlight w:val="none"/>
          <w:lang w:val="en-US" w:eastAsia="zh-CN"/>
        </w:rPr>
        <w:t>应急响应</w:t>
      </w:r>
    </w:p>
    <w:p w14:paraId="5CE3CE14">
      <w:pPr>
        <w:bidi w:val="0"/>
        <w:rPr>
          <w:rFonts w:hint="eastAsia"/>
          <w:highlight w:val="none"/>
          <w:lang w:val="en-US" w:eastAsia="zh-CN"/>
        </w:rPr>
      </w:pPr>
      <w:r>
        <w:rPr>
          <w:rFonts w:hint="eastAsia"/>
          <w:highlight w:val="none"/>
          <w:lang w:val="en-US" w:eastAsia="zh-CN"/>
        </w:rPr>
        <w:t>（1）污染应急预案</w:t>
      </w:r>
    </w:p>
    <w:p w14:paraId="66416831">
      <w:pPr>
        <w:bidi w:val="0"/>
        <w:rPr>
          <w:rFonts w:hint="eastAsia"/>
          <w:highlight w:val="none"/>
          <w:lang w:val="en-US" w:eastAsia="zh-CN"/>
        </w:rPr>
      </w:pPr>
      <w:r>
        <w:rPr>
          <w:rFonts w:hint="eastAsia"/>
          <w:highlight w:val="none"/>
          <w:lang w:val="en-US" w:eastAsia="zh-CN"/>
        </w:rPr>
        <w:t>项目应制定地下水污染应急预案，并在发现废渣填埋场地下水受到污染时立刻启动应急预案，采取应急措施阻止污染进一步扩散，防止周边居民人体健康及生态环境受到影响。</w:t>
      </w:r>
    </w:p>
    <w:p w14:paraId="736C9BD0">
      <w:pPr>
        <w:bidi w:val="0"/>
        <w:rPr>
          <w:rFonts w:hint="eastAsia"/>
          <w:highlight w:val="none"/>
          <w:lang w:val="en-US" w:eastAsia="zh-CN"/>
        </w:rPr>
      </w:pPr>
      <w:r>
        <w:rPr>
          <w:rFonts w:hint="eastAsia"/>
          <w:highlight w:val="none"/>
          <w:lang w:val="en-US" w:eastAsia="zh-CN"/>
        </w:rPr>
        <w:t>地下水污染应急预案应包括下列要点：</w:t>
      </w:r>
    </w:p>
    <w:p w14:paraId="69C24E7E">
      <w:pPr>
        <w:bidi w:val="0"/>
        <w:rPr>
          <w:rFonts w:hint="eastAsia"/>
          <w:highlight w:val="none"/>
          <w:lang w:val="en-US" w:eastAsia="zh-CN"/>
        </w:rPr>
      </w:pPr>
      <w:r>
        <w:rPr>
          <w:rFonts w:hint="eastAsia"/>
          <w:highlight w:val="none"/>
          <w:lang w:val="en-US" w:eastAsia="zh-CN"/>
        </w:rPr>
        <w:t>如发现地下水污染事故，应立即向生态环境部门及行政管理部门报告，调查并确认污染源位置；采取有效措施及时阻断确认的污染源，防止污染物继续渗漏到地下，导致土壤和地下水污染范围扩大；立即对重污染区域采取有效的修复措施，包括开挖并移走重污染土壤作危险废物处置，对重污染区的地下水抽出并送到事故应急池中，防止污染物在地下继续扩散；对厂区及周边区域的地下水敏感点进行取样监测，确定水质是否受到影响。如果水质受到影响，应及时通知相关方并立即停用受影响的地下水。</w:t>
      </w:r>
    </w:p>
    <w:p w14:paraId="4C6E4E60">
      <w:pPr>
        <w:bidi w:val="0"/>
        <w:rPr>
          <w:rFonts w:hint="eastAsia"/>
          <w:highlight w:val="none"/>
          <w:lang w:val="en-US" w:eastAsia="zh-CN"/>
        </w:rPr>
      </w:pPr>
      <w:r>
        <w:rPr>
          <w:rFonts w:hint="eastAsia"/>
          <w:highlight w:val="none"/>
          <w:lang w:val="en-US" w:eastAsia="zh-CN"/>
        </w:rPr>
        <w:t>（2）污染应急措施</w:t>
      </w:r>
    </w:p>
    <w:p w14:paraId="161CCB3B">
      <w:pPr>
        <w:bidi w:val="0"/>
        <w:rPr>
          <w:rFonts w:hint="eastAsia"/>
          <w:highlight w:val="none"/>
          <w:lang w:val="en-US" w:eastAsia="zh-CN"/>
        </w:rPr>
      </w:pPr>
      <w:r>
        <w:rPr>
          <w:rFonts w:hint="eastAsia"/>
          <w:highlight w:val="none"/>
          <w:lang w:val="en-US" w:eastAsia="zh-CN"/>
        </w:rPr>
        <w:t>如发现渗漏应立即将污水转移到事故应急池或其它备用水池，将该水池清空后找出泄漏点并尽快修复。待渗漏点修补好后再将污水转移回污水处理池进行处理。项目区具体地下水污染应急预案可参考下表</w:t>
      </w:r>
    </w:p>
    <w:p w14:paraId="0885F230">
      <w:pPr>
        <w:bidi w:val="0"/>
        <w:ind w:left="0" w:leftChars="0" w:firstLine="0" w:firstLineChars="0"/>
        <w:jc w:val="center"/>
        <w:rPr>
          <w:rFonts w:hint="eastAsia"/>
          <w:b/>
          <w:bCs/>
          <w:sz w:val="21"/>
          <w:szCs w:val="21"/>
          <w:highlight w:val="none"/>
          <w:lang w:val="en-US" w:eastAsia="zh-CN"/>
        </w:rPr>
      </w:pPr>
      <w:r>
        <w:rPr>
          <w:rFonts w:hint="eastAsia"/>
          <w:b/>
          <w:bCs/>
          <w:sz w:val="21"/>
          <w:szCs w:val="21"/>
          <w:highlight w:val="none"/>
          <w:lang w:val="en-US" w:eastAsia="zh-CN"/>
        </w:rPr>
        <w:t>表7.2-3  地下水污染应急预案内容</w:t>
      </w:r>
    </w:p>
    <w:tbl>
      <w:tblPr>
        <w:tblStyle w:val="35"/>
        <w:tblW w:w="5046" w:type="pct"/>
        <w:jc w:val="center"/>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Layout w:type="autofit"/>
        <w:tblCellMar>
          <w:top w:w="0" w:type="dxa"/>
          <w:left w:w="0" w:type="dxa"/>
          <w:bottom w:w="0" w:type="dxa"/>
          <w:right w:w="0" w:type="dxa"/>
        </w:tblCellMar>
      </w:tblPr>
      <w:tblGrid>
        <w:gridCol w:w="687"/>
        <w:gridCol w:w="3258"/>
        <w:gridCol w:w="5241"/>
      </w:tblGrid>
      <w:tr w14:paraId="685CBC0A">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0" w:hRule="atLeast"/>
          <w:tblHeader/>
          <w:jc w:val="center"/>
        </w:trPr>
        <w:tc>
          <w:tcPr>
            <w:tcW w:w="374" w:type="pct"/>
            <w:noWrap w:val="0"/>
            <w:vAlign w:val="center"/>
          </w:tcPr>
          <w:p w14:paraId="0D1F4A55">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b/>
                <w:bCs/>
                <w:sz w:val="21"/>
                <w:szCs w:val="21"/>
                <w:highlight w:val="none"/>
                <w:lang w:val="en-US" w:eastAsia="zh-CN"/>
              </w:rPr>
            </w:pPr>
            <w:r>
              <w:rPr>
                <w:rFonts w:hint="eastAsia"/>
                <w:b/>
                <w:bCs/>
                <w:sz w:val="21"/>
                <w:szCs w:val="21"/>
                <w:highlight w:val="none"/>
                <w:lang w:val="en-US" w:eastAsia="zh-CN"/>
              </w:rPr>
              <w:t>序号</w:t>
            </w:r>
          </w:p>
        </w:tc>
        <w:tc>
          <w:tcPr>
            <w:tcW w:w="1773" w:type="pct"/>
            <w:noWrap w:val="0"/>
            <w:vAlign w:val="center"/>
          </w:tcPr>
          <w:p w14:paraId="4855BEC4">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b/>
                <w:bCs/>
                <w:sz w:val="21"/>
                <w:szCs w:val="21"/>
                <w:highlight w:val="none"/>
                <w:lang w:val="en-US" w:eastAsia="zh-CN"/>
              </w:rPr>
            </w:pPr>
            <w:r>
              <w:rPr>
                <w:rFonts w:hint="eastAsia"/>
                <w:b/>
                <w:bCs/>
                <w:sz w:val="21"/>
                <w:szCs w:val="21"/>
                <w:highlight w:val="none"/>
                <w:lang w:val="en-US" w:eastAsia="zh-CN"/>
              </w:rPr>
              <w:t>项目</w:t>
            </w:r>
          </w:p>
        </w:tc>
        <w:tc>
          <w:tcPr>
            <w:tcW w:w="2852" w:type="pct"/>
            <w:noWrap w:val="0"/>
            <w:vAlign w:val="center"/>
          </w:tcPr>
          <w:p w14:paraId="572E97C7">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b/>
                <w:bCs/>
                <w:sz w:val="21"/>
                <w:szCs w:val="21"/>
                <w:highlight w:val="none"/>
                <w:lang w:val="en-US" w:eastAsia="zh-CN"/>
              </w:rPr>
            </w:pPr>
            <w:r>
              <w:rPr>
                <w:rFonts w:hint="eastAsia"/>
                <w:b/>
                <w:bCs/>
                <w:sz w:val="21"/>
                <w:szCs w:val="21"/>
                <w:highlight w:val="none"/>
                <w:lang w:val="en-US" w:eastAsia="zh-CN"/>
              </w:rPr>
              <w:t>内容及要求</w:t>
            </w:r>
          </w:p>
        </w:tc>
      </w:tr>
      <w:tr w14:paraId="4054D963">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374" w:type="pct"/>
            <w:noWrap w:val="0"/>
            <w:vAlign w:val="center"/>
          </w:tcPr>
          <w:p w14:paraId="43945D92">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1</w:t>
            </w:r>
          </w:p>
        </w:tc>
        <w:tc>
          <w:tcPr>
            <w:tcW w:w="1773" w:type="pct"/>
            <w:noWrap w:val="0"/>
            <w:vAlign w:val="center"/>
          </w:tcPr>
          <w:p w14:paraId="450BC3EF">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总则</w:t>
            </w:r>
          </w:p>
        </w:tc>
        <w:tc>
          <w:tcPr>
            <w:tcW w:w="2852" w:type="pct"/>
            <w:noWrap w:val="0"/>
            <w:vAlign w:val="center"/>
          </w:tcPr>
          <w:p w14:paraId="36997422">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《环境影响评价技术导则  地下水环境》（HJ610-2016）</w:t>
            </w:r>
          </w:p>
        </w:tc>
      </w:tr>
      <w:tr w14:paraId="28B08062">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374" w:type="pct"/>
            <w:noWrap w:val="0"/>
            <w:vAlign w:val="center"/>
          </w:tcPr>
          <w:p w14:paraId="58746851">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2</w:t>
            </w:r>
          </w:p>
        </w:tc>
        <w:tc>
          <w:tcPr>
            <w:tcW w:w="1773" w:type="pct"/>
            <w:noWrap w:val="0"/>
            <w:vAlign w:val="center"/>
          </w:tcPr>
          <w:p w14:paraId="21DF7F60">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污染源概况</w:t>
            </w:r>
          </w:p>
        </w:tc>
        <w:tc>
          <w:tcPr>
            <w:tcW w:w="2852" w:type="pct"/>
            <w:noWrap w:val="0"/>
            <w:vAlign w:val="center"/>
          </w:tcPr>
          <w:p w14:paraId="5C8F9090">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详述污染源类型、数量及其分布</w:t>
            </w:r>
          </w:p>
        </w:tc>
      </w:tr>
      <w:tr w14:paraId="71D7CFA2">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374" w:type="pct"/>
            <w:noWrap w:val="0"/>
            <w:vAlign w:val="center"/>
          </w:tcPr>
          <w:p w14:paraId="2E2C5CF1">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3</w:t>
            </w:r>
          </w:p>
        </w:tc>
        <w:tc>
          <w:tcPr>
            <w:tcW w:w="1773" w:type="pct"/>
            <w:noWrap w:val="0"/>
            <w:vAlign w:val="center"/>
          </w:tcPr>
          <w:p w14:paraId="69BB99A8">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应急计划区</w:t>
            </w:r>
          </w:p>
        </w:tc>
        <w:tc>
          <w:tcPr>
            <w:tcW w:w="2852" w:type="pct"/>
            <w:noWrap w:val="0"/>
            <w:vAlign w:val="center"/>
          </w:tcPr>
          <w:p w14:paraId="2593EE21">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列出危险目标，环境保护目标，在总图中标明位置</w:t>
            </w:r>
          </w:p>
        </w:tc>
      </w:tr>
      <w:tr w14:paraId="42289166">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374" w:type="pct"/>
            <w:noWrap w:val="0"/>
            <w:vAlign w:val="center"/>
          </w:tcPr>
          <w:p w14:paraId="794E2970">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4</w:t>
            </w:r>
          </w:p>
        </w:tc>
        <w:tc>
          <w:tcPr>
            <w:tcW w:w="1773" w:type="pct"/>
            <w:noWrap w:val="0"/>
            <w:vAlign w:val="center"/>
          </w:tcPr>
          <w:p w14:paraId="4DEB1533">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应急组织</w:t>
            </w:r>
          </w:p>
        </w:tc>
        <w:tc>
          <w:tcPr>
            <w:tcW w:w="2852" w:type="pct"/>
            <w:noWrap w:val="0"/>
            <w:vAlign w:val="center"/>
          </w:tcPr>
          <w:p w14:paraId="6B2751C4">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应急指挥部：负责现场全面指挥；</w:t>
            </w:r>
          </w:p>
          <w:p w14:paraId="4848C0EA">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专业救援队伍：负责事故控制、救援、善后处理。</w:t>
            </w:r>
          </w:p>
        </w:tc>
      </w:tr>
      <w:tr w14:paraId="2796C3A3">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374" w:type="pct"/>
            <w:noWrap w:val="0"/>
            <w:vAlign w:val="center"/>
          </w:tcPr>
          <w:p w14:paraId="75B98DF5">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5</w:t>
            </w:r>
          </w:p>
        </w:tc>
        <w:tc>
          <w:tcPr>
            <w:tcW w:w="1773" w:type="pct"/>
            <w:noWrap w:val="0"/>
            <w:vAlign w:val="center"/>
          </w:tcPr>
          <w:p w14:paraId="02AD2186">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应急状态分类及应急响应程序</w:t>
            </w:r>
          </w:p>
        </w:tc>
        <w:tc>
          <w:tcPr>
            <w:tcW w:w="2852" w:type="pct"/>
            <w:noWrap w:val="0"/>
            <w:vAlign w:val="center"/>
          </w:tcPr>
          <w:p w14:paraId="5EEB8C4F">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规定地下水污染事故的级别及相应的应急分类响应程序</w:t>
            </w:r>
          </w:p>
        </w:tc>
      </w:tr>
      <w:tr w14:paraId="30914F7F">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374" w:type="pct"/>
            <w:noWrap w:val="0"/>
            <w:vAlign w:val="center"/>
          </w:tcPr>
          <w:p w14:paraId="323D3B1C">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6</w:t>
            </w:r>
          </w:p>
        </w:tc>
        <w:tc>
          <w:tcPr>
            <w:tcW w:w="1773" w:type="pct"/>
            <w:noWrap w:val="0"/>
            <w:vAlign w:val="center"/>
          </w:tcPr>
          <w:p w14:paraId="563AD5AE">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应急设施、设备与材料</w:t>
            </w:r>
          </w:p>
        </w:tc>
        <w:tc>
          <w:tcPr>
            <w:tcW w:w="2852" w:type="pct"/>
            <w:noWrap w:val="0"/>
            <w:vAlign w:val="center"/>
          </w:tcPr>
          <w:p w14:paraId="3DE86721">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防止有毒有害物质外溢、扩散的应急设施、设备与材料</w:t>
            </w:r>
          </w:p>
        </w:tc>
      </w:tr>
      <w:tr w14:paraId="24DE40B3">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374" w:type="pct"/>
            <w:noWrap w:val="0"/>
            <w:vAlign w:val="center"/>
          </w:tcPr>
          <w:p w14:paraId="21FD52A6">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7</w:t>
            </w:r>
          </w:p>
        </w:tc>
        <w:tc>
          <w:tcPr>
            <w:tcW w:w="1773" w:type="pct"/>
            <w:noWrap w:val="0"/>
            <w:vAlign w:val="center"/>
          </w:tcPr>
          <w:p w14:paraId="7D0A2411">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应急通讯、通讯和交通</w:t>
            </w:r>
          </w:p>
        </w:tc>
        <w:tc>
          <w:tcPr>
            <w:tcW w:w="2852" w:type="pct"/>
            <w:noWrap w:val="0"/>
            <w:vAlign w:val="center"/>
          </w:tcPr>
          <w:p w14:paraId="6708BEE5">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规定应急状态下的通讯方式、通知方式和交通保障、管制</w:t>
            </w:r>
          </w:p>
        </w:tc>
      </w:tr>
      <w:tr w14:paraId="55CC5D49">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374" w:type="pct"/>
            <w:noWrap w:val="0"/>
            <w:vAlign w:val="center"/>
          </w:tcPr>
          <w:p w14:paraId="1B1BCF32">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8</w:t>
            </w:r>
          </w:p>
        </w:tc>
        <w:tc>
          <w:tcPr>
            <w:tcW w:w="1773" w:type="pct"/>
            <w:noWrap w:val="0"/>
            <w:vAlign w:val="center"/>
          </w:tcPr>
          <w:p w14:paraId="6A15FE05">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应急环境监测及事故后评估</w:t>
            </w:r>
          </w:p>
        </w:tc>
        <w:tc>
          <w:tcPr>
            <w:tcW w:w="2852" w:type="pct"/>
            <w:noWrap w:val="0"/>
            <w:vAlign w:val="center"/>
          </w:tcPr>
          <w:p w14:paraId="3A4D330C">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由环境监测站进行现场地下水环境进行监测；对事故性质与后果进行评估，为指挥部门提供决策依据。</w:t>
            </w:r>
          </w:p>
        </w:tc>
      </w:tr>
      <w:tr w14:paraId="5704AAFE">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374" w:type="pct"/>
            <w:noWrap w:val="0"/>
            <w:vAlign w:val="center"/>
          </w:tcPr>
          <w:p w14:paraId="14F4F62E">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9</w:t>
            </w:r>
          </w:p>
        </w:tc>
        <w:tc>
          <w:tcPr>
            <w:tcW w:w="1773" w:type="pct"/>
            <w:noWrap w:val="0"/>
            <w:vAlign w:val="center"/>
          </w:tcPr>
          <w:p w14:paraId="65D203F3">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应急防护措施、清除泄漏措施方法和器材</w:t>
            </w:r>
          </w:p>
        </w:tc>
        <w:tc>
          <w:tcPr>
            <w:tcW w:w="2852" w:type="pct"/>
            <w:noWrap w:val="0"/>
            <w:vAlign w:val="center"/>
          </w:tcPr>
          <w:p w14:paraId="0E2682AD">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事故现场：控制事故、防止扩大、蔓延及链锁反应，清除现场泄漏物，降低危害，相应的设施器材配备；</w:t>
            </w:r>
          </w:p>
          <w:p w14:paraId="6EFF148F">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邻近区域：控制污染区域，控制和清除污染措施及相应设备配备。</w:t>
            </w:r>
          </w:p>
        </w:tc>
      </w:tr>
      <w:tr w14:paraId="0A223B72">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374" w:type="pct"/>
            <w:noWrap w:val="0"/>
            <w:vAlign w:val="center"/>
          </w:tcPr>
          <w:p w14:paraId="2FF81A8B">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10</w:t>
            </w:r>
          </w:p>
        </w:tc>
        <w:tc>
          <w:tcPr>
            <w:tcW w:w="1773" w:type="pct"/>
            <w:noWrap w:val="0"/>
            <w:vAlign w:val="center"/>
          </w:tcPr>
          <w:p w14:paraId="178B58DA">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应急浓度、排放量控制、撤离组织计划、医疗救护与公众健康</w:t>
            </w:r>
          </w:p>
        </w:tc>
        <w:tc>
          <w:tcPr>
            <w:tcW w:w="2852" w:type="pct"/>
            <w:noWrap w:val="0"/>
            <w:vAlign w:val="center"/>
          </w:tcPr>
          <w:p w14:paraId="34562FA6">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事故现场：事故处理人员制定污染物的应急控制浓度、排放量，现场及邻近装置人员撤离组织计划及救护；</w:t>
            </w:r>
          </w:p>
          <w:p w14:paraId="3448D33A">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环境敏感目标：受事故影响的邻近区域人员及公众对污染物应急控制浓度、排放量规定，撤离组织计划及救护。</w:t>
            </w:r>
          </w:p>
        </w:tc>
      </w:tr>
      <w:tr w14:paraId="02A8B15E">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374" w:type="pct"/>
            <w:noWrap w:val="0"/>
            <w:vAlign w:val="center"/>
          </w:tcPr>
          <w:p w14:paraId="70998065">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11</w:t>
            </w:r>
          </w:p>
        </w:tc>
        <w:tc>
          <w:tcPr>
            <w:tcW w:w="1773" w:type="pct"/>
            <w:noWrap w:val="0"/>
            <w:vAlign w:val="center"/>
          </w:tcPr>
          <w:p w14:paraId="51179CEB">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应急状态终止与恢复措施</w:t>
            </w:r>
          </w:p>
        </w:tc>
        <w:tc>
          <w:tcPr>
            <w:tcW w:w="2852" w:type="pct"/>
            <w:noWrap w:val="0"/>
            <w:vAlign w:val="center"/>
          </w:tcPr>
          <w:p w14:paraId="7A5A658C">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规定应急状态终止程序；事故现场善后处理，恢复措施；邻近区域解除事故警戒及善后恢复措施。</w:t>
            </w:r>
          </w:p>
        </w:tc>
      </w:tr>
      <w:tr w14:paraId="4830AB70">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374" w:type="pct"/>
            <w:noWrap w:val="0"/>
            <w:vAlign w:val="center"/>
          </w:tcPr>
          <w:p w14:paraId="08E33FF0">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12</w:t>
            </w:r>
          </w:p>
        </w:tc>
        <w:tc>
          <w:tcPr>
            <w:tcW w:w="1773" w:type="pct"/>
            <w:noWrap w:val="0"/>
            <w:vAlign w:val="center"/>
          </w:tcPr>
          <w:p w14:paraId="5F01612D">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人员培训与演练</w:t>
            </w:r>
          </w:p>
        </w:tc>
        <w:tc>
          <w:tcPr>
            <w:tcW w:w="2852" w:type="pct"/>
            <w:noWrap w:val="0"/>
            <w:vAlign w:val="center"/>
          </w:tcPr>
          <w:p w14:paraId="315CF735">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应急计划制定后，平时安排人员培训与演练。</w:t>
            </w:r>
          </w:p>
        </w:tc>
      </w:tr>
      <w:tr w14:paraId="5AA19531">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374" w:type="pct"/>
            <w:noWrap w:val="0"/>
            <w:vAlign w:val="center"/>
          </w:tcPr>
          <w:p w14:paraId="0D1D93B7">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13</w:t>
            </w:r>
          </w:p>
        </w:tc>
        <w:tc>
          <w:tcPr>
            <w:tcW w:w="1773" w:type="pct"/>
            <w:noWrap w:val="0"/>
            <w:vAlign w:val="center"/>
          </w:tcPr>
          <w:p w14:paraId="215E4DC7">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公众教育和信息</w:t>
            </w:r>
          </w:p>
        </w:tc>
        <w:tc>
          <w:tcPr>
            <w:tcW w:w="2852" w:type="pct"/>
            <w:noWrap w:val="0"/>
            <w:vAlign w:val="center"/>
          </w:tcPr>
          <w:p w14:paraId="01838C1E">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对邻近地区开展公众教育、培训和发布有关信息</w:t>
            </w:r>
          </w:p>
        </w:tc>
      </w:tr>
      <w:tr w14:paraId="2F1D5012">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374" w:type="pct"/>
            <w:noWrap w:val="0"/>
            <w:vAlign w:val="center"/>
          </w:tcPr>
          <w:p w14:paraId="785B106D">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14</w:t>
            </w:r>
          </w:p>
        </w:tc>
        <w:tc>
          <w:tcPr>
            <w:tcW w:w="1773" w:type="pct"/>
            <w:noWrap w:val="0"/>
            <w:vAlign w:val="center"/>
          </w:tcPr>
          <w:p w14:paraId="54795564">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记录和报告</w:t>
            </w:r>
          </w:p>
        </w:tc>
        <w:tc>
          <w:tcPr>
            <w:tcW w:w="2852" w:type="pct"/>
            <w:noWrap w:val="0"/>
            <w:vAlign w:val="center"/>
          </w:tcPr>
          <w:p w14:paraId="6A049140">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设置应急事故专门记录，建档案和专门报告制度，设专门部门和负责管理。</w:t>
            </w:r>
          </w:p>
        </w:tc>
      </w:tr>
      <w:tr w14:paraId="1291C808">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374" w:type="pct"/>
            <w:noWrap w:val="0"/>
            <w:vAlign w:val="center"/>
          </w:tcPr>
          <w:p w14:paraId="0E835731">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15</w:t>
            </w:r>
          </w:p>
        </w:tc>
        <w:tc>
          <w:tcPr>
            <w:tcW w:w="1773" w:type="pct"/>
            <w:noWrap w:val="0"/>
            <w:vAlign w:val="center"/>
          </w:tcPr>
          <w:p w14:paraId="275D0C49">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附件</w:t>
            </w:r>
          </w:p>
        </w:tc>
        <w:tc>
          <w:tcPr>
            <w:tcW w:w="2852" w:type="pct"/>
            <w:noWrap w:val="0"/>
            <w:vAlign w:val="center"/>
          </w:tcPr>
          <w:p w14:paraId="6E970389">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与应急事故有关的多种附件材料的准备和形成</w:t>
            </w:r>
          </w:p>
        </w:tc>
      </w:tr>
    </w:tbl>
    <w:p w14:paraId="0F373FD5">
      <w:pPr>
        <w:pStyle w:val="9"/>
        <w:numPr>
          <w:ilvl w:val="2"/>
          <w:numId w:val="1"/>
        </w:numPr>
        <w:bidi w:val="0"/>
        <w:ind w:left="709" w:leftChars="0" w:hanging="709" w:firstLineChars="0"/>
        <w:rPr>
          <w:rFonts w:hint="eastAsia"/>
          <w:highlight w:val="none"/>
          <w:lang w:val="en-US" w:eastAsia="zh-CN"/>
        </w:rPr>
      </w:pPr>
      <w:r>
        <w:rPr>
          <w:rFonts w:hint="eastAsia"/>
          <w:highlight w:val="none"/>
          <w:lang w:val="en-US" w:eastAsia="zh-CN"/>
        </w:rPr>
        <w:t>土壤污染防治措施</w:t>
      </w:r>
    </w:p>
    <w:p w14:paraId="5CAC82CF">
      <w:pPr>
        <w:bidi w:val="0"/>
        <w:rPr>
          <w:rFonts w:hint="eastAsia"/>
          <w:highlight w:val="none"/>
          <w:lang w:val="en-US" w:eastAsia="zh-CN"/>
        </w:rPr>
      </w:pPr>
      <w:r>
        <w:rPr>
          <w:rFonts w:hint="eastAsia"/>
          <w:highlight w:val="none"/>
          <w:lang w:val="en-US" w:eastAsia="zh-CN"/>
        </w:rPr>
        <w:t>本项目设填埋场对历史遗留的废渣进行收集填埋处理，填埋场按照《一般工业固体废物贮存和填埋污染控制标准》（GB18599-2020）设计，将采用双层土工布夹HDPE土工膜的复合衬垫层防渗处理；渗滤液收集池池体采用防渗水泥构筑钢筋混凝土结构，池内部采用防腐处理；填埋场产生的渗滤液经渗滤液收集池收集，经一体化污水处理设备处理后，采用防腐、防漏的罐车集中清运至湖南黄金天岳矿业有限公司垂拱洞尾矿库废水处理站进行处理。项目为重金属治理项目，将废渣清理后进行填埋处置，可降低废渣重金属析出，控制污染扩散途径，可减少对周边土壤重金属的污染。</w:t>
      </w:r>
    </w:p>
    <w:p w14:paraId="04B41305">
      <w:pPr>
        <w:pStyle w:val="9"/>
        <w:numPr>
          <w:ilvl w:val="2"/>
          <w:numId w:val="1"/>
        </w:numPr>
        <w:bidi w:val="0"/>
        <w:ind w:left="709" w:leftChars="0" w:hanging="709" w:firstLineChars="0"/>
        <w:rPr>
          <w:rFonts w:hint="default"/>
          <w:highlight w:val="none"/>
          <w:u w:val="none" w:color="auto"/>
          <w:lang w:val="en-US" w:eastAsia="zh-CN"/>
        </w:rPr>
      </w:pPr>
      <w:r>
        <w:rPr>
          <w:rFonts w:hint="eastAsia"/>
          <w:highlight w:val="none"/>
          <w:u w:val="none" w:color="auto"/>
          <w:lang w:val="en-US" w:eastAsia="zh-CN"/>
        </w:rPr>
        <w:t>噪声污染防治措施</w:t>
      </w:r>
    </w:p>
    <w:p w14:paraId="765F138C">
      <w:pPr>
        <w:bidi w:val="0"/>
        <w:rPr>
          <w:rFonts w:hint="eastAsia"/>
          <w:highlight w:val="none"/>
          <w:lang w:val="en-US" w:eastAsia="zh-CN"/>
        </w:rPr>
      </w:pPr>
      <w:r>
        <w:rPr>
          <w:rFonts w:hint="eastAsia"/>
          <w:highlight w:val="none"/>
          <w:lang w:val="en-US" w:eastAsia="zh-CN"/>
        </w:rPr>
        <w:t>本项目填埋区封场后没有噪声源，因此封场后对周边噪声基本无影响。</w:t>
      </w:r>
    </w:p>
    <w:p w14:paraId="0969EF06">
      <w:pPr>
        <w:pStyle w:val="9"/>
        <w:numPr>
          <w:ilvl w:val="2"/>
          <w:numId w:val="1"/>
        </w:numPr>
        <w:bidi w:val="0"/>
        <w:ind w:left="709" w:leftChars="0" w:hanging="709" w:firstLineChars="0"/>
        <w:rPr>
          <w:rFonts w:hint="default"/>
          <w:highlight w:val="none"/>
          <w:u w:val="none" w:color="auto"/>
          <w:lang w:val="en-US" w:eastAsia="zh-CN"/>
        </w:rPr>
      </w:pPr>
      <w:r>
        <w:rPr>
          <w:rFonts w:hint="eastAsia"/>
          <w:highlight w:val="none"/>
          <w:u w:val="none" w:color="auto"/>
          <w:lang w:val="en-US" w:eastAsia="zh-CN"/>
        </w:rPr>
        <w:t>固体废物污染防治措施</w:t>
      </w:r>
    </w:p>
    <w:p w14:paraId="46E0B8BE">
      <w:pPr>
        <w:bidi w:val="0"/>
        <w:rPr>
          <w:rFonts w:hint="eastAsia"/>
          <w:highlight w:val="none"/>
          <w:lang w:val="en-US" w:eastAsia="zh-CN"/>
        </w:rPr>
      </w:pPr>
      <w:r>
        <w:rPr>
          <w:rFonts w:hint="default" w:ascii="Times New Roman" w:hAnsi="Times New Roman" w:cs="Times New Roman"/>
          <w:color w:val="auto"/>
          <w:sz w:val="24"/>
          <w:highlight w:val="none"/>
          <w:u w:val="none" w:color="auto"/>
          <w:lang w:val="zh-CN"/>
        </w:rPr>
        <w:t>本项目废渣填埋场渗滤液采用一体化废水处理设备处理，治理过程中会产生少量污泥，预计污泥量约2.0t/a，污泥一般固废</w:t>
      </w:r>
      <w:r>
        <w:rPr>
          <w:rFonts w:hint="eastAsia" w:cs="Times New Roman"/>
          <w:color w:val="auto"/>
          <w:sz w:val="24"/>
          <w:highlight w:val="none"/>
          <w:u w:val="none" w:color="auto"/>
          <w:lang w:val="zh-CN"/>
        </w:rPr>
        <w:t>，</w:t>
      </w:r>
      <w:r>
        <w:rPr>
          <w:rFonts w:hint="default" w:ascii="Times New Roman" w:hAnsi="Times New Roman" w:cs="Times New Roman"/>
          <w:color w:val="auto"/>
          <w:sz w:val="24"/>
          <w:highlight w:val="none"/>
          <w:u w:val="none" w:color="auto"/>
          <w:lang w:val="zh-CN"/>
        </w:rPr>
        <w:t>运往就近砖厂进行资源化利用。封场后固废可得到合理处理，固废污染防治措施可行。</w:t>
      </w:r>
      <w:r>
        <w:rPr>
          <w:rFonts w:hint="eastAsia"/>
          <w:highlight w:val="none"/>
          <w:lang w:val="en-US" w:eastAsia="zh-CN"/>
        </w:rPr>
        <w:br w:type="page"/>
      </w:r>
    </w:p>
    <w:p w14:paraId="1DCA8877">
      <w:pPr>
        <w:pStyle w:val="7"/>
        <w:bidi w:val="0"/>
        <w:ind w:left="0" w:leftChars="0" w:firstLine="0" w:firstLineChars="0"/>
        <w:jc w:val="center"/>
        <w:rPr>
          <w:rFonts w:hint="eastAsia"/>
          <w:highlight w:val="none"/>
          <w:lang w:val="en-US" w:eastAsia="zh-CN"/>
        </w:rPr>
      </w:pPr>
      <w:bookmarkStart w:id="101" w:name="_Toc20159"/>
      <w:bookmarkStart w:id="102" w:name="_Toc12600"/>
      <w:r>
        <w:rPr>
          <w:rFonts w:hint="eastAsia"/>
          <w:highlight w:val="none"/>
          <w:lang w:val="en-US" w:eastAsia="zh-CN"/>
        </w:rPr>
        <w:t>环境影响经济损益分析</w:t>
      </w:r>
      <w:bookmarkEnd w:id="101"/>
      <w:bookmarkEnd w:id="102"/>
    </w:p>
    <w:p w14:paraId="66A359C2">
      <w:pPr>
        <w:bidi w:val="0"/>
        <w:rPr>
          <w:rFonts w:hint="eastAsia"/>
          <w:highlight w:val="none"/>
          <w:lang w:val="en-US" w:eastAsia="zh-CN"/>
        </w:rPr>
      </w:pPr>
      <w:r>
        <w:rPr>
          <w:rFonts w:hint="eastAsia"/>
          <w:highlight w:val="none"/>
          <w:lang w:val="en-US" w:eastAsia="zh-CN"/>
        </w:rPr>
        <w:t>对建设项目进行环境影响经济损益分析，目的是为了衡量该建设项目投入的环保投资所能收到的环保效果和经济实效，及可能收到的环境和社会效益，最大限度地控制污染，降低破坏环境的程度，合理利用自然资源，以最少的环境代价取得最大的经济效益和社会效益。</w:t>
      </w:r>
    </w:p>
    <w:p w14:paraId="1612C543">
      <w:pPr>
        <w:bidi w:val="0"/>
        <w:rPr>
          <w:rFonts w:hint="eastAsia"/>
          <w:highlight w:val="none"/>
          <w:lang w:val="en-US" w:eastAsia="zh-CN"/>
        </w:rPr>
      </w:pPr>
      <w:r>
        <w:rPr>
          <w:rFonts w:hint="eastAsia"/>
          <w:highlight w:val="none"/>
          <w:lang w:val="en-US" w:eastAsia="zh-CN"/>
        </w:rPr>
        <w:t>根据有关的规定和标准，结合本项目的特点，本项目有关经济、社会和环境效益分析以资料分析为主，在详细了解本项目概况以及各环境污染物及其影响程度和范围的基础上，运用费用-效益分析方法进行定性或者定量分析。一般而言，项目的投资是可以得到的，也可以用货币表示，而造成的影响和带来的效益的估算则比较困难，因为社会效益和环境效益往往是抽象的，难以用货币表示，基于此，将根据分析对象的不同采用定量和定性两种方法对本项目的环境、社会和经济损益进行分析和讨论。</w:t>
      </w:r>
    </w:p>
    <w:p w14:paraId="54C59EBA">
      <w:pPr>
        <w:pStyle w:val="8"/>
        <w:numPr>
          <w:ilvl w:val="1"/>
          <w:numId w:val="1"/>
        </w:numPr>
        <w:tabs>
          <w:tab w:val="clear" w:pos="420"/>
        </w:tabs>
        <w:bidi w:val="0"/>
        <w:ind w:left="567" w:leftChars="0" w:hanging="567" w:firstLineChars="0"/>
        <w:rPr>
          <w:rFonts w:hint="eastAsia"/>
          <w:highlight w:val="none"/>
          <w:lang w:val="en-US" w:eastAsia="zh-CN"/>
        </w:rPr>
      </w:pPr>
      <w:bookmarkStart w:id="103" w:name="_Toc8235"/>
      <w:bookmarkStart w:id="104" w:name="_Toc3820"/>
      <w:r>
        <w:rPr>
          <w:rFonts w:hint="eastAsia"/>
          <w:highlight w:val="none"/>
          <w:lang w:val="en-US" w:eastAsia="zh-CN"/>
        </w:rPr>
        <w:t>环境保护投资估算</w:t>
      </w:r>
      <w:bookmarkEnd w:id="103"/>
      <w:bookmarkEnd w:id="104"/>
    </w:p>
    <w:p w14:paraId="54D219C6">
      <w:pPr>
        <w:bidi w:val="0"/>
        <w:rPr>
          <w:rFonts w:hint="eastAsia"/>
          <w:highlight w:val="none"/>
          <w:lang w:val="en-US" w:eastAsia="zh-CN"/>
        </w:rPr>
      </w:pPr>
      <w:r>
        <w:rPr>
          <w:rFonts w:hint="eastAsia"/>
          <w:highlight w:val="none"/>
          <w:lang w:val="en-US" w:eastAsia="zh-CN"/>
        </w:rPr>
        <w:t>依据《建设项目环境保护设计规定》中有关内容，环保设施划分的基本原则是，凡属于污染治理环境保护所需的设施、装置和工程设施，属生产工艺需要又为环境保护服务的设施，为保证生产有良好环境所采取的防尘、绿化设施均属环保设施。</w:t>
      </w:r>
    </w:p>
    <w:p w14:paraId="63AF9A5A">
      <w:pPr>
        <w:bidi w:val="0"/>
        <w:rPr>
          <w:rFonts w:hint="eastAsia"/>
          <w:highlight w:val="none"/>
          <w:lang w:val="en-US" w:eastAsia="zh-CN"/>
        </w:rPr>
      </w:pPr>
      <w:r>
        <w:rPr>
          <w:rFonts w:hint="eastAsia"/>
          <w:highlight w:val="none"/>
          <w:lang w:val="en-US" w:eastAsia="zh-CN"/>
        </w:rPr>
        <w:t>本项目总投资985.88万元，因本项目属于环境治理工程，故项目总投资均为环保投资。</w:t>
      </w:r>
    </w:p>
    <w:p w14:paraId="4A1AE27F">
      <w:pPr>
        <w:bidi w:val="0"/>
        <w:rPr>
          <w:rFonts w:hint="eastAsia"/>
          <w:highlight w:val="none"/>
          <w:lang w:val="en-US" w:eastAsia="zh-CN"/>
        </w:rPr>
      </w:pPr>
      <w:r>
        <w:rPr>
          <w:rFonts w:hint="eastAsia"/>
          <w:highlight w:val="none"/>
          <w:lang w:val="en-US" w:eastAsia="zh-CN"/>
        </w:rPr>
        <w:t>考虑到本项目在进行治理过程中会产生新的污染，需要进行二次污染防治。因此，将这部分污染防治所需的资金作为本项目的环保投资。本工程总投资985.88万元，环保投资估算为105万元，占工程总投资的10.65%。其自身环保投资分项详见下表。</w:t>
      </w:r>
    </w:p>
    <w:p w14:paraId="6438C8B7">
      <w:pPr>
        <w:bidi w:val="0"/>
        <w:rPr>
          <w:rFonts w:hint="eastAsia"/>
          <w:highlight w:val="none"/>
          <w:lang w:val="en-US" w:eastAsia="zh-CN"/>
        </w:rPr>
      </w:pPr>
      <w:r>
        <w:rPr>
          <w:rFonts w:hint="eastAsia"/>
          <w:highlight w:val="none"/>
          <w:lang w:val="en-US" w:eastAsia="zh-CN"/>
        </w:rPr>
        <w:t>本项目环保投资见表8.1-1。</w:t>
      </w:r>
    </w:p>
    <w:p w14:paraId="2B0C1515">
      <w:pPr>
        <w:bidi w:val="0"/>
        <w:ind w:left="0" w:leftChars="0" w:firstLine="0" w:firstLineChars="0"/>
        <w:jc w:val="center"/>
        <w:rPr>
          <w:rFonts w:hint="eastAsia"/>
          <w:b/>
          <w:bCs/>
          <w:sz w:val="21"/>
          <w:szCs w:val="21"/>
          <w:highlight w:val="none"/>
          <w:lang w:val="en-US" w:eastAsia="zh-CN"/>
        </w:rPr>
      </w:pPr>
      <w:r>
        <w:rPr>
          <w:rFonts w:hint="eastAsia"/>
          <w:b/>
          <w:bCs/>
          <w:sz w:val="21"/>
          <w:szCs w:val="21"/>
          <w:highlight w:val="none"/>
          <w:lang w:val="en-US" w:eastAsia="zh-CN"/>
        </w:rPr>
        <w:t>表8.1-1  环保措施投资估算表</w:t>
      </w:r>
    </w:p>
    <w:tbl>
      <w:tblPr>
        <w:tblStyle w:val="35"/>
        <w:tblW w:w="5014"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0" w:type="dxa"/>
          <w:bottom w:w="0" w:type="dxa"/>
          <w:right w:w="0" w:type="dxa"/>
        </w:tblCellMar>
      </w:tblPr>
      <w:tblGrid>
        <w:gridCol w:w="832"/>
        <w:gridCol w:w="756"/>
        <w:gridCol w:w="624"/>
        <w:gridCol w:w="1802"/>
        <w:gridCol w:w="3976"/>
        <w:gridCol w:w="1137"/>
      </w:tblGrid>
      <w:tr w14:paraId="0F4A052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0" w:hRule="atLeast"/>
          <w:tblHeader/>
          <w:jc w:val="center"/>
        </w:trPr>
        <w:tc>
          <w:tcPr>
            <w:tcW w:w="456" w:type="pct"/>
            <w:noWrap w:val="0"/>
            <w:vAlign w:val="center"/>
          </w:tcPr>
          <w:p w14:paraId="2CF05C5E">
            <w:pPr>
              <w:bidi w:val="0"/>
              <w:spacing w:line="240" w:lineRule="auto"/>
              <w:ind w:left="0" w:leftChars="0" w:firstLine="0" w:firstLineChars="0"/>
              <w:jc w:val="center"/>
              <w:rPr>
                <w:rFonts w:hint="eastAsia"/>
                <w:b/>
                <w:bCs/>
                <w:sz w:val="21"/>
                <w:szCs w:val="21"/>
                <w:lang w:val="en-US" w:eastAsia="zh-CN"/>
              </w:rPr>
            </w:pPr>
            <w:r>
              <w:rPr>
                <w:rFonts w:hint="eastAsia"/>
                <w:b/>
                <w:bCs/>
                <w:sz w:val="21"/>
                <w:szCs w:val="21"/>
                <w:lang w:val="en-US" w:eastAsia="zh-CN"/>
              </w:rPr>
              <w:t>序号</w:t>
            </w:r>
          </w:p>
        </w:tc>
        <w:tc>
          <w:tcPr>
            <w:tcW w:w="1743" w:type="pct"/>
            <w:gridSpan w:val="3"/>
            <w:noWrap w:val="0"/>
            <w:vAlign w:val="center"/>
          </w:tcPr>
          <w:p w14:paraId="4E6842DD">
            <w:pPr>
              <w:bidi w:val="0"/>
              <w:spacing w:line="240" w:lineRule="auto"/>
              <w:ind w:left="0" w:leftChars="0" w:firstLine="0" w:firstLineChars="0"/>
              <w:jc w:val="center"/>
              <w:rPr>
                <w:rFonts w:hint="eastAsia"/>
                <w:b/>
                <w:bCs/>
                <w:sz w:val="21"/>
                <w:szCs w:val="21"/>
                <w:lang w:val="en-US" w:eastAsia="zh-CN"/>
              </w:rPr>
            </w:pPr>
            <w:r>
              <w:rPr>
                <w:rFonts w:hint="eastAsia"/>
                <w:b/>
                <w:bCs/>
                <w:sz w:val="21"/>
                <w:szCs w:val="21"/>
                <w:lang w:val="en-US" w:eastAsia="zh-CN"/>
              </w:rPr>
              <w:t>项目</w:t>
            </w:r>
          </w:p>
        </w:tc>
        <w:tc>
          <w:tcPr>
            <w:tcW w:w="2175" w:type="pct"/>
            <w:noWrap w:val="0"/>
            <w:vAlign w:val="center"/>
          </w:tcPr>
          <w:p w14:paraId="51FF1774">
            <w:pPr>
              <w:bidi w:val="0"/>
              <w:spacing w:line="240" w:lineRule="auto"/>
              <w:ind w:left="0" w:leftChars="0" w:firstLine="0" w:firstLineChars="0"/>
              <w:jc w:val="center"/>
              <w:rPr>
                <w:rFonts w:hint="eastAsia"/>
                <w:b/>
                <w:bCs/>
                <w:sz w:val="21"/>
                <w:szCs w:val="21"/>
                <w:lang w:val="en-US" w:eastAsia="zh-CN"/>
              </w:rPr>
            </w:pPr>
            <w:r>
              <w:rPr>
                <w:rFonts w:hint="eastAsia"/>
                <w:b/>
                <w:bCs/>
                <w:sz w:val="21"/>
                <w:szCs w:val="21"/>
                <w:lang w:val="en-US" w:eastAsia="zh-CN"/>
              </w:rPr>
              <w:t>主要环保措施</w:t>
            </w:r>
          </w:p>
        </w:tc>
        <w:tc>
          <w:tcPr>
            <w:tcW w:w="624" w:type="pct"/>
            <w:noWrap w:val="0"/>
            <w:vAlign w:val="center"/>
          </w:tcPr>
          <w:p w14:paraId="6B099093">
            <w:pPr>
              <w:bidi w:val="0"/>
              <w:spacing w:line="240" w:lineRule="auto"/>
              <w:ind w:left="0" w:leftChars="0" w:firstLine="0" w:firstLineChars="0"/>
              <w:jc w:val="center"/>
              <w:rPr>
                <w:rFonts w:hint="eastAsia"/>
                <w:b/>
                <w:bCs/>
                <w:sz w:val="21"/>
                <w:szCs w:val="21"/>
                <w:lang w:val="en-US" w:eastAsia="zh-CN"/>
              </w:rPr>
            </w:pPr>
            <w:r>
              <w:rPr>
                <w:rFonts w:hint="eastAsia"/>
                <w:b/>
                <w:bCs/>
                <w:sz w:val="21"/>
                <w:szCs w:val="21"/>
                <w:lang w:val="en-US" w:eastAsia="zh-CN"/>
              </w:rPr>
              <w:t>投资估算（万元）</w:t>
            </w:r>
          </w:p>
        </w:tc>
      </w:tr>
      <w:tr w14:paraId="73BE5DC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456" w:type="pct"/>
            <w:noWrap w:val="0"/>
            <w:vAlign w:val="center"/>
          </w:tcPr>
          <w:p w14:paraId="40C4DD36">
            <w:pPr>
              <w:bidi w:val="0"/>
              <w:spacing w:line="240" w:lineRule="auto"/>
              <w:ind w:left="0" w:leftChars="0" w:firstLine="0" w:firstLineChars="0"/>
              <w:jc w:val="center"/>
              <w:rPr>
                <w:rFonts w:hint="eastAsia"/>
                <w:sz w:val="21"/>
                <w:szCs w:val="21"/>
                <w:lang w:val="en-US" w:eastAsia="zh-CN"/>
              </w:rPr>
            </w:pPr>
            <w:r>
              <w:rPr>
                <w:rFonts w:hint="eastAsia"/>
                <w:sz w:val="21"/>
                <w:szCs w:val="21"/>
                <w:lang w:val="en-US" w:eastAsia="zh-CN"/>
              </w:rPr>
              <w:t>1</w:t>
            </w:r>
          </w:p>
        </w:tc>
        <w:tc>
          <w:tcPr>
            <w:tcW w:w="414" w:type="pct"/>
            <w:vMerge w:val="restart"/>
            <w:noWrap w:val="0"/>
            <w:vAlign w:val="center"/>
          </w:tcPr>
          <w:p w14:paraId="5FF7E249">
            <w:pPr>
              <w:bidi w:val="0"/>
              <w:spacing w:line="240" w:lineRule="auto"/>
              <w:ind w:left="0" w:leftChars="0" w:firstLine="0" w:firstLineChars="0"/>
              <w:jc w:val="center"/>
              <w:rPr>
                <w:rFonts w:hint="eastAsia"/>
                <w:sz w:val="21"/>
                <w:szCs w:val="21"/>
                <w:lang w:val="en-US" w:eastAsia="zh-CN"/>
              </w:rPr>
            </w:pPr>
            <w:r>
              <w:rPr>
                <w:rFonts w:hint="eastAsia"/>
                <w:sz w:val="21"/>
                <w:szCs w:val="21"/>
                <w:lang w:val="en-US" w:eastAsia="zh-CN"/>
              </w:rPr>
              <w:t>施工期</w:t>
            </w:r>
          </w:p>
        </w:tc>
        <w:tc>
          <w:tcPr>
            <w:tcW w:w="1328" w:type="pct"/>
            <w:gridSpan w:val="2"/>
            <w:noWrap w:val="0"/>
            <w:vAlign w:val="center"/>
          </w:tcPr>
          <w:p w14:paraId="6BA11D8E">
            <w:pPr>
              <w:bidi w:val="0"/>
              <w:spacing w:line="240" w:lineRule="auto"/>
              <w:ind w:left="0" w:leftChars="0" w:firstLine="0" w:firstLineChars="0"/>
              <w:jc w:val="center"/>
              <w:rPr>
                <w:rFonts w:hint="eastAsia"/>
                <w:sz w:val="21"/>
                <w:szCs w:val="21"/>
                <w:lang w:val="en-US" w:eastAsia="zh-CN"/>
              </w:rPr>
            </w:pPr>
            <w:r>
              <w:rPr>
                <w:rFonts w:hint="eastAsia"/>
                <w:sz w:val="21"/>
                <w:szCs w:val="21"/>
                <w:lang w:val="en-US" w:eastAsia="zh-CN"/>
              </w:rPr>
              <w:t>扬尘、废气</w:t>
            </w:r>
          </w:p>
        </w:tc>
        <w:tc>
          <w:tcPr>
            <w:tcW w:w="2175" w:type="pct"/>
            <w:noWrap w:val="0"/>
            <w:vAlign w:val="center"/>
          </w:tcPr>
          <w:p w14:paraId="6067B84E">
            <w:pPr>
              <w:bidi w:val="0"/>
              <w:spacing w:line="240" w:lineRule="auto"/>
              <w:ind w:left="0" w:leftChars="0" w:firstLine="0" w:firstLineChars="0"/>
              <w:jc w:val="center"/>
              <w:rPr>
                <w:rFonts w:hint="eastAsia"/>
                <w:sz w:val="21"/>
                <w:szCs w:val="21"/>
                <w:lang w:val="en-US" w:eastAsia="zh-CN"/>
              </w:rPr>
            </w:pPr>
            <w:r>
              <w:rPr>
                <w:rFonts w:hint="eastAsia"/>
                <w:sz w:val="21"/>
                <w:szCs w:val="21"/>
                <w:lang w:val="en-US" w:eastAsia="zh-CN"/>
              </w:rPr>
              <w:t>遮盖、洒水设施、车辆冲洗</w:t>
            </w:r>
          </w:p>
        </w:tc>
        <w:tc>
          <w:tcPr>
            <w:tcW w:w="624" w:type="pct"/>
            <w:noWrap w:val="0"/>
            <w:vAlign w:val="center"/>
          </w:tcPr>
          <w:p w14:paraId="44F6B34A">
            <w:pPr>
              <w:bidi w:val="0"/>
              <w:spacing w:line="240" w:lineRule="auto"/>
              <w:ind w:left="0" w:leftChars="0" w:firstLine="0" w:firstLineChars="0"/>
              <w:jc w:val="center"/>
              <w:rPr>
                <w:rFonts w:hint="eastAsia"/>
                <w:sz w:val="21"/>
                <w:szCs w:val="21"/>
                <w:lang w:val="en-US" w:eastAsia="zh-CN"/>
              </w:rPr>
            </w:pPr>
            <w:r>
              <w:rPr>
                <w:rFonts w:hint="eastAsia"/>
                <w:sz w:val="21"/>
                <w:szCs w:val="21"/>
                <w:lang w:val="en-US" w:eastAsia="zh-CN"/>
              </w:rPr>
              <w:t>10</w:t>
            </w:r>
          </w:p>
        </w:tc>
      </w:tr>
      <w:tr w14:paraId="7017309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456" w:type="pct"/>
            <w:vMerge w:val="restart"/>
            <w:noWrap w:val="0"/>
            <w:vAlign w:val="center"/>
          </w:tcPr>
          <w:p w14:paraId="2C0E2915">
            <w:pPr>
              <w:bidi w:val="0"/>
              <w:spacing w:line="240" w:lineRule="auto"/>
              <w:ind w:left="0" w:leftChars="0" w:firstLine="0" w:firstLineChars="0"/>
              <w:jc w:val="center"/>
              <w:rPr>
                <w:rFonts w:hint="eastAsia"/>
                <w:sz w:val="21"/>
                <w:szCs w:val="21"/>
                <w:lang w:val="en-US" w:eastAsia="zh-CN"/>
              </w:rPr>
            </w:pPr>
            <w:r>
              <w:rPr>
                <w:rFonts w:hint="eastAsia"/>
                <w:sz w:val="21"/>
                <w:szCs w:val="21"/>
                <w:lang w:val="en-US" w:eastAsia="zh-CN"/>
              </w:rPr>
              <w:t>2</w:t>
            </w:r>
          </w:p>
        </w:tc>
        <w:tc>
          <w:tcPr>
            <w:tcW w:w="414" w:type="pct"/>
            <w:vMerge w:val="continue"/>
            <w:noWrap w:val="0"/>
            <w:vAlign w:val="center"/>
          </w:tcPr>
          <w:p w14:paraId="3CCBD562">
            <w:pPr>
              <w:bidi w:val="0"/>
              <w:spacing w:line="240" w:lineRule="auto"/>
              <w:ind w:left="0" w:leftChars="0" w:firstLine="0" w:firstLineChars="0"/>
              <w:jc w:val="center"/>
              <w:rPr>
                <w:rFonts w:hint="eastAsia"/>
                <w:sz w:val="21"/>
                <w:szCs w:val="21"/>
                <w:lang w:val="en-US" w:eastAsia="zh-CN"/>
              </w:rPr>
            </w:pPr>
          </w:p>
        </w:tc>
        <w:tc>
          <w:tcPr>
            <w:tcW w:w="342" w:type="pct"/>
            <w:vMerge w:val="restart"/>
            <w:noWrap w:val="0"/>
            <w:vAlign w:val="center"/>
          </w:tcPr>
          <w:p w14:paraId="7480168F">
            <w:pPr>
              <w:bidi w:val="0"/>
              <w:spacing w:line="240" w:lineRule="auto"/>
              <w:ind w:left="0" w:leftChars="0" w:firstLine="0" w:firstLineChars="0"/>
              <w:jc w:val="center"/>
              <w:rPr>
                <w:rFonts w:hint="eastAsia"/>
                <w:sz w:val="21"/>
                <w:szCs w:val="21"/>
                <w:lang w:val="en-US" w:eastAsia="zh-CN"/>
              </w:rPr>
            </w:pPr>
            <w:r>
              <w:rPr>
                <w:rFonts w:hint="eastAsia"/>
                <w:sz w:val="21"/>
                <w:szCs w:val="21"/>
                <w:lang w:val="en-US" w:eastAsia="zh-CN"/>
              </w:rPr>
              <w:t>废水</w:t>
            </w:r>
          </w:p>
        </w:tc>
        <w:tc>
          <w:tcPr>
            <w:tcW w:w="985" w:type="pct"/>
            <w:noWrap w:val="0"/>
            <w:vAlign w:val="center"/>
          </w:tcPr>
          <w:p w14:paraId="6F8A4253">
            <w:pPr>
              <w:bidi w:val="0"/>
              <w:spacing w:line="240" w:lineRule="auto"/>
              <w:ind w:left="0" w:leftChars="0" w:firstLine="0" w:firstLineChars="0"/>
              <w:jc w:val="center"/>
              <w:rPr>
                <w:rFonts w:hint="eastAsia"/>
                <w:sz w:val="21"/>
                <w:szCs w:val="21"/>
                <w:lang w:val="en-US" w:eastAsia="zh-CN"/>
              </w:rPr>
            </w:pPr>
            <w:r>
              <w:rPr>
                <w:rFonts w:hint="eastAsia"/>
                <w:sz w:val="21"/>
                <w:szCs w:val="21"/>
                <w:lang w:val="en-US" w:eastAsia="zh-CN"/>
              </w:rPr>
              <w:t>生活污水</w:t>
            </w:r>
          </w:p>
        </w:tc>
        <w:tc>
          <w:tcPr>
            <w:tcW w:w="2175" w:type="pct"/>
            <w:noWrap w:val="0"/>
            <w:vAlign w:val="center"/>
          </w:tcPr>
          <w:p w14:paraId="3D5DDA28">
            <w:pPr>
              <w:bidi w:val="0"/>
              <w:spacing w:line="240" w:lineRule="auto"/>
              <w:ind w:left="0" w:leftChars="0" w:firstLine="0" w:firstLineChars="0"/>
              <w:jc w:val="center"/>
              <w:rPr>
                <w:rFonts w:hint="eastAsia"/>
                <w:sz w:val="21"/>
                <w:szCs w:val="21"/>
                <w:lang w:val="en-US" w:eastAsia="zh-CN"/>
              </w:rPr>
            </w:pPr>
            <w:r>
              <w:rPr>
                <w:rFonts w:hint="eastAsia"/>
                <w:sz w:val="21"/>
                <w:szCs w:val="21"/>
                <w:lang w:val="en-US" w:eastAsia="zh-CN"/>
              </w:rPr>
              <w:t>依托周边村庄居民污水处理设施，经化粪池处理后用于农肥，不外排</w:t>
            </w:r>
          </w:p>
        </w:tc>
        <w:tc>
          <w:tcPr>
            <w:tcW w:w="624" w:type="pct"/>
            <w:noWrap w:val="0"/>
            <w:vAlign w:val="center"/>
          </w:tcPr>
          <w:p w14:paraId="4270F0DE">
            <w:pPr>
              <w:bidi w:val="0"/>
              <w:spacing w:line="240" w:lineRule="auto"/>
              <w:ind w:left="0" w:leftChars="0" w:firstLine="0" w:firstLineChars="0"/>
              <w:jc w:val="center"/>
              <w:rPr>
                <w:rFonts w:hint="eastAsia"/>
                <w:sz w:val="21"/>
                <w:szCs w:val="21"/>
                <w:lang w:val="en-US" w:eastAsia="zh-CN"/>
              </w:rPr>
            </w:pPr>
            <w:r>
              <w:rPr>
                <w:rFonts w:hint="eastAsia"/>
                <w:sz w:val="21"/>
                <w:szCs w:val="21"/>
                <w:lang w:val="en-US" w:eastAsia="zh-CN"/>
              </w:rPr>
              <w:t>/</w:t>
            </w:r>
          </w:p>
        </w:tc>
      </w:tr>
      <w:tr w14:paraId="4FC8760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456" w:type="pct"/>
            <w:vMerge w:val="continue"/>
            <w:noWrap w:val="0"/>
            <w:vAlign w:val="center"/>
          </w:tcPr>
          <w:p w14:paraId="702E3BCE">
            <w:pPr>
              <w:bidi w:val="0"/>
              <w:spacing w:line="240" w:lineRule="auto"/>
              <w:ind w:left="0" w:leftChars="0" w:firstLine="0" w:firstLineChars="0"/>
              <w:jc w:val="center"/>
              <w:rPr>
                <w:rFonts w:hint="eastAsia"/>
                <w:sz w:val="21"/>
                <w:szCs w:val="21"/>
                <w:lang w:val="en-US" w:eastAsia="zh-CN"/>
              </w:rPr>
            </w:pPr>
          </w:p>
        </w:tc>
        <w:tc>
          <w:tcPr>
            <w:tcW w:w="414" w:type="pct"/>
            <w:vMerge w:val="continue"/>
            <w:noWrap w:val="0"/>
            <w:vAlign w:val="center"/>
          </w:tcPr>
          <w:p w14:paraId="414D1B26">
            <w:pPr>
              <w:bidi w:val="0"/>
              <w:spacing w:line="240" w:lineRule="auto"/>
              <w:ind w:left="0" w:leftChars="0" w:firstLine="0" w:firstLineChars="0"/>
              <w:jc w:val="center"/>
              <w:rPr>
                <w:rFonts w:hint="eastAsia"/>
                <w:sz w:val="21"/>
                <w:szCs w:val="21"/>
                <w:lang w:val="en-US" w:eastAsia="zh-CN"/>
              </w:rPr>
            </w:pPr>
          </w:p>
        </w:tc>
        <w:tc>
          <w:tcPr>
            <w:tcW w:w="342" w:type="pct"/>
            <w:vMerge w:val="continue"/>
            <w:noWrap w:val="0"/>
            <w:vAlign w:val="center"/>
          </w:tcPr>
          <w:p w14:paraId="1EBA141B">
            <w:pPr>
              <w:bidi w:val="0"/>
              <w:spacing w:line="240" w:lineRule="auto"/>
              <w:ind w:left="0" w:leftChars="0" w:firstLine="0" w:firstLineChars="0"/>
              <w:jc w:val="center"/>
              <w:rPr>
                <w:rFonts w:hint="eastAsia"/>
                <w:sz w:val="21"/>
                <w:szCs w:val="21"/>
                <w:lang w:val="en-US" w:eastAsia="zh-CN"/>
              </w:rPr>
            </w:pPr>
          </w:p>
        </w:tc>
        <w:tc>
          <w:tcPr>
            <w:tcW w:w="985" w:type="pct"/>
            <w:noWrap w:val="0"/>
            <w:vAlign w:val="center"/>
          </w:tcPr>
          <w:p w14:paraId="5DEA380B">
            <w:pPr>
              <w:bidi w:val="0"/>
              <w:spacing w:line="240" w:lineRule="auto"/>
              <w:ind w:left="0" w:leftChars="0" w:firstLine="0" w:firstLineChars="0"/>
              <w:jc w:val="center"/>
              <w:rPr>
                <w:rFonts w:hint="eastAsia"/>
                <w:sz w:val="21"/>
                <w:szCs w:val="21"/>
                <w:lang w:val="en-US" w:eastAsia="zh-CN"/>
              </w:rPr>
            </w:pPr>
            <w:r>
              <w:rPr>
                <w:rFonts w:hint="eastAsia"/>
                <w:sz w:val="21"/>
                <w:szCs w:val="21"/>
                <w:lang w:val="en-US" w:eastAsia="zh-CN"/>
              </w:rPr>
              <w:t>车辆冲洗水</w:t>
            </w:r>
          </w:p>
        </w:tc>
        <w:tc>
          <w:tcPr>
            <w:tcW w:w="2175" w:type="pct"/>
            <w:vMerge w:val="restart"/>
            <w:noWrap w:val="0"/>
            <w:vAlign w:val="center"/>
          </w:tcPr>
          <w:p w14:paraId="6BB7E2EE">
            <w:pPr>
              <w:bidi w:val="0"/>
              <w:spacing w:line="240" w:lineRule="auto"/>
              <w:ind w:left="0" w:leftChars="0" w:firstLine="0" w:firstLineChars="0"/>
              <w:jc w:val="center"/>
              <w:rPr>
                <w:rFonts w:hint="default"/>
                <w:sz w:val="21"/>
                <w:szCs w:val="21"/>
                <w:lang w:val="en-US" w:eastAsia="zh-CN"/>
              </w:rPr>
            </w:pPr>
            <w:r>
              <w:rPr>
                <w:rFonts w:hint="eastAsia"/>
                <w:sz w:val="21"/>
                <w:szCs w:val="21"/>
                <w:lang w:val="en-US" w:eastAsia="zh-CN"/>
              </w:rPr>
              <w:t>收集池+一体化设备（生物制剂+絮凝沉淀）处理后回用</w:t>
            </w:r>
          </w:p>
        </w:tc>
        <w:tc>
          <w:tcPr>
            <w:tcW w:w="624" w:type="pct"/>
            <w:vMerge w:val="restart"/>
            <w:noWrap w:val="0"/>
            <w:vAlign w:val="center"/>
          </w:tcPr>
          <w:p w14:paraId="6103D1E9">
            <w:pPr>
              <w:bidi w:val="0"/>
              <w:spacing w:line="240" w:lineRule="auto"/>
              <w:ind w:left="0" w:leftChars="0" w:firstLine="0" w:firstLineChars="0"/>
              <w:jc w:val="center"/>
              <w:rPr>
                <w:rFonts w:hint="eastAsia"/>
                <w:sz w:val="21"/>
                <w:szCs w:val="21"/>
                <w:lang w:val="en-US" w:eastAsia="zh-CN"/>
              </w:rPr>
            </w:pPr>
            <w:r>
              <w:rPr>
                <w:rFonts w:hint="eastAsia"/>
                <w:sz w:val="21"/>
                <w:szCs w:val="21"/>
                <w:lang w:val="en-US" w:eastAsia="zh-CN"/>
              </w:rPr>
              <w:t>20</w:t>
            </w:r>
          </w:p>
        </w:tc>
      </w:tr>
      <w:tr w14:paraId="66DD1FF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456" w:type="pct"/>
            <w:vMerge w:val="continue"/>
            <w:noWrap w:val="0"/>
            <w:vAlign w:val="center"/>
          </w:tcPr>
          <w:p w14:paraId="271704A4">
            <w:pPr>
              <w:bidi w:val="0"/>
              <w:spacing w:line="240" w:lineRule="auto"/>
              <w:ind w:left="0" w:leftChars="0" w:firstLine="0" w:firstLineChars="0"/>
              <w:jc w:val="center"/>
              <w:rPr>
                <w:rFonts w:hint="eastAsia"/>
                <w:sz w:val="21"/>
                <w:szCs w:val="21"/>
                <w:lang w:val="en-US" w:eastAsia="zh-CN"/>
              </w:rPr>
            </w:pPr>
          </w:p>
        </w:tc>
        <w:tc>
          <w:tcPr>
            <w:tcW w:w="414" w:type="pct"/>
            <w:vMerge w:val="continue"/>
            <w:noWrap w:val="0"/>
            <w:vAlign w:val="center"/>
          </w:tcPr>
          <w:p w14:paraId="4DB0FF3A">
            <w:pPr>
              <w:bidi w:val="0"/>
              <w:spacing w:line="240" w:lineRule="auto"/>
              <w:ind w:left="0" w:leftChars="0" w:firstLine="0" w:firstLineChars="0"/>
              <w:jc w:val="center"/>
              <w:rPr>
                <w:rFonts w:hint="eastAsia"/>
                <w:sz w:val="21"/>
                <w:szCs w:val="21"/>
                <w:lang w:val="en-US" w:eastAsia="zh-CN"/>
              </w:rPr>
            </w:pPr>
          </w:p>
        </w:tc>
        <w:tc>
          <w:tcPr>
            <w:tcW w:w="342" w:type="pct"/>
            <w:vMerge w:val="continue"/>
            <w:noWrap w:val="0"/>
            <w:vAlign w:val="center"/>
          </w:tcPr>
          <w:p w14:paraId="0B4C7B9F">
            <w:pPr>
              <w:bidi w:val="0"/>
              <w:spacing w:line="240" w:lineRule="auto"/>
              <w:ind w:left="0" w:leftChars="0" w:firstLine="0" w:firstLineChars="0"/>
              <w:jc w:val="center"/>
              <w:rPr>
                <w:rFonts w:hint="eastAsia"/>
                <w:sz w:val="21"/>
                <w:szCs w:val="21"/>
                <w:lang w:val="en-US" w:eastAsia="zh-CN"/>
              </w:rPr>
            </w:pPr>
          </w:p>
        </w:tc>
        <w:tc>
          <w:tcPr>
            <w:tcW w:w="985" w:type="pct"/>
            <w:noWrap w:val="0"/>
            <w:vAlign w:val="center"/>
          </w:tcPr>
          <w:p w14:paraId="54AA45C9">
            <w:pPr>
              <w:bidi w:val="0"/>
              <w:spacing w:line="240" w:lineRule="auto"/>
              <w:ind w:left="0" w:leftChars="0" w:firstLine="0" w:firstLineChars="0"/>
              <w:jc w:val="center"/>
              <w:rPr>
                <w:rFonts w:hint="eastAsia"/>
                <w:sz w:val="21"/>
                <w:szCs w:val="21"/>
                <w:lang w:val="en-US" w:eastAsia="zh-CN"/>
              </w:rPr>
            </w:pPr>
            <w:r>
              <w:rPr>
                <w:rFonts w:hint="eastAsia"/>
                <w:sz w:val="21"/>
                <w:szCs w:val="21"/>
                <w:lang w:val="en-US" w:eastAsia="zh-CN"/>
              </w:rPr>
              <w:t>清挖过程中雨季产生的淋溶水</w:t>
            </w:r>
          </w:p>
        </w:tc>
        <w:tc>
          <w:tcPr>
            <w:tcW w:w="2175" w:type="pct"/>
            <w:vMerge w:val="continue"/>
            <w:noWrap w:val="0"/>
            <w:vAlign w:val="center"/>
          </w:tcPr>
          <w:p w14:paraId="3BB6287F">
            <w:pPr>
              <w:bidi w:val="0"/>
              <w:spacing w:line="240" w:lineRule="auto"/>
              <w:ind w:left="0" w:leftChars="0" w:firstLine="0" w:firstLineChars="0"/>
              <w:jc w:val="center"/>
              <w:rPr>
                <w:rFonts w:hint="eastAsia"/>
                <w:sz w:val="21"/>
                <w:szCs w:val="21"/>
                <w:lang w:val="en-US" w:eastAsia="zh-CN"/>
              </w:rPr>
            </w:pPr>
          </w:p>
        </w:tc>
        <w:tc>
          <w:tcPr>
            <w:tcW w:w="624" w:type="pct"/>
            <w:vMerge w:val="continue"/>
            <w:noWrap w:val="0"/>
            <w:vAlign w:val="center"/>
          </w:tcPr>
          <w:p w14:paraId="661E7A7F">
            <w:pPr>
              <w:bidi w:val="0"/>
              <w:spacing w:line="240" w:lineRule="auto"/>
              <w:ind w:left="0" w:leftChars="0" w:firstLine="0" w:firstLineChars="0"/>
              <w:jc w:val="center"/>
              <w:rPr>
                <w:rFonts w:hint="eastAsia"/>
                <w:sz w:val="21"/>
                <w:szCs w:val="21"/>
                <w:lang w:val="en-US" w:eastAsia="zh-CN"/>
              </w:rPr>
            </w:pPr>
          </w:p>
        </w:tc>
      </w:tr>
      <w:tr w14:paraId="0A9E42E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456" w:type="pct"/>
            <w:noWrap w:val="0"/>
            <w:vAlign w:val="center"/>
          </w:tcPr>
          <w:p w14:paraId="4D919ABB">
            <w:pPr>
              <w:bidi w:val="0"/>
              <w:spacing w:line="240" w:lineRule="auto"/>
              <w:ind w:left="0" w:leftChars="0" w:firstLine="0" w:firstLineChars="0"/>
              <w:jc w:val="center"/>
              <w:rPr>
                <w:rFonts w:hint="eastAsia"/>
                <w:sz w:val="21"/>
                <w:szCs w:val="21"/>
                <w:lang w:val="en-US" w:eastAsia="zh-CN"/>
              </w:rPr>
            </w:pPr>
            <w:r>
              <w:rPr>
                <w:rFonts w:hint="eastAsia"/>
                <w:sz w:val="21"/>
                <w:szCs w:val="21"/>
                <w:lang w:val="en-US" w:eastAsia="zh-CN"/>
              </w:rPr>
              <w:t>3</w:t>
            </w:r>
          </w:p>
        </w:tc>
        <w:tc>
          <w:tcPr>
            <w:tcW w:w="414" w:type="pct"/>
            <w:vMerge w:val="continue"/>
            <w:noWrap w:val="0"/>
            <w:vAlign w:val="center"/>
          </w:tcPr>
          <w:p w14:paraId="3B2DB0BB">
            <w:pPr>
              <w:bidi w:val="0"/>
              <w:spacing w:line="240" w:lineRule="auto"/>
              <w:ind w:left="0" w:leftChars="0" w:firstLine="0" w:firstLineChars="0"/>
              <w:jc w:val="center"/>
              <w:rPr>
                <w:rFonts w:hint="eastAsia"/>
                <w:sz w:val="21"/>
                <w:szCs w:val="21"/>
                <w:lang w:val="en-US" w:eastAsia="zh-CN"/>
              </w:rPr>
            </w:pPr>
          </w:p>
        </w:tc>
        <w:tc>
          <w:tcPr>
            <w:tcW w:w="1328" w:type="pct"/>
            <w:gridSpan w:val="2"/>
            <w:noWrap w:val="0"/>
            <w:vAlign w:val="center"/>
          </w:tcPr>
          <w:p w14:paraId="084B2135">
            <w:pPr>
              <w:bidi w:val="0"/>
              <w:spacing w:line="240" w:lineRule="auto"/>
              <w:ind w:left="0" w:leftChars="0" w:firstLine="0" w:firstLineChars="0"/>
              <w:jc w:val="center"/>
              <w:rPr>
                <w:rFonts w:hint="eastAsia"/>
                <w:sz w:val="21"/>
                <w:szCs w:val="21"/>
                <w:lang w:val="en-US" w:eastAsia="zh-CN"/>
              </w:rPr>
            </w:pPr>
            <w:r>
              <w:rPr>
                <w:rFonts w:hint="eastAsia"/>
                <w:sz w:val="21"/>
                <w:szCs w:val="21"/>
                <w:lang w:val="en-US" w:eastAsia="zh-CN"/>
              </w:rPr>
              <w:t>施工期噪声</w:t>
            </w:r>
          </w:p>
        </w:tc>
        <w:tc>
          <w:tcPr>
            <w:tcW w:w="2175" w:type="pct"/>
            <w:noWrap w:val="0"/>
            <w:vAlign w:val="center"/>
          </w:tcPr>
          <w:p w14:paraId="7E805113">
            <w:pPr>
              <w:bidi w:val="0"/>
              <w:spacing w:line="240" w:lineRule="auto"/>
              <w:ind w:left="0" w:leftChars="0" w:firstLine="0" w:firstLineChars="0"/>
              <w:jc w:val="center"/>
              <w:rPr>
                <w:rFonts w:hint="eastAsia"/>
                <w:sz w:val="21"/>
                <w:szCs w:val="21"/>
                <w:lang w:val="en-US" w:eastAsia="zh-CN"/>
              </w:rPr>
            </w:pPr>
            <w:r>
              <w:rPr>
                <w:rFonts w:hint="eastAsia"/>
                <w:sz w:val="21"/>
                <w:szCs w:val="21"/>
                <w:lang w:val="en-US" w:eastAsia="zh-CN"/>
              </w:rPr>
              <w:t>基础减振、隔声</w:t>
            </w:r>
          </w:p>
        </w:tc>
        <w:tc>
          <w:tcPr>
            <w:tcW w:w="624" w:type="pct"/>
            <w:noWrap w:val="0"/>
            <w:vAlign w:val="center"/>
          </w:tcPr>
          <w:p w14:paraId="18CA8149">
            <w:pPr>
              <w:bidi w:val="0"/>
              <w:spacing w:line="240" w:lineRule="auto"/>
              <w:ind w:left="0" w:leftChars="0" w:firstLine="0" w:firstLineChars="0"/>
              <w:jc w:val="center"/>
              <w:rPr>
                <w:rFonts w:hint="eastAsia"/>
                <w:sz w:val="21"/>
                <w:szCs w:val="21"/>
                <w:lang w:val="en-US" w:eastAsia="zh-CN"/>
              </w:rPr>
            </w:pPr>
            <w:r>
              <w:rPr>
                <w:rFonts w:hint="eastAsia"/>
                <w:sz w:val="21"/>
                <w:szCs w:val="21"/>
                <w:lang w:val="en-US" w:eastAsia="zh-CN"/>
              </w:rPr>
              <w:t>4</w:t>
            </w:r>
          </w:p>
        </w:tc>
      </w:tr>
      <w:tr w14:paraId="607604F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456" w:type="pct"/>
            <w:noWrap w:val="0"/>
            <w:vAlign w:val="center"/>
          </w:tcPr>
          <w:p w14:paraId="4D6A3BCE">
            <w:pPr>
              <w:bidi w:val="0"/>
              <w:spacing w:line="240" w:lineRule="auto"/>
              <w:ind w:left="0" w:leftChars="0" w:firstLine="0" w:firstLineChars="0"/>
              <w:jc w:val="center"/>
              <w:rPr>
                <w:rFonts w:hint="eastAsia"/>
                <w:sz w:val="21"/>
                <w:szCs w:val="21"/>
                <w:lang w:val="en-US" w:eastAsia="zh-CN"/>
              </w:rPr>
            </w:pPr>
            <w:r>
              <w:rPr>
                <w:rFonts w:hint="eastAsia"/>
                <w:sz w:val="21"/>
                <w:szCs w:val="21"/>
                <w:lang w:val="en-US" w:eastAsia="zh-CN"/>
              </w:rPr>
              <w:t>4</w:t>
            </w:r>
          </w:p>
        </w:tc>
        <w:tc>
          <w:tcPr>
            <w:tcW w:w="414" w:type="pct"/>
            <w:vMerge w:val="continue"/>
            <w:noWrap w:val="0"/>
            <w:vAlign w:val="center"/>
          </w:tcPr>
          <w:p w14:paraId="75AAAA52">
            <w:pPr>
              <w:bidi w:val="0"/>
              <w:spacing w:line="240" w:lineRule="auto"/>
              <w:ind w:left="0" w:leftChars="0" w:firstLine="0" w:firstLineChars="0"/>
              <w:jc w:val="center"/>
              <w:rPr>
                <w:rFonts w:hint="eastAsia"/>
                <w:sz w:val="21"/>
                <w:szCs w:val="21"/>
                <w:lang w:val="en-US" w:eastAsia="zh-CN"/>
              </w:rPr>
            </w:pPr>
          </w:p>
        </w:tc>
        <w:tc>
          <w:tcPr>
            <w:tcW w:w="1328" w:type="pct"/>
            <w:gridSpan w:val="2"/>
            <w:noWrap w:val="0"/>
            <w:vAlign w:val="center"/>
          </w:tcPr>
          <w:p w14:paraId="5CA2074C">
            <w:pPr>
              <w:bidi w:val="0"/>
              <w:spacing w:line="240" w:lineRule="auto"/>
              <w:ind w:left="0" w:leftChars="0" w:firstLine="0" w:firstLineChars="0"/>
              <w:jc w:val="center"/>
              <w:rPr>
                <w:rFonts w:hint="eastAsia"/>
                <w:sz w:val="21"/>
                <w:szCs w:val="21"/>
                <w:lang w:val="en-US" w:eastAsia="zh-CN"/>
              </w:rPr>
            </w:pPr>
            <w:r>
              <w:rPr>
                <w:rFonts w:hint="eastAsia"/>
                <w:sz w:val="21"/>
                <w:szCs w:val="21"/>
                <w:lang w:val="en-US" w:eastAsia="zh-CN"/>
              </w:rPr>
              <w:t>施工期固体废物</w:t>
            </w:r>
          </w:p>
        </w:tc>
        <w:tc>
          <w:tcPr>
            <w:tcW w:w="2175" w:type="pct"/>
            <w:noWrap w:val="0"/>
            <w:vAlign w:val="center"/>
          </w:tcPr>
          <w:p w14:paraId="64E1F8B3">
            <w:pPr>
              <w:bidi w:val="0"/>
              <w:spacing w:line="240" w:lineRule="auto"/>
              <w:ind w:left="0" w:leftChars="0" w:firstLine="0" w:firstLineChars="0"/>
              <w:jc w:val="center"/>
              <w:rPr>
                <w:rFonts w:hint="eastAsia"/>
                <w:sz w:val="21"/>
                <w:szCs w:val="21"/>
                <w:lang w:val="en-US" w:eastAsia="zh-CN"/>
              </w:rPr>
            </w:pPr>
            <w:r>
              <w:rPr>
                <w:rFonts w:hint="eastAsia"/>
                <w:sz w:val="21"/>
                <w:szCs w:val="21"/>
                <w:lang w:val="en-US" w:eastAsia="zh-CN"/>
              </w:rPr>
              <w:t>垃圾收集器、分类储存</w:t>
            </w:r>
          </w:p>
        </w:tc>
        <w:tc>
          <w:tcPr>
            <w:tcW w:w="624" w:type="pct"/>
            <w:noWrap w:val="0"/>
            <w:vAlign w:val="center"/>
          </w:tcPr>
          <w:p w14:paraId="3007FF19">
            <w:pPr>
              <w:bidi w:val="0"/>
              <w:spacing w:line="240" w:lineRule="auto"/>
              <w:ind w:left="0" w:leftChars="0" w:firstLine="0" w:firstLineChars="0"/>
              <w:jc w:val="center"/>
              <w:rPr>
                <w:rFonts w:hint="eastAsia"/>
                <w:sz w:val="21"/>
                <w:szCs w:val="21"/>
                <w:lang w:val="en-US" w:eastAsia="zh-CN"/>
              </w:rPr>
            </w:pPr>
            <w:r>
              <w:rPr>
                <w:rFonts w:hint="eastAsia"/>
                <w:sz w:val="21"/>
                <w:szCs w:val="21"/>
                <w:lang w:val="en-US" w:eastAsia="zh-CN"/>
              </w:rPr>
              <w:t>1</w:t>
            </w:r>
          </w:p>
        </w:tc>
      </w:tr>
      <w:tr w14:paraId="49A2F37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456" w:type="pct"/>
            <w:noWrap w:val="0"/>
            <w:vAlign w:val="center"/>
          </w:tcPr>
          <w:p w14:paraId="20062145">
            <w:pPr>
              <w:bidi w:val="0"/>
              <w:spacing w:line="240" w:lineRule="auto"/>
              <w:ind w:left="0" w:leftChars="0" w:firstLine="0" w:firstLineChars="0"/>
              <w:jc w:val="center"/>
              <w:rPr>
                <w:rFonts w:hint="eastAsia"/>
                <w:sz w:val="21"/>
                <w:szCs w:val="21"/>
                <w:lang w:val="en-US" w:eastAsia="zh-CN"/>
              </w:rPr>
            </w:pPr>
            <w:r>
              <w:rPr>
                <w:rFonts w:hint="eastAsia"/>
                <w:sz w:val="21"/>
                <w:szCs w:val="21"/>
                <w:lang w:val="en-US" w:eastAsia="zh-CN"/>
              </w:rPr>
              <w:t>5</w:t>
            </w:r>
          </w:p>
        </w:tc>
        <w:tc>
          <w:tcPr>
            <w:tcW w:w="414" w:type="pct"/>
            <w:vMerge w:val="continue"/>
            <w:noWrap w:val="0"/>
            <w:vAlign w:val="center"/>
          </w:tcPr>
          <w:p w14:paraId="54AC7F8D">
            <w:pPr>
              <w:bidi w:val="0"/>
              <w:spacing w:line="240" w:lineRule="auto"/>
              <w:ind w:left="0" w:leftChars="0" w:firstLine="0" w:firstLineChars="0"/>
              <w:jc w:val="center"/>
              <w:rPr>
                <w:rFonts w:hint="eastAsia"/>
                <w:sz w:val="21"/>
                <w:szCs w:val="21"/>
                <w:lang w:val="en-US" w:eastAsia="zh-CN"/>
              </w:rPr>
            </w:pPr>
          </w:p>
        </w:tc>
        <w:tc>
          <w:tcPr>
            <w:tcW w:w="1328" w:type="pct"/>
            <w:gridSpan w:val="2"/>
            <w:noWrap w:val="0"/>
            <w:vAlign w:val="center"/>
          </w:tcPr>
          <w:p w14:paraId="42329A2E">
            <w:pPr>
              <w:bidi w:val="0"/>
              <w:spacing w:line="240" w:lineRule="auto"/>
              <w:ind w:left="0" w:leftChars="0" w:firstLine="0" w:firstLineChars="0"/>
              <w:jc w:val="center"/>
              <w:rPr>
                <w:rFonts w:hint="eastAsia"/>
                <w:sz w:val="21"/>
                <w:szCs w:val="21"/>
                <w:lang w:val="en-US" w:eastAsia="zh-CN"/>
              </w:rPr>
            </w:pPr>
            <w:r>
              <w:rPr>
                <w:rFonts w:hint="eastAsia"/>
                <w:sz w:val="21"/>
                <w:szCs w:val="21"/>
                <w:lang w:val="en-US" w:eastAsia="zh-CN"/>
              </w:rPr>
              <w:t>生态保护措施</w:t>
            </w:r>
          </w:p>
        </w:tc>
        <w:tc>
          <w:tcPr>
            <w:tcW w:w="2175" w:type="pct"/>
            <w:noWrap w:val="0"/>
            <w:vAlign w:val="center"/>
          </w:tcPr>
          <w:p w14:paraId="1335EE8E">
            <w:pPr>
              <w:bidi w:val="0"/>
              <w:spacing w:line="240" w:lineRule="auto"/>
              <w:ind w:left="0" w:leftChars="0" w:firstLine="0" w:firstLineChars="0"/>
              <w:jc w:val="center"/>
              <w:rPr>
                <w:rFonts w:hint="eastAsia"/>
                <w:sz w:val="21"/>
                <w:szCs w:val="21"/>
                <w:lang w:val="en-US" w:eastAsia="zh-CN"/>
              </w:rPr>
            </w:pPr>
            <w:r>
              <w:rPr>
                <w:rFonts w:hint="eastAsia"/>
                <w:sz w:val="21"/>
                <w:szCs w:val="21"/>
                <w:lang w:val="en-US" w:eastAsia="zh-CN"/>
              </w:rPr>
              <w:t>截流沟、临时道路复绿等</w:t>
            </w:r>
          </w:p>
        </w:tc>
        <w:tc>
          <w:tcPr>
            <w:tcW w:w="624" w:type="pct"/>
            <w:noWrap w:val="0"/>
            <w:vAlign w:val="center"/>
          </w:tcPr>
          <w:p w14:paraId="54B8702C">
            <w:pPr>
              <w:bidi w:val="0"/>
              <w:spacing w:line="240" w:lineRule="auto"/>
              <w:ind w:left="0" w:leftChars="0" w:firstLine="0" w:firstLineChars="0"/>
              <w:jc w:val="center"/>
              <w:rPr>
                <w:rFonts w:hint="eastAsia"/>
                <w:sz w:val="21"/>
                <w:szCs w:val="21"/>
                <w:lang w:val="en-US" w:eastAsia="zh-CN"/>
              </w:rPr>
            </w:pPr>
            <w:r>
              <w:rPr>
                <w:rFonts w:hint="eastAsia"/>
                <w:sz w:val="21"/>
                <w:szCs w:val="21"/>
                <w:lang w:val="en-US" w:eastAsia="zh-CN"/>
              </w:rPr>
              <w:t>60</w:t>
            </w:r>
          </w:p>
        </w:tc>
      </w:tr>
      <w:tr w14:paraId="032F88B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456" w:type="pct"/>
            <w:noWrap w:val="0"/>
            <w:vAlign w:val="center"/>
          </w:tcPr>
          <w:p w14:paraId="01925DC9">
            <w:pPr>
              <w:bidi w:val="0"/>
              <w:spacing w:line="240" w:lineRule="auto"/>
              <w:ind w:left="0" w:leftChars="0" w:firstLine="0" w:firstLineChars="0"/>
              <w:jc w:val="center"/>
              <w:rPr>
                <w:rFonts w:hint="eastAsia"/>
                <w:sz w:val="21"/>
                <w:szCs w:val="21"/>
                <w:lang w:val="en-US" w:eastAsia="zh-CN"/>
              </w:rPr>
            </w:pPr>
            <w:r>
              <w:rPr>
                <w:rFonts w:hint="eastAsia"/>
                <w:sz w:val="21"/>
                <w:szCs w:val="21"/>
                <w:lang w:val="en-US" w:eastAsia="zh-CN"/>
              </w:rPr>
              <w:t>6</w:t>
            </w:r>
          </w:p>
        </w:tc>
        <w:tc>
          <w:tcPr>
            <w:tcW w:w="414" w:type="pct"/>
            <w:noWrap w:val="0"/>
            <w:vAlign w:val="center"/>
          </w:tcPr>
          <w:p w14:paraId="4F8C0248">
            <w:pPr>
              <w:bidi w:val="0"/>
              <w:spacing w:line="240" w:lineRule="auto"/>
              <w:ind w:left="0" w:leftChars="0" w:firstLine="0" w:firstLineChars="0"/>
              <w:jc w:val="center"/>
              <w:rPr>
                <w:rFonts w:hint="default"/>
                <w:sz w:val="21"/>
                <w:szCs w:val="21"/>
                <w:lang w:val="en-US" w:eastAsia="zh-CN"/>
              </w:rPr>
            </w:pPr>
            <w:r>
              <w:rPr>
                <w:rFonts w:hint="eastAsia"/>
                <w:sz w:val="21"/>
                <w:szCs w:val="21"/>
                <w:lang w:val="en-US" w:eastAsia="zh-CN"/>
              </w:rPr>
              <w:t>封场后</w:t>
            </w:r>
          </w:p>
        </w:tc>
        <w:tc>
          <w:tcPr>
            <w:tcW w:w="1328" w:type="pct"/>
            <w:gridSpan w:val="2"/>
            <w:noWrap w:val="0"/>
            <w:vAlign w:val="center"/>
          </w:tcPr>
          <w:p w14:paraId="4AC6A487">
            <w:pPr>
              <w:bidi w:val="0"/>
              <w:spacing w:line="240" w:lineRule="auto"/>
              <w:ind w:left="0" w:leftChars="0" w:firstLine="0" w:firstLineChars="0"/>
              <w:jc w:val="center"/>
              <w:rPr>
                <w:rFonts w:hint="eastAsia"/>
                <w:sz w:val="21"/>
                <w:szCs w:val="21"/>
                <w:lang w:val="en-US" w:eastAsia="zh-CN"/>
              </w:rPr>
            </w:pPr>
            <w:r>
              <w:rPr>
                <w:rFonts w:hint="eastAsia"/>
                <w:sz w:val="21"/>
                <w:szCs w:val="21"/>
                <w:lang w:val="en-US" w:eastAsia="zh-CN"/>
              </w:rPr>
              <w:t>渗滤液</w:t>
            </w:r>
          </w:p>
        </w:tc>
        <w:tc>
          <w:tcPr>
            <w:tcW w:w="2175" w:type="pct"/>
            <w:noWrap w:val="0"/>
            <w:vAlign w:val="center"/>
          </w:tcPr>
          <w:p w14:paraId="4BBCC918">
            <w:pPr>
              <w:bidi w:val="0"/>
              <w:spacing w:line="240" w:lineRule="auto"/>
              <w:ind w:left="0" w:leftChars="0" w:firstLine="0" w:firstLineChars="0"/>
              <w:jc w:val="center"/>
              <w:rPr>
                <w:rFonts w:hint="eastAsia"/>
                <w:sz w:val="21"/>
                <w:szCs w:val="21"/>
                <w:lang w:val="en-US" w:eastAsia="zh-CN"/>
              </w:rPr>
            </w:pPr>
            <w:r>
              <w:rPr>
                <w:rFonts w:hint="eastAsia"/>
                <w:sz w:val="21"/>
                <w:szCs w:val="21"/>
                <w:lang w:val="en-US" w:eastAsia="zh-CN"/>
              </w:rPr>
              <w:t>1座容积为48m</w:t>
            </w:r>
            <w:r>
              <w:rPr>
                <w:rFonts w:hint="eastAsia"/>
                <w:sz w:val="21"/>
                <w:szCs w:val="21"/>
                <w:vertAlign w:val="superscript"/>
                <w:lang w:val="en-US" w:eastAsia="zh-CN"/>
              </w:rPr>
              <w:t>3</w:t>
            </w:r>
            <w:r>
              <w:rPr>
                <w:rFonts w:hint="eastAsia"/>
                <w:sz w:val="21"/>
                <w:szCs w:val="21"/>
                <w:lang w:val="en-US" w:eastAsia="zh-CN"/>
              </w:rPr>
              <w:t>的渗滤液收集池；设一体化设备（生物制剂+絮凝沉淀）进行处理后远期由槽罐车托运至湖南黄金天岳矿业有限公司垂拱洞尾矿库废水处理站进行处理</w:t>
            </w:r>
          </w:p>
        </w:tc>
        <w:tc>
          <w:tcPr>
            <w:tcW w:w="624" w:type="pct"/>
            <w:noWrap w:val="0"/>
            <w:vAlign w:val="center"/>
          </w:tcPr>
          <w:p w14:paraId="35ADCB57">
            <w:pPr>
              <w:bidi w:val="0"/>
              <w:spacing w:line="240" w:lineRule="auto"/>
              <w:ind w:left="0" w:leftChars="0" w:firstLine="0" w:firstLineChars="0"/>
              <w:jc w:val="center"/>
              <w:rPr>
                <w:rFonts w:hint="default"/>
                <w:sz w:val="21"/>
                <w:szCs w:val="21"/>
                <w:lang w:val="en-US" w:eastAsia="zh-CN"/>
              </w:rPr>
            </w:pPr>
            <w:r>
              <w:rPr>
                <w:rFonts w:hint="eastAsia"/>
                <w:sz w:val="21"/>
                <w:szCs w:val="21"/>
                <w:lang w:val="en-US" w:eastAsia="zh-CN"/>
              </w:rPr>
              <w:t>10</w:t>
            </w:r>
          </w:p>
        </w:tc>
      </w:tr>
      <w:tr w14:paraId="4AACF65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4375" w:type="pct"/>
            <w:gridSpan w:val="5"/>
            <w:noWrap w:val="0"/>
            <w:vAlign w:val="center"/>
          </w:tcPr>
          <w:p w14:paraId="2083FCC2">
            <w:pPr>
              <w:bidi w:val="0"/>
              <w:spacing w:line="360" w:lineRule="auto"/>
              <w:ind w:left="0" w:leftChars="0" w:firstLine="0" w:firstLineChars="0"/>
              <w:jc w:val="center"/>
              <w:rPr>
                <w:rFonts w:hint="eastAsia"/>
                <w:b/>
                <w:bCs/>
                <w:sz w:val="21"/>
                <w:szCs w:val="21"/>
                <w:lang w:val="en-US" w:eastAsia="zh-CN"/>
              </w:rPr>
            </w:pPr>
            <w:r>
              <w:rPr>
                <w:rFonts w:hint="eastAsia"/>
                <w:b/>
                <w:bCs/>
                <w:sz w:val="21"/>
                <w:szCs w:val="21"/>
                <w:lang w:val="en-US" w:eastAsia="zh-CN"/>
              </w:rPr>
              <w:t>合计</w:t>
            </w:r>
          </w:p>
        </w:tc>
        <w:tc>
          <w:tcPr>
            <w:tcW w:w="624" w:type="pct"/>
            <w:noWrap w:val="0"/>
            <w:vAlign w:val="center"/>
          </w:tcPr>
          <w:p w14:paraId="07A13BDC">
            <w:pPr>
              <w:bidi w:val="0"/>
              <w:spacing w:line="360" w:lineRule="auto"/>
              <w:ind w:left="0" w:leftChars="0" w:firstLine="0" w:firstLineChars="0"/>
              <w:jc w:val="center"/>
              <w:rPr>
                <w:rFonts w:hint="default"/>
                <w:b/>
                <w:bCs/>
                <w:sz w:val="21"/>
                <w:szCs w:val="21"/>
                <w:lang w:val="en-US" w:eastAsia="zh-CN"/>
              </w:rPr>
            </w:pPr>
            <w:r>
              <w:rPr>
                <w:rFonts w:hint="eastAsia"/>
                <w:b/>
                <w:bCs/>
                <w:sz w:val="21"/>
                <w:szCs w:val="21"/>
                <w:lang w:val="en-US" w:eastAsia="zh-CN"/>
              </w:rPr>
              <w:t>105</w:t>
            </w:r>
          </w:p>
        </w:tc>
      </w:tr>
    </w:tbl>
    <w:p w14:paraId="70D2C0C1">
      <w:pPr>
        <w:pStyle w:val="8"/>
        <w:numPr>
          <w:ilvl w:val="1"/>
          <w:numId w:val="1"/>
        </w:numPr>
        <w:tabs>
          <w:tab w:val="clear" w:pos="420"/>
        </w:tabs>
        <w:bidi w:val="0"/>
        <w:ind w:left="567" w:leftChars="0" w:hanging="567" w:firstLineChars="0"/>
        <w:rPr>
          <w:rFonts w:hint="eastAsia"/>
          <w:highlight w:val="none"/>
          <w:lang w:val="en-US" w:eastAsia="zh-CN"/>
        </w:rPr>
      </w:pPr>
      <w:bookmarkStart w:id="105" w:name="_Toc26409"/>
      <w:bookmarkStart w:id="106" w:name="_Toc4529"/>
      <w:r>
        <w:rPr>
          <w:rFonts w:hint="eastAsia"/>
          <w:highlight w:val="none"/>
          <w:lang w:val="en-US" w:eastAsia="zh-CN"/>
        </w:rPr>
        <w:t>环境经济损益分析</w:t>
      </w:r>
      <w:bookmarkEnd w:id="105"/>
      <w:bookmarkEnd w:id="106"/>
    </w:p>
    <w:p w14:paraId="16279E88">
      <w:pPr>
        <w:pStyle w:val="9"/>
        <w:numPr>
          <w:ilvl w:val="2"/>
          <w:numId w:val="1"/>
        </w:numPr>
        <w:bidi w:val="0"/>
        <w:ind w:left="709" w:leftChars="0" w:hanging="709" w:firstLineChars="0"/>
        <w:rPr>
          <w:rFonts w:hint="eastAsia"/>
          <w:highlight w:val="none"/>
          <w:lang w:val="en-US" w:eastAsia="zh-CN"/>
        </w:rPr>
      </w:pPr>
      <w:r>
        <w:rPr>
          <w:rFonts w:hint="eastAsia"/>
          <w:highlight w:val="none"/>
          <w:lang w:val="en-US" w:eastAsia="zh-CN"/>
        </w:rPr>
        <w:t>社会效益分析</w:t>
      </w:r>
    </w:p>
    <w:p w14:paraId="5ED20944">
      <w:pPr>
        <w:bidi w:val="0"/>
        <w:rPr>
          <w:rFonts w:hint="eastAsia"/>
          <w:highlight w:val="none"/>
          <w:lang w:val="en-US" w:eastAsia="zh-CN"/>
        </w:rPr>
      </w:pPr>
      <w:r>
        <w:rPr>
          <w:rFonts w:hint="eastAsia"/>
          <w:highlight w:val="none"/>
          <w:lang w:val="en-US" w:eastAsia="zh-CN"/>
        </w:rPr>
        <w:t>（1）剩余劳动力就地谋生，这既为当地居民降低了就业成本。对当地社会环境的稳定、促进当地经济的发展等起到一定的作用，也为政府减轻了就业压力和经济负担；工程建设也将刺激当地的经济需求，带动当地和周边地区的经济发展，促进电力、运输、服务等相关行业和基础设施的发展建设，加速当地的经济发展。因此，工程的建设具有良好的杜会效益。</w:t>
      </w:r>
    </w:p>
    <w:p w14:paraId="6DE12EC3">
      <w:pPr>
        <w:bidi w:val="0"/>
        <w:rPr>
          <w:rFonts w:hint="eastAsia"/>
          <w:highlight w:val="none"/>
          <w:lang w:val="en-US" w:eastAsia="zh-CN"/>
        </w:rPr>
      </w:pPr>
      <w:r>
        <w:rPr>
          <w:rFonts w:hint="eastAsia"/>
          <w:highlight w:val="none"/>
          <w:lang w:val="en-US" w:eastAsia="zh-CN"/>
        </w:rPr>
        <w:t>（2）工程也可以认为是一个环境治理、经济发展带动、社会和谐促进于一体的综合性工程。水源保护、自然生态平衡以及经济社会的可持续发展是我国当前面临的一个重大战略问题，工程的实施将对所在区域产生积极的社会影响，能维护当地社会的和谐稳定，并将给我国其他情况类似地区和项目带来示范与借鉴作用。</w:t>
      </w:r>
    </w:p>
    <w:p w14:paraId="0035335F">
      <w:pPr>
        <w:bidi w:val="0"/>
        <w:rPr>
          <w:rFonts w:hint="eastAsia"/>
          <w:highlight w:val="none"/>
          <w:lang w:val="en-US" w:eastAsia="zh-CN"/>
        </w:rPr>
      </w:pPr>
      <w:r>
        <w:rPr>
          <w:rFonts w:hint="eastAsia"/>
          <w:highlight w:val="none"/>
          <w:lang w:val="en-US" w:eastAsia="zh-CN"/>
        </w:rPr>
        <w:t>（3）本项目对保护周边小溪、地表水、地下水及土壤将发挥积极作用，具有十分显着的环境效益和社会效益。项目的实施可显着减少重金属污染，使受影响区域居民生活环境将得到改善，使流域内老百姓安居。同时对区域内生态环境改善，植被恢复，减少水土流失。</w:t>
      </w:r>
    </w:p>
    <w:p w14:paraId="43C6604D">
      <w:pPr>
        <w:pStyle w:val="9"/>
        <w:numPr>
          <w:ilvl w:val="2"/>
          <w:numId w:val="1"/>
        </w:numPr>
        <w:bidi w:val="0"/>
        <w:ind w:left="709" w:leftChars="0" w:hanging="709" w:firstLineChars="0"/>
        <w:rPr>
          <w:rFonts w:hint="eastAsia"/>
          <w:highlight w:val="none"/>
          <w:lang w:val="en-US" w:eastAsia="zh-CN"/>
        </w:rPr>
      </w:pPr>
      <w:r>
        <w:rPr>
          <w:rFonts w:hint="eastAsia"/>
          <w:highlight w:val="none"/>
          <w:lang w:val="en-US" w:eastAsia="zh-CN"/>
        </w:rPr>
        <w:t>经济效益分析</w:t>
      </w:r>
    </w:p>
    <w:p w14:paraId="2C752C8A">
      <w:pPr>
        <w:bidi w:val="0"/>
        <w:rPr>
          <w:rFonts w:hint="eastAsia"/>
          <w:highlight w:val="none"/>
          <w:lang w:val="en-US" w:eastAsia="zh-CN"/>
        </w:rPr>
      </w:pPr>
      <w:r>
        <w:rPr>
          <w:rFonts w:hint="eastAsia"/>
          <w:highlight w:val="none"/>
          <w:lang w:val="en-US" w:eastAsia="zh-CN"/>
        </w:rPr>
        <w:t>本项目建成后产生的效益，包括各种投资所产生的直接效益和间接效益（或者叫做一级效益，二级效益），项目实施后，可减少流域重金属污染程度，改善当地的生态环境和农业生产条件，推动农村经济的可持续发展。</w:t>
      </w:r>
    </w:p>
    <w:p w14:paraId="0A786335">
      <w:pPr>
        <w:pStyle w:val="9"/>
        <w:numPr>
          <w:ilvl w:val="2"/>
          <w:numId w:val="1"/>
        </w:numPr>
        <w:bidi w:val="0"/>
        <w:ind w:left="709" w:leftChars="0" w:hanging="709" w:firstLineChars="0"/>
        <w:rPr>
          <w:rFonts w:hint="eastAsia"/>
          <w:highlight w:val="none"/>
          <w:lang w:val="en-US" w:eastAsia="zh-CN"/>
        </w:rPr>
      </w:pPr>
      <w:r>
        <w:rPr>
          <w:rFonts w:hint="eastAsia"/>
          <w:highlight w:val="none"/>
          <w:lang w:val="en-US" w:eastAsia="zh-CN"/>
        </w:rPr>
        <w:t>环境效益分析</w:t>
      </w:r>
    </w:p>
    <w:p w14:paraId="68B1DA48">
      <w:pPr>
        <w:bidi w:val="0"/>
        <w:rPr>
          <w:rFonts w:hint="eastAsia"/>
          <w:highlight w:val="none"/>
          <w:lang w:val="en-US" w:eastAsia="zh-CN"/>
        </w:rPr>
      </w:pPr>
      <w:r>
        <w:rPr>
          <w:rFonts w:hint="eastAsia"/>
          <w:highlight w:val="none"/>
          <w:lang w:val="en-US" w:eastAsia="zh-CN"/>
        </w:rPr>
        <w:t>本项目在设计、建造与运行中对可能排放各种污染物或可能对环境造成危害的环节均采取了预防与治理措施，在采用先进设备创造经济效益的同时也避免了可能产生的环境影响。</w:t>
      </w:r>
    </w:p>
    <w:p w14:paraId="1CB042E0">
      <w:pPr>
        <w:bidi w:val="0"/>
        <w:rPr>
          <w:rFonts w:hint="eastAsia"/>
          <w:highlight w:val="none"/>
          <w:lang w:val="en-US" w:eastAsia="zh-CN"/>
        </w:rPr>
      </w:pPr>
      <w:r>
        <w:rPr>
          <w:rFonts w:hint="eastAsia"/>
          <w:highlight w:val="none"/>
          <w:lang w:val="en-US" w:eastAsia="zh-CN"/>
        </w:rPr>
        <w:t>本项目渗滤液经一体化废水处理装置处理后委托湖南黄金天岳矿业有限公司垂拱洞尾矿库废水处理站处理后排放，生活污水经化粪池处理后，用于农肥，不外排。</w:t>
      </w:r>
    </w:p>
    <w:p w14:paraId="3673DE09">
      <w:pPr>
        <w:bidi w:val="0"/>
        <w:rPr>
          <w:rFonts w:hint="eastAsia"/>
          <w:highlight w:val="none"/>
          <w:lang w:val="en-US" w:eastAsia="zh-CN"/>
        </w:rPr>
      </w:pPr>
      <w:r>
        <w:rPr>
          <w:rFonts w:hint="eastAsia"/>
          <w:highlight w:val="none"/>
          <w:lang w:val="en-US" w:eastAsia="zh-CN"/>
        </w:rPr>
        <w:t>项目选用低噪声设备，经采用适当的噪声控制措施以后，项目场界昼夜噪声影响可达到《工业企业厂界环境噪声排放标准》（GB12348-2008）中2类标准。</w:t>
      </w:r>
    </w:p>
    <w:p w14:paraId="4AFA409F">
      <w:pPr>
        <w:bidi w:val="0"/>
        <w:rPr>
          <w:rFonts w:hint="eastAsia"/>
          <w:highlight w:val="none"/>
          <w:lang w:val="en-US" w:eastAsia="zh-CN"/>
        </w:rPr>
      </w:pPr>
      <w:r>
        <w:rPr>
          <w:rFonts w:hint="eastAsia"/>
          <w:highlight w:val="none"/>
          <w:lang w:val="en-US" w:eastAsia="zh-CN"/>
        </w:rPr>
        <w:t>项目一般工业固废外售或综合利用；生活垃圾交由环卫部门统一清运，各类工业固废均得到了有效的处置，不会产生二次污染。</w:t>
      </w:r>
    </w:p>
    <w:p w14:paraId="0AAD6FC7">
      <w:pPr>
        <w:bidi w:val="0"/>
        <w:rPr>
          <w:rFonts w:hint="eastAsia"/>
          <w:highlight w:val="none"/>
          <w:lang w:val="en-US" w:eastAsia="zh-CN"/>
        </w:rPr>
      </w:pPr>
      <w:r>
        <w:rPr>
          <w:rFonts w:hint="eastAsia"/>
          <w:highlight w:val="none"/>
          <w:lang w:val="en-US" w:eastAsia="zh-CN"/>
        </w:rPr>
        <w:t>此外，企业还将建立完善的环保管理制度对员工采取有效的培训，使有关环保要求得到切实的落实。</w:t>
      </w:r>
    </w:p>
    <w:p w14:paraId="25A9A32F">
      <w:pPr>
        <w:bidi w:val="0"/>
        <w:rPr>
          <w:rFonts w:hint="eastAsia"/>
          <w:highlight w:val="none"/>
          <w:lang w:val="en-US" w:eastAsia="zh-CN"/>
        </w:rPr>
      </w:pPr>
      <w:r>
        <w:rPr>
          <w:rFonts w:hint="eastAsia"/>
          <w:highlight w:val="none"/>
          <w:lang w:val="en-US" w:eastAsia="zh-CN"/>
        </w:rPr>
        <w:t>通过实施这些环保措施，可以避免周围环境受到污染，避免员工及附近人群身体健康受到影响，因此具有较大的环境效益，避免了污染可能带来的巨大健康与经济损失。</w:t>
      </w:r>
    </w:p>
    <w:p w14:paraId="13CAD32E">
      <w:pPr>
        <w:bidi w:val="0"/>
        <w:rPr>
          <w:rFonts w:hint="eastAsia"/>
          <w:highlight w:val="none"/>
          <w:lang w:val="en-US" w:eastAsia="zh-CN"/>
        </w:rPr>
      </w:pPr>
      <w:r>
        <w:rPr>
          <w:rFonts w:hint="eastAsia"/>
          <w:highlight w:val="none"/>
          <w:lang w:val="en-US" w:eastAsia="zh-CN"/>
        </w:rPr>
        <w:t>虽然施工期建设产生的生态破坏、噪声、粉尘、固废等会给当地环境带来一些不利影响，但通过场区复绿后，对当地的生态恢复与水土保持工作具有一定的积极作用。</w:t>
      </w:r>
    </w:p>
    <w:p w14:paraId="164F4D62">
      <w:pPr>
        <w:pStyle w:val="8"/>
        <w:numPr>
          <w:ilvl w:val="1"/>
          <w:numId w:val="1"/>
        </w:numPr>
        <w:tabs>
          <w:tab w:val="clear" w:pos="420"/>
        </w:tabs>
        <w:bidi w:val="0"/>
        <w:ind w:left="567" w:leftChars="0" w:hanging="567" w:firstLineChars="0"/>
        <w:rPr>
          <w:rFonts w:hint="eastAsia"/>
          <w:highlight w:val="none"/>
          <w:lang w:val="en-US" w:eastAsia="zh-CN"/>
        </w:rPr>
      </w:pPr>
      <w:bookmarkStart w:id="107" w:name="_Toc5232"/>
      <w:bookmarkStart w:id="108" w:name="_Toc531"/>
      <w:r>
        <w:rPr>
          <w:rFonts w:hint="eastAsia"/>
          <w:highlight w:val="none"/>
          <w:lang w:val="en-US" w:eastAsia="zh-CN"/>
        </w:rPr>
        <w:t>环境影响经济损益分析小结</w:t>
      </w:r>
      <w:bookmarkEnd w:id="107"/>
      <w:bookmarkEnd w:id="108"/>
    </w:p>
    <w:p w14:paraId="2ADB18DC">
      <w:pPr>
        <w:bidi w:val="0"/>
        <w:rPr>
          <w:rFonts w:hint="eastAsia"/>
          <w:highlight w:val="none"/>
          <w:lang w:val="en-US" w:eastAsia="zh-CN"/>
        </w:rPr>
      </w:pPr>
      <w:r>
        <w:rPr>
          <w:rFonts w:hint="eastAsia"/>
          <w:highlight w:val="none"/>
          <w:lang w:val="en-US" w:eastAsia="zh-CN"/>
        </w:rPr>
        <w:t>本项目的建设投产，具有较好的社会效益和经济效益。虽然项目的建设势必会给项目所在区域环境带来一定不利影响，在采取切实可行的环保措施后，不仅可以减少污染物的排放量，而且还可以产生一定的经济效益。只要建设单位从各方面着手，从源头控制污染物，做好污染防治工作，清洁生产，尽可能削减污染物排放量，做到达标和达要求排放，本项目对周围环境的影响不大，相比而言，这些由环境影响导致的损失远较本项目带来的经济效益和社会效益小。因此，项目产生的总效益为正效益。</w:t>
      </w:r>
    </w:p>
    <w:p w14:paraId="446D9AAB">
      <w:pPr>
        <w:rPr>
          <w:rFonts w:hint="eastAsia"/>
          <w:highlight w:val="yellow"/>
          <w:lang w:val="en-US" w:eastAsia="zh-CN"/>
        </w:rPr>
      </w:pPr>
      <w:r>
        <w:rPr>
          <w:rFonts w:hint="eastAsia"/>
          <w:highlight w:val="yellow"/>
          <w:lang w:val="en-US" w:eastAsia="zh-CN"/>
        </w:rPr>
        <w:br w:type="page"/>
      </w:r>
    </w:p>
    <w:p w14:paraId="076E6222">
      <w:pPr>
        <w:pStyle w:val="7"/>
        <w:bidi w:val="0"/>
        <w:jc w:val="center"/>
        <w:rPr>
          <w:rFonts w:hint="default"/>
          <w:highlight w:val="none"/>
          <w:lang w:val="en-US" w:eastAsia="zh-CN"/>
        </w:rPr>
      </w:pPr>
      <w:bookmarkStart w:id="109" w:name="_Toc11312"/>
      <w:r>
        <w:rPr>
          <w:rFonts w:hint="eastAsia"/>
          <w:highlight w:val="none"/>
          <w:lang w:val="en-US" w:eastAsia="zh-CN"/>
        </w:rPr>
        <w:t>环境管理与环境监测</w:t>
      </w:r>
      <w:bookmarkEnd w:id="109"/>
    </w:p>
    <w:p w14:paraId="61F68B23">
      <w:pPr>
        <w:pStyle w:val="8"/>
        <w:numPr>
          <w:ilvl w:val="1"/>
          <w:numId w:val="1"/>
        </w:numPr>
        <w:tabs>
          <w:tab w:val="clear" w:pos="420"/>
        </w:tabs>
        <w:bidi w:val="0"/>
        <w:ind w:left="567" w:leftChars="0" w:hanging="567" w:firstLineChars="0"/>
        <w:rPr>
          <w:rFonts w:hint="default"/>
          <w:highlight w:val="none"/>
          <w:u w:val="none" w:color="auto"/>
          <w:lang w:val="en-US" w:eastAsia="zh-CN"/>
        </w:rPr>
      </w:pPr>
      <w:bookmarkStart w:id="110" w:name="_Toc21288"/>
      <w:bookmarkStart w:id="111" w:name="_Toc12934"/>
      <w:r>
        <w:rPr>
          <w:rFonts w:hint="eastAsia"/>
          <w:highlight w:val="none"/>
          <w:u w:val="none" w:color="auto"/>
          <w:lang w:val="en-US" w:eastAsia="zh-CN"/>
        </w:rPr>
        <w:t>环境管理</w:t>
      </w:r>
      <w:bookmarkEnd w:id="110"/>
      <w:bookmarkEnd w:id="111"/>
    </w:p>
    <w:p w14:paraId="2AF36441">
      <w:pPr>
        <w:bidi w:val="0"/>
        <w:rPr>
          <w:rFonts w:hint="eastAsia"/>
          <w:lang w:val="en-US" w:eastAsia="zh-CN"/>
        </w:rPr>
      </w:pPr>
      <w:r>
        <w:rPr>
          <w:rFonts w:hint="eastAsia"/>
          <w:lang w:val="en-US" w:eastAsia="zh-CN"/>
        </w:rPr>
        <w:t>环境管理是企业管理的重要内容之一，在企业环境保护工作中有着举足轻重的地位。加大环境监督和管理力度是企业实现环境、生产、经济协调发展的重要措施，也是企业实现可持续发展的重要保障。环境监测是工业污染防治的依据和环境管理的基础，加强污染监控是企业及时了解和掌握排污特征，研究污染发展趋势，开展环境保护技术研究、综合利用能源和及时了解污染控制措施的效果的重要途径，是监督企业环保设施正常运行的基础，也是确保污染物排放达标的可靠保证。</w:t>
      </w:r>
    </w:p>
    <w:p w14:paraId="5BFC2239">
      <w:pPr>
        <w:pStyle w:val="9"/>
        <w:numPr>
          <w:ilvl w:val="2"/>
          <w:numId w:val="1"/>
        </w:numPr>
        <w:bidi w:val="0"/>
        <w:ind w:left="709" w:leftChars="0" w:hanging="709" w:firstLineChars="0"/>
        <w:rPr>
          <w:rFonts w:hint="eastAsia"/>
          <w:lang w:val="en-US" w:eastAsia="zh-CN"/>
        </w:rPr>
      </w:pPr>
      <w:bookmarkStart w:id="112" w:name="_Toc8079"/>
      <w:r>
        <w:rPr>
          <w:rFonts w:hint="eastAsia"/>
          <w:lang w:val="en-US" w:eastAsia="zh-CN"/>
        </w:rPr>
        <w:t>环境管理机构</w:t>
      </w:r>
      <w:bookmarkEnd w:id="112"/>
    </w:p>
    <w:p w14:paraId="193CDEC4">
      <w:pPr>
        <w:bidi w:val="0"/>
        <w:rPr>
          <w:rFonts w:hint="eastAsia"/>
          <w:lang w:val="en-US" w:eastAsia="zh-CN"/>
        </w:rPr>
      </w:pPr>
      <w:r>
        <w:rPr>
          <w:rFonts w:hint="eastAsia"/>
          <w:lang w:val="en-US" w:eastAsia="zh-CN"/>
        </w:rPr>
        <w:t>由于在工程建设及运行过程中不可避免地会产生污染物的排放，为了加强环境保护的力度，实现可持续发展的战略目标，按照环境保护的要求，根据一些环境管理先进企业的经验，建设单位应建立健全一套完整的环境管理机构，成立环境保护领导小组，负责工程的治理期、运行期（封场后）的环境管理工作，使各项环境保护措施、制度得以贯彻落实。环境管理机构应建立完善的环境管理制度，并针对可能发生的突发事件制订预案和应急对策，同时环境管理机构应明确分工，责任到人。</w:t>
      </w:r>
    </w:p>
    <w:p w14:paraId="40C802D6">
      <w:pPr>
        <w:bidi w:val="0"/>
        <w:rPr>
          <w:rFonts w:hint="eastAsia"/>
          <w:highlight w:val="none"/>
          <w:u w:val="none" w:color="auto"/>
          <w:lang w:val="en-US" w:eastAsia="zh-CN"/>
        </w:rPr>
      </w:pPr>
      <w:r>
        <w:rPr>
          <w:rFonts w:hint="eastAsia"/>
          <w:highlight w:val="none"/>
          <w:u w:val="none" w:color="auto"/>
          <w:lang w:val="en-US" w:eastAsia="zh-CN"/>
        </w:rPr>
        <w:t>施工期、运行期（封场后）由建设单位负责施工现场及治理完成后的环境管理。工程建成后岳阳市生态环境局平江分局负责污染物排放监测及环境监管。</w:t>
      </w:r>
    </w:p>
    <w:p w14:paraId="263DC5C9">
      <w:pPr>
        <w:bidi w:val="0"/>
        <w:rPr>
          <w:rFonts w:hint="eastAsia"/>
          <w:highlight w:val="none"/>
          <w:u w:val="none" w:color="auto"/>
          <w:lang w:val="en-US" w:eastAsia="zh-CN"/>
        </w:rPr>
      </w:pPr>
      <w:r>
        <w:rPr>
          <w:rFonts w:hint="eastAsia"/>
          <w:highlight w:val="none"/>
          <w:u w:val="none" w:color="auto"/>
          <w:lang w:val="en-US" w:eastAsia="zh-CN"/>
        </w:rPr>
        <w:t>施工期间建设单位需设置2~3名专职或兼职的环保管理人员。负责项目的环境管理以及对外的环保协调工作，履行环境管理职责和环境监控职责。具体职责如下：</w:t>
      </w:r>
    </w:p>
    <w:p w14:paraId="54F6D817">
      <w:pPr>
        <w:bidi w:val="0"/>
        <w:rPr>
          <w:rFonts w:hint="eastAsia"/>
          <w:highlight w:val="none"/>
          <w:u w:val="none" w:color="auto"/>
          <w:lang w:val="en-US" w:eastAsia="zh-CN"/>
        </w:rPr>
      </w:pPr>
      <w:r>
        <w:rPr>
          <w:rFonts w:hint="eastAsia"/>
          <w:highlight w:val="none"/>
          <w:u w:val="none" w:color="auto"/>
          <w:lang w:val="en-US" w:eastAsia="zh-CN"/>
        </w:rPr>
        <w:t>环境管理机构的职责：</w:t>
      </w:r>
    </w:p>
    <w:p w14:paraId="65A182B8">
      <w:pPr>
        <w:bidi w:val="0"/>
        <w:rPr>
          <w:rFonts w:hint="eastAsia"/>
          <w:highlight w:val="none"/>
          <w:u w:val="none" w:color="auto"/>
          <w:lang w:val="en-US" w:eastAsia="zh-CN"/>
        </w:rPr>
      </w:pPr>
      <w:r>
        <w:rPr>
          <w:rFonts w:hint="eastAsia"/>
          <w:highlight w:val="none"/>
          <w:u w:val="none" w:color="auto"/>
          <w:lang w:val="en-US" w:eastAsia="zh-CN"/>
        </w:rPr>
        <w:t>1）宣传、贯彻执行环境保护法律、法规、条例和标准，并经常监督有关部门的执行情况；</w:t>
      </w:r>
    </w:p>
    <w:p w14:paraId="74972017">
      <w:pPr>
        <w:bidi w:val="0"/>
        <w:rPr>
          <w:rFonts w:hint="eastAsia"/>
          <w:highlight w:val="none"/>
          <w:u w:val="none" w:color="auto"/>
          <w:lang w:val="en-US" w:eastAsia="zh-CN"/>
        </w:rPr>
      </w:pPr>
      <w:r>
        <w:rPr>
          <w:rFonts w:hint="eastAsia"/>
          <w:highlight w:val="none"/>
          <w:u w:val="none" w:color="auto"/>
          <w:lang w:val="en-US" w:eastAsia="zh-CN"/>
        </w:rPr>
        <w:t>2）负责日常环境管理工作，并配合生态环境管理部门做好与其它社会各界有关环保问题的协调工作；</w:t>
      </w:r>
    </w:p>
    <w:p w14:paraId="7F3527D2">
      <w:pPr>
        <w:bidi w:val="0"/>
        <w:rPr>
          <w:rFonts w:hint="eastAsia"/>
          <w:highlight w:val="none"/>
          <w:u w:val="none" w:color="auto"/>
          <w:lang w:val="en-US" w:eastAsia="zh-CN"/>
        </w:rPr>
      </w:pPr>
      <w:r>
        <w:rPr>
          <w:rFonts w:hint="eastAsia"/>
          <w:highlight w:val="none"/>
          <w:u w:val="none" w:color="auto"/>
          <w:lang w:val="en-US" w:eastAsia="zh-CN"/>
        </w:rPr>
        <w:t>3）负责项目的环境管理、环境保护和生态保护工作并监督各项环保措施的落实和执行情况；</w:t>
      </w:r>
    </w:p>
    <w:p w14:paraId="711CABBE">
      <w:pPr>
        <w:bidi w:val="0"/>
        <w:rPr>
          <w:rFonts w:hint="eastAsia"/>
          <w:highlight w:val="none"/>
          <w:u w:val="none" w:color="auto"/>
          <w:lang w:val="en-US" w:eastAsia="zh-CN"/>
        </w:rPr>
      </w:pPr>
      <w:r>
        <w:rPr>
          <w:rFonts w:hint="eastAsia"/>
          <w:highlight w:val="none"/>
          <w:u w:val="none" w:color="auto"/>
          <w:lang w:val="en-US" w:eastAsia="zh-CN"/>
        </w:rPr>
        <w:t>4）按照规定进行环境监测，并协助有关单位的环境监测管理人员，建立监控档案和业务联系，接受指导和监督；</w:t>
      </w:r>
    </w:p>
    <w:p w14:paraId="3BC3CF38">
      <w:pPr>
        <w:bidi w:val="0"/>
        <w:rPr>
          <w:rFonts w:hint="eastAsia"/>
          <w:highlight w:val="none"/>
          <w:u w:val="none" w:color="auto"/>
          <w:lang w:val="en-US" w:eastAsia="zh-CN"/>
        </w:rPr>
      </w:pPr>
      <w:r>
        <w:rPr>
          <w:rFonts w:hint="eastAsia"/>
          <w:highlight w:val="none"/>
          <w:u w:val="none" w:color="auto"/>
          <w:lang w:val="en-US" w:eastAsia="zh-CN"/>
        </w:rPr>
        <w:t>5）按照生态环境部门的有关规定和要求填写各种环境管理报表；</w:t>
      </w:r>
    </w:p>
    <w:p w14:paraId="6B8F8E97">
      <w:pPr>
        <w:bidi w:val="0"/>
        <w:rPr>
          <w:rFonts w:hint="eastAsia"/>
          <w:highlight w:val="none"/>
          <w:u w:val="none" w:color="auto"/>
          <w:lang w:val="en-US" w:eastAsia="zh-CN"/>
        </w:rPr>
      </w:pPr>
      <w:r>
        <w:rPr>
          <w:rFonts w:hint="eastAsia"/>
          <w:highlight w:val="none"/>
          <w:u w:val="none" w:color="auto"/>
          <w:lang w:val="en-US" w:eastAsia="zh-CN"/>
        </w:rPr>
        <w:t>6）配合有关单位和部门负责对环境事故进行调查、监督和分析，并写出相应的调查报告；</w:t>
      </w:r>
    </w:p>
    <w:p w14:paraId="68188740">
      <w:pPr>
        <w:bidi w:val="0"/>
        <w:rPr>
          <w:rFonts w:hint="eastAsia"/>
          <w:highlight w:val="none"/>
          <w:u w:val="none" w:color="auto"/>
          <w:lang w:val="en-US" w:eastAsia="zh-CN"/>
        </w:rPr>
      </w:pPr>
      <w:r>
        <w:rPr>
          <w:rFonts w:hint="eastAsia"/>
          <w:highlight w:val="none"/>
          <w:u w:val="none" w:color="auto"/>
          <w:lang w:val="en-US" w:eastAsia="zh-CN"/>
        </w:rPr>
        <w:t>7）协助有关部门搞好项目区域内的环境和生态保护教育、技术培训，提高治理期间施工人员和运行期管理人员的素质和环境意识；</w:t>
      </w:r>
    </w:p>
    <w:p w14:paraId="61A4B895">
      <w:pPr>
        <w:bidi w:val="0"/>
        <w:rPr>
          <w:rFonts w:hint="eastAsia"/>
          <w:highlight w:val="none"/>
          <w:u w:val="none" w:color="auto"/>
          <w:lang w:val="en-US" w:eastAsia="zh-CN"/>
        </w:rPr>
      </w:pPr>
      <w:r>
        <w:rPr>
          <w:rFonts w:hint="eastAsia"/>
          <w:highlight w:val="none"/>
          <w:u w:val="none" w:color="auto"/>
          <w:lang w:val="en-US" w:eastAsia="zh-CN"/>
        </w:rPr>
        <w:t>8）制定、实施、管理本项目区域内污染物排放和环境保护设施运转计划，并做好考核和统计等工作；</w:t>
      </w:r>
    </w:p>
    <w:p w14:paraId="2FD546AA">
      <w:pPr>
        <w:bidi w:val="0"/>
        <w:rPr>
          <w:rFonts w:hint="eastAsia"/>
          <w:highlight w:val="none"/>
          <w:u w:val="none" w:color="auto"/>
          <w:lang w:val="en-US" w:eastAsia="zh-CN"/>
        </w:rPr>
      </w:pPr>
      <w:r>
        <w:rPr>
          <w:rFonts w:hint="eastAsia"/>
          <w:highlight w:val="none"/>
          <w:u w:val="none" w:color="auto"/>
          <w:lang w:val="en-US" w:eastAsia="zh-CN"/>
        </w:rPr>
        <w:t>9）加强对环保设施的运行管理，如果出现运行故障，应该立即进行检修，严禁非正常排放；</w:t>
      </w:r>
    </w:p>
    <w:p w14:paraId="2FEE2AE1">
      <w:pPr>
        <w:bidi w:val="0"/>
        <w:rPr>
          <w:rFonts w:hint="eastAsia"/>
          <w:highlight w:val="none"/>
          <w:u w:val="none" w:color="auto"/>
          <w:lang w:val="en-US" w:eastAsia="zh-CN"/>
        </w:rPr>
      </w:pPr>
      <w:r>
        <w:rPr>
          <w:rFonts w:hint="eastAsia"/>
          <w:highlight w:val="none"/>
          <w:u w:val="none" w:color="auto"/>
          <w:lang w:val="en-US" w:eastAsia="zh-CN"/>
        </w:rPr>
        <w:t>10）协调、处理因本项目的实施可能产生的环境问题的投诉以及项目区域居民对周围环境的投诉，协同环境保护部门处理和解答与本项目有关的公众意见，并协调配合有关单位进行处理，达成相应的谅解；</w:t>
      </w:r>
    </w:p>
    <w:p w14:paraId="491A4319">
      <w:pPr>
        <w:bidi w:val="0"/>
        <w:rPr>
          <w:rFonts w:hint="eastAsia"/>
          <w:highlight w:val="none"/>
          <w:u w:val="none" w:color="auto"/>
          <w:lang w:val="en-US" w:eastAsia="zh-CN"/>
        </w:rPr>
      </w:pPr>
      <w:r>
        <w:rPr>
          <w:rFonts w:hint="eastAsia"/>
          <w:highlight w:val="none"/>
          <w:u w:val="none" w:color="auto"/>
          <w:lang w:val="en-US" w:eastAsia="zh-CN"/>
        </w:rPr>
        <w:t>11）定期检查监督环保法规执行情况，及时和有关部门联系落实各方面的环保措施，使之正常运行。</w:t>
      </w:r>
    </w:p>
    <w:p w14:paraId="263F4A17">
      <w:pPr>
        <w:bidi w:val="0"/>
        <w:rPr>
          <w:rFonts w:hint="eastAsia"/>
          <w:highlight w:val="none"/>
          <w:u w:val="none" w:color="auto"/>
          <w:lang w:val="en-US" w:eastAsia="zh-CN"/>
        </w:rPr>
      </w:pPr>
      <w:r>
        <w:rPr>
          <w:rFonts w:hint="eastAsia"/>
          <w:highlight w:val="none"/>
          <w:u w:val="none" w:color="auto"/>
          <w:lang w:val="en-US" w:eastAsia="zh-CN"/>
        </w:rPr>
        <w:t>12）抓好环境教育和技术培训工作，提高员工素质。</w:t>
      </w:r>
    </w:p>
    <w:p w14:paraId="79936E46">
      <w:pPr>
        <w:pStyle w:val="9"/>
        <w:numPr>
          <w:ilvl w:val="2"/>
          <w:numId w:val="1"/>
        </w:numPr>
        <w:bidi w:val="0"/>
        <w:ind w:left="709" w:leftChars="0" w:hanging="709" w:firstLineChars="0"/>
        <w:rPr>
          <w:rFonts w:hint="eastAsia"/>
          <w:lang w:val="en-US" w:eastAsia="zh-CN"/>
        </w:rPr>
      </w:pPr>
      <w:bookmarkStart w:id="113" w:name="_Toc8099"/>
      <w:r>
        <w:rPr>
          <w:rFonts w:hint="eastAsia"/>
          <w:lang w:val="en-US" w:eastAsia="zh-CN"/>
        </w:rPr>
        <w:t>施工期环境管理</w:t>
      </w:r>
      <w:bookmarkEnd w:id="113"/>
    </w:p>
    <w:p w14:paraId="4567337A">
      <w:pPr>
        <w:bidi w:val="0"/>
        <w:rPr>
          <w:rFonts w:hint="eastAsia"/>
          <w:highlight w:val="none"/>
          <w:u w:val="none" w:color="auto"/>
          <w:lang w:val="en-US" w:eastAsia="zh-CN"/>
        </w:rPr>
      </w:pPr>
      <w:r>
        <w:rPr>
          <w:rFonts w:hint="eastAsia"/>
          <w:highlight w:val="none"/>
          <w:u w:val="none" w:color="auto"/>
          <w:lang w:val="en-US" w:eastAsia="zh-CN"/>
        </w:rPr>
        <w:t>本项目在施工期间应设立相关的环境管理部门，负责环境管理的部门有专人负责日常的环境管理工作，包括国家有关环境保护法律、法规贯彻和执行、“三废”处理的管理、环境保护的宣传和教育、环保管理档案的建立等。除了日常的环境管理工作外，根据本项目的特点，应特别注意如下几点：</w:t>
      </w:r>
    </w:p>
    <w:p w14:paraId="3B5A3E45">
      <w:pPr>
        <w:bidi w:val="0"/>
        <w:rPr>
          <w:rFonts w:hint="eastAsia"/>
          <w:highlight w:val="none"/>
          <w:u w:val="none" w:color="auto"/>
          <w:lang w:val="en-US" w:eastAsia="zh-CN"/>
        </w:rPr>
      </w:pPr>
      <w:r>
        <w:rPr>
          <w:rFonts w:hint="eastAsia"/>
          <w:highlight w:val="none"/>
          <w:u w:val="none" w:color="auto"/>
          <w:lang w:val="en-US" w:eastAsia="zh-CN"/>
        </w:rPr>
        <w:t>（1）编制施工期环境保护管理制度并组织实施，制定培训计划。</w:t>
      </w:r>
    </w:p>
    <w:p w14:paraId="355D9E67">
      <w:pPr>
        <w:bidi w:val="0"/>
        <w:rPr>
          <w:rFonts w:hint="eastAsia"/>
          <w:highlight w:val="none"/>
          <w:u w:val="none" w:color="auto"/>
          <w:lang w:val="en-US" w:eastAsia="zh-CN"/>
        </w:rPr>
      </w:pPr>
      <w:r>
        <w:rPr>
          <w:rFonts w:hint="eastAsia"/>
          <w:highlight w:val="none"/>
          <w:u w:val="none" w:color="auto"/>
          <w:lang w:val="en-US" w:eastAsia="zh-CN"/>
        </w:rPr>
        <w:t>（2）将环评报告书、实施方案有关环保措施委托设计、施工单位落实各项环保措施。</w:t>
      </w:r>
    </w:p>
    <w:p w14:paraId="40E8C73D">
      <w:pPr>
        <w:bidi w:val="0"/>
        <w:rPr>
          <w:rFonts w:hint="eastAsia"/>
          <w:highlight w:val="none"/>
          <w:u w:val="none" w:color="auto"/>
          <w:lang w:val="en-US" w:eastAsia="zh-CN"/>
        </w:rPr>
      </w:pPr>
      <w:r>
        <w:rPr>
          <w:rFonts w:hint="eastAsia"/>
          <w:highlight w:val="none"/>
          <w:u w:val="none" w:color="auto"/>
          <w:lang w:val="en-US" w:eastAsia="zh-CN"/>
        </w:rPr>
        <w:t>（3）委托有资质的监测单位按照本项目的环境管理计划进行施工期和管理期环境监测。并建立监测档案，对监测单位提供的数据要复查并送交生态环境保护主管部门。</w:t>
      </w:r>
    </w:p>
    <w:p w14:paraId="1303559C">
      <w:pPr>
        <w:bidi w:val="0"/>
        <w:rPr>
          <w:rFonts w:hint="eastAsia"/>
          <w:highlight w:val="none"/>
          <w:u w:val="none" w:color="auto"/>
          <w:lang w:val="en-US" w:eastAsia="zh-CN"/>
        </w:rPr>
      </w:pPr>
      <w:r>
        <w:rPr>
          <w:rFonts w:hint="eastAsia"/>
          <w:highlight w:val="none"/>
          <w:u w:val="none" w:color="auto"/>
          <w:lang w:val="en-US" w:eastAsia="zh-CN"/>
        </w:rPr>
        <w:t>（4）制定施工计划，合理安排施工时间，加强对噪声源运行时间的管理，减少噪声影响时间，做到夜间不施工。加强对施工机械的管理，避免因为设备性能差而增加机械噪声的现象发生。</w:t>
      </w:r>
    </w:p>
    <w:p w14:paraId="14B94349">
      <w:pPr>
        <w:bidi w:val="0"/>
        <w:rPr>
          <w:rFonts w:hint="eastAsia"/>
          <w:highlight w:val="none"/>
          <w:u w:val="none" w:color="auto"/>
          <w:lang w:val="en-US" w:eastAsia="zh-CN"/>
        </w:rPr>
      </w:pPr>
      <w:r>
        <w:rPr>
          <w:rFonts w:hint="eastAsia"/>
          <w:highlight w:val="none"/>
          <w:u w:val="none" w:color="auto"/>
          <w:lang w:val="en-US" w:eastAsia="zh-CN"/>
        </w:rPr>
        <w:t>（5）施工场地的管理。每个施工场地有专人负责监督，对大风天气需要加强管理，防止对施工场地下风向敏感目标造成严重污染的情况发生。料场堆放地、运输车辆等均有专人负责，对不按环境管理要求的行为进行制止和采取相应的补救措施。</w:t>
      </w:r>
    </w:p>
    <w:p w14:paraId="463B96A2">
      <w:pPr>
        <w:bidi w:val="0"/>
        <w:rPr>
          <w:rFonts w:hint="eastAsia"/>
          <w:highlight w:val="none"/>
          <w:u w:val="none" w:color="auto"/>
          <w:lang w:val="en-US" w:eastAsia="zh-CN"/>
        </w:rPr>
      </w:pPr>
      <w:r>
        <w:rPr>
          <w:rFonts w:hint="eastAsia"/>
          <w:highlight w:val="none"/>
          <w:u w:val="none" w:color="auto"/>
          <w:lang w:val="en-US" w:eastAsia="zh-CN"/>
        </w:rPr>
        <w:t>（6）对开挖土方管理。及时清运，严格计算需要取土的量，对取土和弃土全过程控制；护坡建设要有连贯性，护坡建成后及时进行边坡防护。</w:t>
      </w:r>
    </w:p>
    <w:p w14:paraId="77123B0A">
      <w:pPr>
        <w:bidi w:val="0"/>
        <w:rPr>
          <w:rFonts w:hint="eastAsia"/>
          <w:highlight w:val="none"/>
          <w:u w:val="none" w:color="auto"/>
          <w:lang w:val="en-US" w:eastAsia="zh-CN"/>
        </w:rPr>
      </w:pPr>
      <w:r>
        <w:rPr>
          <w:rFonts w:hint="eastAsia"/>
          <w:highlight w:val="none"/>
          <w:u w:val="none" w:color="auto"/>
          <w:lang w:val="en-US" w:eastAsia="zh-CN"/>
        </w:rPr>
        <w:t>（7）制定合理的运输路线。在选择施工场地及运输路线时，避免对河道水质、居民区的影响。</w:t>
      </w:r>
    </w:p>
    <w:p w14:paraId="195A8BA0">
      <w:pPr>
        <w:bidi w:val="0"/>
        <w:rPr>
          <w:rFonts w:hint="eastAsia"/>
          <w:highlight w:val="none"/>
          <w:u w:val="none" w:color="auto"/>
          <w:lang w:val="en-US" w:eastAsia="zh-CN"/>
        </w:rPr>
      </w:pPr>
      <w:r>
        <w:rPr>
          <w:rFonts w:hint="eastAsia"/>
          <w:highlight w:val="none"/>
          <w:u w:val="none" w:color="auto"/>
          <w:lang w:val="en-US" w:eastAsia="zh-CN"/>
        </w:rPr>
        <w:t>（8）开展环境监理，在施工监理的同时委托有能力机构开展项目的环境监理，并编制环境监理报告。</w:t>
      </w:r>
    </w:p>
    <w:p w14:paraId="4EEBC267">
      <w:pPr>
        <w:pStyle w:val="9"/>
        <w:numPr>
          <w:ilvl w:val="2"/>
          <w:numId w:val="1"/>
        </w:numPr>
        <w:bidi w:val="0"/>
        <w:ind w:left="709" w:leftChars="0" w:hanging="709" w:firstLineChars="0"/>
        <w:rPr>
          <w:rFonts w:hint="eastAsia"/>
          <w:lang w:val="en-US" w:eastAsia="zh-CN"/>
        </w:rPr>
      </w:pPr>
      <w:bookmarkStart w:id="114" w:name="_Toc23281"/>
      <w:r>
        <w:rPr>
          <w:rFonts w:hint="eastAsia"/>
          <w:lang w:val="en-US" w:eastAsia="zh-CN"/>
        </w:rPr>
        <w:t>封场后环境管理</w:t>
      </w:r>
      <w:bookmarkEnd w:id="114"/>
    </w:p>
    <w:p w14:paraId="6272B5E8">
      <w:pPr>
        <w:bidi w:val="0"/>
        <w:rPr>
          <w:rFonts w:hint="eastAsia"/>
          <w:lang w:val="en-US" w:eastAsia="zh-CN"/>
        </w:rPr>
      </w:pPr>
      <w:r>
        <w:rPr>
          <w:rFonts w:hint="eastAsia"/>
          <w:lang w:val="en-US" w:eastAsia="zh-CN"/>
        </w:rPr>
        <w:t>项目治理完成后，应由环保部门、建设单位等单位共同参与对建设项目验收，检查环保设施是否达到“三同时”要求。</w:t>
      </w:r>
    </w:p>
    <w:p w14:paraId="6C091820">
      <w:pPr>
        <w:bidi w:val="0"/>
        <w:rPr>
          <w:rFonts w:hint="eastAsia"/>
          <w:lang w:val="en-US" w:eastAsia="zh-CN"/>
        </w:rPr>
      </w:pPr>
      <w:r>
        <w:rPr>
          <w:rFonts w:hint="eastAsia"/>
          <w:lang w:val="en-US" w:eastAsia="zh-CN"/>
        </w:rPr>
        <w:t>为保证本项目各项环保设施正常有效运行和搞好项目所在区域的环境管理工作，需设立环境管理机构，负责项目环境管理和日常环境监测工作，设置1~2名专职或兼职的环保管理人员。</w:t>
      </w:r>
    </w:p>
    <w:p w14:paraId="191E2478">
      <w:pPr>
        <w:pStyle w:val="8"/>
        <w:numPr>
          <w:ilvl w:val="1"/>
          <w:numId w:val="1"/>
        </w:numPr>
        <w:tabs>
          <w:tab w:val="clear" w:pos="420"/>
        </w:tabs>
        <w:bidi w:val="0"/>
        <w:ind w:left="567" w:leftChars="0" w:hanging="567" w:firstLineChars="0"/>
        <w:rPr>
          <w:rFonts w:hint="default"/>
          <w:highlight w:val="none"/>
          <w:u w:val="none" w:color="auto"/>
          <w:lang w:val="en-US" w:eastAsia="zh-CN"/>
        </w:rPr>
      </w:pPr>
      <w:bookmarkStart w:id="115" w:name="_Toc26892"/>
      <w:bookmarkStart w:id="116" w:name="_Toc22622"/>
      <w:r>
        <w:rPr>
          <w:rFonts w:hint="eastAsia"/>
          <w:highlight w:val="none"/>
          <w:u w:val="none" w:color="auto"/>
          <w:lang w:val="en-US" w:eastAsia="zh-CN"/>
        </w:rPr>
        <w:t>环境监测</w:t>
      </w:r>
      <w:bookmarkEnd w:id="115"/>
      <w:bookmarkEnd w:id="116"/>
    </w:p>
    <w:p w14:paraId="7ACCFFB0">
      <w:pPr>
        <w:bidi w:val="0"/>
        <w:rPr>
          <w:rFonts w:hint="eastAsia"/>
          <w:highlight w:val="none"/>
          <w:u w:val="none" w:color="auto"/>
          <w:lang w:val="en-US" w:eastAsia="zh-CN"/>
        </w:rPr>
      </w:pPr>
      <w:r>
        <w:rPr>
          <w:rFonts w:hint="eastAsia"/>
          <w:highlight w:val="none"/>
          <w:u w:val="none" w:color="auto"/>
          <w:lang w:val="en-US" w:eastAsia="zh-CN"/>
        </w:rPr>
        <w:t>环境监测是项目环境保护的“眼睛”，是基本的手段和信息基础，环境监测的特点是以样品的监测结果来推断总体环境质量。因此，必须把握好各个技术环节，包括确定环境监测的项目的范围，采样的位置和数量，采样的时间和方法，样品的分析和数据处理等及其质量保证工作。保证监测数据具有完整的质量特征，准确性、精密性、完整性、代表性和可比性。</w:t>
      </w:r>
    </w:p>
    <w:p w14:paraId="5A1F2C1A">
      <w:pPr>
        <w:pStyle w:val="9"/>
        <w:numPr>
          <w:ilvl w:val="2"/>
          <w:numId w:val="1"/>
        </w:numPr>
        <w:bidi w:val="0"/>
        <w:ind w:left="709" w:leftChars="0" w:hanging="709" w:firstLineChars="0"/>
        <w:rPr>
          <w:rFonts w:hint="default"/>
          <w:highlight w:val="none"/>
          <w:u w:val="none" w:color="auto"/>
          <w:lang w:val="en-US" w:eastAsia="zh-CN"/>
        </w:rPr>
      </w:pPr>
      <w:r>
        <w:rPr>
          <w:rFonts w:hint="eastAsia"/>
          <w:highlight w:val="none"/>
          <w:u w:val="none" w:color="auto"/>
          <w:lang w:val="en-US" w:eastAsia="zh-CN"/>
        </w:rPr>
        <w:t>环境监测的必要性</w:t>
      </w:r>
    </w:p>
    <w:p w14:paraId="71B0EDC1">
      <w:pPr>
        <w:bidi w:val="0"/>
        <w:rPr>
          <w:rFonts w:hint="eastAsia"/>
          <w:highlight w:val="none"/>
          <w:u w:val="none" w:color="auto"/>
          <w:lang w:val="en-US" w:eastAsia="zh-CN"/>
        </w:rPr>
      </w:pPr>
      <w:r>
        <w:rPr>
          <w:rFonts w:hint="eastAsia"/>
          <w:highlight w:val="none"/>
          <w:u w:val="none" w:color="auto"/>
          <w:lang w:val="en-US" w:eastAsia="zh-CN"/>
        </w:rPr>
        <w:t>环境监测既是项目执行管理的需要，也是生态环境部门了解项目执行情况、研究对策，实行宏观指导的依据。通过现场监测，能及时发现问题和了解运行数据是否理想，达到总结经验、解决问题、改善管理的目的，以确保项目顺利实现预期目的。</w:t>
      </w:r>
    </w:p>
    <w:p w14:paraId="32BA6C95">
      <w:pPr>
        <w:pStyle w:val="9"/>
        <w:numPr>
          <w:ilvl w:val="2"/>
          <w:numId w:val="1"/>
        </w:numPr>
        <w:bidi w:val="0"/>
        <w:ind w:left="709" w:leftChars="0" w:hanging="709" w:firstLineChars="0"/>
        <w:rPr>
          <w:rFonts w:hint="default"/>
          <w:highlight w:val="none"/>
          <w:u w:val="none" w:color="auto"/>
          <w:lang w:val="en-US" w:eastAsia="zh-CN"/>
        </w:rPr>
      </w:pPr>
      <w:r>
        <w:rPr>
          <w:rFonts w:hint="eastAsia"/>
          <w:highlight w:val="none"/>
          <w:u w:val="none" w:color="auto"/>
          <w:lang w:val="en-US" w:eastAsia="zh-CN"/>
        </w:rPr>
        <w:t>环境监测机构设置</w:t>
      </w:r>
    </w:p>
    <w:p w14:paraId="1C1F3420">
      <w:pPr>
        <w:bidi w:val="0"/>
        <w:rPr>
          <w:rFonts w:hint="eastAsia"/>
          <w:highlight w:val="none"/>
          <w:u w:val="none" w:color="auto"/>
          <w:lang w:val="en-US" w:eastAsia="zh-CN"/>
        </w:rPr>
      </w:pPr>
      <w:r>
        <w:rPr>
          <w:rFonts w:hint="eastAsia"/>
          <w:highlight w:val="none"/>
          <w:u w:val="none" w:color="auto"/>
          <w:lang w:val="en-US" w:eastAsia="zh-CN"/>
        </w:rPr>
        <w:t>为了及时准确地了解项目的污染物排放情况和污染物治理设施的运行状况，企业应委托有资质的监测机构进行常规监测。</w:t>
      </w:r>
    </w:p>
    <w:p w14:paraId="238F6E42">
      <w:pPr>
        <w:pStyle w:val="9"/>
        <w:numPr>
          <w:ilvl w:val="2"/>
          <w:numId w:val="1"/>
        </w:numPr>
        <w:bidi w:val="0"/>
        <w:ind w:left="709" w:leftChars="0" w:hanging="709" w:firstLineChars="0"/>
        <w:rPr>
          <w:rFonts w:hint="default"/>
          <w:highlight w:val="none"/>
          <w:u w:val="none" w:color="auto"/>
          <w:lang w:val="en-US" w:eastAsia="zh-CN"/>
        </w:rPr>
      </w:pPr>
      <w:r>
        <w:rPr>
          <w:rFonts w:hint="eastAsia"/>
          <w:highlight w:val="none"/>
          <w:u w:val="none" w:color="auto"/>
          <w:lang w:val="en-US" w:eastAsia="zh-CN"/>
        </w:rPr>
        <w:t>环境监测职责</w:t>
      </w:r>
    </w:p>
    <w:p w14:paraId="18C01F6E">
      <w:pPr>
        <w:bidi w:val="0"/>
        <w:rPr>
          <w:rFonts w:hint="eastAsia"/>
          <w:highlight w:val="none"/>
          <w:u w:val="none" w:color="auto"/>
          <w:lang w:val="en-US" w:eastAsia="zh-CN"/>
        </w:rPr>
      </w:pPr>
      <w:r>
        <w:rPr>
          <w:rFonts w:hint="eastAsia"/>
          <w:highlight w:val="none"/>
          <w:u w:val="none" w:color="auto"/>
          <w:lang w:val="en-US" w:eastAsia="zh-CN"/>
        </w:rPr>
        <w:t>（1）根据国家和主管部门颁布的环保法规、污染物排放标准以及企业内部的要求，制订监测站的工作计划和实施方案。</w:t>
      </w:r>
    </w:p>
    <w:p w14:paraId="00342009">
      <w:pPr>
        <w:bidi w:val="0"/>
        <w:rPr>
          <w:rFonts w:hint="eastAsia"/>
          <w:highlight w:val="none"/>
          <w:u w:val="none" w:color="auto"/>
          <w:lang w:val="en-US" w:eastAsia="zh-CN"/>
        </w:rPr>
      </w:pPr>
      <w:r>
        <w:rPr>
          <w:rFonts w:hint="eastAsia"/>
          <w:highlight w:val="none"/>
          <w:u w:val="none" w:color="auto"/>
          <w:lang w:val="en-US" w:eastAsia="zh-CN"/>
        </w:rPr>
        <w:t>（2）对生产过程中污染物的排放状况和污染治理设施的处理效果进行定期监测，为设施的运行控制提供依据。</w:t>
      </w:r>
    </w:p>
    <w:p w14:paraId="67C361D1">
      <w:pPr>
        <w:bidi w:val="0"/>
        <w:rPr>
          <w:rFonts w:hint="eastAsia"/>
          <w:highlight w:val="none"/>
          <w:u w:val="none" w:color="auto"/>
          <w:lang w:val="en-US" w:eastAsia="zh-CN"/>
        </w:rPr>
      </w:pPr>
      <w:r>
        <w:rPr>
          <w:rFonts w:hint="eastAsia"/>
          <w:highlight w:val="none"/>
          <w:u w:val="none" w:color="auto"/>
          <w:lang w:val="en-US" w:eastAsia="zh-CN"/>
        </w:rPr>
        <w:t>（3）监督污染物排放的达标情况。</w:t>
      </w:r>
    </w:p>
    <w:p w14:paraId="5867EFDE">
      <w:pPr>
        <w:bidi w:val="0"/>
        <w:rPr>
          <w:rFonts w:hint="eastAsia"/>
          <w:highlight w:val="none"/>
          <w:u w:val="none" w:color="auto"/>
          <w:lang w:val="en-US" w:eastAsia="zh-CN"/>
        </w:rPr>
      </w:pPr>
      <w:r>
        <w:rPr>
          <w:rFonts w:hint="eastAsia"/>
          <w:highlight w:val="none"/>
          <w:u w:val="none" w:color="auto"/>
          <w:lang w:val="en-US" w:eastAsia="zh-CN"/>
        </w:rPr>
        <w:t>（4）作好监测数据的整理记录工作，作好企业污染物排放情况动态变化的档案记载工作。</w:t>
      </w:r>
    </w:p>
    <w:p w14:paraId="4425EBE3">
      <w:pPr>
        <w:bidi w:val="0"/>
        <w:rPr>
          <w:rFonts w:hint="eastAsia"/>
          <w:highlight w:val="none"/>
          <w:u w:val="none" w:color="auto"/>
          <w:lang w:val="en-US" w:eastAsia="zh-CN"/>
        </w:rPr>
      </w:pPr>
      <w:r>
        <w:rPr>
          <w:rFonts w:hint="eastAsia"/>
          <w:highlight w:val="none"/>
          <w:u w:val="none" w:color="auto"/>
          <w:lang w:val="en-US" w:eastAsia="zh-CN"/>
        </w:rPr>
        <w:t>（5）努力学习，不断提高站内工作人员的业务素质和工作能力。</w:t>
      </w:r>
    </w:p>
    <w:p w14:paraId="7F63E456">
      <w:pPr>
        <w:pStyle w:val="9"/>
        <w:numPr>
          <w:ilvl w:val="2"/>
          <w:numId w:val="1"/>
        </w:numPr>
        <w:bidi w:val="0"/>
        <w:ind w:left="709" w:leftChars="0" w:hanging="709" w:firstLineChars="0"/>
        <w:rPr>
          <w:rFonts w:hint="default"/>
          <w:highlight w:val="none"/>
          <w:u w:val="none" w:color="auto"/>
          <w:lang w:val="en-US" w:eastAsia="zh-CN"/>
        </w:rPr>
      </w:pPr>
      <w:r>
        <w:rPr>
          <w:rFonts w:hint="eastAsia"/>
          <w:highlight w:val="none"/>
          <w:u w:val="none" w:color="auto"/>
          <w:lang w:val="en-US" w:eastAsia="zh-CN"/>
        </w:rPr>
        <w:t>环境监测计划</w:t>
      </w:r>
    </w:p>
    <w:p w14:paraId="06734733">
      <w:pPr>
        <w:bidi w:val="0"/>
        <w:rPr>
          <w:rFonts w:hint="eastAsia"/>
          <w:highlight w:val="none"/>
          <w:u w:val="none" w:color="auto"/>
          <w:lang w:val="en-US" w:eastAsia="zh-CN"/>
        </w:rPr>
      </w:pPr>
      <w:r>
        <w:rPr>
          <w:rFonts w:hint="eastAsia"/>
          <w:highlight w:val="none"/>
          <w:u w:val="none" w:color="auto"/>
          <w:lang w:val="en-US" w:eastAsia="zh-CN"/>
        </w:rPr>
        <w:t>《环保法》第四十二条明确提出“重点排污单位应当按照国家有关规定和监测规范安装使用监测设备，保证监测设备正常运行，保存原始监测记录”；第五十五条要求“重点排污单位应当如实向社会公开其主要污染物的名称、排放方式、排放浓度和总量、超标排放情况，以及防治污染设施的建设和运行情况，接受社会监督”。参考《一般工业固体废物贮存和填埋污染控制标准》（GB18599-2020）和《排污单位自行监测技术指南  工业固体废物和危险废物治理》（HJ1250-2022），排污单位应掌握本单位的污染排放状况及其对周边环境质量的影响，对污染物排放、周边环境质量影响进行监测。</w:t>
      </w:r>
    </w:p>
    <w:p w14:paraId="1D75D95B">
      <w:pPr>
        <w:bidi w:val="0"/>
        <w:rPr>
          <w:rFonts w:hint="default"/>
          <w:b/>
          <w:bCs/>
          <w:highlight w:val="none"/>
          <w:u w:val="none" w:color="auto"/>
          <w:lang w:val="en-US" w:eastAsia="zh-CN"/>
        </w:rPr>
      </w:pPr>
      <w:r>
        <w:rPr>
          <w:rFonts w:hint="eastAsia"/>
          <w:b/>
          <w:bCs/>
          <w:highlight w:val="none"/>
          <w:u w:val="none" w:color="auto"/>
          <w:lang w:val="en-US" w:eastAsia="zh-CN"/>
        </w:rPr>
        <w:t>（1）环境监测计划</w:t>
      </w:r>
    </w:p>
    <w:p w14:paraId="6E86FAB9">
      <w:pPr>
        <w:bidi w:val="0"/>
        <w:rPr>
          <w:rFonts w:hint="default"/>
          <w:highlight w:val="none"/>
          <w:u w:val="none" w:color="auto"/>
          <w:lang w:val="en-US" w:eastAsia="zh-CN"/>
        </w:rPr>
      </w:pPr>
      <w:r>
        <w:rPr>
          <w:highlight w:val="none"/>
          <w:u w:val="none" w:color="auto"/>
        </w:rPr>
        <w:t>依据《建设项目环境影响评价技术导则</w:t>
      </w:r>
      <w:r>
        <w:rPr>
          <w:rFonts w:hint="eastAsia"/>
          <w:highlight w:val="none"/>
          <w:u w:val="none" w:color="auto"/>
          <w:lang w:val="en-US" w:eastAsia="zh-CN"/>
        </w:rPr>
        <w:t xml:space="preserve">  </w:t>
      </w:r>
      <w:r>
        <w:rPr>
          <w:highlight w:val="none"/>
          <w:u w:val="none" w:color="auto"/>
        </w:rPr>
        <w:t>总纲》（HJ2.1-2016）</w:t>
      </w:r>
      <w:r>
        <w:rPr>
          <w:rFonts w:hint="eastAsia"/>
          <w:highlight w:val="none"/>
          <w:u w:val="none" w:color="auto"/>
          <w:lang w:eastAsia="zh-CN"/>
        </w:rPr>
        <w:t>、</w:t>
      </w:r>
      <w:r>
        <w:rPr>
          <w:rFonts w:hint="eastAsia"/>
          <w:highlight w:val="none"/>
          <w:u w:val="none" w:color="auto"/>
          <w:lang w:val="en-US" w:eastAsia="zh-CN"/>
        </w:rPr>
        <w:t>《一般工业固体废物贮存和填埋污染控制标准》（GB18599-2020）和《排污单位自行监测技术指南  工业固体废物和危险废物治理》（HJ1250-2022）</w:t>
      </w:r>
      <w:r>
        <w:rPr>
          <w:highlight w:val="none"/>
          <w:u w:val="none" w:color="auto"/>
        </w:rPr>
        <w:t>，根据项目特点，给出项目环境监测计划见表</w:t>
      </w:r>
      <w:r>
        <w:rPr>
          <w:rFonts w:hint="eastAsia"/>
          <w:highlight w:val="none"/>
          <w:u w:val="none" w:color="auto"/>
          <w:lang w:val="en-US" w:eastAsia="zh-CN"/>
        </w:rPr>
        <w:t>9.2-1</w:t>
      </w:r>
      <w:r>
        <w:rPr>
          <w:highlight w:val="none"/>
          <w:u w:val="none" w:color="auto"/>
        </w:rPr>
        <w:t>，由于建设单位没有监测的能力，环境监测工作可委托有资质的监测机构进行。</w:t>
      </w:r>
    </w:p>
    <w:p w14:paraId="08EF9C57">
      <w:pPr>
        <w:bidi w:val="0"/>
        <w:ind w:left="0" w:leftChars="0" w:firstLine="0" w:firstLineChars="0"/>
        <w:jc w:val="center"/>
        <w:rPr>
          <w:rFonts w:hint="default"/>
          <w:b/>
          <w:bCs/>
          <w:sz w:val="21"/>
          <w:szCs w:val="21"/>
          <w:highlight w:val="none"/>
          <w:u w:val="none" w:color="auto"/>
          <w:lang w:val="en-US" w:eastAsia="zh-CN"/>
        </w:rPr>
      </w:pPr>
      <w:r>
        <w:rPr>
          <w:rFonts w:hint="eastAsia"/>
          <w:b/>
          <w:bCs/>
          <w:sz w:val="21"/>
          <w:szCs w:val="21"/>
          <w:highlight w:val="none"/>
          <w:u w:val="none" w:color="auto"/>
          <w:lang w:val="en-US" w:eastAsia="zh-CN"/>
        </w:rPr>
        <w:t>表9.2-1  环境监测计划一览表</w:t>
      </w:r>
    </w:p>
    <w:tbl>
      <w:tblPr>
        <w:tblStyle w:val="35"/>
        <w:tblW w:w="4996"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1294"/>
        <w:gridCol w:w="1883"/>
        <w:gridCol w:w="2728"/>
        <w:gridCol w:w="2275"/>
      </w:tblGrid>
      <w:tr w14:paraId="4867DF6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blHeader/>
          <w:jc w:val="center"/>
        </w:trPr>
        <w:tc>
          <w:tcPr>
            <w:tcW w:w="593" w:type="pct"/>
            <w:noWrap w:val="0"/>
            <w:vAlign w:val="center"/>
          </w:tcPr>
          <w:p w14:paraId="038C2001">
            <w:pPr>
              <w:bidi w:val="0"/>
              <w:spacing w:line="360" w:lineRule="auto"/>
              <w:ind w:left="0" w:leftChars="0" w:firstLine="0" w:firstLineChars="0"/>
              <w:jc w:val="center"/>
              <w:rPr>
                <w:rFonts w:hint="eastAsia"/>
                <w:b/>
                <w:bCs/>
                <w:sz w:val="21"/>
                <w:szCs w:val="21"/>
                <w:highlight w:val="none"/>
                <w:lang w:val="en-US" w:eastAsia="zh-CN"/>
              </w:rPr>
            </w:pPr>
            <w:r>
              <w:rPr>
                <w:rFonts w:hint="eastAsia"/>
                <w:b/>
                <w:bCs/>
                <w:sz w:val="21"/>
                <w:szCs w:val="21"/>
                <w:highlight w:val="none"/>
                <w:lang w:val="en-US" w:eastAsia="zh-CN"/>
              </w:rPr>
              <w:t>监测期</w:t>
            </w:r>
          </w:p>
        </w:tc>
        <w:tc>
          <w:tcPr>
            <w:tcW w:w="697" w:type="pct"/>
            <w:noWrap w:val="0"/>
            <w:vAlign w:val="center"/>
          </w:tcPr>
          <w:p w14:paraId="193C6437">
            <w:pPr>
              <w:bidi w:val="0"/>
              <w:spacing w:line="360" w:lineRule="auto"/>
              <w:ind w:left="0" w:leftChars="0" w:firstLine="0" w:firstLineChars="0"/>
              <w:jc w:val="center"/>
              <w:rPr>
                <w:rFonts w:hint="eastAsia"/>
                <w:b/>
                <w:bCs/>
                <w:sz w:val="21"/>
                <w:szCs w:val="21"/>
                <w:highlight w:val="none"/>
                <w:lang w:val="en-US" w:eastAsia="zh-CN"/>
              </w:rPr>
            </w:pPr>
            <w:r>
              <w:rPr>
                <w:rFonts w:hint="eastAsia"/>
                <w:b/>
                <w:bCs/>
                <w:sz w:val="21"/>
                <w:szCs w:val="21"/>
                <w:highlight w:val="none"/>
                <w:lang w:val="en-US" w:eastAsia="zh-CN"/>
              </w:rPr>
              <w:t>环境要素</w:t>
            </w:r>
          </w:p>
        </w:tc>
        <w:tc>
          <w:tcPr>
            <w:tcW w:w="1014" w:type="pct"/>
            <w:noWrap w:val="0"/>
            <w:vAlign w:val="center"/>
          </w:tcPr>
          <w:p w14:paraId="1621C13E">
            <w:pPr>
              <w:bidi w:val="0"/>
              <w:spacing w:line="360" w:lineRule="auto"/>
              <w:ind w:left="0" w:leftChars="0" w:firstLine="0" w:firstLineChars="0"/>
              <w:jc w:val="center"/>
              <w:rPr>
                <w:rFonts w:hint="eastAsia"/>
                <w:b/>
                <w:bCs/>
                <w:sz w:val="21"/>
                <w:szCs w:val="21"/>
                <w:highlight w:val="none"/>
                <w:lang w:val="en-US" w:eastAsia="zh-CN"/>
              </w:rPr>
            </w:pPr>
            <w:r>
              <w:rPr>
                <w:rFonts w:hint="eastAsia"/>
                <w:b/>
                <w:bCs/>
                <w:sz w:val="21"/>
                <w:szCs w:val="21"/>
                <w:highlight w:val="none"/>
                <w:lang w:val="en-US" w:eastAsia="zh-CN"/>
              </w:rPr>
              <w:t>监测点位</w:t>
            </w:r>
          </w:p>
        </w:tc>
        <w:tc>
          <w:tcPr>
            <w:tcW w:w="1469" w:type="pct"/>
            <w:noWrap w:val="0"/>
            <w:vAlign w:val="center"/>
          </w:tcPr>
          <w:p w14:paraId="2335094E">
            <w:pPr>
              <w:bidi w:val="0"/>
              <w:spacing w:line="360" w:lineRule="auto"/>
              <w:ind w:left="0" w:leftChars="0" w:firstLine="0" w:firstLineChars="0"/>
              <w:jc w:val="center"/>
              <w:rPr>
                <w:rFonts w:hint="default"/>
                <w:b/>
                <w:bCs/>
                <w:sz w:val="21"/>
                <w:szCs w:val="21"/>
                <w:highlight w:val="none"/>
                <w:lang w:val="en-US" w:eastAsia="zh-CN"/>
              </w:rPr>
            </w:pPr>
            <w:r>
              <w:rPr>
                <w:rFonts w:hint="eastAsia"/>
                <w:b/>
                <w:bCs/>
                <w:sz w:val="21"/>
                <w:szCs w:val="21"/>
                <w:highlight w:val="none"/>
                <w:lang w:val="en-US" w:eastAsia="zh-CN"/>
              </w:rPr>
              <w:t>监测因子</w:t>
            </w:r>
          </w:p>
        </w:tc>
        <w:tc>
          <w:tcPr>
            <w:tcW w:w="1225" w:type="pct"/>
            <w:noWrap w:val="0"/>
            <w:vAlign w:val="center"/>
          </w:tcPr>
          <w:p w14:paraId="429A9FB9">
            <w:pPr>
              <w:bidi w:val="0"/>
              <w:spacing w:line="360" w:lineRule="auto"/>
              <w:ind w:left="0" w:leftChars="0" w:firstLine="0" w:firstLineChars="0"/>
              <w:jc w:val="center"/>
              <w:rPr>
                <w:rFonts w:hint="eastAsia"/>
                <w:b/>
                <w:bCs/>
                <w:sz w:val="21"/>
                <w:szCs w:val="21"/>
                <w:highlight w:val="none"/>
                <w:lang w:val="en-US" w:eastAsia="zh-CN"/>
              </w:rPr>
            </w:pPr>
            <w:r>
              <w:rPr>
                <w:rFonts w:hint="eastAsia"/>
                <w:b/>
                <w:bCs/>
                <w:sz w:val="21"/>
                <w:szCs w:val="21"/>
                <w:highlight w:val="none"/>
                <w:lang w:val="en-US" w:eastAsia="zh-CN"/>
              </w:rPr>
              <w:t>监测频率</w:t>
            </w:r>
          </w:p>
        </w:tc>
      </w:tr>
      <w:tr w14:paraId="14C94EF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93" w:type="pct"/>
            <w:vMerge w:val="restart"/>
            <w:noWrap w:val="0"/>
            <w:vAlign w:val="center"/>
          </w:tcPr>
          <w:p w14:paraId="72D79ACF">
            <w:pPr>
              <w:bidi w:val="0"/>
              <w:spacing w:line="240" w:lineRule="auto"/>
              <w:ind w:left="0" w:leftChars="0" w:firstLine="0" w:firstLineChars="0"/>
              <w:jc w:val="center"/>
              <w:rPr>
                <w:rFonts w:hint="eastAsia"/>
                <w:sz w:val="21"/>
                <w:szCs w:val="21"/>
                <w:highlight w:val="none"/>
                <w:lang w:val="en-US" w:eastAsia="zh-CN"/>
              </w:rPr>
            </w:pPr>
            <w:r>
              <w:rPr>
                <w:rFonts w:hint="eastAsia"/>
                <w:sz w:val="21"/>
                <w:szCs w:val="21"/>
                <w:highlight w:val="none"/>
                <w:lang w:val="en-US" w:eastAsia="zh-CN"/>
              </w:rPr>
              <w:t>施工期</w:t>
            </w:r>
          </w:p>
        </w:tc>
        <w:tc>
          <w:tcPr>
            <w:tcW w:w="697" w:type="pct"/>
            <w:noWrap w:val="0"/>
            <w:vAlign w:val="center"/>
          </w:tcPr>
          <w:p w14:paraId="57765BD3">
            <w:pPr>
              <w:bidi w:val="0"/>
              <w:spacing w:line="240" w:lineRule="auto"/>
              <w:ind w:left="0" w:leftChars="0" w:firstLine="0" w:firstLineChars="0"/>
              <w:jc w:val="center"/>
              <w:rPr>
                <w:rFonts w:hint="eastAsia"/>
                <w:sz w:val="21"/>
                <w:szCs w:val="21"/>
                <w:highlight w:val="none"/>
                <w:lang w:val="en-US" w:eastAsia="zh-CN"/>
              </w:rPr>
            </w:pPr>
            <w:r>
              <w:rPr>
                <w:rFonts w:hint="eastAsia"/>
                <w:sz w:val="21"/>
                <w:szCs w:val="21"/>
                <w:highlight w:val="none"/>
                <w:lang w:val="en-US" w:eastAsia="zh-CN"/>
              </w:rPr>
              <w:t>废气</w:t>
            </w:r>
          </w:p>
        </w:tc>
        <w:tc>
          <w:tcPr>
            <w:tcW w:w="1014" w:type="pct"/>
            <w:noWrap w:val="0"/>
            <w:vAlign w:val="center"/>
          </w:tcPr>
          <w:p w14:paraId="6B8D69D9">
            <w:pPr>
              <w:bidi w:val="0"/>
              <w:spacing w:line="240" w:lineRule="auto"/>
              <w:ind w:left="0" w:leftChars="0" w:firstLine="0" w:firstLineChars="0"/>
              <w:jc w:val="center"/>
              <w:rPr>
                <w:rFonts w:hint="eastAsia"/>
                <w:sz w:val="21"/>
                <w:szCs w:val="21"/>
                <w:highlight w:val="none"/>
                <w:lang w:val="en-US" w:eastAsia="zh-CN"/>
              </w:rPr>
            </w:pPr>
            <w:r>
              <w:rPr>
                <w:rFonts w:hint="eastAsia"/>
                <w:sz w:val="21"/>
                <w:szCs w:val="21"/>
                <w:highlight w:val="none"/>
                <w:lang w:val="en-US" w:eastAsia="zh-CN"/>
              </w:rPr>
              <w:t>厂界</w:t>
            </w:r>
          </w:p>
        </w:tc>
        <w:tc>
          <w:tcPr>
            <w:tcW w:w="1469" w:type="pct"/>
            <w:noWrap w:val="0"/>
            <w:vAlign w:val="center"/>
          </w:tcPr>
          <w:p w14:paraId="1AF000B4">
            <w:pPr>
              <w:bidi w:val="0"/>
              <w:spacing w:line="240" w:lineRule="auto"/>
              <w:ind w:left="0" w:leftChars="0" w:firstLine="0" w:firstLineChars="0"/>
              <w:jc w:val="center"/>
              <w:rPr>
                <w:rFonts w:hint="eastAsia"/>
                <w:sz w:val="21"/>
                <w:szCs w:val="21"/>
                <w:highlight w:val="none"/>
                <w:lang w:val="en-US" w:eastAsia="zh-CN"/>
              </w:rPr>
            </w:pPr>
            <w:r>
              <w:rPr>
                <w:rFonts w:hint="eastAsia"/>
                <w:sz w:val="21"/>
                <w:szCs w:val="21"/>
                <w:highlight w:val="none"/>
                <w:lang w:val="en-US" w:eastAsia="zh-CN"/>
              </w:rPr>
              <w:t>TSP</w:t>
            </w:r>
          </w:p>
        </w:tc>
        <w:tc>
          <w:tcPr>
            <w:tcW w:w="1225" w:type="pct"/>
            <w:noWrap w:val="0"/>
            <w:vAlign w:val="center"/>
          </w:tcPr>
          <w:p w14:paraId="0753B8F7">
            <w:pPr>
              <w:bidi w:val="0"/>
              <w:spacing w:line="240" w:lineRule="auto"/>
              <w:ind w:left="0" w:leftChars="0" w:firstLine="0" w:firstLineChars="0"/>
              <w:jc w:val="center"/>
              <w:rPr>
                <w:rFonts w:hint="eastAsia"/>
                <w:sz w:val="21"/>
                <w:szCs w:val="21"/>
                <w:highlight w:val="none"/>
                <w:lang w:val="en-US" w:eastAsia="zh-CN"/>
              </w:rPr>
            </w:pPr>
            <w:r>
              <w:rPr>
                <w:rFonts w:hint="eastAsia"/>
                <w:sz w:val="21"/>
                <w:szCs w:val="21"/>
                <w:highlight w:val="none"/>
                <w:lang w:val="en-US" w:eastAsia="zh-CN"/>
              </w:rPr>
              <w:t>每季度1次</w:t>
            </w:r>
          </w:p>
        </w:tc>
      </w:tr>
      <w:tr w14:paraId="39E7BB7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93" w:type="pct"/>
            <w:vMerge w:val="continue"/>
            <w:noWrap w:val="0"/>
            <w:vAlign w:val="center"/>
          </w:tcPr>
          <w:p w14:paraId="3519A2EB">
            <w:pPr>
              <w:bidi w:val="0"/>
              <w:spacing w:line="240" w:lineRule="auto"/>
              <w:ind w:left="0" w:leftChars="0" w:firstLine="0" w:firstLineChars="0"/>
              <w:jc w:val="center"/>
              <w:rPr>
                <w:rFonts w:hint="eastAsia"/>
                <w:sz w:val="21"/>
                <w:szCs w:val="21"/>
                <w:highlight w:val="none"/>
                <w:lang w:val="en-US" w:eastAsia="zh-CN"/>
              </w:rPr>
            </w:pPr>
          </w:p>
        </w:tc>
        <w:tc>
          <w:tcPr>
            <w:tcW w:w="697" w:type="pct"/>
            <w:noWrap w:val="0"/>
            <w:vAlign w:val="center"/>
          </w:tcPr>
          <w:p w14:paraId="7F4C42E1">
            <w:pPr>
              <w:bidi w:val="0"/>
              <w:spacing w:line="240" w:lineRule="auto"/>
              <w:ind w:left="0" w:leftChars="0" w:firstLine="0" w:firstLineChars="0"/>
              <w:jc w:val="center"/>
              <w:rPr>
                <w:rFonts w:hint="eastAsia"/>
                <w:sz w:val="21"/>
                <w:szCs w:val="21"/>
                <w:highlight w:val="none"/>
                <w:lang w:val="en-US" w:eastAsia="zh-CN"/>
              </w:rPr>
            </w:pPr>
            <w:r>
              <w:rPr>
                <w:rFonts w:hint="eastAsia"/>
                <w:sz w:val="21"/>
                <w:szCs w:val="21"/>
                <w:highlight w:val="none"/>
                <w:lang w:val="en-US" w:eastAsia="zh-CN"/>
              </w:rPr>
              <w:t>地下水</w:t>
            </w:r>
          </w:p>
        </w:tc>
        <w:tc>
          <w:tcPr>
            <w:tcW w:w="1014" w:type="pct"/>
            <w:noWrap w:val="0"/>
            <w:vAlign w:val="center"/>
          </w:tcPr>
          <w:p w14:paraId="6FACDA1A">
            <w:pPr>
              <w:bidi w:val="0"/>
              <w:spacing w:line="240" w:lineRule="auto"/>
              <w:ind w:left="0" w:leftChars="0" w:firstLine="0" w:firstLineChars="0"/>
              <w:jc w:val="center"/>
              <w:rPr>
                <w:rFonts w:hint="eastAsia"/>
                <w:sz w:val="21"/>
                <w:szCs w:val="21"/>
                <w:highlight w:val="none"/>
                <w:lang w:val="en-US" w:eastAsia="zh-CN"/>
              </w:rPr>
            </w:pPr>
            <w:r>
              <w:rPr>
                <w:rFonts w:hint="eastAsia"/>
                <w:sz w:val="21"/>
                <w:szCs w:val="21"/>
                <w:highlight w:val="none"/>
                <w:lang w:val="en-US" w:eastAsia="zh-CN"/>
              </w:rPr>
              <w:t>区域设置的地下水监测井</w:t>
            </w:r>
          </w:p>
        </w:tc>
        <w:tc>
          <w:tcPr>
            <w:tcW w:w="1469" w:type="pct"/>
            <w:noWrap w:val="0"/>
            <w:vAlign w:val="center"/>
          </w:tcPr>
          <w:p w14:paraId="5E844B15">
            <w:pPr>
              <w:bidi w:val="0"/>
              <w:spacing w:line="240" w:lineRule="auto"/>
              <w:ind w:left="0" w:leftChars="0" w:firstLine="0" w:firstLineChars="0"/>
              <w:jc w:val="center"/>
              <w:rPr>
                <w:rFonts w:hint="eastAsia"/>
                <w:sz w:val="21"/>
                <w:szCs w:val="21"/>
                <w:highlight w:val="none"/>
                <w:lang w:val="en-US" w:eastAsia="zh-CN"/>
              </w:rPr>
            </w:pPr>
            <w:r>
              <w:rPr>
                <w:rFonts w:hint="eastAsia"/>
                <w:sz w:val="21"/>
                <w:szCs w:val="21"/>
                <w:highlight w:val="none"/>
                <w:lang w:val="en-US" w:eastAsia="zh-CN"/>
              </w:rPr>
              <w:t>水位、pH、砷、镍、铅、镉、总铬、铬（六价）、汞、铜、锌、氰化物等</w:t>
            </w:r>
          </w:p>
        </w:tc>
        <w:tc>
          <w:tcPr>
            <w:tcW w:w="1225" w:type="pct"/>
            <w:noWrap w:val="0"/>
            <w:vAlign w:val="center"/>
          </w:tcPr>
          <w:p w14:paraId="0A676DB9">
            <w:pPr>
              <w:bidi w:val="0"/>
              <w:spacing w:line="240" w:lineRule="auto"/>
              <w:ind w:left="0" w:leftChars="0" w:firstLine="0" w:firstLineChars="0"/>
              <w:jc w:val="center"/>
              <w:rPr>
                <w:rFonts w:hint="eastAsia"/>
                <w:sz w:val="21"/>
                <w:szCs w:val="21"/>
                <w:highlight w:val="none"/>
                <w:lang w:val="en-US" w:eastAsia="zh-CN"/>
              </w:rPr>
            </w:pPr>
            <w:r>
              <w:rPr>
                <w:rFonts w:hint="eastAsia"/>
                <w:sz w:val="21"/>
                <w:szCs w:val="21"/>
                <w:highlight w:val="none"/>
                <w:lang w:val="en-US" w:eastAsia="zh-CN"/>
              </w:rPr>
              <w:t>每季度1次</w:t>
            </w:r>
          </w:p>
        </w:tc>
      </w:tr>
      <w:tr w14:paraId="0D1B548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93" w:type="pct"/>
            <w:vMerge w:val="continue"/>
            <w:noWrap w:val="0"/>
            <w:vAlign w:val="center"/>
          </w:tcPr>
          <w:p w14:paraId="0F592657">
            <w:pPr>
              <w:bidi w:val="0"/>
              <w:spacing w:line="240" w:lineRule="auto"/>
              <w:ind w:left="0" w:leftChars="0" w:firstLine="0" w:firstLineChars="0"/>
              <w:jc w:val="center"/>
              <w:rPr>
                <w:rFonts w:hint="eastAsia"/>
                <w:sz w:val="21"/>
                <w:szCs w:val="21"/>
                <w:highlight w:val="none"/>
                <w:lang w:val="en-US" w:eastAsia="zh-CN"/>
              </w:rPr>
            </w:pPr>
          </w:p>
        </w:tc>
        <w:tc>
          <w:tcPr>
            <w:tcW w:w="697" w:type="pct"/>
            <w:noWrap w:val="0"/>
            <w:vAlign w:val="center"/>
          </w:tcPr>
          <w:p w14:paraId="5C2226B1">
            <w:pPr>
              <w:bidi w:val="0"/>
              <w:spacing w:line="240" w:lineRule="auto"/>
              <w:ind w:left="0" w:leftChars="0" w:firstLine="0" w:firstLineChars="0"/>
              <w:jc w:val="center"/>
              <w:rPr>
                <w:rFonts w:hint="eastAsia"/>
                <w:sz w:val="21"/>
                <w:szCs w:val="21"/>
                <w:highlight w:val="none"/>
                <w:lang w:val="en-US" w:eastAsia="zh-CN"/>
              </w:rPr>
            </w:pPr>
            <w:r>
              <w:rPr>
                <w:rFonts w:hint="eastAsia"/>
                <w:sz w:val="21"/>
                <w:szCs w:val="21"/>
                <w:highlight w:val="none"/>
                <w:lang w:val="en-US" w:eastAsia="zh-CN"/>
              </w:rPr>
              <w:t>地表水</w:t>
            </w:r>
          </w:p>
        </w:tc>
        <w:tc>
          <w:tcPr>
            <w:tcW w:w="1014" w:type="pct"/>
            <w:noWrap w:val="0"/>
            <w:vAlign w:val="center"/>
          </w:tcPr>
          <w:p w14:paraId="20D80E3F">
            <w:pPr>
              <w:bidi w:val="0"/>
              <w:spacing w:line="240" w:lineRule="auto"/>
              <w:ind w:left="0" w:leftChars="0" w:firstLine="0" w:firstLineChars="0"/>
              <w:jc w:val="center"/>
              <w:rPr>
                <w:rFonts w:hint="default"/>
                <w:sz w:val="21"/>
                <w:szCs w:val="21"/>
                <w:highlight w:val="none"/>
                <w:lang w:val="en-US" w:eastAsia="zh-CN"/>
              </w:rPr>
            </w:pPr>
            <w:r>
              <w:rPr>
                <w:rFonts w:hint="eastAsia"/>
                <w:sz w:val="21"/>
                <w:szCs w:val="21"/>
                <w:highlight w:val="none"/>
                <w:lang w:val="en-US" w:eastAsia="zh-CN"/>
              </w:rPr>
              <w:t>山涧小溪</w:t>
            </w:r>
          </w:p>
        </w:tc>
        <w:tc>
          <w:tcPr>
            <w:tcW w:w="1469" w:type="pct"/>
            <w:noWrap w:val="0"/>
            <w:vAlign w:val="center"/>
          </w:tcPr>
          <w:p w14:paraId="1F15A5BC">
            <w:pPr>
              <w:bidi w:val="0"/>
              <w:spacing w:line="240" w:lineRule="auto"/>
              <w:ind w:left="0" w:leftChars="0" w:firstLine="0" w:firstLineChars="0"/>
              <w:jc w:val="center"/>
              <w:rPr>
                <w:rFonts w:hint="eastAsia"/>
                <w:sz w:val="21"/>
                <w:szCs w:val="21"/>
                <w:highlight w:val="none"/>
                <w:lang w:val="en-US" w:eastAsia="zh-CN"/>
              </w:rPr>
            </w:pPr>
            <w:r>
              <w:rPr>
                <w:rFonts w:hint="eastAsia"/>
                <w:sz w:val="21"/>
                <w:szCs w:val="21"/>
                <w:highlight w:val="none"/>
                <w:lang w:val="en-US" w:eastAsia="zh-CN"/>
              </w:rPr>
              <w:t>pH、砷、镍、铅、镉、总铬、铬（六价）、汞、铜、锌、氰化物等</w:t>
            </w:r>
          </w:p>
        </w:tc>
        <w:tc>
          <w:tcPr>
            <w:tcW w:w="1225" w:type="pct"/>
            <w:noWrap w:val="0"/>
            <w:vAlign w:val="center"/>
          </w:tcPr>
          <w:p w14:paraId="47C3BB89">
            <w:pPr>
              <w:bidi w:val="0"/>
              <w:spacing w:line="240" w:lineRule="auto"/>
              <w:ind w:left="0" w:leftChars="0" w:firstLine="0" w:firstLineChars="0"/>
              <w:jc w:val="center"/>
              <w:rPr>
                <w:rFonts w:hint="eastAsia"/>
                <w:sz w:val="21"/>
                <w:szCs w:val="21"/>
                <w:highlight w:val="none"/>
                <w:lang w:val="en-US" w:eastAsia="zh-CN"/>
              </w:rPr>
            </w:pPr>
            <w:r>
              <w:rPr>
                <w:rFonts w:hint="eastAsia"/>
                <w:sz w:val="21"/>
                <w:szCs w:val="21"/>
                <w:highlight w:val="none"/>
                <w:lang w:val="en-US" w:eastAsia="zh-CN"/>
              </w:rPr>
              <w:t>每季度1次</w:t>
            </w:r>
          </w:p>
        </w:tc>
      </w:tr>
      <w:tr w14:paraId="0592289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93" w:type="pct"/>
            <w:vMerge w:val="continue"/>
            <w:noWrap w:val="0"/>
            <w:vAlign w:val="center"/>
          </w:tcPr>
          <w:p w14:paraId="0DD10290">
            <w:pPr>
              <w:bidi w:val="0"/>
              <w:spacing w:line="240" w:lineRule="auto"/>
              <w:ind w:left="0" w:leftChars="0" w:firstLine="0" w:firstLineChars="0"/>
              <w:jc w:val="center"/>
              <w:rPr>
                <w:rFonts w:hint="eastAsia"/>
                <w:sz w:val="21"/>
                <w:szCs w:val="21"/>
                <w:highlight w:val="none"/>
                <w:lang w:val="en-US" w:eastAsia="zh-CN"/>
              </w:rPr>
            </w:pPr>
          </w:p>
        </w:tc>
        <w:tc>
          <w:tcPr>
            <w:tcW w:w="697" w:type="pct"/>
            <w:noWrap w:val="0"/>
            <w:vAlign w:val="center"/>
          </w:tcPr>
          <w:p w14:paraId="13CD9DF7">
            <w:pPr>
              <w:bidi w:val="0"/>
              <w:spacing w:line="240" w:lineRule="auto"/>
              <w:ind w:left="0" w:leftChars="0" w:firstLine="0" w:firstLineChars="0"/>
              <w:jc w:val="center"/>
              <w:rPr>
                <w:rFonts w:hint="default"/>
                <w:sz w:val="21"/>
                <w:szCs w:val="21"/>
                <w:highlight w:val="none"/>
                <w:lang w:val="en-US" w:eastAsia="zh-CN"/>
              </w:rPr>
            </w:pPr>
            <w:r>
              <w:rPr>
                <w:rFonts w:hint="eastAsia"/>
                <w:sz w:val="21"/>
                <w:szCs w:val="21"/>
                <w:highlight w:val="none"/>
                <w:lang w:val="en-US" w:eastAsia="zh-CN"/>
              </w:rPr>
              <w:t>噪声</w:t>
            </w:r>
          </w:p>
        </w:tc>
        <w:tc>
          <w:tcPr>
            <w:tcW w:w="1014" w:type="pct"/>
            <w:noWrap w:val="0"/>
            <w:vAlign w:val="center"/>
          </w:tcPr>
          <w:p w14:paraId="48889BE2">
            <w:pPr>
              <w:bidi w:val="0"/>
              <w:spacing w:line="240" w:lineRule="auto"/>
              <w:ind w:left="0" w:leftChars="0" w:firstLine="0" w:firstLineChars="0"/>
              <w:jc w:val="center"/>
              <w:rPr>
                <w:rFonts w:hint="default"/>
                <w:sz w:val="21"/>
                <w:szCs w:val="21"/>
                <w:highlight w:val="none"/>
                <w:lang w:val="en-US" w:eastAsia="zh-CN"/>
              </w:rPr>
            </w:pPr>
            <w:r>
              <w:rPr>
                <w:rFonts w:hint="eastAsia"/>
                <w:sz w:val="21"/>
                <w:szCs w:val="21"/>
                <w:highlight w:val="none"/>
                <w:lang w:val="en-US" w:eastAsia="zh-CN"/>
              </w:rPr>
              <w:t>厂界</w:t>
            </w:r>
          </w:p>
        </w:tc>
        <w:tc>
          <w:tcPr>
            <w:tcW w:w="1469" w:type="pct"/>
            <w:noWrap w:val="0"/>
            <w:vAlign w:val="center"/>
          </w:tcPr>
          <w:p w14:paraId="5C2EB630">
            <w:pPr>
              <w:bidi w:val="0"/>
              <w:spacing w:line="240" w:lineRule="auto"/>
              <w:ind w:left="0" w:leftChars="0" w:firstLine="0" w:firstLineChars="0"/>
              <w:jc w:val="center"/>
              <w:rPr>
                <w:rFonts w:hint="eastAsia"/>
                <w:sz w:val="21"/>
                <w:szCs w:val="21"/>
                <w:highlight w:val="none"/>
                <w:lang w:val="en-US" w:eastAsia="zh-CN"/>
              </w:rPr>
            </w:pPr>
            <w:r>
              <w:rPr>
                <w:rFonts w:hint="eastAsia"/>
                <w:sz w:val="21"/>
                <w:szCs w:val="21"/>
                <w:highlight w:val="none"/>
                <w:lang w:val="en-US" w:eastAsia="zh-CN"/>
              </w:rPr>
              <w:t>等效A声级</w:t>
            </w:r>
          </w:p>
        </w:tc>
        <w:tc>
          <w:tcPr>
            <w:tcW w:w="1225" w:type="pct"/>
            <w:noWrap w:val="0"/>
            <w:vAlign w:val="center"/>
          </w:tcPr>
          <w:p w14:paraId="157F17C7">
            <w:pPr>
              <w:bidi w:val="0"/>
              <w:spacing w:line="240" w:lineRule="auto"/>
              <w:ind w:left="0" w:leftChars="0" w:firstLine="0" w:firstLineChars="0"/>
              <w:jc w:val="center"/>
              <w:rPr>
                <w:rFonts w:hint="eastAsia"/>
                <w:sz w:val="21"/>
                <w:szCs w:val="21"/>
                <w:highlight w:val="none"/>
                <w:lang w:val="en-US" w:eastAsia="zh-CN"/>
              </w:rPr>
            </w:pPr>
            <w:r>
              <w:rPr>
                <w:rFonts w:hint="eastAsia"/>
                <w:sz w:val="21"/>
                <w:szCs w:val="21"/>
                <w:highlight w:val="none"/>
                <w:lang w:val="en-US" w:eastAsia="zh-CN"/>
              </w:rPr>
              <w:t>每季度1次</w:t>
            </w:r>
          </w:p>
        </w:tc>
      </w:tr>
      <w:tr w14:paraId="7C9A82A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93" w:type="pct"/>
            <w:vMerge w:val="restart"/>
            <w:noWrap w:val="0"/>
            <w:vAlign w:val="center"/>
          </w:tcPr>
          <w:p w14:paraId="168EBA08">
            <w:pPr>
              <w:bidi w:val="0"/>
              <w:spacing w:line="240" w:lineRule="auto"/>
              <w:ind w:left="0" w:leftChars="0" w:firstLine="0" w:firstLineChars="0"/>
              <w:jc w:val="center"/>
              <w:rPr>
                <w:rFonts w:hint="eastAsia"/>
                <w:sz w:val="21"/>
                <w:szCs w:val="21"/>
                <w:highlight w:val="none"/>
                <w:lang w:val="en-US" w:eastAsia="zh-CN"/>
              </w:rPr>
            </w:pPr>
            <w:r>
              <w:rPr>
                <w:rFonts w:hint="eastAsia"/>
                <w:sz w:val="21"/>
                <w:szCs w:val="21"/>
                <w:highlight w:val="none"/>
                <w:lang w:val="en-US" w:eastAsia="zh-CN"/>
              </w:rPr>
              <w:t>封场后</w:t>
            </w:r>
          </w:p>
        </w:tc>
        <w:tc>
          <w:tcPr>
            <w:tcW w:w="697" w:type="pct"/>
            <w:shd w:val="clear" w:color="auto" w:fill="auto"/>
            <w:noWrap w:val="0"/>
            <w:vAlign w:val="center"/>
          </w:tcPr>
          <w:p w14:paraId="4F146D02">
            <w:pPr>
              <w:bidi w:val="0"/>
              <w:spacing w:line="240" w:lineRule="auto"/>
              <w:ind w:left="0" w:leftChars="0" w:firstLine="0" w:firstLineChars="0"/>
              <w:jc w:val="center"/>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废气</w:t>
            </w:r>
          </w:p>
        </w:tc>
        <w:tc>
          <w:tcPr>
            <w:tcW w:w="1014" w:type="pct"/>
            <w:shd w:val="clear" w:color="auto" w:fill="auto"/>
            <w:noWrap w:val="0"/>
            <w:vAlign w:val="center"/>
          </w:tcPr>
          <w:p w14:paraId="03374782">
            <w:pPr>
              <w:bidi w:val="0"/>
              <w:spacing w:line="240" w:lineRule="auto"/>
              <w:ind w:left="0" w:leftChars="0" w:firstLine="0" w:firstLineChars="0"/>
              <w:jc w:val="center"/>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厂界</w:t>
            </w:r>
          </w:p>
        </w:tc>
        <w:tc>
          <w:tcPr>
            <w:tcW w:w="1469" w:type="pct"/>
            <w:shd w:val="clear" w:color="auto" w:fill="auto"/>
            <w:noWrap w:val="0"/>
            <w:vAlign w:val="center"/>
          </w:tcPr>
          <w:p w14:paraId="4ADA328F">
            <w:pPr>
              <w:bidi w:val="0"/>
              <w:spacing w:line="240" w:lineRule="auto"/>
              <w:ind w:left="0" w:leftChars="0" w:firstLine="0" w:firstLineChars="0"/>
              <w:jc w:val="center"/>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TSP</w:t>
            </w:r>
          </w:p>
        </w:tc>
        <w:tc>
          <w:tcPr>
            <w:tcW w:w="1225" w:type="pct"/>
            <w:shd w:val="clear" w:color="auto" w:fill="auto"/>
            <w:noWrap w:val="0"/>
            <w:vAlign w:val="center"/>
          </w:tcPr>
          <w:p w14:paraId="51D04CAF">
            <w:pPr>
              <w:bidi w:val="0"/>
              <w:spacing w:line="240" w:lineRule="auto"/>
              <w:ind w:left="0" w:leftChars="0" w:firstLine="0" w:firstLineChars="0"/>
              <w:jc w:val="center"/>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每季度1次</w:t>
            </w:r>
          </w:p>
        </w:tc>
      </w:tr>
      <w:tr w14:paraId="23D5129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93" w:type="pct"/>
            <w:vMerge w:val="continue"/>
            <w:noWrap w:val="0"/>
            <w:vAlign w:val="center"/>
          </w:tcPr>
          <w:p w14:paraId="0A7BE960">
            <w:pPr>
              <w:bidi w:val="0"/>
              <w:spacing w:line="240" w:lineRule="auto"/>
              <w:ind w:left="0" w:leftChars="0" w:firstLine="0" w:firstLineChars="0"/>
              <w:jc w:val="center"/>
              <w:rPr>
                <w:rFonts w:hint="eastAsia"/>
                <w:sz w:val="21"/>
                <w:szCs w:val="21"/>
                <w:highlight w:val="none"/>
                <w:lang w:val="en-US" w:eastAsia="zh-CN"/>
              </w:rPr>
            </w:pPr>
          </w:p>
        </w:tc>
        <w:tc>
          <w:tcPr>
            <w:tcW w:w="697" w:type="pct"/>
            <w:noWrap w:val="0"/>
            <w:vAlign w:val="center"/>
          </w:tcPr>
          <w:p w14:paraId="194909A2">
            <w:pPr>
              <w:bidi w:val="0"/>
              <w:spacing w:line="240" w:lineRule="auto"/>
              <w:ind w:left="0" w:leftChars="0" w:firstLine="0" w:firstLineChars="0"/>
              <w:jc w:val="center"/>
              <w:rPr>
                <w:rFonts w:hint="eastAsia"/>
                <w:sz w:val="21"/>
                <w:szCs w:val="21"/>
                <w:highlight w:val="none"/>
                <w:lang w:val="en-US" w:eastAsia="zh-CN"/>
              </w:rPr>
            </w:pPr>
            <w:r>
              <w:rPr>
                <w:rFonts w:hint="eastAsia"/>
                <w:sz w:val="21"/>
                <w:szCs w:val="21"/>
                <w:highlight w:val="none"/>
                <w:lang w:val="en-US" w:eastAsia="zh-CN"/>
              </w:rPr>
              <w:t>地下水</w:t>
            </w:r>
          </w:p>
        </w:tc>
        <w:tc>
          <w:tcPr>
            <w:tcW w:w="1014" w:type="pct"/>
            <w:noWrap w:val="0"/>
            <w:vAlign w:val="center"/>
          </w:tcPr>
          <w:p w14:paraId="6E864833">
            <w:pPr>
              <w:bidi w:val="0"/>
              <w:spacing w:line="240" w:lineRule="auto"/>
              <w:ind w:left="0" w:leftChars="0" w:firstLine="0" w:firstLineChars="0"/>
              <w:jc w:val="center"/>
              <w:rPr>
                <w:rFonts w:hint="eastAsia"/>
                <w:sz w:val="21"/>
                <w:szCs w:val="21"/>
                <w:highlight w:val="none"/>
                <w:lang w:val="en-US" w:eastAsia="zh-CN"/>
              </w:rPr>
            </w:pPr>
            <w:r>
              <w:rPr>
                <w:rFonts w:hint="eastAsia"/>
                <w:sz w:val="21"/>
                <w:szCs w:val="21"/>
                <w:highlight w:val="none"/>
                <w:lang w:val="en-US" w:eastAsia="zh-CN"/>
              </w:rPr>
              <w:t>区域设置的地下水监测井</w:t>
            </w:r>
          </w:p>
        </w:tc>
        <w:tc>
          <w:tcPr>
            <w:tcW w:w="1469" w:type="pct"/>
            <w:noWrap w:val="0"/>
            <w:vAlign w:val="center"/>
          </w:tcPr>
          <w:p w14:paraId="10E64E1F">
            <w:pPr>
              <w:bidi w:val="0"/>
              <w:spacing w:line="240" w:lineRule="auto"/>
              <w:ind w:left="0" w:leftChars="0" w:firstLine="0" w:firstLineChars="0"/>
              <w:jc w:val="center"/>
              <w:rPr>
                <w:rFonts w:hint="default"/>
                <w:sz w:val="21"/>
                <w:szCs w:val="21"/>
                <w:highlight w:val="none"/>
                <w:lang w:val="en-US" w:eastAsia="zh-CN"/>
              </w:rPr>
            </w:pPr>
            <w:r>
              <w:rPr>
                <w:rFonts w:hint="eastAsia"/>
                <w:sz w:val="21"/>
                <w:szCs w:val="21"/>
                <w:highlight w:val="none"/>
                <w:lang w:val="en-US" w:eastAsia="zh-CN"/>
              </w:rPr>
              <w:t>水位、pH、砷、镍、铅、镉、总铬、铬（六价）、汞、铜、锌、氰化物等</w:t>
            </w:r>
          </w:p>
        </w:tc>
        <w:tc>
          <w:tcPr>
            <w:tcW w:w="1225" w:type="pct"/>
            <w:noWrap w:val="0"/>
            <w:vAlign w:val="center"/>
          </w:tcPr>
          <w:p w14:paraId="7DAECF68">
            <w:pPr>
              <w:bidi w:val="0"/>
              <w:spacing w:line="240" w:lineRule="auto"/>
              <w:ind w:left="0" w:leftChars="0" w:firstLine="0" w:firstLineChars="0"/>
              <w:jc w:val="center"/>
              <w:rPr>
                <w:rFonts w:hint="eastAsia"/>
                <w:sz w:val="21"/>
                <w:szCs w:val="21"/>
                <w:highlight w:val="none"/>
                <w:lang w:val="en-US" w:eastAsia="zh-CN"/>
              </w:rPr>
            </w:pPr>
            <w:r>
              <w:rPr>
                <w:rFonts w:hint="eastAsia"/>
                <w:sz w:val="21"/>
                <w:szCs w:val="21"/>
                <w:highlight w:val="none"/>
                <w:lang w:val="en-US" w:eastAsia="zh-CN"/>
              </w:rPr>
              <w:t>封场后，每半年一次，直至地下水水质连续两年不超出地下水本底水平</w:t>
            </w:r>
          </w:p>
        </w:tc>
      </w:tr>
      <w:tr w14:paraId="373490E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93" w:type="pct"/>
            <w:vMerge w:val="continue"/>
            <w:noWrap w:val="0"/>
            <w:vAlign w:val="center"/>
          </w:tcPr>
          <w:p w14:paraId="4E886343">
            <w:pPr>
              <w:bidi w:val="0"/>
              <w:spacing w:line="240" w:lineRule="auto"/>
              <w:ind w:left="0" w:leftChars="0" w:firstLine="0" w:firstLineChars="0"/>
              <w:jc w:val="center"/>
              <w:rPr>
                <w:rFonts w:hint="eastAsia"/>
                <w:sz w:val="21"/>
                <w:szCs w:val="21"/>
                <w:highlight w:val="none"/>
                <w:lang w:val="en-US" w:eastAsia="zh-CN"/>
              </w:rPr>
            </w:pPr>
          </w:p>
        </w:tc>
        <w:tc>
          <w:tcPr>
            <w:tcW w:w="697" w:type="pct"/>
            <w:noWrap w:val="0"/>
            <w:vAlign w:val="center"/>
          </w:tcPr>
          <w:p w14:paraId="65AFE02E">
            <w:pPr>
              <w:bidi w:val="0"/>
              <w:spacing w:line="240" w:lineRule="auto"/>
              <w:ind w:left="0" w:leftChars="0" w:firstLine="0" w:firstLineChars="0"/>
              <w:jc w:val="center"/>
              <w:rPr>
                <w:rFonts w:hint="eastAsia"/>
                <w:sz w:val="21"/>
                <w:szCs w:val="21"/>
                <w:highlight w:val="none"/>
                <w:lang w:val="en-US" w:eastAsia="zh-CN"/>
              </w:rPr>
            </w:pPr>
            <w:r>
              <w:rPr>
                <w:rFonts w:hint="eastAsia"/>
                <w:sz w:val="21"/>
                <w:szCs w:val="21"/>
                <w:highlight w:val="none"/>
                <w:lang w:val="en-US" w:eastAsia="zh-CN"/>
              </w:rPr>
              <w:t>废水</w:t>
            </w:r>
          </w:p>
        </w:tc>
        <w:tc>
          <w:tcPr>
            <w:tcW w:w="1014" w:type="pct"/>
            <w:noWrap w:val="0"/>
            <w:vAlign w:val="center"/>
          </w:tcPr>
          <w:p w14:paraId="02935B08">
            <w:pPr>
              <w:bidi w:val="0"/>
              <w:spacing w:line="240" w:lineRule="auto"/>
              <w:ind w:left="0" w:leftChars="0" w:firstLine="0" w:firstLineChars="0"/>
              <w:jc w:val="center"/>
              <w:rPr>
                <w:rFonts w:hint="eastAsia"/>
                <w:sz w:val="21"/>
                <w:szCs w:val="21"/>
                <w:highlight w:val="none"/>
                <w:lang w:val="en-US" w:eastAsia="zh-CN"/>
              </w:rPr>
            </w:pPr>
            <w:r>
              <w:rPr>
                <w:rFonts w:hint="eastAsia"/>
                <w:sz w:val="21"/>
                <w:szCs w:val="21"/>
                <w:highlight w:val="none"/>
                <w:lang w:val="en-US" w:eastAsia="zh-CN"/>
              </w:rPr>
              <w:t>渗滤液处理前、后收集池</w:t>
            </w:r>
          </w:p>
        </w:tc>
        <w:tc>
          <w:tcPr>
            <w:tcW w:w="1469" w:type="pct"/>
            <w:noWrap w:val="0"/>
            <w:vAlign w:val="center"/>
          </w:tcPr>
          <w:p w14:paraId="2FE24BAD">
            <w:pPr>
              <w:bidi w:val="0"/>
              <w:spacing w:line="240" w:lineRule="auto"/>
              <w:ind w:left="0" w:leftChars="0" w:firstLine="0" w:firstLineChars="0"/>
              <w:jc w:val="center"/>
              <w:rPr>
                <w:rFonts w:hint="eastAsia"/>
                <w:sz w:val="21"/>
                <w:szCs w:val="21"/>
                <w:highlight w:val="none"/>
                <w:lang w:val="en-US" w:eastAsia="zh-CN"/>
              </w:rPr>
            </w:pPr>
            <w:r>
              <w:rPr>
                <w:rFonts w:hint="eastAsia"/>
                <w:sz w:val="21"/>
                <w:szCs w:val="21"/>
                <w:highlight w:val="none"/>
                <w:lang w:val="en-US" w:eastAsia="zh-CN"/>
              </w:rPr>
              <w:t>pH、砷、镍、铅、镉、总铬、铬（六价）、汞、铜、锌、氰化物</w:t>
            </w:r>
          </w:p>
        </w:tc>
        <w:tc>
          <w:tcPr>
            <w:tcW w:w="1225" w:type="pct"/>
            <w:noWrap w:val="0"/>
            <w:vAlign w:val="center"/>
          </w:tcPr>
          <w:p w14:paraId="4DCAB851">
            <w:pPr>
              <w:bidi w:val="0"/>
              <w:spacing w:line="240" w:lineRule="auto"/>
              <w:ind w:left="0" w:leftChars="0" w:firstLine="0" w:firstLineChars="0"/>
              <w:jc w:val="center"/>
              <w:rPr>
                <w:rFonts w:hint="eastAsia"/>
                <w:sz w:val="21"/>
                <w:szCs w:val="21"/>
                <w:highlight w:val="none"/>
                <w:lang w:val="en-US" w:eastAsia="zh-CN"/>
              </w:rPr>
            </w:pPr>
            <w:r>
              <w:rPr>
                <w:rFonts w:hint="eastAsia"/>
                <w:sz w:val="21"/>
                <w:szCs w:val="21"/>
                <w:highlight w:val="none"/>
                <w:lang w:val="en-US" w:eastAsia="zh-CN"/>
              </w:rPr>
              <w:t>前期1月1次，后期可视情况减少频次，直至渗滤液消失</w:t>
            </w:r>
          </w:p>
        </w:tc>
      </w:tr>
      <w:tr w14:paraId="0A70CC5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93" w:type="pct"/>
            <w:vMerge w:val="continue"/>
            <w:noWrap w:val="0"/>
            <w:vAlign w:val="center"/>
          </w:tcPr>
          <w:p w14:paraId="3C7E6BAB">
            <w:pPr>
              <w:bidi w:val="0"/>
              <w:spacing w:line="240" w:lineRule="auto"/>
              <w:ind w:left="0" w:leftChars="0" w:firstLine="0" w:firstLineChars="0"/>
              <w:jc w:val="center"/>
              <w:rPr>
                <w:rFonts w:hint="eastAsia"/>
                <w:sz w:val="21"/>
                <w:szCs w:val="21"/>
                <w:highlight w:val="none"/>
                <w:lang w:val="en-US" w:eastAsia="zh-CN"/>
              </w:rPr>
            </w:pPr>
          </w:p>
        </w:tc>
        <w:tc>
          <w:tcPr>
            <w:tcW w:w="697" w:type="pct"/>
            <w:noWrap w:val="0"/>
            <w:vAlign w:val="center"/>
          </w:tcPr>
          <w:p w14:paraId="62F03653">
            <w:pPr>
              <w:bidi w:val="0"/>
              <w:spacing w:line="240" w:lineRule="auto"/>
              <w:ind w:left="0" w:leftChars="0" w:firstLine="0" w:firstLineChars="0"/>
              <w:jc w:val="center"/>
              <w:rPr>
                <w:rFonts w:hint="eastAsia"/>
                <w:sz w:val="21"/>
                <w:szCs w:val="21"/>
                <w:highlight w:val="none"/>
                <w:lang w:val="en-US" w:eastAsia="zh-CN"/>
              </w:rPr>
            </w:pPr>
            <w:r>
              <w:rPr>
                <w:rFonts w:hint="eastAsia"/>
                <w:sz w:val="21"/>
                <w:szCs w:val="21"/>
                <w:highlight w:val="none"/>
                <w:lang w:val="en-US" w:eastAsia="zh-CN"/>
              </w:rPr>
              <w:t>土壤</w:t>
            </w:r>
          </w:p>
        </w:tc>
        <w:tc>
          <w:tcPr>
            <w:tcW w:w="1014" w:type="pct"/>
            <w:noWrap w:val="0"/>
            <w:vAlign w:val="center"/>
          </w:tcPr>
          <w:p w14:paraId="06DAB1DD">
            <w:pPr>
              <w:bidi w:val="0"/>
              <w:spacing w:line="240" w:lineRule="auto"/>
              <w:ind w:left="0" w:leftChars="0" w:firstLine="0" w:firstLineChars="0"/>
              <w:jc w:val="center"/>
              <w:rPr>
                <w:rFonts w:hint="eastAsia"/>
                <w:sz w:val="21"/>
                <w:szCs w:val="21"/>
                <w:highlight w:val="none"/>
                <w:lang w:val="en-US" w:eastAsia="zh-CN"/>
              </w:rPr>
            </w:pPr>
            <w:r>
              <w:rPr>
                <w:rFonts w:hint="eastAsia"/>
                <w:sz w:val="21"/>
                <w:szCs w:val="21"/>
                <w:highlight w:val="none"/>
                <w:lang w:val="en-US" w:eastAsia="zh-CN"/>
              </w:rPr>
              <w:t>项目周边林地、农田</w:t>
            </w:r>
          </w:p>
        </w:tc>
        <w:tc>
          <w:tcPr>
            <w:tcW w:w="1469" w:type="pct"/>
            <w:noWrap w:val="0"/>
            <w:vAlign w:val="center"/>
          </w:tcPr>
          <w:p w14:paraId="468E67F1">
            <w:pPr>
              <w:bidi w:val="0"/>
              <w:spacing w:line="240" w:lineRule="auto"/>
              <w:ind w:left="0" w:leftChars="0" w:firstLine="0" w:firstLineChars="0"/>
              <w:jc w:val="center"/>
              <w:rPr>
                <w:rFonts w:hint="eastAsia"/>
                <w:sz w:val="21"/>
                <w:szCs w:val="21"/>
                <w:highlight w:val="none"/>
                <w:lang w:val="en-US" w:eastAsia="zh-CN"/>
              </w:rPr>
            </w:pPr>
            <w:r>
              <w:rPr>
                <w:rFonts w:hint="eastAsia"/>
                <w:sz w:val="21"/>
                <w:szCs w:val="21"/>
                <w:highlight w:val="none"/>
                <w:lang w:val="en-US" w:eastAsia="zh-CN"/>
              </w:rPr>
              <w:t>pH、砷、镍、铅、镉、总铬、铬（六价）、汞、铜、锌、氰化物等</w:t>
            </w:r>
          </w:p>
        </w:tc>
        <w:tc>
          <w:tcPr>
            <w:tcW w:w="1225" w:type="pct"/>
            <w:noWrap w:val="0"/>
            <w:vAlign w:val="center"/>
          </w:tcPr>
          <w:p w14:paraId="6EEA4752">
            <w:pPr>
              <w:bidi w:val="0"/>
              <w:spacing w:line="240" w:lineRule="auto"/>
              <w:ind w:left="0" w:leftChars="0" w:firstLine="0" w:firstLineChars="0"/>
              <w:jc w:val="center"/>
              <w:rPr>
                <w:rFonts w:hint="eastAsia"/>
                <w:sz w:val="21"/>
                <w:szCs w:val="21"/>
                <w:highlight w:val="none"/>
                <w:lang w:val="en-US" w:eastAsia="zh-CN"/>
              </w:rPr>
            </w:pPr>
            <w:r>
              <w:rPr>
                <w:rFonts w:hint="eastAsia"/>
                <w:sz w:val="21"/>
                <w:szCs w:val="21"/>
                <w:highlight w:val="none"/>
                <w:lang w:val="en-US" w:eastAsia="zh-CN"/>
              </w:rPr>
              <w:t>1次/3年</w:t>
            </w:r>
          </w:p>
        </w:tc>
      </w:tr>
      <w:tr w14:paraId="24DF950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93" w:type="pct"/>
            <w:vMerge w:val="continue"/>
            <w:noWrap w:val="0"/>
            <w:vAlign w:val="center"/>
          </w:tcPr>
          <w:p w14:paraId="49641E50">
            <w:pPr>
              <w:bidi w:val="0"/>
              <w:spacing w:line="240" w:lineRule="auto"/>
              <w:ind w:left="0" w:leftChars="0" w:firstLine="0" w:firstLineChars="0"/>
              <w:jc w:val="center"/>
              <w:rPr>
                <w:rFonts w:hint="eastAsia"/>
                <w:sz w:val="21"/>
                <w:szCs w:val="21"/>
                <w:highlight w:val="none"/>
                <w:lang w:val="en-US" w:eastAsia="zh-CN"/>
              </w:rPr>
            </w:pPr>
          </w:p>
        </w:tc>
        <w:tc>
          <w:tcPr>
            <w:tcW w:w="697" w:type="pct"/>
            <w:shd w:val="clear" w:color="auto" w:fill="auto"/>
            <w:noWrap w:val="0"/>
            <w:vAlign w:val="center"/>
          </w:tcPr>
          <w:p w14:paraId="75D9A711">
            <w:pPr>
              <w:bidi w:val="0"/>
              <w:spacing w:line="240" w:lineRule="auto"/>
              <w:ind w:left="0" w:leftChars="0" w:firstLine="0" w:firstLineChars="0"/>
              <w:jc w:val="center"/>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雨水</w:t>
            </w:r>
          </w:p>
        </w:tc>
        <w:tc>
          <w:tcPr>
            <w:tcW w:w="1014" w:type="pct"/>
            <w:shd w:val="clear" w:color="auto" w:fill="auto"/>
            <w:noWrap w:val="0"/>
            <w:vAlign w:val="center"/>
          </w:tcPr>
          <w:p w14:paraId="15AA6DC9">
            <w:pPr>
              <w:bidi w:val="0"/>
              <w:spacing w:line="240" w:lineRule="auto"/>
              <w:ind w:left="0" w:leftChars="0" w:firstLine="0" w:firstLineChars="0"/>
              <w:jc w:val="center"/>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雨水排口</w:t>
            </w:r>
          </w:p>
        </w:tc>
        <w:tc>
          <w:tcPr>
            <w:tcW w:w="1469" w:type="pct"/>
            <w:shd w:val="clear" w:color="auto" w:fill="auto"/>
            <w:noWrap w:val="0"/>
            <w:vAlign w:val="center"/>
          </w:tcPr>
          <w:p w14:paraId="09B51CFB">
            <w:pPr>
              <w:bidi w:val="0"/>
              <w:spacing w:line="240" w:lineRule="auto"/>
              <w:ind w:left="0" w:leftChars="0" w:firstLine="0" w:firstLineChars="0"/>
              <w:jc w:val="center"/>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COD、SS</w:t>
            </w:r>
          </w:p>
        </w:tc>
        <w:tc>
          <w:tcPr>
            <w:tcW w:w="1225" w:type="pct"/>
            <w:shd w:val="clear" w:color="auto" w:fill="auto"/>
            <w:noWrap w:val="0"/>
            <w:vAlign w:val="center"/>
          </w:tcPr>
          <w:p w14:paraId="47820156">
            <w:pPr>
              <w:bidi w:val="0"/>
              <w:spacing w:line="240" w:lineRule="auto"/>
              <w:ind w:left="0" w:leftChars="0" w:firstLine="0" w:firstLineChars="0"/>
              <w:jc w:val="center"/>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每月1次</w:t>
            </w:r>
          </w:p>
        </w:tc>
      </w:tr>
    </w:tbl>
    <w:p w14:paraId="7CCA657B">
      <w:pPr>
        <w:bidi w:val="0"/>
        <w:rPr>
          <w:rFonts w:hint="eastAsia"/>
          <w:b/>
          <w:bCs/>
          <w:highlight w:val="none"/>
          <w:u w:val="none" w:color="auto"/>
          <w:lang w:val="en-US" w:eastAsia="zh-CN"/>
        </w:rPr>
      </w:pPr>
      <w:r>
        <w:rPr>
          <w:rFonts w:hint="eastAsia"/>
          <w:b/>
          <w:bCs/>
          <w:highlight w:val="none"/>
          <w:u w:val="none" w:color="auto"/>
          <w:lang w:val="en-US" w:eastAsia="zh-CN"/>
        </w:rPr>
        <w:t>（3）信息报告</w:t>
      </w:r>
    </w:p>
    <w:p w14:paraId="249701A1">
      <w:pPr>
        <w:bidi w:val="0"/>
        <w:rPr>
          <w:rFonts w:hint="eastAsia"/>
          <w:highlight w:val="none"/>
          <w:u w:val="none" w:color="auto"/>
          <w:lang w:val="en-US" w:eastAsia="zh-CN"/>
        </w:rPr>
      </w:pPr>
      <w:r>
        <w:rPr>
          <w:rFonts w:hint="eastAsia"/>
          <w:highlight w:val="none"/>
          <w:u w:val="none" w:color="auto"/>
          <w:lang w:val="en-US" w:eastAsia="zh-CN"/>
        </w:rPr>
        <w:t>排污单位应编写自行监测年度报告，年度报告至少应包含以下内容：</w:t>
      </w:r>
    </w:p>
    <w:p w14:paraId="4F292447">
      <w:pPr>
        <w:bidi w:val="0"/>
        <w:rPr>
          <w:rFonts w:hint="eastAsia"/>
          <w:highlight w:val="none"/>
          <w:u w:val="none" w:color="auto"/>
          <w:lang w:val="en-US" w:eastAsia="zh-CN"/>
        </w:rPr>
      </w:pPr>
      <w:r>
        <w:rPr>
          <w:rFonts w:hint="eastAsia"/>
          <w:highlight w:val="none"/>
          <w:u w:val="none" w:color="auto"/>
          <w:lang w:val="en-US" w:eastAsia="zh-CN"/>
        </w:rPr>
        <w:t>①监测方案的调整变化情况及变更原因；</w:t>
      </w:r>
    </w:p>
    <w:p w14:paraId="6DD5546C">
      <w:pPr>
        <w:bidi w:val="0"/>
        <w:rPr>
          <w:rFonts w:hint="eastAsia"/>
          <w:highlight w:val="none"/>
          <w:u w:val="none" w:color="auto"/>
          <w:lang w:val="en-US" w:eastAsia="zh-CN"/>
        </w:rPr>
      </w:pPr>
      <w:r>
        <w:rPr>
          <w:rFonts w:hint="eastAsia"/>
          <w:highlight w:val="none"/>
          <w:u w:val="none" w:color="auto"/>
          <w:lang w:val="en-US" w:eastAsia="zh-CN"/>
        </w:rPr>
        <w:t>②企业及各主要生产设施（至少涵盖废气主要污染源相关生产设施）全年运行天数，各监测点、各监测指标全年监测次数、超标情况、浓度分布情况；</w:t>
      </w:r>
    </w:p>
    <w:p w14:paraId="2B75A816">
      <w:pPr>
        <w:bidi w:val="0"/>
        <w:rPr>
          <w:rFonts w:hint="eastAsia"/>
          <w:highlight w:val="none"/>
          <w:u w:val="none" w:color="auto"/>
          <w:lang w:val="en-US" w:eastAsia="zh-CN"/>
        </w:rPr>
      </w:pPr>
      <w:r>
        <w:rPr>
          <w:rFonts w:hint="eastAsia"/>
          <w:highlight w:val="none"/>
          <w:u w:val="none" w:color="auto"/>
          <w:lang w:val="en-US" w:eastAsia="zh-CN"/>
        </w:rPr>
        <w:t>③按要求开展的周边环境质量影响状况监测结果；</w:t>
      </w:r>
    </w:p>
    <w:p w14:paraId="793692F8">
      <w:pPr>
        <w:bidi w:val="0"/>
        <w:rPr>
          <w:rFonts w:hint="eastAsia"/>
          <w:highlight w:val="none"/>
          <w:u w:val="none" w:color="auto"/>
          <w:lang w:val="en-US" w:eastAsia="zh-CN"/>
        </w:rPr>
      </w:pPr>
      <w:r>
        <w:rPr>
          <w:rFonts w:hint="eastAsia"/>
          <w:highlight w:val="none"/>
          <w:u w:val="none" w:color="auto"/>
          <w:lang w:val="en-US" w:eastAsia="zh-CN"/>
        </w:rPr>
        <w:t>④自行监测开展的其他情况说明；</w:t>
      </w:r>
    </w:p>
    <w:p w14:paraId="51F9D79B">
      <w:pPr>
        <w:bidi w:val="0"/>
        <w:rPr>
          <w:rFonts w:hint="eastAsia"/>
          <w:highlight w:val="none"/>
          <w:u w:val="none" w:color="auto"/>
          <w:lang w:val="en-US" w:eastAsia="zh-CN"/>
        </w:rPr>
      </w:pPr>
      <w:r>
        <w:rPr>
          <w:rFonts w:hint="eastAsia"/>
          <w:highlight w:val="none"/>
          <w:u w:val="none" w:color="auto"/>
          <w:lang w:val="en-US" w:eastAsia="zh-CN"/>
        </w:rPr>
        <w:t>⑤排污单位实现达标排放所采取的主要措施。</w:t>
      </w:r>
    </w:p>
    <w:p w14:paraId="2EA3AC71">
      <w:pPr>
        <w:bidi w:val="0"/>
        <w:rPr>
          <w:rFonts w:hint="eastAsia"/>
          <w:b/>
          <w:bCs/>
          <w:highlight w:val="none"/>
          <w:u w:val="none" w:color="auto"/>
          <w:lang w:val="en-US" w:eastAsia="zh-CN"/>
        </w:rPr>
      </w:pPr>
      <w:r>
        <w:rPr>
          <w:rFonts w:hint="eastAsia"/>
          <w:b/>
          <w:bCs/>
          <w:highlight w:val="none"/>
          <w:u w:val="none" w:color="auto"/>
          <w:lang w:val="en-US" w:eastAsia="zh-CN"/>
        </w:rPr>
        <w:t>（4）应急报告</w:t>
      </w:r>
    </w:p>
    <w:p w14:paraId="2149D8CF">
      <w:pPr>
        <w:bidi w:val="0"/>
        <w:rPr>
          <w:rFonts w:hint="eastAsia"/>
          <w:highlight w:val="none"/>
          <w:u w:val="none" w:color="auto"/>
          <w:lang w:val="en-US" w:eastAsia="zh-CN"/>
        </w:rPr>
      </w:pPr>
      <w:r>
        <w:rPr>
          <w:rFonts w:hint="eastAsia"/>
          <w:highlight w:val="none"/>
          <w:u w:val="none" w:color="auto"/>
          <w:lang w:val="en-US" w:eastAsia="zh-CN"/>
        </w:rPr>
        <w:t>监测结果出现超标的，排污单位应加密监测，并检查超标原因。短期内无法实现稳定达标排放的，应向环境保护主管部门提交事故分析报告，说明事故发生的原因，采取减轻或防止污染的措施，以及今后的预防及改进措施等；若因发生事故或者其他突发事件，排放的污水可能危及城镇排水与污水处理设施安全运行的，应当立即采取措施消除危害，并及时向城镇排水主管部门和环境保护主管部门等有关部门报告。</w:t>
      </w:r>
    </w:p>
    <w:p w14:paraId="3B53D0BB">
      <w:pPr>
        <w:bidi w:val="0"/>
        <w:rPr>
          <w:rFonts w:hint="eastAsia"/>
          <w:b/>
          <w:bCs/>
          <w:highlight w:val="none"/>
          <w:u w:val="none" w:color="auto"/>
          <w:lang w:val="en-US" w:eastAsia="zh-CN"/>
        </w:rPr>
      </w:pPr>
      <w:r>
        <w:rPr>
          <w:rFonts w:hint="eastAsia"/>
          <w:b/>
          <w:bCs/>
          <w:highlight w:val="none"/>
          <w:u w:val="none" w:color="auto"/>
          <w:lang w:val="en-US" w:eastAsia="zh-CN"/>
        </w:rPr>
        <w:t>（5）信息公开</w:t>
      </w:r>
    </w:p>
    <w:p w14:paraId="0FA844C0">
      <w:pPr>
        <w:bidi w:val="0"/>
        <w:rPr>
          <w:rFonts w:hint="eastAsia"/>
          <w:highlight w:val="none"/>
          <w:u w:val="none" w:color="auto"/>
          <w:lang w:val="en-US" w:eastAsia="zh-CN"/>
        </w:rPr>
      </w:pPr>
      <w:r>
        <w:rPr>
          <w:rFonts w:hint="eastAsia"/>
          <w:highlight w:val="none"/>
          <w:u w:val="none" w:color="auto"/>
          <w:lang w:val="en-US" w:eastAsia="zh-CN"/>
        </w:rPr>
        <w:t>排污单位自行监测信息公开内容及方式按照《企业事业单位环境信息公开办法》（环境保护部令第31号）及《国家重点监控企业自行监测及信息公开办法（试行）》（环发</w:t>
      </w:r>
      <w:r>
        <w:rPr>
          <w:rFonts w:hint="eastAsia" w:ascii="宋体" w:hAnsi="宋体" w:eastAsia="宋体" w:cs="宋体"/>
          <w:highlight w:val="none"/>
          <w:u w:val="none" w:color="auto"/>
          <w:lang w:val="en-US" w:eastAsia="zh-CN"/>
        </w:rPr>
        <w:t>〔</w:t>
      </w:r>
      <w:r>
        <w:rPr>
          <w:rFonts w:hint="eastAsia"/>
          <w:highlight w:val="none"/>
          <w:u w:val="none" w:color="auto"/>
          <w:lang w:val="en-US" w:eastAsia="zh-CN"/>
        </w:rPr>
        <w:t>2013</w:t>
      </w:r>
      <w:r>
        <w:rPr>
          <w:rFonts w:hint="eastAsia" w:ascii="宋体" w:hAnsi="宋体" w:eastAsia="宋体" w:cs="宋体"/>
          <w:highlight w:val="none"/>
          <w:u w:val="none" w:color="auto"/>
          <w:lang w:val="en-US" w:eastAsia="zh-CN"/>
        </w:rPr>
        <w:t>〕</w:t>
      </w:r>
      <w:r>
        <w:rPr>
          <w:rFonts w:hint="eastAsia"/>
          <w:highlight w:val="none"/>
          <w:u w:val="none" w:color="auto"/>
          <w:lang w:val="en-US" w:eastAsia="zh-CN"/>
        </w:rPr>
        <w:t>81号）执行。非重点排污单位的信息公开要求由地方环境保护主管部门确定。</w:t>
      </w:r>
    </w:p>
    <w:p w14:paraId="0CFB3E21">
      <w:pPr>
        <w:pStyle w:val="8"/>
        <w:numPr>
          <w:ilvl w:val="1"/>
          <w:numId w:val="1"/>
        </w:numPr>
        <w:tabs>
          <w:tab w:val="clear" w:pos="420"/>
        </w:tabs>
        <w:bidi w:val="0"/>
        <w:ind w:left="567" w:leftChars="0" w:hanging="567" w:firstLineChars="0"/>
        <w:rPr>
          <w:rFonts w:hint="default"/>
          <w:highlight w:val="none"/>
          <w:u w:val="none" w:color="auto"/>
          <w:lang w:val="en-US" w:eastAsia="zh-CN"/>
        </w:rPr>
      </w:pPr>
      <w:bookmarkStart w:id="117" w:name="_Toc18091"/>
      <w:bookmarkStart w:id="118" w:name="_Toc6945"/>
      <w:r>
        <w:rPr>
          <w:rFonts w:hint="default"/>
          <w:highlight w:val="none"/>
          <w:u w:val="none" w:color="auto"/>
          <w:lang w:val="en-US" w:eastAsia="zh-CN"/>
        </w:rPr>
        <w:t>环境监理</w:t>
      </w:r>
      <w:bookmarkEnd w:id="117"/>
    </w:p>
    <w:p w14:paraId="1731635C">
      <w:pPr>
        <w:rPr>
          <w:rFonts w:hint="eastAsia"/>
          <w:highlight w:val="none"/>
          <w:u w:val="none" w:color="auto"/>
          <w:lang w:val="en-US" w:eastAsia="zh-CN"/>
        </w:rPr>
      </w:pPr>
      <w:r>
        <w:rPr>
          <w:rFonts w:hint="eastAsia"/>
          <w:highlight w:val="none"/>
          <w:u w:val="none" w:color="auto"/>
          <w:lang w:val="en-US" w:eastAsia="zh-CN"/>
        </w:rPr>
        <w:t>环境监理工作的主要目标是按照有关环境保护规定，对工程建设过程的环境保护措施未落实的方面，提出整改意见，妥善解决出现的环境问题，全面掌握工程建设对环境的影响，保障各项环境保护措施得到落实和执行，保护环境， 防止生态破坏，促进环境保护“三同时”和环境保护目标顺利实现。</w:t>
      </w:r>
    </w:p>
    <w:p w14:paraId="20AC75C0">
      <w:pPr>
        <w:pStyle w:val="9"/>
        <w:numPr>
          <w:ilvl w:val="2"/>
          <w:numId w:val="1"/>
        </w:numPr>
        <w:bidi w:val="0"/>
        <w:ind w:left="709" w:leftChars="0" w:hanging="709" w:firstLineChars="0"/>
        <w:rPr>
          <w:rFonts w:hint="eastAsia"/>
          <w:lang w:val="en-US" w:eastAsia="zh-CN"/>
        </w:rPr>
      </w:pPr>
      <w:bookmarkStart w:id="119" w:name="_Toc26210"/>
      <w:r>
        <w:rPr>
          <w:rFonts w:hint="eastAsia"/>
          <w:lang w:val="en-US" w:eastAsia="zh-CN"/>
        </w:rPr>
        <w:t>环境监理工作目标</w:t>
      </w:r>
      <w:bookmarkEnd w:id="119"/>
    </w:p>
    <w:p w14:paraId="3E281F76">
      <w:pPr>
        <w:rPr>
          <w:rFonts w:hint="eastAsia"/>
          <w:highlight w:val="none"/>
          <w:u w:val="none" w:color="auto"/>
          <w:lang w:val="en-US" w:eastAsia="zh-CN"/>
        </w:rPr>
      </w:pPr>
      <w:r>
        <w:rPr>
          <w:rFonts w:hint="eastAsia"/>
          <w:highlight w:val="none"/>
          <w:u w:val="none" w:color="auto"/>
          <w:lang w:val="en-US" w:eastAsia="zh-CN"/>
        </w:rPr>
        <w:t>环境监理依据国家和相关主管部门制定、颁发的有关法律、法规、政策、技术标准以及经批准的设计文件、投标文件和依法签定的监理、施工承包合同，按其服务的范围和内容，履行环境监理义务，独立、公正、科学、有效地服务于工程建设，实施全面环境监理，使工程建设达到环境保护要求。</w:t>
      </w:r>
    </w:p>
    <w:p w14:paraId="41F605D3">
      <w:pPr>
        <w:pStyle w:val="9"/>
        <w:numPr>
          <w:ilvl w:val="2"/>
          <w:numId w:val="1"/>
        </w:numPr>
        <w:bidi w:val="0"/>
        <w:ind w:left="709" w:leftChars="0" w:hanging="709" w:firstLineChars="0"/>
        <w:rPr>
          <w:rFonts w:hint="eastAsia"/>
          <w:lang w:val="en-US" w:eastAsia="zh-CN"/>
        </w:rPr>
      </w:pPr>
      <w:bookmarkStart w:id="120" w:name="_Toc26291"/>
      <w:r>
        <w:rPr>
          <w:rFonts w:hint="eastAsia"/>
          <w:lang w:val="en-US" w:eastAsia="zh-CN"/>
        </w:rPr>
        <w:t>环境监理机构</w:t>
      </w:r>
      <w:bookmarkEnd w:id="120"/>
    </w:p>
    <w:p w14:paraId="0668A587">
      <w:pPr>
        <w:rPr>
          <w:rFonts w:hint="eastAsia"/>
          <w:highlight w:val="none"/>
          <w:u w:val="none" w:color="auto"/>
          <w:lang w:val="en-US" w:eastAsia="zh-CN"/>
        </w:rPr>
      </w:pPr>
      <w:r>
        <w:rPr>
          <w:rFonts w:hint="eastAsia"/>
          <w:highlight w:val="none"/>
          <w:u w:val="none" w:color="auto"/>
          <w:lang w:val="en-US" w:eastAsia="zh-CN"/>
        </w:rPr>
        <w:t>施工环境监理应作为整个工程监理工作的一部分，由工程建设单位委托具有环境监理资质的单位对设计文件中环境保护措施的实施情况进行</w:t>
      </w:r>
    </w:p>
    <w:p w14:paraId="27135A68">
      <w:pPr>
        <w:pStyle w:val="9"/>
        <w:numPr>
          <w:ilvl w:val="2"/>
          <w:numId w:val="1"/>
        </w:numPr>
        <w:bidi w:val="0"/>
        <w:ind w:left="709" w:leftChars="0" w:hanging="709" w:firstLineChars="0"/>
        <w:rPr>
          <w:rFonts w:hint="eastAsia"/>
          <w:lang w:val="en-US" w:eastAsia="zh-CN"/>
        </w:rPr>
      </w:pPr>
      <w:bookmarkStart w:id="121" w:name="_Toc29360"/>
      <w:r>
        <w:rPr>
          <w:rFonts w:hint="eastAsia"/>
          <w:lang w:val="en-US" w:eastAsia="zh-CN"/>
        </w:rPr>
        <w:t>环境监理应遵循的原则</w:t>
      </w:r>
      <w:bookmarkEnd w:id="121"/>
    </w:p>
    <w:p w14:paraId="35F15949">
      <w:pPr>
        <w:rPr>
          <w:rFonts w:hint="eastAsia"/>
          <w:highlight w:val="none"/>
          <w:u w:val="none" w:color="auto"/>
          <w:lang w:val="en-US" w:eastAsia="zh-CN"/>
        </w:rPr>
      </w:pPr>
      <w:r>
        <w:rPr>
          <w:rFonts w:hint="eastAsia"/>
          <w:highlight w:val="none"/>
          <w:u w:val="none" w:color="auto"/>
          <w:lang w:val="en-US" w:eastAsia="zh-CN"/>
        </w:rPr>
        <w:t>从事工程建设环境监理活动，应遵循守法、诚信、公正、科学的准则，确立“第三方”监理的原则，将环境监理和业主的环境管理、政府部门的环境监督执法严格区分开来，并为业主和政府部门的环境管理服务。</w:t>
      </w:r>
    </w:p>
    <w:p w14:paraId="50E686F2">
      <w:pPr>
        <w:rPr>
          <w:rFonts w:hint="eastAsia"/>
          <w:highlight w:val="none"/>
          <w:u w:val="none" w:color="auto"/>
          <w:lang w:val="en-US" w:eastAsia="zh-CN"/>
        </w:rPr>
      </w:pPr>
      <w:r>
        <w:rPr>
          <w:rFonts w:hint="eastAsia"/>
          <w:highlight w:val="none"/>
          <w:u w:val="none" w:color="auto"/>
          <w:lang w:val="en-US" w:eastAsia="zh-CN"/>
        </w:rPr>
        <w:t>环境监理应纳入工程监理管理体系，不能弱化环境监理的地位。监理工作中应理顺和协调好业主、施工单位、工程监理单位、环境监理单位、环境监测单位及政府环境行政主管部门等各方面的关系，为做好环境监理工作创造有利条件。监理单位应根据工程特点，制定规范化的符合工作实际的监理制度，使监理工作有序开展。</w:t>
      </w:r>
    </w:p>
    <w:p w14:paraId="35B45E3F">
      <w:pPr>
        <w:pStyle w:val="9"/>
        <w:numPr>
          <w:ilvl w:val="2"/>
          <w:numId w:val="1"/>
        </w:numPr>
        <w:bidi w:val="0"/>
        <w:ind w:left="709" w:leftChars="0" w:hanging="709" w:firstLineChars="0"/>
        <w:rPr>
          <w:rFonts w:hint="eastAsia"/>
          <w:lang w:val="en-US" w:eastAsia="zh-CN"/>
        </w:rPr>
      </w:pPr>
      <w:bookmarkStart w:id="122" w:name="_Toc31960"/>
      <w:r>
        <w:rPr>
          <w:rFonts w:hint="eastAsia"/>
          <w:lang w:val="en-US" w:eastAsia="zh-CN"/>
        </w:rPr>
        <w:t>环境监理工作范围</w:t>
      </w:r>
      <w:bookmarkEnd w:id="122"/>
    </w:p>
    <w:p w14:paraId="7103EC7B">
      <w:pPr>
        <w:rPr>
          <w:rFonts w:hint="eastAsia"/>
          <w:highlight w:val="none"/>
          <w:u w:val="none" w:color="auto"/>
          <w:lang w:val="en-US" w:eastAsia="zh-CN"/>
        </w:rPr>
      </w:pPr>
      <w:r>
        <w:rPr>
          <w:rFonts w:hint="eastAsia"/>
          <w:highlight w:val="none"/>
          <w:u w:val="none" w:color="auto"/>
          <w:lang w:val="en-US" w:eastAsia="zh-CN"/>
        </w:rPr>
        <w:t>环境监理的范围包括工程所在区域及工程影响区域，主要有施工区所在地区受径流影响的地表水质量；施工区域周围的大气、噪声、地表水、地下水质量；清理转运、防渗、排水等工程建设和实施过程中的污染，并配合上级主管部门定期进行施工期检查。</w:t>
      </w:r>
    </w:p>
    <w:p w14:paraId="77F38527">
      <w:pPr>
        <w:pStyle w:val="9"/>
        <w:numPr>
          <w:ilvl w:val="2"/>
          <w:numId w:val="1"/>
        </w:numPr>
        <w:bidi w:val="0"/>
        <w:ind w:left="709" w:leftChars="0" w:hanging="709" w:firstLineChars="0"/>
        <w:rPr>
          <w:rFonts w:hint="eastAsia"/>
          <w:lang w:val="en-US" w:eastAsia="zh-CN"/>
        </w:rPr>
      </w:pPr>
      <w:bookmarkStart w:id="123" w:name="_Toc5430"/>
      <w:r>
        <w:rPr>
          <w:rFonts w:hint="eastAsia"/>
          <w:lang w:val="en-US" w:eastAsia="zh-CN"/>
        </w:rPr>
        <w:t>环境监理一般程序与工作要求</w:t>
      </w:r>
      <w:bookmarkEnd w:id="123"/>
    </w:p>
    <w:p w14:paraId="53CC5E22">
      <w:pPr>
        <w:rPr>
          <w:rFonts w:hint="eastAsia"/>
          <w:highlight w:val="none"/>
          <w:u w:val="none" w:color="auto"/>
          <w:lang w:val="en-US" w:eastAsia="zh-CN"/>
        </w:rPr>
      </w:pPr>
      <w:r>
        <w:rPr>
          <w:rFonts w:hint="eastAsia"/>
          <w:highlight w:val="none"/>
          <w:u w:val="none" w:color="auto"/>
          <w:lang w:val="en-US" w:eastAsia="zh-CN"/>
        </w:rPr>
        <w:t>（1）一般程序</w:t>
      </w:r>
    </w:p>
    <w:p w14:paraId="7B3B0536">
      <w:pPr>
        <w:rPr>
          <w:rFonts w:hint="eastAsia"/>
          <w:highlight w:val="none"/>
          <w:u w:val="none" w:color="auto"/>
          <w:lang w:val="en-US" w:eastAsia="zh-CN"/>
        </w:rPr>
      </w:pPr>
      <w:r>
        <w:rPr>
          <w:rFonts w:hint="eastAsia"/>
          <w:highlight w:val="none"/>
          <w:u w:val="none" w:color="auto"/>
          <w:lang w:val="en-US" w:eastAsia="zh-CN"/>
        </w:rPr>
        <w:t>1）编制工程施工期环境监理计划；</w:t>
      </w:r>
    </w:p>
    <w:p w14:paraId="09606C44">
      <w:pPr>
        <w:rPr>
          <w:rFonts w:hint="eastAsia"/>
          <w:highlight w:val="none"/>
          <w:u w:val="none" w:color="auto"/>
          <w:lang w:val="en-US" w:eastAsia="zh-CN"/>
        </w:rPr>
      </w:pPr>
      <w:r>
        <w:rPr>
          <w:rFonts w:hint="eastAsia"/>
          <w:highlight w:val="none"/>
          <w:u w:val="none" w:color="auto"/>
          <w:lang w:val="en-US" w:eastAsia="zh-CN"/>
        </w:rPr>
        <w:t>2）按工程建设进度、各项环保措施编制环境监理细则；</w:t>
      </w:r>
    </w:p>
    <w:p w14:paraId="5CEE3525">
      <w:pPr>
        <w:rPr>
          <w:rFonts w:hint="eastAsia"/>
          <w:highlight w:val="none"/>
          <w:u w:val="none" w:color="auto"/>
          <w:lang w:val="en-US" w:eastAsia="zh-CN"/>
        </w:rPr>
      </w:pPr>
      <w:r>
        <w:rPr>
          <w:rFonts w:hint="eastAsia"/>
          <w:highlight w:val="none"/>
          <w:u w:val="none" w:color="auto"/>
          <w:lang w:val="en-US" w:eastAsia="zh-CN"/>
        </w:rPr>
        <w:t>3）按照环境监理细则进行施工期环境监理；</w:t>
      </w:r>
    </w:p>
    <w:p w14:paraId="0A8E3DA9">
      <w:pPr>
        <w:rPr>
          <w:rFonts w:hint="eastAsia"/>
          <w:highlight w:val="none"/>
          <w:u w:val="none" w:color="auto"/>
          <w:lang w:val="en-US" w:eastAsia="zh-CN"/>
        </w:rPr>
      </w:pPr>
      <w:r>
        <w:rPr>
          <w:rFonts w:hint="eastAsia"/>
          <w:highlight w:val="none"/>
          <w:u w:val="none" w:color="auto"/>
          <w:lang w:val="en-US" w:eastAsia="zh-CN"/>
        </w:rPr>
        <w:t>4）参与工程环保验收，签署环境监理意见；</w:t>
      </w:r>
    </w:p>
    <w:p w14:paraId="0986AC5B">
      <w:pPr>
        <w:rPr>
          <w:rFonts w:hint="eastAsia"/>
          <w:highlight w:val="none"/>
          <w:u w:val="none" w:color="auto"/>
          <w:lang w:val="en-US" w:eastAsia="zh-CN"/>
        </w:rPr>
      </w:pPr>
      <w:r>
        <w:rPr>
          <w:rFonts w:hint="eastAsia"/>
          <w:highlight w:val="none"/>
          <w:u w:val="none" w:color="auto"/>
          <w:lang w:val="en-US" w:eastAsia="zh-CN"/>
        </w:rPr>
        <w:t>5）监理项目完成后，向项目法人提交监理档案资料。</w:t>
      </w:r>
    </w:p>
    <w:p w14:paraId="07EC8262">
      <w:pPr>
        <w:rPr>
          <w:rFonts w:hint="eastAsia"/>
          <w:highlight w:val="none"/>
          <w:u w:val="none" w:color="auto"/>
          <w:lang w:val="en-US" w:eastAsia="zh-CN"/>
        </w:rPr>
      </w:pPr>
      <w:r>
        <w:rPr>
          <w:rFonts w:hint="eastAsia"/>
          <w:highlight w:val="none"/>
          <w:u w:val="none" w:color="auto"/>
          <w:lang w:val="en-US" w:eastAsia="zh-CN"/>
        </w:rPr>
        <w:t>（2）工作要求</w:t>
      </w:r>
    </w:p>
    <w:p w14:paraId="3E507EFD">
      <w:pPr>
        <w:rPr>
          <w:rFonts w:hint="eastAsia"/>
          <w:highlight w:val="none"/>
          <w:u w:val="none" w:color="auto"/>
          <w:lang w:val="en-US" w:eastAsia="zh-CN"/>
        </w:rPr>
      </w:pPr>
      <w:r>
        <w:rPr>
          <w:rFonts w:hint="eastAsia"/>
          <w:highlight w:val="none"/>
          <w:u w:val="none" w:color="auto"/>
          <w:lang w:val="en-US" w:eastAsia="zh-CN"/>
        </w:rPr>
        <w:t>1）收集拟建工程有关资料，包括项目基本情况、环境影响报告书、水土保持方案、环境保护设计、施工组织计划等；熟悉施工现场环境情况，了解施工过程排污环节、排污规律以及防治措施；</w:t>
      </w:r>
    </w:p>
    <w:p w14:paraId="30BB2013">
      <w:pPr>
        <w:rPr>
          <w:rFonts w:hint="eastAsia"/>
          <w:highlight w:val="none"/>
          <w:u w:val="none" w:color="auto"/>
          <w:lang w:val="en-US" w:eastAsia="zh-CN"/>
        </w:rPr>
      </w:pPr>
      <w:r>
        <w:rPr>
          <w:rFonts w:hint="eastAsia"/>
          <w:highlight w:val="none"/>
          <w:u w:val="none" w:color="auto"/>
          <w:lang w:val="en-US" w:eastAsia="zh-CN"/>
        </w:rPr>
        <w:t>2）审查工程初步设计、施工图设计中环境保护设施是否正确落实了经批准的环境影响报告书和水保方案提出的保护措施；</w:t>
      </w:r>
    </w:p>
    <w:p w14:paraId="6865F843">
      <w:pPr>
        <w:rPr>
          <w:rFonts w:hint="eastAsia"/>
          <w:highlight w:val="none"/>
          <w:u w:val="none" w:color="auto"/>
          <w:lang w:val="en-US" w:eastAsia="zh-CN"/>
        </w:rPr>
      </w:pPr>
      <w:r>
        <w:rPr>
          <w:rFonts w:hint="eastAsia"/>
          <w:highlight w:val="none"/>
          <w:u w:val="none" w:color="auto"/>
          <w:lang w:val="en-US" w:eastAsia="zh-CN"/>
        </w:rPr>
        <w:t>3）协助建设单位组织工程设计、施工、管理人员的环境保护培训；审核 招标文件、工程合同有关环境保护条款；</w:t>
      </w:r>
    </w:p>
    <w:p w14:paraId="4159501E">
      <w:pPr>
        <w:rPr>
          <w:rFonts w:hint="eastAsia"/>
          <w:highlight w:val="none"/>
          <w:u w:val="none" w:color="auto"/>
          <w:lang w:val="en-US" w:eastAsia="zh-CN"/>
        </w:rPr>
      </w:pPr>
      <w:r>
        <w:rPr>
          <w:rFonts w:hint="eastAsia"/>
          <w:highlight w:val="none"/>
          <w:u w:val="none" w:color="auto"/>
          <w:lang w:val="en-US" w:eastAsia="zh-CN"/>
        </w:rPr>
        <w:t>4）按施工进度计划和排污行为，确定不同时间的监理重点；对施工过程中各项环保措施的落实情况以及环境保护工程的施工质量进行检查监理，并按照标准进行阶段验收和签字；</w:t>
      </w:r>
    </w:p>
    <w:p w14:paraId="7E85E978">
      <w:pPr>
        <w:rPr>
          <w:rFonts w:hint="eastAsia"/>
          <w:highlight w:val="none"/>
          <w:u w:val="none" w:color="auto"/>
          <w:lang w:val="en-US" w:eastAsia="zh-CN"/>
        </w:rPr>
      </w:pPr>
      <w:r>
        <w:rPr>
          <w:rFonts w:hint="eastAsia"/>
          <w:highlight w:val="none"/>
          <w:u w:val="none" w:color="auto"/>
          <w:lang w:val="en-US" w:eastAsia="zh-CN"/>
        </w:rPr>
        <w:t>5）系统记录工程施工环境影响，环境保护措施效果，环境保护工程质量；</w:t>
      </w:r>
    </w:p>
    <w:p w14:paraId="0D768BCE">
      <w:pPr>
        <w:rPr>
          <w:rFonts w:hint="eastAsia"/>
          <w:highlight w:val="none"/>
          <w:u w:val="none" w:color="auto"/>
          <w:lang w:val="en-US" w:eastAsia="zh-CN"/>
        </w:rPr>
      </w:pPr>
      <w:r>
        <w:rPr>
          <w:rFonts w:hint="eastAsia"/>
          <w:highlight w:val="none"/>
          <w:u w:val="none" w:color="auto"/>
          <w:lang w:val="en-US" w:eastAsia="zh-CN"/>
        </w:rPr>
        <w:t>6）及时向业主和环境监理领导小组反映有关环境保护设计和施工中出现的问题，并提出解决建议；</w:t>
      </w:r>
    </w:p>
    <w:p w14:paraId="3703704F">
      <w:pPr>
        <w:rPr>
          <w:rFonts w:hint="eastAsia"/>
          <w:highlight w:val="none"/>
          <w:u w:val="none" w:color="auto"/>
          <w:lang w:val="en-US" w:eastAsia="zh-CN"/>
        </w:rPr>
      </w:pPr>
      <w:r>
        <w:rPr>
          <w:rFonts w:hint="eastAsia"/>
          <w:highlight w:val="none"/>
          <w:u w:val="none" w:color="auto"/>
          <w:lang w:val="en-US" w:eastAsia="zh-CN"/>
        </w:rPr>
        <w:t>7）负责起草工程环境监理工作计划和总结。</w:t>
      </w:r>
    </w:p>
    <w:p w14:paraId="57C06F1D">
      <w:pPr>
        <w:pStyle w:val="9"/>
        <w:numPr>
          <w:ilvl w:val="2"/>
          <w:numId w:val="1"/>
        </w:numPr>
        <w:bidi w:val="0"/>
        <w:ind w:left="709" w:leftChars="0" w:hanging="709" w:firstLineChars="0"/>
        <w:rPr>
          <w:rFonts w:hint="eastAsia"/>
          <w:lang w:val="en-US" w:eastAsia="zh-CN"/>
        </w:rPr>
      </w:pPr>
      <w:bookmarkStart w:id="124" w:name="_Toc9231"/>
      <w:r>
        <w:rPr>
          <w:rFonts w:hint="eastAsia"/>
          <w:lang w:val="en-US" w:eastAsia="zh-CN"/>
        </w:rPr>
        <w:t>环境监理内容</w:t>
      </w:r>
      <w:bookmarkEnd w:id="124"/>
    </w:p>
    <w:p w14:paraId="76D55099">
      <w:pPr>
        <w:pStyle w:val="10"/>
        <w:numPr>
          <w:ilvl w:val="3"/>
          <w:numId w:val="1"/>
        </w:numPr>
        <w:bidi w:val="0"/>
        <w:ind w:left="850" w:leftChars="0" w:hanging="850" w:firstLineChars="0"/>
        <w:rPr>
          <w:rFonts w:hint="eastAsia"/>
          <w:highlight w:val="none"/>
          <w:u w:val="none" w:color="auto"/>
          <w:lang w:val="en-US" w:eastAsia="zh-CN"/>
        </w:rPr>
      </w:pPr>
      <w:r>
        <w:rPr>
          <w:rFonts w:hint="eastAsia"/>
          <w:highlight w:val="none"/>
          <w:u w:val="none" w:color="auto"/>
          <w:lang w:val="en-US" w:eastAsia="zh-CN"/>
        </w:rPr>
        <w:t>环境监理单位施工准备阶段环境监理</w:t>
      </w:r>
    </w:p>
    <w:p w14:paraId="0DC31A18">
      <w:pPr>
        <w:rPr>
          <w:rFonts w:hint="eastAsia"/>
          <w:highlight w:val="none"/>
          <w:u w:val="none" w:color="auto"/>
          <w:lang w:val="en-US" w:eastAsia="zh-CN"/>
        </w:rPr>
      </w:pPr>
      <w:r>
        <w:rPr>
          <w:rFonts w:hint="eastAsia"/>
          <w:highlight w:val="none"/>
          <w:u w:val="none" w:color="auto"/>
          <w:lang w:val="en-US" w:eastAsia="zh-CN"/>
        </w:rPr>
        <w:t>（1）参加合同阶段的技术条款审核。</w:t>
      </w:r>
    </w:p>
    <w:p w14:paraId="11AFEFC5">
      <w:pPr>
        <w:rPr>
          <w:rFonts w:hint="eastAsia"/>
          <w:highlight w:val="none"/>
          <w:u w:val="none" w:color="auto"/>
          <w:lang w:val="en-US" w:eastAsia="zh-CN"/>
        </w:rPr>
      </w:pPr>
      <w:r>
        <w:rPr>
          <w:rFonts w:hint="eastAsia"/>
          <w:highlight w:val="none"/>
          <w:u w:val="none" w:color="auto"/>
          <w:lang w:val="en-US" w:eastAsia="zh-CN"/>
        </w:rPr>
        <w:t>（2）参加工程设计交底，了解具体工序或标段的环境保护目标。</w:t>
      </w:r>
    </w:p>
    <w:p w14:paraId="1E0A3F7E">
      <w:pPr>
        <w:rPr>
          <w:rFonts w:hint="eastAsia"/>
          <w:highlight w:val="none"/>
          <w:u w:val="none" w:color="auto"/>
          <w:lang w:val="en-US" w:eastAsia="zh-CN"/>
        </w:rPr>
      </w:pPr>
      <w:r>
        <w:rPr>
          <w:rFonts w:hint="eastAsia"/>
          <w:highlight w:val="none"/>
          <w:u w:val="none" w:color="auto"/>
          <w:lang w:val="en-US" w:eastAsia="zh-CN"/>
        </w:rPr>
        <w:t>（3）参加承包商施工组织计划的技术审核。</w:t>
      </w:r>
    </w:p>
    <w:p w14:paraId="2768FFCE">
      <w:pPr>
        <w:rPr>
          <w:rFonts w:hint="eastAsia"/>
          <w:highlight w:val="none"/>
          <w:u w:val="none" w:color="auto"/>
          <w:lang w:val="en-US" w:eastAsia="zh-CN"/>
        </w:rPr>
      </w:pPr>
      <w:r>
        <w:rPr>
          <w:rFonts w:hint="eastAsia"/>
          <w:highlight w:val="none"/>
          <w:u w:val="none" w:color="auto"/>
          <w:lang w:val="en-US" w:eastAsia="zh-CN"/>
        </w:rPr>
        <w:t>①审核环境保护管理措施，督促监理环保责任体系；</w:t>
      </w:r>
    </w:p>
    <w:p w14:paraId="64BDFFB4">
      <w:pPr>
        <w:rPr>
          <w:rFonts w:hint="eastAsia"/>
          <w:highlight w:val="none"/>
          <w:u w:val="none" w:color="auto"/>
          <w:lang w:val="en-US" w:eastAsia="zh-CN"/>
        </w:rPr>
      </w:pPr>
      <w:r>
        <w:rPr>
          <w:rFonts w:hint="eastAsia"/>
          <w:highlight w:val="none"/>
          <w:u w:val="none" w:color="auto"/>
          <w:lang w:val="en-US" w:eastAsia="zh-CN"/>
        </w:rPr>
        <w:t>②生态保护和污染防治方案的审核。</w:t>
      </w:r>
    </w:p>
    <w:p w14:paraId="61E85FD6">
      <w:pPr>
        <w:rPr>
          <w:rFonts w:hint="eastAsia"/>
          <w:highlight w:val="none"/>
          <w:u w:val="none" w:color="auto"/>
          <w:lang w:val="en-US" w:eastAsia="zh-CN"/>
        </w:rPr>
      </w:pPr>
      <w:r>
        <w:rPr>
          <w:rFonts w:hint="eastAsia"/>
          <w:highlight w:val="none"/>
          <w:u w:val="none" w:color="auto"/>
          <w:lang w:val="en-US" w:eastAsia="zh-CN"/>
        </w:rPr>
        <w:t>（4）建设单位应支持和协助环境监理单位建立环境监理会议制度，用于协调解决项目建设过程中产生的环保问题。</w:t>
      </w:r>
    </w:p>
    <w:p w14:paraId="1139FD8C">
      <w:pPr>
        <w:rPr>
          <w:rFonts w:hint="eastAsia"/>
          <w:highlight w:val="none"/>
          <w:u w:val="none" w:color="auto"/>
          <w:lang w:val="en-US" w:eastAsia="zh-CN"/>
        </w:rPr>
      </w:pPr>
      <w:r>
        <w:rPr>
          <w:rFonts w:hint="eastAsia"/>
          <w:highlight w:val="none"/>
          <w:u w:val="none" w:color="auto"/>
          <w:lang w:val="en-US" w:eastAsia="zh-CN"/>
        </w:rPr>
        <w:t>（5）协助建设单位建立环保管理制度及环保领导小组，建设单位应针对项目产生的废气、废水、噪声、固废等污染物建立相应的环保管理制度和污染防治措施操作规程。</w:t>
      </w:r>
    </w:p>
    <w:p w14:paraId="0C3A04BF">
      <w:pPr>
        <w:rPr>
          <w:rFonts w:hint="eastAsia"/>
          <w:highlight w:val="none"/>
          <w:u w:val="none" w:color="auto"/>
          <w:lang w:val="en-US" w:eastAsia="zh-CN"/>
        </w:rPr>
      </w:pPr>
      <w:r>
        <w:rPr>
          <w:rFonts w:hint="eastAsia"/>
          <w:highlight w:val="none"/>
          <w:u w:val="none" w:color="auto"/>
          <w:lang w:val="en-US" w:eastAsia="zh-CN"/>
        </w:rPr>
        <w:t>（6）协助建设单位及时按照国家“突发环境污染事故应急预案编制导则”，结合项目本身特点编制环境污染事故应急预案及演练计划，并报环保部门备案。</w:t>
      </w:r>
    </w:p>
    <w:p w14:paraId="24CD60A3">
      <w:pPr>
        <w:rPr>
          <w:rFonts w:hint="eastAsia"/>
          <w:highlight w:val="none"/>
          <w:u w:val="none" w:color="auto"/>
          <w:lang w:val="en-US" w:eastAsia="zh-CN"/>
        </w:rPr>
      </w:pPr>
      <w:r>
        <w:rPr>
          <w:rFonts w:hint="eastAsia"/>
          <w:highlight w:val="none"/>
          <w:u w:val="none" w:color="auto"/>
          <w:lang w:val="en-US" w:eastAsia="zh-CN"/>
        </w:rPr>
        <w:t>（7）参与总承包项目（带方案投标的分标）设计方案的技术审核。</w:t>
      </w:r>
    </w:p>
    <w:p w14:paraId="7CBC5B96">
      <w:pPr>
        <w:rPr>
          <w:rFonts w:hint="eastAsia"/>
          <w:highlight w:val="none"/>
          <w:u w:val="none" w:color="auto"/>
          <w:lang w:val="en-US" w:eastAsia="zh-CN"/>
        </w:rPr>
      </w:pPr>
      <w:r>
        <w:rPr>
          <w:rFonts w:hint="eastAsia"/>
          <w:highlight w:val="none"/>
          <w:u w:val="none" w:color="auto"/>
          <w:lang w:val="en-US" w:eastAsia="zh-CN"/>
        </w:rPr>
        <w:t>（8）承包商进场后，第一次环境监理会议宜及时召开并将《环境保护工作重点》下发承包商，针对新进场承包商，开展其他相关宣贯工作。</w:t>
      </w:r>
    </w:p>
    <w:p w14:paraId="1E0E8CD5">
      <w:pPr>
        <w:rPr>
          <w:rFonts w:hint="eastAsia"/>
          <w:highlight w:val="yellow"/>
          <w:u w:val="none" w:color="auto"/>
          <w:lang w:val="en-US" w:eastAsia="zh-CN"/>
        </w:rPr>
      </w:pPr>
      <w:r>
        <w:rPr>
          <w:rFonts w:hint="eastAsia"/>
          <w:highlight w:val="none"/>
          <w:u w:val="none" w:color="auto"/>
          <w:lang w:val="en-US" w:eastAsia="zh-CN"/>
        </w:rPr>
        <w:t>（9）本阶段环境监理单位应结合工程实际情况的需要编制《环境监理实施细则》。</w:t>
      </w:r>
    </w:p>
    <w:p w14:paraId="1EA0348C">
      <w:pPr>
        <w:pStyle w:val="10"/>
        <w:numPr>
          <w:ilvl w:val="3"/>
          <w:numId w:val="1"/>
        </w:numPr>
        <w:bidi w:val="0"/>
        <w:ind w:left="850" w:leftChars="0" w:hanging="850" w:firstLineChars="0"/>
        <w:rPr>
          <w:rFonts w:hint="eastAsia"/>
          <w:lang w:val="en-US" w:eastAsia="zh-CN"/>
        </w:rPr>
      </w:pPr>
      <w:r>
        <w:rPr>
          <w:rFonts w:hint="eastAsia"/>
          <w:lang w:val="en-US" w:eastAsia="zh-CN"/>
        </w:rPr>
        <w:t>施工阶段环境监理具体内容包括：</w:t>
      </w:r>
    </w:p>
    <w:p w14:paraId="3A9BDC6F">
      <w:pPr>
        <w:rPr>
          <w:rFonts w:hint="eastAsia"/>
          <w:highlight w:val="none"/>
          <w:u w:val="none" w:color="auto"/>
          <w:lang w:val="en-US" w:eastAsia="zh-CN"/>
        </w:rPr>
      </w:pPr>
      <w:r>
        <w:rPr>
          <w:rFonts w:hint="eastAsia"/>
          <w:highlight w:val="none"/>
          <w:u w:val="none" w:color="auto"/>
          <w:lang w:val="en-US" w:eastAsia="zh-CN"/>
        </w:rPr>
        <w:t>（1）项目施工过程中，环境监理应审查土建（或机电）承包商报送的分项施工组织设计、施工工艺等涉及环境保护的内容，协助、指导土建工程建设监理，要求承包商落实环境保护“三同时”制度，严格按设计要求实施各项环境保护措施；在项目中出现批建不符、环保“三同时”落实不到位或其他重大环保问题时，环境监理向建设单位提交《环境监理联系单》并提出整改建议。</w:t>
      </w:r>
    </w:p>
    <w:p w14:paraId="1A65E665">
      <w:pPr>
        <w:rPr>
          <w:rFonts w:hint="eastAsia"/>
          <w:highlight w:val="none"/>
          <w:u w:val="none" w:color="auto"/>
          <w:lang w:val="en-US" w:eastAsia="zh-CN"/>
        </w:rPr>
      </w:pPr>
      <w:r>
        <w:rPr>
          <w:rFonts w:hint="eastAsia"/>
          <w:highlight w:val="none"/>
          <w:u w:val="none" w:color="auto"/>
          <w:lang w:val="en-US" w:eastAsia="zh-CN"/>
        </w:rPr>
        <w:t>（2）环境监理对施工单位进行日常巡查，对施工单位的环境保护措施落实情况、施工区及周边地区的环境状况、工程建设监理的现场监管情况等检查，就检查中发现的问题及时通知相关单位，并提出改进措施要求，跟踪直到问题解决。</w:t>
      </w:r>
    </w:p>
    <w:p w14:paraId="4B8AB34C">
      <w:pPr>
        <w:rPr>
          <w:rFonts w:hint="eastAsia"/>
          <w:highlight w:val="none"/>
          <w:u w:val="none" w:color="auto"/>
          <w:lang w:val="en-US" w:eastAsia="zh-CN"/>
        </w:rPr>
      </w:pPr>
      <w:r>
        <w:rPr>
          <w:rFonts w:hint="eastAsia"/>
          <w:highlight w:val="none"/>
          <w:u w:val="none" w:color="auto"/>
          <w:lang w:val="en-US" w:eastAsia="zh-CN"/>
        </w:rPr>
        <w:t>（3）环境监理参加各项验收工作。环境监理就各项环境保护措施的功能等能否满足合同和设计要求签署监理意见。</w:t>
      </w:r>
    </w:p>
    <w:p w14:paraId="62918C76">
      <w:pPr>
        <w:rPr>
          <w:rFonts w:hint="eastAsia"/>
          <w:highlight w:val="none"/>
          <w:u w:val="none" w:color="auto"/>
          <w:lang w:val="en-US" w:eastAsia="zh-CN"/>
        </w:rPr>
      </w:pPr>
      <w:r>
        <w:rPr>
          <w:rFonts w:hint="eastAsia"/>
          <w:highlight w:val="none"/>
          <w:u w:val="none" w:color="auto"/>
          <w:lang w:val="en-US" w:eastAsia="zh-CN"/>
        </w:rPr>
        <w:t>（4）根据具体情况，主持或授权召开现场环境保护会议；按要求编写环境监理日记、周报、月报、季报、年报和环境监理总结报告，并定期向建设单位报送环境监理报告。</w:t>
      </w:r>
    </w:p>
    <w:p w14:paraId="35F4F59E">
      <w:pPr>
        <w:rPr>
          <w:rFonts w:hint="eastAsia"/>
          <w:highlight w:val="none"/>
          <w:u w:val="none" w:color="auto"/>
          <w:lang w:val="en-US" w:eastAsia="zh-CN"/>
        </w:rPr>
      </w:pPr>
      <w:r>
        <w:rPr>
          <w:rFonts w:hint="eastAsia"/>
          <w:highlight w:val="none"/>
          <w:u w:val="none" w:color="auto"/>
          <w:lang w:val="en-US" w:eastAsia="zh-CN"/>
        </w:rPr>
        <w:t>（5）发生环境污染事件时，参与处理环境保护事故，及时向建设单位报告，提出限期治理意见，并监督实施。</w:t>
      </w:r>
    </w:p>
    <w:p w14:paraId="53A53067">
      <w:pPr>
        <w:rPr>
          <w:rFonts w:hint="eastAsia"/>
          <w:highlight w:val="none"/>
          <w:u w:val="none" w:color="auto"/>
          <w:lang w:val="en-US" w:eastAsia="zh-CN"/>
        </w:rPr>
      </w:pPr>
      <w:r>
        <w:rPr>
          <w:rFonts w:hint="eastAsia"/>
          <w:highlight w:val="none"/>
          <w:u w:val="none" w:color="auto"/>
          <w:lang w:val="en-US" w:eastAsia="zh-CN"/>
        </w:rPr>
        <w:t>（6）资料管理工作。收集各项环保措施实施过程中的设计文件、工程进度款资料、验收签证等相关资料，并建立统计台账，为工程环境保护竣工验收打下基础。</w:t>
      </w:r>
    </w:p>
    <w:p w14:paraId="4DE5ECDD">
      <w:pPr>
        <w:pStyle w:val="10"/>
        <w:numPr>
          <w:ilvl w:val="3"/>
          <w:numId w:val="1"/>
        </w:numPr>
        <w:bidi w:val="0"/>
        <w:ind w:left="850" w:leftChars="0" w:hanging="850" w:firstLineChars="0"/>
        <w:rPr>
          <w:rFonts w:hint="eastAsia"/>
          <w:lang w:val="en-US" w:eastAsia="zh-CN"/>
        </w:rPr>
      </w:pPr>
      <w:r>
        <w:rPr>
          <w:rFonts w:hint="eastAsia"/>
          <w:lang w:val="en-US" w:eastAsia="zh-CN"/>
        </w:rPr>
        <w:t>环境监理重点区域</w:t>
      </w:r>
    </w:p>
    <w:p w14:paraId="51A82500">
      <w:pPr>
        <w:rPr>
          <w:rFonts w:hint="eastAsia"/>
          <w:highlight w:val="none"/>
          <w:u w:val="none" w:color="auto"/>
          <w:lang w:val="en-US" w:eastAsia="zh-CN"/>
        </w:rPr>
      </w:pPr>
      <w:r>
        <w:rPr>
          <w:rFonts w:hint="eastAsia"/>
          <w:highlight w:val="none"/>
          <w:u w:val="none" w:color="auto"/>
          <w:lang w:val="en-US" w:eastAsia="zh-CN"/>
        </w:rPr>
        <w:t>（1）废渣填埋场防渗系统建设情况；</w:t>
      </w:r>
    </w:p>
    <w:p w14:paraId="413C86B1">
      <w:pPr>
        <w:rPr>
          <w:rFonts w:hint="eastAsia"/>
          <w:highlight w:val="none"/>
          <w:u w:val="none" w:color="auto"/>
          <w:lang w:val="en-US" w:eastAsia="zh-CN"/>
        </w:rPr>
      </w:pPr>
      <w:r>
        <w:rPr>
          <w:rFonts w:hint="eastAsia"/>
          <w:highlight w:val="none"/>
          <w:u w:val="none" w:color="auto"/>
          <w:lang w:val="en-US" w:eastAsia="zh-CN"/>
        </w:rPr>
        <w:t>（2）配套渗滤液收集处理系统建设情况；</w:t>
      </w:r>
    </w:p>
    <w:p w14:paraId="507BFF51">
      <w:pPr>
        <w:rPr>
          <w:rFonts w:hint="eastAsia"/>
          <w:highlight w:val="none"/>
          <w:u w:val="none" w:color="auto"/>
          <w:lang w:val="en-US" w:eastAsia="zh-CN"/>
        </w:rPr>
      </w:pPr>
      <w:r>
        <w:rPr>
          <w:rFonts w:hint="eastAsia"/>
          <w:highlight w:val="none"/>
          <w:u w:val="none" w:color="auto"/>
          <w:lang w:val="en-US" w:eastAsia="zh-CN"/>
        </w:rPr>
        <w:t>（3）废渣填埋场截排洪设施建设情况；</w:t>
      </w:r>
    </w:p>
    <w:p w14:paraId="0317D20D">
      <w:pPr>
        <w:rPr>
          <w:rFonts w:hint="eastAsia"/>
          <w:highlight w:val="none"/>
          <w:u w:val="none" w:color="auto"/>
          <w:lang w:val="en-US" w:eastAsia="zh-CN"/>
        </w:rPr>
      </w:pPr>
      <w:r>
        <w:rPr>
          <w:rFonts w:hint="eastAsia"/>
          <w:highlight w:val="none"/>
          <w:u w:val="none" w:color="auto"/>
          <w:lang w:val="en-US" w:eastAsia="zh-CN"/>
        </w:rPr>
        <w:t>（4）废渣、建筑垃圾清运至填埋场安全填埋后，覆盖覆土绿化封场情况；</w:t>
      </w:r>
    </w:p>
    <w:p w14:paraId="28595ADC">
      <w:pPr>
        <w:rPr>
          <w:rFonts w:hint="eastAsia"/>
          <w:highlight w:val="none"/>
          <w:u w:val="none" w:color="auto"/>
          <w:lang w:val="en-US" w:eastAsia="zh-CN"/>
        </w:rPr>
      </w:pPr>
      <w:r>
        <w:rPr>
          <w:rFonts w:hint="eastAsia"/>
          <w:highlight w:val="none"/>
          <w:u w:val="none" w:color="auto"/>
          <w:lang w:val="en-US" w:eastAsia="zh-CN"/>
        </w:rPr>
        <w:t>根据工程施工活动排污及影响情况，拟定的施工期环境监理计划见下表。</w:t>
      </w:r>
    </w:p>
    <w:p w14:paraId="1767F25E">
      <w:pPr>
        <w:ind w:left="0" w:leftChars="0" w:firstLine="0" w:firstLineChars="0"/>
        <w:jc w:val="center"/>
        <w:rPr>
          <w:rFonts w:hint="eastAsia"/>
          <w:b/>
          <w:bCs/>
          <w:sz w:val="21"/>
          <w:szCs w:val="21"/>
          <w:highlight w:val="none"/>
          <w:u w:val="none" w:color="auto"/>
          <w:lang w:val="en-US" w:eastAsia="zh-CN"/>
        </w:rPr>
      </w:pPr>
    </w:p>
    <w:p w14:paraId="6A7811A2">
      <w:pPr>
        <w:ind w:left="0" w:leftChars="0" w:firstLine="0" w:firstLineChars="0"/>
        <w:jc w:val="center"/>
        <w:rPr>
          <w:rFonts w:hint="eastAsia"/>
          <w:b/>
          <w:bCs/>
          <w:sz w:val="21"/>
          <w:szCs w:val="21"/>
          <w:highlight w:val="none"/>
          <w:u w:val="none" w:color="auto"/>
          <w:lang w:val="en-US" w:eastAsia="zh-CN"/>
        </w:rPr>
      </w:pPr>
      <w:r>
        <w:rPr>
          <w:rFonts w:hint="eastAsia"/>
          <w:b/>
          <w:bCs/>
          <w:sz w:val="21"/>
          <w:szCs w:val="21"/>
          <w:highlight w:val="none"/>
          <w:u w:val="none" w:color="auto"/>
          <w:lang w:val="en-US" w:eastAsia="zh-CN"/>
        </w:rPr>
        <w:t>表9.3-1  工程施工期环境监理内容一览表</w:t>
      </w:r>
    </w:p>
    <w:tbl>
      <w:tblPr>
        <w:tblStyle w:val="35"/>
        <w:tblW w:w="4999" w:type="pct"/>
        <w:jc w:val="center"/>
        <w:tblBorders>
          <w:top w:val="single" w:color="auto" w:sz="12" w:space="0"/>
          <w:left w:val="single" w:color="auto" w:sz="12" w:space="0"/>
          <w:bottom w:val="single" w:color="auto" w:sz="12" w:space="0"/>
          <w:right w:val="single" w:color="auto" w:sz="12" w:space="0"/>
          <w:insideH w:val="single" w:color="000000" w:sz="12" w:space="0"/>
          <w:insideV w:val="single" w:color="000000" w:sz="12" w:space="0"/>
        </w:tblBorders>
        <w:tblLayout w:type="autofit"/>
        <w:tblCellMar>
          <w:top w:w="0" w:type="dxa"/>
          <w:left w:w="0" w:type="dxa"/>
          <w:bottom w:w="0" w:type="dxa"/>
          <w:right w:w="0" w:type="dxa"/>
        </w:tblCellMar>
      </w:tblPr>
      <w:tblGrid>
        <w:gridCol w:w="1494"/>
        <w:gridCol w:w="7606"/>
      </w:tblGrid>
      <w:tr w14:paraId="3C1AFE90">
        <w:tblPrEx>
          <w:tblBorders>
            <w:top w:val="single" w:color="auto" w:sz="12" w:space="0"/>
            <w:left w:val="single" w:color="auto" w:sz="12" w:space="0"/>
            <w:bottom w:val="single" w:color="auto" w:sz="12" w:space="0"/>
            <w:right w:val="single" w:color="auto" w:sz="12" w:space="0"/>
            <w:insideH w:val="single" w:color="000000" w:sz="12" w:space="0"/>
            <w:insideV w:val="single" w:color="000000" w:sz="12" w:space="0"/>
          </w:tblBorders>
          <w:tblCellMar>
            <w:top w:w="0" w:type="dxa"/>
            <w:left w:w="0" w:type="dxa"/>
            <w:bottom w:w="0" w:type="dxa"/>
            <w:right w:w="0" w:type="dxa"/>
          </w:tblCellMar>
        </w:tblPrEx>
        <w:trPr>
          <w:trHeight w:val="23" w:hRule="atLeast"/>
          <w:jc w:val="center"/>
        </w:trPr>
        <w:tc>
          <w:tcPr>
            <w:tcW w:w="821" w:type="pct"/>
            <w:tcBorders>
              <w:bottom w:val="single" w:color="000000" w:sz="4" w:space="0"/>
              <w:right w:val="single" w:color="000000" w:sz="4" w:space="0"/>
            </w:tcBorders>
            <w:noWrap w:val="0"/>
            <w:vAlign w:val="center"/>
          </w:tcPr>
          <w:p w14:paraId="5D7BEDA0">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b/>
                <w:bCs/>
                <w:sz w:val="21"/>
                <w:szCs w:val="21"/>
                <w:highlight w:val="none"/>
                <w:u w:val="none" w:color="auto"/>
                <w:lang w:val="en-US" w:eastAsia="zh-CN"/>
              </w:rPr>
            </w:pPr>
            <w:r>
              <w:rPr>
                <w:rFonts w:hint="eastAsia"/>
                <w:b/>
                <w:bCs/>
                <w:sz w:val="21"/>
                <w:szCs w:val="21"/>
                <w:highlight w:val="none"/>
                <w:u w:val="none" w:color="auto"/>
                <w:lang w:val="en-US" w:eastAsia="zh-CN"/>
              </w:rPr>
              <w:t>项目</w:t>
            </w:r>
          </w:p>
        </w:tc>
        <w:tc>
          <w:tcPr>
            <w:tcW w:w="4178" w:type="pct"/>
            <w:tcBorders>
              <w:left w:val="single" w:color="000000" w:sz="4" w:space="0"/>
              <w:bottom w:val="single" w:color="000000" w:sz="4" w:space="0"/>
            </w:tcBorders>
            <w:noWrap w:val="0"/>
            <w:vAlign w:val="center"/>
          </w:tcPr>
          <w:p w14:paraId="38CE834F">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b/>
                <w:bCs/>
                <w:sz w:val="21"/>
                <w:szCs w:val="21"/>
                <w:highlight w:val="none"/>
                <w:u w:val="none" w:color="auto"/>
                <w:lang w:val="en-US" w:eastAsia="zh-CN"/>
              </w:rPr>
            </w:pPr>
            <w:r>
              <w:rPr>
                <w:rFonts w:hint="eastAsia"/>
                <w:b/>
                <w:bCs/>
                <w:sz w:val="21"/>
                <w:szCs w:val="21"/>
                <w:highlight w:val="none"/>
                <w:u w:val="none" w:color="auto"/>
                <w:lang w:val="en-US" w:eastAsia="zh-CN"/>
              </w:rPr>
              <w:t>内容</w:t>
            </w:r>
          </w:p>
        </w:tc>
      </w:tr>
      <w:tr w14:paraId="560D27DC">
        <w:tblPrEx>
          <w:tblBorders>
            <w:top w:val="single" w:color="auto" w:sz="12" w:space="0"/>
            <w:left w:val="single" w:color="auto" w:sz="12" w:space="0"/>
            <w:bottom w:val="single" w:color="auto" w:sz="12" w:space="0"/>
            <w:right w:val="single" w:color="auto" w:sz="12" w:space="0"/>
            <w:insideH w:val="single" w:color="000000" w:sz="12" w:space="0"/>
            <w:insideV w:val="single" w:color="000000" w:sz="12" w:space="0"/>
          </w:tblBorders>
          <w:tblCellMar>
            <w:top w:w="0" w:type="dxa"/>
            <w:left w:w="0" w:type="dxa"/>
            <w:bottom w:w="0" w:type="dxa"/>
            <w:right w:w="0" w:type="dxa"/>
          </w:tblCellMar>
        </w:tblPrEx>
        <w:trPr>
          <w:trHeight w:val="23" w:hRule="atLeast"/>
          <w:jc w:val="center"/>
        </w:trPr>
        <w:tc>
          <w:tcPr>
            <w:tcW w:w="821" w:type="pct"/>
            <w:vMerge w:val="restart"/>
            <w:tcBorders>
              <w:top w:val="single" w:color="000000" w:sz="4" w:space="0"/>
              <w:bottom w:val="single" w:color="000000" w:sz="4" w:space="0"/>
              <w:right w:val="single" w:color="000000" w:sz="4" w:space="0"/>
            </w:tcBorders>
            <w:noWrap w:val="0"/>
            <w:vAlign w:val="center"/>
          </w:tcPr>
          <w:p w14:paraId="76F21F1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u w:val="none" w:color="auto"/>
                <w:lang w:val="en-US" w:eastAsia="zh-CN"/>
              </w:rPr>
            </w:pPr>
            <w:r>
              <w:rPr>
                <w:rFonts w:hint="eastAsia"/>
                <w:sz w:val="21"/>
                <w:szCs w:val="21"/>
                <w:highlight w:val="none"/>
                <w:u w:val="none" w:color="auto"/>
                <w:lang w:val="en-US" w:eastAsia="zh-CN"/>
              </w:rPr>
              <w:t>施工扬尘</w:t>
            </w:r>
          </w:p>
        </w:tc>
        <w:tc>
          <w:tcPr>
            <w:tcW w:w="4178" w:type="pct"/>
            <w:tcBorders>
              <w:top w:val="single" w:color="000000" w:sz="4" w:space="0"/>
              <w:left w:val="single" w:color="000000" w:sz="4" w:space="0"/>
              <w:bottom w:val="single" w:color="000000" w:sz="4" w:space="0"/>
            </w:tcBorders>
            <w:noWrap w:val="0"/>
            <w:vAlign w:val="center"/>
          </w:tcPr>
          <w:p w14:paraId="67AECE0A">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sz w:val="21"/>
                <w:szCs w:val="21"/>
                <w:highlight w:val="none"/>
                <w:u w:val="none" w:color="auto"/>
                <w:lang w:val="en-US" w:eastAsia="zh-CN"/>
              </w:rPr>
            </w:pPr>
            <w:r>
              <w:rPr>
                <w:rFonts w:hint="eastAsia"/>
                <w:sz w:val="21"/>
                <w:szCs w:val="21"/>
                <w:highlight w:val="none"/>
                <w:u w:val="none" w:color="auto"/>
                <w:lang w:val="en-US" w:eastAsia="zh-CN"/>
              </w:rPr>
              <w:t>施工扬尘控制制度、措施落实情况</w:t>
            </w:r>
          </w:p>
        </w:tc>
      </w:tr>
      <w:tr w14:paraId="141D1756">
        <w:tblPrEx>
          <w:tblBorders>
            <w:top w:val="single" w:color="auto" w:sz="12" w:space="0"/>
            <w:left w:val="single" w:color="auto" w:sz="12" w:space="0"/>
            <w:bottom w:val="single" w:color="auto" w:sz="12" w:space="0"/>
            <w:right w:val="single" w:color="auto" w:sz="12" w:space="0"/>
            <w:insideH w:val="single" w:color="000000" w:sz="12" w:space="0"/>
            <w:insideV w:val="single" w:color="000000" w:sz="12" w:space="0"/>
          </w:tblBorders>
          <w:tblCellMar>
            <w:top w:w="0" w:type="dxa"/>
            <w:left w:w="0" w:type="dxa"/>
            <w:bottom w:w="0" w:type="dxa"/>
            <w:right w:w="0" w:type="dxa"/>
          </w:tblCellMar>
        </w:tblPrEx>
        <w:trPr>
          <w:trHeight w:val="23" w:hRule="atLeast"/>
          <w:jc w:val="center"/>
        </w:trPr>
        <w:tc>
          <w:tcPr>
            <w:tcW w:w="821" w:type="pct"/>
            <w:vMerge w:val="continue"/>
            <w:tcBorders>
              <w:top w:val="nil"/>
              <w:bottom w:val="single" w:color="000000" w:sz="4" w:space="0"/>
              <w:right w:val="single" w:color="000000" w:sz="4" w:space="0"/>
            </w:tcBorders>
            <w:noWrap w:val="0"/>
            <w:vAlign w:val="center"/>
          </w:tcPr>
          <w:p w14:paraId="097B7A6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u w:val="none" w:color="auto"/>
                <w:lang w:val="en-US" w:eastAsia="zh-CN"/>
              </w:rPr>
            </w:pPr>
          </w:p>
        </w:tc>
        <w:tc>
          <w:tcPr>
            <w:tcW w:w="4178" w:type="pct"/>
            <w:tcBorders>
              <w:top w:val="single" w:color="000000" w:sz="4" w:space="0"/>
              <w:left w:val="single" w:color="000000" w:sz="4" w:space="0"/>
              <w:bottom w:val="single" w:color="000000" w:sz="4" w:space="0"/>
            </w:tcBorders>
            <w:noWrap w:val="0"/>
            <w:vAlign w:val="center"/>
          </w:tcPr>
          <w:p w14:paraId="7507DEB2">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sz w:val="21"/>
                <w:szCs w:val="21"/>
                <w:highlight w:val="none"/>
                <w:u w:val="none" w:color="auto"/>
                <w:lang w:val="en-US" w:eastAsia="zh-CN"/>
              </w:rPr>
            </w:pPr>
            <w:r>
              <w:rPr>
                <w:rFonts w:hint="eastAsia"/>
                <w:sz w:val="21"/>
                <w:szCs w:val="21"/>
                <w:highlight w:val="none"/>
                <w:u w:val="none" w:color="auto"/>
                <w:lang w:val="en-US" w:eastAsia="zh-CN"/>
              </w:rPr>
              <w:t>监测因子：TSP；监测频次：对施工场地施工期间每季度应监测一次24小时平均值；大风天气适当增加检测频次。</w:t>
            </w:r>
          </w:p>
        </w:tc>
      </w:tr>
      <w:tr w14:paraId="7A4D05C1">
        <w:tblPrEx>
          <w:tblBorders>
            <w:top w:val="single" w:color="auto" w:sz="12" w:space="0"/>
            <w:left w:val="single" w:color="auto" w:sz="12" w:space="0"/>
            <w:bottom w:val="single" w:color="auto" w:sz="12" w:space="0"/>
            <w:right w:val="single" w:color="auto" w:sz="12" w:space="0"/>
            <w:insideH w:val="single" w:color="000000" w:sz="12" w:space="0"/>
            <w:insideV w:val="single" w:color="000000" w:sz="12" w:space="0"/>
          </w:tblBorders>
          <w:tblCellMar>
            <w:top w:w="0" w:type="dxa"/>
            <w:left w:w="0" w:type="dxa"/>
            <w:bottom w:w="0" w:type="dxa"/>
            <w:right w:w="0" w:type="dxa"/>
          </w:tblCellMar>
        </w:tblPrEx>
        <w:trPr>
          <w:trHeight w:val="23" w:hRule="atLeast"/>
          <w:jc w:val="center"/>
        </w:trPr>
        <w:tc>
          <w:tcPr>
            <w:tcW w:w="821" w:type="pct"/>
            <w:vMerge w:val="restart"/>
            <w:tcBorders>
              <w:top w:val="single" w:color="000000" w:sz="4" w:space="0"/>
              <w:bottom w:val="single" w:color="000000" w:sz="4" w:space="0"/>
              <w:right w:val="single" w:color="000000" w:sz="4" w:space="0"/>
            </w:tcBorders>
            <w:noWrap w:val="0"/>
            <w:vAlign w:val="center"/>
          </w:tcPr>
          <w:p w14:paraId="7520868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u w:val="none" w:color="auto"/>
                <w:lang w:val="en-US" w:eastAsia="zh-CN"/>
              </w:rPr>
            </w:pPr>
            <w:r>
              <w:rPr>
                <w:rFonts w:hint="eastAsia"/>
                <w:sz w:val="21"/>
                <w:szCs w:val="21"/>
                <w:highlight w:val="none"/>
                <w:u w:val="none" w:color="auto"/>
                <w:lang w:val="en-US" w:eastAsia="zh-CN"/>
              </w:rPr>
              <w:t>施工噪声</w:t>
            </w:r>
          </w:p>
        </w:tc>
        <w:tc>
          <w:tcPr>
            <w:tcW w:w="4178" w:type="pct"/>
            <w:tcBorders>
              <w:top w:val="single" w:color="000000" w:sz="4" w:space="0"/>
              <w:left w:val="single" w:color="000000" w:sz="4" w:space="0"/>
              <w:bottom w:val="single" w:color="000000" w:sz="4" w:space="0"/>
            </w:tcBorders>
            <w:noWrap w:val="0"/>
            <w:vAlign w:val="center"/>
          </w:tcPr>
          <w:p w14:paraId="5995B3A1">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sz w:val="21"/>
                <w:szCs w:val="21"/>
                <w:highlight w:val="none"/>
                <w:u w:val="none" w:color="auto"/>
                <w:lang w:val="en-US" w:eastAsia="zh-CN"/>
              </w:rPr>
            </w:pPr>
            <w:r>
              <w:rPr>
                <w:rFonts w:hint="eastAsia"/>
                <w:sz w:val="21"/>
                <w:szCs w:val="21"/>
                <w:highlight w:val="none"/>
                <w:u w:val="none" w:color="auto"/>
                <w:lang w:val="en-US" w:eastAsia="zh-CN"/>
              </w:rPr>
              <w:t>施工高噪声设备的降噪措施、施工区的降噪制度与措施落实情况</w:t>
            </w:r>
          </w:p>
        </w:tc>
      </w:tr>
      <w:tr w14:paraId="58C25424">
        <w:tblPrEx>
          <w:tblBorders>
            <w:top w:val="single" w:color="auto" w:sz="12" w:space="0"/>
            <w:left w:val="single" w:color="auto" w:sz="12" w:space="0"/>
            <w:bottom w:val="single" w:color="auto" w:sz="12" w:space="0"/>
            <w:right w:val="single" w:color="auto" w:sz="12" w:space="0"/>
            <w:insideH w:val="single" w:color="000000" w:sz="12" w:space="0"/>
            <w:insideV w:val="single" w:color="000000" w:sz="12" w:space="0"/>
          </w:tblBorders>
          <w:tblCellMar>
            <w:top w:w="0" w:type="dxa"/>
            <w:left w:w="0" w:type="dxa"/>
            <w:bottom w:w="0" w:type="dxa"/>
            <w:right w:w="0" w:type="dxa"/>
          </w:tblCellMar>
        </w:tblPrEx>
        <w:trPr>
          <w:trHeight w:val="23" w:hRule="atLeast"/>
          <w:jc w:val="center"/>
        </w:trPr>
        <w:tc>
          <w:tcPr>
            <w:tcW w:w="821" w:type="pct"/>
            <w:vMerge w:val="continue"/>
            <w:tcBorders>
              <w:top w:val="nil"/>
              <w:bottom w:val="single" w:color="000000" w:sz="4" w:space="0"/>
              <w:right w:val="single" w:color="000000" w:sz="4" w:space="0"/>
            </w:tcBorders>
            <w:noWrap w:val="0"/>
            <w:vAlign w:val="center"/>
          </w:tcPr>
          <w:p w14:paraId="6E1138D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u w:val="none" w:color="auto"/>
                <w:lang w:val="en-US" w:eastAsia="zh-CN"/>
              </w:rPr>
            </w:pPr>
          </w:p>
        </w:tc>
        <w:tc>
          <w:tcPr>
            <w:tcW w:w="4178" w:type="pct"/>
            <w:tcBorders>
              <w:top w:val="single" w:color="000000" w:sz="4" w:space="0"/>
              <w:left w:val="single" w:color="000000" w:sz="4" w:space="0"/>
              <w:bottom w:val="single" w:color="000000" w:sz="4" w:space="0"/>
            </w:tcBorders>
            <w:noWrap w:val="0"/>
            <w:vAlign w:val="center"/>
          </w:tcPr>
          <w:p w14:paraId="244B28FB">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sz w:val="21"/>
                <w:szCs w:val="21"/>
                <w:highlight w:val="none"/>
                <w:u w:val="none" w:color="auto"/>
                <w:lang w:val="en-US" w:eastAsia="zh-CN"/>
              </w:rPr>
            </w:pPr>
            <w:r>
              <w:rPr>
                <w:rFonts w:hint="eastAsia"/>
                <w:sz w:val="21"/>
                <w:szCs w:val="21"/>
                <w:highlight w:val="none"/>
                <w:u w:val="none" w:color="auto"/>
                <w:lang w:val="en-US" w:eastAsia="zh-CN"/>
              </w:rPr>
              <w:t>监测点位：施工区四周场界昼夜噪声值；监测频次：施工期每2月一次。</w:t>
            </w:r>
          </w:p>
        </w:tc>
      </w:tr>
      <w:tr w14:paraId="50CE3F83">
        <w:tblPrEx>
          <w:tblBorders>
            <w:top w:val="single" w:color="auto" w:sz="12" w:space="0"/>
            <w:left w:val="single" w:color="auto" w:sz="12" w:space="0"/>
            <w:bottom w:val="single" w:color="auto" w:sz="12" w:space="0"/>
            <w:right w:val="single" w:color="auto" w:sz="12" w:space="0"/>
            <w:insideH w:val="single" w:color="000000" w:sz="12" w:space="0"/>
            <w:insideV w:val="single" w:color="000000" w:sz="12" w:space="0"/>
          </w:tblBorders>
          <w:tblCellMar>
            <w:top w:w="0" w:type="dxa"/>
            <w:left w:w="0" w:type="dxa"/>
            <w:bottom w:w="0" w:type="dxa"/>
            <w:right w:w="0" w:type="dxa"/>
          </w:tblCellMar>
        </w:tblPrEx>
        <w:trPr>
          <w:trHeight w:val="23" w:hRule="atLeast"/>
          <w:jc w:val="center"/>
        </w:trPr>
        <w:tc>
          <w:tcPr>
            <w:tcW w:w="821" w:type="pct"/>
            <w:vMerge w:val="restart"/>
            <w:tcBorders>
              <w:top w:val="single" w:color="000000" w:sz="4" w:space="0"/>
              <w:bottom w:val="single" w:color="000000" w:sz="4" w:space="0"/>
              <w:right w:val="single" w:color="000000" w:sz="4" w:space="0"/>
            </w:tcBorders>
            <w:noWrap w:val="0"/>
            <w:vAlign w:val="center"/>
          </w:tcPr>
          <w:p w14:paraId="789F4E9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u w:val="none" w:color="auto"/>
                <w:lang w:val="en-US" w:eastAsia="zh-CN"/>
              </w:rPr>
            </w:pPr>
            <w:r>
              <w:rPr>
                <w:rFonts w:hint="eastAsia"/>
                <w:sz w:val="21"/>
                <w:szCs w:val="21"/>
                <w:highlight w:val="none"/>
                <w:u w:val="none" w:color="auto"/>
                <w:lang w:val="en-US" w:eastAsia="zh-CN"/>
              </w:rPr>
              <w:t>水土流失</w:t>
            </w:r>
          </w:p>
        </w:tc>
        <w:tc>
          <w:tcPr>
            <w:tcW w:w="4178" w:type="pct"/>
            <w:tcBorders>
              <w:top w:val="single" w:color="000000" w:sz="4" w:space="0"/>
              <w:left w:val="single" w:color="000000" w:sz="4" w:space="0"/>
              <w:bottom w:val="single" w:color="000000" w:sz="4" w:space="0"/>
            </w:tcBorders>
            <w:noWrap w:val="0"/>
            <w:vAlign w:val="center"/>
          </w:tcPr>
          <w:p w14:paraId="72211A28">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sz w:val="21"/>
                <w:szCs w:val="21"/>
                <w:highlight w:val="none"/>
                <w:u w:val="none" w:color="auto"/>
                <w:lang w:val="en-US" w:eastAsia="zh-CN"/>
              </w:rPr>
            </w:pPr>
            <w:r>
              <w:rPr>
                <w:rFonts w:hint="eastAsia"/>
                <w:sz w:val="21"/>
                <w:szCs w:val="21"/>
                <w:highlight w:val="none"/>
                <w:u w:val="none" w:color="auto"/>
                <w:lang w:val="en-US" w:eastAsia="zh-CN"/>
              </w:rPr>
              <w:t>水土保持设施的数量和质量，水土保持措施是否落实</w:t>
            </w:r>
          </w:p>
        </w:tc>
      </w:tr>
      <w:tr w14:paraId="6480F6BB">
        <w:tblPrEx>
          <w:tblBorders>
            <w:top w:val="single" w:color="auto" w:sz="12" w:space="0"/>
            <w:left w:val="single" w:color="auto" w:sz="12" w:space="0"/>
            <w:bottom w:val="single" w:color="auto" w:sz="12" w:space="0"/>
            <w:right w:val="single" w:color="auto" w:sz="12" w:space="0"/>
            <w:insideH w:val="single" w:color="000000" w:sz="12" w:space="0"/>
            <w:insideV w:val="single" w:color="000000" w:sz="12" w:space="0"/>
          </w:tblBorders>
          <w:tblCellMar>
            <w:top w:w="0" w:type="dxa"/>
            <w:left w:w="0" w:type="dxa"/>
            <w:bottom w:w="0" w:type="dxa"/>
            <w:right w:w="0" w:type="dxa"/>
          </w:tblCellMar>
        </w:tblPrEx>
        <w:trPr>
          <w:trHeight w:val="23" w:hRule="atLeast"/>
          <w:jc w:val="center"/>
        </w:trPr>
        <w:tc>
          <w:tcPr>
            <w:tcW w:w="821" w:type="pct"/>
            <w:vMerge w:val="continue"/>
            <w:tcBorders>
              <w:top w:val="nil"/>
              <w:bottom w:val="single" w:color="000000" w:sz="4" w:space="0"/>
              <w:right w:val="single" w:color="000000" w:sz="4" w:space="0"/>
            </w:tcBorders>
            <w:noWrap w:val="0"/>
            <w:vAlign w:val="center"/>
          </w:tcPr>
          <w:p w14:paraId="31F21BE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u w:val="none" w:color="auto"/>
                <w:lang w:val="en-US" w:eastAsia="zh-CN"/>
              </w:rPr>
            </w:pPr>
          </w:p>
        </w:tc>
        <w:tc>
          <w:tcPr>
            <w:tcW w:w="4178" w:type="pct"/>
            <w:tcBorders>
              <w:top w:val="single" w:color="000000" w:sz="4" w:space="0"/>
              <w:left w:val="single" w:color="000000" w:sz="4" w:space="0"/>
              <w:bottom w:val="single" w:color="000000" w:sz="4" w:space="0"/>
            </w:tcBorders>
            <w:noWrap w:val="0"/>
            <w:vAlign w:val="center"/>
          </w:tcPr>
          <w:p w14:paraId="7B237DAD">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sz w:val="21"/>
                <w:szCs w:val="21"/>
                <w:highlight w:val="none"/>
                <w:u w:val="none" w:color="auto"/>
                <w:lang w:val="en-US" w:eastAsia="zh-CN"/>
              </w:rPr>
            </w:pPr>
            <w:r>
              <w:rPr>
                <w:rFonts w:hint="eastAsia"/>
                <w:sz w:val="21"/>
                <w:szCs w:val="21"/>
                <w:highlight w:val="none"/>
                <w:u w:val="none" w:color="auto"/>
                <w:lang w:val="en-US" w:eastAsia="zh-CN"/>
              </w:rPr>
              <w:t>是否发生严重水土流失现象</w:t>
            </w:r>
          </w:p>
        </w:tc>
      </w:tr>
      <w:tr w14:paraId="1138E274">
        <w:tblPrEx>
          <w:tblBorders>
            <w:top w:val="single" w:color="auto" w:sz="12" w:space="0"/>
            <w:left w:val="single" w:color="auto" w:sz="12" w:space="0"/>
            <w:bottom w:val="single" w:color="auto" w:sz="12" w:space="0"/>
            <w:right w:val="single" w:color="auto" w:sz="12" w:space="0"/>
            <w:insideH w:val="single" w:color="000000" w:sz="12" w:space="0"/>
            <w:insideV w:val="single" w:color="000000" w:sz="12" w:space="0"/>
          </w:tblBorders>
          <w:tblCellMar>
            <w:top w:w="0" w:type="dxa"/>
            <w:left w:w="0" w:type="dxa"/>
            <w:bottom w:w="0" w:type="dxa"/>
            <w:right w:w="0" w:type="dxa"/>
          </w:tblCellMar>
        </w:tblPrEx>
        <w:trPr>
          <w:trHeight w:val="23" w:hRule="atLeast"/>
          <w:jc w:val="center"/>
        </w:trPr>
        <w:tc>
          <w:tcPr>
            <w:tcW w:w="821" w:type="pct"/>
            <w:vMerge w:val="continue"/>
            <w:tcBorders>
              <w:top w:val="nil"/>
              <w:bottom w:val="single" w:color="000000" w:sz="4" w:space="0"/>
              <w:right w:val="single" w:color="000000" w:sz="4" w:space="0"/>
            </w:tcBorders>
            <w:noWrap w:val="0"/>
            <w:vAlign w:val="center"/>
          </w:tcPr>
          <w:p w14:paraId="1C269A4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u w:val="none" w:color="auto"/>
                <w:lang w:val="en-US" w:eastAsia="zh-CN"/>
              </w:rPr>
            </w:pPr>
          </w:p>
        </w:tc>
        <w:tc>
          <w:tcPr>
            <w:tcW w:w="4178" w:type="pct"/>
            <w:tcBorders>
              <w:top w:val="single" w:color="000000" w:sz="4" w:space="0"/>
              <w:left w:val="single" w:color="000000" w:sz="4" w:space="0"/>
              <w:bottom w:val="single" w:color="000000" w:sz="4" w:space="0"/>
            </w:tcBorders>
            <w:noWrap w:val="0"/>
            <w:vAlign w:val="center"/>
          </w:tcPr>
          <w:p w14:paraId="14858317">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sz w:val="21"/>
                <w:szCs w:val="21"/>
                <w:highlight w:val="none"/>
                <w:u w:val="none" w:color="auto"/>
                <w:lang w:val="en-US" w:eastAsia="zh-CN"/>
              </w:rPr>
            </w:pPr>
            <w:r>
              <w:rPr>
                <w:rFonts w:hint="eastAsia"/>
                <w:sz w:val="21"/>
                <w:szCs w:val="21"/>
                <w:highlight w:val="none"/>
                <w:u w:val="none" w:color="auto"/>
                <w:lang w:val="en-US" w:eastAsia="zh-CN"/>
              </w:rPr>
              <w:t>监测频次：在雨季每月监测一次，其余季节每3月监测一次。</w:t>
            </w:r>
          </w:p>
        </w:tc>
      </w:tr>
      <w:tr w14:paraId="33E3F610">
        <w:tblPrEx>
          <w:tblBorders>
            <w:top w:val="single" w:color="auto" w:sz="12" w:space="0"/>
            <w:left w:val="single" w:color="auto" w:sz="12" w:space="0"/>
            <w:bottom w:val="single" w:color="auto" w:sz="12" w:space="0"/>
            <w:right w:val="single" w:color="auto" w:sz="12" w:space="0"/>
            <w:insideH w:val="single" w:color="000000" w:sz="12" w:space="0"/>
            <w:insideV w:val="single" w:color="000000" w:sz="12" w:space="0"/>
          </w:tblBorders>
          <w:tblCellMar>
            <w:top w:w="0" w:type="dxa"/>
            <w:left w:w="0" w:type="dxa"/>
            <w:bottom w:w="0" w:type="dxa"/>
            <w:right w:w="0" w:type="dxa"/>
          </w:tblCellMar>
        </w:tblPrEx>
        <w:trPr>
          <w:trHeight w:val="23" w:hRule="atLeast"/>
          <w:jc w:val="center"/>
        </w:trPr>
        <w:tc>
          <w:tcPr>
            <w:tcW w:w="821" w:type="pct"/>
            <w:vMerge w:val="restart"/>
            <w:tcBorders>
              <w:top w:val="single" w:color="000000" w:sz="4" w:space="0"/>
              <w:bottom w:val="single" w:color="000000" w:sz="4" w:space="0"/>
              <w:right w:val="single" w:color="000000" w:sz="4" w:space="0"/>
            </w:tcBorders>
            <w:noWrap w:val="0"/>
            <w:vAlign w:val="center"/>
          </w:tcPr>
          <w:p w14:paraId="179742A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u w:val="none" w:color="auto"/>
                <w:lang w:val="en-US" w:eastAsia="zh-CN"/>
              </w:rPr>
            </w:pPr>
            <w:r>
              <w:rPr>
                <w:rFonts w:hint="eastAsia"/>
                <w:sz w:val="21"/>
                <w:szCs w:val="21"/>
                <w:highlight w:val="none"/>
                <w:u w:val="none" w:color="auto"/>
                <w:lang w:val="en-US" w:eastAsia="zh-CN"/>
              </w:rPr>
              <w:t>施工废水</w:t>
            </w:r>
          </w:p>
        </w:tc>
        <w:tc>
          <w:tcPr>
            <w:tcW w:w="4178" w:type="pct"/>
            <w:tcBorders>
              <w:top w:val="single" w:color="000000" w:sz="4" w:space="0"/>
              <w:left w:val="single" w:color="000000" w:sz="4" w:space="0"/>
              <w:bottom w:val="single" w:color="000000" w:sz="4" w:space="0"/>
            </w:tcBorders>
            <w:noWrap w:val="0"/>
            <w:vAlign w:val="center"/>
          </w:tcPr>
          <w:p w14:paraId="2D163CB5">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sz w:val="21"/>
                <w:szCs w:val="21"/>
                <w:highlight w:val="none"/>
                <w:u w:val="none" w:color="auto"/>
                <w:lang w:val="en-US" w:eastAsia="zh-CN"/>
              </w:rPr>
            </w:pPr>
            <w:r>
              <w:rPr>
                <w:rFonts w:hint="eastAsia"/>
                <w:sz w:val="21"/>
                <w:szCs w:val="21"/>
                <w:highlight w:val="none"/>
                <w:u w:val="none" w:color="auto"/>
                <w:lang w:val="en-US" w:eastAsia="zh-CN"/>
              </w:rPr>
              <w:t>施工废水的控制制度、措施落实情况；确保施工废水处理达标、妥善处理，不外排</w:t>
            </w:r>
          </w:p>
        </w:tc>
      </w:tr>
      <w:tr w14:paraId="61E0E03E">
        <w:tblPrEx>
          <w:tblBorders>
            <w:top w:val="single" w:color="auto" w:sz="12" w:space="0"/>
            <w:left w:val="single" w:color="auto" w:sz="12" w:space="0"/>
            <w:bottom w:val="single" w:color="auto" w:sz="12" w:space="0"/>
            <w:right w:val="single" w:color="auto" w:sz="12" w:space="0"/>
            <w:insideH w:val="single" w:color="000000" w:sz="12" w:space="0"/>
            <w:insideV w:val="single" w:color="000000" w:sz="12" w:space="0"/>
          </w:tblBorders>
          <w:tblCellMar>
            <w:top w:w="0" w:type="dxa"/>
            <w:left w:w="0" w:type="dxa"/>
            <w:bottom w:w="0" w:type="dxa"/>
            <w:right w:w="0" w:type="dxa"/>
          </w:tblCellMar>
        </w:tblPrEx>
        <w:trPr>
          <w:trHeight w:val="23" w:hRule="atLeast"/>
          <w:jc w:val="center"/>
        </w:trPr>
        <w:tc>
          <w:tcPr>
            <w:tcW w:w="821" w:type="pct"/>
            <w:vMerge w:val="continue"/>
            <w:tcBorders>
              <w:top w:val="nil"/>
              <w:bottom w:val="single" w:color="000000" w:sz="4" w:space="0"/>
              <w:right w:val="single" w:color="000000" w:sz="4" w:space="0"/>
            </w:tcBorders>
            <w:noWrap w:val="0"/>
            <w:vAlign w:val="center"/>
          </w:tcPr>
          <w:p w14:paraId="329E755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u w:val="none" w:color="auto"/>
                <w:lang w:val="en-US" w:eastAsia="zh-CN"/>
              </w:rPr>
            </w:pPr>
          </w:p>
        </w:tc>
        <w:tc>
          <w:tcPr>
            <w:tcW w:w="4178" w:type="pct"/>
            <w:tcBorders>
              <w:top w:val="single" w:color="000000" w:sz="4" w:space="0"/>
              <w:left w:val="single" w:color="000000" w:sz="4" w:space="0"/>
              <w:bottom w:val="single" w:color="000000" w:sz="4" w:space="0"/>
            </w:tcBorders>
            <w:noWrap w:val="0"/>
            <w:vAlign w:val="center"/>
          </w:tcPr>
          <w:p w14:paraId="3DBCB39E">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sz w:val="21"/>
                <w:szCs w:val="21"/>
                <w:highlight w:val="none"/>
                <w:u w:val="none" w:color="auto"/>
                <w:lang w:val="en-US" w:eastAsia="zh-CN"/>
              </w:rPr>
            </w:pPr>
            <w:r>
              <w:rPr>
                <w:rFonts w:hint="eastAsia"/>
                <w:sz w:val="21"/>
                <w:szCs w:val="21"/>
                <w:highlight w:val="none"/>
                <w:u w:val="none" w:color="auto"/>
                <w:lang w:val="en-US" w:eastAsia="zh-CN"/>
              </w:rPr>
              <w:t>监测因子：</w:t>
            </w:r>
            <w:r>
              <w:rPr>
                <w:rFonts w:hint="eastAsia" w:hAnsi="Times New Roman" w:cs="Times New Roman"/>
                <w:color w:val="auto"/>
                <w:sz w:val="21"/>
                <w:szCs w:val="21"/>
                <w:highlight w:val="none"/>
                <w:lang w:val="en-US" w:eastAsia="zh-CN"/>
              </w:rPr>
              <w:t>pH、石油类、砷、镍、铅、镉、总铬、铬（六价）、汞、铜、锌、氰化物</w:t>
            </w:r>
            <w:r>
              <w:rPr>
                <w:rFonts w:hint="eastAsia"/>
                <w:sz w:val="21"/>
                <w:szCs w:val="21"/>
                <w:highlight w:val="none"/>
                <w:u w:val="none" w:color="auto"/>
                <w:lang w:val="en-US" w:eastAsia="zh-CN"/>
              </w:rPr>
              <w:t>等；</w:t>
            </w:r>
          </w:p>
          <w:p w14:paraId="7E6D8573">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sz w:val="21"/>
                <w:szCs w:val="21"/>
                <w:highlight w:val="none"/>
                <w:u w:val="none" w:color="auto"/>
                <w:lang w:val="en-US" w:eastAsia="zh-CN"/>
              </w:rPr>
            </w:pPr>
            <w:r>
              <w:rPr>
                <w:rFonts w:hint="eastAsia"/>
                <w:sz w:val="21"/>
                <w:szCs w:val="21"/>
                <w:highlight w:val="none"/>
                <w:u w:val="none" w:color="auto"/>
                <w:lang w:val="en-US" w:eastAsia="zh-CN"/>
              </w:rPr>
              <w:t>监测频次：每月监测一次；</w:t>
            </w:r>
          </w:p>
        </w:tc>
      </w:tr>
      <w:tr w14:paraId="7D58B81B">
        <w:tblPrEx>
          <w:tblBorders>
            <w:top w:val="single" w:color="auto" w:sz="12" w:space="0"/>
            <w:left w:val="single" w:color="auto" w:sz="12" w:space="0"/>
            <w:bottom w:val="single" w:color="auto" w:sz="12" w:space="0"/>
            <w:right w:val="single" w:color="auto" w:sz="12" w:space="0"/>
            <w:insideH w:val="single" w:color="000000" w:sz="12" w:space="0"/>
            <w:insideV w:val="single" w:color="000000" w:sz="12" w:space="0"/>
          </w:tblBorders>
          <w:tblCellMar>
            <w:top w:w="0" w:type="dxa"/>
            <w:left w:w="0" w:type="dxa"/>
            <w:bottom w:w="0" w:type="dxa"/>
            <w:right w:w="0" w:type="dxa"/>
          </w:tblCellMar>
        </w:tblPrEx>
        <w:trPr>
          <w:trHeight w:val="23" w:hRule="atLeast"/>
          <w:jc w:val="center"/>
        </w:trPr>
        <w:tc>
          <w:tcPr>
            <w:tcW w:w="821" w:type="pct"/>
            <w:tcBorders>
              <w:top w:val="single" w:color="000000" w:sz="4" w:space="0"/>
              <w:right w:val="single" w:color="000000" w:sz="4" w:space="0"/>
            </w:tcBorders>
            <w:noWrap w:val="0"/>
            <w:vAlign w:val="center"/>
          </w:tcPr>
          <w:p w14:paraId="4939305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u w:val="none" w:color="auto"/>
                <w:lang w:val="en-US" w:eastAsia="zh-CN"/>
              </w:rPr>
            </w:pPr>
            <w:r>
              <w:rPr>
                <w:rFonts w:hint="eastAsia"/>
                <w:sz w:val="21"/>
                <w:szCs w:val="21"/>
                <w:highlight w:val="none"/>
                <w:u w:val="none" w:color="auto"/>
                <w:lang w:val="en-US" w:eastAsia="zh-CN"/>
              </w:rPr>
              <w:t>施工固废/废渣、建筑垃圾处置</w:t>
            </w:r>
          </w:p>
        </w:tc>
        <w:tc>
          <w:tcPr>
            <w:tcW w:w="4178" w:type="pct"/>
            <w:tcBorders>
              <w:top w:val="single" w:color="000000" w:sz="4" w:space="0"/>
              <w:left w:val="single" w:color="000000" w:sz="4" w:space="0"/>
            </w:tcBorders>
            <w:noWrap w:val="0"/>
            <w:vAlign w:val="center"/>
          </w:tcPr>
          <w:p w14:paraId="7E36A155">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sz w:val="21"/>
                <w:szCs w:val="21"/>
                <w:highlight w:val="none"/>
                <w:u w:val="none" w:color="auto"/>
                <w:lang w:val="en-US" w:eastAsia="zh-CN"/>
              </w:rPr>
            </w:pPr>
            <w:r>
              <w:rPr>
                <w:rFonts w:hint="eastAsia"/>
                <w:sz w:val="21"/>
                <w:szCs w:val="21"/>
                <w:highlight w:val="none"/>
                <w:u w:val="none" w:color="auto"/>
                <w:lang w:val="en-US" w:eastAsia="zh-CN"/>
              </w:rPr>
              <w:t>各种固废产生量统计、固废成分组成情况统计、处置方案落实情况，废渣清理程度。运输过程监理，防渗措施修建监理，截洪措施修建监理，转移台账等</w:t>
            </w:r>
          </w:p>
        </w:tc>
      </w:tr>
    </w:tbl>
    <w:p w14:paraId="4F30C5BF">
      <w:pPr>
        <w:pStyle w:val="8"/>
        <w:numPr>
          <w:ilvl w:val="1"/>
          <w:numId w:val="1"/>
        </w:numPr>
        <w:tabs>
          <w:tab w:val="clear" w:pos="420"/>
        </w:tabs>
        <w:bidi w:val="0"/>
        <w:ind w:left="567" w:leftChars="0" w:hanging="567" w:firstLineChars="0"/>
        <w:rPr>
          <w:rFonts w:hint="default"/>
          <w:highlight w:val="none"/>
          <w:u w:val="none" w:color="auto"/>
          <w:lang w:val="en-US" w:eastAsia="zh-CN"/>
        </w:rPr>
      </w:pPr>
      <w:bookmarkStart w:id="125" w:name="_Toc20698"/>
      <w:r>
        <w:rPr>
          <w:rFonts w:hint="eastAsia"/>
          <w:highlight w:val="none"/>
          <w:u w:val="none" w:color="auto"/>
          <w:lang w:val="en-US" w:eastAsia="zh-CN"/>
        </w:rPr>
        <w:t>排污口设置及规范化管理</w:t>
      </w:r>
      <w:bookmarkEnd w:id="118"/>
      <w:bookmarkEnd w:id="125"/>
    </w:p>
    <w:p w14:paraId="5B9AB12A">
      <w:pPr>
        <w:bidi w:val="0"/>
        <w:rPr>
          <w:rFonts w:hint="eastAsia"/>
          <w:highlight w:val="none"/>
          <w:u w:val="none" w:color="auto"/>
          <w:lang w:val="en-US" w:eastAsia="zh-CN"/>
        </w:rPr>
      </w:pPr>
      <w:r>
        <w:rPr>
          <w:rFonts w:hint="eastAsia"/>
          <w:highlight w:val="none"/>
          <w:u w:val="none" w:color="auto"/>
          <w:lang w:val="en-US" w:eastAsia="zh-CN"/>
        </w:rPr>
        <w:t>根据国家标准《环境保护图形标志-排放口（源）》、国家环保总局《排污口规范化整治要求》（试行）及《危险废物识别标志设置技术规范》（HJ1276-2022）的技术要求，企业所有排放口（包括水、气、声、渣）必须按照“便于采样、便于计量检测、便于日常现场监督检查”的原则和规范化要求，设置与之相适应的环境保护图形标志牌，绘制企业排污口分布图，排污口的规范化要符合有关环保要求。</w:t>
      </w:r>
    </w:p>
    <w:p w14:paraId="62BF8DA4">
      <w:pPr>
        <w:bidi w:val="0"/>
        <w:ind w:left="0" w:leftChars="0" w:firstLine="0" w:firstLineChars="0"/>
        <w:jc w:val="center"/>
        <w:rPr>
          <w:rFonts w:hint="default"/>
          <w:b/>
          <w:bCs/>
          <w:sz w:val="21"/>
          <w:szCs w:val="21"/>
          <w:highlight w:val="none"/>
          <w:u w:val="none" w:color="auto"/>
          <w:lang w:val="en-US" w:eastAsia="zh-CN"/>
        </w:rPr>
      </w:pPr>
      <w:r>
        <w:rPr>
          <w:rFonts w:hint="eastAsia"/>
          <w:b/>
          <w:bCs/>
          <w:sz w:val="21"/>
          <w:szCs w:val="21"/>
          <w:highlight w:val="none"/>
          <w:u w:val="none" w:color="auto"/>
          <w:lang w:val="en-US" w:eastAsia="zh-CN"/>
        </w:rPr>
        <w:t>表9.4-1  环境保护图形标志的形状及颜色表</w:t>
      </w:r>
    </w:p>
    <w:tbl>
      <w:tblPr>
        <w:tblStyle w:val="35"/>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6" w:space="0"/>
        </w:tblBorders>
        <w:tblLayout w:type="autofit"/>
        <w:tblCellMar>
          <w:top w:w="0" w:type="dxa"/>
          <w:left w:w="108" w:type="dxa"/>
          <w:bottom w:w="0" w:type="dxa"/>
          <w:right w:w="108" w:type="dxa"/>
        </w:tblCellMar>
      </w:tblPr>
      <w:tblGrid>
        <w:gridCol w:w="2317"/>
        <w:gridCol w:w="2323"/>
        <w:gridCol w:w="2323"/>
        <w:gridCol w:w="2325"/>
      </w:tblGrid>
      <w:tr w14:paraId="73B65FAA">
        <w:tblPrEx>
          <w:tblBorders>
            <w:top w:val="single" w:color="auto" w:sz="12" w:space="0"/>
            <w:left w:val="single" w:color="auto" w:sz="12" w:space="0"/>
            <w:bottom w:val="single" w:color="auto" w:sz="12" w:space="0"/>
            <w:right w:val="single" w:color="auto" w:sz="12" w:space="0"/>
            <w:insideH w:val="single" w:color="auto" w:sz="4" w:space="0"/>
            <w:insideV w:val="single" w:color="auto" w:sz="6" w:space="0"/>
          </w:tblBorders>
          <w:tblCellMar>
            <w:top w:w="0" w:type="dxa"/>
            <w:left w:w="108" w:type="dxa"/>
            <w:bottom w:w="0" w:type="dxa"/>
            <w:right w:w="108" w:type="dxa"/>
          </w:tblCellMar>
        </w:tblPrEx>
        <w:trPr>
          <w:trHeight w:val="283" w:hRule="atLeast"/>
          <w:tblHeader/>
        </w:trPr>
        <w:tc>
          <w:tcPr>
            <w:tcW w:w="1247" w:type="pct"/>
            <w:tcBorders>
              <w:top w:val="single" w:color="auto" w:sz="12" w:space="0"/>
              <w:left w:val="single" w:color="auto" w:sz="12" w:space="0"/>
              <w:right w:val="single" w:color="auto" w:sz="6" w:space="0"/>
            </w:tcBorders>
            <w:noWrap w:val="0"/>
            <w:vAlign w:val="center"/>
          </w:tcPr>
          <w:p w14:paraId="2B08F7FD">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b/>
                <w:bCs/>
                <w:sz w:val="21"/>
                <w:szCs w:val="21"/>
                <w:highlight w:val="none"/>
                <w:u w:val="none" w:color="auto"/>
                <w:lang w:val="en-US" w:eastAsia="zh-CN"/>
              </w:rPr>
            </w:pPr>
            <w:r>
              <w:rPr>
                <w:rFonts w:hint="eastAsia"/>
                <w:b/>
                <w:bCs/>
                <w:sz w:val="21"/>
                <w:szCs w:val="21"/>
                <w:highlight w:val="none"/>
                <w:u w:val="none" w:color="auto"/>
                <w:lang w:val="en-US" w:eastAsia="zh-CN"/>
              </w:rPr>
              <w:t>标志名称</w:t>
            </w:r>
          </w:p>
        </w:tc>
        <w:tc>
          <w:tcPr>
            <w:tcW w:w="1250" w:type="pct"/>
            <w:tcBorders>
              <w:top w:val="single" w:color="auto" w:sz="12" w:space="0"/>
              <w:left w:val="single" w:color="auto" w:sz="6" w:space="0"/>
              <w:right w:val="single" w:color="auto" w:sz="6" w:space="0"/>
            </w:tcBorders>
            <w:noWrap w:val="0"/>
            <w:vAlign w:val="center"/>
          </w:tcPr>
          <w:p w14:paraId="5BF74F2D">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b/>
                <w:bCs/>
                <w:sz w:val="21"/>
                <w:szCs w:val="21"/>
                <w:highlight w:val="none"/>
                <w:u w:val="none" w:color="auto"/>
                <w:lang w:val="en-US" w:eastAsia="zh-CN"/>
              </w:rPr>
            </w:pPr>
            <w:r>
              <w:rPr>
                <w:rFonts w:hint="eastAsia"/>
                <w:b/>
                <w:bCs/>
                <w:sz w:val="21"/>
                <w:szCs w:val="21"/>
                <w:highlight w:val="none"/>
                <w:u w:val="none" w:color="auto"/>
                <w:lang w:val="en-US" w:eastAsia="zh-CN"/>
              </w:rPr>
              <w:t>形状</w:t>
            </w:r>
          </w:p>
        </w:tc>
        <w:tc>
          <w:tcPr>
            <w:tcW w:w="1250" w:type="pct"/>
            <w:tcBorders>
              <w:top w:val="single" w:color="auto" w:sz="12" w:space="0"/>
              <w:left w:val="single" w:color="auto" w:sz="6" w:space="0"/>
              <w:right w:val="single" w:color="auto" w:sz="6" w:space="0"/>
            </w:tcBorders>
            <w:noWrap w:val="0"/>
            <w:vAlign w:val="center"/>
          </w:tcPr>
          <w:p w14:paraId="7EC13D5F">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b/>
                <w:bCs/>
                <w:sz w:val="21"/>
                <w:szCs w:val="21"/>
                <w:highlight w:val="none"/>
                <w:u w:val="none" w:color="auto"/>
                <w:lang w:val="en-US" w:eastAsia="zh-CN"/>
              </w:rPr>
            </w:pPr>
            <w:r>
              <w:rPr>
                <w:rFonts w:hint="eastAsia"/>
                <w:b/>
                <w:bCs/>
                <w:sz w:val="21"/>
                <w:szCs w:val="21"/>
                <w:highlight w:val="none"/>
                <w:u w:val="none" w:color="auto"/>
                <w:lang w:val="en-US" w:eastAsia="zh-CN"/>
              </w:rPr>
              <w:t>背景颜色</w:t>
            </w:r>
          </w:p>
        </w:tc>
        <w:tc>
          <w:tcPr>
            <w:tcW w:w="1251" w:type="pct"/>
            <w:tcBorders>
              <w:top w:val="single" w:color="auto" w:sz="12" w:space="0"/>
              <w:left w:val="single" w:color="auto" w:sz="6" w:space="0"/>
              <w:right w:val="single" w:color="auto" w:sz="12" w:space="0"/>
            </w:tcBorders>
            <w:noWrap w:val="0"/>
            <w:vAlign w:val="center"/>
          </w:tcPr>
          <w:p w14:paraId="19E2A6D7">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b/>
                <w:bCs/>
                <w:sz w:val="21"/>
                <w:szCs w:val="21"/>
                <w:highlight w:val="none"/>
                <w:u w:val="none" w:color="auto"/>
                <w:lang w:val="en-US" w:eastAsia="zh-CN"/>
              </w:rPr>
            </w:pPr>
            <w:r>
              <w:rPr>
                <w:rFonts w:hint="eastAsia"/>
                <w:b/>
                <w:bCs/>
                <w:sz w:val="21"/>
                <w:szCs w:val="21"/>
                <w:highlight w:val="none"/>
                <w:u w:val="none" w:color="auto"/>
                <w:lang w:val="en-US" w:eastAsia="zh-CN"/>
              </w:rPr>
              <w:t>图形颜色</w:t>
            </w:r>
          </w:p>
        </w:tc>
      </w:tr>
      <w:tr w14:paraId="2BB7C35F">
        <w:tblPrEx>
          <w:tblBorders>
            <w:top w:val="single" w:color="auto" w:sz="12" w:space="0"/>
            <w:left w:val="single" w:color="auto" w:sz="12" w:space="0"/>
            <w:bottom w:val="single" w:color="auto" w:sz="12" w:space="0"/>
            <w:right w:val="single" w:color="auto" w:sz="12" w:space="0"/>
            <w:insideH w:val="single" w:color="auto" w:sz="4" w:space="0"/>
            <w:insideV w:val="single" w:color="auto" w:sz="6" w:space="0"/>
          </w:tblBorders>
          <w:tblCellMar>
            <w:top w:w="0" w:type="dxa"/>
            <w:left w:w="108" w:type="dxa"/>
            <w:bottom w:w="0" w:type="dxa"/>
            <w:right w:w="108" w:type="dxa"/>
          </w:tblCellMar>
        </w:tblPrEx>
        <w:trPr>
          <w:trHeight w:val="283" w:hRule="atLeast"/>
        </w:trPr>
        <w:tc>
          <w:tcPr>
            <w:tcW w:w="1247" w:type="pct"/>
            <w:tcBorders>
              <w:left w:val="single" w:color="auto" w:sz="12" w:space="0"/>
              <w:right w:val="single" w:color="auto" w:sz="6" w:space="0"/>
            </w:tcBorders>
            <w:noWrap w:val="0"/>
            <w:vAlign w:val="center"/>
          </w:tcPr>
          <w:p w14:paraId="2A7161B6">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none"/>
                <w:u w:val="none" w:color="auto"/>
                <w:lang w:val="en-US" w:eastAsia="zh-CN"/>
              </w:rPr>
            </w:pPr>
            <w:r>
              <w:rPr>
                <w:rFonts w:hint="eastAsia"/>
                <w:sz w:val="21"/>
                <w:szCs w:val="21"/>
                <w:highlight w:val="none"/>
                <w:u w:val="none" w:color="auto"/>
                <w:lang w:val="en-US" w:eastAsia="zh-CN"/>
              </w:rPr>
              <w:t>警告标志</w:t>
            </w:r>
          </w:p>
        </w:tc>
        <w:tc>
          <w:tcPr>
            <w:tcW w:w="1250" w:type="pct"/>
            <w:tcBorders>
              <w:left w:val="single" w:color="auto" w:sz="6" w:space="0"/>
              <w:right w:val="single" w:color="auto" w:sz="6" w:space="0"/>
            </w:tcBorders>
            <w:noWrap w:val="0"/>
            <w:vAlign w:val="center"/>
          </w:tcPr>
          <w:p w14:paraId="34A9F6B6">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none"/>
                <w:u w:val="none" w:color="auto"/>
                <w:lang w:val="en-US" w:eastAsia="zh-CN"/>
              </w:rPr>
            </w:pPr>
            <w:r>
              <w:rPr>
                <w:rFonts w:hint="eastAsia"/>
                <w:sz w:val="21"/>
                <w:szCs w:val="21"/>
                <w:highlight w:val="none"/>
                <w:u w:val="none" w:color="auto"/>
                <w:lang w:val="en-US" w:eastAsia="zh-CN"/>
              </w:rPr>
              <w:t>三角形边框</w:t>
            </w:r>
          </w:p>
        </w:tc>
        <w:tc>
          <w:tcPr>
            <w:tcW w:w="1250" w:type="pct"/>
            <w:tcBorders>
              <w:left w:val="single" w:color="auto" w:sz="6" w:space="0"/>
              <w:right w:val="single" w:color="auto" w:sz="6" w:space="0"/>
            </w:tcBorders>
            <w:noWrap w:val="0"/>
            <w:vAlign w:val="center"/>
          </w:tcPr>
          <w:p w14:paraId="4FC1B89E">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none"/>
                <w:u w:val="none" w:color="auto"/>
                <w:lang w:val="en-US" w:eastAsia="zh-CN"/>
              </w:rPr>
            </w:pPr>
            <w:r>
              <w:rPr>
                <w:rFonts w:hint="eastAsia"/>
                <w:sz w:val="21"/>
                <w:szCs w:val="21"/>
                <w:highlight w:val="none"/>
                <w:u w:val="none" w:color="auto"/>
                <w:lang w:val="en-US" w:eastAsia="zh-CN"/>
              </w:rPr>
              <w:t>黄色</w:t>
            </w:r>
          </w:p>
        </w:tc>
        <w:tc>
          <w:tcPr>
            <w:tcW w:w="1251" w:type="pct"/>
            <w:tcBorders>
              <w:left w:val="single" w:color="auto" w:sz="6" w:space="0"/>
              <w:right w:val="single" w:color="auto" w:sz="12" w:space="0"/>
            </w:tcBorders>
            <w:noWrap w:val="0"/>
            <w:vAlign w:val="center"/>
          </w:tcPr>
          <w:p w14:paraId="2232C24F">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none"/>
                <w:u w:val="none" w:color="auto"/>
                <w:lang w:val="en-US" w:eastAsia="zh-CN"/>
              </w:rPr>
            </w:pPr>
            <w:r>
              <w:rPr>
                <w:rFonts w:hint="eastAsia"/>
                <w:sz w:val="21"/>
                <w:szCs w:val="21"/>
                <w:highlight w:val="none"/>
                <w:u w:val="none" w:color="auto"/>
                <w:lang w:val="en-US" w:eastAsia="zh-CN"/>
              </w:rPr>
              <w:t>黑色</w:t>
            </w:r>
          </w:p>
        </w:tc>
      </w:tr>
      <w:tr w14:paraId="468BE676">
        <w:tblPrEx>
          <w:tblBorders>
            <w:top w:val="single" w:color="auto" w:sz="12" w:space="0"/>
            <w:left w:val="single" w:color="auto" w:sz="12" w:space="0"/>
            <w:bottom w:val="single" w:color="auto" w:sz="12" w:space="0"/>
            <w:right w:val="single" w:color="auto" w:sz="12" w:space="0"/>
            <w:insideH w:val="single" w:color="auto" w:sz="4" w:space="0"/>
            <w:insideV w:val="single" w:color="auto" w:sz="6" w:space="0"/>
          </w:tblBorders>
          <w:tblCellMar>
            <w:top w:w="0" w:type="dxa"/>
            <w:left w:w="108" w:type="dxa"/>
            <w:bottom w:w="0" w:type="dxa"/>
            <w:right w:w="108" w:type="dxa"/>
          </w:tblCellMar>
        </w:tblPrEx>
        <w:trPr>
          <w:trHeight w:val="283" w:hRule="atLeast"/>
        </w:trPr>
        <w:tc>
          <w:tcPr>
            <w:tcW w:w="1247" w:type="pct"/>
            <w:tcBorders>
              <w:left w:val="single" w:color="auto" w:sz="12" w:space="0"/>
              <w:bottom w:val="single" w:color="auto" w:sz="12" w:space="0"/>
              <w:right w:val="single" w:color="auto" w:sz="6" w:space="0"/>
            </w:tcBorders>
            <w:noWrap w:val="0"/>
            <w:vAlign w:val="center"/>
          </w:tcPr>
          <w:p w14:paraId="637153DA">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none"/>
                <w:u w:val="none" w:color="auto"/>
                <w:lang w:val="en-US" w:eastAsia="zh-CN"/>
              </w:rPr>
            </w:pPr>
            <w:r>
              <w:rPr>
                <w:rFonts w:hint="eastAsia"/>
                <w:sz w:val="21"/>
                <w:szCs w:val="21"/>
                <w:highlight w:val="none"/>
                <w:u w:val="none" w:color="auto"/>
                <w:lang w:val="en-US" w:eastAsia="zh-CN"/>
              </w:rPr>
              <w:t>提示标志</w:t>
            </w:r>
          </w:p>
        </w:tc>
        <w:tc>
          <w:tcPr>
            <w:tcW w:w="1250" w:type="pct"/>
            <w:tcBorders>
              <w:left w:val="single" w:color="auto" w:sz="6" w:space="0"/>
              <w:bottom w:val="single" w:color="auto" w:sz="12" w:space="0"/>
              <w:right w:val="single" w:color="auto" w:sz="6" w:space="0"/>
            </w:tcBorders>
            <w:noWrap w:val="0"/>
            <w:vAlign w:val="center"/>
          </w:tcPr>
          <w:p w14:paraId="38BD9471">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none"/>
                <w:u w:val="none" w:color="auto"/>
                <w:lang w:val="en-US" w:eastAsia="zh-CN"/>
              </w:rPr>
            </w:pPr>
            <w:r>
              <w:rPr>
                <w:rFonts w:hint="eastAsia"/>
                <w:sz w:val="21"/>
                <w:szCs w:val="21"/>
                <w:highlight w:val="none"/>
                <w:u w:val="none" w:color="auto"/>
                <w:lang w:val="en-US" w:eastAsia="zh-CN"/>
              </w:rPr>
              <w:t>正方形边框</w:t>
            </w:r>
          </w:p>
        </w:tc>
        <w:tc>
          <w:tcPr>
            <w:tcW w:w="1250" w:type="pct"/>
            <w:tcBorders>
              <w:left w:val="single" w:color="auto" w:sz="6" w:space="0"/>
              <w:bottom w:val="single" w:color="auto" w:sz="12" w:space="0"/>
              <w:right w:val="single" w:color="auto" w:sz="6" w:space="0"/>
            </w:tcBorders>
            <w:noWrap w:val="0"/>
            <w:vAlign w:val="center"/>
          </w:tcPr>
          <w:p w14:paraId="53BC042C">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none"/>
                <w:u w:val="none" w:color="auto"/>
                <w:lang w:val="en-US" w:eastAsia="zh-CN"/>
              </w:rPr>
            </w:pPr>
            <w:r>
              <w:rPr>
                <w:rFonts w:hint="eastAsia"/>
                <w:sz w:val="21"/>
                <w:szCs w:val="21"/>
                <w:highlight w:val="none"/>
                <w:u w:val="none" w:color="auto"/>
                <w:lang w:val="en-US" w:eastAsia="zh-CN"/>
              </w:rPr>
              <w:t>绿色</w:t>
            </w:r>
          </w:p>
        </w:tc>
        <w:tc>
          <w:tcPr>
            <w:tcW w:w="1251" w:type="pct"/>
            <w:tcBorders>
              <w:left w:val="single" w:color="auto" w:sz="6" w:space="0"/>
              <w:bottom w:val="single" w:color="auto" w:sz="12" w:space="0"/>
              <w:right w:val="single" w:color="auto" w:sz="12" w:space="0"/>
            </w:tcBorders>
            <w:noWrap w:val="0"/>
            <w:vAlign w:val="center"/>
          </w:tcPr>
          <w:p w14:paraId="6E9AB53D">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none"/>
                <w:u w:val="none" w:color="auto"/>
                <w:lang w:val="en-US" w:eastAsia="zh-CN"/>
              </w:rPr>
            </w:pPr>
            <w:r>
              <w:rPr>
                <w:rFonts w:hint="eastAsia"/>
                <w:sz w:val="21"/>
                <w:szCs w:val="21"/>
                <w:highlight w:val="none"/>
                <w:u w:val="none" w:color="auto"/>
                <w:lang w:val="en-US" w:eastAsia="zh-CN"/>
              </w:rPr>
              <w:t>白色</w:t>
            </w:r>
          </w:p>
        </w:tc>
      </w:tr>
    </w:tbl>
    <w:p w14:paraId="3F70D465">
      <w:pPr>
        <w:bidi w:val="0"/>
        <w:ind w:left="0" w:leftChars="0" w:firstLine="0" w:firstLineChars="0"/>
        <w:jc w:val="center"/>
        <w:rPr>
          <w:rFonts w:hint="eastAsia"/>
          <w:b/>
          <w:bCs/>
          <w:sz w:val="21"/>
          <w:szCs w:val="21"/>
          <w:highlight w:val="none"/>
          <w:u w:val="none" w:color="auto"/>
          <w:lang w:val="en-US" w:eastAsia="zh-CN"/>
        </w:rPr>
      </w:pPr>
      <w:r>
        <w:rPr>
          <w:rFonts w:hint="eastAsia"/>
          <w:b/>
          <w:bCs/>
          <w:sz w:val="21"/>
          <w:szCs w:val="21"/>
          <w:highlight w:val="none"/>
          <w:u w:val="none" w:color="auto"/>
          <w:lang w:val="en-US" w:eastAsia="zh-CN"/>
        </w:rPr>
        <w:t>表9.4-2  环境保护图形符号一览表</w:t>
      </w:r>
    </w:p>
    <w:tbl>
      <w:tblPr>
        <w:tblStyle w:val="35"/>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706"/>
        <w:gridCol w:w="2091"/>
        <w:gridCol w:w="2258"/>
        <w:gridCol w:w="1500"/>
        <w:gridCol w:w="2733"/>
      </w:tblGrid>
      <w:tr w14:paraId="25DEF0B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blHeader/>
        </w:trPr>
        <w:tc>
          <w:tcPr>
            <w:tcW w:w="380" w:type="pct"/>
            <w:noWrap w:val="0"/>
            <w:vAlign w:val="center"/>
          </w:tcPr>
          <w:p w14:paraId="480D726F">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b/>
                <w:bCs/>
                <w:sz w:val="21"/>
                <w:szCs w:val="21"/>
                <w:highlight w:val="none"/>
                <w:u w:val="none" w:color="auto"/>
                <w:lang w:val="en-US" w:eastAsia="zh-CN"/>
              </w:rPr>
            </w:pPr>
            <w:r>
              <w:rPr>
                <w:rFonts w:hint="eastAsia"/>
                <w:b/>
                <w:bCs/>
                <w:sz w:val="21"/>
                <w:szCs w:val="21"/>
                <w:highlight w:val="none"/>
                <w:u w:val="none" w:color="auto"/>
                <w:lang w:val="en-US" w:eastAsia="zh-CN"/>
              </w:rPr>
              <w:t>序号</w:t>
            </w:r>
          </w:p>
        </w:tc>
        <w:tc>
          <w:tcPr>
            <w:tcW w:w="1125" w:type="pct"/>
            <w:noWrap w:val="0"/>
            <w:vAlign w:val="center"/>
          </w:tcPr>
          <w:p w14:paraId="208406B8">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b/>
                <w:bCs/>
                <w:sz w:val="21"/>
                <w:szCs w:val="21"/>
                <w:highlight w:val="none"/>
                <w:u w:val="none" w:color="auto"/>
                <w:lang w:val="en-US" w:eastAsia="zh-CN"/>
              </w:rPr>
            </w:pPr>
            <w:r>
              <w:rPr>
                <w:rFonts w:hint="eastAsia"/>
                <w:b/>
                <w:bCs/>
                <w:sz w:val="21"/>
                <w:szCs w:val="21"/>
                <w:highlight w:val="none"/>
                <w:u w:val="none" w:color="auto"/>
                <w:lang w:val="en-US" w:eastAsia="zh-CN"/>
              </w:rPr>
              <w:t>提示图形符号</w:t>
            </w:r>
          </w:p>
        </w:tc>
        <w:tc>
          <w:tcPr>
            <w:tcW w:w="1215" w:type="pct"/>
            <w:noWrap w:val="0"/>
            <w:vAlign w:val="center"/>
          </w:tcPr>
          <w:p w14:paraId="10F7E42D">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b/>
                <w:bCs/>
                <w:sz w:val="21"/>
                <w:szCs w:val="21"/>
                <w:highlight w:val="none"/>
                <w:u w:val="none" w:color="auto"/>
                <w:lang w:val="en-US" w:eastAsia="zh-CN"/>
              </w:rPr>
            </w:pPr>
            <w:r>
              <w:rPr>
                <w:rFonts w:hint="eastAsia"/>
                <w:b/>
                <w:bCs/>
                <w:sz w:val="21"/>
                <w:szCs w:val="21"/>
                <w:highlight w:val="none"/>
                <w:u w:val="none" w:color="auto"/>
                <w:lang w:val="en-US" w:eastAsia="zh-CN"/>
              </w:rPr>
              <w:t>警告图形符号</w:t>
            </w:r>
          </w:p>
        </w:tc>
        <w:tc>
          <w:tcPr>
            <w:tcW w:w="807" w:type="pct"/>
            <w:noWrap w:val="0"/>
            <w:vAlign w:val="center"/>
          </w:tcPr>
          <w:p w14:paraId="3F2C29AB">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b/>
                <w:bCs/>
                <w:sz w:val="21"/>
                <w:szCs w:val="21"/>
                <w:highlight w:val="none"/>
                <w:u w:val="none" w:color="auto"/>
                <w:lang w:val="en-US" w:eastAsia="zh-CN"/>
              </w:rPr>
            </w:pPr>
            <w:r>
              <w:rPr>
                <w:rFonts w:hint="eastAsia"/>
                <w:b/>
                <w:bCs/>
                <w:sz w:val="21"/>
                <w:szCs w:val="21"/>
                <w:highlight w:val="none"/>
                <w:u w:val="none" w:color="auto"/>
                <w:lang w:val="en-US" w:eastAsia="zh-CN"/>
              </w:rPr>
              <w:t>名称</w:t>
            </w:r>
          </w:p>
        </w:tc>
        <w:tc>
          <w:tcPr>
            <w:tcW w:w="1470" w:type="pct"/>
            <w:noWrap w:val="0"/>
            <w:vAlign w:val="center"/>
          </w:tcPr>
          <w:p w14:paraId="7AB5364B">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b/>
                <w:bCs/>
                <w:sz w:val="21"/>
                <w:szCs w:val="21"/>
                <w:highlight w:val="none"/>
                <w:u w:val="none" w:color="auto"/>
                <w:lang w:val="en-US" w:eastAsia="zh-CN"/>
              </w:rPr>
            </w:pPr>
            <w:r>
              <w:rPr>
                <w:rFonts w:hint="eastAsia"/>
                <w:b/>
                <w:bCs/>
                <w:sz w:val="21"/>
                <w:szCs w:val="21"/>
                <w:highlight w:val="none"/>
                <w:u w:val="none" w:color="auto"/>
                <w:lang w:val="en-US" w:eastAsia="zh-CN"/>
              </w:rPr>
              <w:t>功能</w:t>
            </w:r>
          </w:p>
        </w:tc>
      </w:tr>
      <w:tr w14:paraId="544A2C4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80" w:type="pct"/>
            <w:noWrap w:val="0"/>
            <w:vAlign w:val="center"/>
          </w:tcPr>
          <w:p w14:paraId="2FA309D1">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none"/>
                <w:u w:val="none" w:color="auto"/>
                <w:lang w:val="en-US" w:eastAsia="zh-CN"/>
              </w:rPr>
            </w:pPr>
            <w:r>
              <w:rPr>
                <w:rFonts w:hint="eastAsia"/>
                <w:sz w:val="21"/>
                <w:szCs w:val="21"/>
                <w:highlight w:val="none"/>
                <w:u w:val="none" w:color="auto"/>
                <w:lang w:val="en-US" w:eastAsia="zh-CN"/>
              </w:rPr>
              <w:t>1</w:t>
            </w:r>
          </w:p>
        </w:tc>
        <w:tc>
          <w:tcPr>
            <w:tcW w:w="1125" w:type="pct"/>
            <w:noWrap w:val="0"/>
            <w:vAlign w:val="center"/>
          </w:tcPr>
          <w:p w14:paraId="52D83E6D">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none"/>
                <w:u w:val="none" w:color="auto"/>
                <w:lang w:val="en-US" w:eastAsia="zh-CN"/>
              </w:rPr>
            </w:pPr>
            <w:r>
              <w:rPr>
                <w:rFonts w:hint="eastAsia"/>
                <w:sz w:val="21"/>
                <w:szCs w:val="21"/>
                <w:highlight w:val="none"/>
                <w:u w:val="none" w:color="auto"/>
                <w:lang w:val="en-US" w:eastAsia="zh-CN"/>
              </w:rPr>
              <w:drawing>
                <wp:inline distT="0" distB="0" distL="114300" distR="114300">
                  <wp:extent cx="1080135" cy="1080135"/>
                  <wp:effectExtent l="0" t="0" r="5715" b="5715"/>
                  <wp:docPr id="16" name="图片 16" descr="C:\Users\颜\AppData\Local\Temp\ksohtml9700\wps4.jpg"/>
                  <wp:cNvGraphicFramePr/>
                  <a:graphic xmlns:a="http://schemas.openxmlformats.org/drawingml/2006/main">
                    <a:graphicData uri="http://schemas.openxmlformats.org/drawingml/2006/picture">
                      <pic:pic xmlns:pic="http://schemas.openxmlformats.org/drawingml/2006/picture">
                        <pic:nvPicPr>
                          <pic:cNvPr id="16" name="图片 16" descr="C:\Users\颜\AppData\Local\Temp\ksohtml9700\wps4.jpg"/>
                          <pic:cNvPicPr/>
                        </pic:nvPicPr>
                        <pic:blipFill>
                          <a:blip r:embed="rId82"/>
                          <a:stretch>
                            <a:fillRect/>
                          </a:stretch>
                        </pic:blipFill>
                        <pic:spPr>
                          <a:xfrm>
                            <a:off x="0" y="0"/>
                            <a:ext cx="1080135" cy="1080135"/>
                          </a:xfrm>
                          <a:prstGeom prst="rect">
                            <a:avLst/>
                          </a:prstGeom>
                          <a:noFill/>
                          <a:ln>
                            <a:noFill/>
                          </a:ln>
                        </pic:spPr>
                      </pic:pic>
                    </a:graphicData>
                  </a:graphic>
                </wp:inline>
              </w:drawing>
            </w:r>
          </w:p>
        </w:tc>
        <w:tc>
          <w:tcPr>
            <w:tcW w:w="1215" w:type="pct"/>
            <w:noWrap w:val="0"/>
            <w:vAlign w:val="center"/>
          </w:tcPr>
          <w:p w14:paraId="154551F9">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none"/>
                <w:u w:val="none" w:color="auto"/>
                <w:lang w:val="en-US" w:eastAsia="zh-CN"/>
              </w:rPr>
            </w:pPr>
            <w:r>
              <w:rPr>
                <w:rFonts w:hint="eastAsia"/>
                <w:sz w:val="21"/>
                <w:szCs w:val="21"/>
                <w:highlight w:val="none"/>
                <w:u w:val="none" w:color="auto"/>
                <w:lang w:val="en-US" w:eastAsia="zh-CN"/>
              </w:rPr>
              <w:drawing>
                <wp:inline distT="0" distB="0" distL="114300" distR="114300">
                  <wp:extent cx="1080135" cy="1080135"/>
                  <wp:effectExtent l="0" t="0" r="5715" b="5715"/>
                  <wp:docPr id="2" name="图片 17" descr="C:\Users\颜\AppData\Local\Temp\ksohtml9700\wps5.jpg"/>
                  <wp:cNvGraphicFramePr/>
                  <a:graphic xmlns:a="http://schemas.openxmlformats.org/drawingml/2006/main">
                    <a:graphicData uri="http://schemas.openxmlformats.org/drawingml/2006/picture">
                      <pic:pic xmlns:pic="http://schemas.openxmlformats.org/drawingml/2006/picture">
                        <pic:nvPicPr>
                          <pic:cNvPr id="2" name="图片 17" descr="C:\Users\颜\AppData\Local\Temp\ksohtml9700\wps5.jpg"/>
                          <pic:cNvPicPr/>
                        </pic:nvPicPr>
                        <pic:blipFill>
                          <a:blip r:embed="rId83"/>
                          <a:stretch>
                            <a:fillRect/>
                          </a:stretch>
                        </pic:blipFill>
                        <pic:spPr>
                          <a:xfrm>
                            <a:off x="0" y="0"/>
                            <a:ext cx="1080135" cy="1080135"/>
                          </a:xfrm>
                          <a:prstGeom prst="rect">
                            <a:avLst/>
                          </a:prstGeom>
                          <a:noFill/>
                          <a:ln>
                            <a:noFill/>
                          </a:ln>
                        </pic:spPr>
                      </pic:pic>
                    </a:graphicData>
                  </a:graphic>
                </wp:inline>
              </w:drawing>
            </w:r>
          </w:p>
        </w:tc>
        <w:tc>
          <w:tcPr>
            <w:tcW w:w="807" w:type="pct"/>
            <w:noWrap w:val="0"/>
            <w:vAlign w:val="center"/>
          </w:tcPr>
          <w:p w14:paraId="3FCFB7D0">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none"/>
                <w:u w:val="none" w:color="auto"/>
                <w:lang w:val="en-US" w:eastAsia="zh-CN"/>
              </w:rPr>
            </w:pPr>
            <w:r>
              <w:rPr>
                <w:rFonts w:hint="eastAsia"/>
                <w:sz w:val="21"/>
                <w:szCs w:val="21"/>
                <w:highlight w:val="none"/>
                <w:u w:val="none" w:color="auto"/>
                <w:lang w:val="en-US" w:eastAsia="zh-CN"/>
              </w:rPr>
              <w:t>废气排放口</w:t>
            </w:r>
          </w:p>
        </w:tc>
        <w:tc>
          <w:tcPr>
            <w:tcW w:w="1470" w:type="pct"/>
            <w:noWrap w:val="0"/>
            <w:vAlign w:val="center"/>
          </w:tcPr>
          <w:p w14:paraId="45F224C1">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none"/>
                <w:u w:val="none" w:color="auto"/>
                <w:lang w:val="en-US" w:eastAsia="zh-CN"/>
              </w:rPr>
            </w:pPr>
            <w:r>
              <w:rPr>
                <w:rFonts w:hint="eastAsia"/>
                <w:sz w:val="21"/>
                <w:szCs w:val="21"/>
                <w:highlight w:val="none"/>
                <w:u w:val="none" w:color="auto"/>
                <w:lang w:val="en-US" w:eastAsia="zh-CN"/>
              </w:rPr>
              <w:t>表示废气向大气环境排放</w:t>
            </w:r>
          </w:p>
        </w:tc>
      </w:tr>
      <w:tr w14:paraId="18E0F86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80" w:type="pct"/>
            <w:noWrap w:val="0"/>
            <w:vAlign w:val="center"/>
          </w:tcPr>
          <w:p w14:paraId="159B49A3">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sz w:val="21"/>
                <w:szCs w:val="21"/>
                <w:highlight w:val="none"/>
                <w:u w:val="none" w:color="auto"/>
                <w:lang w:val="en-US" w:eastAsia="zh-CN"/>
              </w:rPr>
            </w:pPr>
            <w:r>
              <w:rPr>
                <w:rFonts w:hint="eastAsia"/>
                <w:sz w:val="21"/>
                <w:szCs w:val="21"/>
                <w:highlight w:val="none"/>
                <w:u w:val="none" w:color="auto"/>
                <w:lang w:val="en-US" w:eastAsia="zh-CN"/>
              </w:rPr>
              <w:t>2</w:t>
            </w:r>
          </w:p>
        </w:tc>
        <w:tc>
          <w:tcPr>
            <w:tcW w:w="1125" w:type="pct"/>
            <w:noWrap w:val="0"/>
            <w:vAlign w:val="center"/>
          </w:tcPr>
          <w:p w14:paraId="4B3F450E">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none"/>
                <w:u w:val="none" w:color="auto"/>
                <w:lang w:val="en-US" w:eastAsia="zh-CN"/>
              </w:rPr>
            </w:pPr>
            <w:r>
              <w:rPr>
                <w:highlight w:val="none"/>
              </w:rPr>
              <w:drawing>
                <wp:inline distT="0" distB="0" distL="114300" distR="114300">
                  <wp:extent cx="1080135" cy="1080135"/>
                  <wp:effectExtent l="0" t="0" r="5715" b="5715"/>
                  <wp:docPr id="6" name="图片 11"/>
                  <wp:cNvGraphicFramePr/>
                  <a:graphic xmlns:a="http://schemas.openxmlformats.org/drawingml/2006/main">
                    <a:graphicData uri="http://schemas.openxmlformats.org/drawingml/2006/picture">
                      <pic:pic xmlns:pic="http://schemas.openxmlformats.org/drawingml/2006/picture">
                        <pic:nvPicPr>
                          <pic:cNvPr id="6" name="图片 11"/>
                          <pic:cNvPicPr/>
                        </pic:nvPicPr>
                        <pic:blipFill>
                          <a:blip r:embed="rId84"/>
                          <a:stretch>
                            <a:fillRect/>
                          </a:stretch>
                        </pic:blipFill>
                        <pic:spPr>
                          <a:xfrm>
                            <a:off x="0" y="0"/>
                            <a:ext cx="1080135" cy="1080135"/>
                          </a:xfrm>
                          <a:prstGeom prst="rect">
                            <a:avLst/>
                          </a:prstGeom>
                          <a:noFill/>
                          <a:ln>
                            <a:noFill/>
                          </a:ln>
                        </pic:spPr>
                      </pic:pic>
                    </a:graphicData>
                  </a:graphic>
                </wp:inline>
              </w:drawing>
            </w:r>
          </w:p>
        </w:tc>
        <w:tc>
          <w:tcPr>
            <w:tcW w:w="1215" w:type="pct"/>
            <w:noWrap w:val="0"/>
            <w:vAlign w:val="center"/>
          </w:tcPr>
          <w:p w14:paraId="13240526">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none"/>
                <w:u w:val="none" w:color="auto"/>
                <w:lang w:val="en-US" w:eastAsia="zh-CN"/>
              </w:rPr>
            </w:pPr>
            <w:r>
              <w:rPr>
                <w:highlight w:val="none"/>
              </w:rPr>
              <w:drawing>
                <wp:inline distT="0" distB="0" distL="114300" distR="114300">
                  <wp:extent cx="1080135" cy="1080135"/>
                  <wp:effectExtent l="0" t="0" r="5715" b="5715"/>
                  <wp:docPr id="8" name="图片 12"/>
                  <wp:cNvGraphicFramePr/>
                  <a:graphic xmlns:a="http://schemas.openxmlformats.org/drawingml/2006/main">
                    <a:graphicData uri="http://schemas.openxmlformats.org/drawingml/2006/picture">
                      <pic:pic xmlns:pic="http://schemas.openxmlformats.org/drawingml/2006/picture">
                        <pic:nvPicPr>
                          <pic:cNvPr id="8" name="图片 12"/>
                          <pic:cNvPicPr/>
                        </pic:nvPicPr>
                        <pic:blipFill>
                          <a:blip r:embed="rId85"/>
                          <a:stretch>
                            <a:fillRect/>
                          </a:stretch>
                        </pic:blipFill>
                        <pic:spPr>
                          <a:xfrm>
                            <a:off x="0" y="0"/>
                            <a:ext cx="1080135" cy="1080135"/>
                          </a:xfrm>
                          <a:prstGeom prst="rect">
                            <a:avLst/>
                          </a:prstGeom>
                          <a:noFill/>
                          <a:ln>
                            <a:noFill/>
                          </a:ln>
                        </pic:spPr>
                      </pic:pic>
                    </a:graphicData>
                  </a:graphic>
                </wp:inline>
              </w:drawing>
            </w:r>
          </w:p>
        </w:tc>
        <w:tc>
          <w:tcPr>
            <w:tcW w:w="807" w:type="pct"/>
            <w:noWrap w:val="0"/>
            <w:vAlign w:val="center"/>
          </w:tcPr>
          <w:p w14:paraId="2EB214E3">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sz w:val="21"/>
                <w:szCs w:val="21"/>
                <w:highlight w:val="none"/>
                <w:u w:val="none" w:color="auto"/>
                <w:lang w:val="en-US" w:eastAsia="zh-CN"/>
              </w:rPr>
            </w:pPr>
            <w:r>
              <w:rPr>
                <w:rFonts w:hint="eastAsia"/>
                <w:sz w:val="21"/>
                <w:szCs w:val="21"/>
                <w:highlight w:val="none"/>
                <w:u w:val="none" w:color="auto"/>
                <w:lang w:val="en-US" w:eastAsia="zh-CN"/>
              </w:rPr>
              <w:t>废水排放口</w:t>
            </w:r>
          </w:p>
        </w:tc>
        <w:tc>
          <w:tcPr>
            <w:tcW w:w="1470" w:type="pct"/>
            <w:noWrap w:val="0"/>
            <w:vAlign w:val="center"/>
          </w:tcPr>
          <w:p w14:paraId="3A24DFA3">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sz w:val="21"/>
                <w:szCs w:val="21"/>
                <w:highlight w:val="none"/>
                <w:u w:val="none" w:color="auto"/>
                <w:lang w:val="en-US" w:eastAsia="zh-CN"/>
              </w:rPr>
            </w:pPr>
            <w:r>
              <w:rPr>
                <w:rFonts w:hint="eastAsia"/>
                <w:sz w:val="21"/>
                <w:szCs w:val="21"/>
                <w:highlight w:val="none"/>
                <w:u w:val="none" w:color="auto"/>
                <w:lang w:val="en-US" w:eastAsia="zh-CN"/>
              </w:rPr>
              <w:t>表示废水向水环境排放</w:t>
            </w:r>
          </w:p>
        </w:tc>
      </w:tr>
      <w:tr w14:paraId="69BAFC4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80" w:type="pct"/>
            <w:noWrap w:val="0"/>
            <w:vAlign w:val="center"/>
          </w:tcPr>
          <w:p w14:paraId="1350BDFC">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none"/>
                <w:u w:val="none" w:color="auto"/>
                <w:lang w:val="en-US" w:eastAsia="zh-CN"/>
              </w:rPr>
            </w:pPr>
            <w:r>
              <w:rPr>
                <w:rFonts w:hint="eastAsia"/>
                <w:sz w:val="21"/>
                <w:szCs w:val="21"/>
                <w:highlight w:val="none"/>
                <w:u w:val="none" w:color="auto"/>
                <w:lang w:val="en-US" w:eastAsia="zh-CN"/>
              </w:rPr>
              <w:t>3</w:t>
            </w:r>
          </w:p>
        </w:tc>
        <w:tc>
          <w:tcPr>
            <w:tcW w:w="1125" w:type="pct"/>
            <w:noWrap w:val="0"/>
            <w:vAlign w:val="center"/>
          </w:tcPr>
          <w:p w14:paraId="034249BD">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none"/>
                <w:u w:val="none" w:color="auto"/>
                <w:lang w:val="en-US" w:eastAsia="zh-CN"/>
              </w:rPr>
            </w:pPr>
            <w:r>
              <w:rPr>
                <w:rFonts w:hint="eastAsia"/>
                <w:sz w:val="21"/>
                <w:szCs w:val="21"/>
                <w:highlight w:val="none"/>
                <w:u w:val="none" w:color="auto"/>
                <w:lang w:val="en-US" w:eastAsia="zh-CN"/>
              </w:rPr>
              <w:drawing>
                <wp:inline distT="0" distB="0" distL="114300" distR="114300">
                  <wp:extent cx="1080135" cy="1080135"/>
                  <wp:effectExtent l="0" t="0" r="5715" b="5715"/>
                  <wp:docPr id="17" name="图片 18" descr="C:\Users\颜\AppData\Local\Temp\ksohtml9700\wps6.jpg"/>
                  <wp:cNvGraphicFramePr/>
                  <a:graphic xmlns:a="http://schemas.openxmlformats.org/drawingml/2006/main">
                    <a:graphicData uri="http://schemas.openxmlformats.org/drawingml/2006/picture">
                      <pic:pic xmlns:pic="http://schemas.openxmlformats.org/drawingml/2006/picture">
                        <pic:nvPicPr>
                          <pic:cNvPr id="17" name="图片 18" descr="C:\Users\颜\AppData\Local\Temp\ksohtml9700\wps6.jpg"/>
                          <pic:cNvPicPr/>
                        </pic:nvPicPr>
                        <pic:blipFill>
                          <a:blip r:embed="rId86"/>
                          <a:stretch>
                            <a:fillRect/>
                          </a:stretch>
                        </pic:blipFill>
                        <pic:spPr>
                          <a:xfrm>
                            <a:off x="0" y="0"/>
                            <a:ext cx="1080135" cy="1080135"/>
                          </a:xfrm>
                          <a:prstGeom prst="rect">
                            <a:avLst/>
                          </a:prstGeom>
                          <a:noFill/>
                          <a:ln>
                            <a:noFill/>
                          </a:ln>
                        </pic:spPr>
                      </pic:pic>
                    </a:graphicData>
                  </a:graphic>
                </wp:inline>
              </w:drawing>
            </w:r>
          </w:p>
        </w:tc>
        <w:tc>
          <w:tcPr>
            <w:tcW w:w="1215" w:type="pct"/>
            <w:noWrap w:val="0"/>
            <w:vAlign w:val="center"/>
          </w:tcPr>
          <w:p w14:paraId="1B13E11B">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none"/>
                <w:u w:val="none" w:color="auto"/>
                <w:lang w:val="en-US" w:eastAsia="zh-CN"/>
              </w:rPr>
            </w:pPr>
            <w:r>
              <w:rPr>
                <w:rFonts w:hint="eastAsia"/>
                <w:sz w:val="21"/>
                <w:szCs w:val="21"/>
                <w:highlight w:val="none"/>
                <w:u w:val="none" w:color="auto"/>
                <w:lang w:val="en-US" w:eastAsia="zh-CN"/>
              </w:rPr>
              <w:drawing>
                <wp:inline distT="0" distB="0" distL="114300" distR="114300">
                  <wp:extent cx="1080135" cy="1080135"/>
                  <wp:effectExtent l="0" t="0" r="5715" b="5715"/>
                  <wp:docPr id="18" name="图片 19" descr="C:\Users\颜\AppData\Local\Temp\ksohtml9700\wps7.jpg"/>
                  <wp:cNvGraphicFramePr/>
                  <a:graphic xmlns:a="http://schemas.openxmlformats.org/drawingml/2006/main">
                    <a:graphicData uri="http://schemas.openxmlformats.org/drawingml/2006/picture">
                      <pic:pic xmlns:pic="http://schemas.openxmlformats.org/drawingml/2006/picture">
                        <pic:nvPicPr>
                          <pic:cNvPr id="18" name="图片 19" descr="C:\Users\颜\AppData\Local\Temp\ksohtml9700\wps7.jpg"/>
                          <pic:cNvPicPr/>
                        </pic:nvPicPr>
                        <pic:blipFill>
                          <a:blip r:embed="rId87"/>
                          <a:stretch>
                            <a:fillRect/>
                          </a:stretch>
                        </pic:blipFill>
                        <pic:spPr>
                          <a:xfrm>
                            <a:off x="0" y="0"/>
                            <a:ext cx="1080135" cy="1080135"/>
                          </a:xfrm>
                          <a:prstGeom prst="rect">
                            <a:avLst/>
                          </a:prstGeom>
                          <a:noFill/>
                          <a:ln>
                            <a:noFill/>
                          </a:ln>
                        </pic:spPr>
                      </pic:pic>
                    </a:graphicData>
                  </a:graphic>
                </wp:inline>
              </w:drawing>
            </w:r>
          </w:p>
        </w:tc>
        <w:tc>
          <w:tcPr>
            <w:tcW w:w="807" w:type="pct"/>
            <w:noWrap w:val="0"/>
            <w:vAlign w:val="center"/>
          </w:tcPr>
          <w:p w14:paraId="6E77979D">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none"/>
                <w:u w:val="none" w:color="auto"/>
                <w:lang w:val="en-US" w:eastAsia="zh-CN"/>
              </w:rPr>
            </w:pPr>
            <w:r>
              <w:rPr>
                <w:rFonts w:hint="eastAsia"/>
                <w:sz w:val="21"/>
                <w:szCs w:val="21"/>
                <w:highlight w:val="none"/>
                <w:u w:val="none" w:color="auto"/>
                <w:lang w:val="en-US" w:eastAsia="zh-CN"/>
              </w:rPr>
              <w:t>噪声排放源</w:t>
            </w:r>
          </w:p>
        </w:tc>
        <w:tc>
          <w:tcPr>
            <w:tcW w:w="1470" w:type="pct"/>
            <w:noWrap w:val="0"/>
            <w:vAlign w:val="center"/>
          </w:tcPr>
          <w:p w14:paraId="78BACF34">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none"/>
                <w:u w:val="none" w:color="auto"/>
                <w:lang w:val="en-US" w:eastAsia="zh-CN"/>
              </w:rPr>
            </w:pPr>
            <w:r>
              <w:rPr>
                <w:rFonts w:hint="eastAsia"/>
                <w:sz w:val="21"/>
                <w:szCs w:val="21"/>
                <w:highlight w:val="none"/>
                <w:u w:val="none" w:color="auto"/>
                <w:lang w:val="en-US" w:eastAsia="zh-CN"/>
              </w:rPr>
              <w:t>表示噪声向外环境排放</w:t>
            </w:r>
          </w:p>
        </w:tc>
      </w:tr>
      <w:tr w14:paraId="4497095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80" w:type="pct"/>
            <w:vMerge w:val="restart"/>
            <w:noWrap w:val="0"/>
            <w:vAlign w:val="center"/>
          </w:tcPr>
          <w:p w14:paraId="63215E9A">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sz w:val="21"/>
                <w:szCs w:val="21"/>
                <w:highlight w:val="none"/>
                <w:u w:val="none" w:color="auto"/>
                <w:lang w:val="en-US" w:eastAsia="zh-CN"/>
              </w:rPr>
            </w:pPr>
            <w:r>
              <w:rPr>
                <w:rFonts w:hint="eastAsia"/>
                <w:sz w:val="21"/>
                <w:szCs w:val="21"/>
                <w:highlight w:val="none"/>
                <w:u w:val="none" w:color="auto"/>
                <w:lang w:val="en-US" w:eastAsia="zh-CN"/>
              </w:rPr>
              <w:t>4</w:t>
            </w:r>
          </w:p>
        </w:tc>
        <w:tc>
          <w:tcPr>
            <w:tcW w:w="1125" w:type="pct"/>
            <w:vMerge w:val="restart"/>
            <w:noWrap w:val="0"/>
            <w:vAlign w:val="center"/>
          </w:tcPr>
          <w:p w14:paraId="50FA3B2C">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none"/>
                <w:u w:val="none" w:color="auto"/>
                <w:lang w:val="en-US" w:eastAsia="zh-CN"/>
              </w:rPr>
            </w:pPr>
            <w:r>
              <w:rPr>
                <w:rFonts w:hint="eastAsia"/>
                <w:sz w:val="21"/>
                <w:szCs w:val="21"/>
                <w:highlight w:val="none"/>
                <w:u w:val="none" w:color="auto"/>
                <w:lang w:val="en-US" w:eastAsia="zh-CN"/>
              </w:rPr>
              <w:drawing>
                <wp:inline distT="0" distB="0" distL="114300" distR="114300">
                  <wp:extent cx="1080135" cy="1080135"/>
                  <wp:effectExtent l="0" t="0" r="5715" b="5715"/>
                  <wp:docPr id="19" name="图片 20" descr="C:\Users\颜\AppData\Local\Temp\ksohtml9700\wps8.jpg"/>
                  <wp:cNvGraphicFramePr/>
                  <a:graphic xmlns:a="http://schemas.openxmlformats.org/drawingml/2006/main">
                    <a:graphicData uri="http://schemas.openxmlformats.org/drawingml/2006/picture">
                      <pic:pic xmlns:pic="http://schemas.openxmlformats.org/drawingml/2006/picture">
                        <pic:nvPicPr>
                          <pic:cNvPr id="19" name="图片 20" descr="C:\Users\颜\AppData\Local\Temp\ksohtml9700\wps8.jpg"/>
                          <pic:cNvPicPr/>
                        </pic:nvPicPr>
                        <pic:blipFill>
                          <a:blip r:embed="rId88"/>
                          <a:stretch>
                            <a:fillRect/>
                          </a:stretch>
                        </pic:blipFill>
                        <pic:spPr>
                          <a:xfrm>
                            <a:off x="0" y="0"/>
                            <a:ext cx="1080135" cy="1080135"/>
                          </a:xfrm>
                          <a:prstGeom prst="rect">
                            <a:avLst/>
                          </a:prstGeom>
                          <a:noFill/>
                          <a:ln>
                            <a:noFill/>
                          </a:ln>
                        </pic:spPr>
                      </pic:pic>
                    </a:graphicData>
                  </a:graphic>
                </wp:inline>
              </w:drawing>
            </w:r>
          </w:p>
        </w:tc>
        <w:tc>
          <w:tcPr>
            <w:tcW w:w="1215" w:type="pct"/>
            <w:noWrap w:val="0"/>
            <w:vAlign w:val="center"/>
          </w:tcPr>
          <w:p w14:paraId="07AF49FB">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none"/>
                <w:u w:val="none" w:color="auto"/>
                <w:lang w:val="en-US" w:eastAsia="zh-CN"/>
              </w:rPr>
            </w:pPr>
            <w:r>
              <w:rPr>
                <w:rFonts w:hint="eastAsia"/>
                <w:sz w:val="21"/>
                <w:szCs w:val="21"/>
                <w:highlight w:val="none"/>
                <w:u w:val="none" w:color="auto"/>
                <w:lang w:val="en-US" w:eastAsia="zh-CN"/>
              </w:rPr>
              <w:drawing>
                <wp:inline distT="0" distB="0" distL="114300" distR="114300">
                  <wp:extent cx="1080135" cy="1080135"/>
                  <wp:effectExtent l="0" t="0" r="5715" b="5715"/>
                  <wp:docPr id="12" name="图片 21" descr="C:\Users\颜\AppData\Local\Temp\ksohtml9700\wps9.jpg"/>
                  <wp:cNvGraphicFramePr/>
                  <a:graphic xmlns:a="http://schemas.openxmlformats.org/drawingml/2006/main">
                    <a:graphicData uri="http://schemas.openxmlformats.org/drawingml/2006/picture">
                      <pic:pic xmlns:pic="http://schemas.openxmlformats.org/drawingml/2006/picture">
                        <pic:nvPicPr>
                          <pic:cNvPr id="12" name="图片 21" descr="C:\Users\颜\AppData\Local\Temp\ksohtml9700\wps9.jpg"/>
                          <pic:cNvPicPr/>
                        </pic:nvPicPr>
                        <pic:blipFill>
                          <a:blip r:embed="rId89"/>
                          <a:stretch>
                            <a:fillRect/>
                          </a:stretch>
                        </pic:blipFill>
                        <pic:spPr>
                          <a:xfrm>
                            <a:off x="0" y="0"/>
                            <a:ext cx="1080135" cy="1080135"/>
                          </a:xfrm>
                          <a:prstGeom prst="rect">
                            <a:avLst/>
                          </a:prstGeom>
                          <a:noFill/>
                          <a:ln>
                            <a:noFill/>
                          </a:ln>
                        </pic:spPr>
                      </pic:pic>
                    </a:graphicData>
                  </a:graphic>
                </wp:inline>
              </w:drawing>
            </w:r>
          </w:p>
        </w:tc>
        <w:tc>
          <w:tcPr>
            <w:tcW w:w="807" w:type="pct"/>
            <w:noWrap w:val="0"/>
            <w:vAlign w:val="center"/>
          </w:tcPr>
          <w:p w14:paraId="4B580892">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none"/>
                <w:u w:val="none" w:color="auto"/>
                <w:lang w:val="en-US" w:eastAsia="zh-CN"/>
              </w:rPr>
            </w:pPr>
            <w:r>
              <w:rPr>
                <w:rFonts w:hint="eastAsia"/>
                <w:sz w:val="21"/>
                <w:szCs w:val="21"/>
                <w:highlight w:val="none"/>
                <w:u w:val="none" w:color="auto"/>
                <w:lang w:val="en-US" w:eastAsia="zh-CN"/>
              </w:rPr>
              <w:t>一般固体废物</w:t>
            </w:r>
          </w:p>
        </w:tc>
        <w:tc>
          <w:tcPr>
            <w:tcW w:w="1470" w:type="pct"/>
            <w:noWrap w:val="0"/>
            <w:vAlign w:val="center"/>
          </w:tcPr>
          <w:p w14:paraId="387591AD">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none"/>
                <w:u w:val="none" w:color="auto"/>
                <w:lang w:val="en-US" w:eastAsia="zh-CN"/>
              </w:rPr>
            </w:pPr>
            <w:r>
              <w:rPr>
                <w:rFonts w:hint="eastAsia"/>
                <w:sz w:val="21"/>
                <w:szCs w:val="21"/>
                <w:highlight w:val="none"/>
                <w:u w:val="none" w:color="auto"/>
                <w:lang w:val="en-US" w:eastAsia="zh-CN"/>
              </w:rPr>
              <w:t>表示一般固体废物贮存、处置场</w:t>
            </w:r>
          </w:p>
        </w:tc>
      </w:tr>
      <w:tr w14:paraId="20E06B0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80" w:type="pct"/>
            <w:vMerge w:val="continue"/>
            <w:noWrap w:val="0"/>
            <w:vAlign w:val="center"/>
          </w:tcPr>
          <w:p w14:paraId="138DFEAF">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none"/>
                <w:u w:val="none" w:color="auto"/>
                <w:lang w:val="en-US" w:eastAsia="zh-CN"/>
              </w:rPr>
            </w:pPr>
          </w:p>
        </w:tc>
        <w:tc>
          <w:tcPr>
            <w:tcW w:w="1125" w:type="pct"/>
            <w:vMerge w:val="continue"/>
            <w:noWrap w:val="0"/>
            <w:vAlign w:val="center"/>
          </w:tcPr>
          <w:p w14:paraId="30B7180C">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none"/>
                <w:u w:val="none" w:color="auto"/>
                <w:lang w:val="en-US" w:eastAsia="zh-CN"/>
              </w:rPr>
            </w:pPr>
          </w:p>
        </w:tc>
        <w:tc>
          <w:tcPr>
            <w:tcW w:w="1215" w:type="pct"/>
            <w:noWrap w:val="0"/>
            <w:vAlign w:val="center"/>
          </w:tcPr>
          <w:p w14:paraId="3DDAE557">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none"/>
                <w:u w:val="none" w:color="auto"/>
                <w:lang w:val="en-US" w:eastAsia="zh-CN"/>
              </w:rPr>
            </w:pPr>
            <w:r>
              <w:rPr>
                <w:highlight w:val="none"/>
                <w:u w:val="none" w:color="auto"/>
              </w:rPr>
              <w:drawing>
                <wp:inline distT="0" distB="0" distL="114300" distR="114300">
                  <wp:extent cx="1080135" cy="1080135"/>
                  <wp:effectExtent l="0" t="0" r="5715" b="5715"/>
                  <wp:docPr id="20" name="图片 13"/>
                  <wp:cNvGraphicFramePr/>
                  <a:graphic xmlns:a="http://schemas.openxmlformats.org/drawingml/2006/main">
                    <a:graphicData uri="http://schemas.openxmlformats.org/drawingml/2006/picture">
                      <pic:pic xmlns:pic="http://schemas.openxmlformats.org/drawingml/2006/picture">
                        <pic:nvPicPr>
                          <pic:cNvPr id="20" name="图片 13"/>
                          <pic:cNvPicPr/>
                        </pic:nvPicPr>
                        <pic:blipFill>
                          <a:blip r:embed="rId90"/>
                          <a:stretch>
                            <a:fillRect/>
                          </a:stretch>
                        </pic:blipFill>
                        <pic:spPr>
                          <a:xfrm>
                            <a:off x="0" y="0"/>
                            <a:ext cx="1080135" cy="1080135"/>
                          </a:xfrm>
                          <a:prstGeom prst="rect">
                            <a:avLst/>
                          </a:prstGeom>
                          <a:noFill/>
                          <a:ln>
                            <a:noFill/>
                          </a:ln>
                        </pic:spPr>
                      </pic:pic>
                    </a:graphicData>
                  </a:graphic>
                </wp:inline>
              </w:drawing>
            </w:r>
          </w:p>
        </w:tc>
        <w:tc>
          <w:tcPr>
            <w:tcW w:w="807" w:type="pct"/>
            <w:noWrap w:val="0"/>
            <w:vAlign w:val="center"/>
          </w:tcPr>
          <w:p w14:paraId="2284D980">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none"/>
                <w:u w:val="none" w:color="auto"/>
                <w:lang w:val="en-US" w:eastAsia="zh-CN"/>
              </w:rPr>
            </w:pPr>
            <w:r>
              <w:rPr>
                <w:rFonts w:hint="eastAsia"/>
                <w:sz w:val="21"/>
                <w:szCs w:val="21"/>
                <w:highlight w:val="none"/>
                <w:u w:val="none" w:color="auto"/>
                <w:lang w:val="en-US" w:eastAsia="zh-CN"/>
              </w:rPr>
              <w:t>危险废物</w:t>
            </w:r>
          </w:p>
        </w:tc>
        <w:tc>
          <w:tcPr>
            <w:tcW w:w="1470" w:type="pct"/>
            <w:noWrap w:val="0"/>
            <w:vAlign w:val="center"/>
          </w:tcPr>
          <w:p w14:paraId="792F7F0E">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none"/>
                <w:u w:val="none" w:color="auto"/>
                <w:lang w:val="en-US" w:eastAsia="zh-CN"/>
              </w:rPr>
            </w:pPr>
            <w:r>
              <w:rPr>
                <w:rFonts w:hint="eastAsia"/>
                <w:sz w:val="21"/>
                <w:szCs w:val="21"/>
                <w:highlight w:val="none"/>
                <w:u w:val="none" w:color="auto"/>
                <w:lang w:val="en-US" w:eastAsia="zh-CN"/>
              </w:rPr>
              <w:t>表示危险废物贮存、处置场</w:t>
            </w:r>
          </w:p>
        </w:tc>
      </w:tr>
    </w:tbl>
    <w:p w14:paraId="6B6D6691">
      <w:pPr>
        <w:bidi w:val="0"/>
        <w:rPr>
          <w:rFonts w:hint="eastAsia"/>
          <w:highlight w:val="none"/>
          <w:u w:val="none" w:color="auto"/>
          <w:lang w:val="en-US" w:eastAsia="zh-CN"/>
        </w:rPr>
      </w:pPr>
      <w:r>
        <w:rPr>
          <w:rFonts w:hint="eastAsia"/>
          <w:highlight w:val="none"/>
          <w:u w:val="none" w:color="auto"/>
          <w:lang w:val="en-US" w:eastAsia="zh-CN"/>
        </w:rPr>
        <w:t>标志牌的设置按照国家环保总局制定的《环境保护图形标志实施细则（试行）》的规定，设置与排污口相应的图形标志牌，并保证环保标志明显。标志牌必须保持清晰、完整，当发现有损坏或颜色有变化，应及时修复或更换。检查时间一年两次。</w:t>
      </w:r>
    </w:p>
    <w:p w14:paraId="201F44DC">
      <w:pPr>
        <w:pStyle w:val="8"/>
        <w:numPr>
          <w:ilvl w:val="1"/>
          <w:numId w:val="1"/>
        </w:numPr>
        <w:tabs>
          <w:tab w:val="clear" w:pos="420"/>
        </w:tabs>
        <w:bidi w:val="0"/>
        <w:ind w:left="567" w:leftChars="0" w:hanging="567" w:firstLineChars="0"/>
        <w:rPr>
          <w:rFonts w:hint="default"/>
          <w:highlight w:val="none"/>
          <w:u w:val="none" w:color="auto"/>
          <w:lang w:val="en-US" w:eastAsia="zh-CN"/>
        </w:rPr>
      </w:pPr>
      <w:bookmarkStart w:id="126" w:name="_Toc1620"/>
      <w:bookmarkStart w:id="127" w:name="_Toc28869"/>
      <w:r>
        <w:rPr>
          <w:rFonts w:hint="eastAsia"/>
          <w:highlight w:val="none"/>
          <w:u w:val="none" w:color="auto"/>
          <w:lang w:val="en-US" w:eastAsia="zh-CN"/>
        </w:rPr>
        <w:t>竣工环境保护验收</w:t>
      </w:r>
      <w:bookmarkEnd w:id="126"/>
      <w:bookmarkEnd w:id="127"/>
    </w:p>
    <w:p w14:paraId="7A88F99D">
      <w:pPr>
        <w:bidi w:val="0"/>
        <w:rPr>
          <w:rFonts w:hint="default"/>
          <w:highlight w:val="none"/>
          <w:u w:val="none" w:color="auto"/>
          <w:lang w:val="en-US" w:eastAsia="zh-CN"/>
        </w:rPr>
      </w:pPr>
      <w:r>
        <w:rPr>
          <w:rFonts w:hint="default"/>
          <w:highlight w:val="none"/>
          <w:u w:val="none" w:color="auto"/>
          <w:lang w:val="en-US" w:eastAsia="zh-CN"/>
        </w:rPr>
        <w:t>建设单位应根据《建设项目环境保护管理条例》（国令第682号，2017年修订）及《建设项目竣工环境保护验收暂行办法》（国环规环评</w:t>
      </w:r>
      <w:r>
        <w:rPr>
          <w:rFonts w:hint="eastAsia" w:ascii="宋体" w:hAnsi="宋体" w:eastAsia="宋体" w:cs="宋体"/>
          <w:highlight w:val="none"/>
          <w:u w:val="none" w:color="auto"/>
          <w:lang w:val="en-US" w:eastAsia="zh-CN"/>
        </w:rPr>
        <w:t>〔</w:t>
      </w:r>
      <w:r>
        <w:rPr>
          <w:rFonts w:hint="default"/>
          <w:highlight w:val="none"/>
          <w:u w:val="none" w:color="auto"/>
          <w:lang w:val="en-US" w:eastAsia="zh-CN"/>
        </w:rPr>
        <w:t>2017</w:t>
      </w:r>
      <w:r>
        <w:rPr>
          <w:rFonts w:hint="eastAsia" w:ascii="宋体" w:hAnsi="宋体" w:eastAsia="宋体" w:cs="宋体"/>
          <w:highlight w:val="none"/>
          <w:u w:val="none" w:color="auto"/>
          <w:lang w:val="en-US" w:eastAsia="zh-CN"/>
        </w:rPr>
        <w:t>〕</w:t>
      </w:r>
      <w:r>
        <w:rPr>
          <w:rFonts w:hint="default"/>
          <w:highlight w:val="none"/>
          <w:u w:val="none" w:color="auto"/>
          <w:lang w:val="en-US" w:eastAsia="zh-CN"/>
        </w:rPr>
        <w:t>4号）相关要求，按照</w:t>
      </w:r>
      <w:r>
        <w:rPr>
          <w:rFonts w:hint="eastAsia"/>
          <w:highlight w:val="none"/>
          <w:u w:val="none" w:color="auto"/>
          <w:lang w:val="en-US" w:eastAsia="zh-CN"/>
        </w:rPr>
        <w:t>生态环境</w:t>
      </w:r>
      <w:r>
        <w:rPr>
          <w:rFonts w:hint="default"/>
          <w:highlight w:val="none"/>
          <w:u w:val="none" w:color="auto"/>
          <w:lang w:val="en-US" w:eastAsia="zh-CN"/>
        </w:rPr>
        <w:t>主管部门规定的标准及程序，自行组织对配套建设的环境保护设施进行验收。除按照国家规定需要保密的情形外，建设单位应当依法向社会公开验收报告。</w:t>
      </w:r>
    </w:p>
    <w:p w14:paraId="61A2733B">
      <w:pPr>
        <w:bidi w:val="0"/>
        <w:rPr>
          <w:rFonts w:hint="default"/>
          <w:highlight w:val="none"/>
          <w:u w:val="none" w:color="auto"/>
          <w:lang w:val="en-US" w:eastAsia="zh-CN"/>
        </w:rPr>
      </w:pPr>
      <w:r>
        <w:rPr>
          <w:rFonts w:hint="default"/>
          <w:highlight w:val="none"/>
          <w:u w:val="none" w:color="auto"/>
          <w:lang w:val="en-US" w:eastAsia="zh-CN"/>
        </w:rPr>
        <w:t>根据建设项目污染源产生及排放情况和污染防治措施</w:t>
      </w:r>
      <w:r>
        <w:rPr>
          <w:rFonts w:hint="eastAsia"/>
          <w:highlight w:val="none"/>
          <w:u w:val="none" w:color="auto"/>
          <w:lang w:val="en-US" w:eastAsia="zh-CN"/>
        </w:rPr>
        <w:t>，</w:t>
      </w:r>
      <w:r>
        <w:rPr>
          <w:rFonts w:hint="default"/>
          <w:highlight w:val="none"/>
          <w:u w:val="none" w:color="auto"/>
          <w:lang w:val="en-US" w:eastAsia="zh-CN"/>
        </w:rPr>
        <w:t>本项目竣工</w:t>
      </w:r>
      <w:r>
        <w:rPr>
          <w:rFonts w:hint="eastAsia"/>
          <w:highlight w:val="none"/>
          <w:u w:val="none" w:color="auto"/>
          <w:lang w:val="en-US" w:eastAsia="zh-CN"/>
        </w:rPr>
        <w:t>环保</w:t>
      </w:r>
      <w:r>
        <w:rPr>
          <w:rFonts w:hint="default"/>
          <w:highlight w:val="none"/>
          <w:u w:val="none" w:color="auto"/>
          <w:lang w:val="en-US" w:eastAsia="zh-CN"/>
        </w:rPr>
        <w:t>验收</w:t>
      </w:r>
      <w:r>
        <w:rPr>
          <w:rFonts w:hint="eastAsia"/>
          <w:highlight w:val="none"/>
          <w:u w:val="none" w:color="auto"/>
          <w:lang w:val="en-US" w:eastAsia="zh-CN"/>
        </w:rPr>
        <w:t>内容</w:t>
      </w:r>
      <w:r>
        <w:rPr>
          <w:rFonts w:hint="default"/>
          <w:highlight w:val="none"/>
          <w:u w:val="none" w:color="auto"/>
          <w:lang w:val="en-US" w:eastAsia="zh-CN"/>
        </w:rPr>
        <w:t>见表</w:t>
      </w:r>
      <w:r>
        <w:rPr>
          <w:rFonts w:hint="eastAsia"/>
          <w:highlight w:val="none"/>
          <w:u w:val="none" w:color="auto"/>
          <w:lang w:val="en-US" w:eastAsia="zh-CN"/>
        </w:rPr>
        <w:t>9.5</w:t>
      </w:r>
      <w:r>
        <w:rPr>
          <w:rFonts w:hint="default"/>
          <w:highlight w:val="none"/>
          <w:u w:val="none" w:color="auto"/>
          <w:lang w:val="en-US" w:eastAsia="zh-CN"/>
        </w:rPr>
        <w:t>-1。</w:t>
      </w:r>
    </w:p>
    <w:p w14:paraId="2A473B6E">
      <w:pPr>
        <w:bidi w:val="0"/>
        <w:ind w:left="0" w:leftChars="0" w:firstLine="0" w:firstLineChars="0"/>
        <w:jc w:val="center"/>
        <w:rPr>
          <w:rFonts w:hint="default"/>
          <w:b/>
          <w:bCs/>
          <w:sz w:val="21"/>
          <w:szCs w:val="21"/>
          <w:highlight w:val="yellow"/>
          <w:u w:val="none" w:color="auto"/>
          <w:lang w:val="en-US" w:eastAsia="zh-CN"/>
        </w:rPr>
      </w:pPr>
    </w:p>
    <w:p w14:paraId="3E07F05E">
      <w:pPr>
        <w:bidi w:val="0"/>
        <w:ind w:left="0" w:leftChars="0" w:firstLine="0" w:firstLineChars="0"/>
        <w:jc w:val="center"/>
        <w:rPr>
          <w:rFonts w:hint="default"/>
          <w:b/>
          <w:bCs/>
          <w:sz w:val="21"/>
          <w:szCs w:val="21"/>
          <w:highlight w:val="yellow"/>
          <w:u w:val="none" w:color="auto"/>
          <w:lang w:val="en-US" w:eastAsia="zh-CN"/>
        </w:rPr>
      </w:pPr>
    </w:p>
    <w:p w14:paraId="0C5719A7">
      <w:pPr>
        <w:bidi w:val="0"/>
        <w:ind w:left="0" w:leftChars="0" w:firstLine="0" w:firstLineChars="0"/>
        <w:jc w:val="center"/>
        <w:rPr>
          <w:rFonts w:hint="default"/>
          <w:b/>
          <w:bCs/>
          <w:sz w:val="21"/>
          <w:szCs w:val="21"/>
          <w:highlight w:val="none"/>
          <w:u w:val="none" w:color="auto"/>
          <w:lang w:val="en-US" w:eastAsia="zh-CN"/>
        </w:rPr>
      </w:pPr>
      <w:r>
        <w:rPr>
          <w:rFonts w:hint="default"/>
          <w:b/>
          <w:bCs/>
          <w:sz w:val="21"/>
          <w:szCs w:val="21"/>
          <w:highlight w:val="none"/>
          <w:u w:val="none" w:color="auto"/>
          <w:lang w:val="en-US" w:eastAsia="zh-CN"/>
        </w:rPr>
        <w:t>表</w:t>
      </w:r>
      <w:r>
        <w:rPr>
          <w:rFonts w:hint="eastAsia"/>
          <w:b/>
          <w:bCs/>
          <w:sz w:val="21"/>
          <w:szCs w:val="21"/>
          <w:highlight w:val="none"/>
          <w:u w:val="none" w:color="auto"/>
          <w:lang w:val="en-US" w:eastAsia="zh-CN"/>
        </w:rPr>
        <w:t>9.5</w:t>
      </w:r>
      <w:r>
        <w:rPr>
          <w:rFonts w:hint="default"/>
          <w:b/>
          <w:bCs/>
          <w:sz w:val="21"/>
          <w:szCs w:val="21"/>
          <w:highlight w:val="none"/>
          <w:u w:val="none" w:color="auto"/>
          <w:lang w:val="en-US" w:eastAsia="zh-CN"/>
        </w:rPr>
        <w:t>-1</w:t>
      </w:r>
      <w:r>
        <w:rPr>
          <w:rFonts w:hint="eastAsia"/>
          <w:b/>
          <w:bCs/>
          <w:sz w:val="21"/>
          <w:szCs w:val="21"/>
          <w:highlight w:val="none"/>
          <w:u w:val="none" w:color="auto"/>
          <w:lang w:val="en-US" w:eastAsia="zh-CN"/>
        </w:rPr>
        <w:t xml:space="preserve">  </w:t>
      </w:r>
      <w:r>
        <w:rPr>
          <w:rFonts w:hint="default"/>
          <w:b/>
          <w:bCs/>
          <w:sz w:val="21"/>
          <w:szCs w:val="21"/>
          <w:highlight w:val="none"/>
          <w:u w:val="none" w:color="auto"/>
          <w:lang w:val="en-US" w:eastAsia="zh-CN"/>
        </w:rPr>
        <w:t>建设项目环保竣工验收一览表</w:t>
      </w:r>
    </w:p>
    <w:tbl>
      <w:tblPr>
        <w:tblStyle w:val="35"/>
        <w:tblW w:w="4996"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763"/>
        <w:gridCol w:w="1992"/>
        <w:gridCol w:w="3108"/>
        <w:gridCol w:w="3418"/>
      </w:tblGrid>
      <w:tr w14:paraId="02E84C2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11" w:type="pct"/>
            <w:noWrap w:val="0"/>
            <w:vAlign w:val="center"/>
          </w:tcPr>
          <w:p w14:paraId="0E1BE04D">
            <w:pPr>
              <w:bidi w:val="0"/>
              <w:spacing w:line="240" w:lineRule="auto"/>
              <w:ind w:left="0" w:leftChars="0" w:firstLine="0" w:firstLineChars="0"/>
              <w:jc w:val="center"/>
              <w:rPr>
                <w:rFonts w:hint="default"/>
                <w:b/>
                <w:bCs/>
                <w:sz w:val="21"/>
                <w:szCs w:val="21"/>
                <w:highlight w:val="none"/>
                <w:lang w:val="en-US" w:eastAsia="zh-CN"/>
              </w:rPr>
            </w:pPr>
            <w:r>
              <w:rPr>
                <w:rFonts w:hint="eastAsia"/>
                <w:b/>
                <w:bCs/>
                <w:sz w:val="21"/>
                <w:szCs w:val="21"/>
                <w:highlight w:val="none"/>
                <w:lang w:val="en-US" w:eastAsia="zh-CN"/>
              </w:rPr>
              <w:t>污染类别</w:t>
            </w:r>
          </w:p>
        </w:tc>
        <w:tc>
          <w:tcPr>
            <w:tcW w:w="1073" w:type="pct"/>
            <w:noWrap w:val="0"/>
            <w:vAlign w:val="center"/>
          </w:tcPr>
          <w:p w14:paraId="14C5321D">
            <w:pPr>
              <w:bidi w:val="0"/>
              <w:spacing w:line="360" w:lineRule="auto"/>
              <w:ind w:left="0" w:leftChars="0" w:firstLine="0" w:firstLineChars="0"/>
              <w:jc w:val="center"/>
              <w:rPr>
                <w:rFonts w:hint="eastAsia"/>
                <w:b/>
                <w:bCs/>
                <w:sz w:val="21"/>
                <w:szCs w:val="21"/>
                <w:highlight w:val="none"/>
                <w:lang w:val="en-US" w:eastAsia="zh-CN"/>
              </w:rPr>
            </w:pPr>
            <w:r>
              <w:rPr>
                <w:rFonts w:hint="eastAsia"/>
                <w:b/>
                <w:bCs/>
                <w:sz w:val="21"/>
                <w:szCs w:val="21"/>
                <w:highlight w:val="none"/>
                <w:lang w:val="en-US" w:eastAsia="zh-CN"/>
              </w:rPr>
              <w:t>监测因子</w:t>
            </w:r>
          </w:p>
        </w:tc>
        <w:tc>
          <w:tcPr>
            <w:tcW w:w="1674" w:type="pct"/>
            <w:noWrap w:val="0"/>
            <w:vAlign w:val="center"/>
          </w:tcPr>
          <w:p w14:paraId="31E4451C">
            <w:pPr>
              <w:bidi w:val="0"/>
              <w:spacing w:line="360" w:lineRule="auto"/>
              <w:ind w:left="0" w:leftChars="0" w:firstLine="0" w:firstLineChars="0"/>
              <w:jc w:val="center"/>
              <w:rPr>
                <w:rFonts w:hint="eastAsia"/>
                <w:b/>
                <w:bCs/>
                <w:sz w:val="21"/>
                <w:szCs w:val="21"/>
                <w:highlight w:val="none"/>
                <w:lang w:val="en-US" w:eastAsia="zh-CN"/>
              </w:rPr>
            </w:pPr>
            <w:r>
              <w:rPr>
                <w:rFonts w:hint="eastAsia"/>
                <w:b/>
                <w:bCs/>
                <w:sz w:val="21"/>
                <w:szCs w:val="21"/>
                <w:highlight w:val="none"/>
                <w:lang w:val="en-US" w:eastAsia="zh-CN"/>
              </w:rPr>
              <w:t>环保设施/措施</w:t>
            </w:r>
          </w:p>
        </w:tc>
        <w:tc>
          <w:tcPr>
            <w:tcW w:w="1840" w:type="pct"/>
            <w:noWrap w:val="0"/>
            <w:vAlign w:val="center"/>
          </w:tcPr>
          <w:p w14:paraId="1549343F">
            <w:pPr>
              <w:bidi w:val="0"/>
              <w:spacing w:line="360" w:lineRule="auto"/>
              <w:ind w:left="0" w:leftChars="0" w:firstLine="0" w:firstLineChars="0"/>
              <w:jc w:val="center"/>
              <w:rPr>
                <w:rFonts w:hint="eastAsia"/>
                <w:b/>
                <w:bCs/>
                <w:sz w:val="21"/>
                <w:szCs w:val="21"/>
                <w:highlight w:val="none"/>
                <w:lang w:val="en-US" w:eastAsia="zh-CN"/>
              </w:rPr>
            </w:pPr>
            <w:r>
              <w:rPr>
                <w:rFonts w:hint="eastAsia"/>
                <w:b/>
                <w:bCs/>
                <w:sz w:val="21"/>
                <w:szCs w:val="21"/>
                <w:highlight w:val="none"/>
                <w:lang w:val="en-US" w:eastAsia="zh-CN"/>
              </w:rPr>
              <w:t>预期治理效果</w:t>
            </w:r>
          </w:p>
        </w:tc>
      </w:tr>
      <w:tr w14:paraId="4D3DB8D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11" w:type="pct"/>
            <w:noWrap w:val="0"/>
            <w:vAlign w:val="center"/>
          </w:tcPr>
          <w:p w14:paraId="565B8E55">
            <w:pPr>
              <w:bidi w:val="0"/>
              <w:spacing w:line="240" w:lineRule="auto"/>
              <w:ind w:left="0" w:leftChars="0" w:firstLine="0" w:firstLineChars="0"/>
              <w:jc w:val="center"/>
              <w:rPr>
                <w:rFonts w:hint="eastAsia"/>
                <w:sz w:val="21"/>
                <w:szCs w:val="21"/>
                <w:highlight w:val="none"/>
                <w:lang w:val="en-US" w:eastAsia="zh-CN"/>
              </w:rPr>
            </w:pPr>
            <w:r>
              <w:rPr>
                <w:rFonts w:hint="eastAsia"/>
                <w:sz w:val="21"/>
                <w:szCs w:val="21"/>
                <w:highlight w:val="none"/>
                <w:lang w:val="en-US" w:eastAsia="zh-CN"/>
              </w:rPr>
              <w:t>废渣治理</w:t>
            </w:r>
          </w:p>
        </w:tc>
        <w:tc>
          <w:tcPr>
            <w:tcW w:w="1073" w:type="pct"/>
            <w:noWrap w:val="0"/>
            <w:vAlign w:val="center"/>
          </w:tcPr>
          <w:p w14:paraId="7C2F3184">
            <w:pPr>
              <w:bidi w:val="0"/>
              <w:spacing w:line="240" w:lineRule="auto"/>
              <w:ind w:left="0" w:leftChars="0" w:firstLine="0" w:firstLineChars="0"/>
              <w:jc w:val="center"/>
              <w:rPr>
                <w:rFonts w:hint="eastAsia"/>
                <w:sz w:val="21"/>
                <w:szCs w:val="21"/>
                <w:highlight w:val="none"/>
                <w:lang w:val="en-US" w:eastAsia="zh-CN"/>
              </w:rPr>
            </w:pPr>
            <w:r>
              <w:rPr>
                <w:rFonts w:hint="eastAsia"/>
                <w:sz w:val="21"/>
                <w:szCs w:val="21"/>
                <w:highlight w:val="none"/>
                <w:lang w:val="en-US" w:eastAsia="zh-CN"/>
              </w:rPr>
              <w:t>pH、砷、镍、铅、镉、总铬、铬（六价）、汞、铜、锌、氰化物</w:t>
            </w:r>
          </w:p>
        </w:tc>
        <w:tc>
          <w:tcPr>
            <w:tcW w:w="1674" w:type="pct"/>
            <w:noWrap w:val="0"/>
            <w:vAlign w:val="center"/>
          </w:tcPr>
          <w:p w14:paraId="40AA3EAA">
            <w:pPr>
              <w:bidi w:val="0"/>
              <w:spacing w:line="240" w:lineRule="auto"/>
              <w:ind w:left="0" w:leftChars="0" w:firstLine="0" w:firstLineChars="0"/>
              <w:jc w:val="center"/>
              <w:rPr>
                <w:rFonts w:hint="eastAsia"/>
                <w:sz w:val="21"/>
                <w:szCs w:val="21"/>
                <w:highlight w:val="none"/>
                <w:lang w:val="en-US" w:eastAsia="zh-CN"/>
              </w:rPr>
            </w:pPr>
            <w:r>
              <w:rPr>
                <w:rFonts w:hint="eastAsia"/>
                <w:sz w:val="21"/>
                <w:szCs w:val="21"/>
                <w:highlight w:val="none"/>
                <w:lang w:val="en-US" w:eastAsia="zh-CN"/>
              </w:rPr>
              <w:t>清挖后的基坑进行检测</w:t>
            </w:r>
          </w:p>
        </w:tc>
        <w:tc>
          <w:tcPr>
            <w:tcW w:w="1840" w:type="pct"/>
            <w:noWrap w:val="0"/>
            <w:vAlign w:val="center"/>
          </w:tcPr>
          <w:p w14:paraId="5B5000FF">
            <w:pPr>
              <w:bidi w:val="0"/>
              <w:spacing w:line="240" w:lineRule="auto"/>
              <w:ind w:left="0" w:leftChars="0" w:firstLine="0" w:firstLineChars="0"/>
              <w:jc w:val="center"/>
              <w:rPr>
                <w:rFonts w:hint="default"/>
                <w:sz w:val="21"/>
                <w:szCs w:val="21"/>
                <w:highlight w:val="none"/>
                <w:lang w:val="en-US" w:eastAsia="zh-CN"/>
              </w:rPr>
            </w:pPr>
            <w:r>
              <w:rPr>
                <w:rFonts w:hint="eastAsia"/>
                <w:sz w:val="21"/>
                <w:szCs w:val="21"/>
                <w:highlight w:val="none"/>
                <w:lang w:val="en-US" w:eastAsia="zh-CN"/>
              </w:rPr>
              <w:t>废渣全部清理，基坑生态恢复</w:t>
            </w:r>
          </w:p>
        </w:tc>
      </w:tr>
      <w:tr w14:paraId="6CCBB25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11" w:type="pct"/>
            <w:noWrap w:val="0"/>
            <w:vAlign w:val="center"/>
          </w:tcPr>
          <w:p w14:paraId="3D12BA50">
            <w:pPr>
              <w:bidi w:val="0"/>
              <w:spacing w:line="240" w:lineRule="auto"/>
              <w:ind w:left="0" w:leftChars="0" w:firstLine="0" w:firstLineChars="0"/>
              <w:jc w:val="center"/>
              <w:rPr>
                <w:rFonts w:hint="eastAsia"/>
                <w:sz w:val="21"/>
                <w:szCs w:val="21"/>
                <w:highlight w:val="none"/>
                <w:lang w:val="en-US" w:eastAsia="zh-CN"/>
              </w:rPr>
            </w:pPr>
            <w:r>
              <w:rPr>
                <w:rFonts w:hint="eastAsia"/>
                <w:sz w:val="21"/>
                <w:szCs w:val="21"/>
                <w:highlight w:val="none"/>
                <w:lang w:val="en-US" w:eastAsia="zh-CN"/>
              </w:rPr>
              <w:t>废气</w:t>
            </w:r>
          </w:p>
        </w:tc>
        <w:tc>
          <w:tcPr>
            <w:tcW w:w="1073" w:type="pct"/>
            <w:noWrap w:val="0"/>
            <w:vAlign w:val="center"/>
          </w:tcPr>
          <w:p w14:paraId="6792F37A">
            <w:pPr>
              <w:bidi w:val="0"/>
              <w:spacing w:line="240" w:lineRule="auto"/>
              <w:ind w:left="0" w:leftChars="0" w:firstLine="0" w:firstLineChars="0"/>
              <w:jc w:val="center"/>
              <w:rPr>
                <w:rFonts w:hint="eastAsia"/>
                <w:sz w:val="21"/>
                <w:szCs w:val="21"/>
                <w:highlight w:val="none"/>
                <w:lang w:val="en-US" w:eastAsia="zh-CN"/>
              </w:rPr>
            </w:pPr>
            <w:r>
              <w:rPr>
                <w:rFonts w:hint="eastAsia"/>
                <w:sz w:val="21"/>
                <w:szCs w:val="21"/>
                <w:highlight w:val="none"/>
                <w:lang w:val="en-US" w:eastAsia="zh-CN"/>
              </w:rPr>
              <w:t>TSP</w:t>
            </w:r>
          </w:p>
        </w:tc>
        <w:tc>
          <w:tcPr>
            <w:tcW w:w="1674" w:type="pct"/>
            <w:noWrap w:val="0"/>
            <w:vAlign w:val="center"/>
          </w:tcPr>
          <w:p w14:paraId="38535B59">
            <w:pPr>
              <w:bidi w:val="0"/>
              <w:spacing w:line="240" w:lineRule="auto"/>
              <w:ind w:left="0" w:leftChars="0" w:firstLine="0" w:firstLineChars="0"/>
              <w:jc w:val="center"/>
              <w:rPr>
                <w:rFonts w:hint="eastAsia"/>
                <w:sz w:val="21"/>
                <w:szCs w:val="21"/>
                <w:highlight w:val="none"/>
                <w:lang w:val="en-US" w:eastAsia="zh-CN"/>
              </w:rPr>
            </w:pPr>
            <w:r>
              <w:rPr>
                <w:rFonts w:hint="eastAsia"/>
                <w:sz w:val="21"/>
                <w:szCs w:val="21"/>
                <w:highlight w:val="none"/>
                <w:lang w:val="en-US" w:eastAsia="zh-CN"/>
              </w:rPr>
              <w:t>场地及路面洒水、运输车辆篷布及密闭运输、裸露地面及堆场防尘覆盖、设置车辆冲洗平台</w:t>
            </w:r>
          </w:p>
        </w:tc>
        <w:tc>
          <w:tcPr>
            <w:tcW w:w="1840" w:type="pct"/>
            <w:noWrap w:val="0"/>
            <w:vAlign w:val="center"/>
          </w:tcPr>
          <w:p w14:paraId="181A2FED">
            <w:pPr>
              <w:bidi w:val="0"/>
              <w:spacing w:line="240" w:lineRule="auto"/>
              <w:ind w:left="0" w:leftChars="0" w:firstLine="0" w:firstLineChars="0"/>
              <w:jc w:val="center"/>
              <w:rPr>
                <w:rFonts w:hint="eastAsia"/>
                <w:sz w:val="21"/>
                <w:szCs w:val="21"/>
                <w:highlight w:val="none"/>
                <w:lang w:val="en-US" w:eastAsia="zh-CN"/>
              </w:rPr>
            </w:pPr>
            <w:r>
              <w:rPr>
                <w:rFonts w:hint="eastAsia"/>
                <w:sz w:val="21"/>
                <w:szCs w:val="21"/>
                <w:highlight w:val="none"/>
                <w:lang w:val="en-US" w:eastAsia="zh-CN"/>
              </w:rPr>
              <w:t>TSP达标排放，根据监理监测数据进行回顾性分析</w:t>
            </w:r>
          </w:p>
        </w:tc>
      </w:tr>
      <w:tr w14:paraId="1906E6F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11" w:type="pct"/>
            <w:noWrap w:val="0"/>
            <w:vAlign w:val="center"/>
          </w:tcPr>
          <w:p w14:paraId="0F160380">
            <w:pPr>
              <w:bidi w:val="0"/>
              <w:spacing w:line="240" w:lineRule="auto"/>
              <w:ind w:left="0" w:leftChars="0" w:firstLine="0" w:firstLineChars="0"/>
              <w:jc w:val="center"/>
              <w:rPr>
                <w:rFonts w:hint="eastAsia"/>
                <w:sz w:val="21"/>
                <w:szCs w:val="21"/>
                <w:highlight w:val="none"/>
                <w:lang w:val="en-US" w:eastAsia="zh-CN"/>
              </w:rPr>
            </w:pPr>
            <w:r>
              <w:rPr>
                <w:rFonts w:hint="eastAsia"/>
                <w:sz w:val="21"/>
                <w:szCs w:val="21"/>
                <w:highlight w:val="none"/>
                <w:lang w:val="en-US" w:eastAsia="zh-CN"/>
              </w:rPr>
              <w:t>废水</w:t>
            </w:r>
          </w:p>
        </w:tc>
        <w:tc>
          <w:tcPr>
            <w:tcW w:w="1073" w:type="pct"/>
            <w:noWrap w:val="0"/>
            <w:vAlign w:val="center"/>
          </w:tcPr>
          <w:p w14:paraId="64029021">
            <w:pPr>
              <w:bidi w:val="0"/>
              <w:spacing w:line="240" w:lineRule="auto"/>
              <w:ind w:left="0" w:leftChars="0" w:firstLine="0" w:firstLineChars="0"/>
              <w:jc w:val="center"/>
              <w:rPr>
                <w:rFonts w:hint="eastAsia"/>
                <w:sz w:val="21"/>
                <w:szCs w:val="21"/>
                <w:highlight w:val="none"/>
                <w:lang w:val="en-US" w:eastAsia="zh-CN"/>
              </w:rPr>
            </w:pPr>
            <w:r>
              <w:rPr>
                <w:rFonts w:hint="eastAsia"/>
                <w:sz w:val="21"/>
                <w:szCs w:val="21"/>
                <w:highlight w:val="none"/>
                <w:lang w:val="en-US" w:eastAsia="zh-CN"/>
              </w:rPr>
              <w:t>pH、砷、镍、铅、镉、总铬、铬（六价）、汞、铜、锌、氰化物</w:t>
            </w:r>
          </w:p>
        </w:tc>
        <w:tc>
          <w:tcPr>
            <w:tcW w:w="1674" w:type="pct"/>
            <w:noWrap w:val="0"/>
            <w:vAlign w:val="center"/>
          </w:tcPr>
          <w:p w14:paraId="1B691C38">
            <w:pPr>
              <w:bidi w:val="0"/>
              <w:spacing w:line="240" w:lineRule="auto"/>
              <w:ind w:left="0" w:leftChars="0" w:firstLine="0" w:firstLineChars="0"/>
              <w:jc w:val="center"/>
              <w:rPr>
                <w:rFonts w:hint="eastAsia"/>
                <w:sz w:val="21"/>
                <w:szCs w:val="21"/>
                <w:highlight w:val="none"/>
                <w:lang w:val="en-US" w:eastAsia="zh-CN"/>
              </w:rPr>
            </w:pPr>
            <w:r>
              <w:rPr>
                <w:rFonts w:hint="eastAsia"/>
                <w:sz w:val="21"/>
                <w:szCs w:val="21"/>
                <w:highlight w:val="none"/>
                <w:lang w:val="en-US" w:eastAsia="zh-CN"/>
              </w:rPr>
              <w:t>排水沟、渗滤液收集池、一体化污水处理设备等</w:t>
            </w:r>
          </w:p>
        </w:tc>
        <w:tc>
          <w:tcPr>
            <w:tcW w:w="1840" w:type="pct"/>
            <w:noWrap w:val="0"/>
            <w:vAlign w:val="center"/>
          </w:tcPr>
          <w:p w14:paraId="7DA9C45D">
            <w:pPr>
              <w:bidi w:val="0"/>
              <w:spacing w:line="240" w:lineRule="auto"/>
              <w:ind w:left="0" w:leftChars="0" w:firstLine="0" w:firstLineChars="0"/>
              <w:jc w:val="center"/>
              <w:rPr>
                <w:rFonts w:hint="eastAsia"/>
                <w:sz w:val="21"/>
                <w:szCs w:val="21"/>
                <w:highlight w:val="none"/>
                <w:lang w:val="en-US" w:eastAsia="zh-CN"/>
              </w:rPr>
            </w:pPr>
            <w:r>
              <w:rPr>
                <w:rFonts w:hint="eastAsia"/>
                <w:sz w:val="21"/>
                <w:szCs w:val="21"/>
                <w:highlight w:val="none"/>
                <w:lang w:val="en-US" w:eastAsia="zh-CN"/>
              </w:rPr>
              <w:t>施工废水经一体化设施处理后回用于洒水抑尘等；渗滤液经一体化设备处理后经槽罐车托运至湖南黄金天岳矿业有限公司垂拱洞尾矿库废水处理站进行处理。根据监理监测数据进行回顾性分析</w:t>
            </w:r>
          </w:p>
        </w:tc>
      </w:tr>
      <w:tr w14:paraId="4A5E8FE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11" w:type="pct"/>
            <w:noWrap w:val="0"/>
            <w:vAlign w:val="center"/>
          </w:tcPr>
          <w:p w14:paraId="6FD36BB7">
            <w:pPr>
              <w:bidi w:val="0"/>
              <w:spacing w:line="240" w:lineRule="auto"/>
              <w:ind w:left="0" w:leftChars="0" w:firstLine="0" w:firstLineChars="0"/>
              <w:jc w:val="center"/>
              <w:rPr>
                <w:rFonts w:hint="eastAsia"/>
                <w:sz w:val="21"/>
                <w:szCs w:val="21"/>
                <w:highlight w:val="none"/>
                <w:lang w:val="en-US" w:eastAsia="zh-CN"/>
              </w:rPr>
            </w:pPr>
            <w:r>
              <w:rPr>
                <w:rFonts w:hint="eastAsia"/>
                <w:sz w:val="21"/>
                <w:szCs w:val="21"/>
                <w:highlight w:val="none"/>
                <w:lang w:val="en-US" w:eastAsia="zh-CN"/>
              </w:rPr>
              <w:t>噪声</w:t>
            </w:r>
          </w:p>
        </w:tc>
        <w:tc>
          <w:tcPr>
            <w:tcW w:w="1073" w:type="pct"/>
            <w:noWrap w:val="0"/>
            <w:vAlign w:val="center"/>
          </w:tcPr>
          <w:p w14:paraId="5D79D6DE">
            <w:pPr>
              <w:bidi w:val="0"/>
              <w:spacing w:line="240" w:lineRule="auto"/>
              <w:ind w:left="0" w:leftChars="0" w:firstLine="0" w:firstLineChars="0"/>
              <w:jc w:val="center"/>
              <w:rPr>
                <w:rFonts w:hint="eastAsia"/>
                <w:sz w:val="21"/>
                <w:szCs w:val="21"/>
                <w:highlight w:val="none"/>
                <w:lang w:val="en-US" w:eastAsia="zh-CN"/>
              </w:rPr>
            </w:pPr>
            <w:r>
              <w:rPr>
                <w:rFonts w:hint="eastAsia"/>
                <w:sz w:val="21"/>
                <w:szCs w:val="21"/>
                <w:highlight w:val="none"/>
                <w:lang w:val="en-US" w:eastAsia="zh-CN"/>
              </w:rPr>
              <w:t>等效A声级</w:t>
            </w:r>
          </w:p>
        </w:tc>
        <w:tc>
          <w:tcPr>
            <w:tcW w:w="1674" w:type="pct"/>
            <w:noWrap w:val="0"/>
            <w:vAlign w:val="center"/>
          </w:tcPr>
          <w:p w14:paraId="06A86F06">
            <w:pPr>
              <w:bidi w:val="0"/>
              <w:spacing w:line="240" w:lineRule="auto"/>
              <w:ind w:left="0" w:leftChars="0" w:firstLine="0" w:firstLineChars="0"/>
              <w:jc w:val="center"/>
              <w:rPr>
                <w:rFonts w:hint="eastAsia"/>
                <w:sz w:val="21"/>
                <w:szCs w:val="21"/>
                <w:highlight w:val="none"/>
                <w:lang w:val="en-US" w:eastAsia="zh-CN"/>
              </w:rPr>
            </w:pPr>
            <w:r>
              <w:rPr>
                <w:rFonts w:hint="eastAsia"/>
                <w:sz w:val="21"/>
                <w:szCs w:val="21"/>
                <w:highlight w:val="none"/>
                <w:lang w:val="en-US" w:eastAsia="zh-CN"/>
              </w:rPr>
              <w:t>减少夜间施工量、合理布局施工现场、选用低噪声设备和工艺、厂界设置施工围挡、运输应尽量安排在昼间进行</w:t>
            </w:r>
          </w:p>
        </w:tc>
        <w:tc>
          <w:tcPr>
            <w:tcW w:w="1840" w:type="pct"/>
            <w:noWrap w:val="0"/>
            <w:vAlign w:val="center"/>
          </w:tcPr>
          <w:p w14:paraId="286042F9">
            <w:pPr>
              <w:bidi w:val="0"/>
              <w:spacing w:line="240" w:lineRule="auto"/>
              <w:ind w:left="0" w:leftChars="0" w:firstLine="0" w:firstLineChars="0"/>
              <w:jc w:val="center"/>
              <w:rPr>
                <w:rFonts w:hint="eastAsia"/>
                <w:sz w:val="21"/>
                <w:szCs w:val="21"/>
                <w:highlight w:val="none"/>
                <w:lang w:val="en-US" w:eastAsia="zh-CN"/>
              </w:rPr>
            </w:pPr>
            <w:r>
              <w:rPr>
                <w:rFonts w:hint="eastAsia"/>
                <w:sz w:val="21"/>
                <w:szCs w:val="21"/>
                <w:highlight w:val="none"/>
                <w:lang w:val="en-US" w:eastAsia="zh-CN"/>
              </w:rPr>
              <w:t>厂界噪声满足《建筑施工厂界环境噪声排放标准》（GB12523-2011）；根据监理监测数据进行回顾性分析</w:t>
            </w:r>
          </w:p>
        </w:tc>
      </w:tr>
      <w:tr w14:paraId="246C061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484" w:type="pct"/>
            <w:gridSpan w:val="2"/>
            <w:noWrap w:val="0"/>
            <w:vAlign w:val="center"/>
          </w:tcPr>
          <w:p w14:paraId="6854772A">
            <w:pPr>
              <w:bidi w:val="0"/>
              <w:spacing w:line="240" w:lineRule="auto"/>
              <w:ind w:left="0" w:leftChars="0" w:firstLine="0" w:firstLineChars="0"/>
              <w:jc w:val="center"/>
              <w:rPr>
                <w:rFonts w:hint="eastAsia"/>
                <w:sz w:val="21"/>
                <w:szCs w:val="21"/>
                <w:highlight w:val="none"/>
                <w:lang w:val="en-US" w:eastAsia="zh-CN"/>
              </w:rPr>
            </w:pPr>
            <w:r>
              <w:rPr>
                <w:rFonts w:hint="eastAsia"/>
                <w:sz w:val="21"/>
                <w:szCs w:val="21"/>
                <w:highlight w:val="none"/>
                <w:lang w:val="en-US" w:eastAsia="zh-CN"/>
              </w:rPr>
              <w:t>固废</w:t>
            </w:r>
          </w:p>
        </w:tc>
        <w:tc>
          <w:tcPr>
            <w:tcW w:w="1674" w:type="pct"/>
            <w:noWrap w:val="0"/>
            <w:vAlign w:val="center"/>
          </w:tcPr>
          <w:p w14:paraId="2827E26F">
            <w:pPr>
              <w:bidi w:val="0"/>
              <w:spacing w:line="240" w:lineRule="auto"/>
              <w:ind w:left="0" w:leftChars="0" w:firstLine="0" w:firstLineChars="0"/>
              <w:jc w:val="center"/>
              <w:rPr>
                <w:rFonts w:hint="eastAsia"/>
                <w:sz w:val="21"/>
                <w:szCs w:val="21"/>
                <w:highlight w:val="none"/>
                <w:lang w:val="en-US" w:eastAsia="zh-CN"/>
              </w:rPr>
            </w:pPr>
            <w:r>
              <w:rPr>
                <w:rFonts w:hint="eastAsia"/>
                <w:sz w:val="21"/>
                <w:szCs w:val="21"/>
                <w:highlight w:val="none"/>
                <w:lang w:val="en-US" w:eastAsia="zh-CN"/>
              </w:rPr>
              <w:t>废渣清运照相关规定进行，密闭运输至废渣填埋场进行处置；生活垃圾委托环卫部门及时清运处置</w:t>
            </w:r>
          </w:p>
        </w:tc>
        <w:tc>
          <w:tcPr>
            <w:tcW w:w="1840" w:type="pct"/>
            <w:noWrap w:val="0"/>
            <w:vAlign w:val="center"/>
          </w:tcPr>
          <w:p w14:paraId="3348E035">
            <w:pPr>
              <w:bidi w:val="0"/>
              <w:spacing w:line="240" w:lineRule="auto"/>
              <w:ind w:left="0" w:leftChars="0" w:firstLine="0" w:firstLineChars="0"/>
              <w:jc w:val="center"/>
              <w:rPr>
                <w:rFonts w:hint="eastAsia"/>
                <w:sz w:val="21"/>
                <w:szCs w:val="21"/>
                <w:highlight w:val="none"/>
                <w:lang w:val="en-US" w:eastAsia="zh-CN"/>
              </w:rPr>
            </w:pPr>
            <w:r>
              <w:rPr>
                <w:rFonts w:hint="eastAsia"/>
                <w:sz w:val="21"/>
                <w:szCs w:val="21"/>
                <w:highlight w:val="none"/>
                <w:lang w:val="en-US" w:eastAsia="zh-CN"/>
              </w:rPr>
              <w:t>一般固体废物处置执行《一般工业固体废物贮存和填埋污染控制标准》（GB18599-2020）；生活垃圾执行《生活垃圾填埋场污染控制标准》（GB16889-2024）</w:t>
            </w:r>
          </w:p>
        </w:tc>
      </w:tr>
      <w:tr w14:paraId="2A5EDAE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484" w:type="pct"/>
            <w:gridSpan w:val="2"/>
            <w:noWrap w:val="0"/>
            <w:vAlign w:val="center"/>
          </w:tcPr>
          <w:p w14:paraId="126C419A">
            <w:pPr>
              <w:bidi w:val="0"/>
              <w:spacing w:line="240" w:lineRule="auto"/>
              <w:ind w:left="0" w:leftChars="0" w:firstLine="0" w:firstLineChars="0"/>
              <w:jc w:val="center"/>
              <w:rPr>
                <w:rFonts w:hint="eastAsia"/>
                <w:sz w:val="21"/>
                <w:szCs w:val="21"/>
                <w:highlight w:val="none"/>
                <w:lang w:val="en-US" w:eastAsia="zh-CN"/>
              </w:rPr>
            </w:pPr>
            <w:r>
              <w:rPr>
                <w:rFonts w:hint="eastAsia"/>
                <w:sz w:val="21"/>
                <w:szCs w:val="21"/>
                <w:highlight w:val="none"/>
                <w:lang w:val="en-US" w:eastAsia="zh-CN"/>
              </w:rPr>
              <w:t>风险防范措施</w:t>
            </w:r>
          </w:p>
        </w:tc>
        <w:tc>
          <w:tcPr>
            <w:tcW w:w="3515" w:type="pct"/>
            <w:gridSpan w:val="2"/>
            <w:noWrap w:val="0"/>
            <w:vAlign w:val="center"/>
          </w:tcPr>
          <w:p w14:paraId="0C9D771E">
            <w:pPr>
              <w:bidi w:val="0"/>
              <w:spacing w:line="240" w:lineRule="auto"/>
              <w:ind w:left="0" w:leftChars="0" w:firstLine="0" w:firstLineChars="0"/>
              <w:jc w:val="center"/>
              <w:rPr>
                <w:rFonts w:hint="eastAsia"/>
                <w:sz w:val="21"/>
                <w:szCs w:val="21"/>
                <w:highlight w:val="none"/>
                <w:lang w:val="en-US" w:eastAsia="zh-CN"/>
              </w:rPr>
            </w:pPr>
            <w:r>
              <w:rPr>
                <w:rFonts w:hint="eastAsia"/>
                <w:sz w:val="21"/>
                <w:szCs w:val="21"/>
                <w:highlight w:val="none"/>
                <w:lang w:val="en-US" w:eastAsia="zh-CN"/>
              </w:rPr>
              <w:t>截排水沟、雨水收集池、场地四周防渗且渗透系数达到要求、对开挖面覆盖防雨布、设置地下水监测井、渗滤液收集池</w:t>
            </w:r>
          </w:p>
        </w:tc>
      </w:tr>
      <w:tr w14:paraId="1CFBA64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484" w:type="pct"/>
            <w:gridSpan w:val="2"/>
            <w:noWrap w:val="0"/>
            <w:vAlign w:val="center"/>
          </w:tcPr>
          <w:p w14:paraId="768D2D93">
            <w:pPr>
              <w:bidi w:val="0"/>
              <w:spacing w:line="240" w:lineRule="auto"/>
              <w:ind w:left="0" w:leftChars="0" w:firstLine="0" w:firstLineChars="0"/>
              <w:jc w:val="center"/>
              <w:rPr>
                <w:rFonts w:hint="eastAsia"/>
                <w:sz w:val="21"/>
                <w:szCs w:val="21"/>
                <w:highlight w:val="none"/>
                <w:lang w:val="en-US" w:eastAsia="zh-CN"/>
              </w:rPr>
            </w:pPr>
            <w:r>
              <w:rPr>
                <w:rFonts w:hint="eastAsia"/>
                <w:sz w:val="21"/>
                <w:szCs w:val="21"/>
                <w:highlight w:val="none"/>
                <w:lang w:val="en-US" w:eastAsia="zh-CN"/>
              </w:rPr>
              <w:t>生态保护</w:t>
            </w:r>
          </w:p>
        </w:tc>
        <w:tc>
          <w:tcPr>
            <w:tcW w:w="3515" w:type="pct"/>
            <w:gridSpan w:val="2"/>
            <w:noWrap w:val="0"/>
            <w:vAlign w:val="center"/>
          </w:tcPr>
          <w:p w14:paraId="675E4665">
            <w:pPr>
              <w:bidi w:val="0"/>
              <w:spacing w:line="240" w:lineRule="auto"/>
              <w:ind w:left="0" w:leftChars="0" w:firstLine="0" w:firstLineChars="0"/>
              <w:jc w:val="center"/>
              <w:rPr>
                <w:rFonts w:hint="eastAsia"/>
                <w:sz w:val="21"/>
                <w:szCs w:val="21"/>
                <w:highlight w:val="none"/>
                <w:lang w:val="en-US" w:eastAsia="zh-CN"/>
              </w:rPr>
            </w:pPr>
            <w:r>
              <w:rPr>
                <w:rFonts w:hint="eastAsia"/>
                <w:sz w:val="21"/>
                <w:szCs w:val="21"/>
                <w:highlight w:val="none"/>
                <w:lang w:val="en-US" w:eastAsia="zh-CN"/>
              </w:rPr>
              <w:t>临时占地恢复生态、进行绿化</w:t>
            </w:r>
          </w:p>
        </w:tc>
      </w:tr>
      <w:tr w14:paraId="64A71C7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484" w:type="pct"/>
            <w:gridSpan w:val="2"/>
            <w:noWrap w:val="0"/>
            <w:vAlign w:val="center"/>
          </w:tcPr>
          <w:p w14:paraId="2308AC04">
            <w:pPr>
              <w:bidi w:val="0"/>
              <w:spacing w:line="240" w:lineRule="auto"/>
              <w:ind w:left="0" w:leftChars="0" w:firstLine="0" w:firstLineChars="0"/>
              <w:jc w:val="center"/>
              <w:rPr>
                <w:rFonts w:hint="eastAsia"/>
                <w:sz w:val="21"/>
                <w:szCs w:val="21"/>
                <w:highlight w:val="none"/>
                <w:lang w:val="en-US" w:eastAsia="zh-CN"/>
              </w:rPr>
            </w:pPr>
            <w:r>
              <w:rPr>
                <w:rFonts w:hint="eastAsia"/>
                <w:sz w:val="21"/>
                <w:szCs w:val="21"/>
                <w:highlight w:val="none"/>
                <w:lang w:val="en-US" w:eastAsia="zh-CN"/>
              </w:rPr>
              <w:t>环境监理</w:t>
            </w:r>
          </w:p>
        </w:tc>
        <w:tc>
          <w:tcPr>
            <w:tcW w:w="1674" w:type="pct"/>
            <w:noWrap w:val="0"/>
            <w:vAlign w:val="center"/>
          </w:tcPr>
          <w:p w14:paraId="776A41AE">
            <w:pPr>
              <w:bidi w:val="0"/>
              <w:spacing w:line="240" w:lineRule="auto"/>
              <w:ind w:left="0" w:leftChars="0" w:firstLine="0" w:firstLineChars="0"/>
              <w:jc w:val="center"/>
              <w:rPr>
                <w:rFonts w:hint="eastAsia"/>
                <w:sz w:val="21"/>
                <w:szCs w:val="21"/>
                <w:highlight w:val="none"/>
                <w:lang w:val="en-US" w:eastAsia="zh-CN"/>
              </w:rPr>
            </w:pPr>
            <w:r>
              <w:rPr>
                <w:rFonts w:hint="eastAsia"/>
                <w:sz w:val="21"/>
                <w:szCs w:val="21"/>
                <w:highlight w:val="none"/>
                <w:lang w:val="en-US" w:eastAsia="zh-CN"/>
              </w:rPr>
              <w:t>环境监理方案、监理总结报告</w:t>
            </w:r>
          </w:p>
        </w:tc>
        <w:tc>
          <w:tcPr>
            <w:tcW w:w="1840" w:type="pct"/>
            <w:noWrap w:val="0"/>
            <w:vAlign w:val="center"/>
          </w:tcPr>
          <w:p w14:paraId="0FECC853">
            <w:pPr>
              <w:bidi w:val="0"/>
              <w:spacing w:line="240" w:lineRule="auto"/>
              <w:ind w:left="0" w:leftChars="0" w:firstLine="0" w:firstLineChars="0"/>
              <w:jc w:val="center"/>
              <w:rPr>
                <w:rFonts w:hint="eastAsia"/>
                <w:sz w:val="21"/>
                <w:szCs w:val="21"/>
                <w:highlight w:val="none"/>
                <w:lang w:val="en-US" w:eastAsia="zh-CN"/>
              </w:rPr>
            </w:pPr>
            <w:r>
              <w:rPr>
                <w:rFonts w:hint="eastAsia"/>
                <w:sz w:val="21"/>
                <w:szCs w:val="21"/>
                <w:highlight w:val="none"/>
                <w:lang w:val="en-US" w:eastAsia="zh-CN"/>
              </w:rPr>
              <w:t>施工过程中的二次污染防护有效落实，治理过程中的效果监督</w:t>
            </w:r>
          </w:p>
        </w:tc>
      </w:tr>
      <w:tr w14:paraId="48A4D10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484" w:type="pct"/>
            <w:gridSpan w:val="2"/>
            <w:noWrap w:val="0"/>
            <w:vAlign w:val="center"/>
          </w:tcPr>
          <w:p w14:paraId="17F4B9EA">
            <w:pPr>
              <w:bidi w:val="0"/>
              <w:spacing w:line="240" w:lineRule="auto"/>
              <w:ind w:left="0" w:leftChars="0" w:firstLine="0" w:firstLineChars="0"/>
              <w:jc w:val="center"/>
              <w:rPr>
                <w:rFonts w:hint="eastAsia"/>
                <w:sz w:val="21"/>
                <w:szCs w:val="21"/>
                <w:highlight w:val="none"/>
                <w:lang w:val="en-US" w:eastAsia="zh-CN"/>
              </w:rPr>
            </w:pPr>
            <w:r>
              <w:rPr>
                <w:rFonts w:hint="eastAsia"/>
                <w:sz w:val="21"/>
                <w:szCs w:val="21"/>
                <w:highlight w:val="none"/>
                <w:lang w:val="en-US" w:eastAsia="zh-CN"/>
              </w:rPr>
              <w:t>环境监测</w:t>
            </w:r>
          </w:p>
        </w:tc>
        <w:tc>
          <w:tcPr>
            <w:tcW w:w="1674" w:type="pct"/>
            <w:noWrap w:val="0"/>
            <w:vAlign w:val="center"/>
          </w:tcPr>
          <w:p w14:paraId="27EDD346">
            <w:pPr>
              <w:bidi w:val="0"/>
              <w:spacing w:line="240" w:lineRule="auto"/>
              <w:ind w:left="0" w:leftChars="0" w:firstLine="0" w:firstLineChars="0"/>
              <w:jc w:val="center"/>
              <w:rPr>
                <w:rFonts w:hint="eastAsia"/>
                <w:sz w:val="21"/>
                <w:szCs w:val="21"/>
                <w:highlight w:val="none"/>
                <w:lang w:val="en-US" w:eastAsia="zh-CN"/>
              </w:rPr>
            </w:pPr>
            <w:r>
              <w:rPr>
                <w:rFonts w:hint="eastAsia"/>
                <w:sz w:val="21"/>
                <w:szCs w:val="21"/>
                <w:highlight w:val="none"/>
                <w:lang w:val="en-US" w:eastAsia="zh-CN"/>
              </w:rPr>
              <w:t>施工过程监测报告、治理效果监测报告</w:t>
            </w:r>
          </w:p>
        </w:tc>
        <w:tc>
          <w:tcPr>
            <w:tcW w:w="1840" w:type="pct"/>
            <w:noWrap w:val="0"/>
            <w:vAlign w:val="center"/>
          </w:tcPr>
          <w:p w14:paraId="24667078">
            <w:pPr>
              <w:bidi w:val="0"/>
              <w:spacing w:line="240" w:lineRule="auto"/>
              <w:ind w:left="0" w:leftChars="0" w:firstLine="0" w:firstLineChars="0"/>
              <w:jc w:val="center"/>
              <w:rPr>
                <w:rFonts w:hint="eastAsia"/>
                <w:sz w:val="21"/>
                <w:szCs w:val="21"/>
                <w:highlight w:val="none"/>
                <w:lang w:val="en-US" w:eastAsia="zh-CN"/>
              </w:rPr>
            </w:pPr>
            <w:r>
              <w:rPr>
                <w:rFonts w:hint="eastAsia"/>
                <w:sz w:val="21"/>
                <w:szCs w:val="21"/>
                <w:highlight w:val="none"/>
                <w:lang w:val="en-US" w:eastAsia="zh-CN"/>
              </w:rPr>
              <w:t>施工过程中污染物排放达标，治理效果达标</w:t>
            </w:r>
          </w:p>
        </w:tc>
      </w:tr>
    </w:tbl>
    <w:p w14:paraId="11CA870E">
      <w:pPr>
        <w:pStyle w:val="8"/>
        <w:numPr>
          <w:ilvl w:val="1"/>
          <w:numId w:val="1"/>
        </w:numPr>
        <w:tabs>
          <w:tab w:val="clear" w:pos="420"/>
        </w:tabs>
        <w:bidi w:val="0"/>
        <w:ind w:left="567" w:leftChars="0" w:hanging="567" w:firstLineChars="0"/>
        <w:rPr>
          <w:rFonts w:hint="eastAsia"/>
          <w:highlight w:val="none"/>
          <w:lang w:val="en-US" w:eastAsia="zh-CN"/>
        </w:rPr>
      </w:pPr>
      <w:bookmarkStart w:id="128" w:name="_Toc29249"/>
      <w:r>
        <w:rPr>
          <w:rFonts w:hint="eastAsia"/>
          <w:highlight w:val="none"/>
          <w:lang w:val="en-US" w:eastAsia="zh-CN"/>
        </w:rPr>
        <w:t>总量控制指标</w:t>
      </w:r>
      <w:bookmarkEnd w:id="128"/>
    </w:p>
    <w:p w14:paraId="355B85F2">
      <w:pPr>
        <w:bidi w:val="0"/>
        <w:rPr>
          <w:rFonts w:hint="eastAsia"/>
          <w:highlight w:val="none"/>
          <w:lang w:val="en-US" w:eastAsia="zh-CN"/>
        </w:rPr>
      </w:pPr>
      <w:r>
        <w:rPr>
          <w:rFonts w:hint="eastAsia"/>
          <w:highlight w:val="none"/>
          <w:lang w:val="en-US" w:eastAsia="zh-CN"/>
        </w:rPr>
        <w:t>依据《湖南省主要污染物排污权有偿使用和交易实施细则》（湘环发〔2024〕3号），湖南省对化学需氧量、氨氮、二氧化硫、氮氧化物、挥发性有机物、总磷、铅、镉、砷、汞、铬十一类污染物实施总量控制（实施管理的范围为有效实施的国家固定污染源排污许可分类管理名录的工业类排污单位）。</w:t>
      </w:r>
    </w:p>
    <w:p w14:paraId="1D719D45">
      <w:pPr>
        <w:bidi w:val="0"/>
        <w:rPr>
          <w:rFonts w:hint="eastAsia"/>
          <w:highlight w:val="none"/>
          <w:lang w:val="en-US" w:eastAsia="zh-CN"/>
        </w:rPr>
      </w:pPr>
      <w:r>
        <w:rPr>
          <w:rFonts w:hint="eastAsia"/>
          <w:highlight w:val="none"/>
          <w:lang w:val="en-US" w:eastAsia="zh-CN"/>
        </w:rPr>
        <w:t>实行污染物总量控制是对产生污染源的单位，在单位时间内污染物允许排放总量和污染物排放浓度符合相应排放标准限值进行核定。为了对生产装置排放的污染物有所限值，针对本工程工艺技术方案、原辅材料消耗、环保措施技术可行性和稳定达标分析，污染物排放的情况，制定本工程的污染物排放总量控制建议值。</w:t>
      </w:r>
    </w:p>
    <w:p w14:paraId="2D22884D">
      <w:pPr>
        <w:bidi w:val="0"/>
        <w:rPr>
          <w:rFonts w:hint="eastAsia"/>
          <w:highlight w:val="yellow"/>
          <w:lang w:val="en-US" w:eastAsia="zh-CN"/>
        </w:rPr>
      </w:pPr>
      <w:r>
        <w:rPr>
          <w:rFonts w:hint="eastAsia"/>
          <w:highlight w:val="none"/>
          <w:lang w:val="en-US" w:eastAsia="zh-CN"/>
        </w:rPr>
        <w:t>本项目为环境治理土壤修复项目，不属于有效实施的国家固定污染源排污许可分类管理名录的工业类排污单位，本项目无需设置总量控制指标。</w:t>
      </w:r>
      <w:r>
        <w:rPr>
          <w:rFonts w:hint="eastAsia"/>
          <w:highlight w:val="yellow"/>
          <w:lang w:val="en-US" w:eastAsia="zh-CN"/>
        </w:rPr>
        <w:br w:type="page"/>
      </w:r>
    </w:p>
    <w:p w14:paraId="19956069">
      <w:pPr>
        <w:pStyle w:val="7"/>
        <w:bidi w:val="0"/>
        <w:jc w:val="center"/>
        <w:rPr>
          <w:rFonts w:hint="default"/>
          <w:highlight w:val="none"/>
          <w:lang w:val="en-US" w:eastAsia="zh-CN"/>
        </w:rPr>
      </w:pPr>
      <w:bookmarkStart w:id="129" w:name="_Toc12316"/>
      <w:r>
        <w:rPr>
          <w:rFonts w:hint="eastAsia"/>
          <w:highlight w:val="none"/>
          <w:lang w:val="en-US" w:eastAsia="zh-CN"/>
        </w:rPr>
        <w:t>环境影响评价结论</w:t>
      </w:r>
      <w:bookmarkEnd w:id="129"/>
    </w:p>
    <w:p w14:paraId="3DC723D3">
      <w:pPr>
        <w:pStyle w:val="8"/>
        <w:numPr>
          <w:ilvl w:val="1"/>
          <w:numId w:val="1"/>
        </w:numPr>
        <w:tabs>
          <w:tab w:val="clear" w:pos="420"/>
        </w:tabs>
        <w:bidi w:val="0"/>
        <w:ind w:left="567" w:leftChars="0" w:hanging="567" w:firstLineChars="0"/>
        <w:rPr>
          <w:rFonts w:hint="default"/>
          <w:highlight w:val="none"/>
          <w:lang w:val="en-US" w:eastAsia="zh-CN"/>
        </w:rPr>
      </w:pPr>
      <w:bookmarkStart w:id="130" w:name="_Toc25750"/>
      <w:bookmarkStart w:id="131" w:name="_Toc15765"/>
      <w:r>
        <w:rPr>
          <w:rFonts w:hint="eastAsia"/>
          <w:highlight w:val="none"/>
          <w:lang w:val="en-US" w:eastAsia="zh-CN"/>
        </w:rPr>
        <w:t>结论</w:t>
      </w:r>
      <w:bookmarkEnd w:id="130"/>
      <w:bookmarkEnd w:id="131"/>
    </w:p>
    <w:p w14:paraId="2DCA49E5">
      <w:pPr>
        <w:pStyle w:val="9"/>
        <w:numPr>
          <w:ilvl w:val="2"/>
          <w:numId w:val="1"/>
        </w:numPr>
        <w:bidi w:val="0"/>
        <w:ind w:left="709" w:leftChars="0" w:hanging="709" w:firstLineChars="0"/>
        <w:rPr>
          <w:rFonts w:hint="eastAsia"/>
          <w:highlight w:val="none"/>
          <w:lang w:val="en-US" w:eastAsia="zh-CN"/>
        </w:rPr>
      </w:pPr>
      <w:r>
        <w:rPr>
          <w:rFonts w:hint="eastAsia"/>
          <w:highlight w:val="none"/>
          <w:lang w:val="en-US" w:eastAsia="zh-CN"/>
        </w:rPr>
        <w:t>项目概况</w:t>
      </w:r>
    </w:p>
    <w:p w14:paraId="35BCCA96">
      <w:pPr>
        <w:keepNext w:val="0"/>
        <w:keepLines w:val="0"/>
        <w:pageBreakBefore w:val="0"/>
        <w:widowControl w:val="0"/>
        <w:kinsoku/>
        <w:wordWrap w:val="0"/>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color w:val="auto"/>
          <w:sz w:val="24"/>
          <w:highlight w:val="yellow"/>
          <w:u w:val="none" w:color="auto"/>
          <w:lang w:val="en-US" w:eastAsia="zh-CN"/>
        </w:rPr>
      </w:pPr>
      <w:r>
        <w:rPr>
          <w:rFonts w:hint="eastAsia" w:cs="Times New Roman"/>
          <w:b/>
          <w:bCs/>
          <w:color w:val="auto"/>
          <w:sz w:val="24"/>
          <w:highlight w:val="none"/>
          <w:u w:val="none" w:color="auto"/>
          <w:lang w:val="en-US" w:eastAsia="zh-CN"/>
        </w:rPr>
        <w:t>项目名称：</w:t>
      </w:r>
      <w:r>
        <w:rPr>
          <w:rFonts w:hint="eastAsia" w:cs="Times New Roman"/>
          <w:b w:val="0"/>
          <w:bCs w:val="0"/>
          <w:color w:val="auto"/>
          <w:sz w:val="24"/>
          <w:highlight w:val="none"/>
          <w:u w:val="none" w:color="auto"/>
          <w:lang w:val="en-US" w:eastAsia="zh-CN"/>
        </w:rPr>
        <w:t>平江县三阳乡南尧村片区（垂拱组、仙人组）历史遗留重金属废渣整治项目</w:t>
      </w:r>
      <w:r>
        <w:rPr>
          <w:rFonts w:hint="eastAsia" w:cs="Times New Roman"/>
          <w:color w:val="auto"/>
          <w:sz w:val="24"/>
          <w:highlight w:val="none"/>
          <w:u w:val="none" w:color="auto"/>
          <w:lang w:val="en-US" w:eastAsia="zh-CN"/>
        </w:rPr>
        <w:t>；</w:t>
      </w:r>
    </w:p>
    <w:p w14:paraId="52366F4D">
      <w:pPr>
        <w:keepNext w:val="0"/>
        <w:keepLines w:val="0"/>
        <w:pageBreakBefore w:val="0"/>
        <w:widowControl w:val="0"/>
        <w:kinsoku/>
        <w:wordWrap w:val="0"/>
        <w:overflowPunct/>
        <w:topLinePunct w:val="0"/>
        <w:autoSpaceDE/>
        <w:autoSpaceDN/>
        <w:bidi w:val="0"/>
        <w:adjustRightInd/>
        <w:snapToGrid/>
        <w:spacing w:line="360" w:lineRule="auto"/>
        <w:ind w:firstLine="482" w:firstLineChars="200"/>
        <w:textAlignment w:val="auto"/>
        <w:rPr>
          <w:rFonts w:hint="default" w:cs="Times New Roman"/>
          <w:b/>
          <w:bCs/>
          <w:color w:val="auto"/>
          <w:sz w:val="24"/>
          <w:highlight w:val="none"/>
          <w:u w:val="none" w:color="auto"/>
          <w:lang w:val="en-US" w:eastAsia="zh-CN"/>
        </w:rPr>
      </w:pPr>
      <w:r>
        <w:rPr>
          <w:rFonts w:hint="eastAsia" w:cs="Times New Roman"/>
          <w:b/>
          <w:bCs/>
          <w:color w:val="auto"/>
          <w:sz w:val="24"/>
          <w:highlight w:val="none"/>
          <w:u w:val="none" w:color="auto"/>
          <w:lang w:val="en-US" w:eastAsia="zh-CN"/>
        </w:rPr>
        <w:t>建设性质：</w:t>
      </w:r>
      <w:r>
        <w:rPr>
          <w:rFonts w:hint="eastAsia" w:cs="Times New Roman"/>
          <w:b w:val="0"/>
          <w:bCs w:val="0"/>
          <w:color w:val="auto"/>
          <w:sz w:val="24"/>
          <w:highlight w:val="none"/>
          <w:u w:val="none" w:color="auto"/>
          <w:lang w:val="en-US" w:eastAsia="zh-CN"/>
        </w:rPr>
        <w:t>新建；</w:t>
      </w:r>
    </w:p>
    <w:p w14:paraId="45AD6E4F">
      <w:pPr>
        <w:keepNext w:val="0"/>
        <w:keepLines w:val="0"/>
        <w:pageBreakBefore w:val="0"/>
        <w:widowControl w:val="0"/>
        <w:kinsoku/>
        <w:wordWrap w:val="0"/>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color w:val="auto"/>
          <w:sz w:val="24"/>
          <w:highlight w:val="yellow"/>
          <w:u w:val="none" w:color="auto"/>
          <w:lang w:val="en-US" w:eastAsia="zh-CN"/>
        </w:rPr>
      </w:pPr>
      <w:r>
        <w:rPr>
          <w:rFonts w:hint="eastAsia" w:cs="Times New Roman"/>
          <w:b/>
          <w:bCs/>
          <w:color w:val="auto"/>
          <w:sz w:val="24"/>
          <w:highlight w:val="none"/>
          <w:u w:val="none" w:color="auto"/>
          <w:lang w:val="en-US" w:eastAsia="zh-CN"/>
        </w:rPr>
        <w:t>建设单位：</w:t>
      </w:r>
      <w:r>
        <w:rPr>
          <w:rFonts w:hint="eastAsia" w:cs="Times New Roman"/>
          <w:b w:val="0"/>
          <w:bCs w:val="0"/>
          <w:color w:val="auto"/>
          <w:sz w:val="24"/>
          <w:highlight w:val="none"/>
          <w:u w:val="none" w:color="auto"/>
          <w:lang w:val="en-US" w:eastAsia="zh-CN"/>
        </w:rPr>
        <w:t>平江县三阳乡人民政府</w:t>
      </w:r>
      <w:r>
        <w:rPr>
          <w:rFonts w:hint="eastAsia" w:cs="Times New Roman"/>
          <w:color w:val="auto"/>
          <w:sz w:val="24"/>
          <w:highlight w:val="none"/>
          <w:u w:val="none" w:color="auto"/>
          <w:lang w:val="en-US" w:eastAsia="zh-CN"/>
        </w:rPr>
        <w:t>；</w:t>
      </w:r>
    </w:p>
    <w:p w14:paraId="030FA197">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color w:val="auto"/>
          <w:sz w:val="24"/>
          <w:highlight w:val="yellow"/>
          <w:u w:val="none" w:color="auto"/>
          <w:lang w:val="en-US" w:eastAsia="zh-CN"/>
        </w:rPr>
      </w:pPr>
      <w:r>
        <w:rPr>
          <w:rFonts w:hint="eastAsia" w:cs="Times New Roman"/>
          <w:b/>
          <w:bCs/>
          <w:color w:val="auto"/>
          <w:sz w:val="24"/>
          <w:highlight w:val="none"/>
          <w:u w:val="none" w:color="auto"/>
          <w:lang w:val="en-US" w:eastAsia="zh-CN"/>
        </w:rPr>
        <w:t>建设地点：</w:t>
      </w:r>
      <w:r>
        <w:rPr>
          <w:rFonts w:hint="eastAsia" w:cs="Times New Roman"/>
          <w:b w:val="0"/>
          <w:bCs w:val="0"/>
          <w:color w:val="auto"/>
          <w:sz w:val="24"/>
          <w:highlight w:val="none"/>
          <w:u w:val="none" w:color="auto"/>
          <w:lang w:val="en-US" w:eastAsia="zh-CN"/>
        </w:rPr>
        <w:t>平江县三阳乡南尧村垂拱组、仙人组</w:t>
      </w:r>
      <w:r>
        <w:rPr>
          <w:rFonts w:hint="eastAsia" w:cs="Times New Roman"/>
          <w:color w:val="auto"/>
          <w:sz w:val="24"/>
          <w:highlight w:val="none"/>
          <w:u w:val="none" w:color="auto"/>
          <w:lang w:val="en-US" w:eastAsia="zh-CN"/>
        </w:rPr>
        <w:t>；</w:t>
      </w:r>
    </w:p>
    <w:p w14:paraId="466542C0">
      <w:pPr>
        <w:keepNext w:val="0"/>
        <w:keepLines w:val="0"/>
        <w:pageBreakBefore w:val="0"/>
        <w:widowControl w:val="0"/>
        <w:kinsoku/>
        <w:wordWrap w:val="0"/>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color w:val="auto"/>
          <w:sz w:val="24"/>
          <w:highlight w:val="yellow"/>
          <w:u w:val="none" w:color="auto"/>
          <w:lang w:val="en-US" w:eastAsia="zh-CN"/>
        </w:rPr>
      </w:pPr>
      <w:r>
        <w:rPr>
          <w:rFonts w:hint="eastAsia" w:cs="Times New Roman"/>
          <w:b/>
          <w:bCs/>
          <w:color w:val="auto"/>
          <w:sz w:val="24"/>
          <w:highlight w:val="none"/>
          <w:u w:val="none" w:color="auto"/>
          <w:lang w:val="en-US" w:eastAsia="zh-CN"/>
        </w:rPr>
        <w:t>项目投资：</w:t>
      </w:r>
      <w:r>
        <w:rPr>
          <w:rFonts w:hint="eastAsia" w:cs="Times New Roman"/>
          <w:color w:val="auto"/>
          <w:sz w:val="24"/>
          <w:highlight w:val="none"/>
          <w:u w:val="none" w:color="auto"/>
          <w:lang w:val="en-US" w:eastAsia="zh-CN"/>
        </w:rPr>
        <w:t>985.88万元，全部为环保投资；</w:t>
      </w:r>
    </w:p>
    <w:p w14:paraId="1523D319">
      <w:pPr>
        <w:rPr>
          <w:rFonts w:hint="default" w:cs="Times New Roman"/>
          <w:b/>
          <w:bCs/>
          <w:color w:val="auto"/>
          <w:sz w:val="24"/>
          <w:highlight w:val="none"/>
          <w:u w:val="none" w:color="auto"/>
          <w:lang w:val="en-US" w:eastAsia="zh-CN"/>
        </w:rPr>
      </w:pPr>
      <w:r>
        <w:rPr>
          <w:rFonts w:hint="eastAsia" w:cs="Times New Roman"/>
          <w:b/>
          <w:bCs/>
          <w:color w:val="auto"/>
          <w:sz w:val="24"/>
          <w:highlight w:val="none"/>
          <w:u w:val="none" w:color="auto"/>
          <w:lang w:val="en-US" w:eastAsia="zh-CN"/>
        </w:rPr>
        <w:t>建设周期：</w:t>
      </w:r>
      <w:r>
        <w:rPr>
          <w:rFonts w:hint="eastAsia" w:cs="Times New Roman"/>
          <w:b w:val="0"/>
          <w:bCs w:val="0"/>
          <w:color w:val="auto"/>
          <w:sz w:val="24"/>
          <w:highlight w:val="none"/>
          <w:u w:val="none" w:color="auto"/>
          <w:lang w:val="en-US" w:eastAsia="zh-CN"/>
        </w:rPr>
        <w:t>6个月；</w:t>
      </w:r>
    </w:p>
    <w:p w14:paraId="279811AA">
      <w:pPr>
        <w:rPr>
          <w:rFonts w:hint="eastAsia" w:cs="Times New Roman"/>
          <w:color w:val="auto"/>
          <w:sz w:val="24"/>
          <w:highlight w:val="yellow"/>
          <w:u w:val="none" w:color="auto"/>
          <w:lang w:val="en-US" w:eastAsia="zh-CN"/>
        </w:rPr>
      </w:pPr>
      <w:r>
        <w:rPr>
          <w:rFonts w:hint="eastAsia" w:cs="Times New Roman"/>
          <w:b/>
          <w:bCs/>
          <w:color w:val="auto"/>
          <w:sz w:val="24"/>
          <w:highlight w:val="none"/>
          <w:u w:val="none" w:color="auto"/>
          <w:lang w:val="en-US" w:eastAsia="zh-CN"/>
        </w:rPr>
        <w:t>占地面积：</w:t>
      </w:r>
      <w:r>
        <w:rPr>
          <w:rFonts w:hint="eastAsia"/>
          <w:highlight w:val="none"/>
          <w:lang w:val="en-US" w:eastAsia="zh-CN"/>
        </w:rPr>
        <w:t>25814</w:t>
      </w:r>
      <w:r>
        <w:rPr>
          <w:rFonts w:hint="eastAsia"/>
          <w:highlight w:val="none"/>
        </w:rPr>
        <w:t>m</w:t>
      </w:r>
      <w:r>
        <w:rPr>
          <w:rFonts w:hint="eastAsia"/>
          <w:highlight w:val="none"/>
          <w:vertAlign w:val="superscript"/>
        </w:rPr>
        <w:t>2</w:t>
      </w:r>
      <w:r>
        <w:rPr>
          <w:rFonts w:hint="eastAsia"/>
          <w:highlight w:val="none"/>
        </w:rPr>
        <w:t>（废渣治理区</w:t>
      </w:r>
      <w:r>
        <w:rPr>
          <w:rFonts w:hint="eastAsia"/>
          <w:highlight w:val="none"/>
          <w:lang w:val="en-US" w:eastAsia="zh-CN"/>
        </w:rPr>
        <w:t>9010m</w:t>
      </w:r>
      <w:r>
        <w:rPr>
          <w:rFonts w:hint="eastAsia"/>
          <w:highlight w:val="none"/>
          <w:vertAlign w:val="superscript"/>
          <w:lang w:val="en-US" w:eastAsia="zh-CN"/>
        </w:rPr>
        <w:t>2</w:t>
      </w:r>
      <w:r>
        <w:rPr>
          <w:rFonts w:hint="eastAsia"/>
          <w:highlight w:val="none"/>
          <w:lang w:val="en-US" w:eastAsia="zh-CN"/>
        </w:rPr>
        <w:t>、</w:t>
      </w:r>
      <w:r>
        <w:rPr>
          <w:rFonts w:hint="eastAsia"/>
          <w:highlight w:val="none"/>
        </w:rPr>
        <w:t>废渣填埋场</w:t>
      </w:r>
      <w:r>
        <w:rPr>
          <w:rFonts w:hint="eastAsia"/>
          <w:highlight w:val="none"/>
          <w:lang w:val="en-US" w:eastAsia="zh-CN"/>
        </w:rPr>
        <w:t>7805</w:t>
      </w:r>
      <w:r>
        <w:rPr>
          <w:rFonts w:hint="eastAsia"/>
          <w:highlight w:val="none"/>
        </w:rPr>
        <w:t>m</w:t>
      </w:r>
      <w:r>
        <w:rPr>
          <w:rFonts w:hint="eastAsia"/>
          <w:highlight w:val="none"/>
          <w:vertAlign w:val="superscript"/>
        </w:rPr>
        <w:t>2</w:t>
      </w:r>
      <w:r>
        <w:rPr>
          <w:rFonts w:hint="eastAsia"/>
          <w:highlight w:val="none"/>
        </w:rPr>
        <w:t>、取土场</w:t>
      </w:r>
      <w:r>
        <w:rPr>
          <w:rFonts w:hint="eastAsia"/>
          <w:highlight w:val="none"/>
          <w:lang w:val="en-US" w:eastAsia="zh-CN"/>
        </w:rPr>
        <w:t>3668</w:t>
      </w:r>
      <w:r>
        <w:rPr>
          <w:rFonts w:hint="eastAsia"/>
          <w:highlight w:val="none"/>
        </w:rPr>
        <w:t>m</w:t>
      </w:r>
      <w:r>
        <w:rPr>
          <w:rFonts w:hint="eastAsia"/>
          <w:highlight w:val="none"/>
          <w:vertAlign w:val="superscript"/>
        </w:rPr>
        <w:t>2</w:t>
      </w:r>
      <w:r>
        <w:rPr>
          <w:rFonts w:hint="eastAsia"/>
          <w:highlight w:val="none"/>
          <w:vertAlign w:val="baseline"/>
          <w:lang w:eastAsia="zh-CN"/>
        </w:rPr>
        <w:t>、</w:t>
      </w:r>
      <w:r>
        <w:rPr>
          <w:rFonts w:hint="eastAsia"/>
          <w:highlight w:val="none"/>
          <w:vertAlign w:val="baseline"/>
          <w:lang w:val="en-US" w:eastAsia="zh-CN"/>
        </w:rPr>
        <w:t>临时道路5331m</w:t>
      </w:r>
      <w:r>
        <w:rPr>
          <w:rFonts w:hint="eastAsia"/>
          <w:highlight w:val="none"/>
          <w:vertAlign w:val="superscript"/>
          <w:lang w:val="en-US" w:eastAsia="zh-CN"/>
        </w:rPr>
        <w:t>2</w:t>
      </w:r>
      <w:r>
        <w:rPr>
          <w:rFonts w:hint="eastAsia"/>
          <w:highlight w:val="none"/>
        </w:rPr>
        <w:t>）</w:t>
      </w:r>
      <w:r>
        <w:rPr>
          <w:rFonts w:hint="eastAsia" w:cs="Times New Roman"/>
          <w:color w:val="auto"/>
          <w:sz w:val="24"/>
          <w:highlight w:val="none"/>
          <w:u w:val="none" w:color="auto"/>
          <w:lang w:val="en-US" w:eastAsia="zh-CN"/>
        </w:rPr>
        <w:t>。</w:t>
      </w:r>
    </w:p>
    <w:p w14:paraId="2F9630D4">
      <w:pPr>
        <w:pStyle w:val="9"/>
        <w:numPr>
          <w:ilvl w:val="2"/>
          <w:numId w:val="1"/>
        </w:numPr>
        <w:bidi w:val="0"/>
        <w:ind w:left="709" w:leftChars="0" w:hanging="709" w:firstLineChars="0"/>
        <w:rPr>
          <w:rFonts w:hint="default"/>
          <w:highlight w:val="none"/>
          <w:lang w:val="en-US" w:eastAsia="zh-CN"/>
        </w:rPr>
      </w:pPr>
      <w:r>
        <w:rPr>
          <w:rFonts w:hint="eastAsia"/>
          <w:highlight w:val="none"/>
          <w:lang w:val="en-US" w:eastAsia="zh-CN"/>
        </w:rPr>
        <w:t>环境质量现状评价结论</w:t>
      </w:r>
    </w:p>
    <w:p w14:paraId="7C4903B6">
      <w:pPr>
        <w:rPr>
          <w:rFonts w:hint="default"/>
          <w:b/>
          <w:bCs/>
          <w:highlight w:val="none"/>
          <w:lang w:val="en-US" w:eastAsia="zh-CN"/>
        </w:rPr>
      </w:pPr>
      <w:r>
        <w:rPr>
          <w:rFonts w:hint="eastAsia"/>
          <w:b/>
          <w:bCs/>
          <w:highlight w:val="none"/>
          <w:lang w:val="en-US" w:eastAsia="zh-CN"/>
        </w:rPr>
        <w:t>（1）环境空气</w:t>
      </w:r>
    </w:p>
    <w:p w14:paraId="0C8187DC">
      <w:pPr>
        <w:rPr>
          <w:rFonts w:hint="eastAsia"/>
          <w:highlight w:val="none"/>
          <w:lang w:val="en-US" w:eastAsia="zh-CN"/>
        </w:rPr>
      </w:pPr>
      <w:r>
        <w:rPr>
          <w:rFonts w:hint="eastAsia"/>
          <w:highlight w:val="none"/>
          <w:lang w:val="en-US" w:eastAsia="zh-CN"/>
        </w:rPr>
        <w:t>2024年岳阳市平江县六项基本污染物</w:t>
      </w:r>
      <w:r>
        <w:rPr>
          <w:rFonts w:hint="eastAsia"/>
          <w:highlight w:val="none"/>
          <w:u w:val="none"/>
          <w:lang w:val="en-US" w:eastAsia="zh-CN"/>
        </w:rPr>
        <w:t>PM</w:t>
      </w:r>
      <w:r>
        <w:rPr>
          <w:rFonts w:hint="eastAsia"/>
          <w:highlight w:val="none"/>
          <w:u w:val="none"/>
          <w:vertAlign w:val="subscript"/>
          <w:lang w:val="en-US" w:eastAsia="zh-CN"/>
        </w:rPr>
        <w:t>2.5</w:t>
      </w:r>
      <w:r>
        <w:rPr>
          <w:rFonts w:hint="eastAsia"/>
          <w:highlight w:val="none"/>
          <w:u w:val="none"/>
          <w:lang w:val="en-US" w:eastAsia="zh-CN"/>
        </w:rPr>
        <w:t>、PM</w:t>
      </w:r>
      <w:r>
        <w:rPr>
          <w:rFonts w:hint="eastAsia"/>
          <w:highlight w:val="none"/>
          <w:u w:val="none"/>
          <w:vertAlign w:val="subscript"/>
          <w:lang w:val="en-US" w:eastAsia="zh-CN"/>
        </w:rPr>
        <w:t>10</w:t>
      </w:r>
      <w:r>
        <w:rPr>
          <w:rFonts w:hint="eastAsia"/>
          <w:highlight w:val="none"/>
          <w:u w:val="none"/>
          <w:lang w:val="en-US" w:eastAsia="zh-CN"/>
        </w:rPr>
        <w:t>、SO</w:t>
      </w:r>
      <w:r>
        <w:rPr>
          <w:rFonts w:hint="eastAsia"/>
          <w:highlight w:val="none"/>
          <w:u w:val="none"/>
          <w:vertAlign w:val="subscript"/>
          <w:lang w:val="en-US" w:eastAsia="zh-CN"/>
        </w:rPr>
        <w:t>2</w:t>
      </w:r>
      <w:r>
        <w:rPr>
          <w:rFonts w:hint="eastAsia"/>
          <w:highlight w:val="none"/>
          <w:u w:val="none"/>
          <w:lang w:val="en-US" w:eastAsia="zh-CN"/>
        </w:rPr>
        <w:t>、NO</w:t>
      </w:r>
      <w:r>
        <w:rPr>
          <w:rFonts w:hint="eastAsia"/>
          <w:highlight w:val="none"/>
          <w:u w:val="none"/>
          <w:vertAlign w:val="subscript"/>
          <w:lang w:val="en-US" w:eastAsia="zh-CN"/>
        </w:rPr>
        <w:t>2</w:t>
      </w:r>
      <w:r>
        <w:rPr>
          <w:rFonts w:hint="eastAsia"/>
          <w:highlight w:val="none"/>
          <w:u w:val="none"/>
          <w:lang w:val="en-US" w:eastAsia="zh-CN"/>
        </w:rPr>
        <w:t>、O</w:t>
      </w:r>
      <w:r>
        <w:rPr>
          <w:rFonts w:hint="eastAsia"/>
          <w:highlight w:val="none"/>
          <w:u w:val="none"/>
          <w:vertAlign w:val="subscript"/>
          <w:lang w:val="en-US" w:eastAsia="zh-CN"/>
        </w:rPr>
        <w:t>3</w:t>
      </w:r>
      <w:r>
        <w:rPr>
          <w:rFonts w:hint="eastAsia"/>
          <w:highlight w:val="none"/>
          <w:u w:val="none"/>
          <w:lang w:val="en-US" w:eastAsia="zh-CN"/>
        </w:rPr>
        <w:t>、CO年平均浓度值符合《环境空气质量标准》（GB3095-2012）中二级标准要求。根据《环境影响评价技术导则  大气环境》（HJ2.2-2018）中“6.4.1.1城市环境空气质量达标情况评价指标为二氧化硫、二氧化氮、可吸入粉尘、细粉尘、一氧化碳和臭氧，六项污染物全部达标即为城市环境空气质量达标”，可判定本项目所在区域2024年属于达标区</w:t>
      </w:r>
    </w:p>
    <w:p w14:paraId="2D034489">
      <w:pPr>
        <w:rPr>
          <w:rFonts w:hint="eastAsia"/>
          <w:highlight w:val="none"/>
          <w:lang w:val="en-US" w:eastAsia="zh-CN"/>
        </w:rPr>
      </w:pPr>
      <w:r>
        <w:rPr>
          <w:rFonts w:hint="eastAsia"/>
          <w:highlight w:val="none"/>
          <w:lang w:val="en-US" w:eastAsia="zh-CN"/>
        </w:rPr>
        <w:t>根据环境质量补充监测，监测点的TSP满足</w:t>
      </w:r>
      <w:r>
        <w:rPr>
          <w:rFonts w:hint="eastAsia"/>
          <w:highlight w:val="none"/>
          <w:u w:val="none" w:color="auto"/>
          <w:lang w:val="en-US" w:eastAsia="zh-CN"/>
        </w:rPr>
        <w:t>《环境空气质量标准》（GB3095-2012）中标准限值</w:t>
      </w:r>
      <w:r>
        <w:rPr>
          <w:rFonts w:hint="eastAsia"/>
          <w:highlight w:val="none"/>
          <w:lang w:val="en-US" w:eastAsia="zh-CN"/>
        </w:rPr>
        <w:t>。</w:t>
      </w:r>
    </w:p>
    <w:p w14:paraId="7E8A1668">
      <w:pPr>
        <w:rPr>
          <w:rFonts w:hint="default"/>
          <w:b/>
          <w:bCs/>
          <w:highlight w:val="none"/>
          <w:lang w:val="en-US" w:eastAsia="zh-CN"/>
        </w:rPr>
      </w:pPr>
      <w:r>
        <w:rPr>
          <w:rFonts w:hint="eastAsia"/>
          <w:b/>
          <w:bCs/>
          <w:highlight w:val="none"/>
          <w:lang w:val="en-US" w:eastAsia="zh-CN"/>
        </w:rPr>
        <w:t>（2）地表水</w:t>
      </w:r>
    </w:p>
    <w:p w14:paraId="0DEB983D">
      <w:pPr>
        <w:rPr>
          <w:rFonts w:hint="eastAsia" w:cs="Times New Roman"/>
          <w:highlight w:val="none"/>
          <w:lang w:val="en-US" w:eastAsia="zh-CN"/>
        </w:rPr>
      </w:pPr>
      <w:r>
        <w:rPr>
          <w:rFonts w:hint="eastAsia" w:cs="Times New Roman"/>
          <w:highlight w:val="none"/>
          <w:lang w:val="en-US" w:eastAsia="zh-CN"/>
        </w:rPr>
        <w:t>根据岳阳市生态环境局发布的2024年1月~12月岳阳市水环境质量报告中汨罗江各断面（加义、杨源洲、严家滩）水质状况报告，</w:t>
      </w:r>
      <w:r>
        <w:rPr>
          <w:rFonts w:hint="default" w:ascii="Times New Roman" w:hAnsi="Times New Roman" w:cs="Times New Roman"/>
          <w:highlight w:val="none"/>
          <w:lang w:val="en-US" w:eastAsia="zh-CN"/>
        </w:rPr>
        <w:t>2024年汨罗江各断面（加义、杨源洲、严家滩）地表水逐月水质均为《地表水环境质量标准》（GB3838-2002）的Ⅲ类及以上标准，区域地表水环境质量良好。</w:t>
      </w:r>
    </w:p>
    <w:p w14:paraId="3B1EA518">
      <w:pPr>
        <w:rPr>
          <w:rFonts w:hint="default"/>
          <w:b/>
          <w:bCs/>
          <w:highlight w:val="none"/>
          <w:lang w:val="en-US" w:eastAsia="zh-CN"/>
        </w:rPr>
      </w:pPr>
      <w:r>
        <w:rPr>
          <w:rFonts w:hint="eastAsia"/>
          <w:b/>
          <w:bCs/>
          <w:highlight w:val="none"/>
          <w:lang w:val="en-US" w:eastAsia="zh-CN"/>
        </w:rPr>
        <w:t>（3）地下水</w:t>
      </w:r>
    </w:p>
    <w:p w14:paraId="4D8EFDC7">
      <w:pPr>
        <w:rPr>
          <w:rFonts w:hint="eastAsia"/>
          <w:highlight w:val="none"/>
          <w:lang w:val="en-US" w:eastAsia="zh-CN"/>
        </w:rPr>
      </w:pPr>
      <w:r>
        <w:rPr>
          <w:rFonts w:hint="default" w:ascii="Times New Roman" w:hAnsi="Times New Roman" w:cs="Times New Roman"/>
          <w:highlight w:val="none"/>
          <w:lang w:val="en-US" w:eastAsia="zh-CN"/>
        </w:rPr>
        <w:t>本次环评在厂址</w:t>
      </w:r>
      <w:r>
        <w:rPr>
          <w:rFonts w:hint="eastAsia" w:cs="Times New Roman"/>
          <w:highlight w:val="none"/>
          <w:lang w:val="en-US" w:eastAsia="zh-CN"/>
        </w:rPr>
        <w:t>及其</w:t>
      </w:r>
      <w:r>
        <w:rPr>
          <w:rFonts w:hint="default" w:ascii="Times New Roman" w:hAnsi="Times New Roman" w:cs="Times New Roman"/>
          <w:highlight w:val="none"/>
          <w:lang w:val="en-US" w:eastAsia="zh-CN"/>
        </w:rPr>
        <w:t>周边布设了</w:t>
      </w:r>
      <w:r>
        <w:rPr>
          <w:rFonts w:hint="eastAsia" w:cs="Times New Roman"/>
          <w:highlight w:val="none"/>
          <w:lang w:val="en-US" w:eastAsia="zh-CN"/>
        </w:rPr>
        <w:t>5</w:t>
      </w:r>
      <w:r>
        <w:rPr>
          <w:rFonts w:hint="default" w:ascii="Times New Roman" w:hAnsi="Times New Roman" w:cs="Times New Roman"/>
          <w:highlight w:val="none"/>
          <w:lang w:val="en-US" w:eastAsia="zh-CN"/>
        </w:rPr>
        <w:t>个地下水监测点</w:t>
      </w:r>
      <w:r>
        <w:rPr>
          <w:rFonts w:hint="eastAsia" w:ascii="Times New Roman" w:hAnsi="Times New Roman" w:cs="Times New Roman"/>
          <w:highlight w:val="none"/>
          <w:lang w:val="en-US" w:eastAsia="zh-CN"/>
        </w:rPr>
        <w:t>，</w:t>
      </w:r>
      <w:r>
        <w:rPr>
          <w:rFonts w:hint="eastAsia"/>
          <w:highlight w:val="none"/>
          <w:lang w:val="en-US" w:eastAsia="zh-CN"/>
        </w:rPr>
        <w:t>根据现状监测数据结果分析得知，</w:t>
      </w:r>
      <w:r>
        <w:rPr>
          <w:rFonts w:hint="eastAsia" w:cs="Times New Roman"/>
          <w:highlight w:val="none"/>
          <w:lang w:val="en-US" w:eastAsia="zh-CN"/>
        </w:rPr>
        <w:t>除</w:t>
      </w:r>
      <w:r>
        <w:rPr>
          <w:rFonts w:hint="default" w:ascii="Times New Roman" w:hAnsi="Times New Roman" w:cs="Times New Roman"/>
          <w:highlight w:val="none"/>
          <w:lang w:val="en-US" w:eastAsia="zh-CN"/>
        </w:rPr>
        <w:t>D3</w:t>
      </w:r>
      <w:r>
        <w:rPr>
          <w:rFonts w:hint="eastAsia" w:cs="Times New Roman"/>
          <w:highlight w:val="none"/>
          <w:lang w:val="en-US" w:eastAsia="zh-CN"/>
        </w:rPr>
        <w:t>点位砷超过</w:t>
      </w:r>
      <w:r>
        <w:rPr>
          <w:rFonts w:hint="default" w:ascii="Times New Roman" w:hAnsi="Times New Roman" w:cs="Times New Roman"/>
          <w:highlight w:val="none"/>
          <w:lang w:val="en-US" w:eastAsia="zh-CN"/>
        </w:rPr>
        <w:t>《地下水质量标准》（GB/T14848-2017）中的Ⅲ类标准</w:t>
      </w:r>
      <w:r>
        <w:rPr>
          <w:rFonts w:hint="eastAsia" w:cs="Times New Roman"/>
          <w:highlight w:val="none"/>
          <w:lang w:val="en-US" w:eastAsia="zh-CN"/>
        </w:rPr>
        <w:t>外，其余</w:t>
      </w:r>
      <w:r>
        <w:rPr>
          <w:rFonts w:hint="default" w:ascii="Times New Roman" w:hAnsi="Times New Roman" w:cs="Times New Roman"/>
          <w:highlight w:val="none"/>
          <w:lang w:val="en-US" w:eastAsia="zh-CN"/>
        </w:rPr>
        <w:t>各监测点位</w:t>
      </w:r>
      <w:r>
        <w:rPr>
          <w:rFonts w:hint="eastAsia" w:cs="Times New Roman"/>
          <w:highlight w:val="none"/>
          <w:lang w:val="en-US" w:eastAsia="zh-CN"/>
        </w:rPr>
        <w:t>各</w:t>
      </w:r>
      <w:r>
        <w:rPr>
          <w:rFonts w:hint="default" w:ascii="Times New Roman" w:hAnsi="Times New Roman" w:cs="Times New Roman"/>
          <w:highlight w:val="none"/>
          <w:lang w:val="en-US" w:eastAsia="zh-CN"/>
        </w:rPr>
        <w:t>监测指标监测结果均未超过《地下水质量标准》（GB/T14848-2017）中的Ⅲ类标准</w:t>
      </w:r>
      <w:r>
        <w:rPr>
          <w:rFonts w:hint="eastAsia"/>
          <w:highlight w:val="none"/>
          <w:lang w:val="en-US" w:eastAsia="zh-CN"/>
        </w:rPr>
        <w:t>。</w:t>
      </w:r>
    </w:p>
    <w:p w14:paraId="4D60D17A">
      <w:pPr>
        <w:rPr>
          <w:rFonts w:hint="default"/>
          <w:b/>
          <w:bCs/>
          <w:highlight w:val="none"/>
          <w:lang w:val="en-US" w:eastAsia="zh-CN"/>
        </w:rPr>
      </w:pPr>
      <w:r>
        <w:rPr>
          <w:rFonts w:hint="eastAsia"/>
          <w:b/>
          <w:bCs/>
          <w:highlight w:val="none"/>
          <w:lang w:val="en-US" w:eastAsia="zh-CN"/>
        </w:rPr>
        <w:t>（4）土壤</w:t>
      </w:r>
    </w:p>
    <w:p w14:paraId="74A32290">
      <w:pPr>
        <w:bidi w:val="0"/>
        <w:rPr>
          <w:rFonts w:hint="eastAsia"/>
          <w:highlight w:val="none"/>
          <w:lang w:val="en-US" w:eastAsia="zh-CN"/>
        </w:rPr>
      </w:pPr>
      <w:r>
        <w:rPr>
          <w:rFonts w:hint="eastAsia"/>
          <w:highlight w:val="none"/>
          <w:lang w:val="en-US" w:eastAsia="zh-CN"/>
        </w:rPr>
        <w:t>本次评价在厂址内外共布设了6个土壤监测点，监测结果表明：厂址内外土壤监测点除砷土壤监测值存在不同程度的超过《土壤环境质量  建设用地土壤污染风险管控标准（试行）》（GB36600-2018）表1中第二类用地筛选值要求及《土壤环境质量标准  农用地土壤污染风险管控标准（试行）》（GB15618-2018）标准限值外，其余监测点位各监测因子监测值均满足《土壤环境质量  建设用地土壤污染风险管控标准（试行）》（GB36600-2018）表1中第二类用地筛选值要求及《土壤环境质量标准  农用地土壤污染风险管控标准（试行）》（GB15618-2018）标准限值。</w:t>
      </w:r>
    </w:p>
    <w:p w14:paraId="7B6E3231">
      <w:pPr>
        <w:rPr>
          <w:rFonts w:hint="default"/>
          <w:b/>
          <w:bCs/>
          <w:highlight w:val="none"/>
          <w:lang w:val="en-US" w:eastAsia="zh-CN"/>
        </w:rPr>
      </w:pPr>
      <w:r>
        <w:rPr>
          <w:rFonts w:hint="eastAsia"/>
          <w:b/>
          <w:bCs/>
          <w:highlight w:val="none"/>
          <w:lang w:val="en-US" w:eastAsia="zh-CN"/>
        </w:rPr>
        <w:t>（5）噪声</w:t>
      </w:r>
    </w:p>
    <w:p w14:paraId="505D4600">
      <w:pPr>
        <w:rPr>
          <w:rFonts w:hint="eastAsia"/>
          <w:highlight w:val="none"/>
          <w:lang w:val="en-US" w:eastAsia="zh-CN"/>
        </w:rPr>
      </w:pPr>
      <w:r>
        <w:rPr>
          <w:rFonts w:hint="eastAsia"/>
          <w:highlight w:val="none"/>
          <w:lang w:val="en-US" w:eastAsia="zh-CN"/>
        </w:rPr>
        <w:t>现状监测表明：项目厂界四周声环境质量都能满足《声环境质量标准》（GB3096-2008）1类标准要求。</w:t>
      </w:r>
    </w:p>
    <w:p w14:paraId="136DAE2F">
      <w:pPr>
        <w:pStyle w:val="9"/>
        <w:numPr>
          <w:ilvl w:val="2"/>
          <w:numId w:val="1"/>
        </w:numPr>
        <w:bidi w:val="0"/>
        <w:ind w:left="709" w:leftChars="0" w:hanging="709" w:firstLineChars="0"/>
        <w:rPr>
          <w:rFonts w:hint="default"/>
          <w:highlight w:val="none"/>
          <w:lang w:val="en-US" w:eastAsia="zh-CN"/>
        </w:rPr>
      </w:pPr>
      <w:r>
        <w:rPr>
          <w:rFonts w:hint="eastAsia"/>
          <w:highlight w:val="none"/>
          <w:lang w:val="en-US" w:eastAsia="zh-CN"/>
        </w:rPr>
        <w:t>施工期</w:t>
      </w:r>
      <w:r>
        <w:rPr>
          <w:rFonts w:hint="default"/>
          <w:highlight w:val="none"/>
          <w:lang w:val="en-US" w:eastAsia="zh-CN"/>
        </w:rPr>
        <w:t>环境影响评价结论</w:t>
      </w:r>
    </w:p>
    <w:p w14:paraId="38FD6BA1">
      <w:pPr>
        <w:pStyle w:val="10"/>
        <w:numPr>
          <w:ilvl w:val="3"/>
          <w:numId w:val="1"/>
        </w:numPr>
        <w:bidi w:val="0"/>
        <w:ind w:left="850" w:leftChars="0" w:hanging="850" w:firstLineChars="0"/>
        <w:rPr>
          <w:rFonts w:hint="default"/>
          <w:highlight w:val="none"/>
          <w:lang w:val="en-US" w:eastAsia="zh-CN"/>
        </w:rPr>
      </w:pPr>
      <w:r>
        <w:rPr>
          <w:rFonts w:hint="eastAsia"/>
          <w:highlight w:val="none"/>
          <w:lang w:val="en-US" w:eastAsia="zh-CN"/>
        </w:rPr>
        <w:t>大气环境</w:t>
      </w:r>
    </w:p>
    <w:p w14:paraId="671BEDE2">
      <w:pPr>
        <w:rPr>
          <w:rFonts w:hint="eastAsia"/>
          <w:highlight w:val="none"/>
          <w:lang w:val="en-US" w:eastAsia="zh-CN"/>
        </w:rPr>
      </w:pPr>
      <w:r>
        <w:rPr>
          <w:rFonts w:hint="eastAsia"/>
          <w:highlight w:val="none"/>
          <w:lang w:val="en-US" w:eastAsia="zh-CN"/>
        </w:rPr>
        <w:t>本工程气型污染物主要是施工期间的施工扬尘、运输车辆和施工机械设备运行产生的废气。</w:t>
      </w:r>
    </w:p>
    <w:p w14:paraId="2C003523">
      <w:pPr>
        <w:rPr>
          <w:rFonts w:hint="eastAsia"/>
          <w:highlight w:val="none"/>
          <w:lang w:val="en-US" w:eastAsia="zh-CN"/>
        </w:rPr>
      </w:pPr>
      <w:r>
        <w:rPr>
          <w:rFonts w:hint="eastAsia"/>
          <w:highlight w:val="none"/>
          <w:lang w:val="en-US" w:eastAsia="zh-CN"/>
        </w:rPr>
        <w:t>施工扬尘均以无组织形式排放。通过合理安排工期、避免大风天气施工，采取洒水抑尘等湿法作业，物料运输时采取密闭工具运输，及时清理运输车辆等措施来减少扬尘的产生量。</w:t>
      </w:r>
    </w:p>
    <w:p w14:paraId="48392B18">
      <w:pPr>
        <w:rPr>
          <w:rFonts w:hint="eastAsia"/>
          <w:highlight w:val="none"/>
          <w:lang w:val="en-US" w:eastAsia="zh-CN"/>
        </w:rPr>
      </w:pPr>
      <w:r>
        <w:rPr>
          <w:rFonts w:hint="eastAsia"/>
          <w:highlight w:val="none"/>
          <w:lang w:val="en-US" w:eastAsia="zh-CN"/>
        </w:rPr>
        <w:t>本工程施工过程用到的运输及施工机械，车辆在施工场地行驶中均会产生一定扬尘，它们以柴油为燃料，会产生一定量废气。施工设备废气排放须达到国家规定的排放限值要求，选用合格的燃油，加强维护保养等措施来减少废气的影响。施工车辆运输路线选择尽量避绕人口密集区、学校、医院等敏感点，对沿途环境空气的影响不大。</w:t>
      </w:r>
    </w:p>
    <w:p w14:paraId="3C46992F">
      <w:pPr>
        <w:pStyle w:val="10"/>
        <w:numPr>
          <w:ilvl w:val="3"/>
          <w:numId w:val="1"/>
        </w:numPr>
        <w:bidi w:val="0"/>
        <w:ind w:left="850" w:leftChars="0" w:hanging="850" w:firstLineChars="0"/>
        <w:rPr>
          <w:rFonts w:hint="default"/>
          <w:highlight w:val="none"/>
          <w:lang w:val="en-US" w:eastAsia="zh-CN"/>
        </w:rPr>
      </w:pPr>
      <w:r>
        <w:rPr>
          <w:rFonts w:hint="eastAsia"/>
          <w:highlight w:val="none"/>
          <w:lang w:val="en-US" w:eastAsia="zh-CN"/>
        </w:rPr>
        <w:t>水环境</w:t>
      </w:r>
    </w:p>
    <w:p w14:paraId="1F7EF6AF">
      <w:pPr>
        <w:rPr>
          <w:rFonts w:hint="eastAsia"/>
          <w:highlight w:val="none"/>
          <w:lang w:val="en-US" w:eastAsia="zh-CN"/>
        </w:rPr>
      </w:pPr>
      <w:r>
        <w:rPr>
          <w:rFonts w:hint="eastAsia"/>
          <w:highlight w:val="none"/>
          <w:lang w:val="en-US" w:eastAsia="zh-CN"/>
        </w:rPr>
        <w:t>本工程废水主要来自于施工期间产生的施工废水、施工人员的生活污水和渗滤液。</w:t>
      </w:r>
    </w:p>
    <w:p w14:paraId="7CBE030B">
      <w:pPr>
        <w:rPr>
          <w:rFonts w:hint="eastAsia"/>
          <w:highlight w:val="none"/>
          <w:lang w:val="en-US" w:eastAsia="zh-CN"/>
        </w:rPr>
      </w:pPr>
      <w:r>
        <w:rPr>
          <w:rFonts w:hint="eastAsia"/>
          <w:highlight w:val="none"/>
          <w:lang w:val="en-US" w:eastAsia="zh-CN"/>
        </w:rPr>
        <w:t>施工期生活污水经化粪池处理后用于周边农田林地施肥。</w:t>
      </w:r>
    </w:p>
    <w:p w14:paraId="297F777A">
      <w:pPr>
        <w:rPr>
          <w:rFonts w:hint="eastAsia"/>
          <w:highlight w:val="none"/>
          <w:lang w:val="en-US" w:eastAsia="zh-CN"/>
        </w:rPr>
      </w:pPr>
      <w:r>
        <w:rPr>
          <w:rFonts w:hint="eastAsia"/>
          <w:highlight w:val="none"/>
          <w:lang w:val="en-US" w:eastAsia="zh-CN"/>
        </w:rPr>
        <w:t>施工车辆冲洗在固定的洗车平台进行清洗。在项目地进出口设置洗车平台，洗车废水与雨季清挖过程中产生的淋溶水一并经一体化设施处理达标后用于洒水降尘，不外排。</w:t>
      </w:r>
    </w:p>
    <w:p w14:paraId="1356A078">
      <w:pPr>
        <w:rPr>
          <w:rFonts w:hint="default"/>
          <w:highlight w:val="none"/>
          <w:lang w:val="en-US" w:eastAsia="zh-CN"/>
        </w:rPr>
      </w:pPr>
      <w:r>
        <w:rPr>
          <w:rFonts w:hint="eastAsia"/>
          <w:highlight w:val="none"/>
          <w:lang w:val="en-US" w:eastAsia="zh-CN"/>
        </w:rPr>
        <w:t>施工期填埋场渗滤液采用一体化设备处理达到《污水综合排放标准》（GB8978-1996）中表1第一类污染物最高允许排放浓度及表4第二类污染物最高允许排放浓度一级标准后采用防腐、防漏的罐车收集运输至湖南黄金天岳矿业有限公司垂拱洞尾矿库废水处理站处置。</w:t>
      </w:r>
    </w:p>
    <w:p w14:paraId="0E90B3B1">
      <w:pPr>
        <w:rPr>
          <w:rFonts w:hint="eastAsia"/>
          <w:highlight w:val="none"/>
          <w:lang w:val="en-US" w:eastAsia="zh-CN"/>
        </w:rPr>
      </w:pPr>
      <w:r>
        <w:rPr>
          <w:rFonts w:hint="eastAsia"/>
          <w:highlight w:val="none"/>
          <w:lang w:val="en-US" w:eastAsia="zh-CN"/>
        </w:rPr>
        <w:t>综上，项目施工废水对地下水及地表水环境影响较小。</w:t>
      </w:r>
    </w:p>
    <w:p w14:paraId="50B7F908">
      <w:pPr>
        <w:pStyle w:val="10"/>
        <w:numPr>
          <w:ilvl w:val="3"/>
          <w:numId w:val="1"/>
        </w:numPr>
        <w:bidi w:val="0"/>
        <w:ind w:left="850" w:leftChars="0" w:hanging="850" w:firstLineChars="0"/>
        <w:rPr>
          <w:rFonts w:hint="default"/>
          <w:highlight w:val="none"/>
          <w:lang w:val="en-US" w:eastAsia="zh-CN"/>
        </w:rPr>
      </w:pPr>
      <w:r>
        <w:rPr>
          <w:rFonts w:hint="eastAsia"/>
          <w:highlight w:val="none"/>
          <w:lang w:val="en-US" w:eastAsia="zh-CN"/>
        </w:rPr>
        <w:t>声环境</w:t>
      </w:r>
    </w:p>
    <w:p w14:paraId="50CCC50C">
      <w:pPr>
        <w:rPr>
          <w:rFonts w:hint="eastAsia"/>
          <w:highlight w:val="none"/>
          <w:lang w:val="en-US" w:eastAsia="zh-CN"/>
        </w:rPr>
      </w:pPr>
      <w:r>
        <w:rPr>
          <w:rFonts w:hint="eastAsia"/>
          <w:highlight w:val="none"/>
          <w:lang w:val="en-US" w:eastAsia="zh-CN"/>
        </w:rPr>
        <w:t>本工程施工过程中使用各类施工机械设备，如挖掘机、推土机等产生的施工噪声，噪声值一般在78~90dB（A）之间，对高噪声设备进行减振降噪处理，合理布局，避免在周围居民休息期间作业等措施后，施工噪声对周围声环境敏感目标的影响不大。</w:t>
      </w:r>
    </w:p>
    <w:p w14:paraId="34BFAB0E">
      <w:pPr>
        <w:pStyle w:val="10"/>
        <w:numPr>
          <w:ilvl w:val="3"/>
          <w:numId w:val="1"/>
        </w:numPr>
        <w:bidi w:val="0"/>
        <w:ind w:left="850" w:leftChars="0" w:hanging="850" w:firstLineChars="0"/>
        <w:rPr>
          <w:rFonts w:hint="default"/>
          <w:highlight w:val="none"/>
          <w:lang w:val="en-US" w:eastAsia="zh-CN"/>
        </w:rPr>
      </w:pPr>
      <w:r>
        <w:rPr>
          <w:rFonts w:hint="eastAsia"/>
          <w:highlight w:val="none"/>
          <w:lang w:val="en-US" w:eastAsia="zh-CN"/>
        </w:rPr>
        <w:t>固体废物</w:t>
      </w:r>
    </w:p>
    <w:p w14:paraId="74E1A0A0">
      <w:pPr>
        <w:rPr>
          <w:rFonts w:hint="eastAsia"/>
          <w:highlight w:val="none"/>
          <w:lang w:val="en-US" w:eastAsia="zh-CN"/>
        </w:rPr>
      </w:pPr>
      <w:r>
        <w:rPr>
          <w:rFonts w:hint="eastAsia"/>
          <w:highlight w:val="none"/>
          <w:lang w:val="en-US" w:eastAsia="zh-CN"/>
        </w:rPr>
        <w:t>施工期固废主要为废渣区废渣、生活垃圾、废防渗材料、废包装袋、建筑垃圾、污水处理污泥等。</w:t>
      </w:r>
    </w:p>
    <w:p w14:paraId="63922EF5">
      <w:pPr>
        <w:rPr>
          <w:rFonts w:hint="eastAsia"/>
          <w:highlight w:val="none"/>
          <w:lang w:val="en-US" w:eastAsia="zh-CN"/>
        </w:rPr>
      </w:pPr>
      <w:r>
        <w:rPr>
          <w:rFonts w:hint="eastAsia"/>
          <w:highlight w:val="none"/>
          <w:lang w:val="en-US" w:eastAsia="zh-CN"/>
        </w:rPr>
        <w:t>遗留废渣及污水处理污泥清运至填埋场安全填埋。</w:t>
      </w:r>
    </w:p>
    <w:p w14:paraId="404AF144">
      <w:pPr>
        <w:rPr>
          <w:rFonts w:hint="eastAsia"/>
          <w:highlight w:val="none"/>
          <w:lang w:val="en-US" w:eastAsia="zh-CN"/>
        </w:rPr>
      </w:pPr>
      <w:r>
        <w:rPr>
          <w:rFonts w:hint="eastAsia"/>
          <w:highlight w:val="none"/>
          <w:lang w:val="en-US" w:eastAsia="zh-CN"/>
        </w:rPr>
        <w:t>施工人员的生活垃圾、废包装袋、废防渗材料、建筑垃圾委托当地环卫部门予以清运处理。</w:t>
      </w:r>
    </w:p>
    <w:p w14:paraId="4E7EF2AE">
      <w:pPr>
        <w:pStyle w:val="10"/>
        <w:numPr>
          <w:ilvl w:val="3"/>
          <w:numId w:val="1"/>
        </w:numPr>
        <w:bidi w:val="0"/>
        <w:ind w:left="850" w:leftChars="0" w:hanging="850" w:firstLineChars="0"/>
        <w:rPr>
          <w:rFonts w:hint="eastAsia"/>
          <w:lang w:val="en-US" w:eastAsia="zh-CN"/>
        </w:rPr>
      </w:pPr>
      <w:r>
        <w:rPr>
          <w:rFonts w:hint="eastAsia"/>
          <w:lang w:val="en-US" w:eastAsia="zh-CN"/>
        </w:rPr>
        <w:t>生态环境</w:t>
      </w:r>
    </w:p>
    <w:p w14:paraId="2564FE59">
      <w:pPr>
        <w:rPr>
          <w:rFonts w:hint="eastAsia"/>
          <w:highlight w:val="none"/>
          <w:lang w:val="en-US" w:eastAsia="zh-CN"/>
        </w:rPr>
      </w:pPr>
      <w:r>
        <w:rPr>
          <w:rFonts w:hint="eastAsia"/>
          <w:highlight w:val="none"/>
          <w:lang w:val="en-US" w:eastAsia="zh-CN"/>
        </w:rPr>
        <w:t>工程建设期间会对工程区域内的植被、陆生动物和土壤造成破坏，会造成生态系统破坏、水土流失等环境影响。但工程对生态系统的这种影响的范围是局部的，随着离施工区距离的增加，这种影响将逐渐降低。工程期造成的影响是暂时性的，在污染区覆土绿化后，随着植被逐渐恢复，植被覆盖率将明显增加，区域生态系统更加多样性和稳定。</w:t>
      </w:r>
    </w:p>
    <w:p w14:paraId="0E407C69">
      <w:pPr>
        <w:pStyle w:val="9"/>
        <w:numPr>
          <w:ilvl w:val="2"/>
          <w:numId w:val="1"/>
        </w:numPr>
        <w:bidi w:val="0"/>
        <w:ind w:left="709" w:leftChars="0" w:hanging="709" w:firstLineChars="0"/>
        <w:rPr>
          <w:rFonts w:hint="eastAsia"/>
          <w:highlight w:val="none"/>
          <w:lang w:val="en-US" w:eastAsia="zh-CN"/>
        </w:rPr>
      </w:pPr>
      <w:r>
        <w:rPr>
          <w:rFonts w:hint="eastAsia"/>
          <w:highlight w:val="none"/>
          <w:lang w:val="en-US" w:eastAsia="zh-CN"/>
        </w:rPr>
        <w:t>封场后环境影响评价结论</w:t>
      </w:r>
    </w:p>
    <w:p w14:paraId="3817472C">
      <w:pPr>
        <w:pStyle w:val="10"/>
        <w:numPr>
          <w:ilvl w:val="3"/>
          <w:numId w:val="1"/>
        </w:numPr>
        <w:bidi w:val="0"/>
        <w:ind w:left="850" w:leftChars="0" w:hanging="850" w:firstLineChars="0"/>
        <w:rPr>
          <w:rFonts w:hint="eastAsia"/>
          <w:lang w:val="en-US" w:eastAsia="zh-CN"/>
        </w:rPr>
      </w:pPr>
      <w:r>
        <w:rPr>
          <w:rFonts w:hint="eastAsia"/>
          <w:lang w:val="en-US" w:eastAsia="zh-CN"/>
        </w:rPr>
        <w:t>大气环境</w:t>
      </w:r>
    </w:p>
    <w:p w14:paraId="41901B41">
      <w:pPr>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项目填埋固废主要为金矿开采遗留废渣，属于一般</w:t>
      </w:r>
      <w:r>
        <w:rPr>
          <w:rFonts w:hint="default" w:ascii="Times New Roman" w:hAnsi="Times New Roman" w:eastAsia="宋体" w:cs="Times New Roman"/>
          <w:highlight w:val="none"/>
          <w:lang w:val="en-US" w:eastAsia="zh-CN"/>
        </w:rPr>
        <w:t>Ⅰ</w:t>
      </w:r>
      <w:r>
        <w:rPr>
          <w:rFonts w:hint="default" w:ascii="Times New Roman" w:hAnsi="Times New Roman" w:cs="Times New Roman"/>
          <w:highlight w:val="none"/>
          <w:lang w:val="en-US" w:eastAsia="zh-CN"/>
        </w:rPr>
        <w:t>类和Ⅱ类固体废物，填埋封场后不会产生废气。</w:t>
      </w:r>
    </w:p>
    <w:p w14:paraId="022BC7F3">
      <w:pPr>
        <w:pStyle w:val="10"/>
        <w:numPr>
          <w:ilvl w:val="3"/>
          <w:numId w:val="1"/>
        </w:numPr>
        <w:bidi w:val="0"/>
        <w:ind w:left="850" w:leftChars="0" w:hanging="850" w:firstLineChars="0"/>
        <w:rPr>
          <w:rFonts w:hint="eastAsia"/>
          <w:lang w:val="en-US" w:eastAsia="zh-CN"/>
        </w:rPr>
      </w:pPr>
      <w:r>
        <w:rPr>
          <w:rFonts w:hint="eastAsia"/>
          <w:lang w:val="en-US" w:eastAsia="zh-CN"/>
        </w:rPr>
        <w:t>地表水环境</w:t>
      </w:r>
    </w:p>
    <w:p w14:paraId="0A88F647">
      <w:pPr>
        <w:rPr>
          <w:rFonts w:hint="eastAsia"/>
          <w:highlight w:val="none"/>
          <w:lang w:val="en-US" w:eastAsia="zh-CN"/>
        </w:rPr>
      </w:pPr>
      <w:r>
        <w:rPr>
          <w:rFonts w:hint="eastAsia"/>
          <w:highlight w:val="none"/>
          <w:lang w:val="en-US" w:eastAsia="zh-CN"/>
        </w:rPr>
        <w:t>封场后废水污染源主要为固废填埋产生的渗滤液，采用一体化设备处理达到《污水综合排放标准》（GB8978-1996）中表1第一类污染物最高允许排放浓度及表4第二类污染物最高允许排放浓度一级标准后采用防腐、防漏的罐车收集运输至湖南黄金天岳矿业有限公司垂拱洞尾矿库废水处理站处置，对地表水环境影响很小。</w:t>
      </w:r>
    </w:p>
    <w:p w14:paraId="1896A831">
      <w:pPr>
        <w:pStyle w:val="10"/>
        <w:numPr>
          <w:ilvl w:val="3"/>
          <w:numId w:val="1"/>
        </w:numPr>
        <w:bidi w:val="0"/>
        <w:ind w:left="850" w:leftChars="0" w:hanging="850" w:firstLineChars="0"/>
        <w:rPr>
          <w:rFonts w:hint="eastAsia"/>
          <w:lang w:val="en-US" w:eastAsia="zh-CN"/>
        </w:rPr>
      </w:pPr>
      <w:r>
        <w:rPr>
          <w:rFonts w:hint="eastAsia"/>
          <w:lang w:val="en-US" w:eastAsia="zh-CN"/>
        </w:rPr>
        <w:t>土壤和地下水环境</w:t>
      </w:r>
    </w:p>
    <w:p w14:paraId="33A6F7E8">
      <w:pPr>
        <w:rPr>
          <w:rFonts w:hint="eastAsia"/>
          <w:highlight w:val="yellow"/>
          <w:lang w:val="en-US" w:eastAsia="zh-CN"/>
        </w:rPr>
      </w:pPr>
      <w:r>
        <w:rPr>
          <w:rFonts w:hint="eastAsia"/>
          <w:highlight w:val="none"/>
          <w:lang w:val="en-US" w:eastAsia="zh-CN"/>
        </w:rPr>
        <w:t>正常情况下，废渣填埋场做好防渗措施，渗滤液不会进入地下水环境，不会对地下水环境造成影响。在防渗膜破裂等非正常情况下，渗滤液渗漏，对局部地下水和土壤造成影响，但只要做好防渗、监测等措施，渗滤液对地下水及土壤环境影响较小。</w:t>
      </w:r>
    </w:p>
    <w:p w14:paraId="02B1C867">
      <w:pPr>
        <w:pStyle w:val="10"/>
        <w:numPr>
          <w:ilvl w:val="3"/>
          <w:numId w:val="1"/>
        </w:numPr>
        <w:bidi w:val="0"/>
        <w:ind w:left="850" w:leftChars="0" w:hanging="850" w:firstLineChars="0"/>
        <w:rPr>
          <w:rFonts w:hint="eastAsia"/>
          <w:lang w:val="en-US" w:eastAsia="zh-CN"/>
        </w:rPr>
      </w:pPr>
      <w:r>
        <w:rPr>
          <w:rFonts w:hint="eastAsia"/>
          <w:lang w:val="en-US" w:eastAsia="zh-CN"/>
        </w:rPr>
        <w:t>噪声环境</w:t>
      </w:r>
    </w:p>
    <w:p w14:paraId="6377E557">
      <w:pPr>
        <w:rPr>
          <w:rFonts w:hint="eastAsia"/>
          <w:highlight w:val="none"/>
          <w:lang w:val="en-US" w:eastAsia="zh-CN"/>
        </w:rPr>
      </w:pPr>
      <w:r>
        <w:rPr>
          <w:rFonts w:hint="eastAsia"/>
          <w:highlight w:val="none"/>
          <w:lang w:val="en-US" w:eastAsia="zh-CN"/>
        </w:rPr>
        <w:t>填埋场封场后无噪声源。</w:t>
      </w:r>
    </w:p>
    <w:p w14:paraId="1F6BC634">
      <w:pPr>
        <w:pStyle w:val="10"/>
        <w:numPr>
          <w:ilvl w:val="3"/>
          <w:numId w:val="1"/>
        </w:numPr>
        <w:bidi w:val="0"/>
        <w:ind w:left="850" w:leftChars="0" w:hanging="850" w:firstLineChars="0"/>
        <w:rPr>
          <w:rFonts w:hint="eastAsia"/>
          <w:lang w:val="en-US" w:eastAsia="zh-CN"/>
        </w:rPr>
      </w:pPr>
      <w:r>
        <w:rPr>
          <w:rFonts w:hint="eastAsia"/>
          <w:lang w:val="en-US" w:eastAsia="zh-CN"/>
        </w:rPr>
        <w:t>固体废物</w:t>
      </w:r>
    </w:p>
    <w:p w14:paraId="0ECC3513">
      <w:pPr>
        <w:rPr>
          <w:rFonts w:hint="eastAsia"/>
          <w:highlight w:val="none"/>
          <w:lang w:val="en-US" w:eastAsia="zh-CN"/>
        </w:rPr>
      </w:pPr>
      <w:r>
        <w:rPr>
          <w:rFonts w:hint="eastAsia"/>
          <w:highlight w:val="none"/>
          <w:lang w:val="en-US" w:eastAsia="zh-CN"/>
        </w:rPr>
        <w:t>本项目废渣填埋场渗滤液采用一体化废水处理设备处理，治理过程中会产生少量污泥，污泥属于一般固废，运往就近砖厂进行资源化利用。渗滤液的产生主要集中在废渣填埋前期（一般为废渣填埋后6个月内），后续在表面阻隔层无破损的情况下，废渣填埋场的渗滤液产生量不大，且呈逐步减少趋势，一定时间后，渗滤液的产生量会几乎为零，治理完成后不会产生固废。本项目固体废物均能得到妥善处置，项目固体废物妥善处置后对环境影响小，禁止将固废随意丢弃。</w:t>
      </w:r>
    </w:p>
    <w:p w14:paraId="293EB481">
      <w:pPr>
        <w:pStyle w:val="10"/>
        <w:numPr>
          <w:ilvl w:val="3"/>
          <w:numId w:val="1"/>
        </w:numPr>
        <w:bidi w:val="0"/>
        <w:ind w:left="850" w:leftChars="0" w:hanging="850" w:firstLineChars="0"/>
        <w:rPr>
          <w:rFonts w:hint="eastAsia"/>
          <w:lang w:val="en-US" w:eastAsia="zh-CN"/>
        </w:rPr>
      </w:pPr>
      <w:r>
        <w:rPr>
          <w:rFonts w:hint="eastAsia"/>
          <w:lang w:val="en-US" w:eastAsia="zh-CN"/>
        </w:rPr>
        <w:t>生态</w:t>
      </w:r>
    </w:p>
    <w:p w14:paraId="6DF3697D">
      <w:pPr>
        <w:rPr>
          <w:rFonts w:hint="eastAsia"/>
          <w:highlight w:val="none"/>
          <w:lang w:val="en-US" w:eastAsia="zh-CN"/>
        </w:rPr>
      </w:pPr>
      <w:r>
        <w:rPr>
          <w:rFonts w:hint="eastAsia"/>
          <w:highlight w:val="none"/>
          <w:lang w:val="en-US" w:eastAsia="zh-CN"/>
        </w:rPr>
        <w:t>随着填埋场封场后逐步稳定，绿化植被生长，生态恢复，为环境正效益。</w:t>
      </w:r>
    </w:p>
    <w:p w14:paraId="3946A540">
      <w:pPr>
        <w:pStyle w:val="9"/>
        <w:numPr>
          <w:ilvl w:val="2"/>
          <w:numId w:val="1"/>
        </w:numPr>
        <w:bidi w:val="0"/>
        <w:ind w:left="709" w:leftChars="0" w:hanging="709" w:firstLineChars="0"/>
        <w:rPr>
          <w:rFonts w:hint="eastAsia"/>
          <w:highlight w:val="none"/>
          <w:lang w:val="en-US" w:eastAsia="zh-CN"/>
        </w:rPr>
      </w:pPr>
      <w:r>
        <w:rPr>
          <w:rFonts w:hint="eastAsia"/>
          <w:highlight w:val="none"/>
          <w:lang w:val="en-US" w:eastAsia="zh-CN"/>
        </w:rPr>
        <w:t>环境影响经济损益分析结论</w:t>
      </w:r>
    </w:p>
    <w:p w14:paraId="75983343">
      <w:pPr>
        <w:rPr>
          <w:rFonts w:hint="eastAsia"/>
          <w:highlight w:val="none"/>
          <w:lang w:val="en-US" w:eastAsia="zh-CN"/>
        </w:rPr>
      </w:pPr>
      <w:r>
        <w:rPr>
          <w:rFonts w:hint="eastAsia"/>
          <w:highlight w:val="none"/>
          <w:lang w:val="en-US" w:eastAsia="zh-CN"/>
        </w:rPr>
        <w:t>本项目工程投产后产生良好的经济、环境、社会效益，虽然对当地环境产生一定影响，但影响不大，效益远远大于项目的环境成本，因此，本项目具有一定的环境经济可行性。</w:t>
      </w:r>
    </w:p>
    <w:p w14:paraId="293FAFA7">
      <w:pPr>
        <w:pStyle w:val="9"/>
        <w:numPr>
          <w:ilvl w:val="2"/>
          <w:numId w:val="1"/>
        </w:numPr>
        <w:bidi w:val="0"/>
        <w:ind w:left="709" w:leftChars="0" w:hanging="709" w:firstLineChars="0"/>
        <w:rPr>
          <w:rFonts w:hint="eastAsia"/>
          <w:highlight w:val="none"/>
          <w:lang w:val="en-US" w:eastAsia="zh-CN"/>
        </w:rPr>
      </w:pPr>
      <w:r>
        <w:rPr>
          <w:rFonts w:hint="eastAsia"/>
          <w:highlight w:val="none"/>
          <w:lang w:val="en-US" w:eastAsia="zh-CN"/>
        </w:rPr>
        <w:t>环境保护管理与监测计划</w:t>
      </w:r>
    </w:p>
    <w:p w14:paraId="03EC58EE">
      <w:pPr>
        <w:rPr>
          <w:rFonts w:hint="eastAsia"/>
          <w:highlight w:val="none"/>
          <w:lang w:val="en-US" w:eastAsia="zh-CN"/>
        </w:rPr>
      </w:pPr>
      <w:r>
        <w:rPr>
          <w:rFonts w:hint="eastAsia"/>
          <w:highlight w:val="none"/>
          <w:lang w:val="en-US" w:eastAsia="zh-CN"/>
        </w:rPr>
        <w:t>项目应从控制污染、保护和改善环境的角度出发，根据项目的工程特点、排污状况以及针对不利环境的因素所采取的措施，制定确保环保措施能够落实的环境监测计划并加以执行。环境监测计划的实施，使项目在施工期和封场后的各种环境问题及时被发现并加以解决，保证环境质量不致下降。</w:t>
      </w:r>
    </w:p>
    <w:p w14:paraId="0CD6A35E">
      <w:pPr>
        <w:pStyle w:val="9"/>
        <w:numPr>
          <w:ilvl w:val="2"/>
          <w:numId w:val="1"/>
        </w:numPr>
        <w:bidi w:val="0"/>
        <w:ind w:left="709" w:leftChars="0" w:hanging="709" w:firstLineChars="0"/>
        <w:rPr>
          <w:rFonts w:hint="eastAsia"/>
          <w:highlight w:val="none"/>
          <w:lang w:val="en-US" w:eastAsia="zh-CN"/>
        </w:rPr>
      </w:pPr>
      <w:r>
        <w:rPr>
          <w:rFonts w:hint="eastAsia"/>
          <w:highlight w:val="none"/>
          <w:lang w:val="en-US" w:eastAsia="zh-CN"/>
        </w:rPr>
        <w:t>环境风险分析结论</w:t>
      </w:r>
    </w:p>
    <w:p w14:paraId="04B3219B">
      <w:pPr>
        <w:bidi w:val="0"/>
        <w:rPr>
          <w:rFonts w:hint="eastAsia"/>
          <w:highlight w:val="none"/>
          <w:lang w:val="en-US" w:eastAsia="zh-CN"/>
        </w:rPr>
      </w:pPr>
      <w:r>
        <w:rPr>
          <w:rFonts w:hint="eastAsia"/>
          <w:highlight w:val="none"/>
          <w:lang w:val="en-US" w:eastAsia="zh-CN"/>
        </w:rPr>
        <w:t>从风险控制的角度来评价，建设单位在严格按照要求做好防渗设施，完善各项规章制度管理和工序操作外，制定详细的环境风险事故预防措施和紧急应变事故处置方案，能大大减小事故发生概率和事故发生后能及时采取有利措施，减小对环境污染。本工程在严格实施各项规章制度，在确保环境风险防范措施落实的基础上，其潜在的环境风险事故是可控的</w:t>
      </w:r>
    </w:p>
    <w:p w14:paraId="2DFE0038">
      <w:pPr>
        <w:pStyle w:val="9"/>
        <w:numPr>
          <w:ilvl w:val="2"/>
          <w:numId w:val="1"/>
        </w:numPr>
        <w:bidi w:val="0"/>
        <w:ind w:left="709" w:leftChars="0" w:hanging="709" w:firstLineChars="0"/>
        <w:rPr>
          <w:rFonts w:hint="default"/>
          <w:highlight w:val="none"/>
          <w:lang w:val="en-US" w:eastAsia="zh-CN"/>
        </w:rPr>
      </w:pPr>
      <w:r>
        <w:rPr>
          <w:rFonts w:hint="eastAsia"/>
          <w:highlight w:val="none"/>
          <w:lang w:val="en-US" w:eastAsia="zh-CN"/>
        </w:rPr>
        <w:t>公众参与结论</w:t>
      </w:r>
    </w:p>
    <w:p w14:paraId="458E5DEA">
      <w:pPr>
        <w:rPr>
          <w:rFonts w:hint="eastAsia"/>
          <w:highlight w:val="none"/>
          <w:lang w:val="en-US" w:eastAsia="zh-CN"/>
        </w:rPr>
      </w:pPr>
      <w:r>
        <w:rPr>
          <w:rFonts w:hint="eastAsia"/>
          <w:highlight w:val="none"/>
          <w:lang w:val="en-US" w:eastAsia="zh-CN"/>
        </w:rPr>
        <w:t>根据建设单位提供资料，本次公众参与过程采用网上公示、报纸公示、粘贴公告等形式，未收到公众和单位的反馈意见。</w:t>
      </w:r>
    </w:p>
    <w:p w14:paraId="3E0D2CE8">
      <w:pPr>
        <w:pStyle w:val="9"/>
        <w:numPr>
          <w:ilvl w:val="2"/>
          <w:numId w:val="1"/>
        </w:numPr>
        <w:bidi w:val="0"/>
        <w:ind w:left="709" w:leftChars="0" w:hanging="709" w:firstLineChars="0"/>
        <w:rPr>
          <w:rFonts w:hint="default"/>
          <w:highlight w:val="none"/>
          <w:lang w:val="en-US" w:eastAsia="zh-CN"/>
        </w:rPr>
      </w:pPr>
      <w:r>
        <w:rPr>
          <w:rFonts w:hint="eastAsia"/>
          <w:highlight w:val="none"/>
          <w:lang w:val="en-US" w:eastAsia="zh-CN"/>
        </w:rPr>
        <w:t>综合结论</w:t>
      </w:r>
    </w:p>
    <w:p w14:paraId="163E5C0D">
      <w:pPr>
        <w:rPr>
          <w:rFonts w:hint="eastAsia"/>
          <w:highlight w:val="none"/>
          <w:lang w:val="en-US" w:eastAsia="zh-CN"/>
        </w:rPr>
      </w:pPr>
      <w:r>
        <w:rPr>
          <w:rFonts w:hint="eastAsia"/>
          <w:highlight w:val="none"/>
          <w:lang w:val="en-US" w:eastAsia="zh-CN"/>
        </w:rPr>
        <w:t>本项目建设符合当前国家产业政策，符合“三线一单”的要求，选址合理；本项目实施后社会效益明显、经济效益良好，建设项目所排放的污染物采取了有效的污染控制措施，污染物能达标排放。预测表明对评价区的水、气、声环境影响较小，不会降低项目所在地的环境质量。建设单位在认真落实相关污染防治措施要求后，从环境保护角度分析，本项目建设是可行的。</w:t>
      </w:r>
    </w:p>
    <w:p w14:paraId="2CC28581">
      <w:pPr>
        <w:pStyle w:val="8"/>
        <w:numPr>
          <w:ilvl w:val="1"/>
          <w:numId w:val="1"/>
        </w:numPr>
        <w:tabs>
          <w:tab w:val="clear" w:pos="420"/>
        </w:tabs>
        <w:bidi w:val="0"/>
        <w:ind w:left="567" w:leftChars="0" w:hanging="567" w:firstLineChars="0"/>
        <w:rPr>
          <w:rFonts w:hint="default"/>
          <w:highlight w:val="none"/>
          <w:lang w:val="en-US" w:eastAsia="zh-CN"/>
        </w:rPr>
      </w:pPr>
      <w:bookmarkStart w:id="132" w:name="_Toc7230"/>
      <w:bookmarkStart w:id="133" w:name="_Toc2015"/>
      <w:r>
        <w:rPr>
          <w:rFonts w:hint="eastAsia"/>
          <w:highlight w:val="none"/>
          <w:lang w:val="en-US" w:eastAsia="zh-CN"/>
        </w:rPr>
        <w:t>建议</w:t>
      </w:r>
      <w:bookmarkEnd w:id="132"/>
      <w:bookmarkEnd w:id="133"/>
    </w:p>
    <w:p w14:paraId="4AAFC7AA">
      <w:pPr>
        <w:bidi w:val="0"/>
        <w:rPr>
          <w:rFonts w:hint="eastAsia"/>
          <w:highlight w:val="none"/>
          <w:lang w:val="en-US" w:eastAsia="zh-CN"/>
        </w:rPr>
      </w:pPr>
      <w:r>
        <w:rPr>
          <w:rFonts w:hint="eastAsia"/>
          <w:highlight w:val="none"/>
          <w:lang w:val="en-US" w:eastAsia="zh-CN"/>
        </w:rPr>
        <w:t>（1）项目施工必须由具备相关资质的单位承担。在项目建设和封场后管理中，建设单位须严格落实本环评文件要求，加强工程监理。</w:t>
      </w:r>
    </w:p>
    <w:p w14:paraId="16A83717">
      <w:pPr>
        <w:bidi w:val="0"/>
        <w:rPr>
          <w:rFonts w:hint="eastAsia"/>
          <w:highlight w:val="none"/>
          <w:lang w:val="en-US" w:eastAsia="zh-CN"/>
        </w:rPr>
      </w:pPr>
      <w:r>
        <w:rPr>
          <w:rFonts w:hint="eastAsia"/>
          <w:highlight w:val="none"/>
          <w:lang w:val="en-US" w:eastAsia="zh-CN"/>
        </w:rPr>
        <w:t>（2）合理安排施工期，严格控制雨季施工作业，禁止暴雨天气开挖、清运等施工作业；做好防漏、防渗、遮挡和拦挡措施，严格按照工程规范对废渣实施清理、运输及处置，明确治理范围，进行彻底全面的清理。</w:t>
      </w:r>
    </w:p>
    <w:p w14:paraId="743B7E9B">
      <w:pPr>
        <w:bidi w:val="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（3）工程建设时，必须委托有资质的单位实施施工期环境监理；严格按照相关标准和规范的要求，做好填埋区底部和边坡防渗；严禁将危险废物、生活垃圾送至本项目建设的一般Ⅱ类固废</w:t>
      </w:r>
      <w:r>
        <w:rPr>
          <w:rFonts w:hint="eastAsia" w:ascii="Times New Roman" w:hAnsi="Times New Roman" w:cs="Times New Roman"/>
          <w:highlight w:val="none"/>
          <w:lang w:val="en-US" w:eastAsia="zh-CN"/>
        </w:rPr>
        <w:t>填埋场</w:t>
      </w:r>
      <w:r>
        <w:rPr>
          <w:rFonts w:hint="default" w:ascii="Times New Roman" w:hAnsi="Times New Roman" w:cs="Times New Roman"/>
          <w:highlight w:val="none"/>
          <w:lang w:val="en-US" w:eastAsia="zh-CN"/>
        </w:rPr>
        <w:t>填埋。</w:t>
      </w:r>
    </w:p>
    <w:p w14:paraId="2E78F1D0">
      <w:pPr>
        <w:bidi w:val="0"/>
        <w:rPr>
          <w:rFonts w:hint="eastAsia"/>
          <w:highlight w:val="none"/>
          <w:lang w:val="en-US" w:eastAsia="zh-CN"/>
        </w:rPr>
      </w:pPr>
      <w:r>
        <w:rPr>
          <w:rFonts w:hint="eastAsia"/>
          <w:highlight w:val="none"/>
          <w:lang w:val="en-US" w:eastAsia="zh-CN"/>
        </w:rPr>
        <w:t>（4）一般工业固体废物收集、运输、贮存应满足《一般工业固体废物贮存和填埋污染控制标准》（GB18599-2020）要求。</w:t>
      </w:r>
    </w:p>
    <w:p w14:paraId="4A0FD8D9">
      <w:pPr>
        <w:bidi w:val="0"/>
        <w:rPr>
          <w:rFonts w:hint="eastAsia"/>
          <w:highlight w:val="none"/>
          <w:lang w:val="en-US" w:eastAsia="zh-CN"/>
        </w:rPr>
      </w:pPr>
      <w:r>
        <w:rPr>
          <w:rFonts w:hint="eastAsia"/>
          <w:highlight w:val="none"/>
          <w:lang w:val="en-US" w:eastAsia="zh-CN"/>
        </w:rPr>
        <w:t>（5）制定施工期间和封场后的环境应急预案，落实各项环境风险防范措施，确保周边环境安全；完善监测方案，密切关注周边地表水、地下水及土壤环境质量变化，合理调整施工期和治理期施工污染防治措施，防止造成二次污染；加强环保设施运行管理与维护。</w:t>
      </w:r>
    </w:p>
    <w:p w14:paraId="59D7AA96">
      <w:pPr>
        <w:bidi w:val="0"/>
        <w:rPr>
          <w:rFonts w:hint="eastAsia"/>
          <w:highlight w:val="none"/>
          <w:lang w:val="en-US" w:eastAsia="zh-CN"/>
        </w:rPr>
      </w:pPr>
      <w:r>
        <w:rPr>
          <w:rFonts w:hint="eastAsia"/>
          <w:highlight w:val="none"/>
          <w:lang w:val="en-US" w:eastAsia="zh-CN"/>
        </w:rPr>
        <w:t>（6）加强跟踪监测，严格按照要求布设地下水监测井，对于地下水位进行动态观测，对于地下水质进行定期监测。</w:t>
      </w:r>
    </w:p>
    <w:p w14:paraId="6DAE23A6">
      <w:pPr>
        <w:bidi w:val="0"/>
        <w:rPr>
          <w:rFonts w:hint="eastAsia"/>
          <w:highlight w:val="none"/>
          <w:lang w:val="en-US" w:eastAsia="zh-CN"/>
        </w:rPr>
      </w:pPr>
      <w:r>
        <w:rPr>
          <w:rFonts w:hint="eastAsia"/>
          <w:highlight w:val="none"/>
          <w:lang w:val="en-US" w:eastAsia="zh-CN"/>
        </w:rPr>
        <w:t>（7）加强工程完工后对修建的排水沟、截洪沟、渗滤液收集池和绿化等的日常维护管理；制定渗滤液等转运台账。</w:t>
      </w:r>
    </w:p>
    <w:p w14:paraId="706A6248">
      <w:pPr>
        <w:bidi w:val="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（8）封场后一般Ⅱ类固废</w:t>
      </w:r>
      <w:r>
        <w:rPr>
          <w:rFonts w:hint="eastAsia" w:ascii="Times New Roman" w:hAnsi="Times New Roman" w:cs="Times New Roman"/>
          <w:highlight w:val="none"/>
          <w:lang w:val="en-US" w:eastAsia="zh-CN"/>
        </w:rPr>
        <w:t>填埋场</w:t>
      </w:r>
      <w:r>
        <w:rPr>
          <w:rFonts w:hint="default" w:ascii="Times New Roman" w:hAnsi="Times New Roman" w:cs="Times New Roman"/>
          <w:highlight w:val="none"/>
          <w:lang w:val="en-US" w:eastAsia="zh-CN"/>
        </w:rPr>
        <w:t>设立永久性标识，并标明封场时间；项目完工后的治理区未经设计论证和批准，不得重新启用或改作它用。</w:t>
      </w:r>
    </w:p>
    <w:p w14:paraId="47A0FB8A">
      <w:pPr>
        <w:bidi w:val="0"/>
        <w:rPr>
          <w:rFonts w:hint="eastAsia"/>
          <w:highlight w:val="none"/>
          <w:lang w:val="en-US" w:eastAsia="zh-CN"/>
        </w:rPr>
      </w:pPr>
      <w:r>
        <w:rPr>
          <w:rFonts w:hint="eastAsia"/>
          <w:highlight w:val="none"/>
          <w:lang w:val="en-US" w:eastAsia="zh-CN"/>
        </w:rPr>
        <w:t>（9）本工程必须严格执行工程竣工环保验收制度。</w:t>
      </w:r>
    </w:p>
    <w:p w14:paraId="5B121D9D">
      <w:pPr>
        <w:bidi w:val="0"/>
        <w:rPr>
          <w:rFonts w:hint="eastAsia"/>
          <w:highlight w:val="none"/>
          <w:lang w:val="en-US" w:eastAsia="zh-CN"/>
        </w:rPr>
      </w:pPr>
      <w:r>
        <w:rPr>
          <w:rFonts w:hint="eastAsia"/>
          <w:highlight w:val="none"/>
          <w:lang w:val="en-US" w:eastAsia="zh-CN"/>
        </w:rPr>
        <w:t>（10）严格执行环境监理制度，参照《环境监测分析方法》、《建设用地土壤污染风险管控和修复监测技术导则》等相关技术规范，并结合实际情况，进行监测布点，确保彻底对本项目区域内的废渣和污染土壤实施清理。</w:t>
      </w:r>
    </w:p>
    <w:p w14:paraId="36B2483C">
      <w:pPr>
        <w:bidi w:val="0"/>
        <w:rPr>
          <w:rFonts w:hint="eastAsia"/>
          <w:highlight w:val="none"/>
          <w:lang w:val="en-US" w:eastAsia="zh-CN"/>
        </w:rPr>
      </w:pPr>
      <w:r>
        <w:rPr>
          <w:rFonts w:hint="eastAsia"/>
          <w:highlight w:val="none"/>
          <w:lang w:val="en-US" w:eastAsia="zh-CN"/>
        </w:rPr>
        <w:t>（11）本评价要求施工开挖前应取得相关应急管理部门同意后方可动工。</w:t>
      </w:r>
    </w:p>
    <w:p w14:paraId="674CAABD">
      <w:pPr>
        <w:bidi w:val="0"/>
        <w:rPr>
          <w:rFonts w:hint="default"/>
          <w:highlight w:val="none"/>
          <w:lang w:val="en-US" w:eastAsia="zh-CN"/>
        </w:rPr>
      </w:pPr>
      <w:r>
        <w:rPr>
          <w:rFonts w:hint="eastAsia"/>
          <w:highlight w:val="none"/>
          <w:lang w:val="en-US" w:eastAsia="zh-CN"/>
        </w:rPr>
        <w:t>（12）在工程施工过程中，应注意对周围水环境、生态环境、大气环境、声环境的保护，尽量减轻工程施工对周边环境及当地居民生活的影响。</w:t>
      </w:r>
    </w:p>
    <w:sectPr>
      <w:pgSz w:w="11906" w:h="16838"/>
      <w:pgMar w:top="1417" w:right="1417" w:bottom="1417" w:left="1417" w:header="851" w:footer="992" w:gutter="0"/>
      <w:pgNumType w:fmt="decimal"/>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新宋体-18030">
    <w:altName w:val="宋体"/>
    <w:panose1 w:val="00000000000000000000"/>
    <w:charset w:val="00"/>
    <w:family w:val="auto"/>
    <w:pitch w:val="default"/>
    <w:sig w:usb0="00000000" w:usb1="00000000" w:usb2="00000000" w:usb3="00000000" w:csb0="00040001" w:csb1="00000000"/>
  </w:font>
  <w:font w:name="微软雅黑">
    <w:panose1 w:val="020B0503020204020204"/>
    <w:charset w:val="86"/>
    <w:family w:val="swiss"/>
    <w:pitch w:val="default"/>
    <w:sig w:usb0="80000287" w:usb1="2ACF3C50" w:usb2="00000016" w:usb3="00000000" w:csb0="0004001F" w:csb1="00000000"/>
  </w:font>
  <w:font w:name="等线">
    <w:panose1 w:val="02010600030101010101"/>
    <w:charset w:val="86"/>
    <w:family w:val="auto"/>
    <w:pitch w:val="default"/>
    <w:sig w:usb0="A00002BF" w:usb1="38CF7CFA" w:usb2="00000016" w:usb3="00000000" w:csb0="0004000F" w:csb1="00000000"/>
  </w:font>
  <w:font w:name="Microsoft JhengHei">
    <w:panose1 w:val="020B0604030504040204"/>
    <w:charset w:val="88"/>
    <w:family w:val="auto"/>
    <w:pitch w:val="default"/>
    <w:sig w:usb0="000002A7" w:usb1="28CF4400" w:usb2="00000016" w:usb3="00000000" w:csb0="00100009" w:csb1="00000000"/>
  </w:font>
  <w:font w:name="MS UI Gothic">
    <w:panose1 w:val="020B0600070205080204"/>
    <w:charset w:val="80"/>
    <w:family w:val="auto"/>
    <w:pitch w:val="default"/>
    <w:sig w:usb0="E00002FF" w:usb1="6AC7FDFB" w:usb2="08000012" w:usb3="00000000" w:csb0="4002009F" w:csb1="DFD70000"/>
  </w:font>
  <w:font w:name="Cambria Math">
    <w:panose1 w:val="02040503050406030204"/>
    <w:charset w:val="00"/>
    <w:family w:val="auto"/>
    <w:pitch w:val="default"/>
    <w:sig w:usb0="E00006FF" w:usb1="420024FF" w:usb2="02000000" w:usb3="00000000" w:csb0="2000019F" w:csb1="00000000"/>
  </w:font>
  <w:font w:name="TimesNewRomanPSMT">
    <w:altName w:val="Times New Roman"/>
    <w:panose1 w:val="00000000000000000000"/>
    <w:charset w:val="86"/>
    <w:family w:val="auto"/>
    <w:pitch w:val="default"/>
    <w:sig w:usb0="00000000" w:usb1="00000000" w:usb2="00000000" w:usb3="00000000" w:csb0="00040000" w:csb1="00000000"/>
  </w:font>
  <w:font w:name="MS PGothic">
    <w:panose1 w:val="020B0600070205080204"/>
    <w:charset w:val="80"/>
    <w:family w:val="auto"/>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EF7CBA">
    <w:pPr>
      <w:pStyle w:val="24"/>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989543">
    <w:pPr>
      <w:pStyle w:val="24"/>
      <w:jc w:val="both"/>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5BFE401">
                          <w:pPr>
                            <w:pStyle w:val="24"/>
                            <w:ind w:left="0" w:leftChars="0" w:firstLine="0" w:firstLineChars="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KVIPQyAgAAY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pUg9DICAABhBAAADgAAAAAAAAABACAAAAAfAQAAZHJzL2Uyb0RvYy54bWxQSwUG&#10;AAAAAAYABgBZAQAAwwUAAAAA&#10;">
              <v:fill on="f" focussize="0,0"/>
              <v:stroke on="f" weight="0.5pt"/>
              <v:imagedata o:title=""/>
              <o:lock v:ext="edit" aspectratio="f"/>
              <v:textbox inset="0mm,0mm,0mm,0mm" style="mso-fit-shape-to-text:t;">
                <w:txbxContent>
                  <w:p w14:paraId="05BFE401">
                    <w:pPr>
                      <w:pStyle w:val="24"/>
                      <w:ind w:left="0" w:leftChars="0" w:firstLine="0" w:firstLineChars="0"/>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E5E89F">
    <w:pPr>
      <w:pStyle w:val="24"/>
      <w:ind w:right="360" w:firstLine="360"/>
    </w:pPr>
    <w:r>
      <w:rPr>
        <w:sz w:val="18"/>
      </w:rPr>
      <mc:AlternateContent>
        <mc:Choice Requires="wps">
          <w:drawing>
            <wp:anchor distT="0" distB="0" distL="114300" distR="114300" simplePos="0" relativeHeight="251661312" behindDoc="0" locked="0" layoutInCell="1" allowOverlap="1">
              <wp:simplePos x="0" y="0"/>
              <wp:positionH relativeFrom="margin">
                <wp:posOffset>2791460</wp:posOffset>
              </wp:positionH>
              <wp:positionV relativeFrom="paragraph">
                <wp:posOffset>0</wp:posOffset>
              </wp:positionV>
              <wp:extent cx="26416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26416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AF6AEB2">
                          <w:pPr>
                            <w:pStyle w:val="24"/>
                            <w:ind w:left="0" w:leftChars="0" w:firstLine="0" w:firstLineChars="0"/>
                          </w:pPr>
                          <w:r>
                            <w:fldChar w:fldCharType="begin"/>
                          </w:r>
                          <w:r>
                            <w:instrText xml:space="preserve"> PAGE  \* MERGEFORMAT </w:instrText>
                          </w:r>
                          <w:r>
                            <w:fldChar w:fldCharType="separate"/>
                          </w:r>
                          <w:r>
                            <w:t>52</w:t>
                          </w:r>
                          <w:r>
                            <w:fldChar w:fldCharType="end"/>
                          </w:r>
                        </w:p>
                      </w:txbxContent>
                    </wps:txbx>
                    <wps:bodyPr rot="0" spcFirstLastPara="0" vertOverflow="overflow" horzOverflow="overflow" vert="horz" wrap="squar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219.8pt;margin-top:0pt;height:144pt;width:20.8pt;mso-position-horizontal-relative:margin;z-index:251661312;mso-width-relative:page;mso-height-relative:page;" filled="f" stroked="f" coordsize="21600,21600" o:gfxdata="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BUaHJk1wAAAAgBAAAPAAAAAAAAAAEAIAAAACIAAABkcnMvZG93bnJl&#10;di54bWxQSwECFAAUAAAACACHTuJA8cj4mzcCAABkBAAADgAAAAAAAAABACAAAAAmAQAAZHJzL2Uy&#10;b0RvYy54bWxQSwUGAAAAAAYABgBZAQAAzwUAAAAA&#10;">
              <v:fill on="f" focussize="0,0"/>
              <v:stroke on="f" weight="0.5pt"/>
              <v:imagedata o:title=""/>
              <o:lock v:ext="edit" aspectratio="f"/>
              <v:textbox inset="0mm,0mm,0mm,0mm" style="mso-fit-shape-to-text:t;">
                <w:txbxContent>
                  <w:p w14:paraId="0AF6AEB2">
                    <w:pPr>
                      <w:pStyle w:val="24"/>
                      <w:ind w:left="0" w:leftChars="0" w:firstLine="0" w:firstLineChars="0"/>
                    </w:pPr>
                    <w:r>
                      <w:fldChar w:fldCharType="begin"/>
                    </w:r>
                    <w:r>
                      <w:instrText xml:space="preserve"> PAGE  \* MERGEFORMAT </w:instrText>
                    </w:r>
                    <w:r>
                      <w:fldChar w:fldCharType="separate"/>
                    </w:r>
                    <w:r>
                      <w:t>52</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2119094"/>
    <w:multiLevelType w:val="multilevel"/>
    <w:tmpl w:val="82119094"/>
    <w:lvl w:ilvl="0" w:tentative="0">
      <w:start w:val="1"/>
      <w:numFmt w:val="decimal"/>
      <w:lvlText w:val="%1."/>
      <w:lvlJc w:val="left"/>
      <w:pPr>
        <w:ind w:left="425" w:hanging="425"/>
      </w:pPr>
      <w:rPr>
        <w:rFonts w:hint="default"/>
      </w:rPr>
    </w:lvl>
    <w:lvl w:ilvl="1" w:tentative="0">
      <w:start w:val="1"/>
      <w:numFmt w:val="decimal"/>
      <w:pStyle w:val="8"/>
      <w:suff w:val="space"/>
      <w:lvlText w:val="%1.%2"/>
      <w:lvlJc w:val="left"/>
      <w:pPr>
        <w:tabs>
          <w:tab w:val="left" w:pos="0"/>
        </w:tabs>
        <w:ind w:left="0" w:leftChars="0" w:firstLine="0" w:firstLineChars="0"/>
      </w:pPr>
      <w:rPr>
        <w:rFonts w:hint="default" w:ascii="Times New Roman" w:hAnsi="Times New Roman" w:eastAsia="宋体" w:cs="Times New Roman"/>
        <w:sz w:val="30"/>
        <w:szCs w:val="30"/>
      </w:rPr>
    </w:lvl>
    <w:lvl w:ilvl="2" w:tentative="0">
      <w:start w:val="1"/>
      <w:numFmt w:val="decimal"/>
      <w:lvlText w:val="%1.%2.%3"/>
      <w:lvlJc w:val="left"/>
      <w:pPr>
        <w:ind w:left="709" w:hanging="709"/>
      </w:pPr>
      <w:rPr>
        <w:rFonts w:hint="default" w:ascii="Times New Roman" w:hAnsi="Times New Roman" w:eastAsia="宋体" w:cs="Times New Roman"/>
        <w:sz w:val="28"/>
        <w:szCs w:val="28"/>
      </w:rPr>
    </w:lvl>
    <w:lvl w:ilvl="3" w:tentative="0">
      <w:start w:val="1"/>
      <w:numFmt w:val="decimal"/>
      <w:lvlText w:val="%1.%2.%3.%4."/>
      <w:lvlJc w:val="left"/>
      <w:pPr>
        <w:ind w:left="0" w:leftChars="0" w:firstLine="0" w:firstLineChars="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1">
    <w:nsid w:val="E8A6B2D9"/>
    <w:multiLevelType w:val="multilevel"/>
    <w:tmpl w:val="E8A6B2D9"/>
    <w:lvl w:ilvl="0" w:tentative="0">
      <w:start w:val="1"/>
      <w:numFmt w:val="decimal"/>
      <w:pStyle w:val="7"/>
      <w:isLgl/>
      <w:lvlText w:val="%1."/>
      <w:lvlJc w:val="left"/>
      <w:pPr>
        <w:tabs>
          <w:tab w:val="left" w:pos="0"/>
        </w:tabs>
        <w:ind w:left="0" w:leftChars="0" w:firstLine="0" w:firstLineChars="0"/>
      </w:pPr>
      <w:rPr>
        <w:rFonts w:hint="default" w:ascii="Times New Roman" w:hAnsi="Times New Roman" w:eastAsia="宋体" w:cs="Times New Roman"/>
        <w:sz w:val="36"/>
        <w:szCs w:val="36"/>
      </w:rPr>
    </w:lvl>
    <w:lvl w:ilvl="1" w:tentative="0">
      <w:start w:val="1"/>
      <w:numFmt w:val="decimal"/>
      <w:suff w:val="space"/>
      <w:lvlText w:val="%1.%2"/>
      <w:lvlJc w:val="left"/>
      <w:pPr>
        <w:tabs>
          <w:tab w:val="left" w:pos="420"/>
        </w:tabs>
        <w:ind w:left="567" w:hanging="567"/>
      </w:pPr>
      <w:rPr>
        <w:rFonts w:hint="default" w:ascii="Times New Roman" w:hAnsi="Times New Roman" w:eastAsia="宋体" w:cs="Times New Roman"/>
        <w:sz w:val="30"/>
        <w:szCs w:val="30"/>
      </w:rPr>
    </w:lvl>
    <w:lvl w:ilvl="2" w:tentative="0">
      <w:start w:val="1"/>
      <w:numFmt w:val="decimal"/>
      <w:lvlText w:val="%1.%2.%3"/>
      <w:lvlJc w:val="left"/>
      <w:pPr>
        <w:ind w:left="709" w:hanging="709"/>
      </w:pPr>
      <w:rPr>
        <w:rFonts w:hint="default" w:ascii="Times New Roman" w:hAnsi="Times New Roman" w:eastAsia="宋体" w:cs="Times New Roman"/>
        <w:sz w:val="28"/>
        <w:szCs w:val="28"/>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2">
    <w:nsid w:val="531A8B3C"/>
    <w:multiLevelType w:val="multilevel"/>
    <w:tmpl w:val="531A8B3C"/>
    <w:lvl w:ilvl="0" w:tentative="0">
      <w:start w:val="1"/>
      <w:numFmt w:val="decimal"/>
      <w:lvlText w:val="%1"/>
      <w:lvlJc w:val="left"/>
      <w:pPr>
        <w:tabs>
          <w:tab w:val="left" w:pos="5652"/>
        </w:tabs>
        <w:ind w:left="5652" w:hanging="432"/>
      </w:pPr>
      <w:rPr>
        <w:rFonts w:hint="default" w:ascii="Times New Roman" w:hAnsi="Times New Roman" w:cs="Times New Roman"/>
        <w:b w:val="0"/>
        <w:sz w:val="44"/>
        <w:szCs w:val="44"/>
      </w:rPr>
    </w:lvl>
    <w:lvl w:ilvl="1" w:tentative="0">
      <w:start w:val="1"/>
      <w:numFmt w:val="decimal"/>
      <w:lvlText w:val="%1.%2"/>
      <w:lvlJc w:val="left"/>
      <w:pPr>
        <w:tabs>
          <w:tab w:val="left" w:pos="576"/>
        </w:tabs>
        <w:ind w:left="1056" w:hanging="576"/>
      </w:pPr>
      <w:rPr>
        <w:rFonts w:hint="default" w:ascii="Times New Roman" w:hAnsi="Times New Roman" w:eastAsia="宋体" w:cs="Times New Roman"/>
        <w:b/>
        <w:bCs/>
        <w:i w:val="0"/>
        <w:sz w:val="28"/>
        <w:szCs w:val="28"/>
      </w:rPr>
    </w:lvl>
    <w:lvl w:ilvl="2" w:tentative="0">
      <w:start w:val="1"/>
      <w:numFmt w:val="decimal"/>
      <w:lvlText w:val="%1.%2.%3"/>
      <w:lvlJc w:val="left"/>
      <w:pPr>
        <w:tabs>
          <w:tab w:val="left" w:pos="900"/>
        </w:tabs>
        <w:ind w:left="900" w:hanging="720"/>
      </w:pPr>
      <w:rPr>
        <w:rFonts w:hint="eastAsia" w:ascii="Times New Roman" w:hAnsi="Times New Roman"/>
      </w:rPr>
    </w:lvl>
    <w:lvl w:ilvl="3" w:tentative="0">
      <w:start w:val="1"/>
      <w:numFmt w:val="decimal"/>
      <w:lvlText w:val="%1.%2.%3.%4"/>
      <w:lvlJc w:val="left"/>
      <w:pPr>
        <w:tabs>
          <w:tab w:val="left" w:pos="1404"/>
        </w:tabs>
        <w:ind w:left="1404" w:hanging="864"/>
      </w:pPr>
      <w:rPr>
        <w:rFonts w:hint="eastAsia"/>
      </w:rPr>
    </w:lvl>
    <w:lvl w:ilvl="4" w:tentative="0">
      <w:start w:val="1"/>
      <w:numFmt w:val="decimal"/>
      <w:pStyle w:val="11"/>
      <w:lvlText w:val="%1.%2.%3.%4.%5"/>
      <w:lvlJc w:val="left"/>
      <w:pPr>
        <w:tabs>
          <w:tab w:val="left" w:pos="828"/>
        </w:tabs>
        <w:ind w:left="828" w:hanging="1008"/>
      </w:pPr>
      <w:rPr>
        <w:rFonts w:hint="eastAsia"/>
      </w:rPr>
    </w:lvl>
    <w:lvl w:ilvl="5" w:tentative="0">
      <w:start w:val="1"/>
      <w:numFmt w:val="decimal"/>
      <w:lvlText w:val="%1.%2.%3.%4.%5.%6"/>
      <w:lvlJc w:val="left"/>
      <w:pPr>
        <w:tabs>
          <w:tab w:val="left" w:pos="972"/>
        </w:tabs>
        <w:ind w:left="972" w:hanging="1152"/>
      </w:pPr>
      <w:rPr>
        <w:rFonts w:hint="eastAsia"/>
      </w:rPr>
    </w:lvl>
    <w:lvl w:ilvl="6" w:tentative="0">
      <w:start w:val="1"/>
      <w:numFmt w:val="decimal"/>
      <w:lvlText w:val="%1.%2.%3.%4.%5.%6.%7"/>
      <w:lvlJc w:val="left"/>
      <w:pPr>
        <w:tabs>
          <w:tab w:val="left" w:pos="1116"/>
        </w:tabs>
        <w:ind w:left="1116" w:hanging="1296"/>
      </w:pPr>
      <w:rPr>
        <w:rFonts w:hint="eastAsia"/>
      </w:rPr>
    </w:lvl>
    <w:lvl w:ilvl="7" w:tentative="0">
      <w:start w:val="1"/>
      <w:numFmt w:val="decimal"/>
      <w:lvlText w:val="%1.%2.%3.%4.%5.%6.%7.%8"/>
      <w:lvlJc w:val="left"/>
      <w:pPr>
        <w:tabs>
          <w:tab w:val="left" w:pos="1260"/>
        </w:tabs>
        <w:ind w:left="1260" w:hanging="1440"/>
      </w:pPr>
      <w:rPr>
        <w:rFonts w:hint="eastAsia"/>
      </w:rPr>
    </w:lvl>
    <w:lvl w:ilvl="8" w:tentative="0">
      <w:start w:val="1"/>
      <w:numFmt w:val="decimal"/>
      <w:lvlText w:val="%1.%2.%3.%4.%5.%6.%7.%8.%9"/>
      <w:lvlJc w:val="left"/>
      <w:pPr>
        <w:tabs>
          <w:tab w:val="left" w:pos="1404"/>
        </w:tabs>
        <w:ind w:left="1404" w:hanging="1584"/>
      </w:pPr>
      <w:rPr>
        <w:rFonts w:hint="eastAsia"/>
      </w:rPr>
    </w:lvl>
  </w:abstractNum>
  <w:abstractNum w:abstractNumId="3">
    <w:nsid w:val="540AFBFE"/>
    <w:multiLevelType w:val="multilevel"/>
    <w:tmpl w:val="540AFBFE"/>
    <w:lvl w:ilvl="0" w:tentative="0">
      <w:start w:val="1"/>
      <w:numFmt w:val="decimal"/>
      <w:lvlText w:val="%1."/>
      <w:lvlJc w:val="left"/>
      <w:pPr>
        <w:ind w:left="425" w:hanging="425"/>
      </w:pPr>
      <w:rPr>
        <w:rFonts w:hint="default"/>
      </w:rPr>
    </w:lvl>
    <w:lvl w:ilvl="1" w:tentative="0">
      <w:start w:val="1"/>
      <w:numFmt w:val="decimal"/>
      <w:lvlText w:val="%1.%2."/>
      <w:lvlJc w:val="left"/>
      <w:pPr>
        <w:ind w:left="850" w:hanging="453"/>
      </w:pPr>
      <w:rPr>
        <w:rFonts w:hint="default"/>
      </w:rPr>
    </w:lvl>
    <w:lvl w:ilvl="2" w:tentative="0">
      <w:start w:val="1"/>
      <w:numFmt w:val="decimal"/>
      <w:pStyle w:val="9"/>
      <w:lvlText w:val="%1.%2.%3."/>
      <w:lvlJc w:val="left"/>
      <w:pPr>
        <w:ind w:left="1508" w:hanging="708"/>
      </w:pPr>
      <w:rPr>
        <w:rFonts w:hint="default"/>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rPr>
    </w:lvl>
  </w:abstractNum>
  <w:abstractNum w:abstractNumId="4">
    <w:nsid w:val="73377586"/>
    <w:multiLevelType w:val="multilevel"/>
    <w:tmpl w:val="73377586"/>
    <w:lvl w:ilvl="0" w:tentative="0">
      <w:start w:val="1"/>
      <w:numFmt w:val="decimal"/>
      <w:lvlText w:val="%1."/>
      <w:lvlJc w:val="left"/>
      <w:pPr>
        <w:ind w:left="432" w:hanging="432"/>
      </w:pPr>
      <w:rPr>
        <w:rFonts w:hint="default"/>
      </w:rPr>
    </w:lvl>
    <w:lvl w:ilvl="1" w:tentative="0">
      <w:start w:val="1"/>
      <w:numFmt w:val="decimal"/>
      <w:lvlText w:val="%1.%2."/>
      <w:lvlJc w:val="left"/>
      <w:pPr>
        <w:ind w:left="575" w:hanging="575"/>
      </w:pPr>
      <w:rPr>
        <w:rFonts w:hint="default"/>
      </w:rPr>
    </w:lvl>
    <w:lvl w:ilvl="2" w:tentative="0">
      <w:start w:val="1"/>
      <w:numFmt w:val="decimal"/>
      <w:lvlText w:val="%1.%2.%3."/>
      <w:lvlJc w:val="left"/>
      <w:pPr>
        <w:ind w:left="720" w:hanging="720"/>
      </w:pPr>
      <w:rPr>
        <w:rFonts w:hint="default"/>
      </w:rPr>
    </w:lvl>
    <w:lvl w:ilvl="3" w:tentative="0">
      <w:start w:val="1"/>
      <w:numFmt w:val="decimal"/>
      <w:lvlText w:val="%1.%2.%3.%4."/>
      <w:lvlJc w:val="left"/>
      <w:pPr>
        <w:ind w:left="1104" w:hanging="864"/>
      </w:pPr>
      <w:rPr>
        <w:rFonts w:hint="default"/>
      </w:rPr>
    </w:lvl>
    <w:lvl w:ilvl="4" w:tentative="0">
      <w:start w:val="1"/>
      <w:numFmt w:val="decimal"/>
      <w:lvlRestart w:val="2"/>
      <w:lvlText w:val="表%1.%2-%5"/>
      <w:lvlJc w:val="left"/>
      <w:pPr>
        <w:ind w:left="3168" w:hanging="1008"/>
      </w:pPr>
      <w:rPr>
        <w:rFonts w:hint="default"/>
      </w:rPr>
    </w:lvl>
    <w:lvl w:ilvl="5" w:tentative="0">
      <w:start w:val="1"/>
      <w:numFmt w:val="decimal"/>
      <w:lvlRestart w:val="2"/>
      <w:pStyle w:val="12"/>
      <w:lvlText w:val="图%1.%2-%6"/>
      <w:lvlJc w:val="left"/>
      <w:pPr>
        <w:ind w:left="1151" w:hanging="1151"/>
      </w:pPr>
      <w:rPr>
        <w:rFonts w:hint="default"/>
      </w:rPr>
    </w:lvl>
    <w:lvl w:ilvl="6" w:tentative="0">
      <w:start w:val="1"/>
      <w:numFmt w:val="decimal"/>
      <w:lvlText w:val="%1.%2.%3.%4.%5.%6.%7."/>
      <w:lvlJc w:val="left"/>
      <w:pPr>
        <w:ind w:left="1296" w:hanging="1296"/>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583" w:hanging="1583"/>
      </w:pPr>
      <w:rPr>
        <w:rFonts w:hint="default"/>
      </w:rPr>
    </w:lvl>
  </w:abstractNum>
  <w:abstractNum w:abstractNumId="5">
    <w:nsid w:val="74C5206E"/>
    <w:multiLevelType w:val="multilevel"/>
    <w:tmpl w:val="74C5206E"/>
    <w:lvl w:ilvl="0" w:tentative="0">
      <w:start w:val="1"/>
      <w:numFmt w:val="decimal"/>
      <w:lvlText w:val="%1"/>
      <w:lvlJc w:val="left"/>
      <w:pPr>
        <w:tabs>
          <w:tab w:val="left" w:pos="432"/>
        </w:tabs>
        <w:ind w:left="432" w:hanging="432"/>
      </w:pPr>
      <w:rPr>
        <w:rFonts w:hint="eastAsia"/>
      </w:rPr>
    </w:lvl>
    <w:lvl w:ilvl="1" w:tentative="0">
      <w:start w:val="1"/>
      <w:numFmt w:val="decimal"/>
      <w:lvlText w:val="%1.%2"/>
      <w:lvlJc w:val="left"/>
      <w:pPr>
        <w:tabs>
          <w:tab w:val="left" w:pos="720"/>
        </w:tabs>
        <w:ind w:left="397" w:hanging="397"/>
      </w:pPr>
      <w:rPr>
        <w:rFonts w:hint="eastAsia" w:eastAsia="仿宋_GB2312"/>
      </w:rPr>
    </w:lvl>
    <w:lvl w:ilvl="2" w:tentative="0">
      <w:start w:val="1"/>
      <w:numFmt w:val="decimal"/>
      <w:lvlText w:val="%1.%2.%3"/>
      <w:lvlJc w:val="left"/>
      <w:pPr>
        <w:tabs>
          <w:tab w:val="left" w:pos="1861"/>
        </w:tabs>
        <w:ind w:left="1861" w:hanging="1021"/>
      </w:pPr>
      <w:rPr>
        <w:rFonts w:hint="default" w:ascii="Times New Roman" w:hAnsi="Times New Roman" w:eastAsia="宋体" w:cs="仿宋_GB2312"/>
        <w:b/>
        <w:bCs/>
        <w:i w:val="0"/>
        <w:iCs w:val="0"/>
        <w:caps w:val="0"/>
        <w:smallCaps w:val="0"/>
        <w:strike w:val="0"/>
        <w:dstrike w:val="0"/>
        <w:outline w:val="0"/>
        <w:shadow w:val="0"/>
        <w:emboss w:val="0"/>
        <w:imprint w:val="0"/>
        <w:color w:val="000000"/>
        <w:spacing w:val="0"/>
        <w:w w:val="100"/>
        <w:kern w:val="2"/>
        <w:position w:val="0"/>
        <w:sz w:val="28"/>
        <w:szCs w:val="28"/>
        <w:u w:val="none"/>
        <w:shd w:val="clear" w:color="auto" w:fill="auto"/>
        <w:lang w:val="en-US" w:eastAsia="zh-CN" w:bidi="ar-SA"/>
      </w:rPr>
    </w:lvl>
    <w:lvl w:ilvl="3" w:tentative="0">
      <w:start w:val="1"/>
      <w:numFmt w:val="decimal"/>
      <w:pStyle w:val="10"/>
      <w:lvlText w:val="%1.%2.%3.%4"/>
      <w:lvlJc w:val="left"/>
      <w:pPr>
        <w:tabs>
          <w:tab w:val="left" w:pos="0"/>
        </w:tabs>
        <w:ind w:left="964" w:hanging="964"/>
      </w:pPr>
      <w:rPr>
        <w:rFonts w:hint="default"/>
      </w:rPr>
    </w:lvl>
    <w:lvl w:ilvl="4" w:tentative="0">
      <w:start w:val="1"/>
      <w:numFmt w:val="decimal"/>
      <w:lvlText w:val="%1.%2.%3.%4.%5"/>
      <w:lvlJc w:val="left"/>
      <w:pPr>
        <w:tabs>
          <w:tab w:val="left" w:pos="1008"/>
        </w:tabs>
        <w:ind w:left="1008" w:hanging="1008"/>
      </w:pPr>
      <w:rPr>
        <w:rFonts w:hint="eastAsia"/>
      </w:rPr>
    </w:lvl>
    <w:lvl w:ilvl="5" w:tentative="0">
      <w:start w:val="1"/>
      <w:numFmt w:val="decimal"/>
      <w:lvlText w:val="%1.%2.%3.%4.%5.%6"/>
      <w:lvlJc w:val="left"/>
      <w:pPr>
        <w:tabs>
          <w:tab w:val="left" w:pos="1152"/>
        </w:tabs>
        <w:ind w:left="1152" w:hanging="1152"/>
      </w:pPr>
      <w:rPr>
        <w:rFonts w:hint="eastAsia"/>
      </w:rPr>
    </w:lvl>
    <w:lvl w:ilvl="6" w:tentative="0">
      <w:start w:val="1"/>
      <w:numFmt w:val="decimal"/>
      <w:lvlText w:val="%1.%2.%3.%4.%5.%6.%7"/>
      <w:lvlJc w:val="left"/>
      <w:pPr>
        <w:tabs>
          <w:tab w:val="left" w:pos="1296"/>
        </w:tabs>
        <w:ind w:left="1296" w:hanging="1296"/>
      </w:pPr>
      <w:rPr>
        <w:rFonts w:hint="eastAsia"/>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num w:numId="1">
    <w:abstractNumId w:val="1"/>
  </w:num>
  <w:num w:numId="2">
    <w:abstractNumId w:val="0"/>
  </w:num>
  <w:num w:numId="3">
    <w:abstractNumId w:val="3"/>
  </w:num>
  <w:num w:numId="4">
    <w:abstractNumId w:val="5"/>
  </w:num>
  <w:num w:numId="5">
    <w:abstractNumId w:val="2"/>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0"/>
  <w:bordersDoNotSurroundHeader w:val="0"/>
  <w:bordersDoNotSurroundFooter w:val="0"/>
  <w:documentProtection w:edit="readOnly" w:enforcement="0"/>
  <w:defaultTabStop w:val="419"/>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Y0ZWU0MmIyMzgzMzQzYTljMDliYTRmMDBhOWIwMTkifQ=="/>
    <w:docVar w:name="KSO_WPS_MARK_KEY" w:val="64228a99-d850-4022-9e69-01ea09880e3b"/>
  </w:docVars>
  <w:rsids>
    <w:rsidRoot w:val="00172A27"/>
    <w:rsid w:val="000F1EEE"/>
    <w:rsid w:val="001C1876"/>
    <w:rsid w:val="002C7294"/>
    <w:rsid w:val="00303F39"/>
    <w:rsid w:val="003577A2"/>
    <w:rsid w:val="00425A1B"/>
    <w:rsid w:val="00556F9E"/>
    <w:rsid w:val="00590442"/>
    <w:rsid w:val="005F59FE"/>
    <w:rsid w:val="007756C4"/>
    <w:rsid w:val="007776A8"/>
    <w:rsid w:val="00780E74"/>
    <w:rsid w:val="009269A2"/>
    <w:rsid w:val="009464E3"/>
    <w:rsid w:val="009D4582"/>
    <w:rsid w:val="00B264D1"/>
    <w:rsid w:val="00B35724"/>
    <w:rsid w:val="00B94468"/>
    <w:rsid w:val="00BA286F"/>
    <w:rsid w:val="00BE32F3"/>
    <w:rsid w:val="00C226B6"/>
    <w:rsid w:val="00C26F9F"/>
    <w:rsid w:val="00CA2E3A"/>
    <w:rsid w:val="00CD1788"/>
    <w:rsid w:val="00CD3536"/>
    <w:rsid w:val="00CF2F6B"/>
    <w:rsid w:val="00D70859"/>
    <w:rsid w:val="00E4217E"/>
    <w:rsid w:val="00F22716"/>
    <w:rsid w:val="00F22F9D"/>
    <w:rsid w:val="00FB3C44"/>
    <w:rsid w:val="00FC0D24"/>
    <w:rsid w:val="010737A5"/>
    <w:rsid w:val="01231F6B"/>
    <w:rsid w:val="012A385F"/>
    <w:rsid w:val="012A4E2C"/>
    <w:rsid w:val="012B2A0D"/>
    <w:rsid w:val="01301CD3"/>
    <w:rsid w:val="013B2B96"/>
    <w:rsid w:val="013D3923"/>
    <w:rsid w:val="013F48E4"/>
    <w:rsid w:val="01425149"/>
    <w:rsid w:val="014557C2"/>
    <w:rsid w:val="014D7A53"/>
    <w:rsid w:val="01503C3E"/>
    <w:rsid w:val="015123B9"/>
    <w:rsid w:val="0156705B"/>
    <w:rsid w:val="015E6884"/>
    <w:rsid w:val="016A242E"/>
    <w:rsid w:val="017C1C1C"/>
    <w:rsid w:val="017D31AE"/>
    <w:rsid w:val="017F17E4"/>
    <w:rsid w:val="018D3B33"/>
    <w:rsid w:val="01904398"/>
    <w:rsid w:val="01934780"/>
    <w:rsid w:val="01997579"/>
    <w:rsid w:val="01CC71C2"/>
    <w:rsid w:val="01CF4F6E"/>
    <w:rsid w:val="01D32513"/>
    <w:rsid w:val="01D454A1"/>
    <w:rsid w:val="01D84888"/>
    <w:rsid w:val="01DC6B24"/>
    <w:rsid w:val="01E4322D"/>
    <w:rsid w:val="01E925F2"/>
    <w:rsid w:val="01F16A99"/>
    <w:rsid w:val="01F80A87"/>
    <w:rsid w:val="02021905"/>
    <w:rsid w:val="020A71E2"/>
    <w:rsid w:val="020C62E0"/>
    <w:rsid w:val="021822BC"/>
    <w:rsid w:val="02225B04"/>
    <w:rsid w:val="02225FB3"/>
    <w:rsid w:val="02290C40"/>
    <w:rsid w:val="02337D11"/>
    <w:rsid w:val="024D7DD0"/>
    <w:rsid w:val="025C7268"/>
    <w:rsid w:val="026003DA"/>
    <w:rsid w:val="026305F6"/>
    <w:rsid w:val="027564D5"/>
    <w:rsid w:val="02864C0D"/>
    <w:rsid w:val="02895B83"/>
    <w:rsid w:val="02902A6D"/>
    <w:rsid w:val="02945EB7"/>
    <w:rsid w:val="0296065A"/>
    <w:rsid w:val="0297161D"/>
    <w:rsid w:val="02A03060"/>
    <w:rsid w:val="02AF717B"/>
    <w:rsid w:val="02B0310F"/>
    <w:rsid w:val="02BC3775"/>
    <w:rsid w:val="02DC5A07"/>
    <w:rsid w:val="02EA0EAD"/>
    <w:rsid w:val="02F94696"/>
    <w:rsid w:val="02FF01E6"/>
    <w:rsid w:val="03086AA8"/>
    <w:rsid w:val="030C7AC3"/>
    <w:rsid w:val="0311798A"/>
    <w:rsid w:val="031273C5"/>
    <w:rsid w:val="031306A7"/>
    <w:rsid w:val="031741AC"/>
    <w:rsid w:val="0324489D"/>
    <w:rsid w:val="03253AFD"/>
    <w:rsid w:val="03255B77"/>
    <w:rsid w:val="03281C80"/>
    <w:rsid w:val="032F7F04"/>
    <w:rsid w:val="03303298"/>
    <w:rsid w:val="033755DF"/>
    <w:rsid w:val="0341645D"/>
    <w:rsid w:val="034665C9"/>
    <w:rsid w:val="034965A1"/>
    <w:rsid w:val="034B4BE6"/>
    <w:rsid w:val="035C3635"/>
    <w:rsid w:val="036D1000"/>
    <w:rsid w:val="036E6850"/>
    <w:rsid w:val="03764ACC"/>
    <w:rsid w:val="03912F41"/>
    <w:rsid w:val="03962A57"/>
    <w:rsid w:val="03A26EFC"/>
    <w:rsid w:val="03A72294"/>
    <w:rsid w:val="03B02EB1"/>
    <w:rsid w:val="03B30BC3"/>
    <w:rsid w:val="03BE2679"/>
    <w:rsid w:val="03C70257"/>
    <w:rsid w:val="03D21EAA"/>
    <w:rsid w:val="03E54780"/>
    <w:rsid w:val="03F86B1C"/>
    <w:rsid w:val="03FB03BA"/>
    <w:rsid w:val="03FD4132"/>
    <w:rsid w:val="040930D8"/>
    <w:rsid w:val="040E7E05"/>
    <w:rsid w:val="04134A25"/>
    <w:rsid w:val="0417274C"/>
    <w:rsid w:val="04190A8F"/>
    <w:rsid w:val="0420685E"/>
    <w:rsid w:val="04243DB5"/>
    <w:rsid w:val="042478B8"/>
    <w:rsid w:val="042D3558"/>
    <w:rsid w:val="042E69E2"/>
    <w:rsid w:val="043274D4"/>
    <w:rsid w:val="04357D70"/>
    <w:rsid w:val="043B2EAD"/>
    <w:rsid w:val="043D6C25"/>
    <w:rsid w:val="043F474B"/>
    <w:rsid w:val="044C0C16"/>
    <w:rsid w:val="045514C6"/>
    <w:rsid w:val="04561CA4"/>
    <w:rsid w:val="045A2CF3"/>
    <w:rsid w:val="046237DA"/>
    <w:rsid w:val="04631139"/>
    <w:rsid w:val="0463599D"/>
    <w:rsid w:val="046B75B7"/>
    <w:rsid w:val="04702B56"/>
    <w:rsid w:val="04713431"/>
    <w:rsid w:val="047163EA"/>
    <w:rsid w:val="049060A4"/>
    <w:rsid w:val="0495080F"/>
    <w:rsid w:val="04AC02CD"/>
    <w:rsid w:val="04C51DFE"/>
    <w:rsid w:val="04CA54E0"/>
    <w:rsid w:val="04D330E5"/>
    <w:rsid w:val="04D4406E"/>
    <w:rsid w:val="04DF6DDD"/>
    <w:rsid w:val="04E4146D"/>
    <w:rsid w:val="04EA4F5E"/>
    <w:rsid w:val="04F82B4C"/>
    <w:rsid w:val="05056D9E"/>
    <w:rsid w:val="05085713"/>
    <w:rsid w:val="051200B1"/>
    <w:rsid w:val="052136C5"/>
    <w:rsid w:val="052221B5"/>
    <w:rsid w:val="052B2F21"/>
    <w:rsid w:val="05570490"/>
    <w:rsid w:val="05577D7A"/>
    <w:rsid w:val="055E23F6"/>
    <w:rsid w:val="055F1521"/>
    <w:rsid w:val="056326BB"/>
    <w:rsid w:val="057743B8"/>
    <w:rsid w:val="057912E3"/>
    <w:rsid w:val="057A5758"/>
    <w:rsid w:val="05850ED8"/>
    <w:rsid w:val="058C0305"/>
    <w:rsid w:val="059263B6"/>
    <w:rsid w:val="05932F45"/>
    <w:rsid w:val="05964123"/>
    <w:rsid w:val="05980820"/>
    <w:rsid w:val="059B4D67"/>
    <w:rsid w:val="05A10AEC"/>
    <w:rsid w:val="05B009A9"/>
    <w:rsid w:val="05B02B1A"/>
    <w:rsid w:val="05B858CF"/>
    <w:rsid w:val="05B9677F"/>
    <w:rsid w:val="05C3315A"/>
    <w:rsid w:val="05C422B3"/>
    <w:rsid w:val="05D15877"/>
    <w:rsid w:val="05EC0902"/>
    <w:rsid w:val="05FB6D97"/>
    <w:rsid w:val="0601647A"/>
    <w:rsid w:val="060C53A2"/>
    <w:rsid w:val="060D4139"/>
    <w:rsid w:val="060E1B99"/>
    <w:rsid w:val="06144D23"/>
    <w:rsid w:val="061B2C8E"/>
    <w:rsid w:val="061B3BC6"/>
    <w:rsid w:val="061D286A"/>
    <w:rsid w:val="061F40C4"/>
    <w:rsid w:val="0620235A"/>
    <w:rsid w:val="062B2440"/>
    <w:rsid w:val="063026EF"/>
    <w:rsid w:val="0634022C"/>
    <w:rsid w:val="063D6ECD"/>
    <w:rsid w:val="063F4ED6"/>
    <w:rsid w:val="064249C6"/>
    <w:rsid w:val="064417AA"/>
    <w:rsid w:val="06513E52"/>
    <w:rsid w:val="06555D37"/>
    <w:rsid w:val="0666247A"/>
    <w:rsid w:val="066E3A86"/>
    <w:rsid w:val="06774A84"/>
    <w:rsid w:val="067B1570"/>
    <w:rsid w:val="0686605F"/>
    <w:rsid w:val="06976AC0"/>
    <w:rsid w:val="06A05BBB"/>
    <w:rsid w:val="06AB31E2"/>
    <w:rsid w:val="06B37672"/>
    <w:rsid w:val="06B44B5B"/>
    <w:rsid w:val="06B52BE9"/>
    <w:rsid w:val="06C242FE"/>
    <w:rsid w:val="06CA103D"/>
    <w:rsid w:val="06CB2759"/>
    <w:rsid w:val="06D0266B"/>
    <w:rsid w:val="06DA2178"/>
    <w:rsid w:val="06DD2008"/>
    <w:rsid w:val="06DE63A6"/>
    <w:rsid w:val="06E25862"/>
    <w:rsid w:val="06E94B3A"/>
    <w:rsid w:val="06FC4E64"/>
    <w:rsid w:val="07014C76"/>
    <w:rsid w:val="07025650"/>
    <w:rsid w:val="070A2DF8"/>
    <w:rsid w:val="07100612"/>
    <w:rsid w:val="07100621"/>
    <w:rsid w:val="07107ED3"/>
    <w:rsid w:val="07155C37"/>
    <w:rsid w:val="072308DB"/>
    <w:rsid w:val="072F5F4E"/>
    <w:rsid w:val="07414C7E"/>
    <w:rsid w:val="074402CA"/>
    <w:rsid w:val="07456882"/>
    <w:rsid w:val="07483983"/>
    <w:rsid w:val="074B7E79"/>
    <w:rsid w:val="074F5919"/>
    <w:rsid w:val="0762348A"/>
    <w:rsid w:val="0767103F"/>
    <w:rsid w:val="077671D5"/>
    <w:rsid w:val="077E7054"/>
    <w:rsid w:val="078C305E"/>
    <w:rsid w:val="07921036"/>
    <w:rsid w:val="07927288"/>
    <w:rsid w:val="07966D78"/>
    <w:rsid w:val="07981A27"/>
    <w:rsid w:val="07A1396F"/>
    <w:rsid w:val="07A8672E"/>
    <w:rsid w:val="07AC69E6"/>
    <w:rsid w:val="07AD6664"/>
    <w:rsid w:val="07AF6BDA"/>
    <w:rsid w:val="07BE488A"/>
    <w:rsid w:val="07C17B16"/>
    <w:rsid w:val="07C76F3A"/>
    <w:rsid w:val="07C82CA9"/>
    <w:rsid w:val="07D824FD"/>
    <w:rsid w:val="07DD49A7"/>
    <w:rsid w:val="08012DF8"/>
    <w:rsid w:val="080A3240"/>
    <w:rsid w:val="08107494"/>
    <w:rsid w:val="08274DF1"/>
    <w:rsid w:val="08353094"/>
    <w:rsid w:val="08393BA7"/>
    <w:rsid w:val="083B7FE4"/>
    <w:rsid w:val="083C7614"/>
    <w:rsid w:val="08611974"/>
    <w:rsid w:val="08660CC0"/>
    <w:rsid w:val="086F097C"/>
    <w:rsid w:val="08701BF2"/>
    <w:rsid w:val="087150EF"/>
    <w:rsid w:val="087A32CC"/>
    <w:rsid w:val="08813ADF"/>
    <w:rsid w:val="088A6164"/>
    <w:rsid w:val="088B1E93"/>
    <w:rsid w:val="089F1C5C"/>
    <w:rsid w:val="08AA7F31"/>
    <w:rsid w:val="08BF4C8D"/>
    <w:rsid w:val="08D04140"/>
    <w:rsid w:val="08D054ED"/>
    <w:rsid w:val="08D631A4"/>
    <w:rsid w:val="08E502FD"/>
    <w:rsid w:val="08EE3D95"/>
    <w:rsid w:val="08EF118D"/>
    <w:rsid w:val="08FA0051"/>
    <w:rsid w:val="09043BB4"/>
    <w:rsid w:val="090535F9"/>
    <w:rsid w:val="090C11FF"/>
    <w:rsid w:val="0913264A"/>
    <w:rsid w:val="09175C96"/>
    <w:rsid w:val="09267C87"/>
    <w:rsid w:val="09290F21"/>
    <w:rsid w:val="092B64FB"/>
    <w:rsid w:val="092C7268"/>
    <w:rsid w:val="093966C8"/>
    <w:rsid w:val="094A4EB1"/>
    <w:rsid w:val="094A5A82"/>
    <w:rsid w:val="095B5619"/>
    <w:rsid w:val="095E1B17"/>
    <w:rsid w:val="09616600"/>
    <w:rsid w:val="096D1D5A"/>
    <w:rsid w:val="09714AB2"/>
    <w:rsid w:val="09734E97"/>
    <w:rsid w:val="09765E3E"/>
    <w:rsid w:val="0979291D"/>
    <w:rsid w:val="09897BD1"/>
    <w:rsid w:val="099A2919"/>
    <w:rsid w:val="099D28FC"/>
    <w:rsid w:val="099D6815"/>
    <w:rsid w:val="099E2384"/>
    <w:rsid w:val="099F5C8C"/>
    <w:rsid w:val="09A17C56"/>
    <w:rsid w:val="09A60D7B"/>
    <w:rsid w:val="09AD03A9"/>
    <w:rsid w:val="09AF3FC3"/>
    <w:rsid w:val="09B259BF"/>
    <w:rsid w:val="09B96D4E"/>
    <w:rsid w:val="09C35E1E"/>
    <w:rsid w:val="09C474A0"/>
    <w:rsid w:val="09C56789"/>
    <w:rsid w:val="09D25264"/>
    <w:rsid w:val="09D40A18"/>
    <w:rsid w:val="09DC584C"/>
    <w:rsid w:val="09DD4AD0"/>
    <w:rsid w:val="09E244F6"/>
    <w:rsid w:val="09ED6F5E"/>
    <w:rsid w:val="09F50B09"/>
    <w:rsid w:val="09F75AC8"/>
    <w:rsid w:val="09FB55B8"/>
    <w:rsid w:val="09FC3D61"/>
    <w:rsid w:val="09FC4041"/>
    <w:rsid w:val="0A304CFB"/>
    <w:rsid w:val="0A335EF8"/>
    <w:rsid w:val="0A3E54A5"/>
    <w:rsid w:val="0A413039"/>
    <w:rsid w:val="0A42703F"/>
    <w:rsid w:val="0A4B2A32"/>
    <w:rsid w:val="0A4C0BBE"/>
    <w:rsid w:val="0A4D4588"/>
    <w:rsid w:val="0A5518C3"/>
    <w:rsid w:val="0A555C49"/>
    <w:rsid w:val="0A5847B8"/>
    <w:rsid w:val="0A620551"/>
    <w:rsid w:val="0A636CB9"/>
    <w:rsid w:val="0A656ED5"/>
    <w:rsid w:val="0A687904"/>
    <w:rsid w:val="0A6D2E56"/>
    <w:rsid w:val="0A7025E1"/>
    <w:rsid w:val="0A717628"/>
    <w:rsid w:val="0A7333A0"/>
    <w:rsid w:val="0A74069B"/>
    <w:rsid w:val="0A7A43EB"/>
    <w:rsid w:val="0AA27282"/>
    <w:rsid w:val="0AA92C13"/>
    <w:rsid w:val="0AAB10FA"/>
    <w:rsid w:val="0AB17872"/>
    <w:rsid w:val="0AB33C75"/>
    <w:rsid w:val="0AB71E7D"/>
    <w:rsid w:val="0ABA2D7D"/>
    <w:rsid w:val="0ABC5CC2"/>
    <w:rsid w:val="0ACF4D94"/>
    <w:rsid w:val="0ADF4592"/>
    <w:rsid w:val="0ADF7872"/>
    <w:rsid w:val="0AE54987"/>
    <w:rsid w:val="0AEC4059"/>
    <w:rsid w:val="0B09404C"/>
    <w:rsid w:val="0B235158"/>
    <w:rsid w:val="0B2C354F"/>
    <w:rsid w:val="0B313A17"/>
    <w:rsid w:val="0B3D108A"/>
    <w:rsid w:val="0B454EAD"/>
    <w:rsid w:val="0B466B4E"/>
    <w:rsid w:val="0B52745A"/>
    <w:rsid w:val="0B5C1160"/>
    <w:rsid w:val="0B642CE9"/>
    <w:rsid w:val="0B6B22C9"/>
    <w:rsid w:val="0B7820DD"/>
    <w:rsid w:val="0B8246ED"/>
    <w:rsid w:val="0B845139"/>
    <w:rsid w:val="0B8D4C68"/>
    <w:rsid w:val="0B8E1B84"/>
    <w:rsid w:val="0B8F0E43"/>
    <w:rsid w:val="0B8F50FC"/>
    <w:rsid w:val="0B9F3D21"/>
    <w:rsid w:val="0BA852CC"/>
    <w:rsid w:val="0BA91C82"/>
    <w:rsid w:val="0BA92DF2"/>
    <w:rsid w:val="0BAD4386"/>
    <w:rsid w:val="0BB772BD"/>
    <w:rsid w:val="0BBA701E"/>
    <w:rsid w:val="0BCD4D32"/>
    <w:rsid w:val="0BCE4606"/>
    <w:rsid w:val="0BDB62A7"/>
    <w:rsid w:val="0BE562FD"/>
    <w:rsid w:val="0BEA58E4"/>
    <w:rsid w:val="0BEF0CBF"/>
    <w:rsid w:val="0BF7590B"/>
    <w:rsid w:val="0BFF5852"/>
    <w:rsid w:val="0C0644A9"/>
    <w:rsid w:val="0C093BC1"/>
    <w:rsid w:val="0C0A3CF1"/>
    <w:rsid w:val="0C0D15D3"/>
    <w:rsid w:val="0C105573"/>
    <w:rsid w:val="0C1B1C02"/>
    <w:rsid w:val="0C1D705A"/>
    <w:rsid w:val="0C26653A"/>
    <w:rsid w:val="0C2B0104"/>
    <w:rsid w:val="0C2D757F"/>
    <w:rsid w:val="0C3050FD"/>
    <w:rsid w:val="0C333323"/>
    <w:rsid w:val="0C3B7EEE"/>
    <w:rsid w:val="0C3C77C2"/>
    <w:rsid w:val="0C441701"/>
    <w:rsid w:val="0C4F0BF0"/>
    <w:rsid w:val="0C4F46E1"/>
    <w:rsid w:val="0C50326D"/>
    <w:rsid w:val="0C524573"/>
    <w:rsid w:val="0C53193B"/>
    <w:rsid w:val="0C564D28"/>
    <w:rsid w:val="0C58001A"/>
    <w:rsid w:val="0C5B7E23"/>
    <w:rsid w:val="0C684AAF"/>
    <w:rsid w:val="0C762CD4"/>
    <w:rsid w:val="0C772E17"/>
    <w:rsid w:val="0C7B02EA"/>
    <w:rsid w:val="0C882A07"/>
    <w:rsid w:val="0C8F1FE8"/>
    <w:rsid w:val="0C9576C0"/>
    <w:rsid w:val="0C9B098C"/>
    <w:rsid w:val="0C9E0F27"/>
    <w:rsid w:val="0C9E3867"/>
    <w:rsid w:val="0CB83F1F"/>
    <w:rsid w:val="0CBC6249"/>
    <w:rsid w:val="0CBD673F"/>
    <w:rsid w:val="0CCF0636"/>
    <w:rsid w:val="0CD65EE2"/>
    <w:rsid w:val="0CE02DE0"/>
    <w:rsid w:val="0CE33E16"/>
    <w:rsid w:val="0CF47EB2"/>
    <w:rsid w:val="0CFA786A"/>
    <w:rsid w:val="0CFE2CC9"/>
    <w:rsid w:val="0CFE523C"/>
    <w:rsid w:val="0D026C5D"/>
    <w:rsid w:val="0D0B57F9"/>
    <w:rsid w:val="0D0C4680"/>
    <w:rsid w:val="0D0D1799"/>
    <w:rsid w:val="0D105B54"/>
    <w:rsid w:val="0D154668"/>
    <w:rsid w:val="0D1F4621"/>
    <w:rsid w:val="0D215336"/>
    <w:rsid w:val="0D246BD4"/>
    <w:rsid w:val="0D3253F4"/>
    <w:rsid w:val="0D412327"/>
    <w:rsid w:val="0D455ACF"/>
    <w:rsid w:val="0D6D046E"/>
    <w:rsid w:val="0D7166EB"/>
    <w:rsid w:val="0D7F518C"/>
    <w:rsid w:val="0D886C22"/>
    <w:rsid w:val="0D8C5EA7"/>
    <w:rsid w:val="0DA20D34"/>
    <w:rsid w:val="0DAF76F8"/>
    <w:rsid w:val="0DB82CA4"/>
    <w:rsid w:val="0DB8556E"/>
    <w:rsid w:val="0DC45CC1"/>
    <w:rsid w:val="0DD34156"/>
    <w:rsid w:val="0DD8176C"/>
    <w:rsid w:val="0DDD43AA"/>
    <w:rsid w:val="0DE32128"/>
    <w:rsid w:val="0DEB14A0"/>
    <w:rsid w:val="0DFE11D3"/>
    <w:rsid w:val="0E19425F"/>
    <w:rsid w:val="0E267A1F"/>
    <w:rsid w:val="0E2B3F92"/>
    <w:rsid w:val="0E322B79"/>
    <w:rsid w:val="0E3E1279"/>
    <w:rsid w:val="0E417A6F"/>
    <w:rsid w:val="0E4B7C02"/>
    <w:rsid w:val="0E545297"/>
    <w:rsid w:val="0E5612F6"/>
    <w:rsid w:val="0E567520"/>
    <w:rsid w:val="0E56754B"/>
    <w:rsid w:val="0E576B35"/>
    <w:rsid w:val="0E5F4FF5"/>
    <w:rsid w:val="0E662214"/>
    <w:rsid w:val="0E833F0B"/>
    <w:rsid w:val="0E8F62CF"/>
    <w:rsid w:val="0E9120C5"/>
    <w:rsid w:val="0E9F2C46"/>
    <w:rsid w:val="0E9F7864"/>
    <w:rsid w:val="0EA0446C"/>
    <w:rsid w:val="0EA04552"/>
    <w:rsid w:val="0EA504D8"/>
    <w:rsid w:val="0EAD1661"/>
    <w:rsid w:val="0EB772CE"/>
    <w:rsid w:val="0EBB698C"/>
    <w:rsid w:val="0EBD108E"/>
    <w:rsid w:val="0EC1259D"/>
    <w:rsid w:val="0EC17605"/>
    <w:rsid w:val="0EC341CA"/>
    <w:rsid w:val="0ECF307C"/>
    <w:rsid w:val="0ED01722"/>
    <w:rsid w:val="0ED24CA8"/>
    <w:rsid w:val="0ED304E4"/>
    <w:rsid w:val="0ED62B4A"/>
    <w:rsid w:val="0EF87077"/>
    <w:rsid w:val="0EFC3D5A"/>
    <w:rsid w:val="0EFD6DE2"/>
    <w:rsid w:val="0F056591"/>
    <w:rsid w:val="0F087150"/>
    <w:rsid w:val="0F130337"/>
    <w:rsid w:val="0F182768"/>
    <w:rsid w:val="0F1F0356"/>
    <w:rsid w:val="0F1F58A5"/>
    <w:rsid w:val="0F2033CB"/>
    <w:rsid w:val="0F264E85"/>
    <w:rsid w:val="0F2F4DC0"/>
    <w:rsid w:val="0F4B318D"/>
    <w:rsid w:val="0F56235F"/>
    <w:rsid w:val="0F613370"/>
    <w:rsid w:val="0F6239E3"/>
    <w:rsid w:val="0F7336F2"/>
    <w:rsid w:val="0F7924A5"/>
    <w:rsid w:val="0F7C5431"/>
    <w:rsid w:val="0F7F6343"/>
    <w:rsid w:val="0F860A35"/>
    <w:rsid w:val="0F8C0A60"/>
    <w:rsid w:val="0FA14E61"/>
    <w:rsid w:val="0FAE4E7B"/>
    <w:rsid w:val="0FB01C10"/>
    <w:rsid w:val="0FB104C7"/>
    <w:rsid w:val="0FB2289F"/>
    <w:rsid w:val="0FB74CEE"/>
    <w:rsid w:val="0FBD6960"/>
    <w:rsid w:val="0FC0202F"/>
    <w:rsid w:val="0FC91CB4"/>
    <w:rsid w:val="0FCE7692"/>
    <w:rsid w:val="0FD003BB"/>
    <w:rsid w:val="0FD0678A"/>
    <w:rsid w:val="0FD4244B"/>
    <w:rsid w:val="0FE03471"/>
    <w:rsid w:val="0FE1092E"/>
    <w:rsid w:val="0FE43413"/>
    <w:rsid w:val="0FEB77D2"/>
    <w:rsid w:val="0FF52AA9"/>
    <w:rsid w:val="0FF81111"/>
    <w:rsid w:val="0FFC2569"/>
    <w:rsid w:val="10120F66"/>
    <w:rsid w:val="101A2510"/>
    <w:rsid w:val="101F3998"/>
    <w:rsid w:val="101F3C57"/>
    <w:rsid w:val="104906FF"/>
    <w:rsid w:val="104A391C"/>
    <w:rsid w:val="105052DD"/>
    <w:rsid w:val="106C41F6"/>
    <w:rsid w:val="10806838"/>
    <w:rsid w:val="108B6A10"/>
    <w:rsid w:val="108D683E"/>
    <w:rsid w:val="109365FC"/>
    <w:rsid w:val="109D54EE"/>
    <w:rsid w:val="10AB4F16"/>
    <w:rsid w:val="10B33229"/>
    <w:rsid w:val="10C16960"/>
    <w:rsid w:val="10CB7366"/>
    <w:rsid w:val="10CF662A"/>
    <w:rsid w:val="10D543F0"/>
    <w:rsid w:val="10D63C1C"/>
    <w:rsid w:val="10E36DA6"/>
    <w:rsid w:val="10E705AB"/>
    <w:rsid w:val="10E723F2"/>
    <w:rsid w:val="10E85B6D"/>
    <w:rsid w:val="10F25D36"/>
    <w:rsid w:val="10FE629D"/>
    <w:rsid w:val="11025669"/>
    <w:rsid w:val="1109680C"/>
    <w:rsid w:val="110A4333"/>
    <w:rsid w:val="111B6540"/>
    <w:rsid w:val="11317039"/>
    <w:rsid w:val="11364085"/>
    <w:rsid w:val="11374DBC"/>
    <w:rsid w:val="11380EA0"/>
    <w:rsid w:val="113C3816"/>
    <w:rsid w:val="113F222E"/>
    <w:rsid w:val="1142587A"/>
    <w:rsid w:val="114C53CF"/>
    <w:rsid w:val="114E2471"/>
    <w:rsid w:val="11503579"/>
    <w:rsid w:val="11592BC4"/>
    <w:rsid w:val="115D4462"/>
    <w:rsid w:val="116A4DD1"/>
    <w:rsid w:val="116E041E"/>
    <w:rsid w:val="117163C8"/>
    <w:rsid w:val="11762537"/>
    <w:rsid w:val="11800151"/>
    <w:rsid w:val="11847C41"/>
    <w:rsid w:val="1185333C"/>
    <w:rsid w:val="118B5F3C"/>
    <w:rsid w:val="119105B0"/>
    <w:rsid w:val="11A079EA"/>
    <w:rsid w:val="11A402E3"/>
    <w:rsid w:val="11A8354C"/>
    <w:rsid w:val="11AB1672"/>
    <w:rsid w:val="11AE2F10"/>
    <w:rsid w:val="11B83D8F"/>
    <w:rsid w:val="11C20769"/>
    <w:rsid w:val="11C24C0D"/>
    <w:rsid w:val="11E42DD6"/>
    <w:rsid w:val="11E96030"/>
    <w:rsid w:val="11EF3F60"/>
    <w:rsid w:val="120279D3"/>
    <w:rsid w:val="12042B30"/>
    <w:rsid w:val="120808BC"/>
    <w:rsid w:val="12130FC5"/>
    <w:rsid w:val="12141549"/>
    <w:rsid w:val="12152F8F"/>
    <w:rsid w:val="121D4370"/>
    <w:rsid w:val="121F2D75"/>
    <w:rsid w:val="1228104F"/>
    <w:rsid w:val="123E190B"/>
    <w:rsid w:val="124949E7"/>
    <w:rsid w:val="12555A81"/>
    <w:rsid w:val="12575356"/>
    <w:rsid w:val="12580F8B"/>
    <w:rsid w:val="125D2B77"/>
    <w:rsid w:val="125E0D24"/>
    <w:rsid w:val="126161D4"/>
    <w:rsid w:val="126B1361"/>
    <w:rsid w:val="127E6D86"/>
    <w:rsid w:val="128200C1"/>
    <w:rsid w:val="128B3251"/>
    <w:rsid w:val="128E689D"/>
    <w:rsid w:val="1296094D"/>
    <w:rsid w:val="129D2401"/>
    <w:rsid w:val="129D3ED8"/>
    <w:rsid w:val="12A06CFD"/>
    <w:rsid w:val="12A24B62"/>
    <w:rsid w:val="12AE3DA7"/>
    <w:rsid w:val="12B3277A"/>
    <w:rsid w:val="12B427A8"/>
    <w:rsid w:val="12B53795"/>
    <w:rsid w:val="12B76DFD"/>
    <w:rsid w:val="12C34799"/>
    <w:rsid w:val="12D73F65"/>
    <w:rsid w:val="12DC7DD1"/>
    <w:rsid w:val="12DE5A77"/>
    <w:rsid w:val="12E330EB"/>
    <w:rsid w:val="12EA20FD"/>
    <w:rsid w:val="12F228DC"/>
    <w:rsid w:val="12FA4174"/>
    <w:rsid w:val="12FA71D4"/>
    <w:rsid w:val="12FE179C"/>
    <w:rsid w:val="130445F9"/>
    <w:rsid w:val="13131664"/>
    <w:rsid w:val="13131E7E"/>
    <w:rsid w:val="13196AAF"/>
    <w:rsid w:val="13197DE5"/>
    <w:rsid w:val="131F15A3"/>
    <w:rsid w:val="132536A6"/>
    <w:rsid w:val="132F6539"/>
    <w:rsid w:val="13343760"/>
    <w:rsid w:val="133464CE"/>
    <w:rsid w:val="133B07D3"/>
    <w:rsid w:val="1344624E"/>
    <w:rsid w:val="13493B46"/>
    <w:rsid w:val="134E6759"/>
    <w:rsid w:val="134F36DD"/>
    <w:rsid w:val="135F74D2"/>
    <w:rsid w:val="136B40CF"/>
    <w:rsid w:val="136F360E"/>
    <w:rsid w:val="13753A74"/>
    <w:rsid w:val="137D5290"/>
    <w:rsid w:val="138228A6"/>
    <w:rsid w:val="138E2FF9"/>
    <w:rsid w:val="13985C26"/>
    <w:rsid w:val="139E4F28"/>
    <w:rsid w:val="13A42D8D"/>
    <w:rsid w:val="13A520F1"/>
    <w:rsid w:val="13AF2F6F"/>
    <w:rsid w:val="13B3480E"/>
    <w:rsid w:val="13B50325"/>
    <w:rsid w:val="13B862C8"/>
    <w:rsid w:val="13BA3DEE"/>
    <w:rsid w:val="13C07DDA"/>
    <w:rsid w:val="13C37816"/>
    <w:rsid w:val="13D25E36"/>
    <w:rsid w:val="13E37B99"/>
    <w:rsid w:val="13EE4454"/>
    <w:rsid w:val="13FA068E"/>
    <w:rsid w:val="140713B4"/>
    <w:rsid w:val="14105255"/>
    <w:rsid w:val="1416206B"/>
    <w:rsid w:val="14200317"/>
    <w:rsid w:val="14217BBB"/>
    <w:rsid w:val="14236E06"/>
    <w:rsid w:val="14294AD0"/>
    <w:rsid w:val="142D2812"/>
    <w:rsid w:val="142D748F"/>
    <w:rsid w:val="142E7B04"/>
    <w:rsid w:val="14321BD6"/>
    <w:rsid w:val="14357ACB"/>
    <w:rsid w:val="144058C2"/>
    <w:rsid w:val="14495172"/>
    <w:rsid w:val="144B4C4E"/>
    <w:rsid w:val="145419F6"/>
    <w:rsid w:val="14546E50"/>
    <w:rsid w:val="145A2EDB"/>
    <w:rsid w:val="14635783"/>
    <w:rsid w:val="14641FAC"/>
    <w:rsid w:val="14683220"/>
    <w:rsid w:val="146D4ED5"/>
    <w:rsid w:val="147071CB"/>
    <w:rsid w:val="148606D0"/>
    <w:rsid w:val="148F7029"/>
    <w:rsid w:val="149438EE"/>
    <w:rsid w:val="149458A4"/>
    <w:rsid w:val="14997EA7"/>
    <w:rsid w:val="149F7BB3"/>
    <w:rsid w:val="14A34FB4"/>
    <w:rsid w:val="14A737B8"/>
    <w:rsid w:val="14AA20B4"/>
    <w:rsid w:val="14AE29C4"/>
    <w:rsid w:val="14BD0C80"/>
    <w:rsid w:val="14C41C33"/>
    <w:rsid w:val="14CC7A48"/>
    <w:rsid w:val="14CF1B1B"/>
    <w:rsid w:val="14DD4796"/>
    <w:rsid w:val="14EF7AC7"/>
    <w:rsid w:val="14F450DE"/>
    <w:rsid w:val="14F6083B"/>
    <w:rsid w:val="14F96B98"/>
    <w:rsid w:val="14FE7D0A"/>
    <w:rsid w:val="1500363B"/>
    <w:rsid w:val="15066F16"/>
    <w:rsid w:val="150C1787"/>
    <w:rsid w:val="15192D96"/>
    <w:rsid w:val="151B4D60"/>
    <w:rsid w:val="15203C23"/>
    <w:rsid w:val="1537146E"/>
    <w:rsid w:val="153876C0"/>
    <w:rsid w:val="15496788"/>
    <w:rsid w:val="155023CF"/>
    <w:rsid w:val="155178DB"/>
    <w:rsid w:val="155B3E7D"/>
    <w:rsid w:val="15756C4B"/>
    <w:rsid w:val="1579457B"/>
    <w:rsid w:val="157E709D"/>
    <w:rsid w:val="15831167"/>
    <w:rsid w:val="15892EDA"/>
    <w:rsid w:val="158B2F68"/>
    <w:rsid w:val="15910010"/>
    <w:rsid w:val="15A27B86"/>
    <w:rsid w:val="15AA5FF3"/>
    <w:rsid w:val="15B2118E"/>
    <w:rsid w:val="15B72137"/>
    <w:rsid w:val="15BA3AAD"/>
    <w:rsid w:val="15C03212"/>
    <w:rsid w:val="15C42D02"/>
    <w:rsid w:val="15C80FAB"/>
    <w:rsid w:val="15CC6810"/>
    <w:rsid w:val="15D837B2"/>
    <w:rsid w:val="15DA46BA"/>
    <w:rsid w:val="15DF6E6C"/>
    <w:rsid w:val="15E44239"/>
    <w:rsid w:val="15F0490F"/>
    <w:rsid w:val="15F1786F"/>
    <w:rsid w:val="16013F56"/>
    <w:rsid w:val="160859C0"/>
    <w:rsid w:val="16094541"/>
    <w:rsid w:val="160D0AC0"/>
    <w:rsid w:val="160D6B52"/>
    <w:rsid w:val="161C2C2E"/>
    <w:rsid w:val="163065E9"/>
    <w:rsid w:val="16343DB8"/>
    <w:rsid w:val="163A1216"/>
    <w:rsid w:val="163B74A0"/>
    <w:rsid w:val="163D3B55"/>
    <w:rsid w:val="163E7610"/>
    <w:rsid w:val="16555FAF"/>
    <w:rsid w:val="165B4EA8"/>
    <w:rsid w:val="16610551"/>
    <w:rsid w:val="1666025D"/>
    <w:rsid w:val="16672801"/>
    <w:rsid w:val="16730284"/>
    <w:rsid w:val="16854567"/>
    <w:rsid w:val="1686445B"/>
    <w:rsid w:val="168662A0"/>
    <w:rsid w:val="16885CB3"/>
    <w:rsid w:val="168B7CC4"/>
    <w:rsid w:val="169010FC"/>
    <w:rsid w:val="1695135F"/>
    <w:rsid w:val="16AF05F0"/>
    <w:rsid w:val="16B067A9"/>
    <w:rsid w:val="16B26E02"/>
    <w:rsid w:val="16BA4105"/>
    <w:rsid w:val="16BD3139"/>
    <w:rsid w:val="16BE78FF"/>
    <w:rsid w:val="16C44F84"/>
    <w:rsid w:val="16CD5000"/>
    <w:rsid w:val="16D76D53"/>
    <w:rsid w:val="16E81266"/>
    <w:rsid w:val="16E92988"/>
    <w:rsid w:val="16EA2A74"/>
    <w:rsid w:val="16F67DB9"/>
    <w:rsid w:val="16F77107"/>
    <w:rsid w:val="16F94449"/>
    <w:rsid w:val="16FB6BF7"/>
    <w:rsid w:val="16FC296F"/>
    <w:rsid w:val="170434D7"/>
    <w:rsid w:val="17103D25"/>
    <w:rsid w:val="17127A9D"/>
    <w:rsid w:val="17254D7D"/>
    <w:rsid w:val="172C5003"/>
    <w:rsid w:val="172F2627"/>
    <w:rsid w:val="17370191"/>
    <w:rsid w:val="174A07CA"/>
    <w:rsid w:val="174E4D61"/>
    <w:rsid w:val="1759391E"/>
    <w:rsid w:val="175C5F2D"/>
    <w:rsid w:val="17620A24"/>
    <w:rsid w:val="176E48D7"/>
    <w:rsid w:val="178070FD"/>
    <w:rsid w:val="17844560"/>
    <w:rsid w:val="178D5376"/>
    <w:rsid w:val="179E7B25"/>
    <w:rsid w:val="17A76D0F"/>
    <w:rsid w:val="17AF2EE4"/>
    <w:rsid w:val="17B84AE8"/>
    <w:rsid w:val="17BE3EC1"/>
    <w:rsid w:val="17C34DED"/>
    <w:rsid w:val="17C47411"/>
    <w:rsid w:val="17C77C4C"/>
    <w:rsid w:val="17CB4368"/>
    <w:rsid w:val="17D9680D"/>
    <w:rsid w:val="17E83CFC"/>
    <w:rsid w:val="17EA0A1A"/>
    <w:rsid w:val="180208E2"/>
    <w:rsid w:val="180B1483"/>
    <w:rsid w:val="18153CE9"/>
    <w:rsid w:val="18175A0A"/>
    <w:rsid w:val="181B027E"/>
    <w:rsid w:val="181B64CB"/>
    <w:rsid w:val="1827001C"/>
    <w:rsid w:val="18312E22"/>
    <w:rsid w:val="18376D2B"/>
    <w:rsid w:val="1840063A"/>
    <w:rsid w:val="18411ED8"/>
    <w:rsid w:val="18422604"/>
    <w:rsid w:val="184C357E"/>
    <w:rsid w:val="184D72EA"/>
    <w:rsid w:val="184F1A6A"/>
    <w:rsid w:val="18525DDE"/>
    <w:rsid w:val="186E33F9"/>
    <w:rsid w:val="186F7F7D"/>
    <w:rsid w:val="187035F0"/>
    <w:rsid w:val="187404B4"/>
    <w:rsid w:val="188C4312"/>
    <w:rsid w:val="188E3D96"/>
    <w:rsid w:val="188F4FDE"/>
    <w:rsid w:val="189176EB"/>
    <w:rsid w:val="18967DA6"/>
    <w:rsid w:val="18AE64DD"/>
    <w:rsid w:val="18BE0F3B"/>
    <w:rsid w:val="18C27CB4"/>
    <w:rsid w:val="18D62DA6"/>
    <w:rsid w:val="18DD26A8"/>
    <w:rsid w:val="18E259B6"/>
    <w:rsid w:val="18F57417"/>
    <w:rsid w:val="18F646C7"/>
    <w:rsid w:val="18F733EE"/>
    <w:rsid w:val="18FC0A05"/>
    <w:rsid w:val="18FF2371"/>
    <w:rsid w:val="18FF56DE"/>
    <w:rsid w:val="191E6E5D"/>
    <w:rsid w:val="192710E8"/>
    <w:rsid w:val="1929482A"/>
    <w:rsid w:val="19371A3D"/>
    <w:rsid w:val="19377C8F"/>
    <w:rsid w:val="193C6728"/>
    <w:rsid w:val="194003CE"/>
    <w:rsid w:val="194A79C2"/>
    <w:rsid w:val="19583AE5"/>
    <w:rsid w:val="195C76E4"/>
    <w:rsid w:val="196F6E00"/>
    <w:rsid w:val="19832ED4"/>
    <w:rsid w:val="19857027"/>
    <w:rsid w:val="198E1CA7"/>
    <w:rsid w:val="199C7AF2"/>
    <w:rsid w:val="199F2EE8"/>
    <w:rsid w:val="19A363B1"/>
    <w:rsid w:val="19A50196"/>
    <w:rsid w:val="19B1359D"/>
    <w:rsid w:val="19B337B9"/>
    <w:rsid w:val="19B46FFB"/>
    <w:rsid w:val="19C05EFD"/>
    <w:rsid w:val="19C37000"/>
    <w:rsid w:val="19D74E70"/>
    <w:rsid w:val="19D918FD"/>
    <w:rsid w:val="19E65239"/>
    <w:rsid w:val="19E73463"/>
    <w:rsid w:val="19EF056A"/>
    <w:rsid w:val="19F4792E"/>
    <w:rsid w:val="19F62F44"/>
    <w:rsid w:val="19F706A7"/>
    <w:rsid w:val="19F917B4"/>
    <w:rsid w:val="1A00668C"/>
    <w:rsid w:val="1A047EC5"/>
    <w:rsid w:val="1A0754C4"/>
    <w:rsid w:val="1A082053"/>
    <w:rsid w:val="1A0E3CBA"/>
    <w:rsid w:val="1A141D7E"/>
    <w:rsid w:val="1A174E2B"/>
    <w:rsid w:val="1A1B310D"/>
    <w:rsid w:val="1A424B3D"/>
    <w:rsid w:val="1A491A28"/>
    <w:rsid w:val="1A5D69C2"/>
    <w:rsid w:val="1A644AB4"/>
    <w:rsid w:val="1A69031C"/>
    <w:rsid w:val="1A6B01BA"/>
    <w:rsid w:val="1A843A07"/>
    <w:rsid w:val="1A8707A2"/>
    <w:rsid w:val="1A89451A"/>
    <w:rsid w:val="1A8B0292"/>
    <w:rsid w:val="1A8B7BFC"/>
    <w:rsid w:val="1A91067A"/>
    <w:rsid w:val="1AA50C28"/>
    <w:rsid w:val="1AA97A75"/>
    <w:rsid w:val="1AAB53B4"/>
    <w:rsid w:val="1AC44E6A"/>
    <w:rsid w:val="1AC61440"/>
    <w:rsid w:val="1AC94917"/>
    <w:rsid w:val="1ACE4F05"/>
    <w:rsid w:val="1AF44089"/>
    <w:rsid w:val="1AF52C97"/>
    <w:rsid w:val="1B00154A"/>
    <w:rsid w:val="1B1069E9"/>
    <w:rsid w:val="1B122762"/>
    <w:rsid w:val="1B171B26"/>
    <w:rsid w:val="1B180A42"/>
    <w:rsid w:val="1B1978E7"/>
    <w:rsid w:val="1B28788F"/>
    <w:rsid w:val="1B291859"/>
    <w:rsid w:val="1B2A0B83"/>
    <w:rsid w:val="1B406EBD"/>
    <w:rsid w:val="1B455F02"/>
    <w:rsid w:val="1B493D2E"/>
    <w:rsid w:val="1B4A1757"/>
    <w:rsid w:val="1B4C0B03"/>
    <w:rsid w:val="1B5523B6"/>
    <w:rsid w:val="1B5F42AA"/>
    <w:rsid w:val="1B62691F"/>
    <w:rsid w:val="1B636B19"/>
    <w:rsid w:val="1B723E75"/>
    <w:rsid w:val="1B744685"/>
    <w:rsid w:val="1B7927E1"/>
    <w:rsid w:val="1B811E07"/>
    <w:rsid w:val="1B835D4B"/>
    <w:rsid w:val="1B8D1DE8"/>
    <w:rsid w:val="1B992F28"/>
    <w:rsid w:val="1B9A2D7E"/>
    <w:rsid w:val="1BA87763"/>
    <w:rsid w:val="1BA87B73"/>
    <w:rsid w:val="1BB9498B"/>
    <w:rsid w:val="1BC557F9"/>
    <w:rsid w:val="1BCC23F3"/>
    <w:rsid w:val="1BE55780"/>
    <w:rsid w:val="1BEA548C"/>
    <w:rsid w:val="1BEC47E8"/>
    <w:rsid w:val="1BED10B6"/>
    <w:rsid w:val="1BEE0CC5"/>
    <w:rsid w:val="1BEF65FF"/>
    <w:rsid w:val="1BF65F05"/>
    <w:rsid w:val="1C031A6F"/>
    <w:rsid w:val="1C03243E"/>
    <w:rsid w:val="1C033E58"/>
    <w:rsid w:val="1C0A0C28"/>
    <w:rsid w:val="1C0A1AD7"/>
    <w:rsid w:val="1C0C1273"/>
    <w:rsid w:val="1C0D11EB"/>
    <w:rsid w:val="1C0E32C6"/>
    <w:rsid w:val="1C116575"/>
    <w:rsid w:val="1C207DD0"/>
    <w:rsid w:val="1C2559A9"/>
    <w:rsid w:val="1C275D99"/>
    <w:rsid w:val="1C393276"/>
    <w:rsid w:val="1C3E141A"/>
    <w:rsid w:val="1C493F61"/>
    <w:rsid w:val="1C534DE8"/>
    <w:rsid w:val="1C591A3F"/>
    <w:rsid w:val="1C597898"/>
    <w:rsid w:val="1C5C5EE5"/>
    <w:rsid w:val="1C5C7C62"/>
    <w:rsid w:val="1C6012AB"/>
    <w:rsid w:val="1C6313EE"/>
    <w:rsid w:val="1C763BD4"/>
    <w:rsid w:val="1C8B58B3"/>
    <w:rsid w:val="1C913689"/>
    <w:rsid w:val="1C913B5A"/>
    <w:rsid w:val="1C945CD2"/>
    <w:rsid w:val="1C9F6277"/>
    <w:rsid w:val="1CAB1DC4"/>
    <w:rsid w:val="1CAC2742"/>
    <w:rsid w:val="1CB65E0D"/>
    <w:rsid w:val="1CC224AF"/>
    <w:rsid w:val="1CC75EB7"/>
    <w:rsid w:val="1CD06430"/>
    <w:rsid w:val="1CD24EBC"/>
    <w:rsid w:val="1CDF0421"/>
    <w:rsid w:val="1CE63540"/>
    <w:rsid w:val="1CEE4500"/>
    <w:rsid w:val="1CF36090"/>
    <w:rsid w:val="1CF739BD"/>
    <w:rsid w:val="1CFD229F"/>
    <w:rsid w:val="1D0460DA"/>
    <w:rsid w:val="1D091FCB"/>
    <w:rsid w:val="1D0B2B22"/>
    <w:rsid w:val="1D0E7033"/>
    <w:rsid w:val="1D18415F"/>
    <w:rsid w:val="1D1915BC"/>
    <w:rsid w:val="1D1E5806"/>
    <w:rsid w:val="1D2815CA"/>
    <w:rsid w:val="1D2E4F3E"/>
    <w:rsid w:val="1D387FB7"/>
    <w:rsid w:val="1D481582"/>
    <w:rsid w:val="1D533EED"/>
    <w:rsid w:val="1D6112F9"/>
    <w:rsid w:val="1D655CE4"/>
    <w:rsid w:val="1D702945"/>
    <w:rsid w:val="1D71337C"/>
    <w:rsid w:val="1D8334A3"/>
    <w:rsid w:val="1D93098C"/>
    <w:rsid w:val="1D9A259A"/>
    <w:rsid w:val="1D9A6717"/>
    <w:rsid w:val="1DA712BF"/>
    <w:rsid w:val="1DAC2BE5"/>
    <w:rsid w:val="1DAC6819"/>
    <w:rsid w:val="1DB16738"/>
    <w:rsid w:val="1DB340C8"/>
    <w:rsid w:val="1DB51D3F"/>
    <w:rsid w:val="1DB80714"/>
    <w:rsid w:val="1DBF5D2A"/>
    <w:rsid w:val="1DC25D24"/>
    <w:rsid w:val="1DC31AF1"/>
    <w:rsid w:val="1DC60F93"/>
    <w:rsid w:val="1DC745C9"/>
    <w:rsid w:val="1DCD0004"/>
    <w:rsid w:val="1DD7666A"/>
    <w:rsid w:val="1DD9528A"/>
    <w:rsid w:val="1DD957B9"/>
    <w:rsid w:val="1DED2CE3"/>
    <w:rsid w:val="1DF0613F"/>
    <w:rsid w:val="1DF4614E"/>
    <w:rsid w:val="1DF70DCA"/>
    <w:rsid w:val="1DFB7964"/>
    <w:rsid w:val="1E256308"/>
    <w:rsid w:val="1E3E5BD7"/>
    <w:rsid w:val="1E561FFB"/>
    <w:rsid w:val="1E566961"/>
    <w:rsid w:val="1E592455"/>
    <w:rsid w:val="1E62755C"/>
    <w:rsid w:val="1E6E4738"/>
    <w:rsid w:val="1E8025FF"/>
    <w:rsid w:val="1E827BFE"/>
    <w:rsid w:val="1E8A260F"/>
    <w:rsid w:val="1E912BAE"/>
    <w:rsid w:val="1EA25BAA"/>
    <w:rsid w:val="1EB1097C"/>
    <w:rsid w:val="1EB57D18"/>
    <w:rsid w:val="1EBA1A91"/>
    <w:rsid w:val="1EC475AC"/>
    <w:rsid w:val="1EC72883"/>
    <w:rsid w:val="1ECA7405"/>
    <w:rsid w:val="1EDB10BC"/>
    <w:rsid w:val="1EDE6C90"/>
    <w:rsid w:val="1EE2244B"/>
    <w:rsid w:val="1EF108E0"/>
    <w:rsid w:val="1EF758CE"/>
    <w:rsid w:val="1F022AED"/>
    <w:rsid w:val="1F0501FE"/>
    <w:rsid w:val="1F071EB1"/>
    <w:rsid w:val="1F0721B9"/>
    <w:rsid w:val="1F0A2DC4"/>
    <w:rsid w:val="1F0B3750"/>
    <w:rsid w:val="1F337B20"/>
    <w:rsid w:val="1F3D66B9"/>
    <w:rsid w:val="1F4B4494"/>
    <w:rsid w:val="1F4F2107"/>
    <w:rsid w:val="1F534EE6"/>
    <w:rsid w:val="1F5A1B02"/>
    <w:rsid w:val="1F5E41C7"/>
    <w:rsid w:val="1F5F55A7"/>
    <w:rsid w:val="1F656614"/>
    <w:rsid w:val="1F737547"/>
    <w:rsid w:val="1F770F9A"/>
    <w:rsid w:val="1F8A4FBC"/>
    <w:rsid w:val="1FA871F0"/>
    <w:rsid w:val="1FAA740D"/>
    <w:rsid w:val="1FB82425"/>
    <w:rsid w:val="1FBF278C"/>
    <w:rsid w:val="1FC13DE7"/>
    <w:rsid w:val="1FC644C7"/>
    <w:rsid w:val="1FCB7383"/>
    <w:rsid w:val="1FD20711"/>
    <w:rsid w:val="1FD2426D"/>
    <w:rsid w:val="1FE04BDC"/>
    <w:rsid w:val="1FE757A7"/>
    <w:rsid w:val="1FEF06A5"/>
    <w:rsid w:val="1FF6190D"/>
    <w:rsid w:val="20071A23"/>
    <w:rsid w:val="200D1A0E"/>
    <w:rsid w:val="200E08AD"/>
    <w:rsid w:val="200F5451"/>
    <w:rsid w:val="20153FDC"/>
    <w:rsid w:val="202A22FB"/>
    <w:rsid w:val="202F346E"/>
    <w:rsid w:val="20313896"/>
    <w:rsid w:val="203837CC"/>
    <w:rsid w:val="204A64FA"/>
    <w:rsid w:val="204E45CB"/>
    <w:rsid w:val="20581A70"/>
    <w:rsid w:val="20634078"/>
    <w:rsid w:val="206550E2"/>
    <w:rsid w:val="20686980"/>
    <w:rsid w:val="206D1E19"/>
    <w:rsid w:val="20704CAA"/>
    <w:rsid w:val="207672EF"/>
    <w:rsid w:val="207E61A3"/>
    <w:rsid w:val="20815033"/>
    <w:rsid w:val="20875058"/>
    <w:rsid w:val="20926034"/>
    <w:rsid w:val="2093275E"/>
    <w:rsid w:val="2096173F"/>
    <w:rsid w:val="20A7674E"/>
    <w:rsid w:val="20AB3FFE"/>
    <w:rsid w:val="20B56020"/>
    <w:rsid w:val="20B73609"/>
    <w:rsid w:val="20BC445C"/>
    <w:rsid w:val="20BD316F"/>
    <w:rsid w:val="20C42253"/>
    <w:rsid w:val="20C669B1"/>
    <w:rsid w:val="20CE0ED9"/>
    <w:rsid w:val="20D33EC0"/>
    <w:rsid w:val="20DA6A4C"/>
    <w:rsid w:val="20E8429C"/>
    <w:rsid w:val="20EC5ACC"/>
    <w:rsid w:val="20F1665F"/>
    <w:rsid w:val="20FA3A7C"/>
    <w:rsid w:val="21022930"/>
    <w:rsid w:val="21026DD4"/>
    <w:rsid w:val="21062BD2"/>
    <w:rsid w:val="21117F0D"/>
    <w:rsid w:val="21136725"/>
    <w:rsid w:val="21294361"/>
    <w:rsid w:val="213170F5"/>
    <w:rsid w:val="213B45FD"/>
    <w:rsid w:val="213F33F8"/>
    <w:rsid w:val="2143557D"/>
    <w:rsid w:val="214772D8"/>
    <w:rsid w:val="21505D92"/>
    <w:rsid w:val="21556F04"/>
    <w:rsid w:val="215918F2"/>
    <w:rsid w:val="216120CE"/>
    <w:rsid w:val="21620BCB"/>
    <w:rsid w:val="21724815"/>
    <w:rsid w:val="217355DC"/>
    <w:rsid w:val="21774099"/>
    <w:rsid w:val="217A0D21"/>
    <w:rsid w:val="218B6DCA"/>
    <w:rsid w:val="218E07CB"/>
    <w:rsid w:val="219929B6"/>
    <w:rsid w:val="219F4623"/>
    <w:rsid w:val="21A508CA"/>
    <w:rsid w:val="21AD1EB6"/>
    <w:rsid w:val="21B26104"/>
    <w:rsid w:val="21B55A10"/>
    <w:rsid w:val="21BC01FF"/>
    <w:rsid w:val="21CB5506"/>
    <w:rsid w:val="21CB71C6"/>
    <w:rsid w:val="21EC3BFB"/>
    <w:rsid w:val="21F3054D"/>
    <w:rsid w:val="21FE134A"/>
    <w:rsid w:val="220C2A23"/>
    <w:rsid w:val="22110F39"/>
    <w:rsid w:val="221768AF"/>
    <w:rsid w:val="2237202F"/>
    <w:rsid w:val="22396826"/>
    <w:rsid w:val="225B679C"/>
    <w:rsid w:val="22642241"/>
    <w:rsid w:val="22645C93"/>
    <w:rsid w:val="22746369"/>
    <w:rsid w:val="227B064F"/>
    <w:rsid w:val="228A7081"/>
    <w:rsid w:val="228C411B"/>
    <w:rsid w:val="229718EC"/>
    <w:rsid w:val="22A57CD4"/>
    <w:rsid w:val="22AC349C"/>
    <w:rsid w:val="22BB4743"/>
    <w:rsid w:val="22C24A6D"/>
    <w:rsid w:val="22C32593"/>
    <w:rsid w:val="22D87B91"/>
    <w:rsid w:val="22E15126"/>
    <w:rsid w:val="22E872A9"/>
    <w:rsid w:val="22EC2114"/>
    <w:rsid w:val="22EC5646"/>
    <w:rsid w:val="22EE6C9F"/>
    <w:rsid w:val="22F664C5"/>
    <w:rsid w:val="22F776BE"/>
    <w:rsid w:val="22FD1E13"/>
    <w:rsid w:val="2309444A"/>
    <w:rsid w:val="230B41CC"/>
    <w:rsid w:val="23115296"/>
    <w:rsid w:val="23137077"/>
    <w:rsid w:val="2321272F"/>
    <w:rsid w:val="23255A39"/>
    <w:rsid w:val="232C4320"/>
    <w:rsid w:val="23304983"/>
    <w:rsid w:val="2331340E"/>
    <w:rsid w:val="23377209"/>
    <w:rsid w:val="23425BAE"/>
    <w:rsid w:val="23464BA2"/>
    <w:rsid w:val="234D2C8B"/>
    <w:rsid w:val="23502079"/>
    <w:rsid w:val="23543D8C"/>
    <w:rsid w:val="23586F64"/>
    <w:rsid w:val="23696C97"/>
    <w:rsid w:val="23712A6C"/>
    <w:rsid w:val="2374318A"/>
    <w:rsid w:val="23767DCF"/>
    <w:rsid w:val="238D507B"/>
    <w:rsid w:val="239A7714"/>
    <w:rsid w:val="23A75A11"/>
    <w:rsid w:val="23B352BD"/>
    <w:rsid w:val="23B5012E"/>
    <w:rsid w:val="23BF2D5B"/>
    <w:rsid w:val="23C7465C"/>
    <w:rsid w:val="23CB0D4C"/>
    <w:rsid w:val="23DB7146"/>
    <w:rsid w:val="23DE1474"/>
    <w:rsid w:val="23E22FB3"/>
    <w:rsid w:val="23F1087C"/>
    <w:rsid w:val="23F944BF"/>
    <w:rsid w:val="23FC5116"/>
    <w:rsid w:val="240510B5"/>
    <w:rsid w:val="240B274F"/>
    <w:rsid w:val="24243DF9"/>
    <w:rsid w:val="24266C9B"/>
    <w:rsid w:val="24267C6A"/>
    <w:rsid w:val="242F6132"/>
    <w:rsid w:val="2432177F"/>
    <w:rsid w:val="24335835"/>
    <w:rsid w:val="2440624C"/>
    <w:rsid w:val="244250D8"/>
    <w:rsid w:val="244B2FF3"/>
    <w:rsid w:val="24572C8C"/>
    <w:rsid w:val="245E7725"/>
    <w:rsid w:val="246248CE"/>
    <w:rsid w:val="24673AAE"/>
    <w:rsid w:val="246A16D9"/>
    <w:rsid w:val="247D4DF1"/>
    <w:rsid w:val="247F2563"/>
    <w:rsid w:val="248144B4"/>
    <w:rsid w:val="24973CD7"/>
    <w:rsid w:val="249D68B5"/>
    <w:rsid w:val="24A47947"/>
    <w:rsid w:val="24A7024A"/>
    <w:rsid w:val="24A87C93"/>
    <w:rsid w:val="24B55730"/>
    <w:rsid w:val="24C42EA1"/>
    <w:rsid w:val="24C50845"/>
    <w:rsid w:val="24C70119"/>
    <w:rsid w:val="24D619E2"/>
    <w:rsid w:val="24D623BD"/>
    <w:rsid w:val="24DE781C"/>
    <w:rsid w:val="24EC4023"/>
    <w:rsid w:val="24F6750E"/>
    <w:rsid w:val="25014CB5"/>
    <w:rsid w:val="250A3661"/>
    <w:rsid w:val="250B278E"/>
    <w:rsid w:val="25123F61"/>
    <w:rsid w:val="2513335E"/>
    <w:rsid w:val="251610A0"/>
    <w:rsid w:val="251E60B7"/>
    <w:rsid w:val="2527505B"/>
    <w:rsid w:val="25302CB0"/>
    <w:rsid w:val="25307900"/>
    <w:rsid w:val="253F7A39"/>
    <w:rsid w:val="25434E5B"/>
    <w:rsid w:val="2547125A"/>
    <w:rsid w:val="254E4396"/>
    <w:rsid w:val="255B4775"/>
    <w:rsid w:val="25651A3C"/>
    <w:rsid w:val="256839EE"/>
    <w:rsid w:val="25744FC0"/>
    <w:rsid w:val="257A63F2"/>
    <w:rsid w:val="257B6812"/>
    <w:rsid w:val="25AB6FE2"/>
    <w:rsid w:val="25AE5DB5"/>
    <w:rsid w:val="25B67456"/>
    <w:rsid w:val="25B763DF"/>
    <w:rsid w:val="25BA29FC"/>
    <w:rsid w:val="25BC39F6"/>
    <w:rsid w:val="25CD7FFD"/>
    <w:rsid w:val="25DB68DF"/>
    <w:rsid w:val="25E06C99"/>
    <w:rsid w:val="25E07FA5"/>
    <w:rsid w:val="25FF38E2"/>
    <w:rsid w:val="26013AFE"/>
    <w:rsid w:val="26045AA9"/>
    <w:rsid w:val="260627F9"/>
    <w:rsid w:val="26062EC3"/>
    <w:rsid w:val="26130286"/>
    <w:rsid w:val="26153106"/>
    <w:rsid w:val="26193C70"/>
    <w:rsid w:val="261A696E"/>
    <w:rsid w:val="261F21D6"/>
    <w:rsid w:val="26213859"/>
    <w:rsid w:val="26235823"/>
    <w:rsid w:val="26267822"/>
    <w:rsid w:val="26294A52"/>
    <w:rsid w:val="26323CB8"/>
    <w:rsid w:val="26325A66"/>
    <w:rsid w:val="2637307C"/>
    <w:rsid w:val="26402F77"/>
    <w:rsid w:val="265005E2"/>
    <w:rsid w:val="265A07B5"/>
    <w:rsid w:val="265E74E7"/>
    <w:rsid w:val="266D1506"/>
    <w:rsid w:val="26751385"/>
    <w:rsid w:val="267955EB"/>
    <w:rsid w:val="267F38A9"/>
    <w:rsid w:val="26816A49"/>
    <w:rsid w:val="268362C1"/>
    <w:rsid w:val="268A769C"/>
    <w:rsid w:val="26906C30"/>
    <w:rsid w:val="26977FBF"/>
    <w:rsid w:val="269E134D"/>
    <w:rsid w:val="26A40106"/>
    <w:rsid w:val="26A5092E"/>
    <w:rsid w:val="26BA027D"/>
    <w:rsid w:val="26C058B0"/>
    <w:rsid w:val="26C50688"/>
    <w:rsid w:val="26D365F5"/>
    <w:rsid w:val="26DD0F52"/>
    <w:rsid w:val="26E702DA"/>
    <w:rsid w:val="26E86A6C"/>
    <w:rsid w:val="26F3332D"/>
    <w:rsid w:val="26F43BE7"/>
    <w:rsid w:val="26FC6503"/>
    <w:rsid w:val="270C5546"/>
    <w:rsid w:val="271067A9"/>
    <w:rsid w:val="27160E30"/>
    <w:rsid w:val="27160EE4"/>
    <w:rsid w:val="271B0BF0"/>
    <w:rsid w:val="272162DF"/>
    <w:rsid w:val="27274296"/>
    <w:rsid w:val="27276799"/>
    <w:rsid w:val="272F6449"/>
    <w:rsid w:val="273830D5"/>
    <w:rsid w:val="273F3A23"/>
    <w:rsid w:val="273F48DE"/>
    <w:rsid w:val="274078D4"/>
    <w:rsid w:val="2743644D"/>
    <w:rsid w:val="274517C9"/>
    <w:rsid w:val="27473793"/>
    <w:rsid w:val="274742E6"/>
    <w:rsid w:val="27493CC8"/>
    <w:rsid w:val="2774529A"/>
    <w:rsid w:val="27750E70"/>
    <w:rsid w:val="278F0C96"/>
    <w:rsid w:val="279B7DAF"/>
    <w:rsid w:val="279D33B3"/>
    <w:rsid w:val="27A110F5"/>
    <w:rsid w:val="27A63FB2"/>
    <w:rsid w:val="27AE5001"/>
    <w:rsid w:val="27B52860"/>
    <w:rsid w:val="27C74D73"/>
    <w:rsid w:val="27D52B4D"/>
    <w:rsid w:val="27D838A4"/>
    <w:rsid w:val="27D92A14"/>
    <w:rsid w:val="27DB3EDB"/>
    <w:rsid w:val="27E911A2"/>
    <w:rsid w:val="27EB05C2"/>
    <w:rsid w:val="27EB67A8"/>
    <w:rsid w:val="27FC457D"/>
    <w:rsid w:val="280B2A12"/>
    <w:rsid w:val="280C0EE1"/>
    <w:rsid w:val="280E605F"/>
    <w:rsid w:val="28223878"/>
    <w:rsid w:val="282F2844"/>
    <w:rsid w:val="283717E8"/>
    <w:rsid w:val="283E1250"/>
    <w:rsid w:val="28461906"/>
    <w:rsid w:val="284B3F39"/>
    <w:rsid w:val="285267E0"/>
    <w:rsid w:val="28572942"/>
    <w:rsid w:val="28640594"/>
    <w:rsid w:val="28667C49"/>
    <w:rsid w:val="286A05DF"/>
    <w:rsid w:val="287549B2"/>
    <w:rsid w:val="287A5EB2"/>
    <w:rsid w:val="2881114B"/>
    <w:rsid w:val="28812165"/>
    <w:rsid w:val="28836B90"/>
    <w:rsid w:val="28866DB6"/>
    <w:rsid w:val="288D78CB"/>
    <w:rsid w:val="288E205C"/>
    <w:rsid w:val="28961043"/>
    <w:rsid w:val="28A0124C"/>
    <w:rsid w:val="28A644E9"/>
    <w:rsid w:val="28B37BA6"/>
    <w:rsid w:val="28C035D0"/>
    <w:rsid w:val="28C130D1"/>
    <w:rsid w:val="28CB1816"/>
    <w:rsid w:val="28CB21A2"/>
    <w:rsid w:val="28CD7CC8"/>
    <w:rsid w:val="28D01566"/>
    <w:rsid w:val="28D32592"/>
    <w:rsid w:val="28D55843"/>
    <w:rsid w:val="28D93BC8"/>
    <w:rsid w:val="28E01663"/>
    <w:rsid w:val="28E05C4D"/>
    <w:rsid w:val="28E91907"/>
    <w:rsid w:val="28F90ABD"/>
    <w:rsid w:val="28FF11E9"/>
    <w:rsid w:val="290870F3"/>
    <w:rsid w:val="290A2933"/>
    <w:rsid w:val="291557EC"/>
    <w:rsid w:val="291A6D3C"/>
    <w:rsid w:val="291B4ED7"/>
    <w:rsid w:val="29254873"/>
    <w:rsid w:val="29347D47"/>
    <w:rsid w:val="29363ABF"/>
    <w:rsid w:val="293D4E4D"/>
    <w:rsid w:val="293E4C82"/>
    <w:rsid w:val="29496E1F"/>
    <w:rsid w:val="295C2DFA"/>
    <w:rsid w:val="29622CFD"/>
    <w:rsid w:val="296E03FD"/>
    <w:rsid w:val="296E3259"/>
    <w:rsid w:val="2970665E"/>
    <w:rsid w:val="29737ECE"/>
    <w:rsid w:val="29780EB9"/>
    <w:rsid w:val="297865A0"/>
    <w:rsid w:val="29A22BC6"/>
    <w:rsid w:val="29A472B2"/>
    <w:rsid w:val="29AB632D"/>
    <w:rsid w:val="29B073EC"/>
    <w:rsid w:val="29BC3880"/>
    <w:rsid w:val="29C10541"/>
    <w:rsid w:val="29C275A9"/>
    <w:rsid w:val="29C37F84"/>
    <w:rsid w:val="29CE5AA6"/>
    <w:rsid w:val="29D05CC2"/>
    <w:rsid w:val="29DA02BC"/>
    <w:rsid w:val="29E83666"/>
    <w:rsid w:val="29F179E6"/>
    <w:rsid w:val="29F72AE8"/>
    <w:rsid w:val="29F82DB7"/>
    <w:rsid w:val="2A0A6F5C"/>
    <w:rsid w:val="2A193E5F"/>
    <w:rsid w:val="2A1C540B"/>
    <w:rsid w:val="2A2C70AC"/>
    <w:rsid w:val="2A2E5413"/>
    <w:rsid w:val="2A473AAA"/>
    <w:rsid w:val="2A641DB6"/>
    <w:rsid w:val="2A666EC7"/>
    <w:rsid w:val="2A703311"/>
    <w:rsid w:val="2A7051A6"/>
    <w:rsid w:val="2A7F0B0C"/>
    <w:rsid w:val="2A8470CD"/>
    <w:rsid w:val="2A88034A"/>
    <w:rsid w:val="2A88134C"/>
    <w:rsid w:val="2AB47391"/>
    <w:rsid w:val="2AB55D43"/>
    <w:rsid w:val="2AC773CA"/>
    <w:rsid w:val="2AC77926"/>
    <w:rsid w:val="2ACA0916"/>
    <w:rsid w:val="2ACE369E"/>
    <w:rsid w:val="2ACF5F79"/>
    <w:rsid w:val="2AD82AF2"/>
    <w:rsid w:val="2ADD5F2C"/>
    <w:rsid w:val="2ADF1E1A"/>
    <w:rsid w:val="2ADF6F1D"/>
    <w:rsid w:val="2AE33AC3"/>
    <w:rsid w:val="2AEB6F38"/>
    <w:rsid w:val="2B044A78"/>
    <w:rsid w:val="2B112A68"/>
    <w:rsid w:val="2B1C50B3"/>
    <w:rsid w:val="2B1F1C61"/>
    <w:rsid w:val="2B2572A2"/>
    <w:rsid w:val="2B2B7A8C"/>
    <w:rsid w:val="2B33576D"/>
    <w:rsid w:val="2B354638"/>
    <w:rsid w:val="2B3C1135"/>
    <w:rsid w:val="2B416458"/>
    <w:rsid w:val="2B485B34"/>
    <w:rsid w:val="2B4A5935"/>
    <w:rsid w:val="2B5320D8"/>
    <w:rsid w:val="2B577D1D"/>
    <w:rsid w:val="2B5E10AB"/>
    <w:rsid w:val="2B612B37"/>
    <w:rsid w:val="2B6153CD"/>
    <w:rsid w:val="2B6A7E91"/>
    <w:rsid w:val="2B6E5792"/>
    <w:rsid w:val="2B770BCB"/>
    <w:rsid w:val="2B793FF1"/>
    <w:rsid w:val="2B887331"/>
    <w:rsid w:val="2B98481C"/>
    <w:rsid w:val="2B9A5803"/>
    <w:rsid w:val="2B9B22FF"/>
    <w:rsid w:val="2BAA1DCD"/>
    <w:rsid w:val="2BB04C1D"/>
    <w:rsid w:val="2BB1379A"/>
    <w:rsid w:val="2BB42873"/>
    <w:rsid w:val="2BC03124"/>
    <w:rsid w:val="2BD67AA7"/>
    <w:rsid w:val="2BDE5087"/>
    <w:rsid w:val="2BE21CDC"/>
    <w:rsid w:val="2BE75544"/>
    <w:rsid w:val="2BF10305"/>
    <w:rsid w:val="2C11436F"/>
    <w:rsid w:val="2C1D30CB"/>
    <w:rsid w:val="2C2939D2"/>
    <w:rsid w:val="2C2C73FB"/>
    <w:rsid w:val="2C2E3367"/>
    <w:rsid w:val="2C304E03"/>
    <w:rsid w:val="2C306ED5"/>
    <w:rsid w:val="2C312C7A"/>
    <w:rsid w:val="2C4B5AD3"/>
    <w:rsid w:val="2C5806F8"/>
    <w:rsid w:val="2C5E7EC2"/>
    <w:rsid w:val="2C634974"/>
    <w:rsid w:val="2C646B95"/>
    <w:rsid w:val="2C732454"/>
    <w:rsid w:val="2C744761"/>
    <w:rsid w:val="2C8362B3"/>
    <w:rsid w:val="2C8940E7"/>
    <w:rsid w:val="2C9E5516"/>
    <w:rsid w:val="2CA00A30"/>
    <w:rsid w:val="2CA62DB0"/>
    <w:rsid w:val="2CB5192D"/>
    <w:rsid w:val="2CB72433"/>
    <w:rsid w:val="2CD71115"/>
    <w:rsid w:val="2CD972C0"/>
    <w:rsid w:val="2CE16F53"/>
    <w:rsid w:val="2CF0507D"/>
    <w:rsid w:val="2CFA3055"/>
    <w:rsid w:val="2CFD6054"/>
    <w:rsid w:val="2D2F7924"/>
    <w:rsid w:val="2D3F5F8F"/>
    <w:rsid w:val="2D3F7205"/>
    <w:rsid w:val="2D4367AA"/>
    <w:rsid w:val="2D652BC5"/>
    <w:rsid w:val="2D7746A6"/>
    <w:rsid w:val="2D7A26A0"/>
    <w:rsid w:val="2D823A4A"/>
    <w:rsid w:val="2D86246C"/>
    <w:rsid w:val="2D8F7F0C"/>
    <w:rsid w:val="2D94105E"/>
    <w:rsid w:val="2D9E1C33"/>
    <w:rsid w:val="2DB41456"/>
    <w:rsid w:val="2DB63CB2"/>
    <w:rsid w:val="2DC37FE4"/>
    <w:rsid w:val="2DC82019"/>
    <w:rsid w:val="2DC84F02"/>
    <w:rsid w:val="2DCB7498"/>
    <w:rsid w:val="2DDC2FDC"/>
    <w:rsid w:val="2DEC7250"/>
    <w:rsid w:val="2DFB7085"/>
    <w:rsid w:val="2E001D16"/>
    <w:rsid w:val="2E093082"/>
    <w:rsid w:val="2E152A96"/>
    <w:rsid w:val="2E166CE2"/>
    <w:rsid w:val="2E1A5264"/>
    <w:rsid w:val="2E1B3283"/>
    <w:rsid w:val="2E1C1F39"/>
    <w:rsid w:val="2E1F2D74"/>
    <w:rsid w:val="2E21755E"/>
    <w:rsid w:val="2E262354"/>
    <w:rsid w:val="2E2A34C6"/>
    <w:rsid w:val="2E374265"/>
    <w:rsid w:val="2E477577"/>
    <w:rsid w:val="2E4A36A5"/>
    <w:rsid w:val="2E4B6342"/>
    <w:rsid w:val="2E586031"/>
    <w:rsid w:val="2E5C3FC8"/>
    <w:rsid w:val="2E6114CE"/>
    <w:rsid w:val="2E644C2A"/>
    <w:rsid w:val="2E6F11C8"/>
    <w:rsid w:val="2E7C5660"/>
    <w:rsid w:val="2E7E05A3"/>
    <w:rsid w:val="2E7E7AC0"/>
    <w:rsid w:val="2E802256"/>
    <w:rsid w:val="2E861045"/>
    <w:rsid w:val="2E8B665B"/>
    <w:rsid w:val="2E915104"/>
    <w:rsid w:val="2E993BB9"/>
    <w:rsid w:val="2E9E3F59"/>
    <w:rsid w:val="2EAA1093"/>
    <w:rsid w:val="2EAA5780"/>
    <w:rsid w:val="2EB81960"/>
    <w:rsid w:val="2EC102CF"/>
    <w:rsid w:val="2EC53C89"/>
    <w:rsid w:val="2EC61441"/>
    <w:rsid w:val="2EC83B55"/>
    <w:rsid w:val="2EC91E34"/>
    <w:rsid w:val="2EE025CF"/>
    <w:rsid w:val="2EE20953"/>
    <w:rsid w:val="2EE25DB8"/>
    <w:rsid w:val="2EEE69F0"/>
    <w:rsid w:val="2EFF781A"/>
    <w:rsid w:val="2F052F06"/>
    <w:rsid w:val="2F077293"/>
    <w:rsid w:val="2F1C5DDF"/>
    <w:rsid w:val="2F212B1B"/>
    <w:rsid w:val="2F2A1F1F"/>
    <w:rsid w:val="2F336603"/>
    <w:rsid w:val="2F37290F"/>
    <w:rsid w:val="2F3B5F5F"/>
    <w:rsid w:val="2F3E7229"/>
    <w:rsid w:val="2F4330D2"/>
    <w:rsid w:val="2F434A43"/>
    <w:rsid w:val="2F485FCE"/>
    <w:rsid w:val="2F4D2622"/>
    <w:rsid w:val="2F580D5E"/>
    <w:rsid w:val="2F587352"/>
    <w:rsid w:val="2F5922B5"/>
    <w:rsid w:val="2F5B51E4"/>
    <w:rsid w:val="2F63550A"/>
    <w:rsid w:val="2F6720D5"/>
    <w:rsid w:val="2F6D3359"/>
    <w:rsid w:val="2F6F675B"/>
    <w:rsid w:val="2F6F7D2B"/>
    <w:rsid w:val="2F7C0313"/>
    <w:rsid w:val="2F7D06EE"/>
    <w:rsid w:val="2F7D7421"/>
    <w:rsid w:val="2F9731B8"/>
    <w:rsid w:val="2F9919E3"/>
    <w:rsid w:val="2F99462E"/>
    <w:rsid w:val="2FA057E5"/>
    <w:rsid w:val="2FA31782"/>
    <w:rsid w:val="2FA42C21"/>
    <w:rsid w:val="2FAC4ADB"/>
    <w:rsid w:val="2FB37B46"/>
    <w:rsid w:val="2FB50143"/>
    <w:rsid w:val="2FB55877"/>
    <w:rsid w:val="2FBB6AD2"/>
    <w:rsid w:val="2FC13683"/>
    <w:rsid w:val="2FC811E9"/>
    <w:rsid w:val="2FC86E69"/>
    <w:rsid w:val="2FCE2436"/>
    <w:rsid w:val="2FD46BE2"/>
    <w:rsid w:val="2FE31B5A"/>
    <w:rsid w:val="2FE6518C"/>
    <w:rsid w:val="2FF24BE6"/>
    <w:rsid w:val="30002140"/>
    <w:rsid w:val="30032B15"/>
    <w:rsid w:val="30110DE2"/>
    <w:rsid w:val="3020304D"/>
    <w:rsid w:val="302E1ED7"/>
    <w:rsid w:val="302E54F0"/>
    <w:rsid w:val="303643A5"/>
    <w:rsid w:val="303D3985"/>
    <w:rsid w:val="303D548F"/>
    <w:rsid w:val="3040525F"/>
    <w:rsid w:val="304765B2"/>
    <w:rsid w:val="304A570C"/>
    <w:rsid w:val="304D46A3"/>
    <w:rsid w:val="305667F5"/>
    <w:rsid w:val="305807BF"/>
    <w:rsid w:val="305F1531"/>
    <w:rsid w:val="30685E5A"/>
    <w:rsid w:val="306C02DB"/>
    <w:rsid w:val="307153DD"/>
    <w:rsid w:val="30790154"/>
    <w:rsid w:val="307F5D4C"/>
    <w:rsid w:val="307F6B86"/>
    <w:rsid w:val="308C66BA"/>
    <w:rsid w:val="30930BBC"/>
    <w:rsid w:val="309D2676"/>
    <w:rsid w:val="30AB4D93"/>
    <w:rsid w:val="30B1084C"/>
    <w:rsid w:val="30B359F5"/>
    <w:rsid w:val="30B9458F"/>
    <w:rsid w:val="30BC6C2B"/>
    <w:rsid w:val="30C714A1"/>
    <w:rsid w:val="30C9346B"/>
    <w:rsid w:val="30CC1D15"/>
    <w:rsid w:val="30D342E9"/>
    <w:rsid w:val="30DA7426"/>
    <w:rsid w:val="30FC55EE"/>
    <w:rsid w:val="30FD1786"/>
    <w:rsid w:val="30FF0C3A"/>
    <w:rsid w:val="31016CBF"/>
    <w:rsid w:val="3118459C"/>
    <w:rsid w:val="311B1C01"/>
    <w:rsid w:val="31211E30"/>
    <w:rsid w:val="31224929"/>
    <w:rsid w:val="312B7C81"/>
    <w:rsid w:val="312C2ADC"/>
    <w:rsid w:val="313E02B9"/>
    <w:rsid w:val="31457899"/>
    <w:rsid w:val="314C318D"/>
    <w:rsid w:val="314E49B7"/>
    <w:rsid w:val="31505F30"/>
    <w:rsid w:val="315665D0"/>
    <w:rsid w:val="31603DCF"/>
    <w:rsid w:val="31644EEA"/>
    <w:rsid w:val="3165754D"/>
    <w:rsid w:val="317103B9"/>
    <w:rsid w:val="317A35F1"/>
    <w:rsid w:val="318149A9"/>
    <w:rsid w:val="31817793"/>
    <w:rsid w:val="318500EE"/>
    <w:rsid w:val="31943A79"/>
    <w:rsid w:val="319B6BB5"/>
    <w:rsid w:val="319F0414"/>
    <w:rsid w:val="319F049E"/>
    <w:rsid w:val="31A33CBC"/>
    <w:rsid w:val="31AF08B2"/>
    <w:rsid w:val="31B05567"/>
    <w:rsid w:val="31B05E8F"/>
    <w:rsid w:val="31B76E31"/>
    <w:rsid w:val="31D351B2"/>
    <w:rsid w:val="31D63E0A"/>
    <w:rsid w:val="31DD576A"/>
    <w:rsid w:val="31DE4B6A"/>
    <w:rsid w:val="31E57E30"/>
    <w:rsid w:val="31EE13DB"/>
    <w:rsid w:val="31FA2731"/>
    <w:rsid w:val="320209E2"/>
    <w:rsid w:val="32103F8A"/>
    <w:rsid w:val="3212499D"/>
    <w:rsid w:val="321B7E85"/>
    <w:rsid w:val="321C6B1B"/>
    <w:rsid w:val="322318A7"/>
    <w:rsid w:val="323D3E08"/>
    <w:rsid w:val="32421F81"/>
    <w:rsid w:val="32607DFF"/>
    <w:rsid w:val="326336E7"/>
    <w:rsid w:val="3264169D"/>
    <w:rsid w:val="326B3886"/>
    <w:rsid w:val="326D554A"/>
    <w:rsid w:val="3279456F"/>
    <w:rsid w:val="328567B7"/>
    <w:rsid w:val="328A6450"/>
    <w:rsid w:val="328A6C2A"/>
    <w:rsid w:val="328F0991"/>
    <w:rsid w:val="328F70FD"/>
    <w:rsid w:val="32963820"/>
    <w:rsid w:val="3299475B"/>
    <w:rsid w:val="329D596A"/>
    <w:rsid w:val="32AC2736"/>
    <w:rsid w:val="32AD47A6"/>
    <w:rsid w:val="32B36180"/>
    <w:rsid w:val="32B51EF8"/>
    <w:rsid w:val="32BA0C51"/>
    <w:rsid w:val="32BE1991"/>
    <w:rsid w:val="32CB171C"/>
    <w:rsid w:val="32CF7359"/>
    <w:rsid w:val="32D61E6F"/>
    <w:rsid w:val="32E13A5F"/>
    <w:rsid w:val="32E17E07"/>
    <w:rsid w:val="32E25E94"/>
    <w:rsid w:val="32E63E44"/>
    <w:rsid w:val="32EC2057"/>
    <w:rsid w:val="32F20919"/>
    <w:rsid w:val="32F9409B"/>
    <w:rsid w:val="32FE389F"/>
    <w:rsid w:val="33052BA0"/>
    <w:rsid w:val="33337555"/>
    <w:rsid w:val="33370C7E"/>
    <w:rsid w:val="33440214"/>
    <w:rsid w:val="33630DB4"/>
    <w:rsid w:val="336509B9"/>
    <w:rsid w:val="33673751"/>
    <w:rsid w:val="336D7ECB"/>
    <w:rsid w:val="337363CA"/>
    <w:rsid w:val="337B0CDA"/>
    <w:rsid w:val="337B0E24"/>
    <w:rsid w:val="33826E7B"/>
    <w:rsid w:val="33884F17"/>
    <w:rsid w:val="33923FE8"/>
    <w:rsid w:val="33995376"/>
    <w:rsid w:val="339B7340"/>
    <w:rsid w:val="339D03BD"/>
    <w:rsid w:val="33A17F6C"/>
    <w:rsid w:val="33A71C67"/>
    <w:rsid w:val="33A8556B"/>
    <w:rsid w:val="33B90B99"/>
    <w:rsid w:val="33BC5580"/>
    <w:rsid w:val="33C127D5"/>
    <w:rsid w:val="33C148CD"/>
    <w:rsid w:val="33CC574C"/>
    <w:rsid w:val="33CD4D69"/>
    <w:rsid w:val="33CF4883"/>
    <w:rsid w:val="33D116EA"/>
    <w:rsid w:val="33DC1707"/>
    <w:rsid w:val="33F31270"/>
    <w:rsid w:val="340A09C8"/>
    <w:rsid w:val="34120C85"/>
    <w:rsid w:val="341C44FF"/>
    <w:rsid w:val="342651EE"/>
    <w:rsid w:val="34337579"/>
    <w:rsid w:val="345745AF"/>
    <w:rsid w:val="34607C42"/>
    <w:rsid w:val="34615BAE"/>
    <w:rsid w:val="346A60BB"/>
    <w:rsid w:val="346E6803"/>
    <w:rsid w:val="347436ED"/>
    <w:rsid w:val="3477536F"/>
    <w:rsid w:val="34A315B1"/>
    <w:rsid w:val="34A418FC"/>
    <w:rsid w:val="34B14EBF"/>
    <w:rsid w:val="34B73BA8"/>
    <w:rsid w:val="34BC7FE4"/>
    <w:rsid w:val="34BD32E6"/>
    <w:rsid w:val="34C1543B"/>
    <w:rsid w:val="34CE2DFE"/>
    <w:rsid w:val="34D70141"/>
    <w:rsid w:val="34D846C6"/>
    <w:rsid w:val="34DD36B9"/>
    <w:rsid w:val="34E21B0E"/>
    <w:rsid w:val="34E23F87"/>
    <w:rsid w:val="34F5482E"/>
    <w:rsid w:val="34FB796B"/>
    <w:rsid w:val="34FD5756"/>
    <w:rsid w:val="35082F60"/>
    <w:rsid w:val="351729F7"/>
    <w:rsid w:val="35182937"/>
    <w:rsid w:val="351849C1"/>
    <w:rsid w:val="3518676F"/>
    <w:rsid w:val="352B7DFD"/>
    <w:rsid w:val="35305806"/>
    <w:rsid w:val="353B40B9"/>
    <w:rsid w:val="35427559"/>
    <w:rsid w:val="35457FE3"/>
    <w:rsid w:val="3546508A"/>
    <w:rsid w:val="35470E02"/>
    <w:rsid w:val="354A74D8"/>
    <w:rsid w:val="354D6418"/>
    <w:rsid w:val="35571045"/>
    <w:rsid w:val="35616AE7"/>
    <w:rsid w:val="356523AE"/>
    <w:rsid w:val="356E75B4"/>
    <w:rsid w:val="357E303D"/>
    <w:rsid w:val="357F65B6"/>
    <w:rsid w:val="35906A0A"/>
    <w:rsid w:val="359E4543"/>
    <w:rsid w:val="35A22FA3"/>
    <w:rsid w:val="35A41424"/>
    <w:rsid w:val="35A5258E"/>
    <w:rsid w:val="35C802BA"/>
    <w:rsid w:val="35D2691D"/>
    <w:rsid w:val="35DB7EC8"/>
    <w:rsid w:val="35E74264"/>
    <w:rsid w:val="35E825E5"/>
    <w:rsid w:val="35FA7C22"/>
    <w:rsid w:val="36050AA1"/>
    <w:rsid w:val="360C62D3"/>
    <w:rsid w:val="36145188"/>
    <w:rsid w:val="36211653"/>
    <w:rsid w:val="3622681F"/>
    <w:rsid w:val="362C0724"/>
    <w:rsid w:val="362F77A1"/>
    <w:rsid w:val="36321868"/>
    <w:rsid w:val="36350215"/>
    <w:rsid w:val="36365D97"/>
    <w:rsid w:val="363E3FB3"/>
    <w:rsid w:val="364517E5"/>
    <w:rsid w:val="364A0BAA"/>
    <w:rsid w:val="36513CE6"/>
    <w:rsid w:val="3651597E"/>
    <w:rsid w:val="365D6B2F"/>
    <w:rsid w:val="365E0AD5"/>
    <w:rsid w:val="36624145"/>
    <w:rsid w:val="36631C6B"/>
    <w:rsid w:val="36637EBD"/>
    <w:rsid w:val="36646F11"/>
    <w:rsid w:val="366C5476"/>
    <w:rsid w:val="366E3FA4"/>
    <w:rsid w:val="366E5A2B"/>
    <w:rsid w:val="3690698C"/>
    <w:rsid w:val="36913F42"/>
    <w:rsid w:val="369962F3"/>
    <w:rsid w:val="36A007CA"/>
    <w:rsid w:val="36A321B4"/>
    <w:rsid w:val="36AD3737"/>
    <w:rsid w:val="36B35450"/>
    <w:rsid w:val="36B61B50"/>
    <w:rsid w:val="36C22E36"/>
    <w:rsid w:val="36C23C74"/>
    <w:rsid w:val="36C24BE4"/>
    <w:rsid w:val="36C344B8"/>
    <w:rsid w:val="36C524F2"/>
    <w:rsid w:val="36E0506A"/>
    <w:rsid w:val="36F86B16"/>
    <w:rsid w:val="37295AFE"/>
    <w:rsid w:val="372B2789"/>
    <w:rsid w:val="373B68B3"/>
    <w:rsid w:val="373D1844"/>
    <w:rsid w:val="3744384B"/>
    <w:rsid w:val="374E7DB9"/>
    <w:rsid w:val="375F68D7"/>
    <w:rsid w:val="376B0CB0"/>
    <w:rsid w:val="37741D00"/>
    <w:rsid w:val="37774265"/>
    <w:rsid w:val="3778282C"/>
    <w:rsid w:val="378614AD"/>
    <w:rsid w:val="379162E7"/>
    <w:rsid w:val="37971BCD"/>
    <w:rsid w:val="37986A87"/>
    <w:rsid w:val="37A24C61"/>
    <w:rsid w:val="37A4248B"/>
    <w:rsid w:val="37AC435C"/>
    <w:rsid w:val="37AD13F0"/>
    <w:rsid w:val="37AE1209"/>
    <w:rsid w:val="37BC7E4B"/>
    <w:rsid w:val="37C911FB"/>
    <w:rsid w:val="37C91FA2"/>
    <w:rsid w:val="37CA5DAF"/>
    <w:rsid w:val="37DC4483"/>
    <w:rsid w:val="37DD0CE0"/>
    <w:rsid w:val="37E1109A"/>
    <w:rsid w:val="37E56815"/>
    <w:rsid w:val="37EF5949"/>
    <w:rsid w:val="37FB65FF"/>
    <w:rsid w:val="37FE7C8C"/>
    <w:rsid w:val="380729ED"/>
    <w:rsid w:val="38167357"/>
    <w:rsid w:val="381A45AC"/>
    <w:rsid w:val="382455BE"/>
    <w:rsid w:val="3826768F"/>
    <w:rsid w:val="383A18B4"/>
    <w:rsid w:val="383C2774"/>
    <w:rsid w:val="384763D8"/>
    <w:rsid w:val="38491E98"/>
    <w:rsid w:val="38494CA3"/>
    <w:rsid w:val="384C6E5B"/>
    <w:rsid w:val="38760C6C"/>
    <w:rsid w:val="38855EC9"/>
    <w:rsid w:val="388F42C5"/>
    <w:rsid w:val="389B0FD7"/>
    <w:rsid w:val="38A04AB1"/>
    <w:rsid w:val="38AD160F"/>
    <w:rsid w:val="38B247E4"/>
    <w:rsid w:val="38B90269"/>
    <w:rsid w:val="38BB7B3D"/>
    <w:rsid w:val="38BE13DB"/>
    <w:rsid w:val="38CA6FB2"/>
    <w:rsid w:val="38CB4F1F"/>
    <w:rsid w:val="38D04A9D"/>
    <w:rsid w:val="38D155B2"/>
    <w:rsid w:val="38D330D8"/>
    <w:rsid w:val="38D429AD"/>
    <w:rsid w:val="38D76067"/>
    <w:rsid w:val="38D90413"/>
    <w:rsid w:val="38D962CD"/>
    <w:rsid w:val="38DB1F8D"/>
    <w:rsid w:val="38DF2E2B"/>
    <w:rsid w:val="38E6139B"/>
    <w:rsid w:val="38EE1CC0"/>
    <w:rsid w:val="38FB43DD"/>
    <w:rsid w:val="38FD48F6"/>
    <w:rsid w:val="390324A1"/>
    <w:rsid w:val="39242C23"/>
    <w:rsid w:val="393F71AB"/>
    <w:rsid w:val="39420173"/>
    <w:rsid w:val="39544AFE"/>
    <w:rsid w:val="39643D30"/>
    <w:rsid w:val="3971644D"/>
    <w:rsid w:val="397E3221"/>
    <w:rsid w:val="39825E89"/>
    <w:rsid w:val="398A43C0"/>
    <w:rsid w:val="398C3287"/>
    <w:rsid w:val="399A1E48"/>
    <w:rsid w:val="39A24859"/>
    <w:rsid w:val="39B26183"/>
    <w:rsid w:val="39B527DE"/>
    <w:rsid w:val="39C46597"/>
    <w:rsid w:val="39C81A11"/>
    <w:rsid w:val="39CD28CD"/>
    <w:rsid w:val="39D260A7"/>
    <w:rsid w:val="39F160C9"/>
    <w:rsid w:val="39F37645"/>
    <w:rsid w:val="39F92956"/>
    <w:rsid w:val="3A010729"/>
    <w:rsid w:val="3A0940D0"/>
    <w:rsid w:val="3A0B4AF4"/>
    <w:rsid w:val="3A0B4C95"/>
    <w:rsid w:val="3A11506C"/>
    <w:rsid w:val="3A125618"/>
    <w:rsid w:val="3A141EF4"/>
    <w:rsid w:val="3A153030"/>
    <w:rsid w:val="3A1950AA"/>
    <w:rsid w:val="3A1D5794"/>
    <w:rsid w:val="3A276028"/>
    <w:rsid w:val="3A2A3021"/>
    <w:rsid w:val="3A2B2AA0"/>
    <w:rsid w:val="3A2C6105"/>
    <w:rsid w:val="3A2D0383"/>
    <w:rsid w:val="3A377093"/>
    <w:rsid w:val="3A396F6B"/>
    <w:rsid w:val="3A3E0A25"/>
    <w:rsid w:val="3A4008C7"/>
    <w:rsid w:val="3A437408"/>
    <w:rsid w:val="3A4A37C6"/>
    <w:rsid w:val="3A4F2C33"/>
    <w:rsid w:val="3A5169AB"/>
    <w:rsid w:val="3A5353EC"/>
    <w:rsid w:val="3A563208"/>
    <w:rsid w:val="3A56723A"/>
    <w:rsid w:val="3A5E4220"/>
    <w:rsid w:val="3A654204"/>
    <w:rsid w:val="3A836438"/>
    <w:rsid w:val="3A9248CD"/>
    <w:rsid w:val="3A940645"/>
    <w:rsid w:val="3AAD2F99"/>
    <w:rsid w:val="3ABC7B9C"/>
    <w:rsid w:val="3ABE7059"/>
    <w:rsid w:val="3ADB1971"/>
    <w:rsid w:val="3AEB7BCD"/>
    <w:rsid w:val="3AED318F"/>
    <w:rsid w:val="3AF11564"/>
    <w:rsid w:val="3AF9049C"/>
    <w:rsid w:val="3AFE619B"/>
    <w:rsid w:val="3B181605"/>
    <w:rsid w:val="3B337F8F"/>
    <w:rsid w:val="3B3C15B5"/>
    <w:rsid w:val="3B437B01"/>
    <w:rsid w:val="3B4E0C94"/>
    <w:rsid w:val="3B5129DA"/>
    <w:rsid w:val="3B6169C8"/>
    <w:rsid w:val="3B6A5779"/>
    <w:rsid w:val="3B745187"/>
    <w:rsid w:val="3B7A518E"/>
    <w:rsid w:val="3B7F3B09"/>
    <w:rsid w:val="3B824942"/>
    <w:rsid w:val="3B8E04AF"/>
    <w:rsid w:val="3B9528C7"/>
    <w:rsid w:val="3B954675"/>
    <w:rsid w:val="3B9A7EDD"/>
    <w:rsid w:val="3B9B1DF0"/>
    <w:rsid w:val="3BA23D0A"/>
    <w:rsid w:val="3BBA3D2E"/>
    <w:rsid w:val="3BBE38B6"/>
    <w:rsid w:val="3BC949BB"/>
    <w:rsid w:val="3BC96A15"/>
    <w:rsid w:val="3BD3570B"/>
    <w:rsid w:val="3BD74C8E"/>
    <w:rsid w:val="3BD771D7"/>
    <w:rsid w:val="3BE3796E"/>
    <w:rsid w:val="3BE7391E"/>
    <w:rsid w:val="3BF06E32"/>
    <w:rsid w:val="3BF52A8F"/>
    <w:rsid w:val="3BF75330"/>
    <w:rsid w:val="3BFB3796"/>
    <w:rsid w:val="3C094B9C"/>
    <w:rsid w:val="3C0B4937"/>
    <w:rsid w:val="3C0B6C91"/>
    <w:rsid w:val="3C114054"/>
    <w:rsid w:val="3C2022F0"/>
    <w:rsid w:val="3C453E71"/>
    <w:rsid w:val="3C5502A8"/>
    <w:rsid w:val="3C6A3D54"/>
    <w:rsid w:val="3C750EA7"/>
    <w:rsid w:val="3C76021B"/>
    <w:rsid w:val="3C777CDE"/>
    <w:rsid w:val="3C7A4EC0"/>
    <w:rsid w:val="3C7D410D"/>
    <w:rsid w:val="3C7E15AD"/>
    <w:rsid w:val="3C813975"/>
    <w:rsid w:val="3C86715C"/>
    <w:rsid w:val="3C872058"/>
    <w:rsid w:val="3C9742C5"/>
    <w:rsid w:val="3CA31DAE"/>
    <w:rsid w:val="3CAB2873"/>
    <w:rsid w:val="3CB17706"/>
    <w:rsid w:val="3CB46009"/>
    <w:rsid w:val="3CBC2AEF"/>
    <w:rsid w:val="3CBF111E"/>
    <w:rsid w:val="3CDC4526"/>
    <w:rsid w:val="3CDE399D"/>
    <w:rsid w:val="3CF67395"/>
    <w:rsid w:val="3D045264"/>
    <w:rsid w:val="3D0741B1"/>
    <w:rsid w:val="3D0D53FD"/>
    <w:rsid w:val="3D1322D3"/>
    <w:rsid w:val="3D1B1A9C"/>
    <w:rsid w:val="3D1C4922"/>
    <w:rsid w:val="3D1F390F"/>
    <w:rsid w:val="3D2609D4"/>
    <w:rsid w:val="3D267111"/>
    <w:rsid w:val="3D2F0AF9"/>
    <w:rsid w:val="3D4520CB"/>
    <w:rsid w:val="3D510A70"/>
    <w:rsid w:val="3D595B76"/>
    <w:rsid w:val="3D6819FA"/>
    <w:rsid w:val="3D6D1CD5"/>
    <w:rsid w:val="3D724C9B"/>
    <w:rsid w:val="3D733273"/>
    <w:rsid w:val="3D777247"/>
    <w:rsid w:val="3D7D258C"/>
    <w:rsid w:val="3D7E5583"/>
    <w:rsid w:val="3D8F02D7"/>
    <w:rsid w:val="3D97244E"/>
    <w:rsid w:val="3DA54BA9"/>
    <w:rsid w:val="3DB42DAD"/>
    <w:rsid w:val="3DCE3E6E"/>
    <w:rsid w:val="3DDB1939"/>
    <w:rsid w:val="3DDD2303"/>
    <w:rsid w:val="3DDF78CE"/>
    <w:rsid w:val="3DED516C"/>
    <w:rsid w:val="3DF32860"/>
    <w:rsid w:val="3E027FBC"/>
    <w:rsid w:val="3E106AD0"/>
    <w:rsid w:val="3E1A5000"/>
    <w:rsid w:val="3E1D5959"/>
    <w:rsid w:val="3E232463"/>
    <w:rsid w:val="3E265A58"/>
    <w:rsid w:val="3E2717D1"/>
    <w:rsid w:val="3E2D328B"/>
    <w:rsid w:val="3E3068D7"/>
    <w:rsid w:val="3E391C30"/>
    <w:rsid w:val="3E3A74E4"/>
    <w:rsid w:val="3E3F4E4E"/>
    <w:rsid w:val="3E4475A8"/>
    <w:rsid w:val="3E4B1963"/>
    <w:rsid w:val="3E4E5D91"/>
    <w:rsid w:val="3E4F53AF"/>
    <w:rsid w:val="3E520DC7"/>
    <w:rsid w:val="3E5908C0"/>
    <w:rsid w:val="3E5D1A98"/>
    <w:rsid w:val="3E66002F"/>
    <w:rsid w:val="3E6B13D4"/>
    <w:rsid w:val="3E756D61"/>
    <w:rsid w:val="3E78255B"/>
    <w:rsid w:val="3E792D3B"/>
    <w:rsid w:val="3E7D17D2"/>
    <w:rsid w:val="3E882CF6"/>
    <w:rsid w:val="3E883C8F"/>
    <w:rsid w:val="3E8B2EC0"/>
    <w:rsid w:val="3E9C21BE"/>
    <w:rsid w:val="3EA16AAC"/>
    <w:rsid w:val="3EA51073"/>
    <w:rsid w:val="3EAC2EAE"/>
    <w:rsid w:val="3EAE67F0"/>
    <w:rsid w:val="3EB17DBA"/>
    <w:rsid w:val="3EB76E61"/>
    <w:rsid w:val="3EBC333B"/>
    <w:rsid w:val="3EBF1A09"/>
    <w:rsid w:val="3ECB056B"/>
    <w:rsid w:val="3ED045AF"/>
    <w:rsid w:val="3ED656D0"/>
    <w:rsid w:val="3ED73CF0"/>
    <w:rsid w:val="3ED93797"/>
    <w:rsid w:val="3EFF0C4F"/>
    <w:rsid w:val="3F0F5018"/>
    <w:rsid w:val="3F147860"/>
    <w:rsid w:val="3F1B1335"/>
    <w:rsid w:val="3F256DF6"/>
    <w:rsid w:val="3F283A52"/>
    <w:rsid w:val="3F2F48E2"/>
    <w:rsid w:val="3F3E3E88"/>
    <w:rsid w:val="3F43586F"/>
    <w:rsid w:val="3F53383A"/>
    <w:rsid w:val="3F535134"/>
    <w:rsid w:val="3F6727CC"/>
    <w:rsid w:val="3F67569D"/>
    <w:rsid w:val="3F6931EA"/>
    <w:rsid w:val="3F6A6A03"/>
    <w:rsid w:val="3F6B1B71"/>
    <w:rsid w:val="3F71384A"/>
    <w:rsid w:val="3F765ACC"/>
    <w:rsid w:val="3F7F4FA6"/>
    <w:rsid w:val="3F86032C"/>
    <w:rsid w:val="3F866866"/>
    <w:rsid w:val="3F885FEE"/>
    <w:rsid w:val="3F9708C6"/>
    <w:rsid w:val="3FA21E4C"/>
    <w:rsid w:val="3FA30BC4"/>
    <w:rsid w:val="3FB478F2"/>
    <w:rsid w:val="3FBA42ED"/>
    <w:rsid w:val="3FBC0E4F"/>
    <w:rsid w:val="3FC24B21"/>
    <w:rsid w:val="3FC7326B"/>
    <w:rsid w:val="3FD31A4B"/>
    <w:rsid w:val="3FD634AE"/>
    <w:rsid w:val="3FD6730D"/>
    <w:rsid w:val="3FD77BF7"/>
    <w:rsid w:val="3FE756BB"/>
    <w:rsid w:val="3FF41526"/>
    <w:rsid w:val="3FF658FE"/>
    <w:rsid w:val="3FF73B50"/>
    <w:rsid w:val="3FF75D0C"/>
    <w:rsid w:val="3FFA41C7"/>
    <w:rsid w:val="40072194"/>
    <w:rsid w:val="400B13AA"/>
    <w:rsid w:val="400B5662"/>
    <w:rsid w:val="401735F3"/>
    <w:rsid w:val="402D656A"/>
    <w:rsid w:val="40371D23"/>
    <w:rsid w:val="40383C6D"/>
    <w:rsid w:val="405410EB"/>
    <w:rsid w:val="40565671"/>
    <w:rsid w:val="405B6181"/>
    <w:rsid w:val="405F2AF2"/>
    <w:rsid w:val="4063653D"/>
    <w:rsid w:val="407024D5"/>
    <w:rsid w:val="407A652F"/>
    <w:rsid w:val="4089250B"/>
    <w:rsid w:val="40921BCC"/>
    <w:rsid w:val="40941E00"/>
    <w:rsid w:val="40956EC5"/>
    <w:rsid w:val="409741F1"/>
    <w:rsid w:val="40985A3E"/>
    <w:rsid w:val="409969B6"/>
    <w:rsid w:val="409C7D40"/>
    <w:rsid w:val="409E1999"/>
    <w:rsid w:val="40AB2262"/>
    <w:rsid w:val="40AD079A"/>
    <w:rsid w:val="40AF734C"/>
    <w:rsid w:val="40B7508E"/>
    <w:rsid w:val="40B93D0B"/>
    <w:rsid w:val="40B94B4F"/>
    <w:rsid w:val="40BA3CB5"/>
    <w:rsid w:val="40C355AE"/>
    <w:rsid w:val="40C357E1"/>
    <w:rsid w:val="40C5633D"/>
    <w:rsid w:val="40CB0B39"/>
    <w:rsid w:val="40D45442"/>
    <w:rsid w:val="40D52EBA"/>
    <w:rsid w:val="40DC4AF4"/>
    <w:rsid w:val="40ED4F53"/>
    <w:rsid w:val="41026287"/>
    <w:rsid w:val="41036525"/>
    <w:rsid w:val="4105404B"/>
    <w:rsid w:val="41074062"/>
    <w:rsid w:val="410B65C7"/>
    <w:rsid w:val="411448F1"/>
    <w:rsid w:val="4114603C"/>
    <w:rsid w:val="411A73CB"/>
    <w:rsid w:val="41240DA4"/>
    <w:rsid w:val="41263311"/>
    <w:rsid w:val="413844C2"/>
    <w:rsid w:val="414C1C7A"/>
    <w:rsid w:val="41576A2B"/>
    <w:rsid w:val="41642FB1"/>
    <w:rsid w:val="41655A70"/>
    <w:rsid w:val="417C0C6F"/>
    <w:rsid w:val="417F09A2"/>
    <w:rsid w:val="41830454"/>
    <w:rsid w:val="418629FE"/>
    <w:rsid w:val="41894C7C"/>
    <w:rsid w:val="418F1B67"/>
    <w:rsid w:val="41913B31"/>
    <w:rsid w:val="41A15386"/>
    <w:rsid w:val="41B33982"/>
    <w:rsid w:val="41C8766B"/>
    <w:rsid w:val="41C9151C"/>
    <w:rsid w:val="41D33C9B"/>
    <w:rsid w:val="41DC0F71"/>
    <w:rsid w:val="41ED7630"/>
    <w:rsid w:val="41F36A18"/>
    <w:rsid w:val="41F63376"/>
    <w:rsid w:val="41FD2F74"/>
    <w:rsid w:val="42051A04"/>
    <w:rsid w:val="420B1627"/>
    <w:rsid w:val="420C31B7"/>
    <w:rsid w:val="420D79AC"/>
    <w:rsid w:val="421671F5"/>
    <w:rsid w:val="42211069"/>
    <w:rsid w:val="422B2087"/>
    <w:rsid w:val="422E6E78"/>
    <w:rsid w:val="423529C0"/>
    <w:rsid w:val="423D15C3"/>
    <w:rsid w:val="42415557"/>
    <w:rsid w:val="42496C6B"/>
    <w:rsid w:val="425D23F3"/>
    <w:rsid w:val="42664FBD"/>
    <w:rsid w:val="42690852"/>
    <w:rsid w:val="4278782F"/>
    <w:rsid w:val="42874340"/>
    <w:rsid w:val="42891C4D"/>
    <w:rsid w:val="42896A9D"/>
    <w:rsid w:val="42A55B7A"/>
    <w:rsid w:val="42A71B35"/>
    <w:rsid w:val="42AC2107"/>
    <w:rsid w:val="42AE24C0"/>
    <w:rsid w:val="42BD1BBE"/>
    <w:rsid w:val="42C051B3"/>
    <w:rsid w:val="42C3751B"/>
    <w:rsid w:val="42CF3157"/>
    <w:rsid w:val="42D00689"/>
    <w:rsid w:val="42D26561"/>
    <w:rsid w:val="42D53EF1"/>
    <w:rsid w:val="42D9753D"/>
    <w:rsid w:val="42DE0D58"/>
    <w:rsid w:val="42E136ED"/>
    <w:rsid w:val="42E31889"/>
    <w:rsid w:val="42EB56ED"/>
    <w:rsid w:val="42F15712"/>
    <w:rsid w:val="42F43C28"/>
    <w:rsid w:val="42F7018F"/>
    <w:rsid w:val="42F73E67"/>
    <w:rsid w:val="42F77773"/>
    <w:rsid w:val="42FE6FA4"/>
    <w:rsid w:val="42FF13A4"/>
    <w:rsid w:val="42FF4875"/>
    <w:rsid w:val="430D0117"/>
    <w:rsid w:val="430E6372"/>
    <w:rsid w:val="43160852"/>
    <w:rsid w:val="431719AF"/>
    <w:rsid w:val="43231541"/>
    <w:rsid w:val="43236A0A"/>
    <w:rsid w:val="4330241B"/>
    <w:rsid w:val="43346E69"/>
    <w:rsid w:val="43367101"/>
    <w:rsid w:val="43476B9D"/>
    <w:rsid w:val="435D4CA1"/>
    <w:rsid w:val="436239D7"/>
    <w:rsid w:val="436631D8"/>
    <w:rsid w:val="436A4639"/>
    <w:rsid w:val="43813731"/>
    <w:rsid w:val="4387131E"/>
    <w:rsid w:val="438C0A54"/>
    <w:rsid w:val="438D0328"/>
    <w:rsid w:val="438D20D6"/>
    <w:rsid w:val="4396563B"/>
    <w:rsid w:val="43A318F9"/>
    <w:rsid w:val="43B34232"/>
    <w:rsid w:val="43D70716"/>
    <w:rsid w:val="43E328C6"/>
    <w:rsid w:val="43E41B27"/>
    <w:rsid w:val="43E44172"/>
    <w:rsid w:val="43F63ADC"/>
    <w:rsid w:val="43F6411F"/>
    <w:rsid w:val="4407608E"/>
    <w:rsid w:val="440A3726"/>
    <w:rsid w:val="44112D07"/>
    <w:rsid w:val="44125964"/>
    <w:rsid w:val="44195BFE"/>
    <w:rsid w:val="44290050"/>
    <w:rsid w:val="442944F4"/>
    <w:rsid w:val="443E03E3"/>
    <w:rsid w:val="444F4376"/>
    <w:rsid w:val="44562E10"/>
    <w:rsid w:val="44596F8A"/>
    <w:rsid w:val="446C4F9E"/>
    <w:rsid w:val="44753296"/>
    <w:rsid w:val="447A4D50"/>
    <w:rsid w:val="447B737A"/>
    <w:rsid w:val="447D5BC2"/>
    <w:rsid w:val="44863652"/>
    <w:rsid w:val="448917EC"/>
    <w:rsid w:val="448C37C8"/>
    <w:rsid w:val="448E25A9"/>
    <w:rsid w:val="449563AF"/>
    <w:rsid w:val="44981CA1"/>
    <w:rsid w:val="449851D6"/>
    <w:rsid w:val="449C1238"/>
    <w:rsid w:val="449D27EC"/>
    <w:rsid w:val="44AC6BE2"/>
    <w:rsid w:val="44B862EA"/>
    <w:rsid w:val="44BA339E"/>
    <w:rsid w:val="44BA514C"/>
    <w:rsid w:val="44C73572"/>
    <w:rsid w:val="44CE6128"/>
    <w:rsid w:val="44D51CEF"/>
    <w:rsid w:val="44D91E18"/>
    <w:rsid w:val="44E93C84"/>
    <w:rsid w:val="44EF24B6"/>
    <w:rsid w:val="44F92119"/>
    <w:rsid w:val="450F7DC0"/>
    <w:rsid w:val="45285EA3"/>
    <w:rsid w:val="45442C0A"/>
    <w:rsid w:val="454E2F32"/>
    <w:rsid w:val="454F14BF"/>
    <w:rsid w:val="454F6190"/>
    <w:rsid w:val="454F7F8B"/>
    <w:rsid w:val="455B692F"/>
    <w:rsid w:val="455E50E5"/>
    <w:rsid w:val="45611A6C"/>
    <w:rsid w:val="45634DFC"/>
    <w:rsid w:val="456926CF"/>
    <w:rsid w:val="456B28EB"/>
    <w:rsid w:val="45722638"/>
    <w:rsid w:val="45734C65"/>
    <w:rsid w:val="45742C63"/>
    <w:rsid w:val="457C08D0"/>
    <w:rsid w:val="459A44BE"/>
    <w:rsid w:val="459C4979"/>
    <w:rsid w:val="45A92AC3"/>
    <w:rsid w:val="45AE0A57"/>
    <w:rsid w:val="45AF0A29"/>
    <w:rsid w:val="45AF3CA8"/>
    <w:rsid w:val="45B46040"/>
    <w:rsid w:val="45B61DB8"/>
    <w:rsid w:val="45C07960"/>
    <w:rsid w:val="45CA7AAB"/>
    <w:rsid w:val="45D466E2"/>
    <w:rsid w:val="45D514C4"/>
    <w:rsid w:val="45D603C3"/>
    <w:rsid w:val="45DE44AE"/>
    <w:rsid w:val="45E00BE3"/>
    <w:rsid w:val="45F464A2"/>
    <w:rsid w:val="46131B49"/>
    <w:rsid w:val="46162856"/>
    <w:rsid w:val="46175B1B"/>
    <w:rsid w:val="461F4326"/>
    <w:rsid w:val="46235341"/>
    <w:rsid w:val="4650580B"/>
    <w:rsid w:val="46521F1E"/>
    <w:rsid w:val="465772AB"/>
    <w:rsid w:val="466054DD"/>
    <w:rsid w:val="466730B2"/>
    <w:rsid w:val="466967AA"/>
    <w:rsid w:val="466E4989"/>
    <w:rsid w:val="46717A8D"/>
    <w:rsid w:val="46843C64"/>
    <w:rsid w:val="468A6B64"/>
    <w:rsid w:val="469043B7"/>
    <w:rsid w:val="46917216"/>
    <w:rsid w:val="469B15DD"/>
    <w:rsid w:val="469C7200"/>
    <w:rsid w:val="46A00372"/>
    <w:rsid w:val="46AA1EF4"/>
    <w:rsid w:val="46AA7942"/>
    <w:rsid w:val="46BF27C2"/>
    <w:rsid w:val="46C3683F"/>
    <w:rsid w:val="46C578EE"/>
    <w:rsid w:val="46D157B4"/>
    <w:rsid w:val="46DC3AA0"/>
    <w:rsid w:val="46E865A3"/>
    <w:rsid w:val="46EB5A91"/>
    <w:rsid w:val="46F030A7"/>
    <w:rsid w:val="46F33CF7"/>
    <w:rsid w:val="47060DE2"/>
    <w:rsid w:val="47064679"/>
    <w:rsid w:val="47086643"/>
    <w:rsid w:val="4711301A"/>
    <w:rsid w:val="471868C5"/>
    <w:rsid w:val="471D19C3"/>
    <w:rsid w:val="47230AF2"/>
    <w:rsid w:val="472C5B03"/>
    <w:rsid w:val="47332F94"/>
    <w:rsid w:val="473F67C6"/>
    <w:rsid w:val="47454771"/>
    <w:rsid w:val="47465CEA"/>
    <w:rsid w:val="474A6C5C"/>
    <w:rsid w:val="475665A1"/>
    <w:rsid w:val="47574ED5"/>
    <w:rsid w:val="47576591"/>
    <w:rsid w:val="47602729"/>
    <w:rsid w:val="47605A10"/>
    <w:rsid w:val="477261B2"/>
    <w:rsid w:val="47790F93"/>
    <w:rsid w:val="477D7E06"/>
    <w:rsid w:val="478B2DD0"/>
    <w:rsid w:val="478F18FC"/>
    <w:rsid w:val="479E0126"/>
    <w:rsid w:val="479F00DF"/>
    <w:rsid w:val="47A324A9"/>
    <w:rsid w:val="47A46A90"/>
    <w:rsid w:val="47B74179"/>
    <w:rsid w:val="47C01B7E"/>
    <w:rsid w:val="47CB141F"/>
    <w:rsid w:val="47DB3D58"/>
    <w:rsid w:val="47E30DFE"/>
    <w:rsid w:val="47EE4E5F"/>
    <w:rsid w:val="47EF4D3A"/>
    <w:rsid w:val="47F6293F"/>
    <w:rsid w:val="47FF4AB4"/>
    <w:rsid w:val="48003608"/>
    <w:rsid w:val="480037BE"/>
    <w:rsid w:val="4800731A"/>
    <w:rsid w:val="48052B82"/>
    <w:rsid w:val="48110190"/>
    <w:rsid w:val="48126AAD"/>
    <w:rsid w:val="481433C1"/>
    <w:rsid w:val="48230461"/>
    <w:rsid w:val="48286568"/>
    <w:rsid w:val="482E032B"/>
    <w:rsid w:val="48317BEA"/>
    <w:rsid w:val="484D0FEA"/>
    <w:rsid w:val="4851401A"/>
    <w:rsid w:val="48531FA5"/>
    <w:rsid w:val="486E0728"/>
    <w:rsid w:val="48705B00"/>
    <w:rsid w:val="48765A18"/>
    <w:rsid w:val="487E6C4C"/>
    <w:rsid w:val="48847F4B"/>
    <w:rsid w:val="48857AFC"/>
    <w:rsid w:val="488658D7"/>
    <w:rsid w:val="488C0529"/>
    <w:rsid w:val="488D385A"/>
    <w:rsid w:val="488E2B78"/>
    <w:rsid w:val="4894573D"/>
    <w:rsid w:val="48A018C2"/>
    <w:rsid w:val="48AB769D"/>
    <w:rsid w:val="48AF34CF"/>
    <w:rsid w:val="48B12D0A"/>
    <w:rsid w:val="48BC483B"/>
    <w:rsid w:val="48C7061C"/>
    <w:rsid w:val="48C944CE"/>
    <w:rsid w:val="48CA2617"/>
    <w:rsid w:val="48CE799F"/>
    <w:rsid w:val="48D367DD"/>
    <w:rsid w:val="48D71855"/>
    <w:rsid w:val="48D84455"/>
    <w:rsid w:val="48E421FF"/>
    <w:rsid w:val="48F01C1F"/>
    <w:rsid w:val="48F237DF"/>
    <w:rsid w:val="48F77029"/>
    <w:rsid w:val="48F84EBC"/>
    <w:rsid w:val="49042C8A"/>
    <w:rsid w:val="4907292A"/>
    <w:rsid w:val="490A08CC"/>
    <w:rsid w:val="490E6D6F"/>
    <w:rsid w:val="49197DCC"/>
    <w:rsid w:val="491D214E"/>
    <w:rsid w:val="49256AB6"/>
    <w:rsid w:val="49270BA4"/>
    <w:rsid w:val="493059DD"/>
    <w:rsid w:val="49383B7F"/>
    <w:rsid w:val="493D3D5E"/>
    <w:rsid w:val="493E209C"/>
    <w:rsid w:val="49462DF4"/>
    <w:rsid w:val="49493351"/>
    <w:rsid w:val="49635277"/>
    <w:rsid w:val="4968161B"/>
    <w:rsid w:val="496C3472"/>
    <w:rsid w:val="497B1CCA"/>
    <w:rsid w:val="49803393"/>
    <w:rsid w:val="4981092F"/>
    <w:rsid w:val="49843256"/>
    <w:rsid w:val="498A11AE"/>
    <w:rsid w:val="498F2D77"/>
    <w:rsid w:val="4995236E"/>
    <w:rsid w:val="499E6DEB"/>
    <w:rsid w:val="49B13CE4"/>
    <w:rsid w:val="49BA406B"/>
    <w:rsid w:val="49BC3A79"/>
    <w:rsid w:val="49C52E51"/>
    <w:rsid w:val="49C65BB8"/>
    <w:rsid w:val="49C66341"/>
    <w:rsid w:val="49C93DE6"/>
    <w:rsid w:val="49CB233B"/>
    <w:rsid w:val="49CF1E7A"/>
    <w:rsid w:val="49D2118A"/>
    <w:rsid w:val="49D62900"/>
    <w:rsid w:val="49DE5E98"/>
    <w:rsid w:val="49EF24A2"/>
    <w:rsid w:val="49F26D29"/>
    <w:rsid w:val="49F32A2A"/>
    <w:rsid w:val="49F904C5"/>
    <w:rsid w:val="4A0425E4"/>
    <w:rsid w:val="4A08770D"/>
    <w:rsid w:val="4A0B2A82"/>
    <w:rsid w:val="4A0E4373"/>
    <w:rsid w:val="4A113A61"/>
    <w:rsid w:val="4A166700"/>
    <w:rsid w:val="4A1A4C13"/>
    <w:rsid w:val="4A2B4771"/>
    <w:rsid w:val="4A3B6D2F"/>
    <w:rsid w:val="4A3E1511"/>
    <w:rsid w:val="4A606796"/>
    <w:rsid w:val="4A78272E"/>
    <w:rsid w:val="4A7A4792"/>
    <w:rsid w:val="4A9B3950"/>
    <w:rsid w:val="4A9D51A9"/>
    <w:rsid w:val="4AA95536"/>
    <w:rsid w:val="4AB11CAF"/>
    <w:rsid w:val="4AB32321"/>
    <w:rsid w:val="4AB53427"/>
    <w:rsid w:val="4AB60164"/>
    <w:rsid w:val="4AC17023"/>
    <w:rsid w:val="4ACB3558"/>
    <w:rsid w:val="4AD31CFC"/>
    <w:rsid w:val="4ADF7B9B"/>
    <w:rsid w:val="4AED0A1D"/>
    <w:rsid w:val="4AF5513B"/>
    <w:rsid w:val="4B0D06CC"/>
    <w:rsid w:val="4B0E61F2"/>
    <w:rsid w:val="4B1648A4"/>
    <w:rsid w:val="4B165A7F"/>
    <w:rsid w:val="4B187071"/>
    <w:rsid w:val="4B2676B3"/>
    <w:rsid w:val="4B271062"/>
    <w:rsid w:val="4B34010A"/>
    <w:rsid w:val="4B447E66"/>
    <w:rsid w:val="4B502367"/>
    <w:rsid w:val="4B5D1D34"/>
    <w:rsid w:val="4B685BC8"/>
    <w:rsid w:val="4B6E4EE3"/>
    <w:rsid w:val="4B8C3148"/>
    <w:rsid w:val="4B92518B"/>
    <w:rsid w:val="4BA46857"/>
    <w:rsid w:val="4BA91610"/>
    <w:rsid w:val="4BAF74BE"/>
    <w:rsid w:val="4BBC5C4E"/>
    <w:rsid w:val="4BC13264"/>
    <w:rsid w:val="4BCB3A93"/>
    <w:rsid w:val="4BD846DB"/>
    <w:rsid w:val="4BDA756E"/>
    <w:rsid w:val="4BDB3297"/>
    <w:rsid w:val="4BE807F1"/>
    <w:rsid w:val="4BE85BF3"/>
    <w:rsid w:val="4BF3004E"/>
    <w:rsid w:val="4BF95043"/>
    <w:rsid w:val="4BFF0FA6"/>
    <w:rsid w:val="4C0031F8"/>
    <w:rsid w:val="4C1042C9"/>
    <w:rsid w:val="4C297741"/>
    <w:rsid w:val="4C3D3FD1"/>
    <w:rsid w:val="4C3E30E2"/>
    <w:rsid w:val="4C420244"/>
    <w:rsid w:val="4C481290"/>
    <w:rsid w:val="4C4D68A6"/>
    <w:rsid w:val="4C5C4D3B"/>
    <w:rsid w:val="4C5E6E26"/>
    <w:rsid w:val="4C6726C0"/>
    <w:rsid w:val="4C681213"/>
    <w:rsid w:val="4C701D8B"/>
    <w:rsid w:val="4C765DFD"/>
    <w:rsid w:val="4C8C7656"/>
    <w:rsid w:val="4C942727"/>
    <w:rsid w:val="4C991AEB"/>
    <w:rsid w:val="4CA43670"/>
    <w:rsid w:val="4CA43702"/>
    <w:rsid w:val="4CA83BB4"/>
    <w:rsid w:val="4CB34C20"/>
    <w:rsid w:val="4CB93F3C"/>
    <w:rsid w:val="4CC0351C"/>
    <w:rsid w:val="4CC04072"/>
    <w:rsid w:val="4CDC302C"/>
    <w:rsid w:val="4CDD2BF7"/>
    <w:rsid w:val="4CE2768B"/>
    <w:rsid w:val="4CED1064"/>
    <w:rsid w:val="4CF62355"/>
    <w:rsid w:val="4D002112"/>
    <w:rsid w:val="4D0A766B"/>
    <w:rsid w:val="4D182FA0"/>
    <w:rsid w:val="4D186EB4"/>
    <w:rsid w:val="4D1B28FA"/>
    <w:rsid w:val="4D1D271C"/>
    <w:rsid w:val="4D1F5E22"/>
    <w:rsid w:val="4D272911"/>
    <w:rsid w:val="4D2765E8"/>
    <w:rsid w:val="4D2B08EE"/>
    <w:rsid w:val="4D40640B"/>
    <w:rsid w:val="4D477799"/>
    <w:rsid w:val="4D4E6D73"/>
    <w:rsid w:val="4D526EA6"/>
    <w:rsid w:val="4D536771"/>
    <w:rsid w:val="4D546DB4"/>
    <w:rsid w:val="4D573B41"/>
    <w:rsid w:val="4D5A3970"/>
    <w:rsid w:val="4D5A74CD"/>
    <w:rsid w:val="4D622217"/>
    <w:rsid w:val="4D645B34"/>
    <w:rsid w:val="4D6D7E6A"/>
    <w:rsid w:val="4D6E2635"/>
    <w:rsid w:val="4D733AFA"/>
    <w:rsid w:val="4D8220AC"/>
    <w:rsid w:val="4D891B60"/>
    <w:rsid w:val="4D8D1626"/>
    <w:rsid w:val="4D8E608C"/>
    <w:rsid w:val="4DA7146D"/>
    <w:rsid w:val="4DAE15C6"/>
    <w:rsid w:val="4DBA6108"/>
    <w:rsid w:val="4DC1754C"/>
    <w:rsid w:val="4DC70DA7"/>
    <w:rsid w:val="4DD600D9"/>
    <w:rsid w:val="4DE17BEE"/>
    <w:rsid w:val="4DE906B0"/>
    <w:rsid w:val="4DED0341"/>
    <w:rsid w:val="4DF25957"/>
    <w:rsid w:val="4DFA2A5E"/>
    <w:rsid w:val="4DFE25F7"/>
    <w:rsid w:val="4DFE7773"/>
    <w:rsid w:val="4E034757"/>
    <w:rsid w:val="4E0812A4"/>
    <w:rsid w:val="4E0A5816"/>
    <w:rsid w:val="4E124D4F"/>
    <w:rsid w:val="4E185D67"/>
    <w:rsid w:val="4E192EE4"/>
    <w:rsid w:val="4E194E4F"/>
    <w:rsid w:val="4E1B6FB3"/>
    <w:rsid w:val="4E1C6034"/>
    <w:rsid w:val="4E26426D"/>
    <w:rsid w:val="4E294F28"/>
    <w:rsid w:val="4E2D72A2"/>
    <w:rsid w:val="4E352E35"/>
    <w:rsid w:val="4E3C637F"/>
    <w:rsid w:val="4E457100"/>
    <w:rsid w:val="4E487C6D"/>
    <w:rsid w:val="4E507D60"/>
    <w:rsid w:val="4E52289A"/>
    <w:rsid w:val="4E6A1991"/>
    <w:rsid w:val="4E703038"/>
    <w:rsid w:val="4E707C84"/>
    <w:rsid w:val="4E8974AF"/>
    <w:rsid w:val="4E8E0BD4"/>
    <w:rsid w:val="4E960FBF"/>
    <w:rsid w:val="4E98622D"/>
    <w:rsid w:val="4E9938EB"/>
    <w:rsid w:val="4E9E2CBC"/>
    <w:rsid w:val="4EA053B3"/>
    <w:rsid w:val="4EA62ADA"/>
    <w:rsid w:val="4EB972E9"/>
    <w:rsid w:val="4ED45177"/>
    <w:rsid w:val="4EE16DF4"/>
    <w:rsid w:val="4EE32168"/>
    <w:rsid w:val="4EEE4370"/>
    <w:rsid w:val="4EFC38A3"/>
    <w:rsid w:val="4EFE032C"/>
    <w:rsid w:val="4F0E0461"/>
    <w:rsid w:val="4F1A1B6C"/>
    <w:rsid w:val="4F1A58B4"/>
    <w:rsid w:val="4F2A0D3A"/>
    <w:rsid w:val="4F30410E"/>
    <w:rsid w:val="4F3A5DF8"/>
    <w:rsid w:val="4F3C5DBA"/>
    <w:rsid w:val="4F3F3901"/>
    <w:rsid w:val="4F50660D"/>
    <w:rsid w:val="4F596AAE"/>
    <w:rsid w:val="4F5A32BB"/>
    <w:rsid w:val="4F5A734A"/>
    <w:rsid w:val="4F5D5052"/>
    <w:rsid w:val="4F641CE0"/>
    <w:rsid w:val="4F7973DD"/>
    <w:rsid w:val="4F7B0523"/>
    <w:rsid w:val="4F7B69CB"/>
    <w:rsid w:val="4F7D5C83"/>
    <w:rsid w:val="4F8472FE"/>
    <w:rsid w:val="4F8F6407"/>
    <w:rsid w:val="4F9464FD"/>
    <w:rsid w:val="4F9F7A2A"/>
    <w:rsid w:val="4FAD032E"/>
    <w:rsid w:val="4FB3209D"/>
    <w:rsid w:val="4FC779C9"/>
    <w:rsid w:val="4FD74B42"/>
    <w:rsid w:val="4FD77F76"/>
    <w:rsid w:val="4FD95020"/>
    <w:rsid w:val="4FDD61DB"/>
    <w:rsid w:val="4FE2593F"/>
    <w:rsid w:val="4FED4736"/>
    <w:rsid w:val="4FFE6835"/>
    <w:rsid w:val="50083DF6"/>
    <w:rsid w:val="500B71A4"/>
    <w:rsid w:val="50146E19"/>
    <w:rsid w:val="501509A3"/>
    <w:rsid w:val="5016042E"/>
    <w:rsid w:val="501F7F16"/>
    <w:rsid w:val="502414AD"/>
    <w:rsid w:val="50267B3A"/>
    <w:rsid w:val="502D6831"/>
    <w:rsid w:val="502F4C40"/>
    <w:rsid w:val="50355BEE"/>
    <w:rsid w:val="50395ABF"/>
    <w:rsid w:val="503B1837"/>
    <w:rsid w:val="503C735D"/>
    <w:rsid w:val="503E2C8E"/>
    <w:rsid w:val="50455C2E"/>
    <w:rsid w:val="50483F54"/>
    <w:rsid w:val="50511C6E"/>
    <w:rsid w:val="505A77E4"/>
    <w:rsid w:val="50762F1F"/>
    <w:rsid w:val="507931F5"/>
    <w:rsid w:val="507E15B1"/>
    <w:rsid w:val="508036EE"/>
    <w:rsid w:val="5086526F"/>
    <w:rsid w:val="50897CB4"/>
    <w:rsid w:val="508F1230"/>
    <w:rsid w:val="50B43398"/>
    <w:rsid w:val="50B70142"/>
    <w:rsid w:val="50B867C0"/>
    <w:rsid w:val="50C05039"/>
    <w:rsid w:val="50CB681C"/>
    <w:rsid w:val="50D13F4A"/>
    <w:rsid w:val="50D74B1E"/>
    <w:rsid w:val="50DD23FB"/>
    <w:rsid w:val="50E42FD1"/>
    <w:rsid w:val="50FD4D3F"/>
    <w:rsid w:val="510312B6"/>
    <w:rsid w:val="51080488"/>
    <w:rsid w:val="51083E00"/>
    <w:rsid w:val="510B7F1B"/>
    <w:rsid w:val="51234079"/>
    <w:rsid w:val="512D2340"/>
    <w:rsid w:val="51322CE6"/>
    <w:rsid w:val="5133250E"/>
    <w:rsid w:val="51365BF0"/>
    <w:rsid w:val="51373F33"/>
    <w:rsid w:val="513B13C3"/>
    <w:rsid w:val="51517585"/>
    <w:rsid w:val="51532E16"/>
    <w:rsid w:val="5156397E"/>
    <w:rsid w:val="5156444F"/>
    <w:rsid w:val="515B727E"/>
    <w:rsid w:val="516B298D"/>
    <w:rsid w:val="51734857"/>
    <w:rsid w:val="51804A33"/>
    <w:rsid w:val="51954F77"/>
    <w:rsid w:val="519B00B4"/>
    <w:rsid w:val="519C4558"/>
    <w:rsid w:val="51A151B5"/>
    <w:rsid w:val="51A61A4C"/>
    <w:rsid w:val="51AF590D"/>
    <w:rsid w:val="51B435EF"/>
    <w:rsid w:val="51C27D36"/>
    <w:rsid w:val="51C77B0E"/>
    <w:rsid w:val="51C84F57"/>
    <w:rsid w:val="51CA735E"/>
    <w:rsid w:val="51D63120"/>
    <w:rsid w:val="51E4486B"/>
    <w:rsid w:val="51F35B99"/>
    <w:rsid w:val="5204706B"/>
    <w:rsid w:val="520E4374"/>
    <w:rsid w:val="52102850"/>
    <w:rsid w:val="521265C8"/>
    <w:rsid w:val="522B768A"/>
    <w:rsid w:val="52340065"/>
    <w:rsid w:val="523852B0"/>
    <w:rsid w:val="523F4840"/>
    <w:rsid w:val="524349D3"/>
    <w:rsid w:val="524412A4"/>
    <w:rsid w:val="52563B2E"/>
    <w:rsid w:val="525B7E1D"/>
    <w:rsid w:val="5264615A"/>
    <w:rsid w:val="52653325"/>
    <w:rsid w:val="5268479E"/>
    <w:rsid w:val="52720E14"/>
    <w:rsid w:val="527519C8"/>
    <w:rsid w:val="527C4DF0"/>
    <w:rsid w:val="52903990"/>
    <w:rsid w:val="52993FA7"/>
    <w:rsid w:val="52A404DE"/>
    <w:rsid w:val="52A42F98"/>
    <w:rsid w:val="52A82A88"/>
    <w:rsid w:val="52B256B5"/>
    <w:rsid w:val="52B910F3"/>
    <w:rsid w:val="52C13B4A"/>
    <w:rsid w:val="52CA05EC"/>
    <w:rsid w:val="52D7766F"/>
    <w:rsid w:val="52D81D36"/>
    <w:rsid w:val="52EB2AB7"/>
    <w:rsid w:val="52F67566"/>
    <w:rsid w:val="52FB042C"/>
    <w:rsid w:val="530A3743"/>
    <w:rsid w:val="53116E11"/>
    <w:rsid w:val="531262E7"/>
    <w:rsid w:val="53176B7B"/>
    <w:rsid w:val="532A4885"/>
    <w:rsid w:val="532B0CDF"/>
    <w:rsid w:val="53316F22"/>
    <w:rsid w:val="533662E6"/>
    <w:rsid w:val="53386908"/>
    <w:rsid w:val="5342566A"/>
    <w:rsid w:val="53604947"/>
    <w:rsid w:val="536429ED"/>
    <w:rsid w:val="537952A2"/>
    <w:rsid w:val="537B2D47"/>
    <w:rsid w:val="537B4B6C"/>
    <w:rsid w:val="537B5ACB"/>
    <w:rsid w:val="53847BD3"/>
    <w:rsid w:val="5385063F"/>
    <w:rsid w:val="53884030"/>
    <w:rsid w:val="53897EF0"/>
    <w:rsid w:val="538F3C48"/>
    <w:rsid w:val="53920D57"/>
    <w:rsid w:val="5395207E"/>
    <w:rsid w:val="53A83CAD"/>
    <w:rsid w:val="53B611D5"/>
    <w:rsid w:val="53B62D8A"/>
    <w:rsid w:val="53B8319F"/>
    <w:rsid w:val="53C303BB"/>
    <w:rsid w:val="53CD1702"/>
    <w:rsid w:val="53D17DBD"/>
    <w:rsid w:val="53D463BF"/>
    <w:rsid w:val="53DD49B3"/>
    <w:rsid w:val="53E564C3"/>
    <w:rsid w:val="53E67D0C"/>
    <w:rsid w:val="53EA467D"/>
    <w:rsid w:val="53F067FD"/>
    <w:rsid w:val="53FD32A8"/>
    <w:rsid w:val="54024D20"/>
    <w:rsid w:val="54057A30"/>
    <w:rsid w:val="54077C82"/>
    <w:rsid w:val="54103A02"/>
    <w:rsid w:val="54143842"/>
    <w:rsid w:val="542039EB"/>
    <w:rsid w:val="54316F16"/>
    <w:rsid w:val="54370568"/>
    <w:rsid w:val="544113E6"/>
    <w:rsid w:val="54415C74"/>
    <w:rsid w:val="54516500"/>
    <w:rsid w:val="545253A1"/>
    <w:rsid w:val="5455560B"/>
    <w:rsid w:val="546314A0"/>
    <w:rsid w:val="546F0EAD"/>
    <w:rsid w:val="54772376"/>
    <w:rsid w:val="547D3521"/>
    <w:rsid w:val="547F5A6B"/>
    <w:rsid w:val="54914127"/>
    <w:rsid w:val="549C3CA0"/>
    <w:rsid w:val="54A0435F"/>
    <w:rsid w:val="54A07011"/>
    <w:rsid w:val="54A440BF"/>
    <w:rsid w:val="54A6749B"/>
    <w:rsid w:val="54AA453A"/>
    <w:rsid w:val="54AA6F8B"/>
    <w:rsid w:val="54B73456"/>
    <w:rsid w:val="54C52E4A"/>
    <w:rsid w:val="54DC4C6B"/>
    <w:rsid w:val="54EC2C77"/>
    <w:rsid w:val="54F16CCE"/>
    <w:rsid w:val="54FA3343"/>
    <w:rsid w:val="54FE29A1"/>
    <w:rsid w:val="550E5D8E"/>
    <w:rsid w:val="550F5041"/>
    <w:rsid w:val="551663CF"/>
    <w:rsid w:val="55200577"/>
    <w:rsid w:val="55213315"/>
    <w:rsid w:val="552D196B"/>
    <w:rsid w:val="55345C09"/>
    <w:rsid w:val="55386600"/>
    <w:rsid w:val="554B62E3"/>
    <w:rsid w:val="555D70A0"/>
    <w:rsid w:val="556C0585"/>
    <w:rsid w:val="557B4484"/>
    <w:rsid w:val="55830990"/>
    <w:rsid w:val="558D4B59"/>
    <w:rsid w:val="559334FE"/>
    <w:rsid w:val="55AE4859"/>
    <w:rsid w:val="55B1434A"/>
    <w:rsid w:val="55B16FAE"/>
    <w:rsid w:val="55C841EE"/>
    <w:rsid w:val="55DB5364"/>
    <w:rsid w:val="55DF382B"/>
    <w:rsid w:val="55E1008E"/>
    <w:rsid w:val="55E95892"/>
    <w:rsid w:val="55EA31F8"/>
    <w:rsid w:val="55FB20AD"/>
    <w:rsid w:val="56051FA0"/>
    <w:rsid w:val="560B2AB3"/>
    <w:rsid w:val="56135E24"/>
    <w:rsid w:val="562664F5"/>
    <w:rsid w:val="56282C52"/>
    <w:rsid w:val="563130C9"/>
    <w:rsid w:val="5632283D"/>
    <w:rsid w:val="563E6FEE"/>
    <w:rsid w:val="563E70FA"/>
    <w:rsid w:val="564105EA"/>
    <w:rsid w:val="56431F39"/>
    <w:rsid w:val="564B011A"/>
    <w:rsid w:val="564B654C"/>
    <w:rsid w:val="564F2E6A"/>
    <w:rsid w:val="565168DC"/>
    <w:rsid w:val="565371B1"/>
    <w:rsid w:val="566E6115"/>
    <w:rsid w:val="56717D6E"/>
    <w:rsid w:val="56807015"/>
    <w:rsid w:val="568455BA"/>
    <w:rsid w:val="56A83445"/>
    <w:rsid w:val="56AC7E60"/>
    <w:rsid w:val="56B22B23"/>
    <w:rsid w:val="56C26FB9"/>
    <w:rsid w:val="56CD6F52"/>
    <w:rsid w:val="56EF3C74"/>
    <w:rsid w:val="56EF7A4F"/>
    <w:rsid w:val="56F24C1A"/>
    <w:rsid w:val="56F42740"/>
    <w:rsid w:val="56F91B04"/>
    <w:rsid w:val="56FF5B35"/>
    <w:rsid w:val="570A0D4E"/>
    <w:rsid w:val="570B3D7A"/>
    <w:rsid w:val="572C2443"/>
    <w:rsid w:val="572C5AC4"/>
    <w:rsid w:val="573568B4"/>
    <w:rsid w:val="5739655E"/>
    <w:rsid w:val="573A3ECB"/>
    <w:rsid w:val="573C7C43"/>
    <w:rsid w:val="57430FD1"/>
    <w:rsid w:val="574324F8"/>
    <w:rsid w:val="57476D14"/>
    <w:rsid w:val="574C288C"/>
    <w:rsid w:val="574D15AB"/>
    <w:rsid w:val="57517D03"/>
    <w:rsid w:val="5753088F"/>
    <w:rsid w:val="57547D67"/>
    <w:rsid w:val="57574756"/>
    <w:rsid w:val="575E18CE"/>
    <w:rsid w:val="576076AE"/>
    <w:rsid w:val="57641DEB"/>
    <w:rsid w:val="577D5302"/>
    <w:rsid w:val="57825F9E"/>
    <w:rsid w:val="578B6214"/>
    <w:rsid w:val="578E72A2"/>
    <w:rsid w:val="57923845"/>
    <w:rsid w:val="57923D07"/>
    <w:rsid w:val="579C4626"/>
    <w:rsid w:val="57B40121"/>
    <w:rsid w:val="57B41ECF"/>
    <w:rsid w:val="57B76497"/>
    <w:rsid w:val="57C779C6"/>
    <w:rsid w:val="57C87B39"/>
    <w:rsid w:val="57CB365A"/>
    <w:rsid w:val="57DE6F4C"/>
    <w:rsid w:val="57E02CC4"/>
    <w:rsid w:val="57E24EDB"/>
    <w:rsid w:val="57E62D59"/>
    <w:rsid w:val="57F14ED1"/>
    <w:rsid w:val="57F329F7"/>
    <w:rsid w:val="58030761"/>
    <w:rsid w:val="58056EA2"/>
    <w:rsid w:val="58094B8C"/>
    <w:rsid w:val="581012DD"/>
    <w:rsid w:val="5818420C"/>
    <w:rsid w:val="5820129B"/>
    <w:rsid w:val="582C1ED0"/>
    <w:rsid w:val="583077A8"/>
    <w:rsid w:val="583A23D4"/>
    <w:rsid w:val="584C2108"/>
    <w:rsid w:val="586236D9"/>
    <w:rsid w:val="586410CB"/>
    <w:rsid w:val="58763B19"/>
    <w:rsid w:val="587C29ED"/>
    <w:rsid w:val="58874D93"/>
    <w:rsid w:val="58893F17"/>
    <w:rsid w:val="58896EB8"/>
    <w:rsid w:val="588D4BFA"/>
    <w:rsid w:val="588E2720"/>
    <w:rsid w:val="589046EA"/>
    <w:rsid w:val="58915878"/>
    <w:rsid w:val="58987DF4"/>
    <w:rsid w:val="58A217CF"/>
    <w:rsid w:val="58A715F6"/>
    <w:rsid w:val="58AB32D2"/>
    <w:rsid w:val="58AD270A"/>
    <w:rsid w:val="58B815A4"/>
    <w:rsid w:val="58B8779D"/>
    <w:rsid w:val="58BC325E"/>
    <w:rsid w:val="58C61EBA"/>
    <w:rsid w:val="58D66C97"/>
    <w:rsid w:val="58DE235D"/>
    <w:rsid w:val="58DF63BC"/>
    <w:rsid w:val="58E13C1D"/>
    <w:rsid w:val="58E14F46"/>
    <w:rsid w:val="58E548AF"/>
    <w:rsid w:val="58ED4A43"/>
    <w:rsid w:val="58F01FC4"/>
    <w:rsid w:val="58F033DB"/>
    <w:rsid w:val="58F96A12"/>
    <w:rsid w:val="590D5D3B"/>
    <w:rsid w:val="59171741"/>
    <w:rsid w:val="59233374"/>
    <w:rsid w:val="59235A58"/>
    <w:rsid w:val="592D018B"/>
    <w:rsid w:val="593333F8"/>
    <w:rsid w:val="59334A1C"/>
    <w:rsid w:val="594554D5"/>
    <w:rsid w:val="59470A9E"/>
    <w:rsid w:val="594C6863"/>
    <w:rsid w:val="594D0C1F"/>
    <w:rsid w:val="595C1C06"/>
    <w:rsid w:val="59617E35"/>
    <w:rsid w:val="596872B7"/>
    <w:rsid w:val="596C2A61"/>
    <w:rsid w:val="596D2F3F"/>
    <w:rsid w:val="59861649"/>
    <w:rsid w:val="598649EC"/>
    <w:rsid w:val="598D4786"/>
    <w:rsid w:val="599B5542"/>
    <w:rsid w:val="59B91A1F"/>
    <w:rsid w:val="59D40607"/>
    <w:rsid w:val="59D93C72"/>
    <w:rsid w:val="59DE0E30"/>
    <w:rsid w:val="59E9386B"/>
    <w:rsid w:val="59ED11E8"/>
    <w:rsid w:val="5A094754"/>
    <w:rsid w:val="5A0B2483"/>
    <w:rsid w:val="5A142DDF"/>
    <w:rsid w:val="5A34260E"/>
    <w:rsid w:val="5A4C33D8"/>
    <w:rsid w:val="5A555147"/>
    <w:rsid w:val="5A587CD5"/>
    <w:rsid w:val="5A7245BF"/>
    <w:rsid w:val="5A767910"/>
    <w:rsid w:val="5A8A0F50"/>
    <w:rsid w:val="5AA242EF"/>
    <w:rsid w:val="5AA80B41"/>
    <w:rsid w:val="5AB67A79"/>
    <w:rsid w:val="5ABC74C1"/>
    <w:rsid w:val="5ABF6B4D"/>
    <w:rsid w:val="5AC558ED"/>
    <w:rsid w:val="5ACE3B27"/>
    <w:rsid w:val="5AD26BF1"/>
    <w:rsid w:val="5AD56EF2"/>
    <w:rsid w:val="5AE605F2"/>
    <w:rsid w:val="5AEC6C72"/>
    <w:rsid w:val="5AF51C12"/>
    <w:rsid w:val="5AFA1FEB"/>
    <w:rsid w:val="5AFA6E64"/>
    <w:rsid w:val="5AFD16B9"/>
    <w:rsid w:val="5B0704EC"/>
    <w:rsid w:val="5B1B05DB"/>
    <w:rsid w:val="5B1C092F"/>
    <w:rsid w:val="5B21787C"/>
    <w:rsid w:val="5B2472F7"/>
    <w:rsid w:val="5B2F527D"/>
    <w:rsid w:val="5B331092"/>
    <w:rsid w:val="5B465608"/>
    <w:rsid w:val="5B467A81"/>
    <w:rsid w:val="5B4B66A7"/>
    <w:rsid w:val="5B5163B3"/>
    <w:rsid w:val="5B527A35"/>
    <w:rsid w:val="5B5449E3"/>
    <w:rsid w:val="5B5648D1"/>
    <w:rsid w:val="5B576BCD"/>
    <w:rsid w:val="5B576DA6"/>
    <w:rsid w:val="5B6301F4"/>
    <w:rsid w:val="5B6619C0"/>
    <w:rsid w:val="5B6D635F"/>
    <w:rsid w:val="5B7A63DB"/>
    <w:rsid w:val="5B8C0C96"/>
    <w:rsid w:val="5B8E213E"/>
    <w:rsid w:val="5B9F2E4B"/>
    <w:rsid w:val="5B9F6258"/>
    <w:rsid w:val="5BAE3BB5"/>
    <w:rsid w:val="5BB766EA"/>
    <w:rsid w:val="5BBA55DA"/>
    <w:rsid w:val="5BBE331C"/>
    <w:rsid w:val="5BC4531C"/>
    <w:rsid w:val="5BC76A15"/>
    <w:rsid w:val="5BD1237B"/>
    <w:rsid w:val="5BFB00CD"/>
    <w:rsid w:val="5C05655A"/>
    <w:rsid w:val="5C090A3C"/>
    <w:rsid w:val="5C0A7177"/>
    <w:rsid w:val="5C1445C4"/>
    <w:rsid w:val="5C272CAE"/>
    <w:rsid w:val="5C2744BE"/>
    <w:rsid w:val="5C2E2250"/>
    <w:rsid w:val="5C384E7D"/>
    <w:rsid w:val="5C3D2493"/>
    <w:rsid w:val="5C457F18"/>
    <w:rsid w:val="5C476215"/>
    <w:rsid w:val="5C4A5FFF"/>
    <w:rsid w:val="5C4C0928"/>
    <w:rsid w:val="5C4E46A0"/>
    <w:rsid w:val="5C5954CD"/>
    <w:rsid w:val="5C600F31"/>
    <w:rsid w:val="5C6A5FCB"/>
    <w:rsid w:val="5C6C116D"/>
    <w:rsid w:val="5C7369CD"/>
    <w:rsid w:val="5C981DBF"/>
    <w:rsid w:val="5CA16EC6"/>
    <w:rsid w:val="5CAF2C65"/>
    <w:rsid w:val="5CBA16BC"/>
    <w:rsid w:val="5CBD35D4"/>
    <w:rsid w:val="5CBD6DB6"/>
    <w:rsid w:val="5CC665D4"/>
    <w:rsid w:val="5CC76201"/>
    <w:rsid w:val="5CD57216"/>
    <w:rsid w:val="5CDD5A24"/>
    <w:rsid w:val="5CEE5E83"/>
    <w:rsid w:val="5CF15213"/>
    <w:rsid w:val="5CF70654"/>
    <w:rsid w:val="5D02548B"/>
    <w:rsid w:val="5D037DB0"/>
    <w:rsid w:val="5D160C16"/>
    <w:rsid w:val="5D1C7A71"/>
    <w:rsid w:val="5D261179"/>
    <w:rsid w:val="5D2642F3"/>
    <w:rsid w:val="5D272194"/>
    <w:rsid w:val="5D6323CD"/>
    <w:rsid w:val="5D665842"/>
    <w:rsid w:val="5D6C666C"/>
    <w:rsid w:val="5D6F0D72"/>
    <w:rsid w:val="5D764605"/>
    <w:rsid w:val="5D870541"/>
    <w:rsid w:val="5D8931AB"/>
    <w:rsid w:val="5DA551E3"/>
    <w:rsid w:val="5DA614FB"/>
    <w:rsid w:val="5DAA3B58"/>
    <w:rsid w:val="5DAF116F"/>
    <w:rsid w:val="5DB37EE1"/>
    <w:rsid w:val="5DBB14A3"/>
    <w:rsid w:val="5DC80631"/>
    <w:rsid w:val="5DCB661E"/>
    <w:rsid w:val="5DD706C5"/>
    <w:rsid w:val="5DD76917"/>
    <w:rsid w:val="5DD825B7"/>
    <w:rsid w:val="5DE9452B"/>
    <w:rsid w:val="5DF96DD0"/>
    <w:rsid w:val="5E056FE1"/>
    <w:rsid w:val="5E0D51FC"/>
    <w:rsid w:val="5E0E7A88"/>
    <w:rsid w:val="5E10413A"/>
    <w:rsid w:val="5E116222"/>
    <w:rsid w:val="5E1C432A"/>
    <w:rsid w:val="5E27164D"/>
    <w:rsid w:val="5E2E4E01"/>
    <w:rsid w:val="5E2F22B0"/>
    <w:rsid w:val="5E3478C6"/>
    <w:rsid w:val="5E355645"/>
    <w:rsid w:val="5E452B59"/>
    <w:rsid w:val="5E4A3FF3"/>
    <w:rsid w:val="5E4F49DA"/>
    <w:rsid w:val="5E5206C3"/>
    <w:rsid w:val="5E5D4F9F"/>
    <w:rsid w:val="5E5D7F9F"/>
    <w:rsid w:val="5E5E4943"/>
    <w:rsid w:val="5E6301AB"/>
    <w:rsid w:val="5E631F59"/>
    <w:rsid w:val="5E644C39"/>
    <w:rsid w:val="5E6B7683"/>
    <w:rsid w:val="5E79177D"/>
    <w:rsid w:val="5E812682"/>
    <w:rsid w:val="5E8953EC"/>
    <w:rsid w:val="5E993DAA"/>
    <w:rsid w:val="5E9B5C38"/>
    <w:rsid w:val="5EA13984"/>
    <w:rsid w:val="5EA87C01"/>
    <w:rsid w:val="5EB04894"/>
    <w:rsid w:val="5EB826D2"/>
    <w:rsid w:val="5EC0115A"/>
    <w:rsid w:val="5EC7025F"/>
    <w:rsid w:val="5EC7073A"/>
    <w:rsid w:val="5EC7698C"/>
    <w:rsid w:val="5ECC107D"/>
    <w:rsid w:val="5ED30D09"/>
    <w:rsid w:val="5ED66BCF"/>
    <w:rsid w:val="5ED742A5"/>
    <w:rsid w:val="5EE25234"/>
    <w:rsid w:val="5EF17565"/>
    <w:rsid w:val="5EF552A7"/>
    <w:rsid w:val="5F067E4A"/>
    <w:rsid w:val="5F085DA4"/>
    <w:rsid w:val="5F117C07"/>
    <w:rsid w:val="5F256393"/>
    <w:rsid w:val="5F2D60E0"/>
    <w:rsid w:val="5F322057"/>
    <w:rsid w:val="5F3B71C9"/>
    <w:rsid w:val="5F3C1128"/>
    <w:rsid w:val="5F4955F3"/>
    <w:rsid w:val="5F4F0E5B"/>
    <w:rsid w:val="5F584615"/>
    <w:rsid w:val="5F5D3118"/>
    <w:rsid w:val="5F5F6C97"/>
    <w:rsid w:val="5F6917F1"/>
    <w:rsid w:val="5F6B6E66"/>
    <w:rsid w:val="5F7A1338"/>
    <w:rsid w:val="5F874ED1"/>
    <w:rsid w:val="5F8B4F95"/>
    <w:rsid w:val="5F8C7F8E"/>
    <w:rsid w:val="5F921A64"/>
    <w:rsid w:val="5FA24202"/>
    <w:rsid w:val="5FA80A5B"/>
    <w:rsid w:val="5FAB005C"/>
    <w:rsid w:val="5FAC5D94"/>
    <w:rsid w:val="5FAE5456"/>
    <w:rsid w:val="5FB32A6C"/>
    <w:rsid w:val="5FC01570"/>
    <w:rsid w:val="5FC52978"/>
    <w:rsid w:val="5FC82EB2"/>
    <w:rsid w:val="5FDE12B5"/>
    <w:rsid w:val="5FE133B6"/>
    <w:rsid w:val="5FE1582B"/>
    <w:rsid w:val="5FE377F5"/>
    <w:rsid w:val="5FE87FBA"/>
    <w:rsid w:val="5FEC48FC"/>
    <w:rsid w:val="5FF02A6F"/>
    <w:rsid w:val="5FF9050D"/>
    <w:rsid w:val="5FF91A33"/>
    <w:rsid w:val="60067040"/>
    <w:rsid w:val="6008100A"/>
    <w:rsid w:val="600F4F8B"/>
    <w:rsid w:val="601421C0"/>
    <w:rsid w:val="60164D85"/>
    <w:rsid w:val="60274ACB"/>
    <w:rsid w:val="60293CA0"/>
    <w:rsid w:val="602A71D2"/>
    <w:rsid w:val="60397415"/>
    <w:rsid w:val="60430294"/>
    <w:rsid w:val="60445CD9"/>
    <w:rsid w:val="60457B68"/>
    <w:rsid w:val="604C113B"/>
    <w:rsid w:val="604C5B48"/>
    <w:rsid w:val="60543988"/>
    <w:rsid w:val="60575AEE"/>
    <w:rsid w:val="605F6B1B"/>
    <w:rsid w:val="608210E3"/>
    <w:rsid w:val="60846F83"/>
    <w:rsid w:val="60847C5E"/>
    <w:rsid w:val="608E5A39"/>
    <w:rsid w:val="608F5772"/>
    <w:rsid w:val="60911000"/>
    <w:rsid w:val="609D11A0"/>
    <w:rsid w:val="60A26D69"/>
    <w:rsid w:val="60A81322"/>
    <w:rsid w:val="60AC7BE7"/>
    <w:rsid w:val="60B44CEE"/>
    <w:rsid w:val="60B658CE"/>
    <w:rsid w:val="60B7767B"/>
    <w:rsid w:val="60C70EC5"/>
    <w:rsid w:val="60C73C47"/>
    <w:rsid w:val="60C76C91"/>
    <w:rsid w:val="60DA0F0D"/>
    <w:rsid w:val="60E6759D"/>
    <w:rsid w:val="60E70F36"/>
    <w:rsid w:val="60F43566"/>
    <w:rsid w:val="60F85AE9"/>
    <w:rsid w:val="60FD6FB8"/>
    <w:rsid w:val="610C38B2"/>
    <w:rsid w:val="61137C66"/>
    <w:rsid w:val="6126423F"/>
    <w:rsid w:val="612702A0"/>
    <w:rsid w:val="612C65CB"/>
    <w:rsid w:val="6131633F"/>
    <w:rsid w:val="614356B8"/>
    <w:rsid w:val="61480C3A"/>
    <w:rsid w:val="61572249"/>
    <w:rsid w:val="615D65CA"/>
    <w:rsid w:val="615E4969"/>
    <w:rsid w:val="61630BEE"/>
    <w:rsid w:val="61640F40"/>
    <w:rsid w:val="616561FC"/>
    <w:rsid w:val="616822CB"/>
    <w:rsid w:val="616C3FB3"/>
    <w:rsid w:val="61760BC2"/>
    <w:rsid w:val="61767B04"/>
    <w:rsid w:val="6177780E"/>
    <w:rsid w:val="61851E49"/>
    <w:rsid w:val="618A7237"/>
    <w:rsid w:val="61934830"/>
    <w:rsid w:val="619B289B"/>
    <w:rsid w:val="61BC02FE"/>
    <w:rsid w:val="61C251E9"/>
    <w:rsid w:val="61E44760"/>
    <w:rsid w:val="61E939D1"/>
    <w:rsid w:val="61F061BF"/>
    <w:rsid w:val="61F16B9A"/>
    <w:rsid w:val="61F47A98"/>
    <w:rsid w:val="620756C6"/>
    <w:rsid w:val="620833C3"/>
    <w:rsid w:val="62086F6E"/>
    <w:rsid w:val="621B3277"/>
    <w:rsid w:val="621F0E4B"/>
    <w:rsid w:val="62227DF3"/>
    <w:rsid w:val="62255B52"/>
    <w:rsid w:val="6234035A"/>
    <w:rsid w:val="6240013D"/>
    <w:rsid w:val="62411979"/>
    <w:rsid w:val="62496813"/>
    <w:rsid w:val="624B2A5D"/>
    <w:rsid w:val="624B30B0"/>
    <w:rsid w:val="624D5ED7"/>
    <w:rsid w:val="625148E0"/>
    <w:rsid w:val="625152A3"/>
    <w:rsid w:val="62567F64"/>
    <w:rsid w:val="625750F4"/>
    <w:rsid w:val="625D3525"/>
    <w:rsid w:val="626B0654"/>
    <w:rsid w:val="626C22BB"/>
    <w:rsid w:val="62736B5C"/>
    <w:rsid w:val="62771226"/>
    <w:rsid w:val="627D0036"/>
    <w:rsid w:val="627E0634"/>
    <w:rsid w:val="62807874"/>
    <w:rsid w:val="62826CF6"/>
    <w:rsid w:val="62844FFE"/>
    <w:rsid w:val="628A03FC"/>
    <w:rsid w:val="628A21AA"/>
    <w:rsid w:val="628F156F"/>
    <w:rsid w:val="629B6165"/>
    <w:rsid w:val="62B66AFB"/>
    <w:rsid w:val="62CF7BBD"/>
    <w:rsid w:val="62D358FF"/>
    <w:rsid w:val="62D41677"/>
    <w:rsid w:val="62DA4EE0"/>
    <w:rsid w:val="62E53E57"/>
    <w:rsid w:val="62E94C16"/>
    <w:rsid w:val="62F23AF5"/>
    <w:rsid w:val="62FA10DE"/>
    <w:rsid w:val="62FC4477"/>
    <w:rsid w:val="630024FC"/>
    <w:rsid w:val="630C0E11"/>
    <w:rsid w:val="631117CF"/>
    <w:rsid w:val="63115B8D"/>
    <w:rsid w:val="63141137"/>
    <w:rsid w:val="631D3F45"/>
    <w:rsid w:val="631F6D97"/>
    <w:rsid w:val="63230B51"/>
    <w:rsid w:val="632375E7"/>
    <w:rsid w:val="63301201"/>
    <w:rsid w:val="63332665"/>
    <w:rsid w:val="63360EE3"/>
    <w:rsid w:val="63454040"/>
    <w:rsid w:val="634C18FC"/>
    <w:rsid w:val="63506F50"/>
    <w:rsid w:val="63520E34"/>
    <w:rsid w:val="63527792"/>
    <w:rsid w:val="63536A40"/>
    <w:rsid w:val="635B4351"/>
    <w:rsid w:val="635C2A1D"/>
    <w:rsid w:val="63615A0A"/>
    <w:rsid w:val="63696264"/>
    <w:rsid w:val="636F7788"/>
    <w:rsid w:val="63724A42"/>
    <w:rsid w:val="63765F4D"/>
    <w:rsid w:val="63810D76"/>
    <w:rsid w:val="63824B7F"/>
    <w:rsid w:val="6384309D"/>
    <w:rsid w:val="63926D34"/>
    <w:rsid w:val="63A46A61"/>
    <w:rsid w:val="63A76C1C"/>
    <w:rsid w:val="63A85ED6"/>
    <w:rsid w:val="63B537B9"/>
    <w:rsid w:val="63BF786B"/>
    <w:rsid w:val="63C45143"/>
    <w:rsid w:val="63CF1BCC"/>
    <w:rsid w:val="63D23E09"/>
    <w:rsid w:val="63D57442"/>
    <w:rsid w:val="63D74023"/>
    <w:rsid w:val="63D86B24"/>
    <w:rsid w:val="63E336FC"/>
    <w:rsid w:val="63F368CE"/>
    <w:rsid w:val="63F4603A"/>
    <w:rsid w:val="63FA0049"/>
    <w:rsid w:val="640209CD"/>
    <w:rsid w:val="64033072"/>
    <w:rsid w:val="64061D04"/>
    <w:rsid w:val="640B6F9B"/>
    <w:rsid w:val="640E5F43"/>
    <w:rsid w:val="640F4C5C"/>
    <w:rsid w:val="64102CFE"/>
    <w:rsid w:val="641461CF"/>
    <w:rsid w:val="641C32D6"/>
    <w:rsid w:val="641E704E"/>
    <w:rsid w:val="644B2E77"/>
    <w:rsid w:val="64512A1F"/>
    <w:rsid w:val="646131FE"/>
    <w:rsid w:val="646B0F38"/>
    <w:rsid w:val="646F78AA"/>
    <w:rsid w:val="6475157E"/>
    <w:rsid w:val="648C3657"/>
    <w:rsid w:val="64911D90"/>
    <w:rsid w:val="649B069F"/>
    <w:rsid w:val="64A136EE"/>
    <w:rsid w:val="64AA460E"/>
    <w:rsid w:val="64AD48E7"/>
    <w:rsid w:val="64B654D9"/>
    <w:rsid w:val="64BB204C"/>
    <w:rsid w:val="64C97E07"/>
    <w:rsid w:val="64E92302"/>
    <w:rsid w:val="64FE3878"/>
    <w:rsid w:val="65017F99"/>
    <w:rsid w:val="65070998"/>
    <w:rsid w:val="6509385A"/>
    <w:rsid w:val="650E34B8"/>
    <w:rsid w:val="650F2BFD"/>
    <w:rsid w:val="65110961"/>
    <w:rsid w:val="651305F4"/>
    <w:rsid w:val="651A3152"/>
    <w:rsid w:val="651D4188"/>
    <w:rsid w:val="651E4E2C"/>
    <w:rsid w:val="65276365"/>
    <w:rsid w:val="652E1513"/>
    <w:rsid w:val="65314BDF"/>
    <w:rsid w:val="65336B29"/>
    <w:rsid w:val="65366619"/>
    <w:rsid w:val="654B487E"/>
    <w:rsid w:val="6551470B"/>
    <w:rsid w:val="655D0545"/>
    <w:rsid w:val="655F0C68"/>
    <w:rsid w:val="65652A5B"/>
    <w:rsid w:val="657769A7"/>
    <w:rsid w:val="65790DF6"/>
    <w:rsid w:val="657F58CB"/>
    <w:rsid w:val="658173C5"/>
    <w:rsid w:val="6587477F"/>
    <w:rsid w:val="65893EDD"/>
    <w:rsid w:val="658A6B7C"/>
    <w:rsid w:val="658A7316"/>
    <w:rsid w:val="65A6485A"/>
    <w:rsid w:val="65AE51DC"/>
    <w:rsid w:val="65AF6E4B"/>
    <w:rsid w:val="65BD3184"/>
    <w:rsid w:val="65C510A6"/>
    <w:rsid w:val="65CE0600"/>
    <w:rsid w:val="65D106AB"/>
    <w:rsid w:val="65D33E68"/>
    <w:rsid w:val="65E322FD"/>
    <w:rsid w:val="65E46075"/>
    <w:rsid w:val="65E758A9"/>
    <w:rsid w:val="65EF22B9"/>
    <w:rsid w:val="65F30067"/>
    <w:rsid w:val="65F8526B"/>
    <w:rsid w:val="65FD53F6"/>
    <w:rsid w:val="66022202"/>
    <w:rsid w:val="660D1128"/>
    <w:rsid w:val="660E3181"/>
    <w:rsid w:val="6610666F"/>
    <w:rsid w:val="66135703"/>
    <w:rsid w:val="6615622F"/>
    <w:rsid w:val="66177AD5"/>
    <w:rsid w:val="661A4BE5"/>
    <w:rsid w:val="661C580F"/>
    <w:rsid w:val="661D2700"/>
    <w:rsid w:val="66203FC0"/>
    <w:rsid w:val="66243A75"/>
    <w:rsid w:val="66292CD3"/>
    <w:rsid w:val="662A056E"/>
    <w:rsid w:val="662C27AD"/>
    <w:rsid w:val="663277E4"/>
    <w:rsid w:val="66327BF7"/>
    <w:rsid w:val="66395563"/>
    <w:rsid w:val="663B0173"/>
    <w:rsid w:val="663F4FC9"/>
    <w:rsid w:val="664512A6"/>
    <w:rsid w:val="6647680A"/>
    <w:rsid w:val="664B24FE"/>
    <w:rsid w:val="664B685C"/>
    <w:rsid w:val="665E4FCA"/>
    <w:rsid w:val="665E77ED"/>
    <w:rsid w:val="66606C12"/>
    <w:rsid w:val="666442D6"/>
    <w:rsid w:val="666909E2"/>
    <w:rsid w:val="666A206F"/>
    <w:rsid w:val="668B408A"/>
    <w:rsid w:val="669323F4"/>
    <w:rsid w:val="669727D3"/>
    <w:rsid w:val="669837B5"/>
    <w:rsid w:val="66A51361"/>
    <w:rsid w:val="66A9003D"/>
    <w:rsid w:val="66B15F8B"/>
    <w:rsid w:val="66B612D2"/>
    <w:rsid w:val="66C07749"/>
    <w:rsid w:val="66D6776C"/>
    <w:rsid w:val="66E04A8F"/>
    <w:rsid w:val="66E12631"/>
    <w:rsid w:val="66E63727"/>
    <w:rsid w:val="66F95B50"/>
    <w:rsid w:val="6701120D"/>
    <w:rsid w:val="6701701E"/>
    <w:rsid w:val="67030FAB"/>
    <w:rsid w:val="670818F0"/>
    <w:rsid w:val="67095D94"/>
    <w:rsid w:val="67136644"/>
    <w:rsid w:val="673404ED"/>
    <w:rsid w:val="6737477D"/>
    <w:rsid w:val="673B5830"/>
    <w:rsid w:val="673C4286"/>
    <w:rsid w:val="6740552D"/>
    <w:rsid w:val="674548F2"/>
    <w:rsid w:val="674C68DA"/>
    <w:rsid w:val="674D6EDE"/>
    <w:rsid w:val="67553F18"/>
    <w:rsid w:val="67572197"/>
    <w:rsid w:val="676E5941"/>
    <w:rsid w:val="67706C83"/>
    <w:rsid w:val="677733AE"/>
    <w:rsid w:val="677C77F2"/>
    <w:rsid w:val="67884378"/>
    <w:rsid w:val="678A0557"/>
    <w:rsid w:val="678E0047"/>
    <w:rsid w:val="679C0B0D"/>
    <w:rsid w:val="679F04A6"/>
    <w:rsid w:val="679F09C5"/>
    <w:rsid w:val="67A07D7A"/>
    <w:rsid w:val="67A21D44"/>
    <w:rsid w:val="67A4786A"/>
    <w:rsid w:val="67A535E2"/>
    <w:rsid w:val="67AA4CC9"/>
    <w:rsid w:val="67AC6763"/>
    <w:rsid w:val="67B33F51"/>
    <w:rsid w:val="67B44CAC"/>
    <w:rsid w:val="67B91EEC"/>
    <w:rsid w:val="67BD6684"/>
    <w:rsid w:val="67BE65C3"/>
    <w:rsid w:val="67D6379C"/>
    <w:rsid w:val="67D92B32"/>
    <w:rsid w:val="67DE64B4"/>
    <w:rsid w:val="67EE4F89"/>
    <w:rsid w:val="67FF2CF3"/>
    <w:rsid w:val="68000819"/>
    <w:rsid w:val="68172035"/>
    <w:rsid w:val="682276F1"/>
    <w:rsid w:val="682409AB"/>
    <w:rsid w:val="68391441"/>
    <w:rsid w:val="683C5CF5"/>
    <w:rsid w:val="683F5829"/>
    <w:rsid w:val="684A5A82"/>
    <w:rsid w:val="684B3BC0"/>
    <w:rsid w:val="68531DA1"/>
    <w:rsid w:val="686D0402"/>
    <w:rsid w:val="68975CCE"/>
    <w:rsid w:val="689C6AE9"/>
    <w:rsid w:val="68A37F50"/>
    <w:rsid w:val="68C65138"/>
    <w:rsid w:val="68E70FD7"/>
    <w:rsid w:val="68EC14C9"/>
    <w:rsid w:val="68ED5C75"/>
    <w:rsid w:val="68EF0FB9"/>
    <w:rsid w:val="68EF2D67"/>
    <w:rsid w:val="68F047E8"/>
    <w:rsid w:val="68F16ADF"/>
    <w:rsid w:val="68F84B0B"/>
    <w:rsid w:val="68FD6C12"/>
    <w:rsid w:val="690241DD"/>
    <w:rsid w:val="69102A7A"/>
    <w:rsid w:val="691A37DC"/>
    <w:rsid w:val="69232A11"/>
    <w:rsid w:val="69267CBD"/>
    <w:rsid w:val="69270094"/>
    <w:rsid w:val="69282585"/>
    <w:rsid w:val="692A5D16"/>
    <w:rsid w:val="69344C1E"/>
    <w:rsid w:val="69360996"/>
    <w:rsid w:val="693D535B"/>
    <w:rsid w:val="69423C5E"/>
    <w:rsid w:val="694B1C7D"/>
    <w:rsid w:val="694E2184"/>
    <w:rsid w:val="695B03FD"/>
    <w:rsid w:val="696077C1"/>
    <w:rsid w:val="696279DD"/>
    <w:rsid w:val="69640F57"/>
    <w:rsid w:val="69823BDB"/>
    <w:rsid w:val="69846456"/>
    <w:rsid w:val="69873B62"/>
    <w:rsid w:val="69985153"/>
    <w:rsid w:val="69994E0C"/>
    <w:rsid w:val="69A33C89"/>
    <w:rsid w:val="69A63737"/>
    <w:rsid w:val="69B53FB1"/>
    <w:rsid w:val="69C064B2"/>
    <w:rsid w:val="69DC6F73"/>
    <w:rsid w:val="69F36887"/>
    <w:rsid w:val="69F9255F"/>
    <w:rsid w:val="69FF347E"/>
    <w:rsid w:val="6A0D7B0E"/>
    <w:rsid w:val="6A0F6E0E"/>
    <w:rsid w:val="6A18315A"/>
    <w:rsid w:val="6A1A2066"/>
    <w:rsid w:val="6A1A7850"/>
    <w:rsid w:val="6A2E6CAD"/>
    <w:rsid w:val="6A2F04BA"/>
    <w:rsid w:val="6A3A0E14"/>
    <w:rsid w:val="6A411275"/>
    <w:rsid w:val="6A413A96"/>
    <w:rsid w:val="6A464C09"/>
    <w:rsid w:val="6A470981"/>
    <w:rsid w:val="6A534939"/>
    <w:rsid w:val="6A570BC4"/>
    <w:rsid w:val="6A5B021C"/>
    <w:rsid w:val="6A5D6ABC"/>
    <w:rsid w:val="6A5E0F72"/>
    <w:rsid w:val="6A6D6639"/>
    <w:rsid w:val="6A7259FE"/>
    <w:rsid w:val="6A7562E9"/>
    <w:rsid w:val="6A864B58"/>
    <w:rsid w:val="6A8A4C1B"/>
    <w:rsid w:val="6A8D0A8A"/>
    <w:rsid w:val="6A8D6CDC"/>
    <w:rsid w:val="6A9152E9"/>
    <w:rsid w:val="6A960A1D"/>
    <w:rsid w:val="6A9844C1"/>
    <w:rsid w:val="6A9B0423"/>
    <w:rsid w:val="6AA06A0F"/>
    <w:rsid w:val="6AA113A4"/>
    <w:rsid w:val="6AA302AD"/>
    <w:rsid w:val="6AA476C1"/>
    <w:rsid w:val="6AA47B81"/>
    <w:rsid w:val="6AAF09B3"/>
    <w:rsid w:val="6AB62D79"/>
    <w:rsid w:val="6AB72106"/>
    <w:rsid w:val="6AC339DE"/>
    <w:rsid w:val="6AC4049D"/>
    <w:rsid w:val="6ACC08BA"/>
    <w:rsid w:val="6AD22E7B"/>
    <w:rsid w:val="6AD6136E"/>
    <w:rsid w:val="6ADF3D12"/>
    <w:rsid w:val="6AE127F5"/>
    <w:rsid w:val="6AE51116"/>
    <w:rsid w:val="6AE71CC5"/>
    <w:rsid w:val="6AE740AC"/>
    <w:rsid w:val="6AF13BD6"/>
    <w:rsid w:val="6AF55BCD"/>
    <w:rsid w:val="6AFD4040"/>
    <w:rsid w:val="6B022B2C"/>
    <w:rsid w:val="6B04629F"/>
    <w:rsid w:val="6B086362"/>
    <w:rsid w:val="6B1116BB"/>
    <w:rsid w:val="6B190D60"/>
    <w:rsid w:val="6B1940CB"/>
    <w:rsid w:val="6B1A4F49"/>
    <w:rsid w:val="6B220F3D"/>
    <w:rsid w:val="6B250CC2"/>
    <w:rsid w:val="6B2667E8"/>
    <w:rsid w:val="6B2F4FC3"/>
    <w:rsid w:val="6B3453A9"/>
    <w:rsid w:val="6B427AC6"/>
    <w:rsid w:val="6B43739A"/>
    <w:rsid w:val="6B4814CB"/>
    <w:rsid w:val="6B4A67CD"/>
    <w:rsid w:val="6B4B24B1"/>
    <w:rsid w:val="6B574BF4"/>
    <w:rsid w:val="6B5D66AE"/>
    <w:rsid w:val="6B6A2B79"/>
    <w:rsid w:val="6B6B33A7"/>
    <w:rsid w:val="6B797260"/>
    <w:rsid w:val="6B8038D8"/>
    <w:rsid w:val="6B8A4FC9"/>
    <w:rsid w:val="6B8F17FD"/>
    <w:rsid w:val="6B9B2D32"/>
    <w:rsid w:val="6BA558B1"/>
    <w:rsid w:val="6BA9253D"/>
    <w:rsid w:val="6BBD5744"/>
    <w:rsid w:val="6BC71D79"/>
    <w:rsid w:val="6BCD6EF1"/>
    <w:rsid w:val="6BD05E1E"/>
    <w:rsid w:val="6BDB3A77"/>
    <w:rsid w:val="6BDB56B5"/>
    <w:rsid w:val="6BDB7812"/>
    <w:rsid w:val="6BDE459B"/>
    <w:rsid w:val="6BE648F5"/>
    <w:rsid w:val="6BE97F42"/>
    <w:rsid w:val="6BEE2C86"/>
    <w:rsid w:val="6BEE6EF9"/>
    <w:rsid w:val="6BF043E0"/>
    <w:rsid w:val="6BF11CA0"/>
    <w:rsid w:val="6BF6615A"/>
    <w:rsid w:val="6BF90324"/>
    <w:rsid w:val="6BFD6C57"/>
    <w:rsid w:val="6C020BEE"/>
    <w:rsid w:val="6C156236"/>
    <w:rsid w:val="6C1A0B27"/>
    <w:rsid w:val="6C1A634D"/>
    <w:rsid w:val="6C1D20BB"/>
    <w:rsid w:val="6C2712E7"/>
    <w:rsid w:val="6C2D353D"/>
    <w:rsid w:val="6C557385"/>
    <w:rsid w:val="6C580910"/>
    <w:rsid w:val="6C5F30D4"/>
    <w:rsid w:val="6C627CF4"/>
    <w:rsid w:val="6C6E0447"/>
    <w:rsid w:val="6C7B1E95"/>
    <w:rsid w:val="6C7D66E6"/>
    <w:rsid w:val="6C8163CC"/>
    <w:rsid w:val="6C847C6A"/>
    <w:rsid w:val="6C865790"/>
    <w:rsid w:val="6C8E0F66"/>
    <w:rsid w:val="6C990962"/>
    <w:rsid w:val="6C9A56E0"/>
    <w:rsid w:val="6CA477A0"/>
    <w:rsid w:val="6CB8089E"/>
    <w:rsid w:val="6CB80B22"/>
    <w:rsid w:val="6CB87914"/>
    <w:rsid w:val="6CBF0CA2"/>
    <w:rsid w:val="6CC5767D"/>
    <w:rsid w:val="6CC861C9"/>
    <w:rsid w:val="6CD00C96"/>
    <w:rsid w:val="6CE8644B"/>
    <w:rsid w:val="6CE948A6"/>
    <w:rsid w:val="6CEB7CE9"/>
    <w:rsid w:val="6CEF515D"/>
    <w:rsid w:val="6D020272"/>
    <w:rsid w:val="6D042B59"/>
    <w:rsid w:val="6D084384"/>
    <w:rsid w:val="6D122DDA"/>
    <w:rsid w:val="6D277756"/>
    <w:rsid w:val="6D2906B2"/>
    <w:rsid w:val="6D312F64"/>
    <w:rsid w:val="6D4B2F47"/>
    <w:rsid w:val="6D4C383F"/>
    <w:rsid w:val="6D4D0850"/>
    <w:rsid w:val="6D5118E8"/>
    <w:rsid w:val="6D5D278B"/>
    <w:rsid w:val="6D5D6493"/>
    <w:rsid w:val="6D5E04BB"/>
    <w:rsid w:val="6D5E4882"/>
    <w:rsid w:val="6D5E594E"/>
    <w:rsid w:val="6D611149"/>
    <w:rsid w:val="6D6A3304"/>
    <w:rsid w:val="6D714693"/>
    <w:rsid w:val="6D7952F5"/>
    <w:rsid w:val="6D7970A3"/>
    <w:rsid w:val="6D851EEC"/>
    <w:rsid w:val="6D85227D"/>
    <w:rsid w:val="6D89519D"/>
    <w:rsid w:val="6D8D0DA1"/>
    <w:rsid w:val="6D8E05A2"/>
    <w:rsid w:val="6D8F4CE4"/>
    <w:rsid w:val="6D981C1F"/>
    <w:rsid w:val="6DA32A7E"/>
    <w:rsid w:val="6DA35350"/>
    <w:rsid w:val="6DAF10DA"/>
    <w:rsid w:val="6DB12D3D"/>
    <w:rsid w:val="6DB222F9"/>
    <w:rsid w:val="6DBA36C6"/>
    <w:rsid w:val="6DE5298B"/>
    <w:rsid w:val="6DE85FD7"/>
    <w:rsid w:val="6DEF55B7"/>
    <w:rsid w:val="6DF05F19"/>
    <w:rsid w:val="6DF439F4"/>
    <w:rsid w:val="6DF47D14"/>
    <w:rsid w:val="6DF54855"/>
    <w:rsid w:val="6DFF1C9E"/>
    <w:rsid w:val="6E084717"/>
    <w:rsid w:val="6E1D0376"/>
    <w:rsid w:val="6E252015"/>
    <w:rsid w:val="6E2763B2"/>
    <w:rsid w:val="6E3E3B2E"/>
    <w:rsid w:val="6E43286E"/>
    <w:rsid w:val="6E48553C"/>
    <w:rsid w:val="6E613637"/>
    <w:rsid w:val="6E651118"/>
    <w:rsid w:val="6E67482C"/>
    <w:rsid w:val="6E75551B"/>
    <w:rsid w:val="6E791F84"/>
    <w:rsid w:val="6E865F1C"/>
    <w:rsid w:val="6E95615F"/>
    <w:rsid w:val="6E9C4850"/>
    <w:rsid w:val="6E9C74ED"/>
    <w:rsid w:val="6EA14FA6"/>
    <w:rsid w:val="6EAE6247"/>
    <w:rsid w:val="6EB10ABB"/>
    <w:rsid w:val="6EB22F10"/>
    <w:rsid w:val="6EB8721C"/>
    <w:rsid w:val="6EBD3A97"/>
    <w:rsid w:val="6EC10D02"/>
    <w:rsid w:val="6EC559BA"/>
    <w:rsid w:val="6EC72090"/>
    <w:rsid w:val="6ECE183D"/>
    <w:rsid w:val="6ED03C7E"/>
    <w:rsid w:val="6EDC5096"/>
    <w:rsid w:val="6EE12747"/>
    <w:rsid w:val="6EE32CAF"/>
    <w:rsid w:val="6EF2710D"/>
    <w:rsid w:val="6EF72C46"/>
    <w:rsid w:val="6EFF5CCE"/>
    <w:rsid w:val="6F0244CC"/>
    <w:rsid w:val="6F0D3491"/>
    <w:rsid w:val="6F0F6AD0"/>
    <w:rsid w:val="6F1654F2"/>
    <w:rsid w:val="6F4525D2"/>
    <w:rsid w:val="6F4D4C8B"/>
    <w:rsid w:val="6F5D7020"/>
    <w:rsid w:val="6F5E47A3"/>
    <w:rsid w:val="6F656B63"/>
    <w:rsid w:val="6F6D0E8A"/>
    <w:rsid w:val="6F7F4719"/>
    <w:rsid w:val="6F876B4A"/>
    <w:rsid w:val="6F953DCC"/>
    <w:rsid w:val="6F9B13B6"/>
    <w:rsid w:val="6FA10613"/>
    <w:rsid w:val="6FA348AB"/>
    <w:rsid w:val="6FAD74D8"/>
    <w:rsid w:val="6FBB5123"/>
    <w:rsid w:val="6FEA072C"/>
    <w:rsid w:val="6FF01635"/>
    <w:rsid w:val="6FF106B5"/>
    <w:rsid w:val="6FF1526E"/>
    <w:rsid w:val="6FF9096F"/>
    <w:rsid w:val="6FF9271D"/>
    <w:rsid w:val="70017A54"/>
    <w:rsid w:val="70046339"/>
    <w:rsid w:val="7005337C"/>
    <w:rsid w:val="700F6F65"/>
    <w:rsid w:val="70111CCD"/>
    <w:rsid w:val="701D01BA"/>
    <w:rsid w:val="70252689"/>
    <w:rsid w:val="70293230"/>
    <w:rsid w:val="702C72CB"/>
    <w:rsid w:val="703C7927"/>
    <w:rsid w:val="70457711"/>
    <w:rsid w:val="704C7C5C"/>
    <w:rsid w:val="707120B4"/>
    <w:rsid w:val="707324D0"/>
    <w:rsid w:val="707A1A89"/>
    <w:rsid w:val="709112CC"/>
    <w:rsid w:val="70B54896"/>
    <w:rsid w:val="70B9787B"/>
    <w:rsid w:val="70BF3967"/>
    <w:rsid w:val="70C1148D"/>
    <w:rsid w:val="70C8281B"/>
    <w:rsid w:val="70D144B7"/>
    <w:rsid w:val="70DA2536"/>
    <w:rsid w:val="70DC0DEE"/>
    <w:rsid w:val="70EC5AE1"/>
    <w:rsid w:val="71017ADB"/>
    <w:rsid w:val="71076519"/>
    <w:rsid w:val="710F167B"/>
    <w:rsid w:val="71197447"/>
    <w:rsid w:val="71210962"/>
    <w:rsid w:val="71213CDA"/>
    <w:rsid w:val="71275A19"/>
    <w:rsid w:val="7137324C"/>
    <w:rsid w:val="71377715"/>
    <w:rsid w:val="714B4221"/>
    <w:rsid w:val="714C1439"/>
    <w:rsid w:val="71514A07"/>
    <w:rsid w:val="715440AF"/>
    <w:rsid w:val="71562FCA"/>
    <w:rsid w:val="71597917"/>
    <w:rsid w:val="71641B4F"/>
    <w:rsid w:val="71696324"/>
    <w:rsid w:val="71867FE1"/>
    <w:rsid w:val="718E2B5B"/>
    <w:rsid w:val="718F3339"/>
    <w:rsid w:val="7193656D"/>
    <w:rsid w:val="71955149"/>
    <w:rsid w:val="719E17CE"/>
    <w:rsid w:val="71A07A07"/>
    <w:rsid w:val="71A50F85"/>
    <w:rsid w:val="71A52B5D"/>
    <w:rsid w:val="71B763EC"/>
    <w:rsid w:val="71BA5851"/>
    <w:rsid w:val="71C37432"/>
    <w:rsid w:val="71CA42EF"/>
    <w:rsid w:val="71CD3E62"/>
    <w:rsid w:val="71D82559"/>
    <w:rsid w:val="71DA7B8F"/>
    <w:rsid w:val="71DE1BCB"/>
    <w:rsid w:val="71E41963"/>
    <w:rsid w:val="71E847F7"/>
    <w:rsid w:val="71EF439C"/>
    <w:rsid w:val="71F47640"/>
    <w:rsid w:val="71FB3958"/>
    <w:rsid w:val="720C4469"/>
    <w:rsid w:val="72113D4E"/>
    <w:rsid w:val="722963D7"/>
    <w:rsid w:val="722C4187"/>
    <w:rsid w:val="72323609"/>
    <w:rsid w:val="7238369B"/>
    <w:rsid w:val="72394711"/>
    <w:rsid w:val="723C5FC3"/>
    <w:rsid w:val="724310E1"/>
    <w:rsid w:val="72460FE9"/>
    <w:rsid w:val="724872E2"/>
    <w:rsid w:val="72513250"/>
    <w:rsid w:val="72592E68"/>
    <w:rsid w:val="725D7BD8"/>
    <w:rsid w:val="72611747"/>
    <w:rsid w:val="72630EB7"/>
    <w:rsid w:val="72693B8A"/>
    <w:rsid w:val="726A5494"/>
    <w:rsid w:val="726C7C5A"/>
    <w:rsid w:val="727C09CD"/>
    <w:rsid w:val="72980FB3"/>
    <w:rsid w:val="729C2D68"/>
    <w:rsid w:val="729F0C2B"/>
    <w:rsid w:val="72A44BC2"/>
    <w:rsid w:val="72A9290D"/>
    <w:rsid w:val="72AE0E19"/>
    <w:rsid w:val="72AE5CF6"/>
    <w:rsid w:val="72B34595"/>
    <w:rsid w:val="72B44271"/>
    <w:rsid w:val="72C23495"/>
    <w:rsid w:val="72CA465D"/>
    <w:rsid w:val="72CE60E3"/>
    <w:rsid w:val="72CE742F"/>
    <w:rsid w:val="72DD227B"/>
    <w:rsid w:val="72E52450"/>
    <w:rsid w:val="72E90827"/>
    <w:rsid w:val="72EF31E7"/>
    <w:rsid w:val="72FC49FE"/>
    <w:rsid w:val="72FF66D9"/>
    <w:rsid w:val="730C091D"/>
    <w:rsid w:val="732E0230"/>
    <w:rsid w:val="73331DDB"/>
    <w:rsid w:val="73426189"/>
    <w:rsid w:val="73444C3F"/>
    <w:rsid w:val="734C0DB6"/>
    <w:rsid w:val="73520AC2"/>
    <w:rsid w:val="7357566D"/>
    <w:rsid w:val="735760D9"/>
    <w:rsid w:val="73582D47"/>
    <w:rsid w:val="73657EED"/>
    <w:rsid w:val="73667774"/>
    <w:rsid w:val="736A55FB"/>
    <w:rsid w:val="736B3932"/>
    <w:rsid w:val="736B56A4"/>
    <w:rsid w:val="736F163A"/>
    <w:rsid w:val="73714F00"/>
    <w:rsid w:val="73751378"/>
    <w:rsid w:val="73770529"/>
    <w:rsid w:val="738E7099"/>
    <w:rsid w:val="739015EB"/>
    <w:rsid w:val="73905BE7"/>
    <w:rsid w:val="7393055E"/>
    <w:rsid w:val="73944C37"/>
    <w:rsid w:val="739575C6"/>
    <w:rsid w:val="73961B17"/>
    <w:rsid w:val="73A14A38"/>
    <w:rsid w:val="73AA26AC"/>
    <w:rsid w:val="73AB3864"/>
    <w:rsid w:val="73AC3EEE"/>
    <w:rsid w:val="73B70925"/>
    <w:rsid w:val="73B94060"/>
    <w:rsid w:val="73B9637A"/>
    <w:rsid w:val="73BA35D8"/>
    <w:rsid w:val="73BD4C70"/>
    <w:rsid w:val="73C179F6"/>
    <w:rsid w:val="73C409F6"/>
    <w:rsid w:val="73C97622"/>
    <w:rsid w:val="73EA3012"/>
    <w:rsid w:val="73F76F74"/>
    <w:rsid w:val="74035919"/>
    <w:rsid w:val="742357EA"/>
    <w:rsid w:val="74275AAB"/>
    <w:rsid w:val="742A324A"/>
    <w:rsid w:val="742E0D30"/>
    <w:rsid w:val="74311F4C"/>
    <w:rsid w:val="74324450"/>
    <w:rsid w:val="743261FE"/>
    <w:rsid w:val="743B46F4"/>
    <w:rsid w:val="74404D81"/>
    <w:rsid w:val="744722E9"/>
    <w:rsid w:val="74510D7A"/>
    <w:rsid w:val="745B1083"/>
    <w:rsid w:val="745D741C"/>
    <w:rsid w:val="7467234B"/>
    <w:rsid w:val="747174B8"/>
    <w:rsid w:val="74767BCC"/>
    <w:rsid w:val="747D1B6F"/>
    <w:rsid w:val="74A33B67"/>
    <w:rsid w:val="74AA2238"/>
    <w:rsid w:val="74B03CF2"/>
    <w:rsid w:val="74BA1537"/>
    <w:rsid w:val="74BB61F3"/>
    <w:rsid w:val="74C77701"/>
    <w:rsid w:val="74C92252"/>
    <w:rsid w:val="74CB2D6A"/>
    <w:rsid w:val="74CE5F27"/>
    <w:rsid w:val="74D63F92"/>
    <w:rsid w:val="74DD7F18"/>
    <w:rsid w:val="74DE2A44"/>
    <w:rsid w:val="74EE7C94"/>
    <w:rsid w:val="75052F11"/>
    <w:rsid w:val="750600BF"/>
    <w:rsid w:val="75063912"/>
    <w:rsid w:val="75093403"/>
    <w:rsid w:val="75115628"/>
    <w:rsid w:val="753227B6"/>
    <w:rsid w:val="7535244A"/>
    <w:rsid w:val="753F002B"/>
    <w:rsid w:val="75402E98"/>
    <w:rsid w:val="75430A53"/>
    <w:rsid w:val="75571E70"/>
    <w:rsid w:val="756643B1"/>
    <w:rsid w:val="756B5654"/>
    <w:rsid w:val="756C32AD"/>
    <w:rsid w:val="75703482"/>
    <w:rsid w:val="75711A3B"/>
    <w:rsid w:val="757545F4"/>
    <w:rsid w:val="7576597D"/>
    <w:rsid w:val="757C6D91"/>
    <w:rsid w:val="75874327"/>
    <w:rsid w:val="758B3E18"/>
    <w:rsid w:val="7590142E"/>
    <w:rsid w:val="759063C7"/>
    <w:rsid w:val="759C59AD"/>
    <w:rsid w:val="759D5CC4"/>
    <w:rsid w:val="75AD1FE0"/>
    <w:rsid w:val="75B0717F"/>
    <w:rsid w:val="75B23A9A"/>
    <w:rsid w:val="75B44F68"/>
    <w:rsid w:val="75CB4B5C"/>
    <w:rsid w:val="75CE1F56"/>
    <w:rsid w:val="75D532E5"/>
    <w:rsid w:val="75E932A6"/>
    <w:rsid w:val="75F23E97"/>
    <w:rsid w:val="75F25E4A"/>
    <w:rsid w:val="75F31FB9"/>
    <w:rsid w:val="75FB1DE0"/>
    <w:rsid w:val="76010AB3"/>
    <w:rsid w:val="760641A9"/>
    <w:rsid w:val="76086F57"/>
    <w:rsid w:val="760A61DF"/>
    <w:rsid w:val="760D0F9D"/>
    <w:rsid w:val="76104CC5"/>
    <w:rsid w:val="761547C2"/>
    <w:rsid w:val="76191423"/>
    <w:rsid w:val="761A519B"/>
    <w:rsid w:val="762161CC"/>
    <w:rsid w:val="7622424F"/>
    <w:rsid w:val="763224E5"/>
    <w:rsid w:val="7637190C"/>
    <w:rsid w:val="76395E7E"/>
    <w:rsid w:val="763D69C4"/>
    <w:rsid w:val="764B3EC6"/>
    <w:rsid w:val="765718D4"/>
    <w:rsid w:val="76625468"/>
    <w:rsid w:val="76671F65"/>
    <w:rsid w:val="766B0FF1"/>
    <w:rsid w:val="766F7295"/>
    <w:rsid w:val="76711920"/>
    <w:rsid w:val="767174B1"/>
    <w:rsid w:val="76746FA2"/>
    <w:rsid w:val="768842EF"/>
    <w:rsid w:val="7697416A"/>
    <w:rsid w:val="769D292F"/>
    <w:rsid w:val="769E186A"/>
    <w:rsid w:val="76A71125"/>
    <w:rsid w:val="76BA690C"/>
    <w:rsid w:val="76D31AB6"/>
    <w:rsid w:val="76D65566"/>
    <w:rsid w:val="76D960DA"/>
    <w:rsid w:val="76EC08E6"/>
    <w:rsid w:val="76F2179D"/>
    <w:rsid w:val="77000835"/>
    <w:rsid w:val="77004391"/>
    <w:rsid w:val="7701141F"/>
    <w:rsid w:val="770F327E"/>
    <w:rsid w:val="771360EF"/>
    <w:rsid w:val="773222C5"/>
    <w:rsid w:val="77481E56"/>
    <w:rsid w:val="774D70A1"/>
    <w:rsid w:val="774E55EE"/>
    <w:rsid w:val="7751255B"/>
    <w:rsid w:val="77601CFE"/>
    <w:rsid w:val="77742792"/>
    <w:rsid w:val="77804528"/>
    <w:rsid w:val="7784393F"/>
    <w:rsid w:val="77884DC5"/>
    <w:rsid w:val="779273A8"/>
    <w:rsid w:val="77996CC0"/>
    <w:rsid w:val="779A2A38"/>
    <w:rsid w:val="77A33B42"/>
    <w:rsid w:val="77AD3534"/>
    <w:rsid w:val="77B27C24"/>
    <w:rsid w:val="77B706CD"/>
    <w:rsid w:val="77B84C6C"/>
    <w:rsid w:val="77C96E79"/>
    <w:rsid w:val="77CB6D84"/>
    <w:rsid w:val="77D03E75"/>
    <w:rsid w:val="77E73B0F"/>
    <w:rsid w:val="77FC724F"/>
    <w:rsid w:val="78171A73"/>
    <w:rsid w:val="78186E53"/>
    <w:rsid w:val="78197E01"/>
    <w:rsid w:val="783049BF"/>
    <w:rsid w:val="783367BC"/>
    <w:rsid w:val="783854C3"/>
    <w:rsid w:val="78397B5B"/>
    <w:rsid w:val="784A620C"/>
    <w:rsid w:val="784A6749"/>
    <w:rsid w:val="784C1F84"/>
    <w:rsid w:val="78590BC8"/>
    <w:rsid w:val="785B1377"/>
    <w:rsid w:val="785B21C7"/>
    <w:rsid w:val="78651B87"/>
    <w:rsid w:val="786F4239"/>
    <w:rsid w:val="787578B0"/>
    <w:rsid w:val="787B0173"/>
    <w:rsid w:val="787D587E"/>
    <w:rsid w:val="78842FC9"/>
    <w:rsid w:val="78874733"/>
    <w:rsid w:val="78911745"/>
    <w:rsid w:val="78922A10"/>
    <w:rsid w:val="789254BD"/>
    <w:rsid w:val="78BD0467"/>
    <w:rsid w:val="78BF7B49"/>
    <w:rsid w:val="78CE2999"/>
    <w:rsid w:val="78CF6711"/>
    <w:rsid w:val="78D635CF"/>
    <w:rsid w:val="78E636B9"/>
    <w:rsid w:val="78E95EB9"/>
    <w:rsid w:val="78EC2D35"/>
    <w:rsid w:val="78F01838"/>
    <w:rsid w:val="78FE4FE5"/>
    <w:rsid w:val="79077C59"/>
    <w:rsid w:val="7912469F"/>
    <w:rsid w:val="791C7C7F"/>
    <w:rsid w:val="792616B8"/>
    <w:rsid w:val="79334EDC"/>
    <w:rsid w:val="79394A97"/>
    <w:rsid w:val="793C0F79"/>
    <w:rsid w:val="793D183F"/>
    <w:rsid w:val="79472CD7"/>
    <w:rsid w:val="7948047D"/>
    <w:rsid w:val="795752A4"/>
    <w:rsid w:val="79593EFB"/>
    <w:rsid w:val="795B6382"/>
    <w:rsid w:val="795E51BB"/>
    <w:rsid w:val="795F5CE7"/>
    <w:rsid w:val="7966343C"/>
    <w:rsid w:val="79691AB8"/>
    <w:rsid w:val="796C2065"/>
    <w:rsid w:val="797B51E9"/>
    <w:rsid w:val="797C0647"/>
    <w:rsid w:val="797D2716"/>
    <w:rsid w:val="798049F2"/>
    <w:rsid w:val="798B6F10"/>
    <w:rsid w:val="799650EA"/>
    <w:rsid w:val="79B7167F"/>
    <w:rsid w:val="79BA3383"/>
    <w:rsid w:val="79C75740"/>
    <w:rsid w:val="79CC4AC9"/>
    <w:rsid w:val="79D02741"/>
    <w:rsid w:val="79DA536E"/>
    <w:rsid w:val="79DD0307"/>
    <w:rsid w:val="79DF10D7"/>
    <w:rsid w:val="79EF5AEE"/>
    <w:rsid w:val="79F85C83"/>
    <w:rsid w:val="7A0B5527"/>
    <w:rsid w:val="7A103E53"/>
    <w:rsid w:val="7A150893"/>
    <w:rsid w:val="7A224EEB"/>
    <w:rsid w:val="7A30052E"/>
    <w:rsid w:val="7A3359BC"/>
    <w:rsid w:val="7A3A2449"/>
    <w:rsid w:val="7A4F4E61"/>
    <w:rsid w:val="7A57076C"/>
    <w:rsid w:val="7A59120D"/>
    <w:rsid w:val="7A5A47A9"/>
    <w:rsid w:val="7A5A6277"/>
    <w:rsid w:val="7A602F6C"/>
    <w:rsid w:val="7A632FAC"/>
    <w:rsid w:val="7A6B7015"/>
    <w:rsid w:val="7A727A4B"/>
    <w:rsid w:val="7A765096"/>
    <w:rsid w:val="7A780718"/>
    <w:rsid w:val="7A7C1AEC"/>
    <w:rsid w:val="7A864AF2"/>
    <w:rsid w:val="7AA624B2"/>
    <w:rsid w:val="7AA634A2"/>
    <w:rsid w:val="7AB364C5"/>
    <w:rsid w:val="7ABF7ACB"/>
    <w:rsid w:val="7AC168E4"/>
    <w:rsid w:val="7AD601C9"/>
    <w:rsid w:val="7ADB0A33"/>
    <w:rsid w:val="7AE71AF0"/>
    <w:rsid w:val="7AF041C5"/>
    <w:rsid w:val="7AF4245F"/>
    <w:rsid w:val="7AF97A35"/>
    <w:rsid w:val="7B123DE2"/>
    <w:rsid w:val="7B1D7C08"/>
    <w:rsid w:val="7B1E27C1"/>
    <w:rsid w:val="7B2745E3"/>
    <w:rsid w:val="7B2820ED"/>
    <w:rsid w:val="7B3311D9"/>
    <w:rsid w:val="7B356DF8"/>
    <w:rsid w:val="7B3C3018"/>
    <w:rsid w:val="7B425ED0"/>
    <w:rsid w:val="7B490352"/>
    <w:rsid w:val="7B4A1904"/>
    <w:rsid w:val="7B542EFE"/>
    <w:rsid w:val="7B615D46"/>
    <w:rsid w:val="7B6F0D71"/>
    <w:rsid w:val="7B707D38"/>
    <w:rsid w:val="7B7517F2"/>
    <w:rsid w:val="7B7E34B8"/>
    <w:rsid w:val="7BAC44B5"/>
    <w:rsid w:val="7BAF1877"/>
    <w:rsid w:val="7BB5399C"/>
    <w:rsid w:val="7BB936CD"/>
    <w:rsid w:val="7BBE3553"/>
    <w:rsid w:val="7BC31451"/>
    <w:rsid w:val="7BCB31C0"/>
    <w:rsid w:val="7BCD766C"/>
    <w:rsid w:val="7BD61B65"/>
    <w:rsid w:val="7BD67369"/>
    <w:rsid w:val="7BE449B6"/>
    <w:rsid w:val="7BEC22B4"/>
    <w:rsid w:val="7BF46C58"/>
    <w:rsid w:val="7C037C5C"/>
    <w:rsid w:val="7C133A2E"/>
    <w:rsid w:val="7C1D35E9"/>
    <w:rsid w:val="7C280612"/>
    <w:rsid w:val="7C2D5C29"/>
    <w:rsid w:val="7C384F6E"/>
    <w:rsid w:val="7C4116D4"/>
    <w:rsid w:val="7C431A72"/>
    <w:rsid w:val="7C48250C"/>
    <w:rsid w:val="7C501917"/>
    <w:rsid w:val="7C5645BA"/>
    <w:rsid w:val="7C6802F1"/>
    <w:rsid w:val="7C681EC5"/>
    <w:rsid w:val="7C683875"/>
    <w:rsid w:val="7C6F4493"/>
    <w:rsid w:val="7C740E72"/>
    <w:rsid w:val="7C7E11B0"/>
    <w:rsid w:val="7C8264D7"/>
    <w:rsid w:val="7C833A9B"/>
    <w:rsid w:val="7C883E4B"/>
    <w:rsid w:val="7C8D681A"/>
    <w:rsid w:val="7C921F30"/>
    <w:rsid w:val="7C9A0DE4"/>
    <w:rsid w:val="7CA43E04"/>
    <w:rsid w:val="7CAD4FBB"/>
    <w:rsid w:val="7CB33B04"/>
    <w:rsid w:val="7CC535A6"/>
    <w:rsid w:val="7CC86EFA"/>
    <w:rsid w:val="7CCC526C"/>
    <w:rsid w:val="7CCE2A52"/>
    <w:rsid w:val="7CD51852"/>
    <w:rsid w:val="7CDD5532"/>
    <w:rsid w:val="7CDE1D01"/>
    <w:rsid w:val="7CE51D8A"/>
    <w:rsid w:val="7CEA37EA"/>
    <w:rsid w:val="7CEB7DFA"/>
    <w:rsid w:val="7CED2640"/>
    <w:rsid w:val="7CF91FAF"/>
    <w:rsid w:val="7CFD1803"/>
    <w:rsid w:val="7D11040C"/>
    <w:rsid w:val="7D1646C8"/>
    <w:rsid w:val="7D1E4059"/>
    <w:rsid w:val="7D2708CA"/>
    <w:rsid w:val="7D2950CE"/>
    <w:rsid w:val="7D2A690E"/>
    <w:rsid w:val="7D337AEC"/>
    <w:rsid w:val="7D3D3925"/>
    <w:rsid w:val="7D421791"/>
    <w:rsid w:val="7D4D5E56"/>
    <w:rsid w:val="7D512B7A"/>
    <w:rsid w:val="7D520B42"/>
    <w:rsid w:val="7D605B8A"/>
    <w:rsid w:val="7D6168FA"/>
    <w:rsid w:val="7D630CC8"/>
    <w:rsid w:val="7D65541F"/>
    <w:rsid w:val="7D657644"/>
    <w:rsid w:val="7D6E50A2"/>
    <w:rsid w:val="7D6F2271"/>
    <w:rsid w:val="7D733B0F"/>
    <w:rsid w:val="7D8201F6"/>
    <w:rsid w:val="7D8855B0"/>
    <w:rsid w:val="7D926FDF"/>
    <w:rsid w:val="7D975441"/>
    <w:rsid w:val="7D9D6998"/>
    <w:rsid w:val="7DA51F79"/>
    <w:rsid w:val="7DC30616"/>
    <w:rsid w:val="7DD520D4"/>
    <w:rsid w:val="7DDD542C"/>
    <w:rsid w:val="7DE64A32"/>
    <w:rsid w:val="7DE93DD1"/>
    <w:rsid w:val="7DF477E4"/>
    <w:rsid w:val="7DF478B8"/>
    <w:rsid w:val="7E01390D"/>
    <w:rsid w:val="7E041F7D"/>
    <w:rsid w:val="7E1064C4"/>
    <w:rsid w:val="7E1443D7"/>
    <w:rsid w:val="7E1C0A26"/>
    <w:rsid w:val="7E2B6198"/>
    <w:rsid w:val="7E325589"/>
    <w:rsid w:val="7E4D75EB"/>
    <w:rsid w:val="7E540662"/>
    <w:rsid w:val="7E641E12"/>
    <w:rsid w:val="7E6E7FBE"/>
    <w:rsid w:val="7E722019"/>
    <w:rsid w:val="7E755665"/>
    <w:rsid w:val="7E7A4A1D"/>
    <w:rsid w:val="7E7C4C45"/>
    <w:rsid w:val="7E7C69F3"/>
    <w:rsid w:val="7E7F72F0"/>
    <w:rsid w:val="7E851396"/>
    <w:rsid w:val="7E8E3C5C"/>
    <w:rsid w:val="7E957AB5"/>
    <w:rsid w:val="7E985C9D"/>
    <w:rsid w:val="7E9B48E5"/>
    <w:rsid w:val="7EA128FE"/>
    <w:rsid w:val="7EA3437B"/>
    <w:rsid w:val="7EA56472"/>
    <w:rsid w:val="7EAA0501"/>
    <w:rsid w:val="7EBA34E2"/>
    <w:rsid w:val="7EBD180C"/>
    <w:rsid w:val="7EC9374E"/>
    <w:rsid w:val="7ED412DD"/>
    <w:rsid w:val="7ED740A7"/>
    <w:rsid w:val="7EDA782A"/>
    <w:rsid w:val="7EE15994"/>
    <w:rsid w:val="7EE20A44"/>
    <w:rsid w:val="7EE4263B"/>
    <w:rsid w:val="7EE527EB"/>
    <w:rsid w:val="7EEF6623"/>
    <w:rsid w:val="7F0B56B8"/>
    <w:rsid w:val="7F1B4B4D"/>
    <w:rsid w:val="7F1C4602"/>
    <w:rsid w:val="7F1F4B86"/>
    <w:rsid w:val="7F316E6A"/>
    <w:rsid w:val="7F385010"/>
    <w:rsid w:val="7F3B68AE"/>
    <w:rsid w:val="7F4B1D3C"/>
    <w:rsid w:val="7F4B7BC3"/>
    <w:rsid w:val="7F4D0390"/>
    <w:rsid w:val="7F4F301C"/>
    <w:rsid w:val="7F535105"/>
    <w:rsid w:val="7F546B4E"/>
    <w:rsid w:val="7F5E55C0"/>
    <w:rsid w:val="7F6005AF"/>
    <w:rsid w:val="7F601E71"/>
    <w:rsid w:val="7F6A7194"/>
    <w:rsid w:val="7F6C0C97"/>
    <w:rsid w:val="7F6E135D"/>
    <w:rsid w:val="7F755A34"/>
    <w:rsid w:val="7F7A05D2"/>
    <w:rsid w:val="7F7B314F"/>
    <w:rsid w:val="7F84565F"/>
    <w:rsid w:val="7F846F1D"/>
    <w:rsid w:val="7F8E4C30"/>
    <w:rsid w:val="7F982C48"/>
    <w:rsid w:val="7FA95AC7"/>
    <w:rsid w:val="7FAE61BC"/>
    <w:rsid w:val="7FB20C31"/>
    <w:rsid w:val="7FBA4AFB"/>
    <w:rsid w:val="7FBE2E83"/>
    <w:rsid w:val="7FDA053B"/>
    <w:rsid w:val="7FF26127"/>
    <w:rsid w:val="7FFA051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semiHidden="0" w:name="heading 5"/>
    <w:lsdException w:qFormat="1" w:unhideWhenUsed="0" w:uiPriority="0" w:semiHidden="0" w:name="heading 6"/>
    <w:lsdException w:qFormat="1" w:unhideWhenUsed="0" w:uiPriority="0" w:semiHidden="0" w:name="heading 7"/>
    <w:lsdException w:qFormat="1" w:uiPriority="0" w:name="heading 8"/>
    <w:lsdException w:qFormat="1" w:uiPriority="0" w:name="heading 9"/>
    <w:lsdException w:qFormat="1"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qFormat="1" w:unhideWhenUsed="0" w:uiPriority="99" w:semiHidden="0" w:name="index heading"/>
    <w:lsdException w:qFormat="1" w:uiPriority="99" w:semiHidden="0" w:name="caption"/>
    <w:lsdException w:qFormat="1" w:uiPriority="99"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qFormat="1"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qFormat="1" w:unhideWhenUsed="0" w:uiPriority="0" w:semiHidden="0" w:name="Note Heading"/>
    <w:lsdException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qFormat="1" w:unhideWhenUsed="0" w:uiPriority="99"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360" w:lineRule="auto"/>
      <w:ind w:firstLine="720" w:firstLineChars="200"/>
      <w:jc w:val="both"/>
    </w:pPr>
    <w:rPr>
      <w:rFonts w:ascii="Times New Roman" w:hAnsi="Times New Roman" w:eastAsia="宋体" w:cs="Times New Roman"/>
      <w:kern w:val="2"/>
      <w:sz w:val="24"/>
      <w:szCs w:val="24"/>
      <w:lang w:val="en-US" w:eastAsia="zh-CN" w:bidi="ar-SA"/>
    </w:rPr>
  </w:style>
  <w:style w:type="paragraph" w:styleId="7">
    <w:name w:val="heading 1"/>
    <w:basedOn w:val="1"/>
    <w:next w:val="1"/>
    <w:qFormat/>
    <w:uiPriority w:val="0"/>
    <w:pPr>
      <w:keepNext/>
      <w:keepLines/>
      <w:numPr>
        <w:ilvl w:val="0"/>
        <w:numId w:val="1"/>
      </w:numPr>
      <w:spacing w:beforeLines="0" w:beforeAutospacing="0" w:afterLines="0" w:afterAutospacing="0" w:line="600" w:lineRule="auto"/>
      <w:ind w:left="0" w:firstLine="0"/>
      <w:jc w:val="left"/>
      <w:outlineLvl w:val="0"/>
    </w:pPr>
    <w:rPr>
      <w:rFonts w:ascii="Times New Roman" w:hAnsi="Times New Roman" w:eastAsia="宋体"/>
      <w:b/>
      <w:kern w:val="44"/>
      <w:sz w:val="36"/>
    </w:rPr>
  </w:style>
  <w:style w:type="paragraph" w:styleId="8">
    <w:name w:val="heading 2"/>
    <w:basedOn w:val="1"/>
    <w:next w:val="1"/>
    <w:unhideWhenUsed/>
    <w:qFormat/>
    <w:uiPriority w:val="0"/>
    <w:pPr>
      <w:numPr>
        <w:ilvl w:val="1"/>
        <w:numId w:val="2"/>
      </w:numPr>
      <w:spacing w:before="0" w:beforeAutospacing="0" w:after="0" w:afterAutospacing="0" w:line="360" w:lineRule="auto"/>
      <w:ind w:firstLine="0" w:firstLineChars="0"/>
      <w:jc w:val="left"/>
      <w:outlineLvl w:val="1"/>
    </w:pPr>
    <w:rPr>
      <w:rFonts w:cs="宋体"/>
      <w:b/>
      <w:bCs/>
      <w:kern w:val="0"/>
      <w:sz w:val="30"/>
      <w:szCs w:val="36"/>
      <w:lang w:bidi="ar"/>
    </w:rPr>
  </w:style>
  <w:style w:type="paragraph" w:styleId="9">
    <w:name w:val="heading 3"/>
    <w:basedOn w:val="1"/>
    <w:next w:val="1"/>
    <w:link w:val="46"/>
    <w:unhideWhenUsed/>
    <w:qFormat/>
    <w:uiPriority w:val="0"/>
    <w:pPr>
      <w:keepNext/>
      <w:keepLines/>
      <w:numPr>
        <w:ilvl w:val="2"/>
        <w:numId w:val="3"/>
      </w:numPr>
      <w:tabs>
        <w:tab w:val="left" w:pos="0"/>
      </w:tabs>
      <w:adjustRightInd/>
      <w:snapToGrid/>
      <w:spacing w:line="360" w:lineRule="auto"/>
      <w:ind w:left="0" w:firstLine="0" w:firstLineChars="0"/>
      <w:jc w:val="left"/>
      <w:outlineLvl w:val="2"/>
    </w:pPr>
    <w:rPr>
      <w:rFonts w:ascii="Times New Roman" w:hAnsi="Times New Roman" w:eastAsia="宋体"/>
      <w:b/>
      <w:bCs/>
      <w:sz w:val="28"/>
      <w:szCs w:val="32"/>
    </w:rPr>
  </w:style>
  <w:style w:type="paragraph" w:styleId="10">
    <w:name w:val="heading 4"/>
    <w:basedOn w:val="1"/>
    <w:next w:val="1"/>
    <w:link w:val="122"/>
    <w:unhideWhenUsed/>
    <w:qFormat/>
    <w:uiPriority w:val="0"/>
    <w:pPr>
      <w:keepNext/>
      <w:keepLines/>
      <w:numPr>
        <w:ilvl w:val="3"/>
        <w:numId w:val="4"/>
      </w:numPr>
      <w:tabs>
        <w:tab w:val="left" w:pos="964"/>
        <w:tab w:val="clear" w:pos="0"/>
      </w:tabs>
      <w:spacing w:beforeLines="0" w:beforeAutospacing="0" w:afterLines="0" w:afterAutospacing="0" w:line="360" w:lineRule="auto"/>
      <w:ind w:left="0" w:firstLine="0" w:firstLineChars="0"/>
      <w:jc w:val="left"/>
      <w:outlineLvl w:val="3"/>
    </w:pPr>
    <w:rPr>
      <w:rFonts w:ascii="Times New Roman" w:hAnsi="Times New Roman" w:eastAsia="宋体"/>
      <w:b/>
    </w:rPr>
  </w:style>
  <w:style w:type="paragraph" w:styleId="11">
    <w:name w:val="heading 5"/>
    <w:basedOn w:val="1"/>
    <w:next w:val="1"/>
    <w:autoRedefine/>
    <w:unhideWhenUsed/>
    <w:qFormat/>
    <w:uiPriority w:val="0"/>
    <w:pPr>
      <w:keepNext/>
      <w:keepLines/>
      <w:numPr>
        <w:ilvl w:val="4"/>
        <w:numId w:val="5"/>
      </w:numPr>
      <w:spacing w:beforeLines="0" w:beforeAutospacing="0" w:afterLines="0" w:afterAutospacing="0" w:line="360" w:lineRule="auto"/>
      <w:ind w:left="964" w:firstLine="0" w:firstLineChars="0"/>
      <w:outlineLvl w:val="4"/>
    </w:pPr>
    <w:rPr>
      <w:rFonts w:ascii="Times New Roman" w:hAnsi="Times New Roman" w:eastAsia="宋体"/>
      <w:b/>
    </w:rPr>
  </w:style>
  <w:style w:type="paragraph" w:styleId="12">
    <w:name w:val="heading 6"/>
    <w:basedOn w:val="1"/>
    <w:next w:val="1"/>
    <w:qFormat/>
    <w:uiPriority w:val="0"/>
    <w:pPr>
      <w:keepNext w:val="0"/>
      <w:keepLines/>
      <w:numPr>
        <w:ilvl w:val="5"/>
        <w:numId w:val="6"/>
      </w:numPr>
      <w:spacing w:before="120" w:beforeLines="0" w:beforeAutospacing="0" w:after="64" w:afterLines="0" w:afterAutospacing="0" w:line="317" w:lineRule="auto"/>
      <w:ind w:left="1151" w:hanging="1151" w:firstLineChars="0"/>
      <w:jc w:val="center"/>
      <w:outlineLvl w:val="5"/>
    </w:pPr>
    <w:rPr>
      <w:rFonts w:ascii="Times New Roman" w:hAnsi="Times New Roman" w:eastAsia="宋体"/>
      <w:b/>
    </w:rPr>
  </w:style>
  <w:style w:type="paragraph" w:styleId="13">
    <w:name w:val="heading 7"/>
    <w:basedOn w:val="1"/>
    <w:next w:val="1"/>
    <w:autoRedefine/>
    <w:qFormat/>
    <w:uiPriority w:val="0"/>
    <w:pPr>
      <w:keepNext/>
      <w:keepLines/>
      <w:tabs>
        <w:tab w:val="left" w:pos="1021"/>
      </w:tabs>
      <w:spacing w:line="240" w:lineRule="auto"/>
      <w:jc w:val="center"/>
      <w:outlineLvl w:val="6"/>
    </w:pPr>
    <w:rPr>
      <w:b/>
      <w:bCs/>
      <w:szCs w:val="24"/>
    </w:rPr>
  </w:style>
  <w:style w:type="character" w:default="1" w:styleId="37">
    <w:name w:val="Default Paragraph Font"/>
    <w:semiHidden/>
    <w:qFormat/>
    <w:uiPriority w:val="0"/>
  </w:style>
  <w:style w:type="table" w:default="1" w:styleId="35">
    <w:name w:val="Normal Table"/>
    <w:autoRedefine/>
    <w:semiHidden/>
    <w:qFormat/>
    <w:uiPriority w:val="0"/>
    <w:tblPr>
      <w:tblCellMar>
        <w:top w:w="0" w:type="dxa"/>
        <w:left w:w="108" w:type="dxa"/>
        <w:bottom w:w="0" w:type="dxa"/>
        <w:right w:w="108" w:type="dxa"/>
      </w:tblCellMar>
    </w:tblPr>
  </w:style>
  <w:style w:type="paragraph" w:styleId="2">
    <w:name w:val="Body Text First Indent 2"/>
    <w:basedOn w:val="3"/>
    <w:next w:val="6"/>
    <w:autoRedefine/>
    <w:qFormat/>
    <w:uiPriority w:val="0"/>
    <w:pPr>
      <w:ind w:firstLine="420"/>
    </w:pPr>
    <w:rPr>
      <w:rFonts w:ascii="Times New Roman" w:hAnsi="Times New Roman"/>
      <w:szCs w:val="20"/>
      <w:lang w:val="en-US" w:eastAsia="zh-CN"/>
    </w:rPr>
  </w:style>
  <w:style w:type="paragraph" w:styleId="3">
    <w:name w:val="Body Text Indent"/>
    <w:basedOn w:val="1"/>
    <w:next w:val="4"/>
    <w:autoRedefine/>
    <w:qFormat/>
    <w:uiPriority w:val="0"/>
    <w:pPr>
      <w:spacing w:after="120" w:line="360" w:lineRule="auto"/>
      <w:ind w:left="420" w:leftChars="200" w:firstLine="200" w:firstLineChars="200"/>
    </w:pPr>
    <w:rPr>
      <w:szCs w:val="24"/>
    </w:rPr>
  </w:style>
  <w:style w:type="paragraph" w:styleId="4">
    <w:name w:val="Body Text"/>
    <w:basedOn w:val="1"/>
    <w:next w:val="5"/>
    <w:autoRedefine/>
    <w:qFormat/>
    <w:uiPriority w:val="0"/>
    <w:pPr>
      <w:spacing w:after="120" w:afterLines="0"/>
    </w:pPr>
  </w:style>
  <w:style w:type="paragraph" w:customStyle="1" w:styleId="5">
    <w:name w:val="xl27"/>
    <w:basedOn w:val="1"/>
    <w:autoRedefine/>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jc w:val="center"/>
    </w:pPr>
    <w:rPr>
      <w:rFonts w:ascii="新宋体-18030" w:hAnsi="新宋体-18030" w:eastAsia="新宋体-18030" w:cs="新宋体-18030"/>
      <w:kern w:val="0"/>
    </w:rPr>
  </w:style>
  <w:style w:type="paragraph" w:styleId="6">
    <w:name w:val="Body Text First Indent"/>
    <w:basedOn w:val="4"/>
    <w:next w:val="2"/>
    <w:autoRedefine/>
    <w:qFormat/>
    <w:uiPriority w:val="0"/>
    <w:pPr>
      <w:ind w:firstLine="420" w:firstLineChars="100"/>
    </w:pPr>
  </w:style>
  <w:style w:type="paragraph" w:styleId="14">
    <w:name w:val="Note Heading"/>
    <w:basedOn w:val="1"/>
    <w:next w:val="1"/>
    <w:qFormat/>
    <w:uiPriority w:val="0"/>
    <w:pPr>
      <w:spacing w:before="60"/>
      <w:ind w:firstLine="482"/>
      <w:jc w:val="center"/>
    </w:pPr>
    <w:rPr>
      <w:rFonts w:ascii="Arial" w:hAnsi="Arial" w:eastAsia="仿宋_GB2312"/>
      <w:kern w:val="0"/>
      <w:sz w:val="22"/>
      <w:szCs w:val="20"/>
    </w:rPr>
  </w:style>
  <w:style w:type="paragraph" w:styleId="15">
    <w:name w:val="Normal Indent"/>
    <w:basedOn w:val="1"/>
    <w:autoRedefine/>
    <w:qFormat/>
    <w:uiPriority w:val="0"/>
    <w:pPr>
      <w:ind w:firstLine="420" w:firstLineChars="200"/>
    </w:pPr>
  </w:style>
  <w:style w:type="paragraph" w:styleId="16">
    <w:name w:val="caption"/>
    <w:basedOn w:val="1"/>
    <w:next w:val="1"/>
    <w:autoRedefine/>
    <w:unhideWhenUsed/>
    <w:qFormat/>
    <w:uiPriority w:val="99"/>
    <w:pPr>
      <w:spacing w:line="360" w:lineRule="auto"/>
      <w:jc w:val="center"/>
    </w:pPr>
    <w:rPr>
      <w:rFonts w:eastAsia="宋体" w:cs="Times New Roman"/>
      <w:b/>
      <w:szCs w:val="20"/>
    </w:rPr>
  </w:style>
  <w:style w:type="paragraph" w:styleId="17">
    <w:name w:val="toa heading"/>
    <w:basedOn w:val="1"/>
    <w:next w:val="1"/>
    <w:qFormat/>
    <w:uiPriority w:val="0"/>
    <w:pPr>
      <w:spacing w:before="120" w:after="120" w:line="360" w:lineRule="auto"/>
      <w:ind w:firstLine="200" w:firstLineChars="200"/>
      <w:jc w:val="left"/>
    </w:pPr>
    <w:rPr>
      <w:sz w:val="24"/>
      <w:u w:val="single"/>
    </w:rPr>
  </w:style>
  <w:style w:type="paragraph" w:styleId="18">
    <w:name w:val="annotation text"/>
    <w:basedOn w:val="1"/>
    <w:autoRedefine/>
    <w:qFormat/>
    <w:uiPriority w:val="0"/>
    <w:pPr>
      <w:jc w:val="left"/>
    </w:pPr>
  </w:style>
  <w:style w:type="paragraph" w:styleId="19">
    <w:name w:val="Body Text 3"/>
    <w:basedOn w:val="1"/>
    <w:autoRedefine/>
    <w:qFormat/>
    <w:uiPriority w:val="0"/>
    <w:pPr>
      <w:spacing w:line="360" w:lineRule="auto"/>
      <w:ind w:firstLine="723" w:firstLineChars="200"/>
    </w:pPr>
    <w:rPr>
      <w:rFonts w:cs="Times New Roman"/>
      <w:sz w:val="24"/>
    </w:rPr>
  </w:style>
  <w:style w:type="paragraph" w:styleId="20">
    <w:name w:val="List 2"/>
    <w:basedOn w:val="1"/>
    <w:autoRedefine/>
    <w:qFormat/>
    <w:uiPriority w:val="0"/>
    <w:pPr>
      <w:ind w:left="100" w:leftChars="200" w:hanging="200" w:hangingChars="200"/>
    </w:pPr>
  </w:style>
  <w:style w:type="paragraph" w:styleId="21">
    <w:name w:val="toc 3"/>
    <w:basedOn w:val="1"/>
    <w:next w:val="1"/>
    <w:autoRedefine/>
    <w:qFormat/>
    <w:uiPriority w:val="0"/>
    <w:pPr>
      <w:ind w:left="840" w:leftChars="400"/>
    </w:pPr>
  </w:style>
  <w:style w:type="paragraph" w:styleId="22">
    <w:name w:val="Plain Text"/>
    <w:basedOn w:val="1"/>
    <w:autoRedefine/>
    <w:qFormat/>
    <w:uiPriority w:val="0"/>
    <w:rPr>
      <w:rFonts w:ascii="宋体" w:hAnsi="Courier New"/>
      <w:szCs w:val="20"/>
    </w:rPr>
  </w:style>
  <w:style w:type="paragraph" w:styleId="23">
    <w:name w:val="Body Text Indent 2"/>
    <w:basedOn w:val="1"/>
    <w:next w:val="17"/>
    <w:autoRedefine/>
    <w:qFormat/>
    <w:uiPriority w:val="0"/>
    <w:pPr>
      <w:spacing w:after="120" w:line="480" w:lineRule="auto"/>
      <w:ind w:left="420" w:leftChars="200"/>
    </w:pPr>
  </w:style>
  <w:style w:type="paragraph" w:styleId="24">
    <w:name w:val="footer"/>
    <w:basedOn w:val="1"/>
    <w:autoRedefine/>
    <w:qFormat/>
    <w:uiPriority w:val="99"/>
    <w:pPr>
      <w:tabs>
        <w:tab w:val="center" w:pos="4153"/>
        <w:tab w:val="right" w:pos="8306"/>
      </w:tabs>
      <w:snapToGrid w:val="0"/>
      <w:jc w:val="left"/>
    </w:pPr>
    <w:rPr>
      <w:kern w:val="0"/>
      <w:sz w:val="18"/>
      <w:szCs w:val="20"/>
    </w:rPr>
  </w:style>
  <w:style w:type="paragraph" w:styleId="25">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26">
    <w:name w:val="toc 1"/>
    <w:basedOn w:val="1"/>
    <w:next w:val="1"/>
    <w:autoRedefine/>
    <w:qFormat/>
    <w:uiPriority w:val="0"/>
  </w:style>
  <w:style w:type="paragraph" w:styleId="27">
    <w:name w:val="index heading"/>
    <w:basedOn w:val="1"/>
    <w:next w:val="28"/>
    <w:qFormat/>
    <w:uiPriority w:val="99"/>
    <w:rPr>
      <w:szCs w:val="20"/>
    </w:rPr>
  </w:style>
  <w:style w:type="paragraph" w:styleId="28">
    <w:name w:val="index 1"/>
    <w:basedOn w:val="1"/>
    <w:next w:val="1"/>
    <w:unhideWhenUsed/>
    <w:qFormat/>
    <w:uiPriority w:val="0"/>
  </w:style>
  <w:style w:type="paragraph" w:styleId="29">
    <w:name w:val="List"/>
    <w:basedOn w:val="1"/>
    <w:qFormat/>
    <w:uiPriority w:val="0"/>
    <w:pPr>
      <w:ind w:left="200" w:hanging="200" w:hangingChars="200"/>
      <w:jc w:val="center"/>
    </w:pPr>
  </w:style>
  <w:style w:type="paragraph" w:styleId="30">
    <w:name w:val="Body Text Indent 3"/>
    <w:basedOn w:val="1"/>
    <w:autoRedefine/>
    <w:qFormat/>
    <w:uiPriority w:val="0"/>
    <w:pPr>
      <w:spacing w:line="520" w:lineRule="exact"/>
      <w:ind w:left="540"/>
    </w:pPr>
    <w:rPr>
      <w:rFonts w:ascii="仿宋_GB2312"/>
      <w:sz w:val="28"/>
    </w:rPr>
  </w:style>
  <w:style w:type="paragraph" w:styleId="31">
    <w:name w:val="table of figures"/>
    <w:basedOn w:val="1"/>
    <w:next w:val="1"/>
    <w:autoRedefine/>
    <w:unhideWhenUsed/>
    <w:qFormat/>
    <w:uiPriority w:val="99"/>
  </w:style>
  <w:style w:type="paragraph" w:styleId="32">
    <w:name w:val="toc 2"/>
    <w:basedOn w:val="1"/>
    <w:next w:val="1"/>
    <w:autoRedefine/>
    <w:qFormat/>
    <w:uiPriority w:val="0"/>
    <w:pPr>
      <w:ind w:left="420" w:leftChars="200"/>
    </w:pPr>
    <w:rPr>
      <w:szCs w:val="24"/>
    </w:rPr>
  </w:style>
  <w:style w:type="paragraph" w:styleId="33">
    <w:name w:val="Normal (Web)"/>
    <w:basedOn w:val="1"/>
    <w:autoRedefine/>
    <w:qFormat/>
    <w:uiPriority w:val="0"/>
    <w:pPr>
      <w:widowControl/>
      <w:spacing w:before="100" w:beforeAutospacing="1" w:after="100" w:afterAutospacing="1"/>
      <w:jc w:val="left"/>
    </w:pPr>
    <w:rPr>
      <w:rFonts w:ascii="宋体" w:hAnsi="宋体"/>
      <w:kern w:val="0"/>
      <w:sz w:val="24"/>
      <w:szCs w:val="20"/>
    </w:rPr>
  </w:style>
  <w:style w:type="paragraph" w:styleId="34">
    <w:name w:val="annotation subject"/>
    <w:basedOn w:val="18"/>
    <w:next w:val="18"/>
    <w:autoRedefine/>
    <w:qFormat/>
    <w:uiPriority w:val="0"/>
    <w:pPr>
      <w:adjustRightInd/>
      <w:spacing w:line="240" w:lineRule="auto"/>
      <w:textAlignment w:val="auto"/>
    </w:pPr>
    <w:rPr>
      <w:b/>
      <w:bCs/>
      <w:kern w:val="2"/>
      <w:sz w:val="21"/>
      <w:szCs w:val="24"/>
    </w:rPr>
  </w:style>
  <w:style w:type="table" w:styleId="36">
    <w:name w:val="Table Grid"/>
    <w:basedOn w:val="35"/>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8">
    <w:name w:val="Strong"/>
    <w:basedOn w:val="37"/>
    <w:autoRedefine/>
    <w:qFormat/>
    <w:uiPriority w:val="0"/>
    <w:rPr>
      <w:b/>
    </w:rPr>
  </w:style>
  <w:style w:type="character" w:styleId="39">
    <w:name w:val="page number"/>
    <w:basedOn w:val="37"/>
    <w:autoRedefine/>
    <w:qFormat/>
    <w:uiPriority w:val="0"/>
  </w:style>
  <w:style w:type="character" w:styleId="40">
    <w:name w:val="Hyperlink"/>
    <w:basedOn w:val="37"/>
    <w:autoRedefine/>
    <w:qFormat/>
    <w:uiPriority w:val="0"/>
    <w:rPr>
      <w:color w:val="0000FF"/>
      <w:u w:val="single"/>
    </w:rPr>
  </w:style>
  <w:style w:type="paragraph" w:customStyle="1" w:styleId="41">
    <w:name w:val="Default"/>
    <w:basedOn w:val="42"/>
    <w:autoRedefine/>
    <w:qFormat/>
    <w:uiPriority w:val="0"/>
    <w:pPr>
      <w:widowControl w:val="0"/>
      <w:autoSpaceDE w:val="0"/>
      <w:autoSpaceDN w:val="0"/>
      <w:adjustRightInd w:val="0"/>
    </w:pPr>
    <w:rPr>
      <w:rFonts w:ascii="宋体" w:hAnsi="Calibri" w:eastAsia="微软雅黑" w:cs="宋体"/>
      <w:color w:val="000000"/>
      <w:sz w:val="24"/>
      <w:szCs w:val="24"/>
      <w:lang w:val="en-US" w:eastAsia="zh-CN" w:bidi="ar-SA"/>
    </w:rPr>
  </w:style>
  <w:style w:type="paragraph" w:customStyle="1" w:styleId="42">
    <w:name w:val="纯文本1"/>
    <w:basedOn w:val="1"/>
    <w:autoRedefine/>
    <w:qFormat/>
    <w:uiPriority w:val="0"/>
    <w:pPr>
      <w:adjustRightInd w:val="0"/>
    </w:pPr>
    <w:rPr>
      <w:rFonts w:ascii="宋体" w:hAnsi="Courier New"/>
      <w:szCs w:val="20"/>
    </w:rPr>
  </w:style>
  <w:style w:type="paragraph" w:customStyle="1" w:styleId="43">
    <w:name w:val="样式1"/>
    <w:basedOn w:val="27"/>
    <w:next w:val="1"/>
    <w:qFormat/>
    <w:uiPriority w:val="0"/>
    <w:pPr>
      <w:spacing w:beforeLines="50" w:line="440" w:lineRule="exact"/>
      <w:ind w:left="100" w:leftChars="100"/>
    </w:pPr>
    <w:rPr>
      <w:rFonts w:ascii="宋体" w:hAnsi="宋体"/>
    </w:rPr>
  </w:style>
  <w:style w:type="paragraph" w:customStyle="1" w:styleId="44">
    <w:name w:val="1正文"/>
    <w:basedOn w:val="1"/>
    <w:autoRedefine/>
    <w:qFormat/>
    <w:uiPriority w:val="0"/>
    <w:pPr>
      <w:tabs>
        <w:tab w:val="left" w:pos="1021"/>
      </w:tabs>
      <w:ind w:firstLine="200" w:firstLineChars="200"/>
    </w:pPr>
    <w:rPr>
      <w:sz w:val="28"/>
    </w:rPr>
  </w:style>
  <w:style w:type="paragraph" w:customStyle="1" w:styleId="45">
    <w:name w:val="表头"/>
    <w:basedOn w:val="1"/>
    <w:autoRedefine/>
    <w:qFormat/>
    <w:uiPriority w:val="0"/>
    <w:pPr>
      <w:tabs>
        <w:tab w:val="left" w:pos="1021"/>
      </w:tabs>
      <w:snapToGrid w:val="0"/>
      <w:ind w:firstLine="480"/>
      <w:jc w:val="center"/>
    </w:pPr>
    <w:rPr>
      <w:rFonts w:hAnsi="宋体"/>
      <w:b/>
      <w:kern w:val="0"/>
      <w:szCs w:val="24"/>
    </w:rPr>
  </w:style>
  <w:style w:type="character" w:customStyle="1" w:styleId="46">
    <w:name w:val="标题 3 Char Char1"/>
    <w:link w:val="9"/>
    <w:autoRedefine/>
    <w:qFormat/>
    <w:uiPriority w:val="0"/>
    <w:rPr>
      <w:rFonts w:ascii="Times New Roman" w:hAnsi="Times New Roman" w:eastAsia="宋体" w:cs="Times New Roman"/>
      <w:b/>
      <w:bCs/>
      <w:kern w:val="2"/>
      <w:sz w:val="28"/>
      <w:szCs w:val="32"/>
      <w:lang w:val="en-US" w:eastAsia="zh-CN" w:bidi="ar-SA"/>
    </w:rPr>
  </w:style>
  <w:style w:type="paragraph" w:customStyle="1" w:styleId="47">
    <w:name w:val="表格内容"/>
    <w:basedOn w:val="48"/>
    <w:next w:val="1"/>
    <w:autoRedefine/>
    <w:qFormat/>
    <w:uiPriority w:val="0"/>
    <w:pPr>
      <w:spacing w:line="240" w:lineRule="auto"/>
    </w:pPr>
    <w:rPr>
      <w:rFonts w:ascii="Times New Roman" w:hAnsi="Times New Roman" w:eastAsia="宋体"/>
    </w:rPr>
  </w:style>
  <w:style w:type="paragraph" w:customStyle="1" w:styleId="48">
    <w:name w:val="表格文字"/>
    <w:basedOn w:val="6"/>
    <w:next w:val="1"/>
    <w:autoRedefine/>
    <w:qFormat/>
    <w:uiPriority w:val="0"/>
    <w:pPr>
      <w:adjustRightInd w:val="0"/>
      <w:snapToGrid w:val="0"/>
      <w:spacing w:after="0"/>
      <w:jc w:val="center"/>
    </w:pPr>
    <w:rPr>
      <w:rFonts w:ascii="宋体" w:hAnsi="宋体"/>
      <w:kern w:val="0"/>
      <w:sz w:val="20"/>
      <w:szCs w:val="21"/>
    </w:rPr>
  </w:style>
  <w:style w:type="paragraph" w:customStyle="1" w:styleId="49">
    <w:name w:val="UserStyle_0"/>
    <w:basedOn w:val="1"/>
    <w:autoRedefine/>
    <w:qFormat/>
    <w:uiPriority w:val="0"/>
    <w:pPr>
      <w:widowControl/>
      <w:spacing w:line="360" w:lineRule="auto"/>
      <w:ind w:firstLine="480" w:firstLineChars="200"/>
      <w:jc w:val="left"/>
      <w:textAlignment w:val="baseline"/>
    </w:pPr>
    <w:rPr>
      <w:rFonts w:ascii="Calibri" w:hAnsi="Calibri" w:eastAsia="宋体" w:cs="Times New Roman"/>
      <w:bCs/>
      <w:kern w:val="2"/>
      <w:sz w:val="24"/>
      <w:szCs w:val="22"/>
      <w:u w:val="single"/>
      <w:lang w:val="en-US" w:eastAsia="zh-CN" w:bidi="ar-SA"/>
    </w:rPr>
  </w:style>
  <w:style w:type="paragraph" w:customStyle="1" w:styleId="50">
    <w:name w:val="表格"/>
    <w:basedOn w:val="29"/>
    <w:next w:val="1"/>
    <w:autoRedefine/>
    <w:qFormat/>
    <w:uiPriority w:val="0"/>
    <w:pPr>
      <w:adjustRightInd w:val="0"/>
      <w:snapToGrid w:val="0"/>
      <w:spacing w:beforeLines="10" w:afterLines="10" w:line="259" w:lineRule="auto"/>
      <w:jc w:val="center"/>
    </w:pPr>
    <w:rPr>
      <w:rFonts w:ascii="宋体"/>
      <w:kern w:val="0"/>
      <w:szCs w:val="20"/>
    </w:rPr>
  </w:style>
  <w:style w:type="paragraph" w:customStyle="1" w:styleId="51">
    <w:name w:val="Table Paragraph"/>
    <w:basedOn w:val="1"/>
    <w:autoRedefine/>
    <w:qFormat/>
    <w:uiPriority w:val="0"/>
    <w:pPr>
      <w:autoSpaceDE w:val="0"/>
      <w:autoSpaceDN w:val="0"/>
      <w:adjustRightInd w:val="0"/>
      <w:jc w:val="left"/>
    </w:pPr>
    <w:rPr>
      <w:kern w:val="0"/>
      <w:sz w:val="24"/>
    </w:rPr>
  </w:style>
  <w:style w:type="paragraph" w:customStyle="1" w:styleId="52">
    <w:name w:val="段落"/>
    <w:basedOn w:val="1"/>
    <w:next w:val="1"/>
    <w:autoRedefine/>
    <w:qFormat/>
    <w:uiPriority w:val="0"/>
    <w:pPr>
      <w:tabs>
        <w:tab w:val="left" w:pos="1320"/>
      </w:tabs>
      <w:spacing w:line="360" w:lineRule="auto"/>
      <w:ind w:firstLine="504" w:firstLineChars="200"/>
    </w:pPr>
    <w:rPr>
      <w:rFonts w:ascii="Arial" w:hAnsi="Arial"/>
      <w:color w:val="000000"/>
      <w:spacing w:val="6"/>
      <w:kern w:val="24"/>
      <w:sz w:val="24"/>
      <w:szCs w:val="24"/>
    </w:rPr>
  </w:style>
  <w:style w:type="paragraph" w:customStyle="1" w:styleId="53">
    <w:name w:val="表文"/>
    <w:basedOn w:val="1"/>
    <w:autoRedefine/>
    <w:qFormat/>
    <w:uiPriority w:val="0"/>
    <w:pPr>
      <w:tabs>
        <w:tab w:val="left" w:pos="1021"/>
      </w:tabs>
      <w:jc w:val="center"/>
    </w:pPr>
    <w:rPr>
      <w:rFonts w:ascii="Arial" w:hAnsi="Arial"/>
      <w:kern w:val="20"/>
      <w:sz w:val="24"/>
      <w:szCs w:val="20"/>
    </w:rPr>
  </w:style>
  <w:style w:type="paragraph" w:customStyle="1" w:styleId="54">
    <w:name w:val="Char"/>
    <w:basedOn w:val="1"/>
    <w:autoRedefine/>
    <w:qFormat/>
    <w:uiPriority w:val="0"/>
    <w:rPr>
      <w:sz w:val="24"/>
      <w:szCs w:val="24"/>
    </w:rPr>
  </w:style>
  <w:style w:type="paragraph" w:customStyle="1" w:styleId="55">
    <w:name w:val="表文字"/>
    <w:basedOn w:val="1"/>
    <w:autoRedefine/>
    <w:qFormat/>
    <w:uiPriority w:val="0"/>
    <w:pPr>
      <w:overflowPunct w:val="0"/>
      <w:autoSpaceDE w:val="0"/>
      <w:autoSpaceDN w:val="0"/>
      <w:adjustRightInd w:val="0"/>
      <w:spacing w:line="240" w:lineRule="atLeast"/>
      <w:jc w:val="center"/>
      <w:textAlignment w:val="baseline"/>
    </w:pPr>
    <w:rPr>
      <w:kern w:val="0"/>
      <w:sz w:val="24"/>
      <w:szCs w:val="20"/>
    </w:rPr>
  </w:style>
  <w:style w:type="paragraph" w:customStyle="1" w:styleId="56">
    <w:name w:val="表格文字2"/>
    <w:basedOn w:val="1"/>
    <w:autoRedefine/>
    <w:qFormat/>
    <w:uiPriority w:val="0"/>
    <w:pPr>
      <w:tabs>
        <w:tab w:val="left" w:pos="277"/>
        <w:tab w:val="left" w:pos="600"/>
        <w:tab w:val="left" w:pos="780"/>
        <w:tab w:val="left" w:pos="2517"/>
      </w:tabs>
      <w:adjustRightInd w:val="0"/>
      <w:spacing w:before="60"/>
      <w:jc w:val="center"/>
      <w:textAlignment w:val="baseline"/>
    </w:pPr>
    <w:rPr>
      <w:rFonts w:cs="宋体"/>
      <w:szCs w:val="21"/>
    </w:rPr>
  </w:style>
  <w:style w:type="paragraph" w:customStyle="1" w:styleId="57">
    <w:name w:val="Body Text First Indent"/>
    <w:basedOn w:val="1"/>
    <w:autoRedefine/>
    <w:qFormat/>
    <w:uiPriority w:val="0"/>
    <w:pPr>
      <w:overflowPunct w:val="0"/>
      <w:autoSpaceDE w:val="0"/>
      <w:autoSpaceDN w:val="0"/>
      <w:adjustRightInd w:val="0"/>
      <w:spacing w:line="360" w:lineRule="auto"/>
      <w:ind w:firstLine="539"/>
      <w:textAlignment w:val="baseline"/>
    </w:pPr>
    <w:rPr>
      <w:rFonts w:eastAsia="仿宋_GB2312"/>
      <w:kern w:val="0"/>
      <w:sz w:val="28"/>
      <w:szCs w:val="20"/>
    </w:rPr>
  </w:style>
  <w:style w:type="paragraph" w:customStyle="1" w:styleId="58">
    <w:name w:val="表名称"/>
    <w:basedOn w:val="1"/>
    <w:autoRedefine/>
    <w:qFormat/>
    <w:uiPriority w:val="0"/>
    <w:pPr>
      <w:spacing w:line="240" w:lineRule="auto"/>
      <w:ind w:firstLine="0" w:firstLineChars="0"/>
      <w:jc w:val="center"/>
    </w:pPr>
    <w:rPr>
      <w:rFonts w:ascii="Times New Roman" w:hAnsi="Times New Roman" w:eastAsia="Times New Roman" w:cs="Times New Roman"/>
      <w:b/>
    </w:rPr>
  </w:style>
  <w:style w:type="paragraph" w:customStyle="1" w:styleId="59">
    <w:name w:val="正文 缩进2"/>
    <w:basedOn w:val="1"/>
    <w:autoRedefine/>
    <w:qFormat/>
    <w:uiPriority w:val="0"/>
    <w:pPr>
      <w:ind w:firstLine="200" w:firstLineChars="200"/>
    </w:pPr>
  </w:style>
  <w:style w:type="paragraph" w:customStyle="1" w:styleId="60">
    <w:name w:val="正文2"/>
    <w:autoRedefine/>
    <w:qFormat/>
    <w:uiPriority w:val="0"/>
    <w:pPr>
      <w:jc w:val="both"/>
    </w:pPr>
    <w:rPr>
      <w:rFonts w:ascii="Times New Roman" w:hAnsi="Times New Roman" w:eastAsia="宋体" w:cs="Times New Roman"/>
      <w:kern w:val="2"/>
      <w:sz w:val="21"/>
      <w:szCs w:val="21"/>
      <w:lang w:val="en-US" w:eastAsia="zh-CN" w:bidi="ar-SA"/>
    </w:rPr>
  </w:style>
  <w:style w:type="paragraph" w:customStyle="1" w:styleId="61">
    <w:name w:val="表格正文"/>
    <w:basedOn w:val="1"/>
    <w:next w:val="1"/>
    <w:autoRedefine/>
    <w:qFormat/>
    <w:uiPriority w:val="0"/>
    <w:pPr>
      <w:adjustRightInd w:val="0"/>
      <w:snapToGrid w:val="0"/>
      <w:jc w:val="center"/>
    </w:pPr>
    <w:rPr>
      <w:spacing w:val="3"/>
      <w:sz w:val="21"/>
    </w:rPr>
  </w:style>
  <w:style w:type="paragraph" w:customStyle="1" w:styleId="62">
    <w:name w:val="mm正文"/>
    <w:basedOn w:val="1"/>
    <w:autoRedefine/>
    <w:qFormat/>
    <w:uiPriority w:val="0"/>
    <w:pPr>
      <w:spacing w:line="480" w:lineRule="exact"/>
      <w:ind w:firstLine="200" w:firstLineChars="200"/>
    </w:pPr>
    <w:rPr>
      <w:rFonts w:cs="宋体"/>
      <w:color w:val="000000"/>
    </w:rPr>
  </w:style>
  <w:style w:type="paragraph" w:customStyle="1" w:styleId="63">
    <w:name w:val="正文文字 6"/>
    <w:next w:val="1"/>
    <w:autoRedefine/>
    <w:qFormat/>
    <w:uiPriority w:val="0"/>
    <w:pPr>
      <w:widowControl w:val="0"/>
      <w:ind w:left="240"/>
      <w:jc w:val="both"/>
    </w:pPr>
    <w:rPr>
      <w:rFonts w:ascii="宋体" w:hAnsi="Times New Roman" w:eastAsia="宋体" w:cs="Times New Roman"/>
      <w:b/>
      <w:bCs/>
      <w:kern w:val="2"/>
      <w:sz w:val="32"/>
      <w:szCs w:val="32"/>
      <w:lang w:val="en-US" w:eastAsia="zh-CN" w:bidi="ar-SA"/>
    </w:rPr>
  </w:style>
  <w:style w:type="character" w:customStyle="1" w:styleId="64">
    <w:name w:val="样式 标题 2 + 黑色 Char"/>
    <w:link w:val="65"/>
    <w:autoRedefine/>
    <w:qFormat/>
    <w:uiPriority w:val="0"/>
    <w:rPr>
      <w:color w:val="000000"/>
    </w:rPr>
  </w:style>
  <w:style w:type="paragraph" w:customStyle="1" w:styleId="65">
    <w:name w:val="样式 标题 2 + 黑色"/>
    <w:basedOn w:val="8"/>
    <w:link w:val="64"/>
    <w:autoRedefine/>
    <w:qFormat/>
    <w:uiPriority w:val="0"/>
    <w:pPr>
      <w:spacing w:before="200" w:after="200" w:line="360" w:lineRule="auto"/>
    </w:pPr>
    <w:rPr>
      <w:b w:val="0"/>
      <w:color w:val="000000"/>
    </w:rPr>
  </w:style>
  <w:style w:type="character" w:customStyle="1" w:styleId="66">
    <w:name w:val="font01"/>
    <w:basedOn w:val="37"/>
    <w:autoRedefine/>
    <w:qFormat/>
    <w:uiPriority w:val="0"/>
    <w:rPr>
      <w:rFonts w:hint="eastAsia" w:ascii="宋体" w:hAnsi="宋体" w:eastAsia="宋体" w:cs="宋体"/>
      <w:color w:val="000000"/>
      <w:sz w:val="22"/>
      <w:szCs w:val="22"/>
      <w:u w:val="none"/>
    </w:rPr>
  </w:style>
  <w:style w:type="character" w:customStyle="1" w:styleId="67">
    <w:name w:val="font31"/>
    <w:basedOn w:val="37"/>
    <w:autoRedefine/>
    <w:qFormat/>
    <w:uiPriority w:val="0"/>
    <w:rPr>
      <w:rFonts w:hint="default" w:ascii="Times New Roman" w:hAnsi="Times New Roman" w:cs="Times New Roman"/>
      <w:color w:val="000000"/>
      <w:sz w:val="22"/>
      <w:szCs w:val="22"/>
      <w:u w:val="none"/>
    </w:rPr>
  </w:style>
  <w:style w:type="character" w:customStyle="1" w:styleId="68">
    <w:name w:val="font11"/>
    <w:basedOn w:val="37"/>
    <w:autoRedefine/>
    <w:qFormat/>
    <w:uiPriority w:val="0"/>
    <w:rPr>
      <w:rFonts w:hint="eastAsia" w:ascii="宋体" w:hAnsi="宋体" w:eastAsia="宋体" w:cs="宋体"/>
      <w:color w:val="000000"/>
      <w:sz w:val="24"/>
      <w:szCs w:val="24"/>
      <w:u w:val="none"/>
    </w:rPr>
  </w:style>
  <w:style w:type="character" w:customStyle="1" w:styleId="69">
    <w:name w:val="font21"/>
    <w:basedOn w:val="37"/>
    <w:autoRedefine/>
    <w:qFormat/>
    <w:uiPriority w:val="0"/>
    <w:rPr>
      <w:rFonts w:hint="default" w:ascii="Times New Roman" w:hAnsi="Times New Roman" w:cs="Times New Roman"/>
      <w:color w:val="000000"/>
      <w:sz w:val="24"/>
      <w:szCs w:val="24"/>
      <w:u w:val="none"/>
    </w:rPr>
  </w:style>
  <w:style w:type="paragraph" w:customStyle="1" w:styleId="70">
    <w:name w:val="段落(G)"/>
    <w:basedOn w:val="1"/>
    <w:autoRedefine/>
    <w:qFormat/>
    <w:uiPriority w:val="0"/>
    <w:pPr>
      <w:tabs>
        <w:tab w:val="left" w:pos="1021"/>
        <w:tab w:val="left" w:pos="1320"/>
      </w:tabs>
      <w:spacing w:line="360" w:lineRule="auto"/>
      <w:ind w:firstLine="480" w:firstLineChars="200"/>
    </w:pPr>
    <w:rPr>
      <w:color w:val="000000"/>
      <w:kern w:val="24"/>
      <w:sz w:val="24"/>
      <w:lang w:val="zh-CN"/>
    </w:rPr>
  </w:style>
  <w:style w:type="paragraph" w:customStyle="1" w:styleId="71">
    <w:name w:val="表头（桑）"/>
    <w:basedOn w:val="1"/>
    <w:autoRedefine/>
    <w:qFormat/>
    <w:uiPriority w:val="0"/>
    <w:pPr>
      <w:overflowPunct w:val="0"/>
      <w:autoSpaceDE w:val="0"/>
      <w:autoSpaceDN w:val="0"/>
      <w:adjustRightInd w:val="0"/>
      <w:spacing w:line="300" w:lineRule="auto"/>
      <w:ind w:firstLine="0" w:firstLineChars="0"/>
      <w:jc w:val="center"/>
      <w:textAlignment w:val="baseline"/>
    </w:pPr>
    <w:rPr>
      <w:rFonts w:ascii="黑体" w:eastAsia="黑体" w:cs="宋体"/>
      <w:kern w:val="20"/>
    </w:rPr>
  </w:style>
  <w:style w:type="paragraph" w:customStyle="1" w:styleId="72">
    <w:name w:val="样式 表格文字 + 居中1"/>
    <w:basedOn w:val="1"/>
    <w:autoRedefine/>
    <w:qFormat/>
    <w:uiPriority w:val="0"/>
    <w:pPr>
      <w:adjustRightInd w:val="0"/>
      <w:snapToGrid w:val="0"/>
      <w:spacing w:line="400" w:lineRule="exact"/>
      <w:jc w:val="center"/>
    </w:pPr>
    <w:rPr>
      <w:rFonts w:cs="宋体"/>
    </w:rPr>
  </w:style>
  <w:style w:type="paragraph" w:customStyle="1" w:styleId="73">
    <w:name w:val="中气表头"/>
    <w:basedOn w:val="1"/>
    <w:autoRedefine/>
    <w:qFormat/>
    <w:uiPriority w:val="0"/>
    <w:pPr>
      <w:spacing w:line="240" w:lineRule="auto"/>
      <w:jc w:val="center"/>
    </w:pPr>
    <w:rPr>
      <w:rFonts w:eastAsia="黑体"/>
      <w:b/>
      <w:sz w:val="20"/>
      <w:szCs w:val="21"/>
    </w:rPr>
  </w:style>
  <w:style w:type="paragraph" w:customStyle="1" w:styleId="74">
    <w:name w:val="正 文"/>
    <w:basedOn w:val="1"/>
    <w:autoRedefine/>
    <w:qFormat/>
    <w:uiPriority w:val="0"/>
    <w:pPr>
      <w:widowControl w:val="0"/>
      <w:spacing w:line="360" w:lineRule="auto"/>
      <w:ind w:firstLine="562" w:firstLineChars="200"/>
      <w:jc w:val="both"/>
    </w:pPr>
    <w:rPr>
      <w:rFonts w:ascii="Arial" w:hAnsi="Arial" w:eastAsia="Times New Roman" w:cs="Times New Roman"/>
    </w:rPr>
  </w:style>
  <w:style w:type="paragraph" w:customStyle="1" w:styleId="75">
    <w:name w:val="标准正文"/>
    <w:basedOn w:val="1"/>
    <w:autoRedefine/>
    <w:qFormat/>
    <w:uiPriority w:val="0"/>
    <w:pPr>
      <w:widowControl/>
      <w:spacing w:line="360" w:lineRule="auto"/>
      <w:ind w:firstLine="480" w:firstLineChars="200"/>
      <w:jc w:val="left"/>
    </w:pPr>
    <w:rPr>
      <w:rFonts w:ascii="Calibri" w:hAnsi="Calibri" w:eastAsia="宋体" w:cs="Times New Roman"/>
      <w:bCs/>
      <w:sz w:val="24"/>
      <w:szCs w:val="22"/>
      <w:u w:val="single"/>
    </w:rPr>
  </w:style>
  <w:style w:type="paragraph" w:customStyle="1" w:styleId="76">
    <w:name w:val="样式 样式 纯文本纯文本 Char Char普通文字 Char + (符号) 宋体 小四 + 首行缩进:  2 字符"/>
    <w:basedOn w:val="1"/>
    <w:autoRedefine/>
    <w:qFormat/>
    <w:uiPriority w:val="0"/>
    <w:pPr>
      <w:adjustRightInd w:val="0"/>
      <w:snapToGrid w:val="0"/>
      <w:spacing w:line="360" w:lineRule="auto"/>
      <w:ind w:firstLine="480" w:firstLineChars="200"/>
    </w:pPr>
    <w:rPr>
      <w:rFonts w:cs="宋体"/>
      <w:kern w:val="0"/>
      <w:sz w:val="24"/>
    </w:rPr>
  </w:style>
  <w:style w:type="paragraph" w:customStyle="1" w:styleId="77">
    <w:name w:val="表格标题"/>
    <w:basedOn w:val="4"/>
    <w:next w:val="47"/>
    <w:autoRedefine/>
    <w:qFormat/>
    <w:uiPriority w:val="0"/>
    <w:pPr>
      <w:spacing w:after="0"/>
      <w:ind w:firstLine="0" w:firstLineChars="0"/>
      <w:jc w:val="center"/>
    </w:pPr>
    <w:rPr>
      <w:rFonts w:ascii="黑体" w:eastAsia="黑体"/>
      <w:b/>
      <w:bCs/>
    </w:rPr>
  </w:style>
  <w:style w:type="paragraph" w:customStyle="1" w:styleId="78">
    <w:name w:val="表格文字01"/>
    <w:basedOn w:val="1"/>
    <w:autoRedefine/>
    <w:qFormat/>
    <w:uiPriority w:val="99"/>
    <w:pPr>
      <w:spacing w:line="240" w:lineRule="auto"/>
      <w:ind w:firstLine="0" w:firstLineChars="0"/>
      <w:jc w:val="center"/>
    </w:pPr>
    <w:rPr>
      <w:sz w:val="21"/>
      <w:szCs w:val="21"/>
    </w:rPr>
  </w:style>
  <w:style w:type="paragraph" w:customStyle="1" w:styleId="79">
    <w:name w:val="UserStyle_6"/>
    <w:basedOn w:val="1"/>
    <w:autoRedefine/>
    <w:qFormat/>
    <w:uiPriority w:val="0"/>
    <w:pPr>
      <w:spacing w:line="240" w:lineRule="atLeast"/>
      <w:jc w:val="center"/>
      <w:textAlignment w:val="baseline"/>
    </w:pPr>
    <w:rPr>
      <w:rFonts w:ascii="Times New Roman" w:hAnsi="Times New Roman"/>
      <w:kern w:val="0"/>
      <w:sz w:val="20"/>
      <w:szCs w:val="20"/>
      <w:lang w:val="en-US" w:eastAsia="zh-CN" w:bidi="ar-SA"/>
    </w:rPr>
  </w:style>
  <w:style w:type="character" w:customStyle="1" w:styleId="80">
    <w:name w:val="NormalCharacter"/>
    <w:autoRedefine/>
    <w:semiHidden/>
    <w:qFormat/>
    <w:uiPriority w:val="0"/>
    <w:rPr>
      <w:kern w:val="2"/>
      <w:sz w:val="24"/>
      <w:lang w:val="en-US" w:eastAsia="zh-CN" w:bidi="ar-SA"/>
    </w:rPr>
  </w:style>
  <w:style w:type="paragraph" w:customStyle="1" w:styleId="81">
    <w:name w:val="样式 小四 行距: 1.5 倍行距"/>
    <w:basedOn w:val="1"/>
    <w:autoRedefine/>
    <w:qFormat/>
    <w:uiPriority w:val="0"/>
    <w:pPr>
      <w:spacing w:line="360" w:lineRule="auto"/>
      <w:ind w:firstLine="480" w:firstLineChars="200"/>
    </w:pPr>
    <w:rPr>
      <w:rFonts w:cs="宋体"/>
      <w:sz w:val="24"/>
    </w:rPr>
  </w:style>
  <w:style w:type="paragraph" w:customStyle="1" w:styleId="82">
    <w:name w:val="1文章"/>
    <w:basedOn w:val="1"/>
    <w:autoRedefine/>
    <w:qFormat/>
    <w:uiPriority w:val="0"/>
    <w:pPr>
      <w:snapToGrid w:val="0"/>
      <w:spacing w:line="360" w:lineRule="auto"/>
      <w:ind w:firstLine="573"/>
    </w:pPr>
    <w:rPr>
      <w:rFonts w:eastAsia="仿宋_GB2312"/>
      <w:sz w:val="28"/>
    </w:rPr>
  </w:style>
  <w:style w:type="paragraph" w:customStyle="1" w:styleId="83">
    <w:name w:val="Char Char Char Char"/>
    <w:basedOn w:val="1"/>
    <w:autoRedefine/>
    <w:qFormat/>
    <w:uiPriority w:val="0"/>
    <w:pPr>
      <w:ind w:firstLine="200"/>
    </w:pPr>
    <w:rPr>
      <w:rFonts w:cs="宋体"/>
      <w:szCs w:val="24"/>
    </w:rPr>
  </w:style>
  <w:style w:type="paragraph" w:styleId="84">
    <w:name w:val="Intense Quote"/>
    <w:basedOn w:val="1"/>
    <w:next w:val="1"/>
    <w:autoRedefine/>
    <w:qFormat/>
    <w:uiPriority w:val="0"/>
    <w:pPr>
      <w:spacing w:line="240" w:lineRule="auto"/>
      <w:ind w:firstLine="0" w:firstLineChars="0"/>
      <w:jc w:val="center"/>
    </w:pPr>
    <w:rPr>
      <w:bCs/>
      <w:iCs/>
      <w:sz w:val="21"/>
    </w:rPr>
  </w:style>
  <w:style w:type="paragraph" w:customStyle="1" w:styleId="85">
    <w:name w:val="环境影响报告书"/>
    <w:basedOn w:val="1"/>
    <w:autoRedefine/>
    <w:semiHidden/>
    <w:qFormat/>
    <w:uiPriority w:val="0"/>
    <w:pPr>
      <w:tabs>
        <w:tab w:val="left" w:pos="1021"/>
      </w:tabs>
      <w:spacing w:before="312" w:beforeLines="0" w:line="300" w:lineRule="auto"/>
      <w:jc w:val="center"/>
    </w:pPr>
    <w:rPr>
      <w:rFonts w:eastAsia="黑体" w:cs="宋体"/>
      <w:color w:val="000000"/>
      <w:sz w:val="72"/>
    </w:rPr>
  </w:style>
  <w:style w:type="paragraph" w:customStyle="1" w:styleId="86">
    <w:name w:val="送审稿"/>
    <w:basedOn w:val="1"/>
    <w:autoRedefine/>
    <w:semiHidden/>
    <w:qFormat/>
    <w:uiPriority w:val="0"/>
    <w:pPr>
      <w:tabs>
        <w:tab w:val="left" w:pos="1021"/>
      </w:tabs>
      <w:spacing w:line="300" w:lineRule="auto"/>
      <w:jc w:val="center"/>
    </w:pPr>
    <w:rPr>
      <w:rFonts w:cs="宋体"/>
      <w:sz w:val="36"/>
    </w:rPr>
  </w:style>
  <w:style w:type="paragraph" w:customStyle="1" w:styleId="87">
    <w:name w:val="Y"/>
    <w:basedOn w:val="1"/>
    <w:autoRedefine/>
    <w:qFormat/>
    <w:uiPriority w:val="0"/>
    <w:pPr>
      <w:tabs>
        <w:tab w:val="left" w:pos="1021"/>
      </w:tabs>
      <w:ind w:firstLine="420"/>
    </w:pPr>
  </w:style>
  <w:style w:type="character" w:customStyle="1" w:styleId="88">
    <w:name w:val="font71"/>
    <w:basedOn w:val="37"/>
    <w:autoRedefine/>
    <w:qFormat/>
    <w:uiPriority w:val="0"/>
    <w:rPr>
      <w:rFonts w:hint="eastAsia" w:ascii="宋体" w:hAnsi="宋体" w:eastAsia="宋体" w:cs="宋体"/>
      <w:color w:val="000000"/>
      <w:sz w:val="32"/>
      <w:szCs w:val="32"/>
      <w:u w:val="none"/>
    </w:rPr>
  </w:style>
  <w:style w:type="character" w:customStyle="1" w:styleId="89">
    <w:name w:val="样式 宋体 三号"/>
    <w:autoRedefine/>
    <w:semiHidden/>
    <w:qFormat/>
    <w:uiPriority w:val="0"/>
    <w:rPr>
      <w:rFonts w:ascii="宋体" w:hAnsi="宋体" w:eastAsia="宋体"/>
      <w:kern w:val="2"/>
      <w:sz w:val="24"/>
      <w:szCs w:val="21"/>
      <w:lang w:val="en-US" w:eastAsia="zh-CN" w:bidi="ar-SA"/>
    </w:rPr>
  </w:style>
  <w:style w:type="paragraph" w:customStyle="1" w:styleId="90">
    <w:name w:val="正文02"/>
    <w:basedOn w:val="1"/>
    <w:autoRedefine/>
    <w:qFormat/>
    <w:uiPriority w:val="0"/>
    <w:pPr>
      <w:adjustRightInd w:val="0"/>
      <w:spacing w:line="360" w:lineRule="auto"/>
      <w:ind w:firstLine="200" w:firstLineChars="200"/>
    </w:pPr>
    <w:rPr>
      <w:rFonts w:cs="Times New Roman"/>
      <w:sz w:val="28"/>
      <w:szCs w:val="24"/>
    </w:rPr>
  </w:style>
  <w:style w:type="character" w:customStyle="1" w:styleId="91">
    <w:name w:val="font41"/>
    <w:basedOn w:val="37"/>
    <w:autoRedefine/>
    <w:qFormat/>
    <w:uiPriority w:val="0"/>
    <w:rPr>
      <w:rFonts w:hint="eastAsia" w:ascii="宋体" w:hAnsi="宋体" w:eastAsia="宋体" w:cs="宋体"/>
      <w:b/>
      <w:color w:val="000000"/>
      <w:sz w:val="22"/>
      <w:szCs w:val="22"/>
      <w:u w:val="none"/>
    </w:rPr>
  </w:style>
  <w:style w:type="paragraph" w:customStyle="1" w:styleId="92">
    <w:name w:val="样式6565656"/>
    <w:basedOn w:val="1"/>
    <w:autoRedefine/>
    <w:qFormat/>
    <w:uiPriority w:val="0"/>
    <w:pPr>
      <w:adjustRightInd w:val="0"/>
      <w:snapToGrid w:val="0"/>
      <w:spacing w:line="460" w:lineRule="atLeast"/>
      <w:ind w:firstLine="480" w:firstLineChars="200"/>
      <w:jc w:val="left"/>
    </w:pPr>
    <w:rPr>
      <w:rFonts w:hAnsi="宋体"/>
      <w:bCs/>
      <w:sz w:val="24"/>
    </w:rPr>
  </w:style>
  <w:style w:type="paragraph" w:customStyle="1" w:styleId="93">
    <w:name w:val="p0"/>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94">
    <w:name w:val="罗英样式"/>
    <w:basedOn w:val="1"/>
    <w:autoRedefine/>
    <w:qFormat/>
    <w:uiPriority w:val="0"/>
    <w:pPr>
      <w:spacing w:line="500" w:lineRule="exact"/>
      <w:ind w:firstLine="200" w:firstLineChars="200"/>
    </w:pPr>
    <w:rPr>
      <w:rFonts w:ascii="宋体" w:hAnsi="宋体"/>
      <w:sz w:val="24"/>
    </w:rPr>
  </w:style>
  <w:style w:type="paragraph" w:styleId="95">
    <w:name w:val="List Paragraph"/>
    <w:basedOn w:val="1"/>
    <w:autoRedefine/>
    <w:qFormat/>
    <w:uiPriority w:val="34"/>
    <w:pPr>
      <w:ind w:firstLine="420" w:firstLineChars="200"/>
    </w:pPr>
  </w:style>
  <w:style w:type="paragraph" w:customStyle="1" w:styleId="96">
    <w:name w:val="引用2"/>
    <w:basedOn w:val="1"/>
    <w:next w:val="1"/>
    <w:autoRedefine/>
    <w:qFormat/>
    <w:uiPriority w:val="0"/>
    <w:pPr>
      <w:widowControl/>
      <w:snapToGrid w:val="0"/>
      <w:spacing w:line="360" w:lineRule="auto"/>
      <w:contextualSpacing/>
      <w:jc w:val="center"/>
    </w:pPr>
    <w:rPr>
      <w:b/>
      <w:bCs/>
      <w:color w:val="000000"/>
      <w:kern w:val="0"/>
      <w:szCs w:val="21"/>
    </w:rPr>
  </w:style>
  <w:style w:type="paragraph" w:customStyle="1" w:styleId="97">
    <w:name w:val="正文1"/>
    <w:basedOn w:val="1"/>
    <w:autoRedefine/>
    <w:qFormat/>
    <w:uiPriority w:val="0"/>
    <w:pPr>
      <w:spacing w:before="60" w:line="460" w:lineRule="exact"/>
      <w:ind w:firstLine="200" w:firstLineChars="200"/>
    </w:pPr>
    <w:rPr>
      <w:sz w:val="24"/>
      <w:szCs w:val="20"/>
    </w:rPr>
  </w:style>
  <w:style w:type="paragraph" w:styleId="98">
    <w:name w:val="No Spacing"/>
    <w:basedOn w:val="99"/>
    <w:autoRedefine/>
    <w:qFormat/>
    <w:uiPriority w:val="99"/>
    <w:pPr>
      <w:widowControl w:val="0"/>
      <w:jc w:val="center"/>
    </w:pPr>
    <w:rPr>
      <w:kern w:val="2"/>
      <w:sz w:val="21"/>
      <w:szCs w:val="22"/>
      <w:lang w:val="en-US" w:eastAsia="zh-CN" w:bidi="ar-SA"/>
    </w:rPr>
  </w:style>
  <w:style w:type="paragraph" w:customStyle="1" w:styleId="99">
    <w:name w:val="无间隔1"/>
    <w:autoRedefine/>
    <w:qFormat/>
    <w:uiPriority w:val="1"/>
    <w:pPr>
      <w:widowControl w:val="0"/>
      <w:jc w:val="center"/>
    </w:pPr>
    <w:rPr>
      <w:rFonts w:ascii="Times New Roman" w:hAnsi="Times New Roman" w:eastAsia="宋体" w:cs="Times New Roman"/>
      <w:kern w:val="2"/>
      <w:sz w:val="21"/>
      <w:szCs w:val="22"/>
      <w:lang w:val="en-US" w:eastAsia="zh-CN" w:bidi="ar-SA"/>
    </w:rPr>
  </w:style>
  <w:style w:type="paragraph" w:customStyle="1" w:styleId="100">
    <w:name w:val="1"/>
    <w:basedOn w:val="1"/>
    <w:next w:val="1"/>
    <w:autoRedefine/>
    <w:qFormat/>
    <w:uiPriority w:val="0"/>
    <w:pPr>
      <w:widowControl/>
      <w:snapToGrid w:val="0"/>
      <w:spacing w:line="360" w:lineRule="auto"/>
      <w:ind w:firstLine="200" w:firstLineChars="200"/>
      <w:contextualSpacing/>
      <w:jc w:val="left"/>
    </w:pPr>
    <w:rPr>
      <w:kern w:val="0"/>
      <w:sz w:val="24"/>
      <w:szCs w:val="20"/>
      <w:lang w:eastAsia="en-US" w:bidi="en-US"/>
    </w:rPr>
  </w:style>
  <w:style w:type="paragraph" w:customStyle="1" w:styleId="101">
    <w:name w:val="样式 列表 2 + 华文仿宋 居中"/>
    <w:basedOn w:val="20"/>
    <w:autoRedefine/>
    <w:qFormat/>
    <w:uiPriority w:val="0"/>
    <w:pPr>
      <w:widowControl/>
      <w:spacing w:line="500" w:lineRule="exact"/>
      <w:ind w:left="0" w:leftChars="0" w:firstLine="0" w:firstLineChars="0"/>
      <w:jc w:val="center"/>
    </w:pPr>
    <w:rPr>
      <w:rFonts w:ascii="宋体" w:hAnsi="宋体" w:cs="宋体"/>
      <w:color w:val="000000"/>
      <w:kern w:val="0"/>
      <w:sz w:val="24"/>
      <w:szCs w:val="21"/>
    </w:rPr>
  </w:style>
  <w:style w:type="table" w:customStyle="1" w:styleId="102">
    <w:name w:val="网格型36"/>
    <w:basedOn w:val="35"/>
    <w:autoRedefine/>
    <w:qFormat/>
    <w:uiPriority w:val="0"/>
    <w:rPr>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03">
    <w:name w:val="样式表格"/>
    <w:basedOn w:val="1"/>
    <w:autoRedefine/>
    <w:qFormat/>
    <w:uiPriority w:val="0"/>
    <w:pPr>
      <w:widowControl/>
      <w:spacing w:line="240" w:lineRule="auto"/>
      <w:jc w:val="center"/>
    </w:pPr>
    <w:rPr>
      <w:color w:val="000000"/>
      <w:kern w:val="0"/>
      <w:sz w:val="21"/>
      <w:szCs w:val="21"/>
    </w:rPr>
  </w:style>
  <w:style w:type="paragraph" w:customStyle="1" w:styleId="104">
    <w:name w:val="zwb-正文"/>
    <w:basedOn w:val="1"/>
    <w:autoRedefine/>
    <w:semiHidden/>
    <w:qFormat/>
    <w:uiPriority w:val="0"/>
    <w:pPr>
      <w:spacing w:line="360" w:lineRule="auto"/>
      <w:ind w:firstLine="480" w:firstLineChars="200"/>
    </w:pPr>
    <w:rPr>
      <w:rFonts w:ascii="等线" w:hAnsi="等线"/>
      <w:kern w:val="0"/>
      <w:szCs w:val="24"/>
    </w:rPr>
  </w:style>
  <w:style w:type="paragraph" w:customStyle="1" w:styleId="105">
    <w:name w:val="Table Text"/>
    <w:basedOn w:val="1"/>
    <w:semiHidden/>
    <w:qFormat/>
    <w:uiPriority w:val="0"/>
    <w:rPr>
      <w:rFonts w:ascii="Microsoft JhengHei" w:hAnsi="Microsoft JhengHei" w:eastAsia="Microsoft JhengHei" w:cs="Microsoft JhengHei"/>
      <w:sz w:val="20"/>
      <w:szCs w:val="20"/>
      <w:lang w:val="en-US" w:eastAsia="en-US" w:bidi="ar-SA"/>
    </w:rPr>
  </w:style>
  <w:style w:type="table" w:customStyle="1" w:styleId="106">
    <w:name w:val="Table Normal"/>
    <w:semiHidden/>
    <w:unhideWhenUsed/>
    <w:qFormat/>
    <w:uiPriority w:val="0"/>
    <w:tblPr>
      <w:tblCellMar>
        <w:top w:w="0" w:type="dxa"/>
        <w:left w:w="0" w:type="dxa"/>
        <w:bottom w:w="0" w:type="dxa"/>
        <w:right w:w="0" w:type="dxa"/>
      </w:tblCellMar>
    </w:tblPr>
  </w:style>
  <w:style w:type="paragraph" w:customStyle="1" w:styleId="107">
    <w:name w:val="lh-表格文字-报告书"/>
    <w:qFormat/>
    <w:uiPriority w:val="0"/>
    <w:pPr>
      <w:jc w:val="center"/>
    </w:pPr>
    <w:rPr>
      <w:rFonts w:ascii="Times New Roman" w:hAnsi="Times New Roman" w:eastAsia="宋体" w:cs="Times New Roman"/>
      <w:snapToGrid w:val="0"/>
      <w:sz w:val="21"/>
      <w:szCs w:val="24"/>
      <w:lang w:val="en-US" w:eastAsia="zh-CN" w:bidi="ar-SA"/>
    </w:rPr>
  </w:style>
  <w:style w:type="table" w:customStyle="1" w:styleId="108">
    <w:name w:val="网格型: 小４单中30"/>
    <w:basedOn w:val="35"/>
    <w:qFormat/>
    <w:uiPriority w:val="0"/>
    <w:rPr>
      <w:rFonts w:ascii="Calibri" w:hAnsi="Calibri"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109">
    <w:name w:val="文本正文"/>
    <w:basedOn w:val="1"/>
    <w:qFormat/>
    <w:uiPriority w:val="0"/>
    <w:pPr>
      <w:ind w:firstLine="510"/>
    </w:pPr>
    <w:rPr>
      <w:rFonts w:ascii="宋体"/>
      <w:spacing w:val="4"/>
      <w:kern w:val="24"/>
      <w:szCs w:val="24"/>
      <w:lang w:val="zh-CN"/>
    </w:rPr>
  </w:style>
  <w:style w:type="character" w:customStyle="1" w:styleId="110">
    <w:name w:val="font51"/>
    <w:basedOn w:val="37"/>
    <w:qFormat/>
    <w:uiPriority w:val="0"/>
    <w:rPr>
      <w:rFonts w:hint="default" w:ascii="Arial" w:hAnsi="Arial" w:cs="Arial"/>
      <w:color w:val="000000"/>
      <w:sz w:val="21"/>
      <w:szCs w:val="21"/>
      <w:u w:val="none"/>
      <w:vertAlign w:val="subscript"/>
    </w:rPr>
  </w:style>
  <w:style w:type="character" w:customStyle="1" w:styleId="111">
    <w:name w:val="font61"/>
    <w:basedOn w:val="37"/>
    <w:qFormat/>
    <w:uiPriority w:val="0"/>
    <w:rPr>
      <w:rFonts w:hint="default" w:ascii="Arial" w:hAnsi="Arial" w:cs="Arial"/>
      <w:color w:val="000000"/>
      <w:sz w:val="21"/>
      <w:szCs w:val="21"/>
      <w:u w:val="none"/>
      <w:vertAlign w:val="superscript"/>
    </w:rPr>
  </w:style>
  <w:style w:type="paragraph" w:customStyle="1" w:styleId="112">
    <w:name w:val="报告正文"/>
    <w:basedOn w:val="4"/>
    <w:qFormat/>
    <w:uiPriority w:val="0"/>
    <w:pPr>
      <w:spacing w:after="0"/>
      <w:ind w:firstLine="200"/>
    </w:pPr>
    <w:rPr>
      <w:szCs w:val="20"/>
    </w:rPr>
  </w:style>
  <w:style w:type="paragraph" w:customStyle="1" w:styleId="113">
    <w:name w:val="表标题"/>
    <w:basedOn w:val="1"/>
    <w:qFormat/>
    <w:uiPriority w:val="0"/>
    <w:pPr>
      <w:keepNext w:val="0"/>
      <w:ind w:firstLine="0" w:firstLineChars="0"/>
      <w:jc w:val="center"/>
    </w:pPr>
    <w:rPr>
      <w:b/>
      <w:kern w:val="0"/>
      <w:sz w:val="21"/>
      <w:szCs w:val="20"/>
    </w:rPr>
  </w:style>
  <w:style w:type="paragraph" w:customStyle="1" w:styleId="114">
    <w:name w:val="表格文字Z"/>
    <w:basedOn w:val="44"/>
    <w:qFormat/>
    <w:uiPriority w:val="0"/>
    <w:pPr>
      <w:spacing w:line="240" w:lineRule="auto"/>
      <w:ind w:firstLine="0" w:firstLineChars="0"/>
      <w:jc w:val="center"/>
    </w:pPr>
    <w:rPr>
      <w:bCs/>
      <w:sz w:val="21"/>
      <w:szCs w:val="21"/>
    </w:rPr>
  </w:style>
  <w:style w:type="paragraph" w:customStyle="1" w:styleId="115">
    <w:name w:val="11正文"/>
    <w:basedOn w:val="1"/>
    <w:qFormat/>
    <w:uiPriority w:val="0"/>
    <w:pPr>
      <w:widowControl w:val="0"/>
      <w:jc w:val="both"/>
    </w:pPr>
    <w:rPr>
      <w:kern w:val="2"/>
      <w:szCs w:val="24"/>
      <w:lang w:eastAsia="zh-CN" w:bidi="ar-SA"/>
    </w:rPr>
  </w:style>
  <w:style w:type="paragraph" w:customStyle="1" w:styleId="116">
    <w:name w:val="XZW"/>
    <w:basedOn w:val="117"/>
    <w:qFormat/>
    <w:uiPriority w:val="0"/>
    <w:rPr>
      <w:rFonts w:eastAsia="仿宋_GB2312"/>
      <w:sz w:val="28"/>
    </w:rPr>
  </w:style>
  <w:style w:type="paragraph" w:customStyle="1" w:styleId="117">
    <w:name w:val="ZW"/>
    <w:basedOn w:val="118"/>
    <w:qFormat/>
    <w:uiPriority w:val="0"/>
    <w:pPr>
      <w:adjustRightInd w:val="0"/>
      <w:snapToGrid w:val="0"/>
      <w:ind w:left="0" w:firstLine="200"/>
      <w:jc w:val="both"/>
    </w:pPr>
    <w:rPr>
      <w:rFonts w:ascii="Times New Roman" w:hAnsi="Times New Roman"/>
      <w:kern w:val="0"/>
      <w:szCs w:val="24"/>
    </w:rPr>
  </w:style>
  <w:style w:type="paragraph" w:customStyle="1" w:styleId="118">
    <w:name w:val="正本"/>
    <w:basedOn w:val="1"/>
    <w:qFormat/>
    <w:uiPriority w:val="0"/>
    <w:pPr>
      <w:ind w:left="198"/>
      <w:jc w:val="left"/>
    </w:pPr>
    <w:rPr>
      <w:rFonts w:ascii="宋体" w:hAnsi="宋体"/>
      <w:szCs w:val="28"/>
    </w:rPr>
  </w:style>
  <w:style w:type="paragraph" w:customStyle="1" w:styleId="119">
    <w:name w:val="1表格内容"/>
    <w:basedOn w:val="1"/>
    <w:qFormat/>
    <w:uiPriority w:val="0"/>
    <w:pPr>
      <w:spacing w:line="240" w:lineRule="auto"/>
      <w:ind w:firstLine="0" w:firstLineChars="0"/>
      <w:jc w:val="center"/>
    </w:pPr>
    <w:rPr>
      <w:kern w:val="2"/>
      <w:sz w:val="21"/>
      <w:szCs w:val="28"/>
      <w:lang w:eastAsia="zh-CN" w:bidi="ar-SA"/>
    </w:rPr>
  </w:style>
  <w:style w:type="paragraph" w:customStyle="1" w:styleId="120">
    <w:name w:val="1表头"/>
    <w:basedOn w:val="1"/>
    <w:qFormat/>
    <w:uiPriority w:val="0"/>
    <w:pPr>
      <w:widowControl w:val="0"/>
      <w:ind w:firstLine="0" w:firstLineChars="0"/>
      <w:jc w:val="center"/>
    </w:pPr>
    <w:rPr>
      <w:b/>
      <w:bCs/>
      <w:kern w:val="2"/>
      <w:sz w:val="21"/>
      <w:szCs w:val="21"/>
      <w:u w:val="single"/>
      <w:lang w:eastAsia="zh-CN" w:bidi="ar-SA"/>
    </w:rPr>
  </w:style>
  <w:style w:type="paragraph" w:customStyle="1" w:styleId="121">
    <w:name w:val="sheet"/>
    <w:basedOn w:val="1"/>
    <w:qFormat/>
    <w:uiPriority w:val="0"/>
    <w:pPr>
      <w:suppressAutoHyphens/>
      <w:wordWrap w:val="0"/>
      <w:topLinePunct/>
      <w:spacing w:line="240" w:lineRule="auto"/>
      <w:ind w:firstLine="0" w:firstLineChars="0"/>
      <w:jc w:val="center"/>
    </w:pPr>
    <w:rPr>
      <w:kern w:val="0"/>
      <w:sz w:val="21"/>
    </w:rPr>
  </w:style>
  <w:style w:type="character" w:customStyle="1" w:styleId="122">
    <w:name w:val="标题 4 Char"/>
    <w:link w:val="10"/>
    <w:qFormat/>
    <w:uiPriority w:val="0"/>
    <w:rPr>
      <w:rFonts w:ascii="Times New Roman" w:hAnsi="Times New Roman" w:eastAsia="宋体"/>
      <w:b/>
    </w:rPr>
  </w:style>
</w:styles>
</file>

<file path=word/_rels/document.xml.rels><?xml version="1.0" encoding="UTF-8" standalone="yes"?>
<Relationships xmlns="http://schemas.openxmlformats.org/package/2006/relationships"><Relationship Id="rId93" Type="http://schemas.openxmlformats.org/officeDocument/2006/relationships/fontTable" Target="fontTable.xml"/><Relationship Id="rId92" Type="http://schemas.openxmlformats.org/officeDocument/2006/relationships/numbering" Target="numbering.xml"/><Relationship Id="rId91" Type="http://schemas.openxmlformats.org/officeDocument/2006/relationships/customXml" Target="../customXml/item1.xml"/><Relationship Id="rId90" Type="http://schemas.openxmlformats.org/officeDocument/2006/relationships/image" Target="media/image65.png"/><Relationship Id="rId9" Type="http://schemas.openxmlformats.org/officeDocument/2006/relationships/image" Target="media/image1.png"/><Relationship Id="rId89" Type="http://schemas.openxmlformats.org/officeDocument/2006/relationships/image" Target="media/image64.jpeg"/><Relationship Id="rId88" Type="http://schemas.openxmlformats.org/officeDocument/2006/relationships/image" Target="media/image63.jpeg"/><Relationship Id="rId87" Type="http://schemas.openxmlformats.org/officeDocument/2006/relationships/image" Target="media/image62.jpeg"/><Relationship Id="rId86" Type="http://schemas.openxmlformats.org/officeDocument/2006/relationships/image" Target="media/image61.jpeg"/><Relationship Id="rId85" Type="http://schemas.openxmlformats.org/officeDocument/2006/relationships/image" Target="media/image60.png"/><Relationship Id="rId84" Type="http://schemas.openxmlformats.org/officeDocument/2006/relationships/image" Target="media/image59.png"/><Relationship Id="rId83" Type="http://schemas.openxmlformats.org/officeDocument/2006/relationships/image" Target="media/image58.jpeg"/><Relationship Id="rId82" Type="http://schemas.openxmlformats.org/officeDocument/2006/relationships/image" Target="media/image57.jpeg"/><Relationship Id="rId81" Type="http://schemas.openxmlformats.org/officeDocument/2006/relationships/image" Target="media/image56.png"/><Relationship Id="rId80" Type="http://schemas.openxmlformats.org/officeDocument/2006/relationships/image" Target="media/image55.wmf"/><Relationship Id="rId8" Type="http://schemas.openxmlformats.org/officeDocument/2006/relationships/theme" Target="theme/theme1.xml"/><Relationship Id="rId79" Type="http://schemas.openxmlformats.org/officeDocument/2006/relationships/oleObject" Target="embeddings/oleObject15.bin"/><Relationship Id="rId78" Type="http://schemas.openxmlformats.org/officeDocument/2006/relationships/image" Target="media/image54.png"/><Relationship Id="rId77" Type="http://schemas.openxmlformats.org/officeDocument/2006/relationships/image" Target="media/image53.png"/><Relationship Id="rId76" Type="http://schemas.openxmlformats.org/officeDocument/2006/relationships/image" Target="media/image52.png"/><Relationship Id="rId75" Type="http://schemas.openxmlformats.org/officeDocument/2006/relationships/image" Target="media/image51.wmf"/><Relationship Id="rId74" Type="http://schemas.openxmlformats.org/officeDocument/2006/relationships/image" Target="media/image50.wmf"/><Relationship Id="rId73" Type="http://schemas.openxmlformats.org/officeDocument/2006/relationships/image" Target="media/image49.wmf"/><Relationship Id="rId72" Type="http://schemas.openxmlformats.org/officeDocument/2006/relationships/image" Target="media/image48.wmf"/><Relationship Id="rId71" Type="http://schemas.openxmlformats.org/officeDocument/2006/relationships/oleObject" Target="embeddings/oleObject14.bin"/><Relationship Id="rId70" Type="http://schemas.openxmlformats.org/officeDocument/2006/relationships/image" Target="media/image47.wmf"/><Relationship Id="rId7" Type="http://schemas.openxmlformats.org/officeDocument/2006/relationships/footer" Target="footer3.xml"/><Relationship Id="rId69" Type="http://schemas.openxmlformats.org/officeDocument/2006/relationships/oleObject" Target="embeddings/oleObject13.bin"/><Relationship Id="rId68" Type="http://schemas.openxmlformats.org/officeDocument/2006/relationships/image" Target="media/image46.wmf"/><Relationship Id="rId67" Type="http://schemas.openxmlformats.org/officeDocument/2006/relationships/oleObject" Target="embeddings/oleObject12.bin"/><Relationship Id="rId66" Type="http://schemas.openxmlformats.org/officeDocument/2006/relationships/image" Target="media/image45.wmf"/><Relationship Id="rId65" Type="http://schemas.openxmlformats.org/officeDocument/2006/relationships/oleObject" Target="embeddings/oleObject11.bin"/><Relationship Id="rId64" Type="http://schemas.openxmlformats.org/officeDocument/2006/relationships/image" Target="media/image44.wmf"/><Relationship Id="rId63" Type="http://schemas.openxmlformats.org/officeDocument/2006/relationships/oleObject" Target="embeddings/oleObject10.bin"/><Relationship Id="rId62" Type="http://schemas.openxmlformats.org/officeDocument/2006/relationships/image" Target="media/image43.wmf"/><Relationship Id="rId61" Type="http://schemas.openxmlformats.org/officeDocument/2006/relationships/oleObject" Target="embeddings/oleObject9.bin"/><Relationship Id="rId60" Type="http://schemas.openxmlformats.org/officeDocument/2006/relationships/image" Target="media/image42.wmf"/><Relationship Id="rId6" Type="http://schemas.openxmlformats.org/officeDocument/2006/relationships/footer" Target="footer2.xml"/><Relationship Id="rId59" Type="http://schemas.openxmlformats.org/officeDocument/2006/relationships/oleObject" Target="embeddings/oleObject8.bin"/><Relationship Id="rId58" Type="http://schemas.openxmlformats.org/officeDocument/2006/relationships/image" Target="media/image41.wmf"/><Relationship Id="rId57" Type="http://schemas.openxmlformats.org/officeDocument/2006/relationships/oleObject" Target="embeddings/oleObject7.bin"/><Relationship Id="rId56" Type="http://schemas.openxmlformats.org/officeDocument/2006/relationships/image" Target="media/image40.wmf"/><Relationship Id="rId55" Type="http://schemas.openxmlformats.org/officeDocument/2006/relationships/oleObject" Target="embeddings/oleObject6.bin"/><Relationship Id="rId54" Type="http://schemas.openxmlformats.org/officeDocument/2006/relationships/image" Target="media/image39.wmf"/><Relationship Id="rId53" Type="http://schemas.openxmlformats.org/officeDocument/2006/relationships/oleObject" Target="embeddings/oleObject5.bin"/><Relationship Id="rId52" Type="http://schemas.openxmlformats.org/officeDocument/2006/relationships/image" Target="media/image38.png"/><Relationship Id="rId51" Type="http://schemas.openxmlformats.org/officeDocument/2006/relationships/chart" Target="charts/chart2.xml"/><Relationship Id="rId50" Type="http://schemas.openxmlformats.org/officeDocument/2006/relationships/chart" Target="charts/chart1.xml"/><Relationship Id="rId5" Type="http://schemas.openxmlformats.org/officeDocument/2006/relationships/footer" Target="footer1.xml"/><Relationship Id="rId49" Type="http://schemas.openxmlformats.org/officeDocument/2006/relationships/image" Target="media/image37.png"/><Relationship Id="rId48" Type="http://schemas.openxmlformats.org/officeDocument/2006/relationships/image" Target="media/image36.png"/><Relationship Id="rId47" Type="http://schemas.openxmlformats.org/officeDocument/2006/relationships/image" Target="media/image35.png"/><Relationship Id="rId46" Type="http://schemas.openxmlformats.org/officeDocument/2006/relationships/image" Target="media/image34.emf"/><Relationship Id="rId45" Type="http://schemas.openxmlformats.org/officeDocument/2006/relationships/oleObject" Target="embeddings/oleObject4.bin"/><Relationship Id="rId44" Type="http://schemas.openxmlformats.org/officeDocument/2006/relationships/image" Target="media/image33.emf"/><Relationship Id="rId43" Type="http://schemas.openxmlformats.org/officeDocument/2006/relationships/oleObject" Target="embeddings/oleObject3.bin"/><Relationship Id="rId42" Type="http://schemas.openxmlformats.org/officeDocument/2006/relationships/image" Target="media/image32.png"/><Relationship Id="rId41" Type="http://schemas.openxmlformats.org/officeDocument/2006/relationships/image" Target="media/image31.png"/><Relationship Id="rId40" Type="http://schemas.openxmlformats.org/officeDocument/2006/relationships/image" Target="media/image30.png"/><Relationship Id="rId4" Type="http://schemas.openxmlformats.org/officeDocument/2006/relationships/endnotes" Target="endnotes.xml"/><Relationship Id="rId39" Type="http://schemas.openxmlformats.org/officeDocument/2006/relationships/image" Target="media/image29.png"/><Relationship Id="rId38" Type="http://schemas.openxmlformats.org/officeDocument/2006/relationships/image" Target="media/image28.png"/><Relationship Id="rId37" Type="http://schemas.openxmlformats.org/officeDocument/2006/relationships/image" Target="media/image27.png"/><Relationship Id="rId36" Type="http://schemas.openxmlformats.org/officeDocument/2006/relationships/image" Target="media/image26.png"/><Relationship Id="rId35" Type="http://schemas.openxmlformats.org/officeDocument/2006/relationships/image" Target="media/image25.png"/><Relationship Id="rId34" Type="http://schemas.openxmlformats.org/officeDocument/2006/relationships/image" Target="media/image24.png"/><Relationship Id="rId33" Type="http://schemas.openxmlformats.org/officeDocument/2006/relationships/image" Target="media/image23.png"/><Relationship Id="rId32" Type="http://schemas.openxmlformats.org/officeDocument/2006/relationships/image" Target="media/image22.png"/><Relationship Id="rId31" Type="http://schemas.openxmlformats.org/officeDocument/2006/relationships/image" Target="media/image21.png"/><Relationship Id="rId30" Type="http://schemas.openxmlformats.org/officeDocument/2006/relationships/image" Target="media/image20.png"/><Relationship Id="rId3" Type="http://schemas.openxmlformats.org/officeDocument/2006/relationships/footnotes" Target="footnotes.xml"/><Relationship Id="rId29" Type="http://schemas.openxmlformats.org/officeDocument/2006/relationships/image" Target="media/image19.png"/><Relationship Id="rId28" Type="http://schemas.openxmlformats.org/officeDocument/2006/relationships/image" Target="media/image18.png"/><Relationship Id="rId27" Type="http://schemas.openxmlformats.org/officeDocument/2006/relationships/image" Target="media/image17.png"/><Relationship Id="rId26" Type="http://schemas.openxmlformats.org/officeDocument/2006/relationships/image" Target="media/image16.png"/><Relationship Id="rId25" Type="http://schemas.openxmlformats.org/officeDocument/2006/relationships/image" Target="media/image15.png"/><Relationship Id="rId24" Type="http://schemas.openxmlformats.org/officeDocument/2006/relationships/image" Target="media/image14.png"/><Relationship Id="rId23" Type="http://schemas.openxmlformats.org/officeDocument/2006/relationships/image" Target="media/image13.png"/><Relationship Id="rId22" Type="http://schemas.openxmlformats.org/officeDocument/2006/relationships/image" Target="media/image12.png"/><Relationship Id="rId21" Type="http://schemas.openxmlformats.org/officeDocument/2006/relationships/image" Target="media/image11.emf"/><Relationship Id="rId20" Type="http://schemas.openxmlformats.org/officeDocument/2006/relationships/oleObject" Target="embeddings/oleObject2.bin"/><Relationship Id="rId2" Type="http://schemas.openxmlformats.org/officeDocument/2006/relationships/settings" Target="settings.xml"/><Relationship Id="rId19" Type="http://schemas.openxmlformats.org/officeDocument/2006/relationships/image" Target="media/image10.emf"/><Relationship Id="rId18" Type="http://schemas.openxmlformats.org/officeDocument/2006/relationships/oleObject" Target="embeddings/oleObject1.bin"/><Relationship Id="rId17" Type="http://schemas.openxmlformats.org/officeDocument/2006/relationships/image" Target="media/image9.png"/><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4" Type="http://schemas.microsoft.com/office/2011/relationships/chartColorStyle" Target="colors1.xml"/><Relationship Id="rId3" Type="http://schemas.microsoft.com/office/2011/relationships/chartStyle" Target="style1.xml"/><Relationship Id="rId2" Type="http://schemas.openxmlformats.org/officeDocument/2006/relationships/themeOverride" Target="../theme/themeOverride1.xml"/><Relationship Id="rId1" Type="http://schemas.openxmlformats.org/officeDocument/2006/relationships/oleObject" Target="file:///C:\Users\Administrator\Desktop\&#19977;&#38451;&#20065;&#37325;&#37329;&#23646;&#21382;&#21490;&#36951;&#30041;&#39033;&#30446;&#29983;&#24577;&#35843;&#26597;\&#29983;&#24577;&#35745;&#31639;&#34920;&#26684;.xlsx" TargetMode="External"/></Relationships>
</file>

<file path=word/charts/_rels/chart2.xml.rels><?xml version="1.0" encoding="UTF-8" standalone="yes"?>
<Relationships xmlns="http://schemas.openxmlformats.org/package/2006/relationships"><Relationship Id="rId4" Type="http://schemas.microsoft.com/office/2011/relationships/chartColorStyle" Target="colors2.xml"/><Relationship Id="rId3" Type="http://schemas.microsoft.com/office/2011/relationships/chartStyle" Target="style2.xml"/><Relationship Id="rId2" Type="http://schemas.openxmlformats.org/officeDocument/2006/relationships/themeOverride" Target="../theme/themeOverride2.xml"/><Relationship Id="rId1" Type="http://schemas.openxmlformats.org/officeDocument/2006/relationships/oleObject" Target="file:///C:\Users\Administrator\Desktop\&#19977;&#38451;&#20065;&#37325;&#37329;&#23646;&#21382;&#21490;&#36951;&#30041;&#39033;&#30446;&#29983;&#24577;&#35843;&#26597;\&#29983;&#24577;&#35745;&#31639;&#34920;&#26684;.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spPr>
        <a:noFill/>
        <a:effectLst/>
      </c:spPr>
    </c:floor>
    <c:sideWall>
      <c:thickness val="0"/>
      <c:spPr>
        <a:noFill/>
        <a:effectLst/>
      </c:spPr>
    </c:sideWall>
    <c:backWall>
      <c:thickness val="0"/>
      <c:spPr>
        <a:noFill/>
        <a:effectLst/>
      </c:spPr>
    </c:backWall>
    <c:plotArea>
      <c:layout/>
      <c:pie3DChart>
        <c:varyColors val="1"/>
        <c:ser>
          <c:idx val="0"/>
          <c:order val="0"/>
          <c:spPr>
            <a:ln w="19050" cap="rnd">
              <a:solidFill>
                <a:schemeClr val="tx1">
                  <a:lumMod val="85000"/>
                  <a:lumOff val="15000"/>
                </a:schemeClr>
              </a:solidFill>
              <a:round/>
            </a:ln>
            <a:effectLst/>
          </c:spPr>
          <c:explosion val="0"/>
          <c:dPt>
            <c:idx val="0"/>
            <c:bubble3D val="0"/>
            <c:spPr>
              <a:solidFill>
                <a:schemeClr val="accent1"/>
              </a:solidFill>
              <a:ln w="19050" cap="rnd">
                <a:solidFill>
                  <a:schemeClr val="tx1">
                    <a:lumMod val="85000"/>
                    <a:lumOff val="15000"/>
                  </a:schemeClr>
                </a:solidFill>
                <a:round/>
              </a:ln>
              <a:effectLst/>
            </c:spPr>
          </c:dPt>
          <c:dPt>
            <c:idx val="1"/>
            <c:bubble3D val="0"/>
            <c:spPr>
              <a:solidFill>
                <a:schemeClr val="accent2"/>
              </a:solidFill>
              <a:ln w="19050" cap="rnd">
                <a:solidFill>
                  <a:schemeClr val="tx1">
                    <a:lumMod val="85000"/>
                    <a:lumOff val="15000"/>
                  </a:schemeClr>
                </a:solidFill>
                <a:round/>
              </a:ln>
              <a:effectLst/>
            </c:spPr>
          </c:dPt>
          <c:dPt>
            <c:idx val="2"/>
            <c:bubble3D val="0"/>
            <c:spPr>
              <a:solidFill>
                <a:schemeClr val="accent3"/>
              </a:solidFill>
              <a:ln w="19050" cap="rnd">
                <a:solidFill>
                  <a:schemeClr val="tx1">
                    <a:lumMod val="85000"/>
                    <a:lumOff val="15000"/>
                  </a:schemeClr>
                </a:solidFill>
                <a:round/>
              </a:ln>
              <a:effectLst/>
            </c:spPr>
          </c:dPt>
          <c:dPt>
            <c:idx val="3"/>
            <c:bubble3D val="0"/>
            <c:spPr>
              <a:solidFill>
                <a:schemeClr val="accent4"/>
              </a:solidFill>
              <a:ln w="19050" cap="rnd">
                <a:solidFill>
                  <a:schemeClr val="tx1">
                    <a:lumMod val="85000"/>
                    <a:lumOff val="15000"/>
                  </a:schemeClr>
                </a:solidFill>
                <a:round/>
              </a:ln>
              <a:effectLst/>
            </c:spPr>
          </c:dPt>
          <c:dPt>
            <c:idx val="4"/>
            <c:bubble3D val="0"/>
            <c:spPr>
              <a:solidFill>
                <a:schemeClr val="accent5"/>
              </a:solidFill>
              <a:ln w="19050" cap="rnd">
                <a:solidFill>
                  <a:schemeClr val="tx1">
                    <a:lumMod val="85000"/>
                    <a:lumOff val="15000"/>
                  </a:schemeClr>
                </a:solidFill>
                <a:round/>
              </a:ln>
              <a:effectLst/>
            </c:spPr>
          </c:dPt>
          <c:dPt>
            <c:idx val="5"/>
            <c:bubble3D val="0"/>
            <c:spPr>
              <a:solidFill>
                <a:schemeClr val="accent6"/>
              </a:solidFill>
              <a:ln w="19050" cap="rnd">
                <a:solidFill>
                  <a:schemeClr val="tx1">
                    <a:lumMod val="85000"/>
                    <a:lumOff val="15000"/>
                  </a:schemeClr>
                </a:solidFill>
                <a:round/>
              </a:ln>
              <a:effectLst/>
            </c:spPr>
          </c:dPt>
          <c:dLbls>
            <c:dLbl>
              <c:idx val="0"/>
              <c:layout>
                <c:manualLayout>
                  <c:x val="-0.169243508132981"/>
                  <c:y val="-0.278363577980191"/>
                </c:manualLayout>
              </c:layout>
              <c:dLblPos val="bestFi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120731673408836"/>
                  <c:y val="-0.166024065450533"/>
                </c:manualLayout>
              </c:layout>
              <c:dLblPos val="bestFi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0986842105263158"/>
                  <c:y val="0.0467592592592593"/>
                </c:manualLayout>
              </c:layout>
              <c:dLblPos val="bestFi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065"/>
                  <c:y val="0.0763888888888889"/>
                </c:manualLayout>
              </c:layout>
              <c:dLblPos val="bestFit"/>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00986842105263158"/>
                  <c:y val="-0.012037037037037"/>
                </c:manualLayout>
              </c:layout>
              <c:dLblPos val="bestFit"/>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0.0344736842105263"/>
                  <c:y val="-0.0226851851851852"/>
                </c:manualLayout>
              </c:layout>
              <c:dLblPos val="bestFi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dLblPos val="bestFit"/>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[生态计算表格.xlsx]Sheet1!$B$25:$B$30</c:f>
              <c:strCache>
                <c:ptCount val="6"/>
                <c:pt idx="0">
                  <c:v>林地</c:v>
                </c:pt>
                <c:pt idx="1">
                  <c:v>灌草地</c:v>
                </c:pt>
                <c:pt idx="2">
                  <c:v>耕地</c:v>
                </c:pt>
                <c:pt idx="3">
                  <c:v>住宅</c:v>
                </c:pt>
                <c:pt idx="4">
                  <c:v>道路</c:v>
                </c:pt>
                <c:pt idx="5">
                  <c:v>水域</c:v>
                </c:pt>
              </c:strCache>
            </c:strRef>
          </c:cat>
          <c:val>
            <c:numRef>
              <c:f>[生态计算表格.xlsx]Sheet1!$C$25:$C$30</c:f>
              <c:numCache>
                <c:formatCode>General</c:formatCode>
                <c:ptCount val="6"/>
                <c:pt idx="0">
                  <c:v>152.17</c:v>
                </c:pt>
                <c:pt idx="1">
                  <c:v>28.975</c:v>
                </c:pt>
                <c:pt idx="2">
                  <c:v>18.995</c:v>
                </c:pt>
                <c:pt idx="3">
                  <c:v>16.25</c:v>
                </c:pt>
                <c:pt idx="4">
                  <c:v>8.449</c:v>
                </c:pt>
                <c:pt idx="5">
                  <c:v>0.231</c:v>
                </c:pt>
              </c:numCache>
            </c:numRef>
          </c:val>
        </c:ser>
        <c:dLbls>
          <c:showLegendKey val="0"/>
          <c:showVal val="1"/>
          <c:showCatName val="0"/>
          <c:showSerName val="0"/>
          <c:showPercent val="0"/>
          <c:showBubbleSize val="0"/>
        </c:dLbls>
      </c:pie3DChart>
      <c:spPr>
        <a:noFill/>
        <a:ln>
          <a:noFill/>
        </a:ln>
        <a:effectLst/>
      </c:spPr>
    </c:plotArea>
    <c:legend>
      <c:legendPos val="r"/>
      <c:layout>
        <c:manualLayout>
          <c:xMode val="edge"/>
          <c:yMode val="edge"/>
          <c:x val="0.869605263157895"/>
          <c:y val="0.521759259259259"/>
        </c:manualLayout>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75000"/>
                  <a:lumOff val="2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legend>
    <c:plotVisOnly val="1"/>
    <c:dispBlanksAs val="gap"/>
    <c:showDLblsOverMax val="0"/>
    <c:extLst>
      <c:ext uri="{0b15fc19-7d7d-44ad-8c2d-2c3a37ce22c3}">
        <chartProps xmlns="https://web.wps.cn/et/2018/main" chartId="{9a02ba31-6715-44bc-964f-2ea88fcc0333}"/>
      </c:ext>
    </c:extLst>
  </c:chart>
  <c:spPr>
    <a:solidFill>
      <a:schemeClr val="bg1"/>
    </a:solidFill>
    <a:ln w="9525" cap="flat" cmpd="sng" algn="ctr">
      <a:solidFill>
        <a:schemeClr val="tx1">
          <a:lumMod val="50000"/>
          <a:lumOff val="50000"/>
          <a:alpha val="25000"/>
        </a:schemeClr>
      </a:solidFill>
      <a:round/>
    </a:ln>
    <a:effectLst>
      <a:outerShdw blurRad="63500" dist="37357" dir="2700000" sx="0" sy="0" rotWithShape="0">
        <a:scrgbClr r="0" g="0" b="0"/>
      </a:outerShdw>
    </a:effectLst>
  </c:spPr>
  <c:txPr>
    <a:bodyPr/>
    <a:lstStyle/>
    <a:p>
      <a:pPr>
        <a:defRPr lang="zh-CN">
          <a:solidFill>
            <a:schemeClr val="tx1">
              <a:lumMod val="75000"/>
              <a:lumOff val="2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spPr>
        <a:noFill/>
        <a:effectLst/>
      </c:spPr>
    </c:floor>
    <c:sideWall>
      <c:thickness val="0"/>
      <c:spPr>
        <a:noFill/>
        <a:effectLst/>
      </c:spPr>
    </c:sideWall>
    <c:backWall>
      <c:thickness val="0"/>
      <c:spPr>
        <a:noFill/>
        <a:effectLst/>
      </c:spPr>
    </c:backWall>
    <c:plotArea>
      <c:layout/>
      <c:pie3DChart>
        <c:varyColors val="1"/>
        <c:ser>
          <c:idx val="0"/>
          <c:order val="0"/>
          <c:spPr>
            <a:ln w="19050" cap="rnd">
              <a:solidFill>
                <a:schemeClr val="tx1">
                  <a:lumMod val="85000"/>
                  <a:lumOff val="15000"/>
                </a:schemeClr>
              </a:solidFill>
              <a:round/>
            </a:ln>
            <a:effectLst/>
          </c:spPr>
          <c:explosion val="0"/>
          <c:dPt>
            <c:idx val="0"/>
            <c:bubble3D val="0"/>
            <c:spPr>
              <a:solidFill>
                <a:schemeClr val="accent1"/>
              </a:solidFill>
              <a:ln w="19050" cap="rnd">
                <a:solidFill>
                  <a:schemeClr val="tx1">
                    <a:lumMod val="85000"/>
                    <a:lumOff val="15000"/>
                  </a:schemeClr>
                </a:solidFill>
                <a:round/>
              </a:ln>
              <a:effectLst/>
            </c:spPr>
          </c:dPt>
          <c:dPt>
            <c:idx val="1"/>
            <c:bubble3D val="0"/>
            <c:spPr>
              <a:solidFill>
                <a:schemeClr val="accent2"/>
              </a:solidFill>
              <a:ln w="19050" cap="rnd">
                <a:solidFill>
                  <a:schemeClr val="tx1">
                    <a:lumMod val="85000"/>
                    <a:lumOff val="15000"/>
                  </a:schemeClr>
                </a:solidFill>
                <a:round/>
              </a:ln>
              <a:effectLst/>
            </c:spPr>
          </c:dPt>
          <c:dPt>
            <c:idx val="2"/>
            <c:bubble3D val="0"/>
            <c:spPr>
              <a:solidFill>
                <a:schemeClr val="accent3"/>
              </a:solidFill>
              <a:ln w="19050" cap="rnd">
                <a:solidFill>
                  <a:schemeClr val="tx1">
                    <a:lumMod val="85000"/>
                    <a:lumOff val="15000"/>
                  </a:schemeClr>
                </a:solidFill>
                <a:round/>
              </a:ln>
              <a:effectLst/>
            </c:spPr>
          </c:dPt>
          <c:dPt>
            <c:idx val="3"/>
            <c:bubble3D val="0"/>
            <c:spPr>
              <a:solidFill>
                <a:schemeClr val="accent4"/>
              </a:solidFill>
              <a:ln w="19050" cap="rnd">
                <a:solidFill>
                  <a:schemeClr val="tx1">
                    <a:lumMod val="85000"/>
                    <a:lumOff val="15000"/>
                  </a:schemeClr>
                </a:solidFill>
                <a:round/>
              </a:ln>
              <a:effectLst/>
            </c:spPr>
          </c:dPt>
          <c:dLbls>
            <c:dLbl>
              <c:idx val="0"/>
              <c:layout>
                <c:manualLayout>
                  <c:x val="-0.198709577085975"/>
                  <c:y val="-0.268235109100797"/>
                </c:manualLayout>
              </c:layout>
              <c:dLblPos val="bestFit"/>
              <c:showLegendKey val="0"/>
              <c:showVal val="1"/>
              <c:showCatName val="1"/>
              <c:showSerName val="0"/>
              <c:showPercent val="0"/>
              <c:showBubbleSize val="0"/>
              <c:separator>
</c:separator>
              <c:extLst>
                <c:ext xmlns:c15="http://schemas.microsoft.com/office/drawing/2012/chart" uri="{CE6537A1-D6FC-4f65-9D91-7224C49458BB}">
                  <c15:layout/>
                </c:ext>
              </c:extLst>
            </c:dLbl>
            <c:dLbl>
              <c:idx val="1"/>
              <c:layout>
                <c:manualLayout>
                  <c:x val="0.139115104265155"/>
                  <c:y val="0.0198822367232054"/>
                </c:manualLayout>
              </c:layout>
              <c:dLblPos val="bestFit"/>
              <c:showLegendKey val="0"/>
              <c:showVal val="1"/>
              <c:showCatName val="1"/>
              <c:showSerName val="0"/>
              <c:showPercent val="0"/>
              <c:showBubbleSize val="0"/>
              <c:separator>
</c:separator>
              <c:extLst>
                <c:ext xmlns:c15="http://schemas.microsoft.com/office/drawing/2012/chart" uri="{CE6537A1-D6FC-4f65-9D91-7224C49458BB}">
                  <c15:layout/>
                </c:ext>
              </c:extLst>
            </c:dLbl>
            <c:dLbl>
              <c:idx val="2"/>
              <c:layout>
                <c:manualLayout>
                  <c:x val="0.072807282460358"/>
                  <c:y val="0.117077540674841"/>
                </c:manualLayout>
              </c:layout>
              <c:dLblPos val="bestFit"/>
              <c:showLegendKey val="0"/>
              <c:showVal val="1"/>
              <c:showCatName val="1"/>
              <c:showSerName val="0"/>
              <c:showPercent val="0"/>
              <c:showBubbleSize val="0"/>
              <c:separator>
</c:separator>
              <c:extLst>
                <c:ext xmlns:c15="http://schemas.microsoft.com/office/drawing/2012/chart" uri="{CE6537A1-D6FC-4f65-9D91-7224C49458BB}">
                  <c15:layout/>
                </c:ext>
              </c:extLst>
            </c:dLbl>
            <c:dLbl>
              <c:idx val="3"/>
              <c:layout>
                <c:manualLayout>
                  <c:x val="0.0250335288263178"/>
                  <c:y val="0.090852343637474"/>
                </c:manualLayout>
              </c:layout>
              <c:dLblPos val="bestFit"/>
              <c:showLegendKey val="0"/>
              <c:showVal val="1"/>
              <c:showCatName val="1"/>
              <c:showSerName val="0"/>
              <c:showPercent val="0"/>
              <c:showBubbleSize val="0"/>
              <c:separator>
</c:separator>
              <c:extLst>
                <c:ext xmlns:c15="http://schemas.microsoft.com/office/drawing/2012/chart" uri="{CE6537A1-D6FC-4f65-9D91-7224C49458BB}">
                  <c15:layout/>
                </c:ext>
              </c:extLst>
            </c:dLbl>
            <c:numFmt formatCode="General" sourceLinked="1"/>
            <c:spPr>
              <a:noFill/>
              <a:ln>
                <a:noFill/>
              </a:ln>
              <a:effectLst/>
            </c:spPr>
            <c:txPr>
              <a:bodyPr rot="0" spcFirstLastPara="0" vertOverflow="ellipsis" vert="horz" wrap="square" lIns="38100" tIns="19050" rIns="38100" bIns="19050" anchor="ctr" anchorCtr="1" forceAA="0"/>
              <a:lstStyle/>
              <a:p>
                <a:pPr>
                  <a:defRPr lang="zh-CN" sz="900" b="0" i="0" u="none" strike="noStrike" kern="1200" baseline="0">
                    <a:solidFill>
                      <a:schemeClr val="tx1">
                        <a:lumMod val="75000"/>
                        <a:lumOff val="2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dLblPos val="inEnd"/>
            <c:showLegendKey val="0"/>
            <c:showVal val="1"/>
            <c:showCatName val="1"/>
            <c:showSerName val="0"/>
            <c:showPercent val="0"/>
            <c:showBubbleSize val="0"/>
            <c:separator>
</c:separator>
            <c:showLeaderLines val="0"/>
            <c:extLst>
              <c:ext xmlns:c15="http://schemas.microsoft.com/office/drawing/2012/chart" uri="{CE6537A1-D6FC-4f65-9D91-7224C49458BB}">
                <c15:layout/>
                <c15:showLeaderLines val="0"/>
                <c15:leaderLines>
                  <c:spPr>
                    <a:ln w="9525" cap="flat" cmpd="sng" algn="ctr">
                      <a:solidFill>
                        <a:schemeClr val="tx1">
                          <a:lumMod val="35000"/>
                          <a:lumOff val="65000"/>
                        </a:schemeClr>
                      </a:solidFill>
                      <a:round/>
                    </a:ln>
                    <a:effectLst/>
                  </c:spPr>
                </c15:leaderLines>
              </c:ext>
            </c:extLst>
          </c:dLbls>
          <c:cat>
            <c:strRef>
              <c:f>[生态计算表格.xlsx]Sheet1!$B$66:$B$69</c:f>
              <c:strCache>
                <c:ptCount val="4"/>
                <c:pt idx="0">
                  <c:v>针叶林</c:v>
                </c:pt>
                <c:pt idx="1">
                  <c:v>阔叶林</c:v>
                </c:pt>
                <c:pt idx="2">
                  <c:v>灌丛/灌草丛</c:v>
                </c:pt>
                <c:pt idx="3">
                  <c:v>耕地</c:v>
                </c:pt>
              </c:strCache>
            </c:strRef>
          </c:cat>
          <c:val>
            <c:numRef>
              <c:f>[生态计算表格.xlsx]Sheet1!$C$66:$C$69</c:f>
              <c:numCache>
                <c:formatCode>0.00%</c:formatCode>
                <c:ptCount val="4"/>
                <c:pt idx="0">
                  <c:v>0.645876162246122</c:v>
                </c:pt>
                <c:pt idx="1">
                  <c:v>0.249857056554681</c:v>
                </c:pt>
                <c:pt idx="2">
                  <c:v>0.079757582368069</c:v>
                </c:pt>
                <c:pt idx="3">
                  <c:v>0.0245091988311282</c:v>
                </c:pt>
              </c:numCache>
            </c:numRef>
          </c:val>
        </c:ser>
        <c:dLbls>
          <c:showLegendKey val="0"/>
          <c:showVal val="1"/>
          <c:showCatName val="0"/>
          <c:showSerName val="0"/>
          <c:showPercent val="0"/>
          <c:showBubbleSize val="0"/>
        </c:dLbls>
      </c:pie3DChart>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75000"/>
                  <a:lumOff val="2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legend>
    <c:plotVisOnly val="1"/>
    <c:dispBlanksAs val="gap"/>
    <c:showDLblsOverMax val="0"/>
    <c:extLst>
      <c:ext uri="{0b15fc19-7d7d-44ad-8c2d-2c3a37ce22c3}">
        <chartProps xmlns="https://web.wps.cn/et/2018/main" chartId="{49006e80-1a1d-4bd5-9395-02fd9db053ba}"/>
      </c:ext>
    </c:extLst>
  </c:chart>
  <c:spPr>
    <a:solidFill>
      <a:schemeClr val="bg1"/>
    </a:solidFill>
    <a:ln w="9525" cap="flat" cmpd="sng" algn="ctr">
      <a:solidFill>
        <a:schemeClr val="tx1">
          <a:lumMod val="50000"/>
          <a:lumOff val="50000"/>
          <a:alpha val="25000"/>
        </a:schemeClr>
      </a:solidFill>
      <a:round/>
    </a:ln>
    <a:effectLst>
      <a:outerShdw blurRad="63500" dist="37357" dir="2700000" sx="0" sy="0" rotWithShape="0">
        <a:scrgbClr r="0" g="0" b="0"/>
      </a:outerShdw>
    </a:effectLst>
  </c:spPr>
  <c:txPr>
    <a:bodyPr/>
    <a:lstStyle/>
    <a:p>
      <a:pPr>
        <a:defRPr lang="zh-CN">
          <a:solidFill>
            <a:schemeClr val="tx1">
              <a:lumMod val="75000"/>
              <a:lumOff val="2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word/theme/themeOverride1.xml><?xml version="1.0" encoding="utf-8"?>
<a:themeOverride xmlns:a="http://schemas.openxmlformats.org/drawingml/2006/main">
  <a:clrScheme name="可爱风">
    <a:dk1>
      <a:srgbClr val="000000"/>
    </a:dk1>
    <a:lt1>
      <a:srgbClr val="FFFFFF"/>
    </a:lt1>
    <a:dk2>
      <a:srgbClr val="44546A"/>
    </a:dk2>
    <a:lt2>
      <a:srgbClr val="E7E6E6"/>
    </a:lt2>
    <a:accent1>
      <a:srgbClr val="8ECBEE"/>
    </a:accent1>
    <a:accent2>
      <a:srgbClr val="FFD873"/>
    </a:accent2>
    <a:accent3>
      <a:srgbClr val="F279A3"/>
    </a:accent3>
    <a:accent4>
      <a:srgbClr val="F8B39E"/>
    </a:accent4>
    <a:accent5>
      <a:srgbClr val="B8E2DD"/>
    </a:accent5>
    <a:accent6>
      <a:srgbClr val="DEDC6A"/>
    </a:accent6>
    <a:hlink>
      <a:srgbClr val="0026E5"/>
    </a:hlink>
    <a:folHlink>
      <a:srgbClr val="7E1FA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Narrow"/>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可爱风">
    <a:dk1>
      <a:srgbClr val="000000"/>
    </a:dk1>
    <a:lt1>
      <a:srgbClr val="FFFFFF"/>
    </a:lt1>
    <a:dk2>
      <a:srgbClr val="44546A"/>
    </a:dk2>
    <a:lt2>
      <a:srgbClr val="E7E6E6"/>
    </a:lt2>
    <a:accent1>
      <a:srgbClr val="8ECBEE"/>
    </a:accent1>
    <a:accent2>
      <a:srgbClr val="FFD873"/>
    </a:accent2>
    <a:accent3>
      <a:srgbClr val="F279A3"/>
    </a:accent3>
    <a:accent4>
      <a:srgbClr val="F8B39E"/>
    </a:accent4>
    <a:accent5>
      <a:srgbClr val="B8E2DD"/>
    </a:accent5>
    <a:accent6>
      <a:srgbClr val="DEDC6A"/>
    </a:accent6>
    <a:hlink>
      <a:srgbClr val="0026E5"/>
    </a:hlink>
    <a:folHlink>
      <a:srgbClr val="7E1FA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Narrow"/>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202</Pages>
  <Words>6518</Words>
  <Characters>6875</Characters>
  <Lines>0</Lines>
  <Paragraphs>0</Paragraphs>
  <TotalTime>1</TotalTime>
  <ScaleCrop>false</ScaleCrop>
  <LinksUpToDate>false</LinksUpToDate>
  <CharactersWithSpaces>6995</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2020-10-10T00:47:00Z</dcterms:created>
  <dc:creator>52421</dc:creator>
  <cp:lastModifiedBy>木白</cp:lastModifiedBy>
  <cp:lastPrinted>2022-03-31T00:29:00Z</cp:lastPrinted>
  <dcterms:modified xsi:type="dcterms:W3CDTF">2025-10-15T02:41:08Z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80E7E4D1D6314EB7BC13F29BFF08FD3A</vt:lpwstr>
  </property>
  <property fmtid="{D5CDD505-2E9C-101B-9397-08002B2CF9AE}" pid="4" name="KSOTemplateDocerSaveRecord">
    <vt:lpwstr>eyJoZGlkIjoiZWFiY2I0Y2Y0YzJjY2IzYmVjOGNlYzY0ZDBhYzBmM2QiLCJ1c2VySWQiOiI0NjIzNzExOTAifQ==</vt:lpwstr>
  </property>
</Properties>
</file>